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386F4A5">
      <w:pPr>
        <w:pStyle w:val="20"/>
        <w:widowControl w:val="0"/>
        <w:spacing w:beforeLines="50"/>
        <w:ind w:firstLine="960"/>
        <w:jc w:val="center"/>
        <w:rPr>
          <w:b/>
          <w:bCs/>
          <w:sz w:val="48"/>
          <w:szCs w:val="48"/>
        </w:rPr>
      </w:pPr>
    </w:p>
    <w:p w14:paraId="2D6E6D58">
      <w:pPr>
        <w:pStyle w:val="20"/>
        <w:widowControl w:val="0"/>
        <w:spacing w:beforeLines="50"/>
        <w:ind w:firstLine="883"/>
        <w:jc w:val="center"/>
        <w:rPr>
          <w:b/>
          <w:bCs/>
          <w:sz w:val="44"/>
          <w:szCs w:val="44"/>
        </w:rPr>
      </w:pPr>
      <w:r>
        <w:rPr>
          <w:rFonts w:hint="eastAsia"/>
          <w:b/>
          <w:bCs/>
          <w:sz w:val="44"/>
          <w:szCs w:val="44"/>
        </w:rPr>
        <w:t>驻马店市中心医院全自动化学免疫分析仪、</w:t>
      </w:r>
    </w:p>
    <w:p w14:paraId="46ADF3E5">
      <w:pPr>
        <w:pStyle w:val="20"/>
        <w:widowControl w:val="0"/>
        <w:spacing w:beforeLines="50"/>
        <w:ind w:firstLine="880"/>
        <w:jc w:val="center"/>
        <w:rPr>
          <w:b/>
          <w:bCs/>
          <w:sz w:val="44"/>
          <w:szCs w:val="44"/>
        </w:rPr>
      </w:pPr>
      <w:r>
        <w:rPr>
          <w:rFonts w:hint="eastAsia"/>
          <w:b/>
          <w:bCs/>
          <w:sz w:val="44"/>
          <w:szCs w:val="44"/>
        </w:rPr>
        <w:t>心肺复苏机、温控银质针治疗仪采购项目</w:t>
      </w:r>
    </w:p>
    <w:p w14:paraId="4B6C1D9A">
      <w:pPr>
        <w:pStyle w:val="20"/>
        <w:ind w:firstLine="960"/>
        <w:jc w:val="center"/>
        <w:rPr>
          <w:rStyle w:val="45"/>
          <w:b/>
          <w:bCs/>
          <w:color w:val="auto"/>
          <w:sz w:val="48"/>
          <w:szCs w:val="48"/>
        </w:rPr>
      </w:pPr>
      <w:r>
        <w:rPr>
          <w:rStyle w:val="45"/>
          <w:rFonts w:hint="eastAsia"/>
          <w:b/>
          <w:bCs/>
          <w:color w:val="auto"/>
          <w:sz w:val="48"/>
          <w:szCs w:val="48"/>
        </w:rPr>
        <w:t>包1、包2（</w:t>
      </w:r>
      <w:r>
        <w:rPr>
          <w:rStyle w:val="45"/>
          <w:rFonts w:hint="eastAsia"/>
          <w:b/>
          <w:bCs/>
          <w:color w:val="auto"/>
          <w:sz w:val="48"/>
          <w:szCs w:val="48"/>
          <w:lang w:val="en-US" w:eastAsia="zh-CN"/>
        </w:rPr>
        <w:t>三</w:t>
      </w:r>
      <w:r>
        <w:rPr>
          <w:rStyle w:val="45"/>
          <w:rFonts w:hint="eastAsia"/>
          <w:b/>
          <w:bCs/>
          <w:color w:val="auto"/>
          <w:sz w:val="48"/>
          <w:szCs w:val="48"/>
        </w:rPr>
        <w:t>次）</w:t>
      </w:r>
    </w:p>
    <w:p w14:paraId="577260B8">
      <w:pPr>
        <w:pStyle w:val="20"/>
        <w:ind w:firstLine="960"/>
        <w:jc w:val="center"/>
        <w:rPr>
          <w:rStyle w:val="45"/>
          <w:b/>
          <w:bCs/>
          <w:color w:val="auto"/>
          <w:sz w:val="48"/>
          <w:szCs w:val="48"/>
        </w:rPr>
      </w:pPr>
    </w:p>
    <w:p w14:paraId="350B2EC7">
      <w:pPr>
        <w:pStyle w:val="20"/>
        <w:ind w:firstLine="960"/>
        <w:jc w:val="center"/>
        <w:rPr>
          <w:rStyle w:val="45"/>
          <w:b/>
          <w:bCs/>
          <w:color w:val="auto"/>
          <w:sz w:val="48"/>
          <w:szCs w:val="48"/>
        </w:rPr>
      </w:pPr>
    </w:p>
    <w:p w14:paraId="13E5069A">
      <w:pPr>
        <w:pStyle w:val="20"/>
        <w:ind w:firstLine="883"/>
        <w:jc w:val="center"/>
        <w:rPr>
          <w:rStyle w:val="45"/>
          <w:b/>
          <w:bCs/>
          <w:color w:val="auto"/>
          <w:sz w:val="44"/>
          <w:szCs w:val="44"/>
        </w:rPr>
      </w:pPr>
      <w:r>
        <w:rPr>
          <w:rStyle w:val="45"/>
          <w:rFonts w:hint="eastAsia"/>
          <w:b/>
          <w:bCs/>
          <w:color w:val="auto"/>
          <w:sz w:val="44"/>
          <w:szCs w:val="44"/>
        </w:rPr>
        <w:t>竞争性磋商文件</w:t>
      </w:r>
    </w:p>
    <w:p w14:paraId="2AC61959">
      <w:pPr>
        <w:tabs>
          <w:tab w:val="left" w:pos="2700"/>
          <w:tab w:val="left" w:pos="2880"/>
          <w:tab w:val="left" w:pos="3060"/>
          <w:tab w:val="left" w:pos="7560"/>
        </w:tabs>
        <w:snapToGrid w:val="0"/>
        <w:spacing w:line="360" w:lineRule="auto"/>
        <w:ind w:firstLine="1928" w:firstLineChars="600"/>
        <w:rPr>
          <w:rFonts w:ascii="宋体" w:hAnsi="宋体" w:cs="宋体"/>
          <w:b/>
          <w:bCs/>
          <w:spacing w:val="-10"/>
          <w:sz w:val="34"/>
          <w:szCs w:val="34"/>
        </w:rPr>
      </w:pPr>
    </w:p>
    <w:p w14:paraId="2785F61A">
      <w:pPr>
        <w:snapToGrid w:val="0"/>
        <w:spacing w:line="380" w:lineRule="exact"/>
        <w:ind w:firstLine="640"/>
        <w:jc w:val="center"/>
        <w:rPr>
          <w:rFonts w:ascii="宋体" w:hAnsi="宋体" w:cs="宋体"/>
          <w:b/>
          <w:sz w:val="32"/>
          <w:szCs w:val="32"/>
        </w:rPr>
      </w:pPr>
    </w:p>
    <w:p w14:paraId="5E8F85A5">
      <w:pPr>
        <w:pStyle w:val="33"/>
        <w:ind w:firstLine="210"/>
        <w:rPr>
          <w:rFonts w:ascii="宋体" w:hAnsi="宋体" w:cs="宋体"/>
        </w:rPr>
      </w:pPr>
    </w:p>
    <w:p w14:paraId="6CD04615">
      <w:pPr>
        <w:pStyle w:val="60"/>
        <w:rPr>
          <w:rFonts w:ascii="宋体" w:hAnsi="宋体" w:cs="宋体"/>
          <w:bCs/>
          <w:sz w:val="2"/>
          <w:szCs w:val="2"/>
        </w:rPr>
      </w:pPr>
    </w:p>
    <w:p w14:paraId="3A2CA5E6">
      <w:pPr>
        <w:ind w:firstLine="40"/>
        <w:rPr>
          <w:rFonts w:ascii="宋体" w:hAnsi="宋体" w:cs="宋体"/>
          <w:bCs/>
          <w:sz w:val="2"/>
          <w:szCs w:val="2"/>
        </w:rPr>
      </w:pPr>
    </w:p>
    <w:p w14:paraId="52C8C2B8">
      <w:pPr>
        <w:spacing w:line="20" w:lineRule="exact"/>
        <w:ind w:firstLine="40"/>
        <w:rPr>
          <w:rFonts w:ascii="宋体" w:hAnsi="宋体" w:cs="宋体"/>
          <w:bCs/>
          <w:sz w:val="2"/>
          <w:szCs w:val="2"/>
        </w:rPr>
      </w:pPr>
    </w:p>
    <w:p w14:paraId="1DFC6A1E">
      <w:pPr>
        <w:tabs>
          <w:tab w:val="left" w:pos="2700"/>
          <w:tab w:val="left" w:pos="2880"/>
          <w:tab w:val="left" w:pos="3060"/>
          <w:tab w:val="left" w:pos="7560"/>
        </w:tabs>
        <w:snapToGrid w:val="0"/>
        <w:spacing w:line="480" w:lineRule="auto"/>
        <w:ind w:firstLine="1928" w:firstLineChars="600"/>
        <w:rPr>
          <w:rFonts w:ascii="宋体" w:hAnsi="宋体" w:cs="宋体"/>
          <w:b/>
          <w:bCs/>
          <w:spacing w:val="-10"/>
          <w:sz w:val="34"/>
          <w:szCs w:val="34"/>
        </w:rPr>
      </w:pPr>
    </w:p>
    <w:p w14:paraId="39636B2C">
      <w:pPr>
        <w:tabs>
          <w:tab w:val="left" w:pos="2700"/>
          <w:tab w:val="left" w:pos="2880"/>
          <w:tab w:val="left" w:pos="3060"/>
          <w:tab w:val="left" w:pos="7560"/>
        </w:tabs>
        <w:snapToGrid w:val="0"/>
        <w:spacing w:line="480" w:lineRule="auto"/>
        <w:ind w:firstLine="1928" w:firstLineChars="600"/>
        <w:rPr>
          <w:rFonts w:ascii="宋体" w:hAnsi="宋体" w:cs="宋体"/>
          <w:b/>
          <w:bCs/>
          <w:spacing w:val="-10"/>
          <w:sz w:val="34"/>
          <w:szCs w:val="34"/>
        </w:rPr>
      </w:pPr>
    </w:p>
    <w:p w14:paraId="105328E4">
      <w:pPr>
        <w:tabs>
          <w:tab w:val="left" w:pos="2700"/>
          <w:tab w:val="left" w:pos="2880"/>
          <w:tab w:val="left" w:pos="3060"/>
          <w:tab w:val="left" w:pos="7560"/>
        </w:tabs>
        <w:snapToGrid w:val="0"/>
        <w:spacing w:line="480" w:lineRule="auto"/>
        <w:ind w:firstLine="643"/>
        <w:jc w:val="left"/>
        <w:rPr>
          <w:rFonts w:ascii="宋体" w:hAnsi="宋体" w:cs="宋体"/>
          <w:b/>
          <w:bCs/>
          <w:spacing w:val="80"/>
          <w:sz w:val="34"/>
          <w:szCs w:val="34"/>
        </w:rPr>
      </w:pPr>
      <w:r>
        <w:rPr>
          <w:rFonts w:hint="eastAsia" w:ascii="宋体" w:hAnsi="宋体" w:cs="宋体"/>
          <w:b/>
          <w:bCs/>
          <w:spacing w:val="-10"/>
          <w:sz w:val="34"/>
          <w:szCs w:val="34"/>
        </w:rPr>
        <w:t xml:space="preserve">      采    购   人：驻马店市中心医院</w:t>
      </w:r>
    </w:p>
    <w:p w14:paraId="0978F971">
      <w:pPr>
        <w:tabs>
          <w:tab w:val="left" w:pos="2700"/>
          <w:tab w:val="left" w:pos="2880"/>
          <w:tab w:val="left" w:pos="3060"/>
          <w:tab w:val="left" w:pos="7560"/>
        </w:tabs>
        <w:snapToGrid w:val="0"/>
        <w:spacing w:line="480" w:lineRule="auto"/>
        <w:ind w:firstLine="643"/>
        <w:jc w:val="center"/>
        <w:rPr>
          <w:rFonts w:ascii="宋体" w:hAnsi="宋体" w:cs="宋体"/>
          <w:b/>
          <w:bCs/>
          <w:spacing w:val="-10"/>
          <w:sz w:val="34"/>
          <w:szCs w:val="34"/>
        </w:rPr>
      </w:pPr>
      <w:r>
        <w:rPr>
          <w:rFonts w:hint="eastAsia" w:ascii="宋体" w:hAnsi="宋体" w:cs="宋体"/>
          <w:b/>
          <w:bCs/>
          <w:spacing w:val="-10"/>
          <w:sz w:val="34"/>
          <w:szCs w:val="34"/>
        </w:rPr>
        <w:t xml:space="preserve">    采购代理机构：驻马店市成浩招投标代理有限公司</w:t>
      </w:r>
    </w:p>
    <w:p w14:paraId="56E296FD">
      <w:pPr>
        <w:tabs>
          <w:tab w:val="left" w:pos="2700"/>
          <w:tab w:val="left" w:pos="2880"/>
          <w:tab w:val="left" w:pos="3060"/>
          <w:tab w:val="left" w:pos="7560"/>
        </w:tabs>
        <w:snapToGrid w:val="0"/>
        <w:spacing w:line="480" w:lineRule="auto"/>
        <w:ind w:firstLine="643"/>
        <w:jc w:val="left"/>
        <w:rPr>
          <w:rFonts w:ascii="宋体" w:hAnsi="宋体" w:cs="宋体"/>
          <w:b/>
          <w:bCs/>
          <w:spacing w:val="-10"/>
          <w:sz w:val="34"/>
          <w:szCs w:val="34"/>
        </w:rPr>
      </w:pPr>
      <w:r>
        <w:rPr>
          <w:rFonts w:hint="eastAsia" w:ascii="宋体" w:hAnsi="宋体" w:cs="宋体"/>
          <w:b/>
          <w:bCs/>
          <w:spacing w:val="-10"/>
          <w:sz w:val="34"/>
          <w:szCs w:val="34"/>
        </w:rPr>
        <w:t xml:space="preserve">      日         期：2025年12月</w:t>
      </w:r>
    </w:p>
    <w:p w14:paraId="5E452E3C">
      <w:pPr>
        <w:ind w:firstLine="482"/>
        <w:rPr>
          <w:rFonts w:ascii="宋体" w:hAnsi="宋体" w:cs="宋体"/>
          <w:bCs/>
          <w:sz w:val="24"/>
        </w:rPr>
      </w:pPr>
    </w:p>
    <w:p w14:paraId="1B1AF016">
      <w:pPr>
        <w:ind w:firstLine="720"/>
        <w:jc w:val="center"/>
        <w:rPr>
          <w:rFonts w:ascii="宋体" w:hAnsi="宋体" w:cs="宋体"/>
          <w:b/>
          <w:bCs/>
          <w:sz w:val="36"/>
          <w:szCs w:val="36"/>
        </w:rPr>
      </w:pPr>
    </w:p>
    <w:p w14:paraId="5D8292E3">
      <w:pPr>
        <w:ind w:firstLine="723"/>
        <w:jc w:val="center"/>
        <w:rPr>
          <w:rFonts w:ascii="宋体" w:hAnsi="宋体" w:cs="宋体"/>
          <w:b/>
          <w:bCs/>
          <w:sz w:val="36"/>
          <w:szCs w:val="36"/>
        </w:rPr>
      </w:pPr>
      <w:r>
        <w:rPr>
          <w:rFonts w:hint="eastAsia" w:ascii="宋体" w:hAnsi="宋体" w:cs="宋体"/>
          <w:b/>
          <w:bCs/>
          <w:sz w:val="36"/>
          <w:szCs w:val="36"/>
        </w:rPr>
        <w:t>目   录</w:t>
      </w:r>
    </w:p>
    <w:p w14:paraId="33AAC80D">
      <w:pPr>
        <w:pStyle w:val="54"/>
        <w:rPr>
          <w:color w:val="auto"/>
        </w:rPr>
      </w:pPr>
    </w:p>
    <w:p w14:paraId="2CAD6368">
      <w:pPr>
        <w:pStyle w:val="26"/>
        <w:tabs>
          <w:tab w:val="right" w:leader="dot" w:pos="8958"/>
        </w:tabs>
        <w:spacing w:line="500" w:lineRule="exact"/>
        <w:rPr>
          <w:rFonts w:ascii="宋体" w:hAnsi="宋体" w:cs="宋体"/>
        </w:rPr>
      </w:pPr>
      <w:r>
        <w:rPr>
          <w:rFonts w:hint="eastAsia" w:ascii="宋体" w:hAnsi="宋体" w:cs="宋体"/>
          <w:b/>
          <w:bCs/>
          <w:sz w:val="32"/>
          <w:szCs w:val="32"/>
        </w:rPr>
        <w:fldChar w:fldCharType="begin"/>
      </w:r>
      <w:r>
        <w:rPr>
          <w:rFonts w:hint="eastAsia" w:ascii="宋体" w:hAnsi="宋体" w:cs="宋体"/>
          <w:b/>
          <w:bCs/>
          <w:sz w:val="32"/>
          <w:szCs w:val="32"/>
        </w:rPr>
        <w:instrText xml:space="preserve">TOC \o "1-1" \h \u </w:instrText>
      </w:r>
      <w:r>
        <w:rPr>
          <w:rFonts w:hint="eastAsia" w:ascii="宋体" w:hAnsi="宋体" w:cs="宋体"/>
          <w:b/>
          <w:bCs/>
          <w:sz w:val="32"/>
          <w:szCs w:val="32"/>
        </w:rPr>
        <w:fldChar w:fldCharType="separate"/>
      </w:r>
      <w:r>
        <w:fldChar w:fldCharType="begin"/>
      </w:r>
      <w:r>
        <w:instrText xml:space="preserve"> HYPERLINK \l "_Toc26528" </w:instrText>
      </w:r>
      <w:r>
        <w:fldChar w:fldCharType="separate"/>
      </w:r>
      <w:r>
        <w:rPr>
          <w:rFonts w:hint="eastAsia" w:ascii="宋体" w:hAnsi="宋体" w:cs="宋体"/>
          <w:szCs w:val="32"/>
        </w:rPr>
        <w:t>第一章  竞争性磋商采购公告</w:t>
      </w:r>
      <w:r>
        <w:rPr>
          <w:rFonts w:hint="eastAsia" w:ascii="宋体" w:hAnsi="宋体" w:cs="宋体"/>
        </w:rPr>
        <w:tab/>
      </w:r>
      <w:r>
        <w:rPr>
          <w:rFonts w:hint="eastAsia" w:ascii="宋体" w:hAnsi="宋体" w:cs="宋体"/>
        </w:rPr>
        <w:t>3</w:t>
      </w:r>
      <w:r>
        <w:rPr>
          <w:rFonts w:hint="eastAsia" w:ascii="宋体" w:hAnsi="宋体" w:cs="宋体"/>
        </w:rPr>
        <w:fldChar w:fldCharType="end"/>
      </w:r>
    </w:p>
    <w:p w14:paraId="6DF78D72">
      <w:pPr>
        <w:pStyle w:val="26"/>
        <w:tabs>
          <w:tab w:val="right" w:leader="dot" w:pos="8958"/>
        </w:tabs>
        <w:spacing w:line="500" w:lineRule="exact"/>
        <w:rPr>
          <w:rFonts w:ascii="宋体" w:hAnsi="宋体" w:cs="宋体"/>
        </w:rPr>
      </w:pPr>
      <w:r>
        <w:fldChar w:fldCharType="begin"/>
      </w:r>
      <w:r>
        <w:instrText xml:space="preserve"> HYPERLINK \l "_Toc19124" </w:instrText>
      </w:r>
      <w:r>
        <w:fldChar w:fldCharType="separate"/>
      </w:r>
      <w:r>
        <w:rPr>
          <w:rFonts w:hint="eastAsia" w:ascii="宋体" w:hAnsi="宋体" w:cs="宋体"/>
          <w:szCs w:val="32"/>
        </w:rPr>
        <w:t>第二章  采购需求</w:t>
      </w:r>
      <w:r>
        <w:rPr>
          <w:rFonts w:hint="eastAsia" w:ascii="宋体" w:hAnsi="宋体" w:cs="宋体"/>
        </w:rPr>
        <w:tab/>
      </w:r>
      <w:r>
        <w:rPr>
          <w:rFonts w:hint="eastAsia" w:ascii="宋体" w:hAnsi="宋体" w:cs="宋体"/>
        </w:rPr>
        <w:t>5</w:t>
      </w:r>
      <w:r>
        <w:rPr>
          <w:rFonts w:hint="eastAsia" w:ascii="宋体" w:hAnsi="宋体" w:cs="宋体"/>
        </w:rPr>
        <w:fldChar w:fldCharType="end"/>
      </w:r>
    </w:p>
    <w:p w14:paraId="3BF8965E">
      <w:pPr>
        <w:pStyle w:val="26"/>
        <w:tabs>
          <w:tab w:val="right" w:leader="dot" w:pos="8958"/>
        </w:tabs>
        <w:spacing w:line="500" w:lineRule="exact"/>
        <w:rPr>
          <w:rFonts w:ascii="宋体" w:hAnsi="宋体" w:cs="宋体"/>
        </w:rPr>
      </w:pPr>
      <w:r>
        <w:fldChar w:fldCharType="begin"/>
      </w:r>
      <w:r>
        <w:instrText xml:space="preserve"> HYPERLINK \l "_Toc8501" </w:instrText>
      </w:r>
      <w:r>
        <w:fldChar w:fldCharType="separate"/>
      </w:r>
      <w:r>
        <w:rPr>
          <w:rFonts w:hint="eastAsia" w:ascii="宋体" w:hAnsi="宋体" w:cs="宋体"/>
          <w:bCs/>
          <w:szCs w:val="32"/>
        </w:rPr>
        <w:t>第三章  供应商须知</w:t>
      </w:r>
      <w:r>
        <w:rPr>
          <w:rFonts w:hint="eastAsia" w:ascii="宋体" w:hAnsi="宋体" w:cs="宋体"/>
        </w:rPr>
        <w:tab/>
      </w:r>
      <w:r>
        <w:rPr>
          <w:rFonts w:hint="eastAsia" w:ascii="宋体" w:hAnsi="宋体" w:cs="宋体"/>
        </w:rPr>
        <w:t>8</w:t>
      </w:r>
      <w:r>
        <w:rPr>
          <w:rFonts w:hint="eastAsia" w:ascii="宋体" w:hAnsi="宋体" w:cs="宋体"/>
        </w:rPr>
        <w:fldChar w:fldCharType="end"/>
      </w:r>
    </w:p>
    <w:p w14:paraId="5383E649">
      <w:pPr>
        <w:pStyle w:val="26"/>
        <w:tabs>
          <w:tab w:val="right" w:leader="dot" w:pos="8958"/>
        </w:tabs>
        <w:spacing w:line="500" w:lineRule="exact"/>
        <w:rPr>
          <w:rFonts w:ascii="宋体" w:hAnsi="宋体" w:cs="宋体"/>
        </w:rPr>
      </w:pPr>
      <w:r>
        <w:fldChar w:fldCharType="begin"/>
      </w:r>
      <w:r>
        <w:instrText xml:space="preserve"> HYPERLINK \l "_Toc31399" </w:instrText>
      </w:r>
      <w:r>
        <w:fldChar w:fldCharType="separate"/>
      </w:r>
      <w:r>
        <w:rPr>
          <w:rFonts w:hint="eastAsia" w:ascii="宋体" w:hAnsi="宋体" w:cs="宋体"/>
          <w:bCs/>
          <w:kern w:val="0"/>
          <w:szCs w:val="32"/>
        </w:rPr>
        <w:t>第四章  评标办法及评分标准</w:t>
      </w:r>
      <w:r>
        <w:rPr>
          <w:rFonts w:hint="eastAsia" w:ascii="宋体" w:hAnsi="宋体" w:cs="宋体"/>
        </w:rPr>
        <w:tab/>
      </w:r>
      <w:r>
        <w:rPr>
          <w:rFonts w:hint="eastAsia" w:ascii="宋体" w:hAnsi="宋体" w:cs="宋体"/>
        </w:rPr>
        <w:t>19</w:t>
      </w:r>
      <w:r>
        <w:rPr>
          <w:rFonts w:hint="eastAsia" w:ascii="宋体" w:hAnsi="宋体" w:cs="宋体"/>
        </w:rPr>
        <w:fldChar w:fldCharType="end"/>
      </w:r>
    </w:p>
    <w:p w14:paraId="53D3AB94">
      <w:pPr>
        <w:pStyle w:val="26"/>
        <w:tabs>
          <w:tab w:val="right" w:leader="dot" w:pos="8958"/>
        </w:tabs>
        <w:spacing w:line="500" w:lineRule="exact"/>
        <w:rPr>
          <w:rFonts w:ascii="宋体" w:hAnsi="宋体" w:cs="宋体"/>
        </w:rPr>
      </w:pPr>
      <w:r>
        <w:fldChar w:fldCharType="begin"/>
      </w:r>
      <w:r>
        <w:instrText xml:space="preserve"> HYPERLINK \l "_Toc11904" </w:instrText>
      </w:r>
      <w:r>
        <w:fldChar w:fldCharType="separate"/>
      </w:r>
      <w:r>
        <w:rPr>
          <w:rFonts w:hint="eastAsia" w:ascii="宋体" w:hAnsi="宋体" w:cs="宋体"/>
          <w:szCs w:val="28"/>
        </w:rPr>
        <w:t>第五章  采购合同</w:t>
      </w:r>
      <w:r>
        <w:rPr>
          <w:rFonts w:hint="eastAsia" w:ascii="宋体" w:hAnsi="宋体" w:cs="宋体"/>
        </w:rPr>
        <w:tab/>
      </w:r>
      <w:r>
        <w:rPr>
          <w:rFonts w:hint="eastAsia" w:ascii="宋体" w:hAnsi="宋体" w:cs="宋体"/>
        </w:rPr>
        <w:t>21</w:t>
      </w:r>
      <w:r>
        <w:rPr>
          <w:rFonts w:hint="eastAsia" w:ascii="宋体" w:hAnsi="宋体" w:cs="宋体"/>
        </w:rPr>
        <w:fldChar w:fldCharType="end"/>
      </w:r>
    </w:p>
    <w:p w14:paraId="21B1D020">
      <w:pPr>
        <w:pStyle w:val="26"/>
        <w:tabs>
          <w:tab w:val="right" w:leader="dot" w:pos="8958"/>
        </w:tabs>
        <w:spacing w:line="500" w:lineRule="exact"/>
      </w:pPr>
      <w:r>
        <w:fldChar w:fldCharType="begin"/>
      </w:r>
      <w:r>
        <w:instrText xml:space="preserve"> HYPERLINK \l "_Toc18702" </w:instrText>
      </w:r>
      <w:r>
        <w:fldChar w:fldCharType="separate"/>
      </w:r>
      <w:r>
        <w:rPr>
          <w:rFonts w:hint="eastAsia" w:ascii="宋体" w:hAnsi="宋体" w:cs="宋体"/>
          <w:szCs w:val="32"/>
        </w:rPr>
        <w:t>第六章  响应文件格式</w:t>
      </w:r>
      <w:r>
        <w:rPr>
          <w:rFonts w:hint="eastAsia" w:ascii="宋体" w:hAnsi="宋体" w:cs="宋体"/>
        </w:rPr>
        <w:tab/>
      </w:r>
      <w:r>
        <w:rPr>
          <w:rFonts w:hint="eastAsia" w:ascii="宋体" w:hAnsi="宋体" w:cs="宋体"/>
        </w:rPr>
        <w:t>22</w:t>
      </w:r>
      <w:r>
        <w:rPr>
          <w:rFonts w:hint="eastAsia" w:ascii="宋体" w:hAnsi="宋体" w:cs="宋体"/>
        </w:rPr>
        <w:fldChar w:fldCharType="end"/>
      </w:r>
    </w:p>
    <w:p w14:paraId="2578807B">
      <w:pPr>
        <w:pStyle w:val="84"/>
        <w:tabs>
          <w:tab w:val="right" w:leader="dot" w:pos="8300"/>
        </w:tabs>
        <w:snapToGrid w:val="0"/>
        <w:spacing w:line="360" w:lineRule="auto"/>
        <w:rPr>
          <w:rFonts w:ascii="宋体" w:hAnsi="宋体" w:cs="宋体"/>
          <w:sz w:val="32"/>
          <w:szCs w:val="32"/>
        </w:rPr>
      </w:pPr>
      <w:r>
        <w:rPr>
          <w:rFonts w:hint="eastAsia" w:ascii="宋体" w:hAnsi="宋体" w:cs="宋体"/>
          <w:bCs/>
          <w:szCs w:val="32"/>
        </w:rPr>
        <w:fldChar w:fldCharType="end"/>
      </w:r>
    </w:p>
    <w:p w14:paraId="080CE032">
      <w:pPr>
        <w:spacing w:line="440" w:lineRule="exact"/>
        <w:ind w:firstLine="640"/>
        <w:rPr>
          <w:rFonts w:ascii="宋体" w:hAnsi="宋体" w:cs="宋体"/>
          <w:b/>
          <w:sz w:val="32"/>
          <w:szCs w:val="32"/>
        </w:rPr>
      </w:pPr>
    </w:p>
    <w:p w14:paraId="0FD888C8">
      <w:pPr>
        <w:spacing w:line="360" w:lineRule="auto"/>
        <w:ind w:firstLine="2409" w:firstLineChars="600"/>
        <w:rPr>
          <w:rFonts w:ascii="宋体" w:hAnsi="宋体" w:cs="宋体"/>
          <w:b/>
          <w:sz w:val="40"/>
          <w:szCs w:val="40"/>
        </w:rPr>
        <w:sectPr>
          <w:headerReference r:id="rId3" w:type="default"/>
          <w:footerReference r:id="rId4" w:type="default"/>
          <w:pgSz w:w="11906" w:h="16838"/>
          <w:pgMar w:top="1417" w:right="1474" w:bottom="1417" w:left="1474" w:header="851" w:footer="624" w:gutter="0"/>
          <w:pgNumType w:start="1"/>
          <w:cols w:space="720" w:num="1"/>
          <w:docGrid w:type="lines" w:linePitch="319" w:charSpace="0"/>
        </w:sectPr>
      </w:pPr>
    </w:p>
    <w:p w14:paraId="35B316FC">
      <w:pPr>
        <w:spacing w:line="360" w:lineRule="auto"/>
        <w:ind w:firstLine="643"/>
        <w:jc w:val="center"/>
        <w:outlineLvl w:val="0"/>
        <w:rPr>
          <w:rFonts w:ascii="宋体" w:hAnsi="宋体" w:cs="宋体"/>
          <w:b/>
          <w:sz w:val="32"/>
          <w:szCs w:val="32"/>
        </w:rPr>
      </w:pPr>
      <w:bookmarkStart w:id="0" w:name="_Toc26528"/>
      <w:r>
        <w:rPr>
          <w:rFonts w:hint="eastAsia" w:ascii="宋体" w:hAnsi="宋体" w:cs="宋体"/>
          <w:b/>
          <w:sz w:val="32"/>
          <w:szCs w:val="32"/>
        </w:rPr>
        <w:t>第一章  竞争性磋商采购公告</w:t>
      </w:r>
      <w:bookmarkEnd w:id="0"/>
    </w:p>
    <w:p w14:paraId="765CC8F8">
      <w:pPr>
        <w:widowControl/>
        <w:adjustRightInd w:val="0"/>
        <w:snapToGrid w:val="0"/>
        <w:spacing w:line="324" w:lineRule="auto"/>
        <w:ind w:firstLine="562"/>
        <w:jc w:val="center"/>
        <w:rPr>
          <w:rFonts w:ascii="宋体" w:hAnsi="宋体" w:cs="宋体"/>
          <w:b/>
          <w:kern w:val="0"/>
          <w:sz w:val="28"/>
          <w:szCs w:val="28"/>
        </w:rPr>
      </w:pPr>
      <w:r>
        <w:rPr>
          <w:rFonts w:hint="eastAsia" w:ascii="宋体" w:hAnsi="宋体" w:cs="宋体"/>
          <w:b/>
          <w:kern w:val="0"/>
          <w:sz w:val="28"/>
          <w:szCs w:val="28"/>
        </w:rPr>
        <w:t>驻马店市中心医院全自动化学免疫分析仪、心肺复苏机、温控银质针治疗仪采购项目包1、包2（</w:t>
      </w:r>
      <w:r>
        <w:rPr>
          <w:rFonts w:hint="eastAsia" w:ascii="宋体" w:hAnsi="宋体" w:cs="宋体"/>
          <w:b/>
          <w:kern w:val="0"/>
          <w:sz w:val="28"/>
          <w:szCs w:val="28"/>
          <w:lang w:val="en-US" w:eastAsia="zh-CN"/>
        </w:rPr>
        <w:t>三</w:t>
      </w:r>
      <w:r>
        <w:rPr>
          <w:rFonts w:hint="eastAsia" w:ascii="宋体" w:hAnsi="宋体" w:cs="宋体"/>
          <w:b/>
          <w:kern w:val="0"/>
          <w:sz w:val="28"/>
          <w:szCs w:val="28"/>
        </w:rPr>
        <w:t>次）竞争性磋商公告</w:t>
      </w:r>
    </w:p>
    <w:p w14:paraId="32804651">
      <w:pPr>
        <w:snapToGrid w:val="0"/>
        <w:spacing w:line="324" w:lineRule="auto"/>
        <w:ind w:firstLine="420" w:firstLineChars="200"/>
        <w:rPr>
          <w:rFonts w:ascii="宋体" w:hAnsi="宋体" w:cs="宋体"/>
          <w:szCs w:val="21"/>
        </w:rPr>
      </w:pPr>
      <w:r>
        <w:rPr>
          <w:rFonts w:hint="eastAsia" w:ascii="宋体" w:hAnsi="宋体" w:cs="宋体"/>
        </w:rPr>
        <w:t>驻马店市中心医院现对驻马店市中心医院全自动化学免疫分析仪、心肺复苏机、温控银质针治疗仪采购项目包1、包2（</w:t>
      </w:r>
      <w:r>
        <w:rPr>
          <w:rFonts w:hint="eastAsia" w:ascii="宋体" w:hAnsi="宋体" w:cs="宋体"/>
          <w:lang w:val="en-US" w:eastAsia="zh-CN"/>
        </w:rPr>
        <w:t>三</w:t>
      </w:r>
      <w:r>
        <w:rPr>
          <w:rFonts w:hint="eastAsia" w:ascii="宋体" w:hAnsi="宋体" w:cs="宋体"/>
        </w:rPr>
        <w:t>次）进行院内竞争性磋商采购，欢迎符合资格条件的供应商前来报名并</w:t>
      </w:r>
      <w:r>
        <w:rPr>
          <w:rFonts w:hint="eastAsia" w:ascii="宋体" w:hAnsi="宋体" w:cs="宋体"/>
          <w:szCs w:val="21"/>
        </w:rPr>
        <w:t>获取采购文件。</w:t>
      </w:r>
    </w:p>
    <w:p w14:paraId="2C94FB42">
      <w:pPr>
        <w:snapToGrid w:val="0"/>
        <w:spacing w:line="324" w:lineRule="auto"/>
        <w:rPr>
          <w:rFonts w:ascii="宋体" w:hAnsi="宋体" w:cs="宋体"/>
          <w:b/>
        </w:rPr>
      </w:pPr>
      <w:r>
        <w:rPr>
          <w:rFonts w:hint="eastAsia" w:ascii="宋体" w:hAnsi="宋体" w:cs="宋体"/>
          <w:b/>
        </w:rPr>
        <w:t>一、项目基本情况</w:t>
      </w:r>
    </w:p>
    <w:p w14:paraId="46E4E8B1">
      <w:pPr>
        <w:snapToGrid w:val="0"/>
        <w:spacing w:line="324" w:lineRule="auto"/>
        <w:ind w:firstLine="420" w:firstLineChars="200"/>
        <w:rPr>
          <w:rFonts w:ascii="宋体" w:hAnsi="宋体" w:cs="宋体"/>
        </w:rPr>
      </w:pPr>
      <w:r>
        <w:rPr>
          <w:rFonts w:hint="eastAsia" w:ascii="宋体" w:hAnsi="宋体" w:cs="宋体"/>
        </w:rPr>
        <w:t>1、采购项目名称：驻马店市中心医院全自动化学免疫分析仪、心肺复苏机、温控银质针治疗仪采购项目包1、包2（</w:t>
      </w:r>
      <w:r>
        <w:rPr>
          <w:rFonts w:hint="eastAsia" w:ascii="宋体" w:hAnsi="宋体" w:cs="宋体"/>
          <w:lang w:val="en-US" w:eastAsia="zh-CN"/>
        </w:rPr>
        <w:t>三</w:t>
      </w:r>
      <w:r>
        <w:rPr>
          <w:rFonts w:hint="eastAsia" w:ascii="宋体" w:hAnsi="宋体" w:cs="宋体"/>
        </w:rPr>
        <w:t>次）</w:t>
      </w:r>
    </w:p>
    <w:p w14:paraId="1E988AA5">
      <w:pPr>
        <w:snapToGrid w:val="0"/>
        <w:spacing w:line="324" w:lineRule="auto"/>
        <w:ind w:firstLine="420" w:firstLineChars="200"/>
        <w:rPr>
          <w:rFonts w:ascii="宋体" w:hAnsi="宋体" w:cs="宋体"/>
        </w:rPr>
      </w:pPr>
      <w:r>
        <w:rPr>
          <w:rFonts w:hint="eastAsia" w:ascii="宋体" w:hAnsi="宋体" w:cs="宋体"/>
        </w:rPr>
        <w:t>2、采购需求：详见第二章采购需求</w:t>
      </w:r>
    </w:p>
    <w:p w14:paraId="1E417CAA">
      <w:pPr>
        <w:snapToGrid w:val="0"/>
        <w:spacing w:line="324" w:lineRule="auto"/>
        <w:ind w:firstLine="420" w:firstLineChars="200"/>
        <w:rPr>
          <w:rFonts w:hint="eastAsia" w:ascii="宋体" w:hAnsi="宋体" w:cs="宋体"/>
        </w:rPr>
      </w:pPr>
      <w:r>
        <w:rPr>
          <w:rFonts w:hint="eastAsia" w:ascii="宋体" w:hAnsi="宋体" w:cs="宋体"/>
        </w:rPr>
        <w:t>3</w:t>
      </w:r>
      <w:bookmarkStart w:id="1" w:name="_Toc26725"/>
      <w:r>
        <w:rPr>
          <w:rFonts w:hint="eastAsia" w:ascii="宋体" w:hAnsi="宋体" w:cs="宋体"/>
        </w:rPr>
        <w:t>、预算金额：402500元</w:t>
      </w:r>
    </w:p>
    <w:p w14:paraId="5259F88A">
      <w:pPr>
        <w:snapToGrid w:val="0"/>
        <w:spacing w:line="324" w:lineRule="auto"/>
        <w:ind w:firstLine="420" w:firstLineChars="200"/>
        <w:rPr>
          <w:rFonts w:ascii="宋体" w:hAnsi="宋体" w:cs="宋体"/>
        </w:rPr>
      </w:pPr>
      <w:r>
        <w:rPr>
          <w:rFonts w:hint="eastAsia" w:ascii="宋体" w:hAnsi="宋体" w:cs="宋体"/>
          <w:szCs w:val="21"/>
          <w:shd w:val="clear" w:color="auto" w:fill="FFFFFF"/>
        </w:rPr>
        <w:t xml:space="preserve">   包1预算：22500元</w:t>
      </w:r>
      <w:r>
        <w:rPr>
          <w:rFonts w:hint="eastAsia" w:ascii="宋体" w:hAnsi="宋体" w:cs="宋体"/>
        </w:rPr>
        <w:t>，</w:t>
      </w:r>
      <w:r>
        <w:rPr>
          <w:rFonts w:hint="eastAsia" w:ascii="宋体" w:hAnsi="宋体" w:cs="宋体"/>
          <w:szCs w:val="21"/>
          <w:shd w:val="clear" w:color="auto" w:fill="FFFFFF"/>
        </w:rPr>
        <w:t xml:space="preserve"> 包2预算：200000元</w:t>
      </w:r>
    </w:p>
    <w:p w14:paraId="60266BEE">
      <w:pPr>
        <w:snapToGrid w:val="0"/>
        <w:spacing w:line="324" w:lineRule="auto"/>
        <w:ind w:firstLine="420" w:firstLineChars="200"/>
        <w:rPr>
          <w:rFonts w:ascii="宋体" w:hAnsi="宋体" w:cs="宋体"/>
        </w:rPr>
      </w:pPr>
      <w:r>
        <w:rPr>
          <w:rFonts w:hint="eastAsia" w:ascii="宋体" w:hAnsi="宋体" w:cs="宋体"/>
        </w:rPr>
        <w:t>4、交货期：合同签订后30日内交货</w:t>
      </w:r>
    </w:p>
    <w:p w14:paraId="63727C43">
      <w:pPr>
        <w:snapToGrid w:val="0"/>
        <w:spacing w:line="324" w:lineRule="auto"/>
        <w:ind w:firstLine="420" w:firstLineChars="200"/>
        <w:rPr>
          <w:rFonts w:ascii="宋体" w:hAnsi="宋体" w:cs="宋体"/>
        </w:rPr>
      </w:pPr>
      <w:r>
        <w:rPr>
          <w:rFonts w:hint="eastAsia" w:ascii="宋体" w:hAnsi="宋体" w:cs="宋体"/>
        </w:rPr>
        <w:t>5、质量要求：符合国家质量标准、部颁标准、行业标准，满足磋商文件规定标准</w:t>
      </w:r>
    </w:p>
    <w:p w14:paraId="00951C01">
      <w:pPr>
        <w:widowControl/>
        <w:snapToGrid w:val="0"/>
        <w:spacing w:line="324" w:lineRule="auto"/>
        <w:jc w:val="left"/>
        <w:outlineLvl w:val="1"/>
        <w:rPr>
          <w:rFonts w:ascii="宋体" w:hAnsi="宋体" w:cs="宋体"/>
          <w:b/>
          <w:bCs/>
          <w:color w:val="000000" w:themeColor="text1"/>
          <w:szCs w:val="21"/>
          <w:shd w:val="clear" w:color="auto" w:fill="FFFFFF"/>
        </w:rPr>
      </w:pPr>
      <w:bookmarkStart w:id="2" w:name="_Toc27704"/>
      <w:bookmarkStart w:id="3" w:name="_Toc23626"/>
      <w:bookmarkStart w:id="4" w:name="_Toc16639"/>
      <w:bookmarkStart w:id="5" w:name="_Toc18607"/>
      <w:r>
        <w:rPr>
          <w:rFonts w:hint="eastAsia" w:ascii="宋体" w:hAnsi="宋体" w:cs="宋体"/>
          <w:b/>
          <w:bCs/>
          <w:color w:val="000000" w:themeColor="text1"/>
          <w:szCs w:val="21"/>
          <w:shd w:val="clear" w:color="auto" w:fill="FFFFFF"/>
        </w:rPr>
        <w:t>二、</w:t>
      </w:r>
      <w:bookmarkEnd w:id="1"/>
      <w:bookmarkEnd w:id="2"/>
      <w:bookmarkEnd w:id="3"/>
      <w:bookmarkEnd w:id="4"/>
      <w:bookmarkEnd w:id="5"/>
      <w:r>
        <w:rPr>
          <w:rFonts w:hint="eastAsia" w:ascii="宋体" w:hAnsi="宋体" w:cs="宋体"/>
          <w:b/>
          <w:bCs/>
          <w:color w:val="000000" w:themeColor="text1"/>
          <w:szCs w:val="21"/>
          <w:shd w:val="clear" w:color="auto" w:fill="FFFFFF"/>
        </w:rPr>
        <w:t>供应商资格要求：</w:t>
      </w:r>
    </w:p>
    <w:p w14:paraId="068E0416">
      <w:pPr>
        <w:widowControl/>
        <w:tabs>
          <w:tab w:val="left" w:pos="840"/>
        </w:tabs>
        <w:snapToGrid w:val="0"/>
        <w:spacing w:line="324" w:lineRule="auto"/>
        <w:ind w:firstLine="420" w:firstLineChars="200"/>
        <w:jc w:val="left"/>
        <w:rPr>
          <w:rFonts w:ascii="宋体" w:hAnsi="宋体" w:cs="宋体"/>
          <w:szCs w:val="21"/>
          <w:shd w:val="clear" w:color="auto" w:fill="FFFFFF"/>
        </w:rPr>
      </w:pPr>
      <w:bookmarkStart w:id="6" w:name="_Toc23395"/>
      <w:bookmarkStart w:id="7" w:name="_Toc9562"/>
      <w:bookmarkStart w:id="8" w:name="_Toc30971"/>
      <w:bookmarkStart w:id="9" w:name="_Toc7823"/>
      <w:bookmarkStart w:id="10" w:name="_Toc30643"/>
      <w:r>
        <w:rPr>
          <w:rFonts w:hint="eastAsia" w:ascii="宋体" w:hAnsi="宋体" w:cs="宋体"/>
          <w:szCs w:val="21"/>
          <w:shd w:val="clear" w:color="auto" w:fill="FFFFFF"/>
        </w:rPr>
        <w:t>1、具有独立承担民事责任的能力（提供营业执照或其他证明材料）；</w:t>
      </w:r>
    </w:p>
    <w:p w14:paraId="518FB14E">
      <w:pPr>
        <w:widowControl/>
        <w:tabs>
          <w:tab w:val="left" w:pos="840"/>
        </w:tabs>
        <w:snapToGrid w:val="0"/>
        <w:spacing w:line="324" w:lineRule="auto"/>
        <w:ind w:firstLine="420" w:firstLineChars="200"/>
        <w:jc w:val="left"/>
        <w:rPr>
          <w:rFonts w:ascii="宋体" w:hAnsi="宋体" w:cs="宋体"/>
          <w:szCs w:val="21"/>
          <w:shd w:val="clear" w:color="auto" w:fill="FFFFFF"/>
        </w:rPr>
      </w:pPr>
      <w:r>
        <w:rPr>
          <w:rFonts w:hint="eastAsia" w:ascii="宋体" w:hAnsi="宋体" w:cs="宋体"/>
          <w:szCs w:val="21"/>
          <w:shd w:val="clear" w:color="auto" w:fill="FFFFFF"/>
        </w:rPr>
        <w:t>2、具有良好的商业信誉和健全的财务会计制度（提供经审计的2024年度财务报告或者其基本开户银行出具的资信证明）；</w:t>
      </w:r>
    </w:p>
    <w:p w14:paraId="1BB637A6">
      <w:pPr>
        <w:widowControl/>
        <w:tabs>
          <w:tab w:val="left" w:pos="840"/>
        </w:tabs>
        <w:snapToGrid w:val="0"/>
        <w:spacing w:line="324" w:lineRule="auto"/>
        <w:ind w:firstLine="420" w:firstLineChars="200"/>
        <w:jc w:val="left"/>
        <w:rPr>
          <w:rFonts w:ascii="宋体" w:hAnsi="宋体" w:cs="宋体"/>
          <w:szCs w:val="21"/>
          <w:shd w:val="clear" w:color="auto" w:fill="FFFFFF"/>
        </w:rPr>
      </w:pPr>
      <w:r>
        <w:rPr>
          <w:rFonts w:hint="eastAsia" w:ascii="宋体" w:hAnsi="宋体" w:cs="宋体"/>
          <w:szCs w:val="21"/>
          <w:shd w:val="clear" w:color="auto" w:fill="FFFFFF"/>
        </w:rPr>
        <w:t>3、具有依法缴纳税收和社会保障资金的良好记录（提供采购活动近六个月任意一个月的依法缴纳税收和缴纳社保的证明；依法免税或不需要缴纳社会保障资金的，应提供相应文件证明其依法免税或不需要缴纳社会保障资金）。</w:t>
      </w:r>
    </w:p>
    <w:p w14:paraId="6E297505">
      <w:pPr>
        <w:widowControl/>
        <w:tabs>
          <w:tab w:val="left" w:pos="840"/>
        </w:tabs>
        <w:snapToGrid w:val="0"/>
        <w:spacing w:line="360" w:lineRule="auto"/>
        <w:ind w:firstLine="420" w:firstLineChars="200"/>
        <w:jc w:val="left"/>
        <w:rPr>
          <w:rFonts w:ascii="宋体" w:hAnsi="宋体" w:cs="宋体"/>
          <w:szCs w:val="21"/>
          <w:shd w:val="clear" w:color="auto" w:fill="FFFFFF"/>
        </w:rPr>
      </w:pPr>
      <w:r>
        <w:rPr>
          <w:rFonts w:hint="eastAsia" w:ascii="宋体" w:hAnsi="宋体" w:cs="宋体"/>
          <w:szCs w:val="21"/>
          <w:shd w:val="clear" w:color="auto" w:fill="FFFFFF"/>
        </w:rPr>
        <w:t>4、具有履行合同所必需的设备和专业技术能力（提供书面承诺函）；</w:t>
      </w:r>
    </w:p>
    <w:p w14:paraId="75DA8B06">
      <w:pPr>
        <w:widowControl/>
        <w:tabs>
          <w:tab w:val="left" w:pos="840"/>
        </w:tabs>
        <w:snapToGrid w:val="0"/>
        <w:spacing w:line="360" w:lineRule="auto"/>
        <w:ind w:firstLine="420" w:firstLineChars="200"/>
        <w:jc w:val="left"/>
      </w:pPr>
      <w:r>
        <w:rPr>
          <w:rFonts w:hint="eastAsia" w:ascii="宋体" w:hAnsi="宋体" w:cs="宋体"/>
          <w:szCs w:val="21"/>
          <w:shd w:val="clear" w:color="auto" w:fill="FFFFFF"/>
        </w:rPr>
        <w:t>5、参加本采购活动前三年内，在经营活动中没有重大违法记录（提供书面承诺函）；</w:t>
      </w:r>
    </w:p>
    <w:p w14:paraId="3049F13B">
      <w:pPr>
        <w:widowControl/>
        <w:tabs>
          <w:tab w:val="left" w:pos="840"/>
        </w:tabs>
        <w:snapToGrid w:val="0"/>
        <w:spacing w:line="324" w:lineRule="auto"/>
        <w:ind w:firstLine="420" w:firstLineChars="200"/>
        <w:jc w:val="left"/>
        <w:rPr>
          <w:rFonts w:ascii="宋体" w:hAnsi="宋体" w:cs="宋体"/>
          <w:szCs w:val="21"/>
          <w:shd w:val="clear" w:color="auto" w:fill="FFFFFF"/>
        </w:rPr>
      </w:pPr>
      <w:r>
        <w:rPr>
          <w:rFonts w:hint="eastAsia" w:ascii="宋体" w:hAnsi="宋体" w:cs="宋体"/>
          <w:szCs w:val="21"/>
          <w:shd w:val="clear" w:color="auto" w:fill="FFFFFF"/>
        </w:rPr>
        <w:t>6、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供应商提供的仅做为信用参考，以采购人或采购代理机构查询结果为准）；</w:t>
      </w:r>
    </w:p>
    <w:p w14:paraId="60615C53">
      <w:pPr>
        <w:widowControl/>
        <w:tabs>
          <w:tab w:val="left" w:pos="840"/>
        </w:tabs>
        <w:snapToGrid w:val="0"/>
        <w:spacing w:line="324" w:lineRule="auto"/>
        <w:ind w:firstLine="420" w:firstLineChars="200"/>
        <w:jc w:val="left"/>
        <w:rPr>
          <w:rFonts w:ascii="宋体" w:hAnsi="宋体" w:cs="宋体"/>
          <w:szCs w:val="21"/>
          <w:shd w:val="clear" w:color="auto" w:fill="FFFFFF"/>
        </w:rPr>
      </w:pPr>
      <w:r>
        <w:rPr>
          <w:rFonts w:hint="eastAsia" w:ascii="宋体" w:hAnsi="宋体" w:cs="宋体"/>
          <w:szCs w:val="21"/>
          <w:shd w:val="clear" w:color="auto" w:fill="FFFFFF"/>
        </w:rPr>
        <w:t>7、单位负责人为同一人或者存在直接控股、管理关系的不同供应商，不得参加同一合同项下的磋商（</w:t>
      </w:r>
      <w:r>
        <w:rPr>
          <w:rFonts w:hint="eastAsia" w:ascii="宋体" w:hAnsi="宋体" w:cs="宋体"/>
          <w:kern w:val="0"/>
          <w:szCs w:val="21"/>
        </w:rPr>
        <w:t>提供在“国家企业信用信息公示系统”中查询的相关材料并加盖公章（需包含公司基本信息、股东信息及股权变更信息）或提供承诺函</w:t>
      </w:r>
      <w:r>
        <w:rPr>
          <w:rFonts w:hint="eastAsia" w:ascii="宋体" w:hAnsi="宋体" w:cs="宋体"/>
          <w:szCs w:val="21"/>
          <w:shd w:val="clear" w:color="auto" w:fill="FFFFFF"/>
        </w:rPr>
        <w:t>）。一经发现，将导致投标同时被拒绝。</w:t>
      </w:r>
    </w:p>
    <w:p w14:paraId="3D139A85">
      <w:pPr>
        <w:widowControl/>
        <w:tabs>
          <w:tab w:val="left" w:pos="840"/>
        </w:tabs>
        <w:snapToGrid w:val="0"/>
        <w:spacing w:line="324" w:lineRule="auto"/>
        <w:ind w:firstLine="420" w:firstLineChars="200"/>
        <w:jc w:val="left"/>
        <w:rPr>
          <w:rFonts w:ascii="宋体" w:hAnsi="宋体" w:cs="宋体"/>
          <w:szCs w:val="21"/>
          <w:shd w:val="clear" w:color="auto" w:fill="FFFFFF"/>
        </w:rPr>
      </w:pPr>
      <w:r>
        <w:rPr>
          <w:rFonts w:hint="eastAsia" w:ascii="宋体" w:hAnsi="宋体" w:cs="宋体"/>
          <w:szCs w:val="21"/>
          <w:shd w:val="clear" w:color="auto" w:fill="FFFFFF"/>
        </w:rPr>
        <w:t>8、特定资格要求：</w:t>
      </w:r>
    </w:p>
    <w:p w14:paraId="66318231">
      <w:pPr>
        <w:widowControl/>
        <w:tabs>
          <w:tab w:val="left" w:pos="840"/>
        </w:tabs>
        <w:snapToGrid w:val="0"/>
        <w:spacing w:line="324" w:lineRule="auto"/>
        <w:ind w:firstLine="420" w:firstLineChars="200"/>
        <w:jc w:val="left"/>
        <w:rPr>
          <w:rFonts w:ascii="宋体" w:hAnsi="宋体" w:cs="宋体"/>
        </w:rPr>
      </w:pPr>
      <w:r>
        <w:rPr>
          <w:rFonts w:hint="eastAsia" w:ascii="宋体" w:hAnsi="宋体" w:cs="宋体"/>
        </w:rPr>
        <w:t>供应商为代理商（经销商）时，须具有医疗器械经营许可证或医疗器械经营备案凭证（从事第一类医疗器械经营活动的除外）；供应商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w:t>
      </w:r>
    </w:p>
    <w:p w14:paraId="50883A17">
      <w:pPr>
        <w:widowControl/>
        <w:tabs>
          <w:tab w:val="left" w:pos="840"/>
        </w:tabs>
        <w:snapToGrid w:val="0"/>
        <w:spacing w:line="324" w:lineRule="auto"/>
        <w:ind w:firstLine="420" w:firstLineChars="200"/>
        <w:jc w:val="left"/>
        <w:rPr>
          <w:rFonts w:ascii="宋体" w:hAnsi="宋体" w:cs="宋体"/>
          <w:szCs w:val="21"/>
          <w:shd w:val="clear" w:color="auto" w:fill="FFFFFF"/>
        </w:rPr>
      </w:pPr>
      <w:r>
        <w:rPr>
          <w:rFonts w:hint="eastAsia" w:ascii="宋体" w:hAnsi="宋体" w:cs="宋体"/>
          <w:szCs w:val="21"/>
          <w:shd w:val="clear" w:color="auto" w:fill="FFFFFF"/>
        </w:rPr>
        <w:t>9、不接受联合体磋商。</w:t>
      </w:r>
    </w:p>
    <w:p w14:paraId="7DEF178C">
      <w:pPr>
        <w:widowControl/>
        <w:snapToGrid w:val="0"/>
        <w:spacing w:line="324" w:lineRule="auto"/>
        <w:jc w:val="left"/>
        <w:outlineLvl w:val="1"/>
        <w:rPr>
          <w:rFonts w:ascii="宋体" w:hAnsi="宋体" w:cs="宋体"/>
          <w:b/>
          <w:bCs/>
        </w:rPr>
      </w:pPr>
      <w:r>
        <w:rPr>
          <w:rFonts w:hint="eastAsia" w:ascii="宋体" w:hAnsi="宋体" w:cs="宋体"/>
          <w:b/>
          <w:bCs/>
        </w:rPr>
        <w:t>三、获取采购文件</w:t>
      </w:r>
      <w:bookmarkEnd w:id="6"/>
      <w:bookmarkEnd w:id="7"/>
      <w:bookmarkEnd w:id="8"/>
      <w:bookmarkEnd w:id="9"/>
      <w:bookmarkEnd w:id="10"/>
    </w:p>
    <w:p w14:paraId="412DD8AF">
      <w:pPr>
        <w:widowControl/>
        <w:adjustRightInd w:val="0"/>
        <w:snapToGrid w:val="0"/>
        <w:spacing w:line="324" w:lineRule="auto"/>
        <w:ind w:firstLine="420" w:firstLineChars="200"/>
        <w:jc w:val="left"/>
        <w:rPr>
          <w:rFonts w:ascii="宋体" w:hAnsi="宋体" w:cs="宋体"/>
          <w:color w:val="000000" w:themeColor="text1"/>
          <w:szCs w:val="21"/>
          <w:shd w:val="clear" w:color="auto" w:fill="FFFFFF"/>
        </w:rPr>
      </w:pPr>
      <w:r>
        <w:rPr>
          <w:rFonts w:hint="eastAsia" w:ascii="宋体" w:hAnsi="宋体" w:cs="宋体"/>
          <w:szCs w:val="21"/>
          <w:shd w:val="clear" w:color="auto" w:fill="FFFFFF"/>
        </w:rPr>
        <w:t xml:space="preserve">1. </w:t>
      </w:r>
      <w:r>
        <w:rPr>
          <w:rFonts w:hint="eastAsia" w:ascii="宋体" w:hAnsi="宋体" w:cs="宋体"/>
          <w:color w:val="000000" w:themeColor="text1"/>
          <w:szCs w:val="21"/>
          <w:shd w:val="clear" w:color="auto" w:fill="FFFFFF"/>
        </w:rPr>
        <w:t>报名时间：2025年12月</w:t>
      </w:r>
      <w:r>
        <w:rPr>
          <w:rFonts w:hint="eastAsia" w:ascii="宋体" w:hAnsi="宋体" w:cs="宋体"/>
          <w:color w:val="000000" w:themeColor="text1"/>
          <w:szCs w:val="21"/>
          <w:shd w:val="clear" w:color="auto" w:fill="FFFFFF"/>
          <w:lang w:val="en-US" w:eastAsia="zh-CN"/>
        </w:rPr>
        <w:t>18</w:t>
      </w:r>
      <w:r>
        <w:rPr>
          <w:rFonts w:hint="eastAsia" w:ascii="宋体" w:hAnsi="宋体" w:cs="宋体"/>
          <w:color w:val="000000" w:themeColor="text1"/>
          <w:szCs w:val="21"/>
          <w:shd w:val="clear" w:color="auto" w:fill="FFFFFF"/>
        </w:rPr>
        <w:t>日-2025年12月</w:t>
      </w:r>
      <w:r>
        <w:rPr>
          <w:rFonts w:hint="eastAsia" w:ascii="宋体" w:hAnsi="宋体" w:cs="宋体"/>
          <w:color w:val="000000" w:themeColor="text1"/>
          <w:szCs w:val="21"/>
          <w:shd w:val="clear" w:color="auto" w:fill="FFFFFF"/>
          <w:lang w:val="en-US" w:eastAsia="zh-CN"/>
        </w:rPr>
        <w:t>22</w:t>
      </w:r>
      <w:r>
        <w:rPr>
          <w:rFonts w:hint="eastAsia" w:ascii="宋体" w:hAnsi="宋体" w:cs="宋体"/>
          <w:color w:val="000000" w:themeColor="text1"/>
          <w:szCs w:val="21"/>
          <w:shd w:val="clear" w:color="auto" w:fill="FFFFFF"/>
        </w:rPr>
        <w:t>日，上午08：00-下午17:30（北京时间，法定节假日除外）。</w:t>
      </w:r>
    </w:p>
    <w:p w14:paraId="3A62D0C3">
      <w:pPr>
        <w:widowControl/>
        <w:snapToGrid w:val="0"/>
        <w:spacing w:line="324" w:lineRule="auto"/>
        <w:ind w:firstLine="420" w:firstLineChars="200"/>
        <w:jc w:val="left"/>
        <w:rPr>
          <w:rFonts w:ascii="宋体" w:hAnsi="宋体" w:cs="宋体"/>
          <w:kern w:val="0"/>
          <w:szCs w:val="21"/>
        </w:rPr>
      </w:pPr>
      <w:r>
        <w:rPr>
          <w:rFonts w:hint="eastAsia" w:ascii="宋体" w:hAnsi="宋体" w:cs="宋体"/>
          <w:color w:val="000000" w:themeColor="text1"/>
          <w:kern w:val="0"/>
          <w:szCs w:val="21"/>
          <w:shd w:val="clear" w:color="auto" w:fill="FFFFFF"/>
        </w:rPr>
        <w:t>2. 凡报名成功的供应商无故不来参与投标的，列入我院黑名</w:t>
      </w:r>
      <w:r>
        <w:rPr>
          <w:rFonts w:hint="eastAsia" w:ascii="宋体" w:hAnsi="宋体" w:cs="宋体"/>
          <w:kern w:val="0"/>
          <w:szCs w:val="21"/>
          <w:shd w:val="clear" w:color="auto" w:fill="FFFFFF"/>
        </w:rPr>
        <w:t>单，一年内不得参与我院任何采购活动。</w:t>
      </w:r>
      <w:bookmarkStart w:id="101" w:name="_GoBack"/>
      <w:bookmarkEnd w:id="101"/>
    </w:p>
    <w:p w14:paraId="740DCFB7">
      <w:pPr>
        <w:widowControl/>
        <w:wordWrap w:val="0"/>
        <w:snapToGrid w:val="0"/>
        <w:spacing w:line="324" w:lineRule="auto"/>
        <w:ind w:firstLine="420" w:firstLineChars="200"/>
        <w:jc w:val="left"/>
        <w:rPr>
          <w:rFonts w:ascii="宋体" w:hAnsi="宋体" w:cs="宋体"/>
          <w:kern w:val="0"/>
          <w:szCs w:val="21"/>
          <w:u w:val="single"/>
          <w:shd w:val="clear" w:color="auto" w:fill="FFFFFF"/>
        </w:rPr>
      </w:pPr>
      <w:r>
        <w:rPr>
          <w:rFonts w:hint="eastAsia" w:ascii="宋体" w:hAnsi="宋体" w:cs="宋体"/>
          <w:kern w:val="0"/>
          <w:szCs w:val="21"/>
          <w:shd w:val="clear" w:color="auto" w:fill="FFFFFF"/>
        </w:rPr>
        <w:t>3. 采购文件获取方式：供应商须把填写完整的报名登记表及本磋商公告第二项供应商资格要求中需提供加盖单位公章的相关资料扫描件按序排版为PDF格式文件，发送至以下邮箱：</w:t>
      </w:r>
      <w:r>
        <w:fldChar w:fldCharType="begin"/>
      </w:r>
      <w:r>
        <w:instrText xml:space="preserve"> HYPERLINK "mailto:hnwxzb2@163.com并标明XX" </w:instrText>
      </w:r>
      <w:r>
        <w:fldChar w:fldCharType="separate"/>
      </w:r>
      <w:r>
        <w:rPr>
          <w:rFonts w:hint="eastAsia" w:ascii="宋体" w:hAnsi="宋体" w:cs="宋体"/>
          <w:kern w:val="0"/>
          <w:szCs w:val="21"/>
          <w:shd w:val="clear" w:color="auto" w:fill="FFFFFF"/>
        </w:rPr>
        <w:t>2155019208@qq.com,并标明XX公司XX</w:t>
      </w:r>
      <w:r>
        <w:rPr>
          <w:rFonts w:hint="eastAsia" w:ascii="宋体" w:hAnsi="宋体" w:cs="宋体"/>
          <w:kern w:val="0"/>
          <w:szCs w:val="21"/>
          <w:shd w:val="clear" w:color="auto" w:fill="FFFFFF"/>
        </w:rPr>
        <w:fldChar w:fldCharType="end"/>
      </w:r>
      <w:r>
        <w:rPr>
          <w:rFonts w:hint="eastAsia" w:ascii="宋体" w:hAnsi="宋体" w:cs="宋体"/>
          <w:kern w:val="0"/>
          <w:szCs w:val="21"/>
          <w:shd w:val="clear" w:color="auto" w:fill="FFFFFF"/>
        </w:rPr>
        <w:t>项目报名资料。</w:t>
      </w:r>
    </w:p>
    <w:p w14:paraId="7CD56108">
      <w:pPr>
        <w:widowControl/>
        <w:wordWrap w:val="0"/>
        <w:snapToGrid w:val="0"/>
        <w:spacing w:line="324" w:lineRule="auto"/>
        <w:ind w:left="420" w:leftChars="200"/>
        <w:jc w:val="left"/>
        <w:rPr>
          <w:rFonts w:ascii="宋体" w:hAnsi="宋体" w:cs="宋体"/>
          <w:kern w:val="0"/>
          <w:szCs w:val="21"/>
        </w:rPr>
      </w:pPr>
      <w:r>
        <w:rPr>
          <w:rFonts w:hint="eastAsia" w:ascii="宋体" w:hAnsi="宋体" w:cs="宋体"/>
          <w:kern w:val="0"/>
          <w:szCs w:val="21"/>
          <w:shd w:val="clear" w:color="auto" w:fill="FFFFFF"/>
        </w:rPr>
        <w:t>4. 报名登记表：请从附件中下载。</w:t>
      </w:r>
    </w:p>
    <w:p w14:paraId="60A76D70">
      <w:pPr>
        <w:widowControl/>
        <w:snapToGrid w:val="0"/>
        <w:spacing w:line="324" w:lineRule="auto"/>
        <w:jc w:val="left"/>
        <w:outlineLvl w:val="1"/>
        <w:rPr>
          <w:rFonts w:ascii="宋体" w:hAnsi="宋体" w:cs="宋体"/>
          <w:b/>
          <w:bCs/>
          <w:szCs w:val="21"/>
        </w:rPr>
      </w:pPr>
      <w:bookmarkStart w:id="11" w:name="_Toc15111"/>
      <w:bookmarkStart w:id="12" w:name="_Toc25869"/>
      <w:bookmarkStart w:id="13" w:name="_Toc15135"/>
      <w:bookmarkStart w:id="14" w:name="_Toc27480"/>
      <w:bookmarkStart w:id="15" w:name="_Toc10738"/>
      <w:r>
        <w:rPr>
          <w:rFonts w:hint="eastAsia" w:ascii="宋体" w:hAnsi="宋体" w:cs="宋体"/>
          <w:b/>
          <w:bCs/>
          <w:szCs w:val="21"/>
          <w:shd w:val="clear" w:color="auto" w:fill="FFFFFF"/>
        </w:rPr>
        <w:t>四、磋商截止时间及地点</w:t>
      </w:r>
      <w:bookmarkEnd w:id="11"/>
      <w:bookmarkEnd w:id="12"/>
      <w:bookmarkEnd w:id="13"/>
      <w:bookmarkEnd w:id="14"/>
      <w:bookmarkEnd w:id="15"/>
    </w:p>
    <w:p w14:paraId="10A718F9">
      <w:pPr>
        <w:widowControl/>
        <w:snapToGrid w:val="0"/>
        <w:spacing w:line="324" w:lineRule="auto"/>
        <w:ind w:firstLine="420" w:firstLineChars="200"/>
        <w:jc w:val="left"/>
        <w:rPr>
          <w:rFonts w:ascii="宋体" w:hAnsi="宋体" w:cs="宋体"/>
          <w:kern w:val="0"/>
          <w:szCs w:val="21"/>
        </w:rPr>
      </w:pPr>
      <w:r>
        <w:rPr>
          <w:rFonts w:hint="eastAsia" w:ascii="宋体" w:hAnsi="宋体" w:cs="宋体"/>
          <w:kern w:val="0"/>
          <w:szCs w:val="21"/>
          <w:shd w:val="clear" w:color="auto" w:fill="FFFFFF"/>
        </w:rPr>
        <w:t>1. 时间：</w:t>
      </w:r>
      <w:r>
        <w:rPr>
          <w:rFonts w:hint="eastAsia" w:ascii="宋体" w:hAnsi="宋体" w:cs="宋体"/>
          <w:szCs w:val="21"/>
        </w:rPr>
        <w:t>另行通知</w:t>
      </w:r>
      <w:r>
        <w:rPr>
          <w:rFonts w:hint="eastAsia" w:ascii="宋体" w:hAnsi="宋体" w:cs="宋体"/>
          <w:kern w:val="0"/>
          <w:szCs w:val="21"/>
          <w:shd w:val="clear" w:color="auto" w:fill="FFFFFF"/>
        </w:rPr>
        <w:t>。</w:t>
      </w:r>
    </w:p>
    <w:p w14:paraId="175B37BF">
      <w:pPr>
        <w:widowControl/>
        <w:snapToGrid w:val="0"/>
        <w:spacing w:line="324" w:lineRule="auto"/>
        <w:ind w:firstLine="420" w:firstLineChars="200"/>
        <w:jc w:val="left"/>
        <w:rPr>
          <w:rFonts w:ascii="宋体" w:hAnsi="宋体" w:cs="宋体"/>
          <w:kern w:val="0"/>
          <w:szCs w:val="21"/>
          <w:shd w:val="clear" w:color="auto" w:fill="FFFFFF"/>
        </w:rPr>
      </w:pPr>
      <w:r>
        <w:rPr>
          <w:rFonts w:hint="eastAsia" w:ascii="宋体" w:hAnsi="宋体" w:cs="宋体"/>
          <w:kern w:val="0"/>
          <w:szCs w:val="21"/>
          <w:shd w:val="clear" w:color="auto" w:fill="FFFFFF"/>
        </w:rPr>
        <w:t>2. 地点：</w:t>
      </w:r>
      <w:r>
        <w:rPr>
          <w:rFonts w:hint="eastAsia" w:ascii="宋体" w:hAnsi="宋体" w:cs="宋体"/>
          <w:szCs w:val="21"/>
        </w:rPr>
        <w:t>另行通知</w:t>
      </w:r>
      <w:r>
        <w:rPr>
          <w:rFonts w:hint="eastAsia" w:ascii="宋体" w:hAnsi="宋体" w:cs="宋体"/>
          <w:kern w:val="0"/>
          <w:szCs w:val="21"/>
          <w:shd w:val="clear" w:color="auto" w:fill="FFFFFF"/>
        </w:rPr>
        <w:t>。</w:t>
      </w:r>
    </w:p>
    <w:p w14:paraId="1E579EDE">
      <w:pPr>
        <w:widowControl/>
        <w:snapToGrid w:val="0"/>
        <w:spacing w:line="324" w:lineRule="auto"/>
        <w:jc w:val="left"/>
        <w:outlineLvl w:val="1"/>
        <w:rPr>
          <w:rFonts w:ascii="宋体" w:hAnsi="宋体" w:cs="宋体"/>
          <w:b/>
          <w:bCs/>
          <w:szCs w:val="21"/>
        </w:rPr>
      </w:pPr>
      <w:r>
        <w:rPr>
          <w:rFonts w:hint="eastAsia" w:ascii="宋体" w:hAnsi="宋体" w:cs="宋体"/>
          <w:b/>
          <w:bCs/>
          <w:szCs w:val="21"/>
          <w:shd w:val="clear" w:color="auto" w:fill="FFFFFF"/>
        </w:rPr>
        <w:t>五、磋商时间及地点</w:t>
      </w:r>
    </w:p>
    <w:p w14:paraId="6D32B1B8">
      <w:pPr>
        <w:widowControl/>
        <w:snapToGrid w:val="0"/>
        <w:spacing w:line="324" w:lineRule="auto"/>
        <w:ind w:firstLine="420" w:firstLineChars="200"/>
        <w:jc w:val="left"/>
        <w:rPr>
          <w:rFonts w:ascii="宋体" w:hAnsi="宋体" w:cs="宋体"/>
          <w:kern w:val="0"/>
          <w:szCs w:val="21"/>
        </w:rPr>
      </w:pPr>
      <w:r>
        <w:rPr>
          <w:rFonts w:hint="eastAsia" w:ascii="宋体" w:hAnsi="宋体" w:cs="宋体"/>
          <w:kern w:val="0"/>
          <w:szCs w:val="21"/>
          <w:shd w:val="clear" w:color="auto" w:fill="FFFFFF"/>
        </w:rPr>
        <w:t>1. 时间：</w:t>
      </w:r>
      <w:r>
        <w:rPr>
          <w:rFonts w:hint="eastAsia" w:ascii="宋体" w:hAnsi="宋体" w:cs="宋体"/>
          <w:szCs w:val="21"/>
        </w:rPr>
        <w:t>另行通知</w:t>
      </w:r>
      <w:r>
        <w:rPr>
          <w:rFonts w:hint="eastAsia" w:ascii="宋体" w:hAnsi="宋体" w:cs="宋体"/>
          <w:kern w:val="0"/>
          <w:szCs w:val="21"/>
          <w:shd w:val="clear" w:color="auto" w:fill="FFFFFF"/>
        </w:rPr>
        <w:t>。</w:t>
      </w:r>
    </w:p>
    <w:p w14:paraId="4D7184B6">
      <w:pPr>
        <w:widowControl/>
        <w:snapToGrid w:val="0"/>
        <w:spacing w:line="324" w:lineRule="auto"/>
        <w:ind w:firstLine="420" w:firstLineChars="200"/>
        <w:jc w:val="left"/>
        <w:rPr>
          <w:rFonts w:ascii="宋体" w:hAnsi="宋体" w:cs="宋体"/>
          <w:kern w:val="0"/>
          <w:szCs w:val="21"/>
          <w:shd w:val="clear" w:color="auto" w:fill="FFFFFF"/>
        </w:rPr>
      </w:pPr>
      <w:r>
        <w:rPr>
          <w:rFonts w:hint="eastAsia" w:ascii="宋体" w:hAnsi="宋体" w:cs="宋体"/>
          <w:kern w:val="0"/>
          <w:szCs w:val="21"/>
          <w:shd w:val="clear" w:color="auto" w:fill="FFFFFF"/>
        </w:rPr>
        <w:t>2. 地点：</w:t>
      </w:r>
      <w:r>
        <w:rPr>
          <w:rFonts w:hint="eastAsia" w:ascii="宋体" w:hAnsi="宋体" w:cs="宋体"/>
          <w:szCs w:val="21"/>
        </w:rPr>
        <w:t>另行通知</w:t>
      </w:r>
      <w:r>
        <w:rPr>
          <w:rFonts w:hint="eastAsia" w:ascii="宋体" w:hAnsi="宋体" w:cs="宋体"/>
          <w:kern w:val="0"/>
          <w:szCs w:val="21"/>
          <w:shd w:val="clear" w:color="auto" w:fill="FFFFFF"/>
        </w:rPr>
        <w:t>。</w:t>
      </w:r>
    </w:p>
    <w:p w14:paraId="04B4CBC1">
      <w:pPr>
        <w:widowControl/>
        <w:snapToGrid w:val="0"/>
        <w:spacing w:line="324" w:lineRule="auto"/>
        <w:jc w:val="left"/>
        <w:outlineLvl w:val="1"/>
        <w:rPr>
          <w:rFonts w:ascii="宋体" w:hAnsi="宋体" w:cs="宋体"/>
          <w:b/>
          <w:bCs/>
          <w:szCs w:val="21"/>
        </w:rPr>
      </w:pPr>
      <w:bookmarkStart w:id="16" w:name="_Toc6523"/>
      <w:bookmarkStart w:id="17" w:name="_Toc29784"/>
      <w:bookmarkStart w:id="18" w:name="_Toc30918"/>
      <w:bookmarkStart w:id="19" w:name="_Toc20287"/>
      <w:r>
        <w:rPr>
          <w:rFonts w:hint="eastAsia" w:ascii="宋体" w:hAnsi="宋体" w:cs="宋体"/>
          <w:b/>
          <w:bCs/>
          <w:szCs w:val="21"/>
          <w:shd w:val="clear" w:color="auto" w:fill="FFFFFF"/>
        </w:rPr>
        <w:t>六、发布公告的媒介及</w:t>
      </w:r>
      <w:r>
        <w:rPr>
          <w:rFonts w:hint="eastAsia" w:ascii="宋体" w:hAnsi="宋体" w:cs="宋体"/>
          <w:b/>
          <w:bCs/>
          <w:szCs w:val="21"/>
        </w:rPr>
        <w:t>采购</w:t>
      </w:r>
      <w:r>
        <w:rPr>
          <w:rFonts w:hint="eastAsia" w:ascii="宋体" w:hAnsi="宋体" w:cs="宋体"/>
          <w:b/>
          <w:bCs/>
          <w:szCs w:val="21"/>
          <w:shd w:val="clear" w:color="auto" w:fill="FFFFFF"/>
        </w:rPr>
        <w:t>公告期限</w:t>
      </w:r>
      <w:bookmarkEnd w:id="16"/>
      <w:bookmarkEnd w:id="17"/>
      <w:bookmarkEnd w:id="18"/>
      <w:bookmarkEnd w:id="19"/>
    </w:p>
    <w:p w14:paraId="4DBFE5FB">
      <w:pPr>
        <w:widowControl/>
        <w:snapToGrid w:val="0"/>
        <w:spacing w:line="324" w:lineRule="auto"/>
        <w:ind w:firstLine="420" w:firstLineChars="200"/>
        <w:jc w:val="left"/>
        <w:rPr>
          <w:rFonts w:ascii="宋体" w:hAnsi="宋体" w:cs="宋体"/>
          <w:kern w:val="0"/>
          <w:szCs w:val="21"/>
          <w:shd w:val="clear" w:color="auto" w:fill="FFFFFF"/>
        </w:rPr>
      </w:pPr>
      <w:r>
        <w:rPr>
          <w:rFonts w:hint="eastAsia" w:ascii="宋体" w:hAnsi="宋体" w:cs="宋体"/>
          <w:kern w:val="0"/>
          <w:szCs w:val="21"/>
          <w:shd w:val="clear" w:color="auto" w:fill="FFFFFF"/>
        </w:rPr>
        <w:t>本次</w:t>
      </w:r>
      <w:r>
        <w:rPr>
          <w:rFonts w:hint="eastAsia" w:ascii="宋体" w:hAnsi="宋体" w:cs="宋体"/>
          <w:szCs w:val="21"/>
        </w:rPr>
        <w:t>采购</w:t>
      </w:r>
      <w:r>
        <w:rPr>
          <w:rFonts w:hint="eastAsia" w:ascii="宋体" w:hAnsi="宋体" w:cs="宋体"/>
          <w:kern w:val="0"/>
          <w:szCs w:val="21"/>
          <w:shd w:val="clear" w:color="auto" w:fill="FFFFFF"/>
        </w:rPr>
        <w:t>公告在《驻马店市中心医院》院内网</w:t>
      </w:r>
      <w:r>
        <w:rPr>
          <w:rFonts w:hint="eastAsia" w:ascii="宋体" w:hAnsi="宋体" w:cs="宋体"/>
          <w:szCs w:val="21"/>
        </w:rPr>
        <w:t>上发布，采购公告期限为三个工作日</w:t>
      </w:r>
      <w:r>
        <w:rPr>
          <w:rFonts w:hint="eastAsia" w:ascii="宋体" w:hAnsi="宋体" w:cs="宋体"/>
          <w:kern w:val="0"/>
          <w:szCs w:val="21"/>
          <w:shd w:val="clear" w:color="auto" w:fill="FFFFFF"/>
        </w:rPr>
        <w:t>。</w:t>
      </w:r>
      <w:bookmarkStart w:id="20" w:name="_Toc35393795"/>
      <w:bookmarkStart w:id="21" w:name="_Toc35393626"/>
    </w:p>
    <w:bookmarkEnd w:id="20"/>
    <w:bookmarkEnd w:id="21"/>
    <w:p w14:paraId="3C62CB68">
      <w:pPr>
        <w:widowControl/>
        <w:snapToGrid w:val="0"/>
        <w:spacing w:line="324" w:lineRule="auto"/>
        <w:jc w:val="left"/>
        <w:outlineLvl w:val="1"/>
        <w:rPr>
          <w:rFonts w:ascii="宋体" w:hAnsi="宋体" w:cs="宋体"/>
          <w:b/>
          <w:bCs/>
          <w:szCs w:val="21"/>
        </w:rPr>
      </w:pPr>
      <w:bookmarkStart w:id="22" w:name="_Toc16291"/>
      <w:bookmarkStart w:id="23" w:name="_Toc3604"/>
      <w:bookmarkStart w:id="24" w:name="_Toc31928"/>
      <w:bookmarkStart w:id="25" w:name="_Toc24274"/>
      <w:bookmarkStart w:id="26" w:name="_Toc27370"/>
      <w:r>
        <w:rPr>
          <w:rFonts w:hint="eastAsia" w:ascii="宋体" w:hAnsi="宋体" w:cs="宋体"/>
          <w:b/>
          <w:bCs/>
          <w:szCs w:val="21"/>
          <w:shd w:val="clear" w:color="auto" w:fill="FFFFFF"/>
        </w:rPr>
        <w:t>七、</w:t>
      </w:r>
      <w:bookmarkEnd w:id="22"/>
      <w:bookmarkEnd w:id="23"/>
      <w:bookmarkEnd w:id="24"/>
      <w:bookmarkEnd w:id="25"/>
      <w:bookmarkEnd w:id="26"/>
      <w:r>
        <w:rPr>
          <w:rFonts w:hint="eastAsia" w:ascii="宋体" w:hAnsi="宋体" w:cs="宋体"/>
          <w:b/>
          <w:bCs/>
          <w:szCs w:val="21"/>
          <w:shd w:val="clear" w:color="auto" w:fill="FFFFFF"/>
        </w:rPr>
        <w:t>凡对本次招标提出询问，请按照以下方式联系</w:t>
      </w:r>
    </w:p>
    <w:p w14:paraId="154A1963">
      <w:pPr>
        <w:widowControl/>
        <w:snapToGrid w:val="0"/>
        <w:spacing w:line="324" w:lineRule="auto"/>
        <w:ind w:firstLine="420" w:firstLineChars="200"/>
        <w:jc w:val="left"/>
        <w:rPr>
          <w:rFonts w:ascii="宋体" w:hAnsi="宋体" w:cs="宋体"/>
          <w:kern w:val="0"/>
          <w:szCs w:val="21"/>
          <w:shd w:val="clear" w:color="auto" w:fill="FFFFFF"/>
        </w:rPr>
      </w:pPr>
      <w:r>
        <w:rPr>
          <w:rFonts w:hint="eastAsia" w:ascii="宋体" w:hAnsi="宋体" w:cs="宋体"/>
          <w:kern w:val="0"/>
          <w:szCs w:val="21"/>
          <w:shd w:val="clear" w:color="auto" w:fill="FFFFFF"/>
        </w:rPr>
        <w:t>1.采购人：驻马店市中心医院</w:t>
      </w:r>
    </w:p>
    <w:p w14:paraId="233BD2D3">
      <w:pPr>
        <w:widowControl/>
        <w:snapToGrid w:val="0"/>
        <w:spacing w:line="324" w:lineRule="auto"/>
        <w:ind w:firstLine="420" w:firstLineChars="200"/>
        <w:jc w:val="left"/>
        <w:rPr>
          <w:rFonts w:ascii="宋体" w:hAnsi="宋体" w:cs="宋体"/>
          <w:kern w:val="0"/>
          <w:szCs w:val="21"/>
          <w:shd w:val="clear" w:color="auto" w:fill="FFFFFF"/>
        </w:rPr>
      </w:pPr>
      <w:r>
        <w:rPr>
          <w:rFonts w:hint="eastAsia" w:ascii="宋体" w:hAnsi="宋体" w:cs="宋体"/>
          <w:kern w:val="0"/>
          <w:szCs w:val="21"/>
          <w:shd w:val="clear" w:color="auto" w:fill="FFFFFF"/>
        </w:rPr>
        <w:t xml:space="preserve">  地址：驻马店市中华大道747号</w:t>
      </w:r>
    </w:p>
    <w:p w14:paraId="7967AAC7">
      <w:pPr>
        <w:widowControl/>
        <w:snapToGrid w:val="0"/>
        <w:spacing w:line="324" w:lineRule="auto"/>
        <w:ind w:firstLine="420" w:firstLineChars="200"/>
        <w:jc w:val="left"/>
        <w:rPr>
          <w:rFonts w:ascii="宋体" w:hAnsi="宋体" w:cs="宋体"/>
          <w:kern w:val="0"/>
          <w:szCs w:val="21"/>
          <w:shd w:val="clear" w:color="auto" w:fill="FFFFFF"/>
        </w:rPr>
      </w:pPr>
      <w:r>
        <w:rPr>
          <w:rFonts w:hint="eastAsia" w:ascii="宋体" w:hAnsi="宋体" w:cs="宋体"/>
          <w:kern w:val="0"/>
          <w:szCs w:val="21"/>
          <w:shd w:val="clear" w:color="auto" w:fill="FFFFFF"/>
        </w:rPr>
        <w:t xml:space="preserve">  联系人：陈先生</w:t>
      </w:r>
    </w:p>
    <w:p w14:paraId="1100FE5A">
      <w:pPr>
        <w:widowControl/>
        <w:snapToGrid w:val="0"/>
        <w:spacing w:line="324" w:lineRule="auto"/>
        <w:ind w:firstLine="420" w:firstLineChars="200"/>
        <w:jc w:val="left"/>
        <w:rPr>
          <w:rFonts w:ascii="宋体" w:hAnsi="宋体" w:cs="宋体"/>
          <w:kern w:val="0"/>
          <w:szCs w:val="21"/>
          <w:shd w:val="clear" w:color="auto" w:fill="FFFFFF"/>
        </w:rPr>
      </w:pPr>
      <w:r>
        <w:rPr>
          <w:rFonts w:hint="eastAsia" w:ascii="宋体" w:hAnsi="宋体" w:cs="宋体"/>
          <w:kern w:val="0"/>
          <w:szCs w:val="21"/>
          <w:shd w:val="clear" w:color="auto" w:fill="FFFFFF"/>
        </w:rPr>
        <w:t xml:space="preserve">  电话：0396-2726379</w:t>
      </w:r>
    </w:p>
    <w:p w14:paraId="3938D3E4">
      <w:pPr>
        <w:widowControl/>
        <w:snapToGrid w:val="0"/>
        <w:spacing w:line="324" w:lineRule="auto"/>
        <w:ind w:firstLine="420" w:firstLineChars="200"/>
        <w:jc w:val="left"/>
        <w:rPr>
          <w:rFonts w:ascii="宋体" w:hAnsi="宋体" w:cs="宋体"/>
          <w:kern w:val="0"/>
          <w:szCs w:val="21"/>
          <w:shd w:val="clear" w:color="auto" w:fill="FFFFFF"/>
        </w:rPr>
      </w:pPr>
      <w:r>
        <w:rPr>
          <w:rFonts w:hint="eastAsia" w:ascii="宋体" w:hAnsi="宋体" w:cs="宋体"/>
          <w:kern w:val="0"/>
          <w:szCs w:val="21"/>
          <w:shd w:val="clear" w:color="auto" w:fill="FFFFFF"/>
        </w:rPr>
        <w:t>2.采购代理机构：驻马店市成浩招投标代理有限公司</w:t>
      </w:r>
    </w:p>
    <w:p w14:paraId="7E35CB45">
      <w:pPr>
        <w:widowControl/>
        <w:shd w:val="clear" w:color="auto" w:fill="FFFFFF"/>
        <w:spacing w:line="360" w:lineRule="auto"/>
        <w:ind w:firstLine="422"/>
        <w:rPr>
          <w:rFonts w:ascii="宋体" w:hAnsi="宋体" w:cs="宋体"/>
          <w:kern w:val="0"/>
          <w:szCs w:val="21"/>
          <w:shd w:val="clear" w:color="auto" w:fill="FFFFFF"/>
        </w:rPr>
      </w:pPr>
      <w:r>
        <w:rPr>
          <w:rFonts w:hint="eastAsia" w:ascii="宋体" w:hAnsi="宋体" w:cs="宋体"/>
          <w:kern w:val="0"/>
          <w:szCs w:val="21"/>
          <w:shd w:val="clear" w:color="auto" w:fill="FFFFFF"/>
        </w:rPr>
        <w:t xml:space="preserve">  地址：驻马店市金盾路8号开发区五小公寓楼东单元6楼西户</w:t>
      </w:r>
    </w:p>
    <w:p w14:paraId="25613EC9">
      <w:pPr>
        <w:widowControl/>
        <w:shd w:val="clear" w:color="auto" w:fill="FFFFFF"/>
        <w:spacing w:line="360" w:lineRule="auto"/>
        <w:ind w:firstLine="422"/>
        <w:rPr>
          <w:rFonts w:ascii="宋体" w:hAnsi="宋体" w:cs="宋体"/>
          <w:kern w:val="0"/>
          <w:szCs w:val="21"/>
          <w:shd w:val="clear" w:color="auto" w:fill="FFFFFF"/>
        </w:rPr>
      </w:pPr>
      <w:r>
        <w:rPr>
          <w:rFonts w:hint="eastAsia" w:ascii="宋体" w:hAnsi="宋体" w:cs="宋体"/>
          <w:kern w:val="0"/>
          <w:szCs w:val="21"/>
          <w:shd w:val="clear" w:color="auto" w:fill="FFFFFF"/>
        </w:rPr>
        <w:t xml:space="preserve">  联系人：方女士</w:t>
      </w:r>
    </w:p>
    <w:p w14:paraId="4DCB3A16">
      <w:pPr>
        <w:widowControl/>
        <w:shd w:val="clear" w:color="auto" w:fill="FFFFFF"/>
        <w:spacing w:line="360" w:lineRule="auto"/>
        <w:ind w:firstLine="422"/>
        <w:rPr>
          <w:rFonts w:ascii="宋体" w:hAnsi="宋体" w:cs="宋体"/>
          <w:kern w:val="0"/>
          <w:szCs w:val="21"/>
          <w:shd w:val="clear" w:color="auto" w:fill="FFFFFF"/>
        </w:rPr>
      </w:pPr>
      <w:r>
        <w:rPr>
          <w:rFonts w:hint="eastAsia" w:ascii="宋体" w:hAnsi="宋体" w:cs="宋体"/>
          <w:kern w:val="0"/>
          <w:szCs w:val="21"/>
          <w:shd w:val="clear" w:color="auto" w:fill="FFFFFF"/>
        </w:rPr>
        <w:t xml:space="preserve">  联系方式：17739698825</w:t>
      </w:r>
    </w:p>
    <w:p w14:paraId="1F5D5687">
      <w:pPr>
        <w:widowControl/>
        <w:snapToGrid w:val="0"/>
        <w:spacing w:line="324" w:lineRule="auto"/>
        <w:ind w:firstLine="420" w:firstLineChars="200"/>
        <w:jc w:val="left"/>
        <w:rPr>
          <w:rFonts w:ascii="宋体" w:hAnsi="宋体" w:cs="宋体"/>
          <w:kern w:val="0"/>
          <w:szCs w:val="21"/>
          <w:shd w:val="clear" w:color="auto" w:fill="FFFFFF"/>
        </w:rPr>
      </w:pPr>
      <w:r>
        <w:rPr>
          <w:rFonts w:hint="eastAsia" w:ascii="宋体" w:hAnsi="宋体" w:cs="宋体"/>
          <w:kern w:val="0"/>
          <w:szCs w:val="21"/>
          <w:shd w:val="clear" w:color="auto" w:fill="FFFFFF"/>
        </w:rPr>
        <w:t>3.监督部门：驻马店市中心医院纪检监察室</w:t>
      </w:r>
    </w:p>
    <w:p w14:paraId="6BF360F1">
      <w:pPr>
        <w:widowControl/>
        <w:snapToGrid w:val="0"/>
        <w:spacing w:line="324" w:lineRule="auto"/>
        <w:ind w:firstLine="420" w:firstLineChars="200"/>
        <w:jc w:val="left"/>
        <w:rPr>
          <w:rFonts w:ascii="宋体" w:hAnsi="宋体" w:cs="宋体"/>
          <w:kern w:val="0"/>
          <w:szCs w:val="21"/>
          <w:shd w:val="clear" w:color="auto" w:fill="FFFFFF"/>
        </w:rPr>
      </w:pPr>
      <w:r>
        <w:rPr>
          <w:rFonts w:hint="eastAsia" w:ascii="宋体" w:hAnsi="宋体" w:cs="宋体"/>
          <w:kern w:val="0"/>
          <w:szCs w:val="21"/>
          <w:shd w:val="clear" w:color="auto" w:fill="FFFFFF"/>
        </w:rPr>
        <w:t xml:space="preserve">  监督电话：0396-2726678</w:t>
      </w:r>
    </w:p>
    <w:p w14:paraId="205CF662">
      <w:pPr>
        <w:widowControl/>
        <w:snapToGrid w:val="0"/>
        <w:spacing w:line="324" w:lineRule="auto"/>
        <w:ind w:firstLine="420" w:firstLineChars="200"/>
        <w:jc w:val="right"/>
        <w:rPr>
          <w:rFonts w:ascii="宋体" w:hAnsi="宋体" w:cs="宋体"/>
          <w:color w:val="000000" w:themeColor="text1"/>
          <w:kern w:val="0"/>
          <w:szCs w:val="21"/>
          <w:shd w:val="clear" w:color="auto" w:fill="FFFFFF"/>
        </w:rPr>
      </w:pPr>
      <w:r>
        <w:rPr>
          <w:rFonts w:hint="eastAsia" w:ascii="宋体" w:hAnsi="宋体" w:cs="宋体"/>
          <w:kern w:val="0"/>
          <w:szCs w:val="21"/>
          <w:shd w:val="clear" w:color="auto" w:fill="FFFFFF"/>
        </w:rPr>
        <w:t>驻马</w:t>
      </w:r>
      <w:r>
        <w:rPr>
          <w:rFonts w:hint="eastAsia" w:ascii="宋体" w:hAnsi="宋体" w:cs="宋体"/>
          <w:color w:val="000000" w:themeColor="text1"/>
          <w:kern w:val="0"/>
          <w:szCs w:val="21"/>
          <w:shd w:val="clear" w:color="auto" w:fill="FFFFFF"/>
        </w:rPr>
        <w:t>店市中心医院采购科</w:t>
      </w:r>
    </w:p>
    <w:p w14:paraId="4A71041D">
      <w:pPr>
        <w:pStyle w:val="31"/>
        <w:widowControl/>
        <w:snapToGrid w:val="0"/>
        <w:spacing w:before="0" w:beforeAutospacing="0" w:after="0" w:afterAutospacing="0" w:line="324" w:lineRule="auto"/>
        <w:ind w:firstLine="420" w:firstLineChars="200"/>
        <w:jc w:val="center"/>
        <w:rPr>
          <w:rFonts w:ascii="宋体" w:hAnsi="宋体" w:cs="宋体"/>
          <w:sz w:val="21"/>
          <w:szCs w:val="21"/>
          <w:shd w:val="clear" w:color="auto" w:fill="FFFFFF"/>
        </w:rPr>
      </w:pPr>
      <w:r>
        <w:rPr>
          <w:rFonts w:hint="eastAsia" w:ascii="宋体" w:hAnsi="宋体" w:cs="宋体"/>
          <w:color w:val="000000" w:themeColor="text1"/>
          <w:sz w:val="21"/>
          <w:szCs w:val="21"/>
          <w:shd w:val="clear" w:color="auto" w:fill="FFFFFF"/>
        </w:rPr>
        <w:t xml:space="preserve">                                                             2025年12月</w:t>
      </w:r>
      <w:r>
        <w:rPr>
          <w:rFonts w:hint="eastAsia" w:ascii="宋体" w:hAnsi="宋体" w:cs="宋体"/>
          <w:color w:val="000000" w:themeColor="text1"/>
          <w:sz w:val="21"/>
          <w:szCs w:val="21"/>
          <w:shd w:val="clear" w:color="auto" w:fill="FFFFFF"/>
          <w:lang w:val="en-US" w:eastAsia="zh-CN"/>
        </w:rPr>
        <w:t>17</w:t>
      </w:r>
      <w:r>
        <w:rPr>
          <w:rFonts w:hint="eastAsia" w:ascii="宋体" w:hAnsi="宋体" w:cs="宋体"/>
          <w:color w:val="000000" w:themeColor="text1"/>
          <w:sz w:val="21"/>
          <w:szCs w:val="21"/>
          <w:shd w:val="clear" w:color="auto" w:fill="FFFFFF"/>
        </w:rPr>
        <w:t>日</w:t>
      </w:r>
    </w:p>
    <w:p w14:paraId="10FDA5CC">
      <w:pPr>
        <w:ind w:firstLine="643"/>
        <w:jc w:val="center"/>
        <w:rPr>
          <w:rFonts w:ascii="宋体" w:hAnsi="宋体" w:cs="宋体"/>
          <w:b/>
          <w:sz w:val="32"/>
          <w:szCs w:val="32"/>
        </w:rPr>
      </w:pPr>
      <w:bookmarkStart w:id="27" w:name="_Toc29890"/>
      <w:bookmarkStart w:id="28" w:name="_Toc23793"/>
      <w:r>
        <w:rPr>
          <w:rFonts w:hint="eastAsia" w:ascii="宋体" w:hAnsi="宋体" w:cs="宋体"/>
          <w:b/>
          <w:sz w:val="32"/>
          <w:szCs w:val="32"/>
        </w:rPr>
        <w:br w:type="page"/>
      </w:r>
      <w:bookmarkStart w:id="29" w:name="_Toc19124"/>
      <w:r>
        <w:rPr>
          <w:rFonts w:hint="eastAsia" w:ascii="宋体" w:hAnsi="宋体" w:cs="宋体"/>
          <w:b/>
          <w:sz w:val="32"/>
          <w:szCs w:val="32"/>
        </w:rPr>
        <w:t>第二章  采购需求</w:t>
      </w:r>
      <w:bookmarkEnd w:id="29"/>
      <w:bookmarkStart w:id="30" w:name="_Toc9989"/>
      <w:bookmarkStart w:id="31" w:name="_Toc31536"/>
      <w:bookmarkStart w:id="32" w:name="_Toc23610"/>
    </w:p>
    <w:bookmarkEnd w:id="27"/>
    <w:bookmarkEnd w:id="28"/>
    <w:bookmarkEnd w:id="30"/>
    <w:bookmarkEnd w:id="31"/>
    <w:bookmarkEnd w:id="32"/>
    <w:p w14:paraId="2235B6FB">
      <w:pPr>
        <w:snapToGrid w:val="0"/>
        <w:spacing w:line="324" w:lineRule="auto"/>
        <w:rPr>
          <w:rFonts w:ascii="宋体" w:hAnsi="宋体" w:cs="宋体"/>
        </w:rPr>
      </w:pPr>
      <w:r>
        <w:rPr>
          <w:rFonts w:hint="eastAsia" w:ascii="宋体" w:hAnsi="宋体" w:cs="宋体"/>
          <w:b/>
          <w:bCs/>
          <w:iCs/>
          <w:szCs w:val="21"/>
        </w:rPr>
        <w:t>一、项目名称：</w:t>
      </w:r>
      <w:r>
        <w:rPr>
          <w:rFonts w:hint="eastAsia" w:ascii="宋体" w:hAnsi="宋体" w:cs="宋体"/>
        </w:rPr>
        <w:t>驻马店市中心医院全自动化学免疫分析仪、心肺复苏机、温控银质针治疗仪采购项目包1、包2（</w:t>
      </w:r>
      <w:r>
        <w:rPr>
          <w:rFonts w:hint="eastAsia" w:ascii="宋体" w:hAnsi="宋体" w:cs="宋体"/>
          <w:lang w:val="en-US" w:eastAsia="zh-CN"/>
        </w:rPr>
        <w:t>三</w:t>
      </w:r>
      <w:r>
        <w:rPr>
          <w:rFonts w:hint="eastAsia" w:ascii="宋体" w:hAnsi="宋体" w:cs="宋体"/>
        </w:rPr>
        <w:t>次）</w:t>
      </w:r>
    </w:p>
    <w:p w14:paraId="71022CD6">
      <w:pPr>
        <w:snapToGrid w:val="0"/>
        <w:spacing w:line="360" w:lineRule="auto"/>
        <w:rPr>
          <w:b/>
          <w:bCs/>
        </w:rPr>
      </w:pPr>
      <w:r>
        <w:rPr>
          <w:rFonts w:hint="eastAsia"/>
          <w:b/>
          <w:bCs/>
        </w:rPr>
        <w:t>二、采购标的清单：</w:t>
      </w:r>
    </w:p>
    <w:tbl>
      <w:tblPr>
        <w:tblStyle w:val="35"/>
        <w:tblW w:w="93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735"/>
        <w:gridCol w:w="2295"/>
        <w:gridCol w:w="1019"/>
        <w:gridCol w:w="1019"/>
        <w:gridCol w:w="1399"/>
        <w:gridCol w:w="5"/>
        <w:gridCol w:w="1014"/>
        <w:gridCol w:w="5"/>
        <w:gridCol w:w="1152"/>
      </w:tblGrid>
      <w:tr w14:paraId="05442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jc w:val="center"/>
        </w:trPr>
        <w:tc>
          <w:tcPr>
            <w:tcW w:w="718" w:type="dxa"/>
            <w:vAlign w:val="center"/>
          </w:tcPr>
          <w:p w14:paraId="3059AD83">
            <w:pPr>
              <w:spacing w:line="400" w:lineRule="exact"/>
              <w:ind w:left="562" w:hanging="562"/>
              <w:jc w:val="center"/>
              <w:rPr>
                <w:rFonts w:ascii="仿宋" w:hAnsi="仿宋" w:eastAsia="仿宋" w:cs="仿宋"/>
                <w:sz w:val="24"/>
                <w:szCs w:val="24"/>
              </w:rPr>
            </w:pPr>
            <w:r>
              <w:rPr>
                <w:rFonts w:hint="eastAsia" w:ascii="仿宋" w:hAnsi="仿宋" w:eastAsia="仿宋" w:cs="仿宋"/>
                <w:b/>
                <w:bCs/>
                <w:sz w:val="24"/>
                <w:szCs w:val="24"/>
              </w:rPr>
              <w:t>包号</w:t>
            </w:r>
          </w:p>
        </w:tc>
        <w:tc>
          <w:tcPr>
            <w:tcW w:w="735" w:type="dxa"/>
            <w:vAlign w:val="center"/>
          </w:tcPr>
          <w:p w14:paraId="4C360DBF">
            <w:pPr>
              <w:spacing w:line="400" w:lineRule="exact"/>
              <w:ind w:left="562" w:hanging="562"/>
              <w:jc w:val="center"/>
              <w:rPr>
                <w:rFonts w:ascii="仿宋" w:hAnsi="仿宋" w:eastAsia="仿宋" w:cs="仿宋"/>
                <w:sz w:val="24"/>
                <w:szCs w:val="24"/>
              </w:rPr>
            </w:pPr>
            <w:r>
              <w:rPr>
                <w:rFonts w:hint="eastAsia" w:ascii="仿宋" w:hAnsi="仿宋" w:eastAsia="仿宋" w:cs="仿宋"/>
                <w:b/>
                <w:bCs/>
                <w:sz w:val="24"/>
                <w:szCs w:val="24"/>
              </w:rPr>
              <w:t>序号</w:t>
            </w:r>
          </w:p>
        </w:tc>
        <w:tc>
          <w:tcPr>
            <w:tcW w:w="2295" w:type="dxa"/>
            <w:vAlign w:val="center"/>
          </w:tcPr>
          <w:p w14:paraId="0DC319F7">
            <w:pPr>
              <w:spacing w:line="400" w:lineRule="exact"/>
              <w:ind w:left="562" w:hanging="562"/>
              <w:jc w:val="center"/>
              <w:rPr>
                <w:rFonts w:ascii="仿宋" w:hAnsi="仿宋" w:eastAsia="仿宋" w:cs="仿宋"/>
                <w:sz w:val="24"/>
                <w:szCs w:val="24"/>
              </w:rPr>
            </w:pPr>
            <w:r>
              <w:rPr>
                <w:rFonts w:hint="eastAsia" w:ascii="仿宋" w:hAnsi="仿宋" w:eastAsia="仿宋" w:cs="仿宋"/>
                <w:b/>
                <w:bCs/>
                <w:sz w:val="24"/>
                <w:szCs w:val="24"/>
              </w:rPr>
              <w:t>标的名称</w:t>
            </w:r>
          </w:p>
        </w:tc>
        <w:tc>
          <w:tcPr>
            <w:tcW w:w="1019" w:type="dxa"/>
            <w:vAlign w:val="center"/>
          </w:tcPr>
          <w:p w14:paraId="5B1B0705">
            <w:pPr>
              <w:spacing w:line="400" w:lineRule="exact"/>
              <w:ind w:left="562" w:hanging="562"/>
              <w:jc w:val="center"/>
              <w:rPr>
                <w:rFonts w:ascii="仿宋" w:hAnsi="仿宋" w:eastAsia="仿宋" w:cs="仿宋"/>
                <w:sz w:val="24"/>
                <w:szCs w:val="24"/>
              </w:rPr>
            </w:pPr>
            <w:r>
              <w:rPr>
                <w:rFonts w:hint="eastAsia" w:ascii="仿宋" w:hAnsi="仿宋" w:eastAsia="仿宋" w:cs="仿宋"/>
                <w:b/>
                <w:bCs/>
                <w:sz w:val="24"/>
                <w:szCs w:val="24"/>
              </w:rPr>
              <w:t>单位</w:t>
            </w:r>
          </w:p>
        </w:tc>
        <w:tc>
          <w:tcPr>
            <w:tcW w:w="1019" w:type="dxa"/>
            <w:vAlign w:val="center"/>
          </w:tcPr>
          <w:p w14:paraId="3086FAEA">
            <w:pPr>
              <w:spacing w:line="400" w:lineRule="exact"/>
              <w:ind w:left="562" w:hanging="562"/>
              <w:jc w:val="center"/>
              <w:rPr>
                <w:rFonts w:ascii="仿宋" w:hAnsi="仿宋" w:eastAsia="仿宋" w:cs="仿宋"/>
                <w:sz w:val="24"/>
                <w:szCs w:val="24"/>
              </w:rPr>
            </w:pPr>
            <w:r>
              <w:rPr>
                <w:rFonts w:hint="eastAsia" w:ascii="仿宋" w:hAnsi="仿宋" w:eastAsia="仿宋" w:cs="仿宋"/>
                <w:b/>
                <w:bCs/>
                <w:sz w:val="24"/>
                <w:szCs w:val="24"/>
              </w:rPr>
              <w:t>数量</w:t>
            </w:r>
          </w:p>
        </w:tc>
        <w:tc>
          <w:tcPr>
            <w:tcW w:w="1399" w:type="dxa"/>
            <w:vAlign w:val="center"/>
          </w:tcPr>
          <w:p w14:paraId="34B3443A">
            <w:pPr>
              <w:spacing w:line="400" w:lineRule="exact"/>
              <w:ind w:left="562" w:hanging="562"/>
              <w:jc w:val="center"/>
              <w:rPr>
                <w:rFonts w:ascii="仿宋" w:hAnsi="仿宋" w:eastAsia="仿宋" w:cs="仿宋"/>
                <w:b/>
                <w:bCs/>
                <w:sz w:val="24"/>
                <w:szCs w:val="24"/>
              </w:rPr>
            </w:pPr>
            <w:r>
              <w:rPr>
                <w:rFonts w:hint="eastAsia" w:ascii="仿宋" w:hAnsi="仿宋" w:eastAsia="仿宋" w:cs="仿宋"/>
                <w:b/>
                <w:bCs/>
                <w:sz w:val="24"/>
                <w:szCs w:val="24"/>
              </w:rPr>
              <w:t>资金</w:t>
            </w:r>
          </w:p>
          <w:p w14:paraId="421BC97C">
            <w:pPr>
              <w:spacing w:line="400" w:lineRule="exact"/>
              <w:ind w:left="562" w:hanging="562"/>
              <w:jc w:val="center"/>
              <w:rPr>
                <w:rFonts w:ascii="仿宋" w:hAnsi="仿宋" w:eastAsia="仿宋" w:cs="仿宋"/>
                <w:sz w:val="24"/>
                <w:szCs w:val="24"/>
              </w:rPr>
            </w:pPr>
            <w:r>
              <w:rPr>
                <w:rFonts w:hint="eastAsia" w:ascii="仿宋" w:hAnsi="仿宋" w:eastAsia="仿宋" w:cs="仿宋"/>
                <w:b/>
                <w:bCs/>
                <w:sz w:val="24"/>
                <w:szCs w:val="24"/>
              </w:rPr>
              <w:t>预算</w:t>
            </w:r>
          </w:p>
        </w:tc>
        <w:tc>
          <w:tcPr>
            <w:tcW w:w="1019" w:type="dxa"/>
            <w:gridSpan w:val="2"/>
            <w:vAlign w:val="center"/>
          </w:tcPr>
          <w:p w14:paraId="4B7038A6">
            <w:pPr>
              <w:spacing w:line="400" w:lineRule="exact"/>
              <w:ind w:left="562" w:hanging="562"/>
              <w:jc w:val="center"/>
              <w:rPr>
                <w:rFonts w:ascii="仿宋" w:hAnsi="仿宋" w:eastAsia="仿宋" w:cs="仿宋"/>
                <w:b/>
                <w:bCs/>
                <w:sz w:val="24"/>
                <w:szCs w:val="24"/>
              </w:rPr>
            </w:pPr>
            <w:r>
              <w:rPr>
                <w:rFonts w:hint="eastAsia" w:ascii="仿宋" w:hAnsi="仿宋" w:eastAsia="仿宋" w:cs="仿宋"/>
                <w:b/>
                <w:bCs/>
                <w:sz w:val="24"/>
                <w:szCs w:val="24"/>
              </w:rPr>
              <w:t>资金</w:t>
            </w:r>
          </w:p>
          <w:p w14:paraId="5F4F3BF1">
            <w:pPr>
              <w:spacing w:line="400" w:lineRule="exact"/>
              <w:ind w:left="562" w:hanging="562"/>
              <w:jc w:val="center"/>
              <w:rPr>
                <w:rFonts w:ascii="仿宋" w:hAnsi="仿宋" w:eastAsia="仿宋" w:cs="仿宋"/>
                <w:sz w:val="24"/>
                <w:szCs w:val="24"/>
              </w:rPr>
            </w:pPr>
            <w:r>
              <w:rPr>
                <w:rFonts w:hint="eastAsia" w:ascii="仿宋" w:hAnsi="仿宋" w:eastAsia="仿宋" w:cs="仿宋"/>
                <w:b/>
                <w:bCs/>
                <w:sz w:val="24"/>
                <w:szCs w:val="24"/>
              </w:rPr>
              <w:t>性质</w:t>
            </w:r>
          </w:p>
        </w:tc>
        <w:tc>
          <w:tcPr>
            <w:tcW w:w="1157" w:type="dxa"/>
            <w:gridSpan w:val="2"/>
            <w:vAlign w:val="center"/>
          </w:tcPr>
          <w:p w14:paraId="7714E82C">
            <w:pPr>
              <w:spacing w:line="400" w:lineRule="exact"/>
              <w:ind w:left="562" w:hanging="562"/>
              <w:jc w:val="center"/>
              <w:rPr>
                <w:rFonts w:ascii="仿宋" w:hAnsi="仿宋" w:eastAsia="仿宋" w:cs="仿宋"/>
                <w:b/>
                <w:bCs/>
                <w:sz w:val="24"/>
                <w:szCs w:val="24"/>
              </w:rPr>
            </w:pPr>
            <w:r>
              <w:rPr>
                <w:rFonts w:hint="eastAsia" w:ascii="仿宋" w:hAnsi="仿宋" w:eastAsia="仿宋" w:cs="仿宋"/>
                <w:b/>
                <w:bCs/>
                <w:sz w:val="24"/>
                <w:szCs w:val="24"/>
              </w:rPr>
              <w:t>国产/</w:t>
            </w:r>
          </w:p>
          <w:p w14:paraId="5EE30E38">
            <w:pPr>
              <w:spacing w:line="400" w:lineRule="exact"/>
              <w:ind w:left="562" w:hanging="562"/>
              <w:jc w:val="center"/>
              <w:rPr>
                <w:rFonts w:ascii="仿宋" w:hAnsi="仿宋" w:eastAsia="仿宋" w:cs="仿宋"/>
                <w:sz w:val="24"/>
                <w:szCs w:val="24"/>
              </w:rPr>
            </w:pPr>
            <w:r>
              <w:rPr>
                <w:rFonts w:hint="eastAsia" w:ascii="仿宋" w:hAnsi="仿宋" w:eastAsia="仿宋" w:cs="仿宋"/>
                <w:b/>
                <w:bCs/>
                <w:sz w:val="24"/>
                <w:szCs w:val="24"/>
              </w:rPr>
              <w:t>进口</w:t>
            </w:r>
          </w:p>
        </w:tc>
      </w:tr>
      <w:tr w14:paraId="39E10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718" w:type="dxa"/>
            <w:vAlign w:val="center"/>
          </w:tcPr>
          <w:p w14:paraId="3EDD0745">
            <w:pPr>
              <w:spacing w:line="400" w:lineRule="exact"/>
              <w:ind w:left="562" w:hanging="562"/>
              <w:jc w:val="center"/>
              <w:rPr>
                <w:rFonts w:ascii="仿宋" w:hAnsi="仿宋" w:eastAsia="仿宋" w:cs="仿宋"/>
                <w:bCs/>
                <w:sz w:val="24"/>
                <w:szCs w:val="24"/>
              </w:rPr>
            </w:pPr>
            <w:r>
              <w:rPr>
                <w:rFonts w:hint="eastAsia" w:ascii="仿宋" w:hAnsi="仿宋" w:eastAsia="仿宋" w:cs="仿宋"/>
                <w:bCs/>
                <w:sz w:val="24"/>
                <w:szCs w:val="24"/>
              </w:rPr>
              <w:t>1</w:t>
            </w:r>
          </w:p>
        </w:tc>
        <w:tc>
          <w:tcPr>
            <w:tcW w:w="735" w:type="dxa"/>
            <w:vAlign w:val="center"/>
          </w:tcPr>
          <w:p w14:paraId="2A7AF11D">
            <w:pPr>
              <w:spacing w:line="400" w:lineRule="exact"/>
              <w:ind w:left="562" w:hanging="562"/>
              <w:jc w:val="center"/>
              <w:rPr>
                <w:rFonts w:ascii="仿宋" w:hAnsi="仿宋" w:eastAsia="仿宋" w:cs="仿宋"/>
                <w:bCs/>
                <w:sz w:val="24"/>
                <w:szCs w:val="24"/>
              </w:rPr>
            </w:pPr>
            <w:r>
              <w:rPr>
                <w:rFonts w:hint="eastAsia" w:ascii="仿宋" w:hAnsi="仿宋" w:eastAsia="仿宋" w:cs="仿宋"/>
                <w:bCs/>
                <w:sz w:val="24"/>
                <w:szCs w:val="24"/>
              </w:rPr>
              <w:t>1</w:t>
            </w:r>
          </w:p>
        </w:tc>
        <w:tc>
          <w:tcPr>
            <w:tcW w:w="2295" w:type="dxa"/>
            <w:vAlign w:val="center"/>
          </w:tcPr>
          <w:p w14:paraId="1B77B135">
            <w:pPr>
              <w:spacing w:line="400" w:lineRule="exact"/>
              <w:ind w:left="562" w:hanging="562"/>
              <w:jc w:val="center"/>
              <w:rPr>
                <w:rFonts w:ascii="仿宋" w:hAnsi="仿宋" w:eastAsia="仿宋" w:cs="仿宋"/>
                <w:bCs/>
                <w:sz w:val="24"/>
                <w:szCs w:val="24"/>
              </w:rPr>
            </w:pPr>
            <w:r>
              <w:rPr>
                <w:rFonts w:ascii="仿宋" w:hAnsi="仿宋" w:eastAsia="仿宋" w:cs="仿宋"/>
                <w:bCs/>
                <w:sz w:val="24"/>
                <w:szCs w:val="24"/>
              </w:rPr>
              <w:t>全自动化学免疫</w:t>
            </w:r>
          </w:p>
          <w:p w14:paraId="47B3C779">
            <w:pPr>
              <w:spacing w:line="400" w:lineRule="exact"/>
              <w:ind w:left="562" w:hanging="562"/>
              <w:jc w:val="center"/>
              <w:rPr>
                <w:rFonts w:ascii="仿宋" w:hAnsi="仿宋" w:eastAsia="仿宋" w:cs="仿宋"/>
                <w:bCs/>
                <w:sz w:val="24"/>
                <w:szCs w:val="24"/>
              </w:rPr>
            </w:pPr>
            <w:r>
              <w:rPr>
                <w:rFonts w:ascii="仿宋" w:hAnsi="仿宋" w:eastAsia="仿宋" w:cs="仿宋"/>
                <w:bCs/>
                <w:sz w:val="24"/>
                <w:szCs w:val="24"/>
              </w:rPr>
              <w:t>分析仪</w:t>
            </w:r>
          </w:p>
        </w:tc>
        <w:tc>
          <w:tcPr>
            <w:tcW w:w="1019" w:type="dxa"/>
            <w:vAlign w:val="center"/>
          </w:tcPr>
          <w:p w14:paraId="4747A044">
            <w:pPr>
              <w:spacing w:line="400" w:lineRule="exact"/>
              <w:ind w:left="562" w:hanging="562"/>
              <w:jc w:val="center"/>
              <w:rPr>
                <w:rFonts w:ascii="仿宋" w:hAnsi="仿宋" w:eastAsia="仿宋" w:cs="仿宋"/>
                <w:bCs/>
                <w:sz w:val="24"/>
                <w:szCs w:val="24"/>
              </w:rPr>
            </w:pPr>
            <w:r>
              <w:rPr>
                <w:rFonts w:hint="eastAsia" w:ascii="仿宋" w:hAnsi="仿宋" w:eastAsia="仿宋" w:cs="仿宋"/>
                <w:bCs/>
                <w:sz w:val="24"/>
                <w:szCs w:val="24"/>
              </w:rPr>
              <w:t>台</w:t>
            </w:r>
          </w:p>
        </w:tc>
        <w:tc>
          <w:tcPr>
            <w:tcW w:w="1019" w:type="dxa"/>
            <w:vAlign w:val="center"/>
          </w:tcPr>
          <w:p w14:paraId="661E446D">
            <w:pPr>
              <w:spacing w:line="400" w:lineRule="exact"/>
              <w:ind w:left="562" w:hanging="562"/>
              <w:jc w:val="center"/>
              <w:rPr>
                <w:rFonts w:ascii="仿宋" w:hAnsi="仿宋" w:eastAsia="仿宋" w:cs="仿宋"/>
                <w:bCs/>
                <w:sz w:val="24"/>
                <w:szCs w:val="24"/>
              </w:rPr>
            </w:pPr>
            <w:r>
              <w:rPr>
                <w:rFonts w:hint="eastAsia" w:ascii="仿宋" w:hAnsi="仿宋" w:eastAsia="仿宋" w:cs="仿宋"/>
                <w:bCs/>
                <w:sz w:val="24"/>
                <w:szCs w:val="24"/>
              </w:rPr>
              <w:t>1</w:t>
            </w:r>
          </w:p>
        </w:tc>
        <w:tc>
          <w:tcPr>
            <w:tcW w:w="1399" w:type="dxa"/>
            <w:vAlign w:val="center"/>
          </w:tcPr>
          <w:p w14:paraId="57A363BC">
            <w:pPr>
              <w:spacing w:line="400" w:lineRule="exact"/>
              <w:ind w:left="562" w:hanging="562"/>
              <w:jc w:val="center"/>
              <w:rPr>
                <w:rFonts w:ascii="仿宋" w:hAnsi="仿宋" w:eastAsia="仿宋" w:cs="仿宋"/>
                <w:bCs/>
                <w:sz w:val="24"/>
                <w:szCs w:val="24"/>
              </w:rPr>
            </w:pPr>
            <w:r>
              <w:rPr>
                <w:rFonts w:hint="eastAsia" w:ascii="宋体" w:hAnsi="宋体" w:cs="宋体"/>
                <w:sz w:val="24"/>
                <w:szCs w:val="24"/>
                <w:shd w:val="clear" w:color="auto" w:fill="FFFFFF"/>
              </w:rPr>
              <w:t>22500元</w:t>
            </w:r>
          </w:p>
        </w:tc>
        <w:tc>
          <w:tcPr>
            <w:tcW w:w="1019" w:type="dxa"/>
            <w:gridSpan w:val="2"/>
            <w:vAlign w:val="center"/>
          </w:tcPr>
          <w:p w14:paraId="2B7C7E1C">
            <w:pPr>
              <w:spacing w:line="400" w:lineRule="exact"/>
              <w:ind w:left="562" w:hanging="562"/>
              <w:jc w:val="center"/>
              <w:rPr>
                <w:rFonts w:ascii="仿宋" w:hAnsi="仿宋" w:eastAsia="仿宋" w:cs="仿宋"/>
                <w:bCs/>
                <w:sz w:val="24"/>
                <w:szCs w:val="24"/>
              </w:rPr>
            </w:pPr>
            <w:r>
              <w:rPr>
                <w:rFonts w:hint="eastAsia" w:ascii="仿宋" w:hAnsi="仿宋" w:eastAsia="仿宋" w:cs="仿宋"/>
                <w:bCs/>
                <w:sz w:val="24"/>
                <w:szCs w:val="24"/>
              </w:rPr>
              <w:t>自筹</w:t>
            </w:r>
          </w:p>
        </w:tc>
        <w:tc>
          <w:tcPr>
            <w:tcW w:w="1157" w:type="dxa"/>
            <w:gridSpan w:val="2"/>
            <w:vAlign w:val="center"/>
          </w:tcPr>
          <w:p w14:paraId="41F64ACC">
            <w:pPr>
              <w:spacing w:line="400" w:lineRule="exact"/>
              <w:ind w:left="562" w:hanging="562"/>
              <w:jc w:val="center"/>
              <w:rPr>
                <w:rFonts w:ascii="仿宋" w:hAnsi="仿宋" w:eastAsia="仿宋" w:cs="仿宋"/>
                <w:bCs/>
                <w:sz w:val="24"/>
                <w:szCs w:val="24"/>
              </w:rPr>
            </w:pPr>
            <w:r>
              <w:rPr>
                <w:rFonts w:hint="eastAsia" w:ascii="仿宋" w:hAnsi="仿宋" w:eastAsia="仿宋" w:cs="仿宋"/>
                <w:bCs/>
                <w:sz w:val="24"/>
                <w:szCs w:val="24"/>
              </w:rPr>
              <w:t>国产</w:t>
            </w:r>
          </w:p>
        </w:tc>
      </w:tr>
      <w:tr w14:paraId="34C23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718" w:type="dxa"/>
            <w:vAlign w:val="center"/>
          </w:tcPr>
          <w:p w14:paraId="31B277DE">
            <w:pPr>
              <w:spacing w:line="400" w:lineRule="exact"/>
              <w:ind w:left="562" w:hanging="562"/>
              <w:jc w:val="center"/>
              <w:rPr>
                <w:rFonts w:ascii="仿宋" w:hAnsi="仿宋" w:eastAsia="仿宋" w:cs="仿宋"/>
                <w:bCs/>
                <w:sz w:val="24"/>
                <w:szCs w:val="24"/>
              </w:rPr>
            </w:pPr>
            <w:r>
              <w:rPr>
                <w:rFonts w:hint="eastAsia" w:ascii="仿宋" w:hAnsi="仿宋" w:eastAsia="仿宋" w:cs="仿宋"/>
                <w:bCs/>
                <w:sz w:val="24"/>
                <w:szCs w:val="24"/>
              </w:rPr>
              <w:t>2</w:t>
            </w:r>
          </w:p>
        </w:tc>
        <w:tc>
          <w:tcPr>
            <w:tcW w:w="735" w:type="dxa"/>
            <w:vAlign w:val="center"/>
          </w:tcPr>
          <w:p w14:paraId="3B2C8EC1">
            <w:pPr>
              <w:spacing w:line="400" w:lineRule="exact"/>
              <w:ind w:left="562" w:hanging="562"/>
              <w:jc w:val="center"/>
              <w:rPr>
                <w:rFonts w:ascii="仿宋" w:hAnsi="仿宋" w:eastAsia="仿宋" w:cs="仿宋"/>
                <w:bCs/>
                <w:sz w:val="24"/>
                <w:szCs w:val="24"/>
              </w:rPr>
            </w:pPr>
            <w:r>
              <w:rPr>
                <w:rFonts w:hint="eastAsia" w:ascii="仿宋" w:hAnsi="仿宋" w:eastAsia="仿宋" w:cs="仿宋"/>
                <w:bCs/>
                <w:sz w:val="24"/>
                <w:szCs w:val="24"/>
              </w:rPr>
              <w:t>1</w:t>
            </w:r>
          </w:p>
        </w:tc>
        <w:tc>
          <w:tcPr>
            <w:tcW w:w="2295" w:type="dxa"/>
            <w:vAlign w:val="center"/>
          </w:tcPr>
          <w:p w14:paraId="53A0DFE6">
            <w:pPr>
              <w:spacing w:line="400" w:lineRule="exact"/>
              <w:ind w:left="562" w:hanging="562"/>
              <w:jc w:val="center"/>
              <w:rPr>
                <w:rFonts w:ascii="仿宋" w:hAnsi="仿宋" w:eastAsia="仿宋" w:cs="仿宋"/>
                <w:bCs/>
                <w:sz w:val="24"/>
                <w:szCs w:val="24"/>
              </w:rPr>
            </w:pPr>
            <w:r>
              <w:rPr>
                <w:rFonts w:ascii="仿宋" w:hAnsi="仿宋" w:eastAsia="仿宋" w:cs="仿宋"/>
                <w:bCs/>
                <w:sz w:val="24"/>
                <w:szCs w:val="24"/>
              </w:rPr>
              <w:t>心肺复苏机</w:t>
            </w:r>
          </w:p>
        </w:tc>
        <w:tc>
          <w:tcPr>
            <w:tcW w:w="1019" w:type="dxa"/>
            <w:vAlign w:val="center"/>
          </w:tcPr>
          <w:p w14:paraId="644E2D47">
            <w:pPr>
              <w:spacing w:line="400" w:lineRule="exact"/>
              <w:ind w:left="562" w:hanging="562"/>
              <w:jc w:val="center"/>
              <w:rPr>
                <w:rFonts w:ascii="仿宋" w:hAnsi="仿宋" w:eastAsia="仿宋" w:cs="仿宋"/>
                <w:bCs/>
                <w:sz w:val="24"/>
                <w:szCs w:val="24"/>
              </w:rPr>
            </w:pPr>
            <w:r>
              <w:rPr>
                <w:rFonts w:hint="eastAsia" w:ascii="仿宋" w:hAnsi="仿宋" w:eastAsia="仿宋" w:cs="仿宋"/>
                <w:bCs/>
                <w:sz w:val="24"/>
                <w:szCs w:val="24"/>
              </w:rPr>
              <w:t>台</w:t>
            </w:r>
          </w:p>
        </w:tc>
        <w:tc>
          <w:tcPr>
            <w:tcW w:w="1019" w:type="dxa"/>
            <w:vAlign w:val="center"/>
          </w:tcPr>
          <w:p w14:paraId="6466BA57">
            <w:pPr>
              <w:spacing w:line="400" w:lineRule="exact"/>
              <w:ind w:left="562" w:hanging="562"/>
              <w:jc w:val="center"/>
              <w:rPr>
                <w:rFonts w:ascii="仿宋" w:hAnsi="仿宋" w:eastAsia="仿宋" w:cs="仿宋"/>
                <w:bCs/>
                <w:sz w:val="24"/>
                <w:szCs w:val="24"/>
              </w:rPr>
            </w:pPr>
            <w:r>
              <w:rPr>
                <w:rFonts w:hint="eastAsia" w:ascii="仿宋" w:hAnsi="仿宋" w:eastAsia="仿宋" w:cs="仿宋"/>
                <w:bCs/>
                <w:sz w:val="24"/>
                <w:szCs w:val="24"/>
              </w:rPr>
              <w:t>2</w:t>
            </w:r>
          </w:p>
        </w:tc>
        <w:tc>
          <w:tcPr>
            <w:tcW w:w="1399" w:type="dxa"/>
            <w:vAlign w:val="center"/>
          </w:tcPr>
          <w:p w14:paraId="572DA4CC">
            <w:pPr>
              <w:spacing w:line="400" w:lineRule="exact"/>
              <w:ind w:left="562" w:hanging="562"/>
              <w:jc w:val="center"/>
              <w:rPr>
                <w:rFonts w:ascii="仿宋" w:hAnsi="仿宋" w:eastAsia="仿宋" w:cs="仿宋"/>
                <w:bCs/>
                <w:sz w:val="24"/>
                <w:szCs w:val="24"/>
              </w:rPr>
            </w:pPr>
            <w:r>
              <w:rPr>
                <w:rFonts w:hint="eastAsia" w:ascii="宋体" w:hAnsi="宋体" w:cs="宋体"/>
                <w:sz w:val="24"/>
                <w:szCs w:val="24"/>
                <w:shd w:val="clear" w:color="auto" w:fill="FFFFFF"/>
              </w:rPr>
              <w:t>200000元</w:t>
            </w:r>
          </w:p>
        </w:tc>
        <w:tc>
          <w:tcPr>
            <w:tcW w:w="1019" w:type="dxa"/>
            <w:gridSpan w:val="2"/>
            <w:vAlign w:val="center"/>
          </w:tcPr>
          <w:p w14:paraId="51D67C76">
            <w:pPr>
              <w:spacing w:line="400" w:lineRule="exact"/>
              <w:ind w:left="562" w:hanging="562"/>
              <w:jc w:val="center"/>
              <w:rPr>
                <w:rFonts w:ascii="仿宋" w:hAnsi="仿宋" w:eastAsia="仿宋" w:cs="仿宋"/>
                <w:bCs/>
                <w:sz w:val="24"/>
                <w:szCs w:val="24"/>
              </w:rPr>
            </w:pPr>
            <w:r>
              <w:rPr>
                <w:rFonts w:hint="eastAsia" w:ascii="仿宋" w:hAnsi="仿宋" w:eastAsia="仿宋" w:cs="仿宋"/>
                <w:bCs/>
                <w:sz w:val="24"/>
                <w:szCs w:val="24"/>
              </w:rPr>
              <w:t>自筹</w:t>
            </w:r>
          </w:p>
        </w:tc>
        <w:tc>
          <w:tcPr>
            <w:tcW w:w="1157" w:type="dxa"/>
            <w:gridSpan w:val="2"/>
            <w:vAlign w:val="center"/>
          </w:tcPr>
          <w:p w14:paraId="23FC7038">
            <w:pPr>
              <w:spacing w:line="400" w:lineRule="exact"/>
              <w:ind w:left="562" w:hanging="562"/>
              <w:jc w:val="center"/>
              <w:rPr>
                <w:rFonts w:ascii="仿宋" w:hAnsi="仿宋" w:eastAsia="仿宋" w:cs="仿宋"/>
                <w:bCs/>
                <w:sz w:val="24"/>
                <w:szCs w:val="24"/>
              </w:rPr>
            </w:pPr>
            <w:r>
              <w:rPr>
                <w:rFonts w:hint="eastAsia" w:ascii="仿宋" w:hAnsi="仿宋" w:eastAsia="仿宋" w:cs="仿宋"/>
                <w:bCs/>
                <w:sz w:val="24"/>
                <w:szCs w:val="24"/>
              </w:rPr>
              <w:t>国产</w:t>
            </w:r>
          </w:p>
        </w:tc>
      </w:tr>
      <w:tr w14:paraId="74BDB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453" w:type="dxa"/>
            <w:gridSpan w:val="2"/>
            <w:vAlign w:val="center"/>
          </w:tcPr>
          <w:p w14:paraId="70F2A8E5">
            <w:pPr>
              <w:spacing w:line="400" w:lineRule="exact"/>
              <w:ind w:left="562" w:hanging="562"/>
              <w:jc w:val="center"/>
              <w:rPr>
                <w:rFonts w:ascii="仿宋" w:hAnsi="仿宋" w:eastAsia="仿宋" w:cs="仿宋"/>
                <w:bCs/>
                <w:sz w:val="24"/>
                <w:szCs w:val="24"/>
              </w:rPr>
            </w:pPr>
            <w:r>
              <w:rPr>
                <w:rFonts w:hint="eastAsia" w:ascii="仿宋" w:hAnsi="仿宋" w:eastAsia="仿宋" w:cs="仿宋"/>
                <w:bCs/>
                <w:sz w:val="24"/>
                <w:szCs w:val="24"/>
              </w:rPr>
              <w:t>合计</w:t>
            </w:r>
          </w:p>
        </w:tc>
        <w:tc>
          <w:tcPr>
            <w:tcW w:w="2295" w:type="dxa"/>
            <w:vAlign w:val="center"/>
          </w:tcPr>
          <w:p w14:paraId="5CD1C609">
            <w:pPr>
              <w:spacing w:line="400" w:lineRule="exact"/>
              <w:ind w:left="562" w:hanging="562"/>
              <w:jc w:val="center"/>
              <w:rPr>
                <w:rFonts w:ascii="仿宋" w:hAnsi="仿宋" w:eastAsia="仿宋" w:cs="仿宋"/>
                <w:bCs/>
                <w:sz w:val="24"/>
                <w:szCs w:val="24"/>
              </w:rPr>
            </w:pPr>
          </w:p>
        </w:tc>
        <w:tc>
          <w:tcPr>
            <w:tcW w:w="1019" w:type="dxa"/>
            <w:vAlign w:val="center"/>
          </w:tcPr>
          <w:p w14:paraId="6A669A61">
            <w:pPr>
              <w:spacing w:line="400" w:lineRule="exact"/>
              <w:ind w:left="562" w:hanging="562"/>
              <w:jc w:val="center"/>
              <w:rPr>
                <w:rFonts w:hint="eastAsia" w:ascii="宋体" w:hAnsi="宋体" w:cs="宋体"/>
                <w:sz w:val="24"/>
                <w:szCs w:val="24"/>
                <w:shd w:val="clear" w:color="auto" w:fill="FFFFFF"/>
              </w:rPr>
            </w:pPr>
          </w:p>
        </w:tc>
        <w:tc>
          <w:tcPr>
            <w:tcW w:w="1019" w:type="dxa"/>
            <w:vAlign w:val="center"/>
          </w:tcPr>
          <w:p w14:paraId="175C3E19">
            <w:pPr>
              <w:spacing w:line="400" w:lineRule="exact"/>
              <w:ind w:left="562" w:hanging="562"/>
              <w:jc w:val="center"/>
              <w:rPr>
                <w:rFonts w:hint="eastAsia" w:ascii="宋体" w:hAnsi="宋体" w:cs="宋体"/>
                <w:sz w:val="24"/>
                <w:szCs w:val="24"/>
                <w:shd w:val="clear" w:color="auto" w:fill="FFFFFF"/>
              </w:rPr>
            </w:pPr>
          </w:p>
        </w:tc>
        <w:tc>
          <w:tcPr>
            <w:tcW w:w="1404" w:type="dxa"/>
            <w:gridSpan w:val="2"/>
            <w:vAlign w:val="center"/>
          </w:tcPr>
          <w:p w14:paraId="64E786DE">
            <w:pPr>
              <w:spacing w:line="400" w:lineRule="exact"/>
              <w:ind w:left="562" w:hanging="562"/>
              <w:jc w:val="center"/>
              <w:rPr>
                <w:rFonts w:hint="eastAsia" w:ascii="宋体" w:hAnsi="宋体" w:cs="宋体"/>
                <w:sz w:val="24"/>
                <w:szCs w:val="24"/>
                <w:shd w:val="clear" w:color="auto" w:fill="FFFFFF"/>
              </w:rPr>
            </w:pPr>
            <w:r>
              <w:rPr>
                <w:rFonts w:hint="eastAsia" w:ascii="宋体" w:hAnsi="宋体" w:cs="宋体"/>
                <w:sz w:val="24"/>
                <w:szCs w:val="24"/>
                <w:shd w:val="clear" w:color="auto" w:fill="FFFFFF"/>
              </w:rPr>
              <w:t>222500元</w:t>
            </w:r>
          </w:p>
        </w:tc>
        <w:tc>
          <w:tcPr>
            <w:tcW w:w="1019" w:type="dxa"/>
            <w:gridSpan w:val="2"/>
            <w:vAlign w:val="center"/>
          </w:tcPr>
          <w:p w14:paraId="5D2C37B6">
            <w:pPr>
              <w:spacing w:line="400" w:lineRule="exact"/>
              <w:ind w:left="562" w:hanging="562"/>
              <w:jc w:val="center"/>
              <w:rPr>
                <w:rFonts w:hint="eastAsia" w:ascii="宋体" w:hAnsi="宋体" w:cs="宋体"/>
                <w:sz w:val="24"/>
                <w:szCs w:val="24"/>
                <w:shd w:val="clear" w:color="auto" w:fill="FFFFFF"/>
              </w:rPr>
            </w:pPr>
          </w:p>
        </w:tc>
        <w:tc>
          <w:tcPr>
            <w:tcW w:w="1152" w:type="dxa"/>
            <w:vAlign w:val="center"/>
          </w:tcPr>
          <w:p w14:paraId="241DEDB9">
            <w:pPr>
              <w:spacing w:line="400" w:lineRule="exact"/>
              <w:ind w:left="562" w:hanging="562"/>
              <w:jc w:val="center"/>
              <w:rPr>
                <w:rFonts w:hint="eastAsia" w:ascii="宋体" w:hAnsi="宋体" w:cs="宋体"/>
                <w:sz w:val="24"/>
                <w:szCs w:val="24"/>
                <w:shd w:val="clear" w:color="auto" w:fill="FFFFFF"/>
              </w:rPr>
            </w:pPr>
          </w:p>
        </w:tc>
      </w:tr>
      <w:tr w14:paraId="5553C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453" w:type="dxa"/>
            <w:gridSpan w:val="2"/>
            <w:vAlign w:val="center"/>
          </w:tcPr>
          <w:p w14:paraId="428579DC">
            <w:pPr>
              <w:spacing w:line="400" w:lineRule="exact"/>
              <w:ind w:left="562" w:hanging="562"/>
              <w:jc w:val="center"/>
              <w:rPr>
                <w:rFonts w:ascii="仿宋" w:hAnsi="仿宋" w:eastAsia="仿宋" w:cs="仿宋"/>
                <w:bCs/>
                <w:sz w:val="24"/>
                <w:szCs w:val="24"/>
              </w:rPr>
            </w:pPr>
            <w:r>
              <w:rPr>
                <w:rFonts w:hint="eastAsia" w:ascii="仿宋" w:hAnsi="仿宋" w:eastAsia="仿宋" w:cs="仿宋"/>
                <w:bCs/>
                <w:sz w:val="24"/>
                <w:szCs w:val="24"/>
              </w:rPr>
              <w:t>备注</w:t>
            </w:r>
          </w:p>
        </w:tc>
        <w:tc>
          <w:tcPr>
            <w:tcW w:w="7908" w:type="dxa"/>
            <w:gridSpan w:val="8"/>
            <w:vAlign w:val="center"/>
          </w:tcPr>
          <w:p w14:paraId="61C5FCEC">
            <w:pPr>
              <w:spacing w:line="400" w:lineRule="exact"/>
              <w:ind w:left="562" w:hanging="562"/>
              <w:jc w:val="center"/>
              <w:rPr>
                <w:rFonts w:ascii="仿宋" w:hAnsi="仿宋" w:eastAsia="仿宋" w:cs="仿宋"/>
                <w:bCs/>
                <w:sz w:val="24"/>
                <w:szCs w:val="24"/>
              </w:rPr>
            </w:pPr>
            <w:r>
              <w:rPr>
                <w:rFonts w:hint="eastAsia" w:ascii="仿宋" w:hAnsi="仿宋" w:eastAsia="仿宋" w:cs="仿宋"/>
                <w:bCs/>
                <w:sz w:val="24"/>
                <w:szCs w:val="24"/>
              </w:rPr>
              <w:t>无</w:t>
            </w:r>
          </w:p>
        </w:tc>
      </w:tr>
    </w:tbl>
    <w:p w14:paraId="7E8D83A7">
      <w:pPr>
        <w:spacing w:line="192" w:lineRule="auto"/>
        <w:ind w:firstLine="420"/>
        <w:rPr>
          <w:rFonts w:ascii="宋体" w:hAnsi="宋体" w:cs="宋体"/>
          <w:b/>
          <w:bCs/>
        </w:rPr>
      </w:pPr>
    </w:p>
    <w:p w14:paraId="11BBD864">
      <w:pPr>
        <w:pStyle w:val="8"/>
        <w:snapToGrid w:val="0"/>
        <w:spacing w:beforeAutospacing="0" w:afterAutospacing="0" w:line="360" w:lineRule="auto"/>
        <w:jc w:val="both"/>
        <w:rPr>
          <w:b/>
          <w:bCs/>
          <w:kern w:val="2"/>
          <w:sz w:val="21"/>
        </w:rPr>
      </w:pPr>
      <w:r>
        <w:rPr>
          <w:rFonts w:hint="eastAsia"/>
          <w:b/>
          <w:bCs/>
          <w:kern w:val="2"/>
          <w:sz w:val="21"/>
        </w:rPr>
        <w:t>三、技术参数：</w:t>
      </w:r>
    </w:p>
    <w:p w14:paraId="30D045B4">
      <w:pPr>
        <w:spacing w:line="360" w:lineRule="auto"/>
        <w:jc w:val="center"/>
        <w:rPr>
          <w:rFonts w:ascii="方正小标宋简体" w:hAnsi="方正小标宋简体" w:eastAsia="方正小标宋简体" w:cs="方正小标宋简体"/>
          <w:b/>
          <w:bCs/>
          <w:sz w:val="32"/>
          <w:szCs w:val="32"/>
        </w:rPr>
      </w:pPr>
      <w:r>
        <w:rPr>
          <w:rFonts w:hint="eastAsia"/>
          <w:b/>
          <w:bCs/>
        </w:rPr>
        <w:t>包1：全自动化学发光免疫分析仪技术参数</w:t>
      </w:r>
    </w:p>
    <w:p w14:paraId="59B63E9C">
      <w:pPr>
        <w:spacing w:line="360" w:lineRule="auto"/>
        <w:ind w:firstLine="422" w:firstLineChars="200"/>
        <w:rPr>
          <w:rFonts w:ascii="Calibri" w:hAnsi="Calibri"/>
          <w:b/>
          <w:bCs/>
          <w:szCs w:val="22"/>
        </w:rPr>
      </w:pPr>
      <w:r>
        <w:rPr>
          <w:rFonts w:hint="eastAsia" w:ascii="Calibri" w:hAnsi="Calibri"/>
          <w:b/>
          <w:bCs/>
          <w:szCs w:val="22"/>
        </w:rPr>
        <w:t>1、</w:t>
      </w:r>
      <w:r>
        <w:rPr>
          <w:rFonts w:ascii="Calibri" w:hAnsi="Calibri"/>
          <w:b/>
          <w:bCs/>
          <w:szCs w:val="22"/>
        </w:rPr>
        <w:t>性能</w:t>
      </w:r>
    </w:p>
    <w:p w14:paraId="3E25CE1A">
      <w:pPr>
        <w:spacing w:line="360" w:lineRule="auto"/>
        <w:ind w:firstLine="630" w:firstLineChars="300"/>
        <w:rPr>
          <w:rFonts w:asciiTheme="minorEastAsia" w:hAnsiTheme="minorEastAsia" w:eastAsiaTheme="minorEastAsia" w:cstheme="minorEastAsia"/>
          <w:szCs w:val="22"/>
        </w:rPr>
      </w:pPr>
      <w:r>
        <w:rPr>
          <w:rFonts w:hint="eastAsia" w:asciiTheme="minorEastAsia" w:hAnsiTheme="minorEastAsia" w:eastAsiaTheme="minorEastAsia" w:cstheme="minorEastAsia"/>
          <w:szCs w:val="22"/>
        </w:rPr>
        <w:t>(1)仪器：加样准确度与重复性：</w:t>
      </w:r>
    </w:p>
    <w:p w14:paraId="3F7A4476">
      <w:pPr>
        <w:spacing w:line="360" w:lineRule="auto"/>
        <w:ind w:firstLine="630" w:firstLineChars="300"/>
        <w:rPr>
          <w:rFonts w:asciiTheme="minorEastAsia" w:hAnsiTheme="minorEastAsia" w:eastAsiaTheme="minorEastAsia" w:cstheme="minorEastAsia"/>
          <w:szCs w:val="22"/>
        </w:rPr>
      </w:pPr>
      <w:r>
        <w:rPr>
          <w:rFonts w:hint="eastAsia" w:asciiTheme="minorEastAsia" w:hAnsiTheme="minorEastAsia" w:eastAsiaTheme="minorEastAsia" w:cstheme="minorEastAsia"/>
          <w:szCs w:val="22"/>
        </w:rPr>
        <w:t xml:space="preserve"> 标称加样量10（v）/ul : 偏依不超过±5%，变异系数（CV）%:≤2%</w:t>
      </w:r>
    </w:p>
    <w:p w14:paraId="55F9E405">
      <w:pPr>
        <w:spacing w:line="360" w:lineRule="auto"/>
        <w:ind w:firstLine="630" w:firstLineChars="300"/>
        <w:rPr>
          <w:rFonts w:asciiTheme="minorEastAsia" w:hAnsiTheme="minorEastAsia" w:eastAsiaTheme="minorEastAsia" w:cstheme="minorEastAsia"/>
          <w:szCs w:val="22"/>
        </w:rPr>
      </w:pPr>
      <w:r>
        <w:rPr>
          <w:rFonts w:hint="eastAsia" w:asciiTheme="minorEastAsia" w:hAnsiTheme="minorEastAsia" w:eastAsiaTheme="minorEastAsia" w:cstheme="minorEastAsia"/>
          <w:szCs w:val="22"/>
        </w:rPr>
        <w:t xml:space="preserve"> 标称加样量200（v）/ul : 偏依不超过±3%，变异系数（CV）%:≤1%</w:t>
      </w:r>
    </w:p>
    <w:p w14:paraId="1FA01E35">
      <w:pPr>
        <w:spacing w:line="360" w:lineRule="auto"/>
        <w:ind w:firstLine="630" w:firstLineChars="300"/>
        <w:rPr>
          <w:rFonts w:asciiTheme="minorEastAsia" w:hAnsiTheme="minorEastAsia" w:eastAsiaTheme="minorEastAsia" w:cstheme="minorEastAsia"/>
          <w:szCs w:val="22"/>
        </w:rPr>
      </w:pPr>
      <w:r>
        <w:rPr>
          <w:rFonts w:hint="eastAsia" w:asciiTheme="minorEastAsia" w:hAnsiTheme="minorEastAsia" w:eastAsiaTheme="minorEastAsia" w:cstheme="minorEastAsia"/>
          <w:szCs w:val="22"/>
        </w:rPr>
        <w:t>(2)发光值的线性：在不小于3个发光值数量级范围内，线性相关系数（r）≥0.99</w:t>
      </w:r>
    </w:p>
    <w:p w14:paraId="66058F52">
      <w:pPr>
        <w:spacing w:line="360" w:lineRule="auto"/>
        <w:ind w:firstLine="630" w:firstLineChars="300"/>
        <w:rPr>
          <w:rFonts w:asciiTheme="minorEastAsia" w:hAnsiTheme="minorEastAsia" w:eastAsiaTheme="minorEastAsia" w:cstheme="minorEastAsia"/>
          <w:szCs w:val="22"/>
        </w:rPr>
      </w:pPr>
      <w:r>
        <w:rPr>
          <w:rFonts w:hint="eastAsia" w:asciiTheme="minorEastAsia" w:hAnsiTheme="minorEastAsia" w:eastAsiaTheme="minorEastAsia" w:cstheme="minorEastAsia"/>
          <w:szCs w:val="22"/>
        </w:rPr>
        <w:t>(3)发光值的重复性：采用发光剂法：变异系数（CV）应不超过5%</w:t>
      </w:r>
    </w:p>
    <w:p w14:paraId="4C45F10F">
      <w:pPr>
        <w:spacing w:line="360" w:lineRule="auto"/>
        <w:ind w:firstLine="630" w:firstLineChars="300"/>
        <w:rPr>
          <w:rFonts w:ascii="Calibri" w:hAnsi="Calibri"/>
          <w:szCs w:val="22"/>
        </w:rPr>
      </w:pPr>
      <w:r>
        <w:rPr>
          <w:rFonts w:hint="eastAsia" w:asciiTheme="minorEastAsia" w:hAnsiTheme="minorEastAsia" w:eastAsiaTheme="minorEastAsia" w:cstheme="minorEastAsia"/>
          <w:szCs w:val="22"/>
        </w:rPr>
        <w:t>(4)发光值的稳定性：采用发光剂法：发光值的变化</w:t>
      </w:r>
      <w:r>
        <w:rPr>
          <w:rFonts w:ascii="Calibri" w:hAnsi="Calibri"/>
          <w:szCs w:val="22"/>
        </w:rPr>
        <w:t>应补超过±10%</w:t>
      </w:r>
    </w:p>
    <w:p w14:paraId="1581816D">
      <w:pPr>
        <w:spacing w:line="360" w:lineRule="auto"/>
        <w:ind w:firstLine="420" w:firstLineChars="200"/>
        <w:rPr>
          <w:rFonts w:ascii="Calibri" w:hAnsi="Calibri"/>
          <w:szCs w:val="22"/>
        </w:rPr>
      </w:pPr>
      <w:r>
        <w:rPr>
          <w:rFonts w:hint="eastAsia" w:ascii="Calibri" w:hAnsi="Calibri"/>
          <w:szCs w:val="22"/>
        </w:rPr>
        <w:t>2、</w:t>
      </w:r>
      <w:r>
        <w:rPr>
          <w:rFonts w:ascii="Calibri" w:hAnsi="Calibri"/>
          <w:szCs w:val="22"/>
        </w:rPr>
        <w:t>操作界面</w:t>
      </w:r>
      <w:r>
        <w:rPr>
          <w:rFonts w:hint="eastAsia" w:ascii="Calibri" w:hAnsi="Calibri"/>
          <w:szCs w:val="22"/>
        </w:rPr>
        <w:t>：≥</w:t>
      </w:r>
      <w:r>
        <w:rPr>
          <w:rFonts w:ascii="Calibri" w:hAnsi="Calibri"/>
          <w:szCs w:val="22"/>
        </w:rPr>
        <w:t>15寸</w:t>
      </w:r>
      <w:r>
        <w:rPr>
          <w:rFonts w:hint="eastAsia" w:ascii="Calibri" w:hAnsi="Calibri"/>
          <w:szCs w:val="22"/>
        </w:rPr>
        <w:t>的</w:t>
      </w:r>
      <w:r>
        <w:rPr>
          <w:rFonts w:ascii="Calibri" w:hAnsi="Calibri"/>
          <w:szCs w:val="22"/>
        </w:rPr>
        <w:t>高清彩色触摸屏</w:t>
      </w:r>
    </w:p>
    <w:p w14:paraId="4D886BAC">
      <w:pPr>
        <w:spacing w:line="360" w:lineRule="auto"/>
        <w:ind w:firstLine="420" w:firstLineChars="200"/>
        <w:rPr>
          <w:rFonts w:ascii="Calibri" w:hAnsi="Calibri"/>
          <w:szCs w:val="22"/>
        </w:rPr>
      </w:pPr>
      <w:r>
        <w:rPr>
          <w:rFonts w:hint="eastAsia" w:ascii="Calibri" w:hAnsi="Calibri"/>
          <w:szCs w:val="22"/>
        </w:rPr>
        <w:t>3、</w:t>
      </w:r>
      <w:r>
        <w:rPr>
          <w:rFonts w:ascii="Calibri" w:hAnsi="Calibri"/>
          <w:szCs w:val="22"/>
        </w:rPr>
        <w:t>样本类型</w:t>
      </w:r>
      <w:r>
        <w:rPr>
          <w:rFonts w:hint="eastAsia" w:ascii="Calibri" w:hAnsi="Calibri"/>
          <w:szCs w:val="22"/>
        </w:rPr>
        <w:t>：</w:t>
      </w:r>
      <w:r>
        <w:rPr>
          <w:rFonts w:ascii="Calibri" w:hAnsi="Calibri"/>
          <w:szCs w:val="22"/>
        </w:rPr>
        <w:t>EDTA血浆</w:t>
      </w:r>
    </w:p>
    <w:p w14:paraId="19D0CDA9">
      <w:pPr>
        <w:spacing w:line="360" w:lineRule="auto"/>
        <w:ind w:firstLine="420" w:firstLineChars="200"/>
        <w:rPr>
          <w:rFonts w:ascii="Calibri" w:hAnsi="Calibri"/>
          <w:szCs w:val="22"/>
        </w:rPr>
      </w:pPr>
      <w:r>
        <w:rPr>
          <w:rFonts w:hint="eastAsia" w:ascii="Calibri" w:hAnsi="Calibri"/>
          <w:szCs w:val="22"/>
        </w:rPr>
        <w:t>4、</w:t>
      </w:r>
      <w:r>
        <w:rPr>
          <w:rFonts w:ascii="Calibri" w:hAnsi="Calibri"/>
          <w:szCs w:val="22"/>
        </w:rPr>
        <w:t>试剂位数量</w:t>
      </w:r>
      <w:r>
        <w:rPr>
          <w:rFonts w:hint="eastAsia" w:ascii="Calibri" w:hAnsi="Calibri"/>
          <w:szCs w:val="22"/>
        </w:rPr>
        <w:t>：≥</w:t>
      </w:r>
      <w:r>
        <w:rPr>
          <w:rFonts w:ascii="Calibri" w:hAnsi="Calibri"/>
          <w:szCs w:val="22"/>
        </w:rPr>
        <w:t>25个</w:t>
      </w:r>
    </w:p>
    <w:p w14:paraId="70CCC7D5">
      <w:pPr>
        <w:spacing w:line="360" w:lineRule="auto"/>
        <w:ind w:firstLine="420" w:firstLineChars="200"/>
        <w:rPr>
          <w:rFonts w:ascii="Calibri" w:hAnsi="Calibri"/>
          <w:szCs w:val="22"/>
        </w:rPr>
      </w:pPr>
      <w:r>
        <w:rPr>
          <w:rFonts w:hint="eastAsia" w:ascii="Calibri" w:hAnsi="Calibri"/>
          <w:szCs w:val="22"/>
        </w:rPr>
        <w:t>5、</w:t>
      </w:r>
      <w:r>
        <w:rPr>
          <w:rFonts w:ascii="Calibri" w:hAnsi="Calibri"/>
          <w:szCs w:val="22"/>
        </w:rPr>
        <w:t>样本位数量</w:t>
      </w:r>
      <w:r>
        <w:rPr>
          <w:rFonts w:hint="eastAsia" w:ascii="Calibri" w:hAnsi="Calibri"/>
          <w:szCs w:val="22"/>
        </w:rPr>
        <w:t>：</w:t>
      </w:r>
      <w:r>
        <w:rPr>
          <w:rFonts w:ascii="Calibri" w:hAnsi="Calibri"/>
          <w:szCs w:val="22"/>
        </w:rPr>
        <w:t>样本位个数</w:t>
      </w:r>
      <w:r>
        <w:rPr>
          <w:rFonts w:ascii="Arial" w:hAnsi="Arial" w:cs="Arial"/>
          <w:szCs w:val="22"/>
        </w:rPr>
        <w:t>≥</w:t>
      </w:r>
      <w:r>
        <w:rPr>
          <w:rFonts w:ascii="Calibri" w:hAnsi="Calibri"/>
          <w:szCs w:val="22"/>
        </w:rPr>
        <w:t>60个</w:t>
      </w:r>
    </w:p>
    <w:p w14:paraId="50CF7745">
      <w:pPr>
        <w:spacing w:line="360" w:lineRule="auto"/>
        <w:ind w:firstLine="420" w:firstLineChars="200"/>
        <w:rPr>
          <w:rFonts w:ascii="Calibri" w:hAnsi="Calibri"/>
          <w:szCs w:val="22"/>
        </w:rPr>
      </w:pPr>
      <w:r>
        <w:rPr>
          <w:rFonts w:hint="eastAsia" w:ascii="Calibri" w:hAnsi="Calibri"/>
          <w:szCs w:val="22"/>
        </w:rPr>
        <w:t>6、</w:t>
      </w:r>
      <w:r>
        <w:rPr>
          <w:rFonts w:ascii="Calibri" w:hAnsi="Calibri"/>
          <w:szCs w:val="22"/>
        </w:rPr>
        <w:t>试剂冷藏时间</w:t>
      </w:r>
      <w:r>
        <w:rPr>
          <w:rFonts w:hint="eastAsia" w:ascii="Calibri" w:hAnsi="Calibri"/>
          <w:szCs w:val="22"/>
        </w:rPr>
        <w:t>：</w:t>
      </w:r>
      <w:r>
        <w:rPr>
          <w:rFonts w:ascii="Calibri" w:hAnsi="Calibri"/>
          <w:szCs w:val="22"/>
        </w:rPr>
        <w:t>24小时不间断冷藏，试剂盘冷藏温度</w:t>
      </w:r>
      <w:r>
        <w:rPr>
          <w:rFonts w:hint="eastAsia" w:ascii="Calibri" w:hAnsi="Calibri"/>
          <w:szCs w:val="22"/>
        </w:rPr>
        <w:t>2</w:t>
      </w:r>
      <w:r>
        <w:rPr>
          <w:rFonts w:hint="eastAsia" w:ascii="宋体" w:hAnsi="宋体" w:cs="宋体"/>
          <w:szCs w:val="22"/>
        </w:rPr>
        <w:t>℃</w:t>
      </w:r>
      <w:r>
        <w:rPr>
          <w:rFonts w:ascii="Calibri" w:hAnsi="Calibri" w:cs="Calibri"/>
          <w:szCs w:val="22"/>
        </w:rPr>
        <w:t>~8</w:t>
      </w:r>
      <w:r>
        <w:rPr>
          <w:rFonts w:hint="eastAsia" w:ascii="宋体" w:hAnsi="宋体" w:cs="宋体"/>
          <w:szCs w:val="22"/>
        </w:rPr>
        <w:t>℃</w:t>
      </w:r>
    </w:p>
    <w:p w14:paraId="61070D24">
      <w:pPr>
        <w:spacing w:line="360" w:lineRule="auto"/>
        <w:ind w:firstLine="420" w:firstLineChars="200"/>
        <w:rPr>
          <w:rFonts w:ascii="Calibri" w:hAnsi="Calibri"/>
          <w:szCs w:val="22"/>
        </w:rPr>
      </w:pPr>
      <w:r>
        <w:rPr>
          <w:rFonts w:hint="eastAsia" w:ascii="Calibri" w:hAnsi="Calibri"/>
          <w:szCs w:val="22"/>
        </w:rPr>
        <w:t>7、</w:t>
      </w:r>
      <w:r>
        <w:rPr>
          <w:rFonts w:ascii="Calibri" w:hAnsi="Calibri"/>
          <w:szCs w:val="22"/>
        </w:rPr>
        <w:t>操作系统</w:t>
      </w:r>
      <w:r>
        <w:rPr>
          <w:rFonts w:hint="eastAsia" w:ascii="Calibri" w:hAnsi="Calibri"/>
          <w:szCs w:val="22"/>
        </w:rPr>
        <w:t>：</w:t>
      </w:r>
      <w:r>
        <w:rPr>
          <w:rFonts w:ascii="Calibri" w:hAnsi="Calibri"/>
          <w:szCs w:val="22"/>
        </w:rPr>
        <w:t>自带Linux环境下测试控制管理软件</w:t>
      </w:r>
    </w:p>
    <w:p w14:paraId="598A5C5E">
      <w:pPr>
        <w:spacing w:line="360" w:lineRule="auto"/>
        <w:ind w:firstLine="420" w:firstLineChars="200"/>
        <w:rPr>
          <w:rFonts w:ascii="Calibri" w:hAnsi="Calibri"/>
          <w:szCs w:val="22"/>
        </w:rPr>
      </w:pPr>
      <w:r>
        <w:rPr>
          <w:rFonts w:hint="eastAsia" w:ascii="Calibri" w:hAnsi="Calibri"/>
          <w:szCs w:val="22"/>
        </w:rPr>
        <w:t>8、</w:t>
      </w:r>
      <w:r>
        <w:rPr>
          <w:rFonts w:ascii="Calibri" w:hAnsi="Calibri"/>
          <w:szCs w:val="22"/>
        </w:rPr>
        <w:t>硬件配置</w:t>
      </w:r>
      <w:r>
        <w:rPr>
          <w:rFonts w:hint="eastAsia" w:ascii="Calibri" w:hAnsi="Calibri"/>
          <w:szCs w:val="22"/>
        </w:rPr>
        <w:t>：</w:t>
      </w:r>
      <w:r>
        <w:rPr>
          <w:rFonts w:ascii="Calibri" w:hAnsi="Calibri"/>
          <w:szCs w:val="22"/>
        </w:rPr>
        <w:t>内存2GB、主频4*1GHz及以上；存储器：8GB及以上</w:t>
      </w:r>
    </w:p>
    <w:p w14:paraId="2C9E7ED6">
      <w:pPr>
        <w:spacing w:line="360" w:lineRule="auto"/>
        <w:ind w:firstLine="420" w:firstLineChars="200"/>
        <w:rPr>
          <w:rFonts w:ascii="Calibri" w:hAnsi="Calibri"/>
          <w:szCs w:val="22"/>
        </w:rPr>
      </w:pPr>
      <w:r>
        <w:rPr>
          <w:rFonts w:hint="eastAsia" w:ascii="Calibri" w:hAnsi="Calibri"/>
          <w:szCs w:val="22"/>
        </w:rPr>
        <w:t>9、检测方法：吖啶酯直接化学发光检测（磁微粒化学发光法）</w:t>
      </w:r>
    </w:p>
    <w:p w14:paraId="6C4907CC"/>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87"/>
        <w:gridCol w:w="4587"/>
      </w:tblGrid>
      <w:tr w14:paraId="62348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7" w:type="dxa"/>
            <w:noWrap/>
          </w:tcPr>
          <w:p w14:paraId="3CA43262">
            <w:pPr>
              <w:jc w:val="center"/>
              <w:rPr>
                <w:rFonts w:ascii="宋体" w:hAnsi="宋体"/>
                <w:szCs w:val="21"/>
              </w:rPr>
            </w:pPr>
            <w:r>
              <w:rPr>
                <w:rFonts w:hint="eastAsia" w:ascii="宋体" w:hAnsi="宋体"/>
                <w:szCs w:val="21"/>
              </w:rPr>
              <w:t>配套试剂种类</w:t>
            </w:r>
          </w:p>
        </w:tc>
        <w:tc>
          <w:tcPr>
            <w:tcW w:w="4587" w:type="dxa"/>
            <w:noWrap/>
          </w:tcPr>
          <w:p w14:paraId="09BF1A5F">
            <w:pPr>
              <w:jc w:val="center"/>
              <w:rPr>
                <w:rFonts w:ascii="宋体" w:hAnsi="宋体"/>
                <w:szCs w:val="21"/>
              </w:rPr>
            </w:pPr>
            <w:r>
              <w:rPr>
                <w:rFonts w:hint="eastAsia" w:ascii="宋体" w:hAnsi="宋体"/>
                <w:szCs w:val="21"/>
              </w:rPr>
              <w:t>预算价格</w:t>
            </w:r>
          </w:p>
        </w:tc>
      </w:tr>
      <w:tr w14:paraId="4FA96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7" w:type="dxa"/>
            <w:noWrap/>
          </w:tcPr>
          <w:p w14:paraId="3CE7EF39">
            <w:pPr>
              <w:jc w:val="center"/>
              <w:rPr>
                <w:rFonts w:ascii="宋体" w:hAnsi="宋体"/>
                <w:szCs w:val="21"/>
              </w:rPr>
            </w:pPr>
            <w:r>
              <w:rPr>
                <w:rFonts w:ascii="Calibri" w:hAnsi="Calibri"/>
                <w:szCs w:val="21"/>
              </w:rPr>
              <w:t>Aβ1-40</w:t>
            </w:r>
          </w:p>
        </w:tc>
        <w:tc>
          <w:tcPr>
            <w:tcW w:w="4587" w:type="dxa"/>
            <w:noWrap/>
          </w:tcPr>
          <w:p w14:paraId="4BA9932E">
            <w:pPr>
              <w:jc w:val="center"/>
              <w:rPr>
                <w:rFonts w:ascii="宋体" w:hAnsi="宋体"/>
                <w:szCs w:val="21"/>
              </w:rPr>
            </w:pPr>
            <w:r>
              <w:rPr>
                <w:rFonts w:hint="eastAsia" w:ascii="宋体" w:hAnsi="宋体"/>
                <w:szCs w:val="21"/>
              </w:rPr>
              <w:t>200元/人份</w:t>
            </w:r>
          </w:p>
        </w:tc>
      </w:tr>
      <w:tr w14:paraId="5144E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7" w:type="dxa"/>
            <w:noWrap/>
          </w:tcPr>
          <w:p w14:paraId="5E033463">
            <w:pPr>
              <w:jc w:val="center"/>
              <w:rPr>
                <w:rFonts w:ascii="宋体" w:hAnsi="宋体"/>
                <w:szCs w:val="21"/>
              </w:rPr>
            </w:pPr>
            <w:r>
              <w:rPr>
                <w:rFonts w:ascii="Calibri" w:hAnsi="Calibri"/>
                <w:szCs w:val="21"/>
              </w:rPr>
              <w:t>Aβ1-42</w:t>
            </w:r>
          </w:p>
        </w:tc>
        <w:tc>
          <w:tcPr>
            <w:tcW w:w="4587" w:type="dxa"/>
            <w:noWrap/>
          </w:tcPr>
          <w:p w14:paraId="635F0145">
            <w:pPr>
              <w:jc w:val="center"/>
              <w:rPr>
                <w:rFonts w:ascii="宋体" w:hAnsi="宋体"/>
                <w:szCs w:val="21"/>
              </w:rPr>
            </w:pPr>
            <w:r>
              <w:rPr>
                <w:rFonts w:hint="eastAsia" w:ascii="宋体" w:hAnsi="宋体"/>
                <w:szCs w:val="21"/>
              </w:rPr>
              <w:t>200元/人份</w:t>
            </w:r>
          </w:p>
        </w:tc>
      </w:tr>
      <w:tr w14:paraId="61B30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7" w:type="dxa"/>
            <w:noWrap/>
          </w:tcPr>
          <w:p w14:paraId="7CC7C896">
            <w:pPr>
              <w:jc w:val="center"/>
              <w:rPr>
                <w:rFonts w:ascii="宋体" w:hAnsi="宋体"/>
                <w:szCs w:val="21"/>
              </w:rPr>
            </w:pPr>
            <w:r>
              <w:rPr>
                <w:rFonts w:ascii="Calibri" w:hAnsi="Calibri"/>
                <w:szCs w:val="21"/>
              </w:rPr>
              <w:t>p-Tau 181</w:t>
            </w:r>
          </w:p>
        </w:tc>
        <w:tc>
          <w:tcPr>
            <w:tcW w:w="4587" w:type="dxa"/>
            <w:noWrap/>
          </w:tcPr>
          <w:p w14:paraId="2AAB0AA6">
            <w:pPr>
              <w:jc w:val="center"/>
              <w:rPr>
                <w:rFonts w:ascii="宋体" w:hAnsi="宋体"/>
                <w:szCs w:val="21"/>
              </w:rPr>
            </w:pPr>
            <w:r>
              <w:rPr>
                <w:rFonts w:hint="eastAsia" w:ascii="宋体" w:hAnsi="宋体"/>
                <w:szCs w:val="21"/>
              </w:rPr>
              <w:t>200元/人份</w:t>
            </w:r>
          </w:p>
        </w:tc>
      </w:tr>
      <w:tr w14:paraId="108DC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7" w:type="dxa"/>
            <w:noWrap/>
          </w:tcPr>
          <w:p w14:paraId="648E6876">
            <w:pPr>
              <w:jc w:val="center"/>
              <w:rPr>
                <w:rFonts w:ascii="宋体" w:hAnsi="宋体"/>
                <w:szCs w:val="21"/>
              </w:rPr>
            </w:pPr>
            <w:r>
              <w:rPr>
                <w:rFonts w:ascii="Calibri" w:hAnsi="Calibri"/>
                <w:szCs w:val="21"/>
              </w:rPr>
              <w:t>p-Tau 217</w:t>
            </w:r>
          </w:p>
        </w:tc>
        <w:tc>
          <w:tcPr>
            <w:tcW w:w="4587" w:type="dxa"/>
            <w:noWrap/>
          </w:tcPr>
          <w:p w14:paraId="26332D58">
            <w:pPr>
              <w:jc w:val="center"/>
              <w:rPr>
                <w:rFonts w:ascii="宋体" w:hAnsi="宋体"/>
                <w:szCs w:val="21"/>
              </w:rPr>
            </w:pPr>
            <w:r>
              <w:rPr>
                <w:rFonts w:hint="eastAsia" w:ascii="宋体" w:hAnsi="宋体"/>
                <w:szCs w:val="21"/>
              </w:rPr>
              <w:t>200元/人份</w:t>
            </w:r>
          </w:p>
        </w:tc>
      </w:tr>
      <w:tr w14:paraId="293DD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7" w:type="dxa"/>
            <w:noWrap/>
          </w:tcPr>
          <w:p w14:paraId="1BA6BAF7">
            <w:pPr>
              <w:jc w:val="center"/>
              <w:rPr>
                <w:rFonts w:ascii="宋体" w:hAnsi="宋体"/>
                <w:szCs w:val="21"/>
              </w:rPr>
            </w:pPr>
            <w:r>
              <w:rPr>
                <w:rFonts w:ascii="Calibri" w:hAnsi="Calibri"/>
                <w:szCs w:val="21"/>
              </w:rPr>
              <w:t>GFAP</w:t>
            </w:r>
          </w:p>
        </w:tc>
        <w:tc>
          <w:tcPr>
            <w:tcW w:w="4587" w:type="dxa"/>
            <w:noWrap/>
          </w:tcPr>
          <w:p w14:paraId="4E9BFE27">
            <w:pPr>
              <w:jc w:val="center"/>
              <w:rPr>
                <w:rFonts w:ascii="宋体" w:hAnsi="宋体"/>
                <w:szCs w:val="21"/>
              </w:rPr>
            </w:pPr>
            <w:r>
              <w:rPr>
                <w:rFonts w:hint="eastAsia" w:ascii="宋体" w:hAnsi="宋体"/>
                <w:szCs w:val="21"/>
              </w:rPr>
              <w:t>200元/人份</w:t>
            </w:r>
          </w:p>
        </w:tc>
      </w:tr>
      <w:tr w14:paraId="157C6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7" w:type="dxa"/>
            <w:noWrap/>
          </w:tcPr>
          <w:p w14:paraId="339815A5">
            <w:pPr>
              <w:jc w:val="center"/>
              <w:rPr>
                <w:rFonts w:ascii="宋体" w:hAnsi="宋体"/>
                <w:szCs w:val="21"/>
              </w:rPr>
            </w:pPr>
            <w:r>
              <w:rPr>
                <w:rFonts w:ascii="Calibri" w:hAnsi="Calibri"/>
                <w:szCs w:val="21"/>
              </w:rPr>
              <w:t>NfL</w:t>
            </w:r>
          </w:p>
        </w:tc>
        <w:tc>
          <w:tcPr>
            <w:tcW w:w="4587" w:type="dxa"/>
            <w:noWrap/>
          </w:tcPr>
          <w:p w14:paraId="7CAE0F90">
            <w:pPr>
              <w:jc w:val="center"/>
              <w:rPr>
                <w:rFonts w:ascii="宋体" w:hAnsi="宋体"/>
                <w:szCs w:val="21"/>
              </w:rPr>
            </w:pPr>
            <w:r>
              <w:rPr>
                <w:rFonts w:hint="eastAsia" w:ascii="宋体" w:hAnsi="宋体"/>
                <w:szCs w:val="21"/>
              </w:rPr>
              <w:t>200元/人份</w:t>
            </w:r>
          </w:p>
        </w:tc>
      </w:tr>
      <w:tr w14:paraId="0F8AB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7" w:type="dxa"/>
            <w:noWrap/>
          </w:tcPr>
          <w:p w14:paraId="08497B0F">
            <w:pPr>
              <w:jc w:val="center"/>
              <w:rPr>
                <w:rFonts w:ascii="Calibri" w:hAnsi="Calibri"/>
                <w:szCs w:val="21"/>
              </w:rPr>
            </w:pPr>
            <w:r>
              <w:rPr>
                <w:rFonts w:hint="eastAsia" w:ascii="Calibri" w:hAnsi="Calibri"/>
                <w:szCs w:val="21"/>
              </w:rPr>
              <w:t>帕</w:t>
            </w:r>
            <w:r>
              <w:rPr>
                <w:rFonts w:ascii="Calibri" w:hAnsi="Calibri"/>
                <w:szCs w:val="21"/>
              </w:rPr>
              <w:t>金森：o-a-synuclein*、pS129-a-syn*、a-synuclein*</w:t>
            </w:r>
          </w:p>
        </w:tc>
        <w:tc>
          <w:tcPr>
            <w:tcW w:w="4587" w:type="dxa"/>
            <w:noWrap/>
          </w:tcPr>
          <w:p w14:paraId="42BF2BC2">
            <w:pPr>
              <w:jc w:val="center"/>
              <w:rPr>
                <w:rFonts w:ascii="Calibri" w:hAnsi="Calibri"/>
                <w:szCs w:val="21"/>
              </w:rPr>
            </w:pPr>
            <w:r>
              <w:rPr>
                <w:rFonts w:ascii="Calibri" w:hAnsi="Calibri"/>
                <w:szCs w:val="21"/>
              </w:rPr>
              <w:t>o-a-synuclein*</w:t>
            </w:r>
            <w:r>
              <w:rPr>
                <w:rFonts w:hint="eastAsia" w:ascii="Calibri" w:hAnsi="Calibri"/>
                <w:szCs w:val="21"/>
              </w:rPr>
              <w:t>：200元/人份</w:t>
            </w:r>
          </w:p>
          <w:p w14:paraId="51440449">
            <w:pPr>
              <w:jc w:val="center"/>
              <w:rPr>
                <w:rFonts w:ascii="Calibri" w:hAnsi="Calibri"/>
                <w:szCs w:val="21"/>
              </w:rPr>
            </w:pPr>
            <w:r>
              <w:rPr>
                <w:rFonts w:ascii="Calibri" w:hAnsi="Calibri"/>
                <w:szCs w:val="21"/>
              </w:rPr>
              <w:t>pS129-a-syn*</w:t>
            </w:r>
            <w:r>
              <w:rPr>
                <w:rFonts w:hint="eastAsia" w:ascii="Calibri" w:hAnsi="Calibri"/>
                <w:szCs w:val="21"/>
              </w:rPr>
              <w:t>：200元/人份</w:t>
            </w:r>
          </w:p>
          <w:p w14:paraId="2F0D0D91">
            <w:pPr>
              <w:jc w:val="center"/>
              <w:rPr>
                <w:rFonts w:ascii="宋体" w:hAnsi="宋体"/>
                <w:szCs w:val="21"/>
              </w:rPr>
            </w:pPr>
            <w:r>
              <w:rPr>
                <w:rFonts w:ascii="Calibri" w:hAnsi="Calibri"/>
                <w:szCs w:val="21"/>
              </w:rPr>
              <w:t>a-synuclein*</w:t>
            </w:r>
            <w:r>
              <w:rPr>
                <w:rFonts w:hint="eastAsia" w:ascii="Calibri" w:hAnsi="Calibri"/>
                <w:szCs w:val="21"/>
              </w:rPr>
              <w:t>：200元/人份</w:t>
            </w:r>
          </w:p>
        </w:tc>
      </w:tr>
    </w:tbl>
    <w:p w14:paraId="639C8581">
      <w:pPr>
        <w:spacing w:line="360" w:lineRule="auto"/>
        <w:jc w:val="center"/>
        <w:rPr>
          <w:b/>
          <w:bCs/>
        </w:rPr>
      </w:pPr>
    </w:p>
    <w:p w14:paraId="4494D13A">
      <w:pPr>
        <w:spacing w:line="360" w:lineRule="auto"/>
        <w:jc w:val="center"/>
        <w:rPr>
          <w:rFonts w:ascii="方正小标宋简体" w:hAnsi="方正小标宋简体" w:eastAsia="方正小标宋简体" w:cs="方正小标宋简体"/>
          <w:b/>
          <w:bCs/>
          <w:sz w:val="32"/>
          <w:szCs w:val="32"/>
        </w:rPr>
      </w:pPr>
      <w:r>
        <w:rPr>
          <w:rFonts w:hint="eastAsia"/>
          <w:b/>
          <w:bCs/>
        </w:rPr>
        <w:t>包2：心肺复苏机技术参数</w:t>
      </w:r>
    </w:p>
    <w:p w14:paraId="31C20C7B">
      <w:pPr>
        <w:widowControl/>
        <w:snapToGrid w:val="0"/>
        <w:spacing w:line="360" w:lineRule="auto"/>
        <w:jc w:val="left"/>
        <w:rPr>
          <w:rFonts w:ascii="宋体" w:hAnsi="宋体" w:cs="宋体"/>
          <w:szCs w:val="21"/>
        </w:rPr>
      </w:pPr>
    </w:p>
    <w:p w14:paraId="11C2806E">
      <w:pPr>
        <w:widowControl/>
        <w:snapToGrid w:val="0"/>
        <w:spacing w:line="360" w:lineRule="auto"/>
        <w:jc w:val="left"/>
        <w:rPr>
          <w:rFonts w:ascii="宋体" w:hAnsi="宋体" w:cs="宋体"/>
          <w:b/>
          <w:szCs w:val="21"/>
        </w:rPr>
      </w:pPr>
      <w:r>
        <w:rPr>
          <w:rFonts w:hint="eastAsia" w:ascii="宋体" w:hAnsi="宋体" w:cs="宋体"/>
          <w:b/>
          <w:szCs w:val="21"/>
        </w:rPr>
        <w:t>一、按压系统参数</w:t>
      </w:r>
    </w:p>
    <w:p w14:paraId="63E3E8AD">
      <w:pPr>
        <w:widowControl/>
        <w:snapToGrid w:val="0"/>
        <w:spacing w:line="360" w:lineRule="auto"/>
        <w:ind w:firstLine="210" w:firstLineChars="100"/>
        <w:jc w:val="left"/>
        <w:rPr>
          <w:rFonts w:ascii="宋体" w:hAnsi="宋体" w:cs="宋体"/>
          <w:szCs w:val="21"/>
        </w:rPr>
      </w:pPr>
      <w:r>
        <w:rPr>
          <w:rFonts w:hint="eastAsia" w:ascii="宋体" w:hAnsi="宋体" w:cs="宋体"/>
          <w:szCs w:val="21"/>
        </w:rPr>
        <w:t>1、工作原理：电动电控。</w:t>
      </w:r>
    </w:p>
    <w:p w14:paraId="4783F18A">
      <w:pPr>
        <w:widowControl/>
        <w:snapToGrid w:val="0"/>
        <w:spacing w:line="360" w:lineRule="auto"/>
        <w:jc w:val="left"/>
        <w:rPr>
          <w:rFonts w:ascii="宋体" w:hAnsi="宋体" w:cs="宋体"/>
          <w:szCs w:val="21"/>
        </w:rPr>
      </w:pPr>
      <w:r>
        <w:rPr>
          <w:rFonts w:hint="eastAsia" w:ascii="宋体" w:hAnsi="宋体" w:cs="宋体"/>
          <w:szCs w:val="21"/>
        </w:rPr>
        <w:t xml:space="preserve">  2、按压频率：100 - 120次/分钟可调，调节精度为±1次/分钟，能精准匹配国际心肺复苏指南要求。</w:t>
      </w:r>
    </w:p>
    <w:p w14:paraId="24ACB1C8">
      <w:pPr>
        <w:widowControl/>
        <w:snapToGrid w:val="0"/>
        <w:spacing w:line="360" w:lineRule="auto"/>
        <w:jc w:val="left"/>
        <w:rPr>
          <w:rFonts w:ascii="宋体" w:hAnsi="宋体" w:cs="宋体"/>
          <w:szCs w:val="21"/>
        </w:rPr>
      </w:pPr>
      <w:r>
        <w:rPr>
          <w:rFonts w:hint="eastAsia" w:ascii="宋体" w:hAnsi="宋体" w:cs="宋体"/>
          <w:szCs w:val="21"/>
        </w:rPr>
        <w:t xml:space="preserve">  3、按压深度：1- 6cm可调节，调节控制精度达±0.2cm，可针对不同体型患者实现精准按压。</w:t>
      </w:r>
    </w:p>
    <w:p w14:paraId="028E32ED">
      <w:pPr>
        <w:widowControl/>
        <w:snapToGrid w:val="0"/>
        <w:spacing w:line="360" w:lineRule="auto"/>
        <w:jc w:val="left"/>
        <w:rPr>
          <w:rFonts w:ascii="宋体" w:hAnsi="宋体" w:cs="宋体"/>
          <w:szCs w:val="21"/>
        </w:rPr>
      </w:pPr>
      <w:r>
        <w:rPr>
          <w:rFonts w:hint="eastAsia" w:ascii="宋体" w:hAnsi="宋体" w:cs="宋体"/>
          <w:szCs w:val="21"/>
        </w:rPr>
        <w:t xml:space="preserve">  4、按压压力：具备实时反馈按压压力数据，保证按压效果稳定且避免过度按压造成损伤。</w:t>
      </w:r>
    </w:p>
    <w:p w14:paraId="7DCC3C67">
      <w:pPr>
        <w:widowControl/>
        <w:snapToGrid w:val="0"/>
        <w:spacing w:line="360" w:lineRule="auto"/>
        <w:jc w:val="left"/>
        <w:rPr>
          <w:rFonts w:ascii="宋体" w:hAnsi="宋体" w:cs="宋体"/>
          <w:szCs w:val="21"/>
        </w:rPr>
      </w:pPr>
      <w:r>
        <w:rPr>
          <w:rFonts w:hint="eastAsia" w:ascii="宋体" w:hAnsi="宋体" w:cs="宋体"/>
          <w:szCs w:val="21"/>
        </w:rPr>
        <w:t xml:space="preserve">  5、按压模式：具备连续按压和15:2、30:2按压通气模式。</w:t>
      </w:r>
    </w:p>
    <w:p w14:paraId="1FA39AA9">
      <w:pPr>
        <w:spacing w:line="360" w:lineRule="auto"/>
        <w:ind w:firstLine="210" w:firstLineChars="100"/>
        <w:rPr>
          <w:rFonts w:ascii="宋体" w:hAnsi="宋体" w:cs="宋体"/>
          <w:szCs w:val="21"/>
        </w:rPr>
      </w:pPr>
      <w:r>
        <w:rPr>
          <w:rFonts w:hint="eastAsia" w:ascii="宋体" w:hAnsi="宋体" w:cs="宋体"/>
          <w:szCs w:val="22"/>
        </w:rPr>
        <w:t>6、按压/释放比：1:1。</w:t>
      </w:r>
    </w:p>
    <w:p w14:paraId="05F822B6">
      <w:pPr>
        <w:widowControl/>
        <w:snapToGrid w:val="0"/>
        <w:spacing w:line="360" w:lineRule="auto"/>
        <w:jc w:val="left"/>
        <w:rPr>
          <w:rFonts w:ascii="宋体" w:hAnsi="宋体" w:cs="宋体"/>
          <w:b/>
          <w:szCs w:val="21"/>
        </w:rPr>
      </w:pPr>
      <w:r>
        <w:rPr>
          <w:rFonts w:hint="eastAsia" w:ascii="宋体" w:hAnsi="宋体" w:cs="宋体"/>
          <w:b/>
          <w:szCs w:val="21"/>
        </w:rPr>
        <w:t>二、通气系统参数</w:t>
      </w:r>
    </w:p>
    <w:p w14:paraId="3C92F6E2">
      <w:pPr>
        <w:widowControl/>
        <w:snapToGrid w:val="0"/>
        <w:spacing w:line="360" w:lineRule="auto"/>
        <w:jc w:val="left"/>
        <w:rPr>
          <w:rFonts w:ascii="宋体" w:hAnsi="宋体" w:cs="宋体"/>
          <w:szCs w:val="21"/>
        </w:rPr>
      </w:pPr>
      <w:r>
        <w:rPr>
          <w:rFonts w:hint="eastAsia" w:ascii="宋体" w:hAnsi="宋体" w:cs="宋体"/>
          <w:szCs w:val="21"/>
        </w:rPr>
        <w:t xml:space="preserve">  1、潮气量：0-1500ml可调，调节精度10ml，</w:t>
      </w:r>
      <w:r>
        <w:rPr>
          <w:rFonts w:hint="eastAsia" w:ascii="宋体" w:hAnsi="宋体" w:cs="宋体"/>
          <w:kern w:val="0"/>
          <w:szCs w:val="21"/>
        </w:rPr>
        <w:t>具有自动通气和手动通气</w:t>
      </w:r>
      <w:r>
        <w:rPr>
          <w:rFonts w:hint="eastAsia" w:ascii="宋体" w:hAnsi="宋体" w:cs="宋体"/>
          <w:kern w:val="0"/>
          <w:sz w:val="24"/>
          <w:szCs w:val="22"/>
        </w:rPr>
        <w:t>，</w:t>
      </w:r>
      <w:r>
        <w:rPr>
          <w:rFonts w:hint="eastAsia" w:ascii="宋体" w:hAnsi="宋体" w:cs="宋体"/>
          <w:szCs w:val="21"/>
        </w:rPr>
        <w:t>能根据患者实际情况调整通气方式。</w:t>
      </w:r>
    </w:p>
    <w:p w14:paraId="5DA607B9">
      <w:pPr>
        <w:widowControl/>
        <w:snapToGrid w:val="0"/>
        <w:spacing w:line="360" w:lineRule="auto"/>
        <w:ind w:firstLine="210" w:firstLineChars="100"/>
        <w:jc w:val="left"/>
        <w:rPr>
          <w:rFonts w:ascii="宋体" w:hAnsi="宋体" w:cs="宋体"/>
          <w:szCs w:val="21"/>
        </w:rPr>
      </w:pPr>
      <w:r>
        <w:rPr>
          <w:rFonts w:hint="eastAsia" w:ascii="宋体" w:hAnsi="宋体" w:cs="宋体"/>
          <w:szCs w:val="21"/>
        </w:rPr>
        <w:t>2、通气频率：8 -20次/分钟可设置，设置精度±1次/分钟，与按压频率协同，维持有效的气体交换。</w:t>
      </w:r>
    </w:p>
    <w:p w14:paraId="632C866F">
      <w:pPr>
        <w:widowControl/>
        <w:snapToGrid w:val="0"/>
        <w:spacing w:line="360" w:lineRule="auto"/>
        <w:jc w:val="left"/>
        <w:rPr>
          <w:rFonts w:ascii="宋体" w:hAnsi="宋体" w:cs="宋体"/>
          <w:szCs w:val="21"/>
        </w:rPr>
      </w:pPr>
      <w:r>
        <w:rPr>
          <w:rFonts w:hint="eastAsia" w:ascii="宋体" w:hAnsi="宋体" w:cs="宋体"/>
          <w:szCs w:val="21"/>
        </w:rPr>
        <w:t xml:space="preserve">  3、氧浓度调节：21% -100%范围内可调，调节精度±3%，为患者提供精准的氧浓度支持。</w:t>
      </w:r>
    </w:p>
    <w:p w14:paraId="1D564BFD">
      <w:pPr>
        <w:spacing w:line="360" w:lineRule="auto"/>
        <w:ind w:firstLine="210" w:firstLineChars="100"/>
        <w:rPr>
          <w:rFonts w:ascii="宋体" w:hAnsi="宋体" w:cs="宋体"/>
          <w:szCs w:val="22"/>
        </w:rPr>
      </w:pPr>
      <w:r>
        <w:rPr>
          <w:rFonts w:hint="eastAsia" w:ascii="宋体" w:hAnsi="宋体" w:cs="宋体"/>
          <w:szCs w:val="22"/>
        </w:rPr>
        <w:t>4、具有气源压、气道压监测，具有自定义气道压报警功能。</w:t>
      </w:r>
    </w:p>
    <w:p w14:paraId="09FF4E8F">
      <w:pPr>
        <w:widowControl/>
        <w:snapToGrid w:val="0"/>
        <w:spacing w:line="360" w:lineRule="auto"/>
        <w:jc w:val="left"/>
        <w:rPr>
          <w:rFonts w:ascii="宋体" w:hAnsi="宋体" w:cs="宋体"/>
          <w:b/>
          <w:szCs w:val="21"/>
        </w:rPr>
      </w:pPr>
      <w:r>
        <w:rPr>
          <w:rFonts w:hint="eastAsia" w:ascii="宋体" w:hAnsi="宋体" w:cs="宋体"/>
          <w:b/>
          <w:szCs w:val="21"/>
        </w:rPr>
        <w:t>三、其他参数</w:t>
      </w:r>
    </w:p>
    <w:p w14:paraId="07100F86">
      <w:pPr>
        <w:widowControl/>
        <w:snapToGrid w:val="0"/>
        <w:spacing w:line="360" w:lineRule="auto"/>
        <w:jc w:val="left"/>
        <w:rPr>
          <w:rFonts w:ascii="宋体" w:hAnsi="宋体" w:cs="宋体"/>
          <w:szCs w:val="21"/>
        </w:rPr>
      </w:pPr>
      <w:r>
        <w:rPr>
          <w:rFonts w:hint="eastAsia" w:ascii="宋体" w:hAnsi="宋体" w:cs="宋体"/>
          <w:szCs w:val="21"/>
        </w:rPr>
        <w:t xml:space="preserve">  1、电源：交流、直流输入车载电源或内置锂电池，充满电后连续工作时间可达60分钟以上。</w:t>
      </w:r>
    </w:p>
    <w:p w14:paraId="44F69397">
      <w:pPr>
        <w:widowControl/>
        <w:snapToGrid w:val="0"/>
        <w:spacing w:line="360" w:lineRule="auto"/>
        <w:ind w:firstLine="210" w:firstLineChars="100"/>
        <w:jc w:val="left"/>
        <w:rPr>
          <w:rFonts w:ascii="宋体" w:hAnsi="宋体" w:cs="宋体"/>
          <w:szCs w:val="21"/>
        </w:rPr>
      </w:pPr>
      <w:r>
        <w:rPr>
          <w:rFonts w:hint="eastAsia" w:ascii="宋体" w:hAnsi="宋体" w:cs="宋体"/>
          <w:szCs w:val="21"/>
        </w:rPr>
        <w:t>2、显示屏：具有电子显示屏，可设置并实时显示相关按压参数等。</w:t>
      </w:r>
    </w:p>
    <w:p w14:paraId="2ACD0894">
      <w:pPr>
        <w:widowControl/>
        <w:snapToGrid w:val="0"/>
        <w:spacing w:line="360" w:lineRule="auto"/>
        <w:jc w:val="left"/>
        <w:rPr>
          <w:rFonts w:ascii="宋体" w:hAnsi="宋体" w:cs="宋体"/>
          <w:szCs w:val="21"/>
        </w:rPr>
      </w:pPr>
      <w:r>
        <w:rPr>
          <w:rFonts w:hint="eastAsia" w:ascii="宋体" w:hAnsi="宋体" w:cs="宋体"/>
          <w:szCs w:val="21"/>
        </w:rPr>
        <w:t xml:space="preserve">  3、智能提示：具备智能语音提示和故障报警功能，报警</w:t>
      </w:r>
      <w:r>
        <w:rPr>
          <w:rFonts w:hint="eastAsia" w:ascii="宋体" w:hAnsi="宋体" w:cs="宋体"/>
          <w:kern w:val="0"/>
          <w:sz w:val="24"/>
          <w:szCs w:val="22"/>
        </w:rPr>
        <w:t>音量可调，</w:t>
      </w:r>
      <w:r>
        <w:rPr>
          <w:rFonts w:hint="eastAsia" w:ascii="宋体" w:hAnsi="宋体" w:cs="宋体"/>
          <w:szCs w:val="21"/>
        </w:rPr>
        <w:t>能及时提醒医护人员操作注意事项和设备故障情况，电量显示，低电压报警，启动暂停功能，具有按压、通气状态指示灯提示功能。</w:t>
      </w:r>
    </w:p>
    <w:p w14:paraId="592C54AE">
      <w:pPr>
        <w:widowControl/>
        <w:snapToGrid w:val="0"/>
        <w:spacing w:line="360" w:lineRule="auto"/>
        <w:jc w:val="left"/>
        <w:rPr>
          <w:rFonts w:ascii="宋体" w:hAnsi="宋体" w:cs="宋体"/>
          <w:szCs w:val="21"/>
        </w:rPr>
      </w:pPr>
      <w:r>
        <w:rPr>
          <w:rFonts w:hint="eastAsia" w:ascii="宋体" w:hAnsi="宋体" w:cs="宋体"/>
          <w:szCs w:val="21"/>
        </w:rPr>
        <w:t xml:space="preserve">  4、数据记录：可记录按压深度、频率、通气量等数据，存储容量大，能保存多次急救记录，方便后续分析和评估。</w:t>
      </w:r>
    </w:p>
    <w:p w14:paraId="0D9F764E">
      <w:pPr>
        <w:spacing w:line="360" w:lineRule="auto"/>
        <w:ind w:firstLine="210" w:firstLineChars="100"/>
        <w:rPr>
          <w:rFonts w:ascii="宋体" w:hAnsi="宋体" w:cs="宋体"/>
          <w:szCs w:val="22"/>
        </w:rPr>
      </w:pPr>
      <w:r>
        <w:rPr>
          <w:rFonts w:hint="eastAsia" w:ascii="宋体" w:hAnsi="宋体" w:cs="宋体"/>
          <w:szCs w:val="22"/>
        </w:rPr>
        <w:t>5、CPR质量生理监测：达到2020年国际最新心肺复苏质量监测指南要求，监测和优化CPR质量，内置EtCO2生理参数监测范围为：0mmHg ~150mmHg。</w:t>
      </w:r>
    </w:p>
    <w:p w14:paraId="28AFA4E5">
      <w:pPr>
        <w:spacing w:line="360" w:lineRule="auto"/>
        <w:rPr>
          <w:rFonts w:ascii="宋体" w:hAnsi="宋体" w:cs="宋体"/>
          <w:szCs w:val="21"/>
        </w:rPr>
      </w:pPr>
      <w:r>
        <w:rPr>
          <w:rFonts w:hint="eastAsia" w:ascii="宋体" w:hAnsi="宋体" w:cs="宋体"/>
          <w:b/>
          <w:bCs/>
          <w:szCs w:val="22"/>
        </w:rPr>
        <w:t>四、配置清单（包含但不限于）</w:t>
      </w:r>
    </w:p>
    <w:p w14:paraId="2452F567">
      <w:pPr>
        <w:widowControl/>
        <w:snapToGrid w:val="0"/>
        <w:spacing w:line="360" w:lineRule="auto"/>
        <w:ind w:firstLine="420" w:firstLineChars="200"/>
        <w:jc w:val="left"/>
        <w:rPr>
          <w:rFonts w:ascii="宋体" w:hAnsi="宋体" w:cs="宋体"/>
          <w:szCs w:val="21"/>
        </w:rPr>
      </w:pPr>
      <w:r>
        <w:rPr>
          <w:rFonts w:hint="eastAsia" w:ascii="宋体" w:hAnsi="宋体" w:cs="宋体"/>
          <w:szCs w:val="21"/>
        </w:rPr>
        <w:t>1.主机</w:t>
      </w:r>
    </w:p>
    <w:p w14:paraId="5953F113">
      <w:pPr>
        <w:widowControl/>
        <w:snapToGrid w:val="0"/>
        <w:spacing w:line="360" w:lineRule="auto"/>
        <w:ind w:firstLine="420" w:firstLineChars="200"/>
        <w:jc w:val="left"/>
        <w:rPr>
          <w:rFonts w:ascii="宋体" w:hAnsi="宋体" w:cs="宋体"/>
          <w:szCs w:val="21"/>
        </w:rPr>
      </w:pPr>
      <w:r>
        <w:rPr>
          <w:rFonts w:hint="eastAsia" w:ascii="宋体" w:hAnsi="宋体" w:cs="宋体"/>
          <w:szCs w:val="21"/>
        </w:rPr>
        <w:t>2.充电器  </w:t>
      </w:r>
    </w:p>
    <w:p w14:paraId="47BD9BC9">
      <w:pPr>
        <w:widowControl/>
        <w:snapToGrid w:val="0"/>
        <w:spacing w:line="360" w:lineRule="auto"/>
        <w:ind w:firstLine="420" w:firstLineChars="200"/>
        <w:jc w:val="left"/>
        <w:rPr>
          <w:rFonts w:ascii="宋体" w:hAnsi="宋体" w:cs="宋体"/>
          <w:szCs w:val="21"/>
        </w:rPr>
      </w:pPr>
      <w:r>
        <w:rPr>
          <w:rFonts w:hint="eastAsia" w:ascii="宋体" w:hAnsi="宋体" w:cs="宋体"/>
          <w:szCs w:val="21"/>
        </w:rPr>
        <w:t>3.呼吸面罩、单向阀、气囊</w:t>
      </w:r>
    </w:p>
    <w:p w14:paraId="4853E37B">
      <w:pPr>
        <w:widowControl/>
        <w:snapToGrid w:val="0"/>
        <w:spacing w:line="360" w:lineRule="auto"/>
        <w:ind w:firstLine="420" w:firstLineChars="200"/>
        <w:jc w:val="left"/>
        <w:rPr>
          <w:rFonts w:hint="eastAsia" w:ascii="宋体" w:hAnsi="宋体" w:cs="宋体"/>
          <w:szCs w:val="21"/>
        </w:rPr>
        <w:sectPr>
          <w:footerReference r:id="rId5" w:type="default"/>
          <w:pgSz w:w="11906" w:h="16838"/>
          <w:pgMar w:top="1417" w:right="1474" w:bottom="1417" w:left="1474" w:header="851" w:footer="624" w:gutter="0"/>
          <w:cols w:space="720" w:num="1"/>
          <w:docGrid w:type="lines" w:linePitch="319" w:charSpace="0"/>
        </w:sectPr>
      </w:pPr>
      <w:r>
        <w:rPr>
          <w:rFonts w:hint="eastAsia" w:ascii="宋体" w:hAnsi="宋体" w:cs="宋体"/>
          <w:szCs w:val="21"/>
        </w:rPr>
        <w:t>4.便携式背</w:t>
      </w:r>
    </w:p>
    <w:p w14:paraId="2899F089">
      <w:pPr>
        <w:bidi w:val="0"/>
      </w:pPr>
    </w:p>
    <w:p w14:paraId="3A88E834">
      <w:pPr>
        <w:ind w:firstLine="602"/>
        <w:jc w:val="center"/>
        <w:rPr>
          <w:rFonts w:ascii="宋体" w:hAnsi="宋体" w:cs="宋体"/>
          <w:b/>
          <w:bCs/>
          <w:sz w:val="30"/>
          <w:szCs w:val="30"/>
        </w:rPr>
      </w:pPr>
      <w:r>
        <w:rPr>
          <w:rFonts w:hint="eastAsia" w:ascii="宋体" w:hAnsi="宋体" w:cs="宋体"/>
          <w:b/>
          <w:bCs/>
          <w:sz w:val="30"/>
          <w:szCs w:val="30"/>
        </w:rPr>
        <w:t>商务要求</w:t>
      </w:r>
    </w:p>
    <w:tbl>
      <w:tblPr>
        <w:tblStyle w:val="34"/>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7C2603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701B2DE">
            <w:pPr>
              <w:pStyle w:val="8"/>
              <w:spacing w:line="360" w:lineRule="auto"/>
              <w:jc w:val="center"/>
              <w:rPr>
                <w:rFonts w:asciiTheme="majorEastAsia" w:hAnsiTheme="majorEastAsia" w:eastAsiaTheme="majorEastAsia"/>
                <w:sz w:val="21"/>
                <w:szCs w:val="21"/>
              </w:rPr>
            </w:pPr>
            <w:r>
              <w:rPr>
                <w:rFonts w:hint="eastAsia" w:cs="仿宋" w:asciiTheme="majorEastAsia" w:hAnsiTheme="majorEastAsia" w:eastAsiaTheme="majorEastAsia"/>
                <w:kern w:val="2"/>
                <w:sz w:val="21"/>
                <w:szCs w:val="21"/>
              </w:rPr>
              <w:t>交货期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325230D5">
            <w:pPr>
              <w:pStyle w:val="8"/>
              <w:spacing w:line="360" w:lineRule="auto"/>
              <w:rPr>
                <w:rFonts w:asciiTheme="majorEastAsia" w:hAnsiTheme="majorEastAsia" w:eastAsiaTheme="majorEastAsia"/>
                <w:sz w:val="21"/>
                <w:szCs w:val="21"/>
              </w:rPr>
            </w:pPr>
            <w:r>
              <w:rPr>
                <w:rFonts w:hint="eastAsia" w:cs="仿宋" w:asciiTheme="majorEastAsia" w:hAnsiTheme="majorEastAsia" w:eastAsiaTheme="majorEastAsia"/>
                <w:kern w:val="2"/>
                <w:sz w:val="21"/>
                <w:szCs w:val="21"/>
              </w:rPr>
              <w:t xml:space="preserve">合同签订后30日内交货。        </w:t>
            </w:r>
          </w:p>
        </w:tc>
      </w:tr>
      <w:tr w14:paraId="334851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FF9C9E4">
            <w:pPr>
              <w:pStyle w:val="8"/>
              <w:spacing w:line="360" w:lineRule="auto"/>
              <w:jc w:val="center"/>
              <w:rPr>
                <w:rFonts w:asciiTheme="majorEastAsia" w:hAnsiTheme="majorEastAsia" w:eastAsiaTheme="majorEastAsia"/>
                <w:sz w:val="21"/>
                <w:szCs w:val="21"/>
              </w:rPr>
            </w:pPr>
            <w:r>
              <w:rPr>
                <w:rFonts w:hint="eastAsia" w:cs="仿宋" w:asciiTheme="majorEastAsia" w:hAnsiTheme="majorEastAsia" w:eastAsiaTheme="majorEastAsia"/>
                <w:kern w:val="2"/>
                <w:sz w:val="21"/>
                <w:szCs w:val="21"/>
              </w:rPr>
              <w:t>交货地点</w:t>
            </w:r>
          </w:p>
        </w:tc>
        <w:tc>
          <w:tcPr>
            <w:tcW w:w="7354" w:type="dxa"/>
            <w:tcBorders>
              <w:top w:val="single" w:color="auto" w:sz="4" w:space="0"/>
              <w:left w:val="single" w:color="auto" w:sz="4" w:space="0"/>
              <w:bottom w:val="single" w:color="auto" w:sz="4" w:space="0"/>
              <w:right w:val="single" w:color="auto" w:sz="4" w:space="0"/>
            </w:tcBorders>
            <w:noWrap/>
            <w:vAlign w:val="center"/>
          </w:tcPr>
          <w:p w14:paraId="45D93186">
            <w:pPr>
              <w:pStyle w:val="8"/>
              <w:spacing w:line="360" w:lineRule="auto"/>
              <w:rPr>
                <w:rFonts w:asciiTheme="majorEastAsia" w:hAnsiTheme="majorEastAsia" w:eastAsiaTheme="majorEastAsia"/>
                <w:kern w:val="2"/>
                <w:sz w:val="21"/>
                <w:szCs w:val="21"/>
              </w:rPr>
            </w:pPr>
            <w:r>
              <w:rPr>
                <w:rFonts w:hint="eastAsia" w:cs="仿宋" w:asciiTheme="majorEastAsia" w:hAnsiTheme="majorEastAsia" w:eastAsiaTheme="majorEastAsia"/>
                <w:kern w:val="2"/>
                <w:sz w:val="21"/>
                <w:szCs w:val="21"/>
              </w:rPr>
              <w:t>采购人指定地点。</w:t>
            </w:r>
          </w:p>
        </w:tc>
      </w:tr>
      <w:tr w14:paraId="2C8E63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777242C6">
            <w:pPr>
              <w:pStyle w:val="8"/>
              <w:spacing w:line="360" w:lineRule="auto"/>
              <w:jc w:val="center"/>
              <w:rPr>
                <w:rFonts w:cs="仿宋" w:asciiTheme="majorEastAsia" w:hAnsiTheme="majorEastAsia" w:eastAsiaTheme="majorEastAsia"/>
                <w:kern w:val="2"/>
                <w:sz w:val="21"/>
                <w:szCs w:val="21"/>
              </w:rPr>
            </w:pPr>
            <w:r>
              <w:rPr>
                <w:rFonts w:hint="eastAsia" w:cs="仿宋" w:asciiTheme="majorEastAsia" w:hAnsiTheme="majorEastAsia" w:eastAsiaTheme="majorEastAsia"/>
                <w:kern w:val="2"/>
                <w:sz w:val="21"/>
                <w:szCs w:val="21"/>
              </w:rPr>
              <w:t>质保期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7579726C">
            <w:pPr>
              <w:pStyle w:val="8"/>
              <w:spacing w:line="360" w:lineRule="auto"/>
              <w:rPr>
                <w:rFonts w:cs="仿宋" w:asciiTheme="majorEastAsia" w:hAnsiTheme="majorEastAsia" w:eastAsiaTheme="majorEastAsia"/>
                <w:b/>
                <w:bCs/>
                <w:kern w:val="2"/>
                <w:sz w:val="21"/>
                <w:szCs w:val="21"/>
              </w:rPr>
            </w:pPr>
            <w:r>
              <w:rPr>
                <w:rFonts w:hint="eastAsia" w:cs="仿宋" w:asciiTheme="majorEastAsia" w:hAnsiTheme="majorEastAsia" w:eastAsiaTheme="majorEastAsia"/>
                <w:kern w:val="2"/>
                <w:sz w:val="21"/>
                <w:szCs w:val="21"/>
              </w:rPr>
              <w:t>从产品入库之日起，整机保修三年，出具相关服务承诺书。</w:t>
            </w:r>
          </w:p>
        </w:tc>
      </w:tr>
      <w:tr w14:paraId="133565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3220AFA6">
            <w:pPr>
              <w:pStyle w:val="8"/>
              <w:spacing w:line="360" w:lineRule="auto"/>
              <w:jc w:val="center"/>
              <w:rPr>
                <w:rFonts w:cs="仿宋" w:asciiTheme="majorEastAsia" w:hAnsiTheme="majorEastAsia" w:eastAsiaTheme="majorEastAsia"/>
                <w:kern w:val="2"/>
                <w:sz w:val="21"/>
                <w:szCs w:val="21"/>
              </w:rPr>
            </w:pPr>
            <w:r>
              <w:rPr>
                <w:rFonts w:hint="eastAsia" w:cs="仿宋" w:asciiTheme="majorEastAsia" w:hAnsiTheme="majorEastAsia" w:eastAsiaTheme="majorEastAsia"/>
                <w:kern w:val="2"/>
                <w:sz w:val="21"/>
                <w:szCs w:val="21"/>
              </w:rPr>
              <w:t>质量要求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6797FB1F">
            <w:pPr>
              <w:pStyle w:val="8"/>
              <w:spacing w:line="360" w:lineRule="auto"/>
              <w:rPr>
                <w:rFonts w:cs="仿宋" w:asciiTheme="majorEastAsia" w:hAnsiTheme="majorEastAsia" w:eastAsiaTheme="majorEastAsia"/>
                <w:kern w:val="2"/>
                <w:sz w:val="21"/>
                <w:szCs w:val="21"/>
              </w:rPr>
            </w:pPr>
            <w:r>
              <w:rPr>
                <w:rFonts w:hint="eastAsia" w:cs="仿宋" w:asciiTheme="majorEastAsia" w:hAnsiTheme="majorEastAsia" w:eastAsiaTheme="majorEastAsia"/>
                <w:kern w:val="2"/>
                <w:sz w:val="21"/>
                <w:szCs w:val="21"/>
              </w:rPr>
              <w:t>符合国家质量标准、部颁标准、行业标准，满足磋商文件规定标准。</w:t>
            </w:r>
          </w:p>
        </w:tc>
      </w:tr>
      <w:tr w14:paraId="33E8F8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0C1610FB">
            <w:pPr>
              <w:pStyle w:val="8"/>
              <w:spacing w:line="360" w:lineRule="auto"/>
              <w:jc w:val="center"/>
              <w:rPr>
                <w:rFonts w:asciiTheme="majorEastAsia" w:hAnsiTheme="majorEastAsia" w:eastAsiaTheme="majorEastAsia"/>
                <w:sz w:val="21"/>
                <w:szCs w:val="21"/>
              </w:rPr>
            </w:pPr>
            <w:r>
              <w:rPr>
                <w:rFonts w:hint="eastAsia" w:cs="仿宋" w:asciiTheme="majorEastAsia" w:hAnsiTheme="majorEastAsia" w:eastAsiaTheme="majorEastAsia"/>
                <w:kern w:val="2"/>
                <w:sz w:val="21"/>
                <w:szCs w:val="21"/>
              </w:rPr>
              <w:t>售后服务</w:t>
            </w:r>
          </w:p>
        </w:tc>
        <w:tc>
          <w:tcPr>
            <w:tcW w:w="7354" w:type="dxa"/>
            <w:tcBorders>
              <w:top w:val="single" w:color="auto" w:sz="4" w:space="0"/>
              <w:left w:val="single" w:color="auto" w:sz="4" w:space="0"/>
              <w:bottom w:val="single" w:color="auto" w:sz="4" w:space="0"/>
              <w:right w:val="single" w:color="auto" w:sz="4" w:space="0"/>
            </w:tcBorders>
            <w:noWrap/>
            <w:vAlign w:val="center"/>
          </w:tcPr>
          <w:p w14:paraId="61F91BF9">
            <w:pPr>
              <w:pStyle w:val="8"/>
              <w:spacing w:beforeAutospacing="0" w:afterAutospacing="0" w:line="360" w:lineRule="auto"/>
              <w:rPr>
                <w:rFonts w:cs="仿宋" w:asciiTheme="majorEastAsia" w:hAnsiTheme="majorEastAsia" w:eastAsiaTheme="majorEastAsia"/>
                <w:kern w:val="2"/>
                <w:sz w:val="21"/>
                <w:szCs w:val="21"/>
              </w:rPr>
            </w:pPr>
            <w:r>
              <w:rPr>
                <w:rFonts w:hint="eastAsia" w:cs="仿宋" w:asciiTheme="majorEastAsia" w:hAnsiTheme="majorEastAsia" w:eastAsiaTheme="majorEastAsia"/>
                <w:kern w:val="2"/>
                <w:sz w:val="21"/>
                <w:szCs w:val="21"/>
              </w:rPr>
              <w:t>1.质保期内应当为采购人提供以下技术支持和服务：</w:t>
            </w:r>
          </w:p>
          <w:p w14:paraId="13A64CBA">
            <w:pPr>
              <w:pStyle w:val="8"/>
              <w:numPr>
                <w:ilvl w:val="0"/>
                <w:numId w:val="1"/>
              </w:numPr>
              <w:spacing w:beforeAutospacing="0" w:afterAutospacing="0" w:line="360" w:lineRule="auto"/>
              <w:rPr>
                <w:rFonts w:cs="仿宋" w:asciiTheme="majorEastAsia" w:hAnsiTheme="majorEastAsia" w:eastAsiaTheme="majorEastAsia"/>
                <w:kern w:val="2"/>
                <w:sz w:val="21"/>
                <w:szCs w:val="21"/>
              </w:rPr>
            </w:pPr>
            <w:r>
              <w:rPr>
                <w:rFonts w:hint="eastAsia" w:cs="仿宋" w:asciiTheme="majorEastAsia" w:hAnsiTheme="majorEastAsia" w:eastAsiaTheme="majorEastAsia"/>
                <w:kern w:val="2"/>
                <w:sz w:val="21"/>
                <w:szCs w:val="21"/>
              </w:rPr>
              <w:t>现场响应：供应商应保证在12小时内对用户提出的问题或故障予以响应及处理。可提供备用设备或核心部件应急使用。</w:t>
            </w:r>
          </w:p>
          <w:p w14:paraId="131F2B6F">
            <w:pPr>
              <w:pStyle w:val="8"/>
              <w:numPr>
                <w:ilvl w:val="0"/>
                <w:numId w:val="1"/>
              </w:numPr>
              <w:spacing w:beforeAutospacing="0" w:afterAutospacing="0" w:line="360" w:lineRule="auto"/>
              <w:rPr>
                <w:rFonts w:cs="仿宋" w:asciiTheme="majorEastAsia" w:hAnsiTheme="majorEastAsia" w:eastAsiaTheme="majorEastAsia"/>
                <w:kern w:val="2"/>
                <w:sz w:val="21"/>
                <w:szCs w:val="21"/>
              </w:rPr>
            </w:pPr>
            <w:r>
              <w:rPr>
                <w:rFonts w:hint="eastAsia" w:cs="仿宋" w:asciiTheme="majorEastAsia" w:hAnsiTheme="majorEastAsia" w:eastAsiaTheme="majorEastAsia"/>
                <w:kern w:val="2"/>
                <w:sz w:val="21"/>
                <w:szCs w:val="21"/>
              </w:rPr>
              <w:t>成交供应商应当应每季度对该设备进行保养不少于一次,并出具保养报告，具体保养内容见合同。</w:t>
            </w:r>
          </w:p>
          <w:p w14:paraId="5FE2EAD9">
            <w:pPr>
              <w:pStyle w:val="8"/>
              <w:numPr>
                <w:ilvl w:val="0"/>
                <w:numId w:val="1"/>
              </w:numPr>
              <w:spacing w:beforeAutospacing="0" w:afterAutospacing="0" w:line="360" w:lineRule="auto"/>
              <w:rPr>
                <w:rFonts w:cs="仿宋" w:asciiTheme="majorEastAsia" w:hAnsiTheme="majorEastAsia" w:eastAsiaTheme="majorEastAsia"/>
                <w:kern w:val="2"/>
                <w:sz w:val="21"/>
                <w:szCs w:val="21"/>
              </w:rPr>
            </w:pPr>
            <w:r>
              <w:rPr>
                <w:rFonts w:hint="eastAsia" w:cs="仿宋" w:asciiTheme="majorEastAsia" w:hAnsiTheme="majorEastAsia" w:eastAsiaTheme="majorEastAsia"/>
                <w:kern w:val="2"/>
                <w:sz w:val="21"/>
                <w:szCs w:val="21"/>
              </w:rPr>
              <w:t>质保期内该设备应保证大于95%（含）的开机率，如达不到要求，每少于一天质保期顺延7天，如造成严重损失需赔偿用户经济损失或换货或退货。</w:t>
            </w:r>
          </w:p>
          <w:p w14:paraId="328A5942">
            <w:pPr>
              <w:pStyle w:val="8"/>
              <w:numPr>
                <w:ilvl w:val="0"/>
                <w:numId w:val="1"/>
              </w:numPr>
              <w:spacing w:beforeAutospacing="0" w:afterAutospacing="0" w:line="360" w:lineRule="auto"/>
              <w:rPr>
                <w:rFonts w:cs="仿宋" w:asciiTheme="majorEastAsia" w:hAnsiTheme="majorEastAsia" w:eastAsiaTheme="majorEastAsia"/>
                <w:kern w:val="2"/>
                <w:sz w:val="21"/>
                <w:szCs w:val="21"/>
              </w:rPr>
            </w:pPr>
            <w:r>
              <w:rPr>
                <w:rFonts w:hint="eastAsia" w:cs="仿宋" w:asciiTheme="majorEastAsia" w:hAnsiTheme="majorEastAsia" w:eastAsiaTheme="majorEastAsia"/>
                <w:kern w:val="2"/>
                <w:sz w:val="21"/>
                <w:szCs w:val="21"/>
              </w:rPr>
              <w:t>技术升级，如果制造商的产品技术升级，成交供应商应及时通知采购人，如采购人有相应要求，成交供应商和制造商应对采购人购买的产品进行免费升级服务。</w:t>
            </w:r>
          </w:p>
          <w:p w14:paraId="521489DA">
            <w:pPr>
              <w:pStyle w:val="8"/>
              <w:numPr>
                <w:ilvl w:val="0"/>
                <w:numId w:val="1"/>
              </w:numPr>
              <w:spacing w:beforeAutospacing="0" w:afterAutospacing="0" w:line="360" w:lineRule="auto"/>
              <w:rPr>
                <w:rFonts w:cs="仿宋" w:asciiTheme="majorEastAsia" w:hAnsiTheme="majorEastAsia" w:eastAsiaTheme="majorEastAsia"/>
                <w:kern w:val="2"/>
                <w:sz w:val="21"/>
                <w:szCs w:val="21"/>
              </w:rPr>
            </w:pPr>
            <w:r>
              <w:rPr>
                <w:rFonts w:hint="eastAsia" w:cs="仿宋" w:asciiTheme="majorEastAsia" w:hAnsiTheme="majorEastAsia" w:eastAsiaTheme="majorEastAsia"/>
                <w:kern w:val="2"/>
                <w:sz w:val="21"/>
                <w:szCs w:val="21"/>
              </w:rPr>
              <w:t>供应商交付设备时，应按照《国家食品药品监督管理总局》第18号令第17条的要求提供相应的维护手册、维修手册、软件备份、故障代码表、备件清单、零部件、维修密码等维护维修必需的材料和信息。</w:t>
            </w:r>
          </w:p>
          <w:p w14:paraId="4B586E31">
            <w:pPr>
              <w:pStyle w:val="8"/>
              <w:numPr>
                <w:ilvl w:val="0"/>
                <w:numId w:val="1"/>
              </w:numPr>
              <w:spacing w:beforeAutospacing="0" w:afterAutospacing="0" w:line="360" w:lineRule="auto"/>
              <w:rPr>
                <w:rFonts w:cs="仿宋" w:asciiTheme="majorEastAsia" w:hAnsiTheme="majorEastAsia" w:eastAsiaTheme="majorEastAsia"/>
                <w:kern w:val="2"/>
                <w:sz w:val="21"/>
                <w:szCs w:val="21"/>
              </w:rPr>
            </w:pPr>
            <w:r>
              <w:rPr>
                <w:rFonts w:hint="eastAsia" w:cs="仿宋" w:asciiTheme="majorEastAsia" w:hAnsiTheme="majorEastAsia" w:eastAsiaTheme="majorEastAsia"/>
                <w:kern w:val="2"/>
                <w:sz w:val="21"/>
                <w:szCs w:val="21"/>
              </w:rPr>
              <w:t>除火灾、洪水、地震等天灾外，在保修期内，由于货物故障所产生的所有费用均由供应商负责。</w:t>
            </w:r>
          </w:p>
          <w:p w14:paraId="58FE04BE">
            <w:pPr>
              <w:pStyle w:val="8"/>
              <w:spacing w:beforeAutospacing="0" w:afterAutospacing="0" w:line="360" w:lineRule="auto"/>
              <w:rPr>
                <w:rFonts w:cs="仿宋" w:asciiTheme="majorEastAsia" w:hAnsiTheme="majorEastAsia" w:eastAsiaTheme="majorEastAsia"/>
                <w:kern w:val="2"/>
                <w:sz w:val="21"/>
                <w:szCs w:val="21"/>
              </w:rPr>
            </w:pPr>
            <w:r>
              <w:rPr>
                <w:rFonts w:hint="eastAsia" w:cs="仿宋" w:asciiTheme="majorEastAsia" w:hAnsiTheme="majorEastAsia" w:eastAsiaTheme="majorEastAsia"/>
                <w:kern w:val="2"/>
                <w:sz w:val="21"/>
                <w:szCs w:val="21"/>
              </w:rPr>
              <w:t>2.所有设备按照医院实际要求免费开放端口，免费为医院对接院内信息系统。质保期内免费进行软件升级。</w:t>
            </w:r>
          </w:p>
        </w:tc>
      </w:tr>
      <w:tr w14:paraId="6DD5A0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1226C241">
            <w:pPr>
              <w:pStyle w:val="8"/>
              <w:spacing w:line="360" w:lineRule="auto"/>
              <w:jc w:val="center"/>
              <w:rPr>
                <w:rFonts w:asciiTheme="majorEastAsia" w:hAnsiTheme="majorEastAsia" w:eastAsiaTheme="majorEastAsia"/>
                <w:sz w:val="21"/>
                <w:szCs w:val="21"/>
              </w:rPr>
            </w:pPr>
            <w:r>
              <w:rPr>
                <w:rFonts w:hint="eastAsia" w:cs="仿宋" w:asciiTheme="majorEastAsia" w:hAnsiTheme="majorEastAsia" w:eastAsiaTheme="majorEastAsia"/>
                <w:kern w:val="2"/>
                <w:sz w:val="21"/>
                <w:szCs w:val="21"/>
              </w:rPr>
              <w:t>培训</w:t>
            </w:r>
          </w:p>
        </w:tc>
        <w:tc>
          <w:tcPr>
            <w:tcW w:w="7354" w:type="dxa"/>
            <w:tcBorders>
              <w:top w:val="single" w:color="auto" w:sz="4" w:space="0"/>
              <w:left w:val="single" w:color="auto" w:sz="4" w:space="0"/>
              <w:bottom w:val="single" w:color="auto" w:sz="4" w:space="0"/>
              <w:right w:val="single" w:color="auto" w:sz="4" w:space="0"/>
            </w:tcBorders>
            <w:noWrap/>
            <w:vAlign w:val="center"/>
          </w:tcPr>
          <w:p w14:paraId="377CB98F">
            <w:pPr>
              <w:pStyle w:val="8"/>
              <w:spacing w:line="360" w:lineRule="auto"/>
              <w:rPr>
                <w:rFonts w:asciiTheme="majorEastAsia" w:hAnsiTheme="majorEastAsia" w:eastAsiaTheme="majorEastAsia"/>
                <w:sz w:val="21"/>
                <w:szCs w:val="21"/>
              </w:rPr>
            </w:pPr>
            <w:r>
              <w:rPr>
                <w:rFonts w:hint="eastAsia" w:cs="仿宋" w:asciiTheme="majorEastAsia" w:hAnsiTheme="majorEastAsia" w:eastAsiaTheme="majorEastAsia"/>
                <w:kern w:val="2"/>
                <w:sz w:val="21"/>
                <w:szCs w:val="21"/>
              </w:rPr>
              <w:t>免费提供操作培训和维修培训。</w:t>
            </w:r>
          </w:p>
        </w:tc>
      </w:tr>
      <w:tr w14:paraId="2C4674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79B95B7A">
            <w:pPr>
              <w:pStyle w:val="8"/>
              <w:spacing w:line="360" w:lineRule="auto"/>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其他要求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3DE24182">
            <w:pPr>
              <w:pStyle w:val="8"/>
              <w:spacing w:line="360" w:lineRule="auto"/>
              <w:rPr>
                <w:rFonts w:cs="仿宋" w:asciiTheme="majorEastAsia" w:hAnsiTheme="majorEastAsia" w:eastAsiaTheme="majorEastAsia"/>
                <w:kern w:val="2"/>
                <w:sz w:val="21"/>
                <w:szCs w:val="21"/>
              </w:rPr>
            </w:pPr>
            <w:r>
              <w:rPr>
                <w:rFonts w:hint="eastAsia" w:cs="仿宋" w:asciiTheme="majorEastAsia" w:hAnsiTheme="majorEastAsia" w:eastAsiaTheme="majorEastAsia"/>
                <w:kern w:val="2"/>
                <w:sz w:val="21"/>
                <w:szCs w:val="21"/>
              </w:rPr>
              <w:t xml:space="preserve">要求设备为最新出厂设备，出厂日期不得早于招标日期6个月。 </w:t>
            </w:r>
          </w:p>
        </w:tc>
      </w:tr>
    </w:tbl>
    <w:p w14:paraId="386809B5">
      <w:pPr>
        <w:pStyle w:val="24"/>
        <w:rPr>
          <w:rFonts w:ascii="宋体" w:hAnsi="宋体" w:cs="宋体"/>
        </w:rPr>
      </w:pPr>
    </w:p>
    <w:p w14:paraId="462B612B">
      <w:pPr>
        <w:pStyle w:val="24"/>
        <w:rPr>
          <w:rFonts w:ascii="宋体" w:hAnsi="宋体" w:cs="宋体"/>
        </w:rPr>
      </w:pPr>
    </w:p>
    <w:p w14:paraId="08484B79">
      <w:pPr>
        <w:pStyle w:val="24"/>
        <w:rPr>
          <w:rFonts w:ascii="宋体" w:hAnsi="宋体" w:cs="宋体"/>
        </w:rPr>
      </w:pPr>
    </w:p>
    <w:p w14:paraId="4787A5F1">
      <w:pPr>
        <w:pStyle w:val="24"/>
        <w:rPr>
          <w:rFonts w:ascii="宋体" w:hAnsi="宋体" w:cs="宋体"/>
        </w:rPr>
      </w:pPr>
    </w:p>
    <w:p w14:paraId="51BC9225">
      <w:pPr>
        <w:pStyle w:val="24"/>
        <w:rPr>
          <w:rFonts w:ascii="宋体" w:hAnsi="宋体" w:cs="宋体"/>
        </w:rPr>
      </w:pPr>
    </w:p>
    <w:p w14:paraId="62CD6878">
      <w:pPr>
        <w:snapToGrid w:val="0"/>
        <w:spacing w:beforeLines="50" w:line="360" w:lineRule="auto"/>
        <w:ind w:firstLine="602"/>
        <w:jc w:val="center"/>
        <w:rPr>
          <w:rFonts w:ascii="宋体" w:hAnsi="宋体" w:cs="宋体"/>
          <w:b/>
          <w:bCs/>
          <w:sz w:val="30"/>
          <w:szCs w:val="30"/>
        </w:rPr>
      </w:pPr>
      <w:r>
        <w:rPr>
          <w:rFonts w:hint="eastAsia" w:ascii="宋体" w:hAnsi="宋体" w:cs="宋体"/>
          <w:b/>
          <w:bCs/>
          <w:sz w:val="30"/>
          <w:szCs w:val="30"/>
        </w:rPr>
        <w:t>采购人对项目的特殊要求及说明</w:t>
      </w:r>
    </w:p>
    <w:tbl>
      <w:tblPr>
        <w:tblStyle w:val="34"/>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3EF600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106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121FB221">
            <w:pPr>
              <w:widowControl/>
              <w:snapToGrid w:val="0"/>
              <w:spacing w:line="360" w:lineRule="auto"/>
              <w:jc w:val="center"/>
              <w:rPr>
                <w:rFonts w:ascii="宋体" w:hAnsi="宋体" w:cs="宋体"/>
                <w:kern w:val="0"/>
                <w:szCs w:val="21"/>
              </w:rPr>
            </w:pPr>
            <w:r>
              <w:rPr>
                <w:rFonts w:hint="eastAsia" w:ascii="宋体" w:hAnsi="宋体" w:cs="宋体"/>
                <w:kern w:val="0"/>
                <w:szCs w:val="21"/>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2D157C5D">
            <w:pPr>
              <w:spacing w:line="400" w:lineRule="exact"/>
              <w:jc w:val="left"/>
              <w:rPr>
                <w:rFonts w:cs="仿宋" w:asciiTheme="majorEastAsia" w:hAnsiTheme="majorEastAsia" w:eastAsiaTheme="majorEastAsia"/>
                <w:szCs w:val="21"/>
              </w:rPr>
            </w:pPr>
            <w:r>
              <w:rPr>
                <w:rFonts w:hint="eastAsia" w:cs="仿宋" w:asciiTheme="majorEastAsia" w:hAnsiTheme="majorEastAsia" w:eastAsiaTheme="majorEastAsia"/>
                <w:szCs w:val="21"/>
              </w:rPr>
              <w:t>1、不接受联合体投标，不允许转包和分包。</w:t>
            </w:r>
          </w:p>
          <w:p w14:paraId="01B1ED4F">
            <w:pPr>
              <w:spacing w:line="400" w:lineRule="exact"/>
              <w:jc w:val="left"/>
              <w:rPr>
                <w:rFonts w:cs="仿宋" w:asciiTheme="majorEastAsia" w:hAnsiTheme="majorEastAsia" w:eastAsiaTheme="majorEastAsia"/>
                <w:szCs w:val="21"/>
              </w:rPr>
            </w:pPr>
            <w:r>
              <w:rPr>
                <w:rFonts w:hint="eastAsia" w:cs="仿宋" w:asciiTheme="majorEastAsia" w:hAnsiTheme="majorEastAsia" w:eastAsiaTheme="majorEastAsia"/>
                <w:szCs w:val="21"/>
              </w:rPr>
              <w:t>2、授权磋商小组确定一名成交供应商并推荐一名成交候选供应商。</w:t>
            </w:r>
          </w:p>
          <w:p w14:paraId="1877508D">
            <w:pPr>
              <w:spacing w:line="400" w:lineRule="exact"/>
              <w:jc w:val="left"/>
              <w:rPr>
                <w:rFonts w:cs="仿宋" w:asciiTheme="majorEastAsia" w:hAnsiTheme="majorEastAsia" w:eastAsiaTheme="majorEastAsia"/>
                <w:szCs w:val="21"/>
              </w:rPr>
            </w:pPr>
            <w:r>
              <w:rPr>
                <w:rFonts w:hint="eastAsia" w:cs="仿宋" w:asciiTheme="majorEastAsia" w:hAnsiTheme="majorEastAsia" w:eastAsiaTheme="majorEastAsia"/>
                <w:szCs w:val="21"/>
              </w:rPr>
              <w:t>3、采购人使用成交供应商成交的货物、技术、资料、服务或其他任何一部分时，享有无偿使用权。免受第三方提出的侵犯其专利权、著作权、商标权或其它知识产权的起诉。如果第三方提出侵权指控，成交供应商应承担由此而引起的一切法律责任和费用。</w:t>
            </w:r>
          </w:p>
          <w:p w14:paraId="4745103F">
            <w:pPr>
              <w:spacing w:line="400" w:lineRule="exact"/>
              <w:jc w:val="left"/>
              <w:rPr>
                <w:rFonts w:cs="仿宋" w:asciiTheme="majorEastAsia" w:hAnsiTheme="majorEastAsia" w:eastAsiaTheme="majorEastAsia"/>
                <w:szCs w:val="21"/>
              </w:rPr>
            </w:pPr>
            <w:r>
              <w:rPr>
                <w:rFonts w:hint="eastAsia" w:cs="仿宋" w:asciiTheme="majorEastAsia" w:hAnsiTheme="majorEastAsia" w:eastAsiaTheme="majorEastAsia"/>
                <w:szCs w:val="21"/>
              </w:rPr>
              <w:t>4、供应商须提供符合国家质量标准、部颁标准、行业标准或本磋商文件规定标准的、供货渠道合法的全新原装合格正品（包括零部件），如安装或配置软件的，须为正版软件。所提供的货物应当同时符合国家有关安全、卫生、环保规定。本项目中所投产品涉及纳入国家认证认可监督管理委员会现行《强制性产品认证目录描述与界定表》管理的强制性认证产品（简称 3C 认证产品）的，该产品应具有由认证机构颁发给制造商的该产品强制性认证证书。</w:t>
            </w:r>
          </w:p>
          <w:p w14:paraId="583FC7AC">
            <w:pPr>
              <w:spacing w:line="400" w:lineRule="exact"/>
              <w:jc w:val="left"/>
              <w:rPr>
                <w:rFonts w:cs="仿宋" w:asciiTheme="majorEastAsia" w:hAnsiTheme="majorEastAsia" w:eastAsiaTheme="majorEastAsia"/>
                <w:b/>
                <w:bCs/>
                <w:szCs w:val="21"/>
              </w:rPr>
            </w:pPr>
            <w:r>
              <w:rPr>
                <w:rFonts w:hint="eastAsia" w:cs="仿宋" w:asciiTheme="majorEastAsia" w:hAnsiTheme="majorEastAsia" w:eastAsiaTheme="majorEastAsia"/>
                <w:szCs w:val="21"/>
              </w:rPr>
              <w:t>5、所投产品均应提供配置明细表并且配置明细表中的所有配件必须是唯一的，不得有选择性配置，所提供配件需是正规厂家生产的原装正品。如果对投标产品的标准配置或配件有更换或调整的，需提供原生产厂家的变更和调整确认材料,提供的产品配件应单独列出其技术性能、标准、产地、生产厂家及享受何种保修服务。</w:t>
            </w:r>
          </w:p>
        </w:tc>
      </w:tr>
    </w:tbl>
    <w:p w14:paraId="6701989A">
      <w:pPr>
        <w:ind w:firstLine="422"/>
        <w:rPr>
          <w:rFonts w:ascii="宋体" w:hAnsi="宋体" w:cs="宋体"/>
        </w:rPr>
      </w:pPr>
    </w:p>
    <w:p w14:paraId="48AD7827">
      <w:pPr>
        <w:ind w:firstLine="643"/>
        <w:rPr>
          <w:rFonts w:ascii="宋体" w:hAnsi="宋体" w:cs="宋体"/>
          <w:b/>
          <w:bCs/>
          <w:sz w:val="32"/>
          <w:szCs w:val="32"/>
        </w:rPr>
      </w:pPr>
      <w:r>
        <w:rPr>
          <w:rFonts w:hint="eastAsia" w:ascii="宋体" w:hAnsi="宋体" w:cs="宋体"/>
          <w:b/>
          <w:bCs/>
          <w:sz w:val="32"/>
          <w:szCs w:val="32"/>
        </w:rPr>
        <w:br w:type="page"/>
      </w:r>
    </w:p>
    <w:p w14:paraId="18346074">
      <w:pPr>
        <w:ind w:firstLine="643"/>
        <w:jc w:val="center"/>
        <w:outlineLvl w:val="0"/>
        <w:rPr>
          <w:rFonts w:ascii="宋体" w:hAnsi="宋体" w:cs="宋体"/>
          <w:b/>
          <w:bCs/>
          <w:sz w:val="32"/>
          <w:szCs w:val="32"/>
        </w:rPr>
      </w:pPr>
      <w:bookmarkStart w:id="33" w:name="_Toc8501"/>
      <w:r>
        <w:rPr>
          <w:rFonts w:hint="eastAsia" w:ascii="宋体" w:hAnsi="宋体" w:cs="宋体"/>
          <w:b/>
          <w:bCs/>
          <w:sz w:val="32"/>
          <w:szCs w:val="32"/>
        </w:rPr>
        <w:t>第三章  供应商须知</w:t>
      </w:r>
      <w:bookmarkEnd w:id="33"/>
    </w:p>
    <w:p w14:paraId="4366F6DE">
      <w:pPr>
        <w:snapToGrid w:val="0"/>
        <w:spacing w:beforeLines="50" w:line="360" w:lineRule="auto"/>
        <w:ind w:firstLine="562"/>
        <w:jc w:val="center"/>
        <w:outlineLvl w:val="1"/>
        <w:rPr>
          <w:rFonts w:ascii="宋体" w:hAnsi="宋体" w:cs="宋体"/>
          <w:sz w:val="28"/>
          <w:szCs w:val="28"/>
        </w:rPr>
      </w:pPr>
      <w:r>
        <w:rPr>
          <w:rFonts w:hint="eastAsia" w:ascii="宋体" w:hAnsi="宋体" w:cs="宋体"/>
          <w:sz w:val="28"/>
          <w:szCs w:val="28"/>
        </w:rPr>
        <w:t>供应商须知前附表</w:t>
      </w:r>
    </w:p>
    <w:tbl>
      <w:tblPr>
        <w:tblStyle w:val="34"/>
        <w:tblW w:w="9840" w:type="dxa"/>
        <w:jc w:val="center"/>
        <w:tblLayout w:type="fixed"/>
        <w:tblCellMar>
          <w:top w:w="0" w:type="dxa"/>
          <w:left w:w="0" w:type="dxa"/>
          <w:bottom w:w="0" w:type="dxa"/>
          <w:right w:w="0" w:type="dxa"/>
        </w:tblCellMar>
      </w:tblPr>
      <w:tblGrid>
        <w:gridCol w:w="926"/>
        <w:gridCol w:w="8914"/>
      </w:tblGrid>
      <w:tr w14:paraId="341CE43B">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E1DF6C7">
            <w:pPr>
              <w:widowControl/>
              <w:spacing w:line="400" w:lineRule="exact"/>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E854A3F">
            <w:pPr>
              <w:widowControl/>
              <w:ind w:firstLine="422"/>
              <w:jc w:val="center"/>
              <w:rPr>
                <w:rFonts w:ascii="宋体" w:hAnsi="宋体" w:cs="宋体"/>
                <w:kern w:val="0"/>
                <w:szCs w:val="21"/>
              </w:rPr>
            </w:pPr>
            <w:r>
              <w:rPr>
                <w:rFonts w:hint="eastAsia" w:ascii="宋体" w:hAnsi="宋体" w:cs="宋体"/>
                <w:kern w:val="0"/>
                <w:szCs w:val="21"/>
              </w:rPr>
              <w:t>内容、要求</w:t>
            </w:r>
          </w:p>
        </w:tc>
      </w:tr>
      <w:tr w14:paraId="10AB91CE">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DFB8F62">
            <w:pPr>
              <w:widowControl/>
              <w:spacing w:line="400" w:lineRule="exact"/>
              <w:jc w:val="center"/>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FA5984D">
            <w:pPr>
              <w:widowControl/>
              <w:spacing w:line="400" w:lineRule="exact"/>
              <w:jc w:val="left"/>
              <w:outlineLvl w:val="0"/>
              <w:rPr>
                <w:rFonts w:cs="仿宋" w:asciiTheme="majorEastAsia" w:hAnsiTheme="majorEastAsia" w:eastAsiaTheme="majorEastAsia"/>
                <w:szCs w:val="21"/>
              </w:rPr>
            </w:pPr>
            <w:bookmarkStart w:id="34" w:name="_Toc9566"/>
            <w:bookmarkStart w:id="35" w:name="_Toc30169"/>
            <w:bookmarkStart w:id="36" w:name="_Toc27817"/>
            <w:r>
              <w:rPr>
                <w:rFonts w:hint="eastAsia" w:cs="仿宋" w:asciiTheme="majorEastAsia" w:hAnsiTheme="majorEastAsia" w:eastAsiaTheme="majorEastAsia"/>
                <w:szCs w:val="21"/>
              </w:rPr>
              <w:t>1.1项目名称：</w:t>
            </w:r>
            <w:bookmarkEnd w:id="34"/>
            <w:bookmarkEnd w:id="35"/>
            <w:bookmarkEnd w:id="36"/>
            <w:r>
              <w:rPr>
                <w:rFonts w:hint="eastAsia" w:cs="仿宋" w:asciiTheme="majorEastAsia" w:hAnsiTheme="majorEastAsia" w:eastAsiaTheme="majorEastAsia"/>
                <w:szCs w:val="21"/>
              </w:rPr>
              <w:t>驻马店市中心医院全自动化学免疫分析仪、心肺复苏机、温控银质针治疗仪采购项目包1、</w:t>
            </w:r>
            <w:r>
              <w:rPr>
                <w:rFonts w:hint="eastAsia" w:ascii="宋体" w:hAnsi="宋体" w:cs="宋体"/>
              </w:rPr>
              <w:t>包2（二次）</w:t>
            </w:r>
          </w:p>
          <w:p w14:paraId="306EB3C4">
            <w:pPr>
              <w:widowControl/>
              <w:spacing w:line="400" w:lineRule="exact"/>
              <w:jc w:val="left"/>
              <w:outlineLvl w:val="0"/>
              <w:rPr>
                <w:rFonts w:cs="仿宋" w:asciiTheme="majorEastAsia" w:hAnsiTheme="majorEastAsia" w:eastAsiaTheme="majorEastAsia"/>
                <w:szCs w:val="21"/>
              </w:rPr>
            </w:pPr>
            <w:bookmarkStart w:id="37" w:name="_Toc23424"/>
            <w:bookmarkStart w:id="38" w:name="_Toc29400"/>
            <w:bookmarkStart w:id="39" w:name="_Toc28320"/>
            <w:r>
              <w:rPr>
                <w:rFonts w:hint="eastAsia" w:cs="仿宋" w:asciiTheme="majorEastAsia" w:hAnsiTheme="majorEastAsia" w:eastAsiaTheme="majorEastAsia"/>
                <w:szCs w:val="21"/>
              </w:rPr>
              <w:t>1.2采购人名称：</w:t>
            </w:r>
            <w:bookmarkEnd w:id="37"/>
            <w:bookmarkEnd w:id="38"/>
            <w:bookmarkEnd w:id="39"/>
            <w:r>
              <w:rPr>
                <w:rFonts w:hint="eastAsia" w:cs="仿宋" w:asciiTheme="majorEastAsia" w:hAnsiTheme="majorEastAsia" w:eastAsiaTheme="majorEastAsia"/>
                <w:szCs w:val="21"/>
              </w:rPr>
              <w:t>驻马店市中心医院</w:t>
            </w:r>
          </w:p>
          <w:p w14:paraId="59104049">
            <w:pPr>
              <w:widowControl/>
              <w:spacing w:line="400" w:lineRule="exact"/>
              <w:jc w:val="left"/>
              <w:outlineLvl w:val="0"/>
              <w:rPr>
                <w:rFonts w:cs="仿宋" w:asciiTheme="majorEastAsia" w:hAnsiTheme="majorEastAsia" w:eastAsiaTheme="majorEastAsia"/>
                <w:szCs w:val="21"/>
              </w:rPr>
            </w:pPr>
            <w:bookmarkStart w:id="40" w:name="_Toc26199"/>
            <w:bookmarkStart w:id="41" w:name="_Toc3148"/>
            <w:bookmarkStart w:id="42" w:name="_Toc24541"/>
            <w:r>
              <w:rPr>
                <w:rFonts w:hint="eastAsia" w:cs="仿宋" w:asciiTheme="majorEastAsia" w:hAnsiTheme="majorEastAsia" w:eastAsiaTheme="majorEastAsia"/>
                <w:szCs w:val="21"/>
              </w:rPr>
              <w:t>1.3采购范围：详见第二章采购需求</w:t>
            </w:r>
            <w:bookmarkEnd w:id="40"/>
            <w:bookmarkEnd w:id="41"/>
            <w:bookmarkEnd w:id="42"/>
          </w:p>
        </w:tc>
      </w:tr>
      <w:tr w14:paraId="6B1631AA">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620F472">
            <w:pPr>
              <w:widowControl/>
              <w:spacing w:line="400" w:lineRule="exact"/>
              <w:jc w:val="center"/>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DFF04F7">
            <w:pPr>
              <w:widowControl/>
              <w:spacing w:line="400" w:lineRule="exact"/>
              <w:jc w:val="left"/>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合格供应商：具备采购公告第二项规定的条件。</w:t>
            </w:r>
          </w:p>
        </w:tc>
      </w:tr>
      <w:tr w14:paraId="0A07E6B1">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5C4C8FB">
            <w:pPr>
              <w:widowControl/>
              <w:spacing w:line="400" w:lineRule="exact"/>
              <w:jc w:val="center"/>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70A50F1">
            <w:pPr>
              <w:snapToGrid w:val="0"/>
              <w:spacing w:line="324" w:lineRule="auto"/>
              <w:rPr>
                <w:rFonts w:ascii="宋体" w:hAnsi="宋体" w:cs="宋体"/>
              </w:rPr>
            </w:pPr>
            <w:r>
              <w:rPr>
                <w:rFonts w:hint="eastAsia" w:cs="仿宋" w:asciiTheme="majorEastAsia" w:hAnsiTheme="majorEastAsia" w:eastAsiaTheme="majorEastAsia"/>
                <w:szCs w:val="21"/>
              </w:rPr>
              <w:t>采购预算：采购预算：</w:t>
            </w:r>
            <w:r>
              <w:rPr>
                <w:rFonts w:hint="eastAsia" w:ascii="宋体" w:hAnsi="宋体" w:cs="宋体"/>
              </w:rPr>
              <w:t>402500元</w:t>
            </w:r>
            <w:r>
              <w:rPr>
                <w:rFonts w:hint="eastAsia" w:cs="仿宋" w:asciiTheme="majorEastAsia" w:hAnsiTheme="majorEastAsia" w:eastAsiaTheme="majorEastAsia"/>
                <w:szCs w:val="21"/>
              </w:rPr>
              <w:t xml:space="preserve">；最高投标限价: </w:t>
            </w:r>
            <w:r>
              <w:rPr>
                <w:rFonts w:hint="eastAsia" w:ascii="宋体" w:hAnsi="宋体" w:cs="宋体"/>
              </w:rPr>
              <w:t>402500元</w:t>
            </w:r>
          </w:p>
          <w:p w14:paraId="2981E116">
            <w:pPr>
              <w:snapToGrid w:val="0"/>
              <w:spacing w:line="324" w:lineRule="auto"/>
              <w:rPr>
                <w:rFonts w:ascii="宋体" w:hAnsi="宋体" w:cs="宋体"/>
              </w:rPr>
            </w:pPr>
            <w:r>
              <w:rPr>
                <w:rFonts w:hint="eastAsia" w:ascii="宋体" w:hAnsi="宋体" w:cs="宋体"/>
                <w:szCs w:val="21"/>
                <w:shd w:val="clear" w:color="auto" w:fill="FFFFFF"/>
              </w:rPr>
              <w:t>包1预算：22500元，包2预算：200000元</w:t>
            </w:r>
          </w:p>
          <w:p w14:paraId="457116F2">
            <w:pPr>
              <w:widowControl/>
              <w:spacing w:line="400" w:lineRule="exact"/>
              <w:jc w:val="left"/>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3.1 本项目磋商以人民币报价。</w:t>
            </w:r>
          </w:p>
          <w:p w14:paraId="438983D6">
            <w:pPr>
              <w:widowControl/>
              <w:spacing w:line="400" w:lineRule="exact"/>
              <w:jc w:val="left"/>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3.2 供应商的报价超过采购预算，采购人不能支付的，按废标处理。</w:t>
            </w:r>
          </w:p>
          <w:p w14:paraId="70EF5F75">
            <w:pPr>
              <w:widowControl/>
              <w:spacing w:line="400" w:lineRule="exact"/>
              <w:jc w:val="left"/>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3.3本项目由成交供应商缴纳招标代理服务费。代理服务费不得高于《招代理机构服务管理暂行办法》（计价格[2002]1980号）相应标准：</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6"/>
              <w:gridCol w:w="2305"/>
              <w:gridCol w:w="1586"/>
              <w:gridCol w:w="1403"/>
            </w:tblGrid>
            <w:tr w14:paraId="727AD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trPr>
              <w:tc>
                <w:tcPr>
                  <w:tcW w:w="2946" w:type="dxa"/>
                </w:tcPr>
                <w:p w14:paraId="4DB4BD0A">
                  <w:pPr>
                    <w:widowControl/>
                    <w:spacing w:line="400" w:lineRule="exact"/>
                    <w:jc w:val="center"/>
                    <w:outlineLvl w:val="0"/>
                    <w:rPr>
                      <w:rFonts w:cs="仿宋" w:asciiTheme="majorEastAsia" w:hAnsiTheme="majorEastAsia" w:eastAsiaTheme="majorEastAsia"/>
                      <w:szCs w:val="21"/>
                    </w:rPr>
                  </w:pPr>
                  <w:bookmarkStart w:id="43" w:name="_Toc22804073"/>
                  <w:bookmarkEnd w:id="43"/>
                  <w:bookmarkStart w:id="44" w:name="_Toc22953395"/>
                  <w:bookmarkEnd w:id="44"/>
                  <w:r>
                    <w:rPr>
                      <w:rFonts w:cs="仿宋" w:asciiTheme="majorEastAsia" w:hAnsiTheme="majorEastAsia" w:eastAsiaTheme="majorEastAsia"/>
                      <w:szCs w:val="21"/>
                    </w:rPr>
                    <w:pict>
                      <v:shape id="_x0000_s2051" o:spid="_x0000_s2051" o:spt="202" type="#_x0000_t202" style="position:absolute;left:0pt;margin-left:32.95pt;margin-top:28.75pt;height:22.5pt;width:66.65pt;z-index:251661312;mso-width-relative:page;mso-height-relative:page;" stroked="f" coordsize="21600,21600" o:gfxdata="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Yp5Wq1AAA&#10;AAkBAAAPAAAAAAAAAAEAIAAAACIAAABkcnMvZG93bnJldi54bWxQSwECFAAUAAAACACHTuJA3iYh&#10;e1sCAACaBAAADgAAAAAAAAABACAAAAAjAQAAZHJzL2Uyb0RvYy54bWxQSwUGAAAAAAYABgBZAQAA&#10;8AUAAAAA&#10;">
                        <v:path/>
                        <v:fill focussize="0,0"/>
                        <v:stroke on="f" weight="0.5pt" joinstyle="miter"/>
                        <v:imagedata o:title=""/>
                        <o:lock v:ext="edit"/>
                        <v:textbox>
                          <w:txbxContent>
                            <w:p w14:paraId="4462EF32">
                              <w:pPr>
                                <w:rPr>
                                  <w:b/>
                                  <w:bCs/>
                                </w:rPr>
                              </w:pPr>
                              <w:r>
                                <w:rPr>
                                  <w:rFonts w:hint="eastAsia"/>
                                  <w:b/>
                                  <w:bCs/>
                                </w:rPr>
                                <w:t>中标金额</w:t>
                              </w:r>
                            </w:p>
                          </w:txbxContent>
                        </v:textbox>
                      </v:shape>
                    </w:pict>
                  </w:r>
                  <w:r>
                    <w:rPr>
                      <w:rFonts w:cs="仿宋" w:asciiTheme="majorEastAsia" w:hAnsiTheme="majorEastAsia" w:eastAsiaTheme="majorEastAsia"/>
                      <w:szCs w:val="21"/>
                    </w:rPr>
                    <w:pict>
                      <v:shape id="_x0000_s2050" o:spid="_x0000_s2050" o:spt="202" type="#_x0000_t202" style="position:absolute;left:0pt;margin-left:27.05pt;margin-top:4.7pt;height:24.05pt;width:76.4pt;z-index:251660288;mso-width-relative:page;mso-height-relative:page;" stroked="f" coordsize="21600,21600" o:gfxdata="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NantXdIAAAAH&#10;AQAADwAAAAAAAAABACAAAAAiAAAAZHJzL2Rvd25yZXYueG1sUEsBAhQAFAAAAAgAh07iQF8vVZxb&#10;AgAAmgQAAA4AAAAAAAAAAQAgAAAAIQEAAGRycy9lMm9Eb2MueG1sUEsFBgAAAAAGAAYAWQEAAO4F&#10;AAAAAA==&#10;">
                        <v:path/>
                        <v:fill focussize="0,0"/>
                        <v:stroke on="f" weight="0.5pt" joinstyle="miter"/>
                        <v:imagedata o:title=""/>
                        <o:lock v:ext="edit"/>
                        <v:textbox>
                          <w:txbxContent>
                            <w:p w14:paraId="2026D5F9">
                              <w:r>
                                <w:rPr>
                                  <w:rFonts w:hint="eastAsia"/>
                                  <w:b/>
                                  <w:bCs/>
                                </w:rPr>
                                <w:t>服务费率类</w:t>
                              </w:r>
                              <w:r>
                                <w:rPr>
                                  <w:rFonts w:hint="eastAsia"/>
                                </w:rPr>
                                <w:t>型</w:t>
                              </w:r>
                            </w:p>
                          </w:txbxContent>
                        </v:textbox>
                      </v:shape>
                    </w:pict>
                  </w:r>
                </w:p>
              </w:tc>
              <w:tc>
                <w:tcPr>
                  <w:tcW w:w="2305" w:type="dxa"/>
                  <w:vAlign w:val="center"/>
                </w:tcPr>
                <w:p w14:paraId="0C315375">
                  <w:pPr>
                    <w:widowControl/>
                    <w:spacing w:line="400" w:lineRule="exact"/>
                    <w:jc w:val="center"/>
                    <w:outlineLvl w:val="0"/>
                    <w:rPr>
                      <w:rFonts w:cs="仿宋" w:asciiTheme="majorEastAsia" w:hAnsiTheme="majorEastAsia" w:eastAsiaTheme="majorEastAsia"/>
                      <w:b/>
                      <w:szCs w:val="21"/>
                    </w:rPr>
                  </w:pPr>
                  <w:r>
                    <w:rPr>
                      <w:rFonts w:hint="eastAsia" w:cs="仿宋" w:asciiTheme="majorEastAsia" w:hAnsiTheme="majorEastAsia" w:eastAsiaTheme="majorEastAsia"/>
                      <w:b/>
                      <w:szCs w:val="21"/>
                    </w:rPr>
                    <w:t>货物招标</w:t>
                  </w:r>
                </w:p>
              </w:tc>
              <w:tc>
                <w:tcPr>
                  <w:tcW w:w="1586" w:type="dxa"/>
                  <w:vAlign w:val="center"/>
                </w:tcPr>
                <w:p w14:paraId="2DBF374D">
                  <w:pPr>
                    <w:widowControl/>
                    <w:spacing w:line="400" w:lineRule="exact"/>
                    <w:jc w:val="center"/>
                    <w:outlineLvl w:val="0"/>
                    <w:rPr>
                      <w:rFonts w:cs="仿宋" w:asciiTheme="majorEastAsia" w:hAnsiTheme="majorEastAsia" w:eastAsiaTheme="majorEastAsia"/>
                      <w:b/>
                      <w:szCs w:val="21"/>
                    </w:rPr>
                  </w:pPr>
                  <w:r>
                    <w:rPr>
                      <w:rFonts w:hint="eastAsia" w:cs="仿宋" w:asciiTheme="majorEastAsia" w:hAnsiTheme="majorEastAsia" w:eastAsiaTheme="majorEastAsia"/>
                      <w:b/>
                      <w:szCs w:val="21"/>
                    </w:rPr>
                    <w:t>服务招标</w:t>
                  </w:r>
                </w:p>
              </w:tc>
              <w:tc>
                <w:tcPr>
                  <w:tcW w:w="1403" w:type="dxa"/>
                  <w:vAlign w:val="center"/>
                </w:tcPr>
                <w:p w14:paraId="189F6F9A">
                  <w:pPr>
                    <w:widowControl/>
                    <w:spacing w:line="400" w:lineRule="exact"/>
                    <w:jc w:val="center"/>
                    <w:outlineLvl w:val="0"/>
                    <w:rPr>
                      <w:rFonts w:cs="仿宋" w:asciiTheme="majorEastAsia" w:hAnsiTheme="majorEastAsia" w:eastAsiaTheme="majorEastAsia"/>
                      <w:b/>
                      <w:szCs w:val="21"/>
                    </w:rPr>
                  </w:pPr>
                  <w:r>
                    <w:rPr>
                      <w:rFonts w:hint="eastAsia" w:cs="仿宋" w:asciiTheme="majorEastAsia" w:hAnsiTheme="majorEastAsia" w:eastAsiaTheme="majorEastAsia"/>
                      <w:b/>
                      <w:szCs w:val="21"/>
                    </w:rPr>
                    <w:t>工程招标</w:t>
                  </w:r>
                </w:p>
              </w:tc>
            </w:tr>
            <w:tr w14:paraId="2FF82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2946" w:type="dxa"/>
                  <w:vAlign w:val="center"/>
                </w:tcPr>
                <w:p w14:paraId="00749491">
                  <w:pPr>
                    <w:widowControl/>
                    <w:spacing w:line="400" w:lineRule="exact"/>
                    <w:jc w:val="center"/>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100万元以下</w:t>
                  </w:r>
                </w:p>
              </w:tc>
              <w:tc>
                <w:tcPr>
                  <w:tcW w:w="2305" w:type="dxa"/>
                  <w:vAlign w:val="center"/>
                </w:tcPr>
                <w:p w14:paraId="6CF79DD1">
                  <w:pPr>
                    <w:widowControl/>
                    <w:spacing w:line="400" w:lineRule="exact"/>
                    <w:jc w:val="center"/>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1.5%</w:t>
                  </w:r>
                </w:p>
              </w:tc>
              <w:tc>
                <w:tcPr>
                  <w:tcW w:w="1586" w:type="dxa"/>
                  <w:vAlign w:val="center"/>
                </w:tcPr>
                <w:p w14:paraId="08B9DC69">
                  <w:pPr>
                    <w:widowControl/>
                    <w:spacing w:line="400" w:lineRule="exact"/>
                    <w:jc w:val="center"/>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1.5%</w:t>
                  </w:r>
                </w:p>
              </w:tc>
              <w:tc>
                <w:tcPr>
                  <w:tcW w:w="1403" w:type="dxa"/>
                  <w:vAlign w:val="center"/>
                </w:tcPr>
                <w:p w14:paraId="105239D3">
                  <w:pPr>
                    <w:widowControl/>
                    <w:spacing w:line="400" w:lineRule="exact"/>
                    <w:jc w:val="center"/>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1.0%</w:t>
                  </w:r>
                </w:p>
              </w:tc>
            </w:tr>
          </w:tbl>
          <w:p w14:paraId="305A8575">
            <w:pPr>
              <w:widowControl/>
              <w:spacing w:line="400" w:lineRule="exact"/>
              <w:jc w:val="left"/>
              <w:outlineLvl w:val="0"/>
              <w:rPr>
                <w:rFonts w:cs="仿宋" w:asciiTheme="majorEastAsia" w:hAnsiTheme="majorEastAsia" w:eastAsiaTheme="majorEastAsia"/>
                <w:szCs w:val="21"/>
              </w:rPr>
            </w:pPr>
          </w:p>
        </w:tc>
      </w:tr>
      <w:tr w14:paraId="11B4E721">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5D75606">
            <w:pPr>
              <w:widowControl/>
              <w:spacing w:line="400" w:lineRule="exact"/>
              <w:jc w:val="center"/>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05DFB09">
            <w:pPr>
              <w:widowControl/>
              <w:spacing w:line="400" w:lineRule="exact"/>
              <w:jc w:val="left"/>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现场踏勘或标前答疑：本项目不组织现场踏勘或标前答疑会。</w:t>
            </w:r>
          </w:p>
        </w:tc>
      </w:tr>
      <w:tr w14:paraId="734BC6D9">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BF83B4F">
            <w:pPr>
              <w:widowControl/>
              <w:spacing w:line="400" w:lineRule="exact"/>
              <w:jc w:val="center"/>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599705F">
            <w:pPr>
              <w:widowControl/>
              <w:spacing w:line="400" w:lineRule="exact"/>
              <w:jc w:val="left"/>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响应文件组成：纸质响应文件正本1份、副本2份。</w:t>
            </w:r>
          </w:p>
        </w:tc>
      </w:tr>
      <w:tr w14:paraId="61ACEC9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7BC64B4">
            <w:pPr>
              <w:widowControl/>
              <w:spacing w:line="400" w:lineRule="exact"/>
              <w:jc w:val="center"/>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61F8C1D">
            <w:pPr>
              <w:widowControl/>
              <w:spacing w:line="400" w:lineRule="exact"/>
              <w:jc w:val="left"/>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磋商截止时间及开标时间：另行通知</w:t>
            </w:r>
          </w:p>
          <w:p w14:paraId="31354F92">
            <w:pPr>
              <w:widowControl/>
              <w:spacing w:line="400" w:lineRule="exact"/>
              <w:jc w:val="left"/>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响应文件递交地点及开标地点：另行通知。</w:t>
            </w:r>
          </w:p>
        </w:tc>
      </w:tr>
      <w:tr w14:paraId="133C6B5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1DCBC7A">
            <w:pPr>
              <w:widowControl/>
              <w:spacing w:line="400" w:lineRule="exact"/>
              <w:jc w:val="center"/>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47F2569">
            <w:pPr>
              <w:spacing w:line="400" w:lineRule="exact"/>
              <w:jc w:val="left"/>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磋商小组成员：3人及以上单数。</w:t>
            </w:r>
          </w:p>
          <w:p w14:paraId="273A28CB">
            <w:pPr>
              <w:widowControl/>
              <w:spacing w:line="400" w:lineRule="exact"/>
              <w:jc w:val="left"/>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专家确定方式：由采购人抽取相关的技术人员组成。</w:t>
            </w:r>
          </w:p>
        </w:tc>
      </w:tr>
      <w:tr w14:paraId="6E94613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58F9AE0">
            <w:pPr>
              <w:widowControl/>
              <w:spacing w:line="400" w:lineRule="exact"/>
              <w:jc w:val="center"/>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8</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6D368AB">
            <w:pPr>
              <w:spacing w:line="400" w:lineRule="exact"/>
              <w:jc w:val="left"/>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评标办法：本项目采用综合评分法。</w:t>
            </w:r>
          </w:p>
        </w:tc>
      </w:tr>
      <w:tr w14:paraId="4FFFD7E4">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D7BEEFC">
            <w:pPr>
              <w:widowControl/>
              <w:spacing w:line="400" w:lineRule="exact"/>
              <w:jc w:val="center"/>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2639BA4">
            <w:pPr>
              <w:widowControl/>
              <w:spacing w:line="400" w:lineRule="exact"/>
              <w:jc w:val="left"/>
              <w:textAlignment w:val="bottom"/>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成交公告及成交通知书：由采购人授权磋商小组确定一名成交供应商并推荐一名成交候选供应商。评审结束后在《驻马店市中心医院》官网上发布成交公告，公示期结束后向成交供应商发出成交通知书。</w:t>
            </w:r>
          </w:p>
        </w:tc>
      </w:tr>
      <w:tr w14:paraId="4CFE536C">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3680BFF">
            <w:pPr>
              <w:widowControl/>
              <w:spacing w:line="400" w:lineRule="exact"/>
              <w:jc w:val="center"/>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FAD6DDD">
            <w:pPr>
              <w:widowControl/>
              <w:spacing w:line="400" w:lineRule="exact"/>
              <w:jc w:val="left"/>
              <w:textAlignment w:val="bottom"/>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签订合同：自成交通知书发出之日起30日内。</w:t>
            </w:r>
          </w:p>
        </w:tc>
      </w:tr>
      <w:tr w14:paraId="4CE5EA74">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0CD0AF2">
            <w:pPr>
              <w:widowControl/>
              <w:spacing w:line="400" w:lineRule="exact"/>
              <w:jc w:val="center"/>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61AF032">
            <w:pPr>
              <w:widowControl/>
              <w:spacing w:line="400" w:lineRule="exact"/>
              <w:jc w:val="left"/>
              <w:textAlignment w:val="bottom"/>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采购资金来源：自筹。</w:t>
            </w:r>
          </w:p>
        </w:tc>
      </w:tr>
      <w:tr w14:paraId="3A4F22A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1CED8D1">
            <w:pPr>
              <w:widowControl/>
              <w:spacing w:line="400" w:lineRule="exact"/>
              <w:jc w:val="center"/>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7ABD119">
            <w:pPr>
              <w:widowControl/>
              <w:spacing w:line="400" w:lineRule="exact"/>
              <w:jc w:val="left"/>
              <w:textAlignment w:val="bottom"/>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付款方式：详见第二章采购需求。</w:t>
            </w:r>
          </w:p>
        </w:tc>
      </w:tr>
      <w:tr w14:paraId="302A41E4">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779CBBB">
            <w:pPr>
              <w:widowControl/>
              <w:spacing w:line="400" w:lineRule="exact"/>
              <w:jc w:val="center"/>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2BA16FF">
            <w:pPr>
              <w:widowControl/>
              <w:spacing w:line="400" w:lineRule="exact"/>
              <w:jc w:val="left"/>
              <w:textAlignment w:val="bottom"/>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响应文件有效期：响应文件递交截止期结束后60日。成交供应商的响应文件是合同的组成部分,有效期至合同完全履行止。 </w:t>
            </w:r>
          </w:p>
        </w:tc>
      </w:tr>
      <w:tr w14:paraId="2CB7D15C">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8997E92">
            <w:pPr>
              <w:widowControl/>
              <w:spacing w:line="400" w:lineRule="exact"/>
              <w:jc w:val="center"/>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FC98E5F">
            <w:pPr>
              <w:widowControl/>
              <w:spacing w:line="400" w:lineRule="exact"/>
              <w:jc w:val="left"/>
              <w:textAlignment w:val="bottom"/>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3E82B1E6">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B948CFC">
            <w:pPr>
              <w:widowControl/>
              <w:spacing w:line="400" w:lineRule="exact"/>
              <w:jc w:val="center"/>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DBE9A48">
            <w:pPr>
              <w:widowControl/>
              <w:spacing w:line="400" w:lineRule="exact"/>
              <w:jc w:val="left"/>
              <w:textAlignment w:val="bottom"/>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商品包装和快递包装应符合《商品包装政府采购需求标准（试行）》和《快递包装政府采购需求标准（试行）》规定。</w:t>
            </w:r>
          </w:p>
        </w:tc>
      </w:tr>
      <w:tr w14:paraId="182C7BA8">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DACBD8E">
            <w:pPr>
              <w:widowControl/>
              <w:spacing w:line="400" w:lineRule="exact"/>
              <w:jc w:val="center"/>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E37F1E3">
            <w:pPr>
              <w:widowControl/>
              <w:spacing w:line="400" w:lineRule="exact"/>
              <w:jc w:val="left"/>
              <w:textAlignment w:val="bottom"/>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质疑和投诉：供应商认为采购文件使自己的合法权益受到损害的，应当在采购公告期限届满之日(或收到采购文件之日)起3个工作日之内向采购人提出质疑；供应商认为磋商过程和成交结果使自己的合法权益受到损害的，应当在知道或者应知其权益受到损害之日起3个工作日内提出质疑。逾期不再受理,供应商在法定质疑期内应一次性提出针对同一采购环节的质疑。供应商对采购人的质疑答复不满意,或采购人未在规定时间内作出答复的，可以在答复期满后15个工作日内向医院纪检部门投诉。</w:t>
            </w:r>
          </w:p>
        </w:tc>
      </w:tr>
      <w:tr w14:paraId="442A4199">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94AB4AD">
            <w:pPr>
              <w:widowControl/>
              <w:spacing w:line="400" w:lineRule="exact"/>
              <w:jc w:val="center"/>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18724B0">
            <w:pPr>
              <w:widowControl/>
              <w:spacing w:line="400" w:lineRule="exact"/>
              <w:jc w:val="left"/>
              <w:textAlignment w:val="bottom"/>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解释：1、构成本采购文件的各个组成文件应互为解释，互为说明；如有不明确或不一致，构成合同文件组成内容的，以合同文件约定内容为准；除采购文件中有特殊规定外，仅适用于招标投标阶段的规定，按采购公告、供应商须知、评标办法、响应文件格式的先后顺序解释；同一组成文件中就同一事项的规定或约定不一致的，以编排顺序在后者为准；当采购文件与采购文件的澄清、修改或补充通知就同一内容的表述不一致时，以最后发出的书面文件为准。合同文件约定或后者明显错误的除外。</w:t>
            </w:r>
          </w:p>
          <w:p w14:paraId="4818BC88">
            <w:pPr>
              <w:widowControl/>
              <w:spacing w:line="400" w:lineRule="exact"/>
              <w:jc w:val="left"/>
              <w:textAlignment w:val="bottom"/>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2、本采购文件解释权归采购人。</w:t>
            </w:r>
          </w:p>
        </w:tc>
      </w:tr>
    </w:tbl>
    <w:p w14:paraId="01EFAEDA">
      <w:pPr>
        <w:ind w:firstLine="422"/>
        <w:rPr>
          <w:rFonts w:ascii="宋体" w:hAnsi="宋体" w:cs="宋体"/>
        </w:rPr>
      </w:pPr>
    </w:p>
    <w:p w14:paraId="6E394071">
      <w:pPr>
        <w:snapToGrid w:val="0"/>
        <w:spacing w:line="360" w:lineRule="auto"/>
        <w:ind w:firstLine="562"/>
        <w:jc w:val="center"/>
        <w:outlineLvl w:val="1"/>
        <w:rPr>
          <w:rFonts w:ascii="宋体" w:hAnsi="宋体" w:cs="宋体"/>
          <w:kern w:val="0"/>
          <w:sz w:val="24"/>
        </w:rPr>
      </w:pPr>
      <w:bookmarkStart w:id="45" w:name="_Toc4700"/>
      <w:bookmarkStart w:id="46" w:name="_Toc16669"/>
      <w:r>
        <w:rPr>
          <w:rFonts w:hint="eastAsia" w:ascii="宋体" w:hAnsi="宋体" w:cs="宋体"/>
          <w:b/>
          <w:bCs/>
          <w:kern w:val="0"/>
          <w:sz w:val="28"/>
          <w:szCs w:val="28"/>
        </w:rPr>
        <w:t>一 、说 明</w:t>
      </w:r>
    </w:p>
    <w:p w14:paraId="271C9A1C">
      <w:pPr>
        <w:snapToGrid w:val="0"/>
        <w:spacing w:line="360" w:lineRule="auto"/>
        <w:ind w:firstLine="422"/>
        <w:jc w:val="left"/>
        <w:rPr>
          <w:rFonts w:ascii="宋体" w:hAnsi="宋体" w:cs="宋体"/>
          <w:b/>
          <w:bCs/>
          <w:kern w:val="0"/>
          <w:szCs w:val="21"/>
        </w:rPr>
      </w:pPr>
      <w:r>
        <w:rPr>
          <w:rFonts w:hint="eastAsia" w:ascii="宋体" w:hAnsi="宋体" w:cs="宋体"/>
          <w:b/>
          <w:bCs/>
          <w:kern w:val="0"/>
          <w:szCs w:val="21"/>
        </w:rPr>
        <w:t>1.适用范围</w:t>
      </w:r>
    </w:p>
    <w:p w14:paraId="75FFB677">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本采购文件仅适用于采购公告中所叙述项目的货物采购。</w:t>
      </w:r>
    </w:p>
    <w:p w14:paraId="55802B83">
      <w:pPr>
        <w:snapToGrid w:val="0"/>
        <w:spacing w:line="360" w:lineRule="auto"/>
        <w:ind w:firstLine="422"/>
        <w:jc w:val="left"/>
        <w:rPr>
          <w:rFonts w:ascii="宋体" w:hAnsi="宋体" w:cs="宋体"/>
          <w:b/>
          <w:bCs/>
          <w:kern w:val="0"/>
          <w:szCs w:val="21"/>
        </w:rPr>
      </w:pPr>
      <w:r>
        <w:rPr>
          <w:rFonts w:hint="eastAsia" w:ascii="宋体" w:hAnsi="宋体" w:cs="宋体"/>
          <w:b/>
          <w:bCs/>
          <w:kern w:val="0"/>
          <w:szCs w:val="21"/>
        </w:rPr>
        <w:t>2.定义</w:t>
      </w:r>
    </w:p>
    <w:p w14:paraId="0449B4E2">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2.1 “采购人”系指驻马店市中心医院。</w:t>
      </w:r>
    </w:p>
    <w:p w14:paraId="02F0562C">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2.2 “供应商”系指领取了本采购文件，且已经提交本次响应文件的供应商。</w:t>
      </w:r>
    </w:p>
    <w:p w14:paraId="7C77F102">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2.3 “供应商代表”系指代表供应商参加本次采购活动的供应商的法定代表人或其委托代理人。</w:t>
      </w:r>
    </w:p>
    <w:p w14:paraId="306B80F9">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2.4 “货物”系指供应商按采购文件规定向采购人提供的一切设备、机械、仪器仪表、备品备件、工具、手册及其它有关技术资料和材料。</w:t>
      </w:r>
    </w:p>
    <w:p w14:paraId="4D43644B">
      <w:pPr>
        <w:snapToGrid w:val="0"/>
        <w:spacing w:line="324" w:lineRule="auto"/>
        <w:rPr>
          <w:rFonts w:ascii="宋体" w:hAnsi="宋体" w:cs="宋体"/>
        </w:rPr>
      </w:pPr>
      <w:r>
        <w:rPr>
          <w:rFonts w:hint="eastAsia" w:ascii="宋体" w:hAnsi="宋体" w:cs="宋体"/>
          <w:b/>
          <w:kern w:val="0"/>
          <w:szCs w:val="21"/>
        </w:rPr>
        <w:t xml:space="preserve">    3.采购预算：</w:t>
      </w:r>
      <w:r>
        <w:rPr>
          <w:rFonts w:hint="eastAsia" w:ascii="宋体" w:hAnsi="宋体" w:cs="宋体"/>
          <w:kern w:val="0"/>
          <w:szCs w:val="21"/>
        </w:rPr>
        <w:t>402500元</w:t>
      </w:r>
      <w:r>
        <w:rPr>
          <w:rFonts w:hint="eastAsia" w:ascii="宋体" w:hAnsi="宋体" w:cs="宋体"/>
          <w:b/>
          <w:kern w:val="0"/>
          <w:szCs w:val="21"/>
        </w:rPr>
        <w:t>；最高投标限价:</w:t>
      </w:r>
      <w:r>
        <w:rPr>
          <w:rFonts w:hint="eastAsia" w:ascii="宋体" w:hAnsi="宋体" w:cs="宋体"/>
          <w:kern w:val="0"/>
          <w:szCs w:val="21"/>
        </w:rPr>
        <w:t xml:space="preserve"> 402500元</w:t>
      </w:r>
    </w:p>
    <w:p w14:paraId="736B5352">
      <w:pPr>
        <w:tabs>
          <w:tab w:val="left" w:pos="5730"/>
        </w:tabs>
        <w:snapToGrid w:val="0"/>
        <w:spacing w:line="324" w:lineRule="auto"/>
        <w:rPr>
          <w:rFonts w:ascii="宋体" w:hAnsi="宋体" w:cs="宋体"/>
        </w:rPr>
      </w:pPr>
      <w:r>
        <w:rPr>
          <w:rFonts w:hint="eastAsia" w:ascii="宋体" w:hAnsi="宋体" w:cs="宋体"/>
          <w:b/>
          <w:szCs w:val="21"/>
          <w:shd w:val="clear" w:color="auto" w:fill="FFFFFF"/>
        </w:rPr>
        <w:t xml:space="preserve">       包1预算：</w:t>
      </w:r>
      <w:r>
        <w:rPr>
          <w:rFonts w:hint="eastAsia" w:ascii="宋体" w:hAnsi="宋体" w:cs="宋体"/>
          <w:szCs w:val="21"/>
          <w:shd w:val="clear" w:color="auto" w:fill="FFFFFF"/>
        </w:rPr>
        <w:t>22500元</w:t>
      </w:r>
      <w:r>
        <w:rPr>
          <w:rFonts w:hint="eastAsia" w:ascii="宋体" w:hAnsi="宋体" w:cs="宋体"/>
          <w:b/>
          <w:szCs w:val="21"/>
          <w:shd w:val="clear" w:color="auto" w:fill="FFFFFF"/>
        </w:rPr>
        <w:t>，包2预算：</w:t>
      </w:r>
      <w:r>
        <w:rPr>
          <w:rFonts w:hint="eastAsia" w:ascii="宋体" w:hAnsi="宋体" w:cs="宋体"/>
          <w:szCs w:val="21"/>
          <w:shd w:val="clear" w:color="auto" w:fill="FFFFFF"/>
        </w:rPr>
        <w:t>200000元</w:t>
      </w:r>
      <w:r>
        <w:rPr>
          <w:rFonts w:ascii="宋体" w:hAnsi="宋体" w:cs="宋体"/>
          <w:szCs w:val="21"/>
          <w:shd w:val="clear" w:color="auto" w:fill="FFFFFF"/>
        </w:rPr>
        <w:tab/>
      </w:r>
    </w:p>
    <w:p w14:paraId="44FA6B55">
      <w:pPr>
        <w:snapToGrid w:val="0"/>
        <w:spacing w:line="324" w:lineRule="auto"/>
        <w:rPr>
          <w:rFonts w:ascii="宋体" w:hAnsi="宋体" w:cs="宋体"/>
          <w:b/>
          <w:kern w:val="0"/>
          <w:szCs w:val="21"/>
        </w:rPr>
      </w:pPr>
      <w:r>
        <w:rPr>
          <w:rFonts w:hint="eastAsia" w:ascii="宋体" w:hAnsi="宋体" w:cs="宋体"/>
          <w:b/>
          <w:kern w:val="0"/>
          <w:szCs w:val="21"/>
        </w:rPr>
        <w:t xml:space="preserve">    4.包1、</w:t>
      </w:r>
      <w:r>
        <w:rPr>
          <w:rFonts w:hint="eastAsia" w:ascii="宋体" w:hAnsi="宋体" w:cs="宋体"/>
          <w:b/>
          <w:bCs/>
          <w:kern w:val="0"/>
          <w:szCs w:val="21"/>
        </w:rPr>
        <w:t>包2</w:t>
      </w:r>
      <w:r>
        <w:rPr>
          <w:rFonts w:hint="eastAsia" w:ascii="宋体" w:hAnsi="宋体" w:cs="宋体"/>
          <w:b/>
          <w:kern w:val="0"/>
          <w:szCs w:val="21"/>
        </w:rPr>
        <w:t>供应商应提交的证明文件</w:t>
      </w:r>
    </w:p>
    <w:p w14:paraId="36AC802A">
      <w:pPr>
        <w:widowControl/>
        <w:tabs>
          <w:tab w:val="left" w:pos="840"/>
        </w:tabs>
        <w:snapToGrid w:val="0"/>
        <w:spacing w:line="324" w:lineRule="auto"/>
        <w:ind w:firstLine="420" w:firstLineChars="200"/>
        <w:jc w:val="left"/>
        <w:rPr>
          <w:rFonts w:ascii="宋体" w:hAnsi="宋体" w:cs="宋体"/>
          <w:szCs w:val="21"/>
          <w:shd w:val="clear" w:color="auto" w:fill="FFFFFF"/>
        </w:rPr>
      </w:pPr>
      <w:r>
        <w:rPr>
          <w:rFonts w:hint="eastAsia" w:ascii="宋体" w:hAnsi="宋体" w:cs="宋体"/>
          <w:szCs w:val="21"/>
          <w:shd w:val="clear" w:color="auto" w:fill="FFFFFF"/>
        </w:rPr>
        <w:t>4.1、具有独立承担民事责任的能力（提供营业执照或其他证明材料）；</w:t>
      </w:r>
    </w:p>
    <w:p w14:paraId="61255CB4">
      <w:pPr>
        <w:widowControl/>
        <w:tabs>
          <w:tab w:val="left" w:pos="840"/>
        </w:tabs>
        <w:snapToGrid w:val="0"/>
        <w:spacing w:line="324" w:lineRule="auto"/>
        <w:ind w:firstLine="420" w:firstLineChars="200"/>
        <w:jc w:val="left"/>
        <w:rPr>
          <w:rFonts w:ascii="宋体" w:hAnsi="宋体" w:cs="宋体"/>
          <w:szCs w:val="21"/>
          <w:shd w:val="clear" w:color="auto" w:fill="FFFFFF"/>
        </w:rPr>
      </w:pPr>
      <w:r>
        <w:rPr>
          <w:rFonts w:hint="eastAsia" w:ascii="宋体" w:hAnsi="宋体" w:cs="宋体"/>
          <w:szCs w:val="21"/>
          <w:shd w:val="clear" w:color="auto" w:fill="FFFFFF"/>
        </w:rPr>
        <w:t>4.2、具有良好的商业信誉和健全的财务会计制度（提供经审计的2024年度财务报告或者其基本开户银行出具的资信证明）；</w:t>
      </w:r>
    </w:p>
    <w:p w14:paraId="294CD998">
      <w:pPr>
        <w:widowControl/>
        <w:tabs>
          <w:tab w:val="left" w:pos="840"/>
        </w:tabs>
        <w:snapToGrid w:val="0"/>
        <w:spacing w:line="324" w:lineRule="auto"/>
        <w:ind w:firstLine="420" w:firstLineChars="200"/>
        <w:jc w:val="left"/>
        <w:rPr>
          <w:rFonts w:ascii="宋体" w:hAnsi="宋体" w:cs="宋体"/>
          <w:szCs w:val="21"/>
          <w:shd w:val="clear" w:color="auto" w:fill="FFFFFF"/>
        </w:rPr>
      </w:pPr>
      <w:r>
        <w:rPr>
          <w:rFonts w:hint="eastAsia" w:ascii="宋体" w:hAnsi="宋体" w:cs="宋体"/>
          <w:szCs w:val="21"/>
          <w:shd w:val="clear" w:color="auto" w:fill="FFFFFF"/>
        </w:rPr>
        <w:t>4.3、具有依法缴纳税收和社会保障资金的良好记录（提供采购活动近六个月任意一个月的依法缴纳税收和缴纳社保的证明；依法免税或不需要缴纳社会保障资金的，应提供相应文件证明其依法免税或不需要缴纳社会保障资金）。</w:t>
      </w:r>
    </w:p>
    <w:p w14:paraId="5111E507">
      <w:pPr>
        <w:widowControl/>
        <w:tabs>
          <w:tab w:val="left" w:pos="840"/>
        </w:tabs>
        <w:snapToGrid w:val="0"/>
        <w:spacing w:line="360" w:lineRule="auto"/>
        <w:ind w:firstLine="420" w:firstLineChars="200"/>
        <w:jc w:val="left"/>
        <w:rPr>
          <w:rFonts w:ascii="宋体" w:hAnsi="宋体" w:cs="宋体"/>
          <w:szCs w:val="21"/>
          <w:shd w:val="clear" w:color="auto" w:fill="FFFFFF"/>
        </w:rPr>
      </w:pPr>
      <w:r>
        <w:rPr>
          <w:rFonts w:hint="eastAsia" w:ascii="宋体" w:hAnsi="宋体" w:cs="宋体"/>
          <w:szCs w:val="21"/>
          <w:shd w:val="clear" w:color="auto" w:fill="FFFFFF"/>
        </w:rPr>
        <w:t>4.4、具有履行合同所必需的设备和专业技术能力（提供书面承诺函）；</w:t>
      </w:r>
    </w:p>
    <w:p w14:paraId="348040E2">
      <w:pPr>
        <w:widowControl/>
        <w:tabs>
          <w:tab w:val="left" w:pos="840"/>
        </w:tabs>
        <w:snapToGrid w:val="0"/>
        <w:spacing w:line="360" w:lineRule="auto"/>
        <w:ind w:firstLine="420" w:firstLineChars="200"/>
        <w:jc w:val="left"/>
      </w:pPr>
      <w:r>
        <w:rPr>
          <w:rFonts w:hint="eastAsia" w:ascii="宋体" w:hAnsi="宋体" w:cs="宋体"/>
          <w:szCs w:val="21"/>
          <w:shd w:val="clear" w:color="auto" w:fill="FFFFFF"/>
        </w:rPr>
        <w:t>4.5、参加本采购活动前三年内，在经营活动中没有重大违法记录（提供书面承诺函）；</w:t>
      </w:r>
    </w:p>
    <w:p w14:paraId="6636ABA1">
      <w:pPr>
        <w:widowControl/>
        <w:tabs>
          <w:tab w:val="left" w:pos="840"/>
        </w:tabs>
        <w:snapToGrid w:val="0"/>
        <w:spacing w:line="324" w:lineRule="auto"/>
        <w:ind w:firstLine="420" w:firstLineChars="200"/>
        <w:jc w:val="left"/>
        <w:rPr>
          <w:rFonts w:ascii="宋体" w:hAnsi="宋体" w:cs="宋体"/>
          <w:szCs w:val="21"/>
          <w:shd w:val="clear" w:color="auto" w:fill="FFFFFF"/>
        </w:rPr>
      </w:pPr>
      <w:r>
        <w:rPr>
          <w:rFonts w:hint="eastAsia" w:ascii="宋体" w:hAnsi="宋体" w:cs="宋体"/>
          <w:szCs w:val="21"/>
          <w:shd w:val="clear" w:color="auto" w:fill="FFFFFF"/>
        </w:rPr>
        <w:t>4.6、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供应商提供的仅做为信用参考，以采购人或采购代理机构查询结果为准）；</w:t>
      </w:r>
    </w:p>
    <w:p w14:paraId="5AF9A783">
      <w:pPr>
        <w:widowControl/>
        <w:tabs>
          <w:tab w:val="left" w:pos="840"/>
        </w:tabs>
        <w:snapToGrid w:val="0"/>
        <w:spacing w:line="324" w:lineRule="auto"/>
        <w:ind w:firstLine="420" w:firstLineChars="200"/>
        <w:jc w:val="left"/>
        <w:rPr>
          <w:rFonts w:ascii="宋体" w:hAnsi="宋体" w:cs="宋体"/>
          <w:szCs w:val="21"/>
          <w:shd w:val="clear" w:color="auto" w:fill="FFFFFF"/>
        </w:rPr>
      </w:pPr>
      <w:r>
        <w:rPr>
          <w:rFonts w:hint="eastAsia" w:ascii="宋体" w:hAnsi="宋体" w:cs="宋体"/>
          <w:szCs w:val="21"/>
          <w:shd w:val="clear" w:color="auto" w:fill="FFFFFF"/>
        </w:rPr>
        <w:t>4.7、单位负责人为同一人或者存在直接控股、管理关系的不同供应商，不得参加同一合同项下的磋商（</w:t>
      </w:r>
      <w:r>
        <w:rPr>
          <w:rFonts w:hint="eastAsia" w:ascii="宋体" w:hAnsi="宋体" w:cs="宋体"/>
          <w:kern w:val="0"/>
          <w:szCs w:val="21"/>
        </w:rPr>
        <w:t>提供在“国家企业信用信息公示系统”中查询的相关材料并加盖公章（需包含公司基本信息、股东信息及股权变更信息）或提供承诺函</w:t>
      </w:r>
      <w:r>
        <w:rPr>
          <w:rFonts w:hint="eastAsia" w:ascii="宋体" w:hAnsi="宋体" w:cs="宋体"/>
          <w:szCs w:val="21"/>
          <w:shd w:val="clear" w:color="auto" w:fill="FFFFFF"/>
        </w:rPr>
        <w:t>）。一经发现，将导致投标同时被拒绝。</w:t>
      </w:r>
    </w:p>
    <w:p w14:paraId="29DE9881">
      <w:pPr>
        <w:widowControl/>
        <w:tabs>
          <w:tab w:val="left" w:pos="840"/>
        </w:tabs>
        <w:snapToGrid w:val="0"/>
        <w:spacing w:line="324" w:lineRule="auto"/>
        <w:ind w:firstLine="420" w:firstLineChars="200"/>
        <w:jc w:val="left"/>
        <w:rPr>
          <w:rFonts w:ascii="宋体" w:hAnsi="宋体" w:cs="宋体"/>
          <w:szCs w:val="21"/>
          <w:shd w:val="clear" w:color="auto" w:fill="FFFFFF"/>
        </w:rPr>
      </w:pPr>
      <w:r>
        <w:rPr>
          <w:rFonts w:hint="eastAsia" w:ascii="宋体" w:hAnsi="宋体" w:cs="宋体"/>
          <w:szCs w:val="21"/>
          <w:shd w:val="clear" w:color="auto" w:fill="FFFFFF"/>
        </w:rPr>
        <w:t>4.8、本项目特定资格要求：</w:t>
      </w:r>
    </w:p>
    <w:p w14:paraId="6D34104C">
      <w:pPr>
        <w:widowControl/>
        <w:tabs>
          <w:tab w:val="left" w:pos="840"/>
        </w:tabs>
        <w:snapToGrid w:val="0"/>
        <w:spacing w:line="324" w:lineRule="auto"/>
        <w:ind w:firstLine="420" w:firstLineChars="200"/>
        <w:jc w:val="left"/>
        <w:rPr>
          <w:rFonts w:ascii="宋体" w:hAnsi="宋体" w:cs="宋体"/>
        </w:rPr>
      </w:pPr>
      <w:r>
        <w:rPr>
          <w:rFonts w:hint="eastAsia" w:ascii="宋体" w:hAnsi="宋体" w:cs="宋体"/>
        </w:rPr>
        <w:t>供应商为代理商（经销商）时，须具有医疗器械经营许可证或医疗器械经营备案凭证（从事第一类医疗器械经营活动的除外）；供应商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w:t>
      </w:r>
    </w:p>
    <w:p w14:paraId="4697A7D1">
      <w:pPr>
        <w:snapToGrid w:val="0"/>
        <w:spacing w:line="360" w:lineRule="auto"/>
        <w:ind w:firstLine="422"/>
        <w:jc w:val="left"/>
        <w:rPr>
          <w:rFonts w:ascii="宋体" w:hAnsi="宋体" w:cs="宋体"/>
          <w:kern w:val="0"/>
          <w:szCs w:val="21"/>
        </w:rPr>
      </w:pPr>
      <w:r>
        <w:rPr>
          <w:rFonts w:hint="eastAsia" w:ascii="宋体" w:hAnsi="宋体" w:cs="宋体"/>
          <w:b/>
          <w:bCs/>
          <w:kern w:val="0"/>
          <w:szCs w:val="21"/>
        </w:rPr>
        <w:t>5.投标费用</w:t>
      </w:r>
    </w:p>
    <w:p w14:paraId="72C80E37">
      <w:pPr>
        <w:snapToGrid w:val="0"/>
        <w:spacing w:line="360" w:lineRule="auto"/>
        <w:ind w:firstLine="422"/>
        <w:jc w:val="left"/>
        <w:rPr>
          <w:rFonts w:ascii="宋体" w:hAnsi="宋体" w:cs="宋体"/>
          <w:kern w:val="0"/>
          <w:szCs w:val="21"/>
        </w:rPr>
      </w:pPr>
      <w:r>
        <w:rPr>
          <w:rFonts w:hint="eastAsia" w:ascii="宋体" w:hAnsi="宋体" w:cs="宋体"/>
          <w:kern w:val="0"/>
          <w:szCs w:val="21"/>
        </w:rPr>
        <w:t>不论投标结果如何，供应商均应自行承担所有与投标有关的全部费用。</w:t>
      </w:r>
    </w:p>
    <w:p w14:paraId="75EBB258">
      <w:pPr>
        <w:snapToGrid w:val="0"/>
        <w:spacing w:line="360" w:lineRule="auto"/>
        <w:ind w:firstLine="422"/>
        <w:jc w:val="left"/>
        <w:rPr>
          <w:rFonts w:ascii="宋体" w:hAnsi="宋体" w:cs="宋体"/>
          <w:kern w:val="0"/>
          <w:szCs w:val="21"/>
        </w:rPr>
      </w:pPr>
      <w:r>
        <w:rPr>
          <w:rFonts w:hint="eastAsia" w:ascii="宋体" w:hAnsi="宋体" w:cs="宋体"/>
          <w:b/>
          <w:bCs/>
          <w:kern w:val="0"/>
          <w:szCs w:val="21"/>
        </w:rPr>
        <w:t>6.联合体投标：本项目不接受联合体投标。</w:t>
      </w:r>
    </w:p>
    <w:p w14:paraId="5297750F">
      <w:pPr>
        <w:snapToGrid w:val="0"/>
        <w:spacing w:line="360" w:lineRule="auto"/>
        <w:ind w:firstLine="422"/>
        <w:jc w:val="left"/>
        <w:rPr>
          <w:rFonts w:ascii="宋体" w:hAnsi="宋体" w:cs="宋体"/>
          <w:kern w:val="0"/>
          <w:szCs w:val="21"/>
        </w:rPr>
      </w:pPr>
      <w:r>
        <w:rPr>
          <w:rFonts w:hint="eastAsia" w:ascii="宋体" w:hAnsi="宋体" w:cs="宋体"/>
          <w:b/>
          <w:bCs/>
          <w:kern w:val="0"/>
          <w:szCs w:val="21"/>
        </w:rPr>
        <w:t>7.关联企业投标</w:t>
      </w:r>
    </w:p>
    <w:p w14:paraId="5CEB1005">
      <w:pPr>
        <w:snapToGrid w:val="0"/>
        <w:spacing w:line="360" w:lineRule="auto"/>
        <w:ind w:firstLine="422"/>
        <w:jc w:val="left"/>
        <w:rPr>
          <w:rFonts w:ascii="宋体" w:hAnsi="宋体" w:cs="宋体"/>
          <w:kern w:val="0"/>
          <w:szCs w:val="21"/>
        </w:rPr>
      </w:pPr>
      <w:r>
        <w:rPr>
          <w:rFonts w:hint="eastAsia" w:ascii="宋体" w:hAnsi="宋体" w:cs="宋体"/>
          <w:kern w:val="0"/>
          <w:szCs w:val="21"/>
        </w:rPr>
        <w:t>7.1 本采购文件所称关联企业,是指存在关联关系的企业。“关联关系”的界定适用《中华人民共和国公司法》第二百一十六条、《中华人民共和国政府采购法实施条例》第十八条之规定。</w:t>
      </w:r>
    </w:p>
    <w:p w14:paraId="668F5F37">
      <w:pPr>
        <w:snapToGrid w:val="0"/>
        <w:spacing w:line="360" w:lineRule="auto"/>
        <w:ind w:firstLine="422"/>
        <w:jc w:val="left"/>
        <w:rPr>
          <w:rFonts w:ascii="宋体" w:hAnsi="宋体" w:cs="宋体"/>
          <w:kern w:val="0"/>
          <w:szCs w:val="21"/>
        </w:rPr>
      </w:pPr>
      <w:r>
        <w:rPr>
          <w:rFonts w:hint="eastAsia" w:ascii="宋体" w:hAnsi="宋体" w:cs="宋体"/>
          <w:kern w:val="0"/>
          <w:szCs w:val="21"/>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p>
    <w:p w14:paraId="290B851D">
      <w:pPr>
        <w:snapToGrid w:val="0"/>
        <w:spacing w:line="360" w:lineRule="auto"/>
        <w:ind w:firstLine="422"/>
        <w:jc w:val="left"/>
        <w:rPr>
          <w:rFonts w:ascii="宋体" w:hAnsi="宋体" w:cs="宋体"/>
          <w:kern w:val="0"/>
          <w:szCs w:val="21"/>
        </w:rPr>
      </w:pPr>
      <w:r>
        <w:rPr>
          <w:rFonts w:hint="eastAsia" w:ascii="宋体" w:hAnsi="宋体" w:cs="宋体"/>
          <w:kern w:val="0"/>
          <w:szCs w:val="21"/>
        </w:rPr>
        <w:t>7.3 为采购项目提供整体设计、规范编制或者项目管理、监理、检测等服务的供应商，不得再参加该采购项目的投标活动。</w:t>
      </w:r>
    </w:p>
    <w:p w14:paraId="66318BA0">
      <w:pPr>
        <w:snapToGrid w:val="0"/>
        <w:spacing w:line="360" w:lineRule="auto"/>
        <w:ind w:firstLine="422"/>
        <w:jc w:val="left"/>
        <w:rPr>
          <w:rFonts w:ascii="宋体" w:hAnsi="宋体" w:cs="宋体"/>
          <w:kern w:val="0"/>
          <w:szCs w:val="21"/>
        </w:rPr>
      </w:pPr>
      <w:r>
        <w:rPr>
          <w:rFonts w:hint="eastAsia" w:ascii="宋体" w:hAnsi="宋体" w:cs="宋体"/>
          <w:b/>
          <w:bCs/>
          <w:kern w:val="0"/>
          <w:szCs w:val="21"/>
        </w:rPr>
        <w:t>8.转包与分包</w:t>
      </w:r>
    </w:p>
    <w:p w14:paraId="374C40B1">
      <w:pPr>
        <w:snapToGrid w:val="0"/>
        <w:spacing w:line="360" w:lineRule="auto"/>
        <w:ind w:firstLine="422"/>
        <w:jc w:val="left"/>
        <w:rPr>
          <w:rFonts w:ascii="宋体" w:hAnsi="宋体" w:cs="宋体"/>
          <w:kern w:val="0"/>
          <w:szCs w:val="21"/>
        </w:rPr>
      </w:pPr>
      <w:r>
        <w:rPr>
          <w:rFonts w:hint="eastAsia" w:ascii="宋体" w:hAnsi="宋体" w:cs="宋体"/>
          <w:kern w:val="0"/>
          <w:szCs w:val="21"/>
        </w:rPr>
        <w:t>8.1本项目不允许采取转包方式履行合同。</w:t>
      </w:r>
    </w:p>
    <w:p w14:paraId="077ED3ED">
      <w:pPr>
        <w:snapToGrid w:val="0"/>
        <w:spacing w:line="360" w:lineRule="auto"/>
        <w:ind w:firstLine="422"/>
        <w:jc w:val="left"/>
        <w:rPr>
          <w:rFonts w:ascii="宋体" w:hAnsi="宋体" w:cs="宋体"/>
          <w:kern w:val="0"/>
          <w:szCs w:val="21"/>
        </w:rPr>
      </w:pPr>
      <w:r>
        <w:rPr>
          <w:rFonts w:hint="eastAsia" w:ascii="宋体" w:hAnsi="宋体" w:cs="宋体"/>
          <w:kern w:val="0"/>
          <w:szCs w:val="21"/>
        </w:rPr>
        <w:t>8.2本项目不允许采取分包方式履行合同。</w:t>
      </w:r>
    </w:p>
    <w:p w14:paraId="4AFF160D">
      <w:pPr>
        <w:snapToGrid w:val="0"/>
        <w:spacing w:line="360" w:lineRule="auto"/>
        <w:ind w:firstLine="422"/>
        <w:jc w:val="left"/>
        <w:rPr>
          <w:rFonts w:ascii="宋体" w:hAnsi="宋体" w:cs="宋体"/>
          <w:kern w:val="0"/>
          <w:szCs w:val="21"/>
        </w:rPr>
      </w:pPr>
      <w:r>
        <w:rPr>
          <w:rFonts w:hint="eastAsia" w:ascii="宋体" w:hAnsi="宋体" w:cs="宋体"/>
          <w:b/>
          <w:bCs/>
          <w:kern w:val="0"/>
          <w:szCs w:val="21"/>
        </w:rPr>
        <w:t>9.特别说明：</w:t>
      </w:r>
    </w:p>
    <w:p w14:paraId="089BAE67">
      <w:pPr>
        <w:snapToGrid w:val="0"/>
        <w:spacing w:line="360" w:lineRule="auto"/>
        <w:ind w:firstLine="422"/>
        <w:jc w:val="left"/>
        <w:rPr>
          <w:rFonts w:ascii="宋体" w:hAnsi="宋体" w:cs="宋体"/>
          <w:kern w:val="0"/>
          <w:szCs w:val="21"/>
        </w:rPr>
      </w:pPr>
      <w:r>
        <w:rPr>
          <w:rFonts w:hint="eastAsia" w:ascii="宋体" w:hAnsi="宋体" w:cs="宋体"/>
          <w:kern w:val="0"/>
          <w:szCs w:val="21"/>
        </w:rPr>
        <w:t>9.1 供应商投标所使用的资格、信誉、荣誉、业绩与企业认证必须为本法人所拥有。  </w:t>
      </w:r>
    </w:p>
    <w:p w14:paraId="29A321F9">
      <w:pPr>
        <w:snapToGrid w:val="0"/>
        <w:spacing w:line="360" w:lineRule="auto"/>
        <w:ind w:firstLine="422"/>
        <w:jc w:val="left"/>
        <w:rPr>
          <w:rFonts w:ascii="宋体" w:hAnsi="宋体" w:cs="宋体"/>
          <w:kern w:val="0"/>
          <w:szCs w:val="21"/>
        </w:rPr>
      </w:pPr>
      <w:r>
        <w:rPr>
          <w:rFonts w:hint="eastAsia" w:ascii="宋体" w:hAnsi="宋体" w:cs="宋体"/>
          <w:kern w:val="0"/>
          <w:szCs w:val="21"/>
        </w:rPr>
        <w:t>9.2供应商代表只能接受一个供应商的委托参加投标。</w:t>
      </w:r>
    </w:p>
    <w:p w14:paraId="568FBD4F">
      <w:pPr>
        <w:snapToGrid w:val="0"/>
        <w:spacing w:line="360" w:lineRule="auto"/>
        <w:ind w:firstLine="422"/>
        <w:jc w:val="left"/>
        <w:rPr>
          <w:rFonts w:ascii="宋体" w:hAnsi="宋体" w:cs="宋体"/>
          <w:kern w:val="0"/>
          <w:szCs w:val="21"/>
        </w:rPr>
      </w:pPr>
      <w:r>
        <w:rPr>
          <w:rFonts w:hint="eastAsia" w:ascii="宋体" w:hAnsi="宋体" w:cs="宋体"/>
          <w:kern w:val="0"/>
          <w:szCs w:val="21"/>
        </w:rPr>
        <w:t>9.3《政府采购法》第二十二条第五款“参加政府采购活动前三年内，在经营活动中没有重大违法记录”，《政府采购法》实施条例第十九条 “重大违法记录是指供应商因违法经营受到刑事处罚或者责令停产停业、吊销许可证或者执照、较大数额罚款等行政处罚。”财政部发布的《关于&lt;中华人民共和国政府采购法实施条例&gt;第十九条第一款“较大数额罚款”具体适用问题的意见》（财库〔2022〕3号）明确，“较大数额罚款”认定为200万元以上，若相关法律、行政法规或国务院部门另有更高标准，则从其规定。 ‌“重大违法记录”包括供应商或者其法定代表人、董事、监事、高级管理人员因经营活动中的违法行为受到行政处罚，但警告和罚款额在人民币3万元以下的行政处罚除外；供应商或其法定代表人、董事、监事、高级管理人员因经营活动中的违法行为受到刑事处罚。</w:t>
      </w:r>
    </w:p>
    <w:p w14:paraId="20A141B3">
      <w:pPr>
        <w:snapToGrid w:val="0"/>
        <w:spacing w:line="360" w:lineRule="auto"/>
        <w:ind w:firstLine="422"/>
        <w:jc w:val="left"/>
        <w:rPr>
          <w:rFonts w:ascii="宋体" w:hAnsi="宋体" w:cs="宋体"/>
          <w:kern w:val="0"/>
          <w:szCs w:val="21"/>
        </w:rPr>
      </w:pPr>
      <w:r>
        <w:rPr>
          <w:rFonts w:hint="eastAsia" w:ascii="宋体" w:hAnsi="宋体" w:cs="宋体"/>
          <w:kern w:val="0"/>
          <w:szCs w:val="21"/>
        </w:rPr>
        <w:t>9.4供应商在投标活动中提供虚假材料或从事其他违法活动的,其投标无效，由相关部门查处。</w:t>
      </w:r>
    </w:p>
    <w:p w14:paraId="0F69757A">
      <w:pPr>
        <w:snapToGrid w:val="0"/>
        <w:spacing w:line="360" w:lineRule="auto"/>
        <w:ind w:firstLine="422"/>
        <w:jc w:val="left"/>
        <w:rPr>
          <w:rFonts w:ascii="宋体" w:hAnsi="宋体" w:cs="宋体"/>
          <w:kern w:val="0"/>
          <w:szCs w:val="21"/>
        </w:rPr>
      </w:pPr>
      <w:r>
        <w:rPr>
          <w:rFonts w:hint="eastAsia" w:ascii="宋体" w:hAnsi="宋体" w:cs="宋体"/>
          <w:b/>
          <w:bCs/>
          <w:kern w:val="0"/>
          <w:szCs w:val="21"/>
        </w:rPr>
        <w:t>10.质疑和投诉</w:t>
      </w:r>
    </w:p>
    <w:p w14:paraId="4C76B252">
      <w:pPr>
        <w:snapToGrid w:val="0"/>
        <w:spacing w:line="360" w:lineRule="auto"/>
        <w:ind w:firstLine="411" w:firstLineChars="196"/>
        <w:jc w:val="left"/>
        <w:rPr>
          <w:rFonts w:ascii="宋体" w:hAnsi="宋体" w:cs="宋体"/>
          <w:kern w:val="0"/>
          <w:szCs w:val="21"/>
        </w:rPr>
      </w:pPr>
      <w:r>
        <w:rPr>
          <w:rFonts w:hint="eastAsia" w:ascii="宋体" w:hAnsi="宋体" w:cs="宋体"/>
          <w:kern w:val="0"/>
          <w:szCs w:val="21"/>
        </w:rPr>
        <w:t>10.1</w:t>
      </w:r>
      <w:r>
        <w:rPr>
          <w:rFonts w:hint="eastAsia" w:ascii="宋体" w:hAnsi="宋体" w:cs="宋体"/>
          <w:bCs/>
          <w:kern w:val="0"/>
          <w:szCs w:val="21"/>
        </w:rPr>
        <w:t>供应商认为采购文件使自己的合法权益受到损害的，</w:t>
      </w:r>
      <w:r>
        <w:rPr>
          <w:rFonts w:hint="eastAsia" w:ascii="宋体" w:hAnsi="宋体" w:cs="宋体"/>
          <w:kern w:val="0"/>
          <w:szCs w:val="21"/>
        </w:rPr>
        <w:t>应当在采购公告期限届满之日(或收到采购文件之日)起3个工作日之内向</w:t>
      </w:r>
      <w:r>
        <w:rPr>
          <w:rFonts w:hint="eastAsia" w:ascii="宋体" w:hAnsi="宋体" w:cs="宋体"/>
          <w:bCs/>
          <w:kern w:val="0"/>
          <w:szCs w:val="21"/>
        </w:rPr>
        <w:t>采购人提出质疑；供应商认为磋商过程和成交结果使自己的合法权益受到损害的，应当在知道或者应知其权益受到损害之日起3个工作日内提出质疑。</w:t>
      </w:r>
      <w:r>
        <w:rPr>
          <w:rFonts w:hint="eastAsia" w:ascii="宋体" w:hAnsi="宋体" w:cs="宋体"/>
          <w:kern w:val="0"/>
          <w:szCs w:val="21"/>
        </w:rPr>
        <w:t>逾期不再受理,</w:t>
      </w:r>
      <w:r>
        <w:rPr>
          <w:rFonts w:hint="eastAsia" w:ascii="宋体" w:hAnsi="宋体" w:cs="宋体"/>
          <w:bCs/>
          <w:kern w:val="0"/>
          <w:szCs w:val="21"/>
        </w:rPr>
        <w:t>供应商在法定质疑期内应一次性提出针对同一采购环节的质疑。</w:t>
      </w:r>
      <w:r>
        <w:rPr>
          <w:rFonts w:hint="eastAsia" w:ascii="宋体" w:hAnsi="宋体" w:cs="宋体"/>
          <w:kern w:val="0"/>
          <w:szCs w:val="21"/>
        </w:rPr>
        <w:t>供应商对</w:t>
      </w:r>
      <w:r>
        <w:rPr>
          <w:rFonts w:hint="eastAsia" w:ascii="宋体" w:hAnsi="宋体" w:cs="宋体"/>
          <w:bCs/>
          <w:kern w:val="0"/>
          <w:szCs w:val="21"/>
        </w:rPr>
        <w:t>采购人</w:t>
      </w:r>
      <w:r>
        <w:rPr>
          <w:rFonts w:hint="eastAsia" w:ascii="宋体" w:hAnsi="宋体" w:cs="宋体"/>
          <w:kern w:val="0"/>
          <w:szCs w:val="21"/>
        </w:rPr>
        <w:t>的质疑答复不满意,或</w:t>
      </w:r>
      <w:r>
        <w:rPr>
          <w:rFonts w:hint="eastAsia" w:ascii="宋体" w:hAnsi="宋体" w:cs="宋体"/>
          <w:bCs/>
          <w:kern w:val="0"/>
          <w:szCs w:val="21"/>
        </w:rPr>
        <w:t>采购人</w:t>
      </w:r>
      <w:r>
        <w:rPr>
          <w:rFonts w:hint="eastAsia" w:ascii="宋体" w:hAnsi="宋体" w:cs="宋体"/>
          <w:kern w:val="0"/>
          <w:szCs w:val="21"/>
        </w:rPr>
        <w:t>未在规定时间内作出答复的，可以在答复期满后15个工作日内向医院纪检部门投诉。</w:t>
      </w:r>
    </w:p>
    <w:p w14:paraId="067D21A2">
      <w:pPr>
        <w:shd w:val="clear" w:color="auto" w:fill="FFFFFF"/>
        <w:snapToGrid w:val="0"/>
        <w:spacing w:line="360" w:lineRule="auto"/>
        <w:ind w:firstLine="422"/>
        <w:jc w:val="left"/>
        <w:rPr>
          <w:rFonts w:ascii="宋体" w:hAnsi="宋体" w:cs="宋体"/>
          <w:kern w:val="0"/>
          <w:szCs w:val="21"/>
        </w:rPr>
      </w:pPr>
      <w:r>
        <w:rPr>
          <w:rFonts w:hint="eastAsia" w:ascii="宋体" w:hAnsi="宋体" w:cs="宋体"/>
          <w:kern w:val="0"/>
          <w:szCs w:val="21"/>
        </w:rPr>
        <w:t>10.2</w:t>
      </w:r>
      <w:r>
        <w:rPr>
          <w:rFonts w:hint="eastAsia" w:ascii="宋体" w:hAnsi="宋体" w:cs="宋体"/>
          <w:bCs/>
          <w:kern w:val="0"/>
          <w:szCs w:val="21"/>
        </w:rPr>
        <w:t>质疑、投诉应当采用书面形式，质疑书、投诉书均应明确阐述采购文件、磋商过程和成交结果中使自己合法权益受到损害的实质性内容，提供相关事实、依据和证据及其来源或线索，便于有关单位调查、答复和处理。</w:t>
      </w:r>
    </w:p>
    <w:p w14:paraId="7E9FD4A8">
      <w:pPr>
        <w:snapToGrid w:val="0"/>
        <w:spacing w:line="360" w:lineRule="auto"/>
        <w:ind w:firstLine="422"/>
        <w:jc w:val="left"/>
        <w:rPr>
          <w:rFonts w:ascii="宋体" w:hAnsi="宋体" w:cs="宋体"/>
          <w:kern w:val="0"/>
          <w:szCs w:val="21"/>
        </w:rPr>
      </w:pPr>
      <w:r>
        <w:rPr>
          <w:rFonts w:hint="eastAsia" w:ascii="宋体" w:hAnsi="宋体" w:cs="宋体"/>
          <w:b/>
          <w:bCs/>
          <w:kern w:val="0"/>
          <w:szCs w:val="21"/>
        </w:rPr>
        <w:t>11.供应商的风险</w:t>
      </w:r>
    </w:p>
    <w:p w14:paraId="48373131">
      <w:pPr>
        <w:snapToGrid w:val="0"/>
        <w:spacing w:line="360" w:lineRule="auto"/>
        <w:ind w:firstLine="422"/>
        <w:jc w:val="left"/>
        <w:rPr>
          <w:rFonts w:ascii="宋体" w:hAnsi="宋体" w:cs="宋体"/>
          <w:kern w:val="0"/>
          <w:sz w:val="24"/>
        </w:rPr>
      </w:pPr>
      <w:r>
        <w:rPr>
          <w:rFonts w:hint="eastAsia" w:ascii="宋体" w:hAnsi="宋体" w:cs="宋体"/>
          <w:kern w:val="0"/>
          <w:szCs w:val="21"/>
        </w:rPr>
        <w:t>供应商没有按照采购文件要求提供全部资料，或者供应商没有对采购文件在各方面都作出实质性响应是供应商的风险，并可能导致其投标被拒绝。</w:t>
      </w:r>
    </w:p>
    <w:p w14:paraId="6037DAD1">
      <w:pPr>
        <w:snapToGrid w:val="0"/>
        <w:spacing w:line="360" w:lineRule="auto"/>
        <w:ind w:firstLine="562"/>
        <w:jc w:val="center"/>
        <w:outlineLvl w:val="1"/>
        <w:rPr>
          <w:rFonts w:ascii="宋体" w:hAnsi="宋体" w:cs="宋体"/>
          <w:b/>
          <w:bCs/>
          <w:kern w:val="0"/>
          <w:sz w:val="28"/>
          <w:szCs w:val="28"/>
        </w:rPr>
      </w:pPr>
      <w:r>
        <w:rPr>
          <w:rFonts w:hint="eastAsia" w:ascii="宋体" w:hAnsi="宋体" w:cs="宋体"/>
          <w:b/>
          <w:bCs/>
          <w:kern w:val="0"/>
          <w:sz w:val="28"/>
          <w:szCs w:val="28"/>
        </w:rPr>
        <w:t>二、采购文件</w:t>
      </w:r>
    </w:p>
    <w:p w14:paraId="45D77EA4">
      <w:pPr>
        <w:snapToGrid w:val="0"/>
        <w:spacing w:line="360" w:lineRule="auto"/>
        <w:ind w:firstLine="417" w:firstLineChars="198"/>
        <w:rPr>
          <w:rFonts w:ascii="宋体" w:hAnsi="宋体" w:cs="宋体"/>
          <w:kern w:val="0"/>
          <w:szCs w:val="21"/>
        </w:rPr>
      </w:pPr>
      <w:r>
        <w:rPr>
          <w:rFonts w:hint="eastAsia" w:ascii="宋体" w:hAnsi="宋体" w:cs="宋体"/>
          <w:b/>
          <w:bCs/>
          <w:kern w:val="0"/>
          <w:szCs w:val="21"/>
        </w:rPr>
        <w:t>12.采购文件的构成。本采购文件由以下部分组成：</w:t>
      </w:r>
    </w:p>
    <w:p w14:paraId="5231A457">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12.1 竞争性磋商公告</w:t>
      </w:r>
    </w:p>
    <w:p w14:paraId="034AA358">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12.2 采购需求</w:t>
      </w:r>
    </w:p>
    <w:p w14:paraId="2B82D4B7">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12.3 供应商须知</w:t>
      </w:r>
    </w:p>
    <w:p w14:paraId="248DEC65">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12.4 评标办法</w:t>
      </w:r>
    </w:p>
    <w:p w14:paraId="4758713F">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12.5 合同主要条款</w:t>
      </w:r>
    </w:p>
    <w:p w14:paraId="0055ADFD">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12.6 响应文件格式</w:t>
      </w:r>
    </w:p>
    <w:p w14:paraId="5D1DC73E">
      <w:pPr>
        <w:snapToGrid w:val="0"/>
        <w:spacing w:line="360" w:lineRule="auto"/>
        <w:ind w:firstLine="417" w:firstLineChars="198"/>
        <w:rPr>
          <w:rFonts w:ascii="宋体" w:hAnsi="宋体" w:cs="宋体"/>
          <w:b/>
          <w:bCs/>
          <w:kern w:val="0"/>
          <w:szCs w:val="21"/>
        </w:rPr>
      </w:pPr>
      <w:r>
        <w:rPr>
          <w:rFonts w:hint="eastAsia" w:ascii="宋体" w:hAnsi="宋体" w:cs="宋体"/>
          <w:b/>
          <w:bCs/>
          <w:kern w:val="0"/>
          <w:szCs w:val="21"/>
        </w:rPr>
        <w:t>13.采购文件的澄清与修改</w:t>
      </w:r>
    </w:p>
    <w:p w14:paraId="1EB87396">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13.1 采购人对已发出的采购文件进行必要澄清、修改或补充的，应当在采购文件要求提交响应文件截止时间3</w:t>
      </w:r>
      <w:r>
        <w:rPr>
          <w:rFonts w:hint="eastAsia" w:ascii="宋体" w:hAnsi="宋体" w:cs="宋体"/>
          <w:bCs/>
          <w:kern w:val="0"/>
          <w:szCs w:val="21"/>
        </w:rPr>
        <w:t>日</w:t>
      </w:r>
      <w:r>
        <w:rPr>
          <w:rFonts w:hint="eastAsia" w:ascii="宋体" w:hAnsi="宋体" w:cs="宋体"/>
          <w:kern w:val="0"/>
          <w:szCs w:val="21"/>
        </w:rPr>
        <w:t>前，在原采购公告发布相关媒体上发布更正公告或变更公告。采购文件公示期间对采购文件进行的澄清、修改或补充不受上述限制。</w:t>
      </w:r>
    </w:p>
    <w:p w14:paraId="30889107">
      <w:pPr>
        <w:snapToGrid w:val="0"/>
        <w:spacing w:line="360" w:lineRule="auto"/>
        <w:ind w:firstLine="422"/>
        <w:jc w:val="left"/>
        <w:rPr>
          <w:rFonts w:ascii="宋体" w:hAnsi="宋体" w:cs="宋体"/>
          <w:kern w:val="0"/>
          <w:szCs w:val="21"/>
        </w:rPr>
      </w:pPr>
      <w:r>
        <w:rPr>
          <w:rFonts w:hint="eastAsia" w:ascii="宋体" w:hAnsi="宋体" w:cs="宋体"/>
          <w:kern w:val="0"/>
          <w:szCs w:val="21"/>
        </w:rPr>
        <w:t>13.2 采购文件澄清、修改或补充的内容为采购文件的组成部分。</w:t>
      </w:r>
    </w:p>
    <w:p w14:paraId="02D59DB3">
      <w:pPr>
        <w:snapToGrid w:val="0"/>
        <w:spacing w:line="360" w:lineRule="auto"/>
        <w:ind w:firstLine="422"/>
        <w:jc w:val="left"/>
        <w:rPr>
          <w:rFonts w:ascii="宋体" w:hAnsi="宋体" w:cs="宋体"/>
          <w:kern w:val="0"/>
          <w:szCs w:val="21"/>
        </w:rPr>
      </w:pPr>
      <w:r>
        <w:rPr>
          <w:rFonts w:hint="eastAsia" w:ascii="宋体" w:hAnsi="宋体" w:cs="宋体"/>
          <w:kern w:val="0"/>
          <w:szCs w:val="21"/>
        </w:rPr>
        <w:t>13.3 采购文件的澄清、修改或补充都应以法定形式发布。采购人未对采购文件进行的澄清、修改或补充无效，评标时不予认可。</w:t>
      </w:r>
    </w:p>
    <w:p w14:paraId="57BF37FA">
      <w:pPr>
        <w:snapToGrid w:val="0"/>
        <w:spacing w:line="360" w:lineRule="auto"/>
        <w:ind w:firstLine="422"/>
        <w:jc w:val="left"/>
        <w:rPr>
          <w:rFonts w:ascii="宋体" w:hAnsi="宋体" w:cs="宋体"/>
          <w:kern w:val="0"/>
          <w:sz w:val="24"/>
        </w:rPr>
      </w:pPr>
      <w:r>
        <w:rPr>
          <w:rFonts w:hint="eastAsia" w:ascii="宋体" w:hAnsi="宋体" w:cs="宋体"/>
          <w:kern w:val="0"/>
          <w:szCs w:val="21"/>
        </w:rPr>
        <w:t>13.4 </w:t>
      </w:r>
      <w:r>
        <w:rPr>
          <w:rFonts w:hint="eastAsia" w:ascii="宋体" w:hAnsi="宋体" w:cs="宋体"/>
          <w:bCs/>
          <w:kern w:val="0"/>
          <w:szCs w:val="21"/>
        </w:rPr>
        <w:t>采购人</w:t>
      </w:r>
      <w:r>
        <w:rPr>
          <w:rFonts w:hint="eastAsia" w:ascii="宋体" w:hAnsi="宋体" w:cs="宋体"/>
          <w:kern w:val="0"/>
          <w:szCs w:val="21"/>
        </w:rPr>
        <w:t>可以视采购具体情况延长磋商截止时间和磋商时间，但至少应当在采购文件要求提交响应文件的截止时间3</w:t>
      </w:r>
      <w:r>
        <w:rPr>
          <w:rFonts w:hint="eastAsia" w:ascii="宋体" w:hAnsi="宋体" w:cs="宋体"/>
          <w:bCs/>
          <w:kern w:val="0"/>
          <w:szCs w:val="21"/>
        </w:rPr>
        <w:t>日</w:t>
      </w:r>
      <w:r>
        <w:rPr>
          <w:rFonts w:hint="eastAsia" w:ascii="宋体" w:hAnsi="宋体" w:cs="宋体"/>
          <w:kern w:val="0"/>
          <w:szCs w:val="21"/>
        </w:rPr>
        <w:t>前，将变更时间通知所有潜在供应商。</w:t>
      </w:r>
    </w:p>
    <w:p w14:paraId="22EB00AA">
      <w:pPr>
        <w:snapToGrid w:val="0"/>
        <w:spacing w:line="360" w:lineRule="auto"/>
        <w:ind w:firstLine="562"/>
        <w:jc w:val="center"/>
        <w:outlineLvl w:val="1"/>
        <w:rPr>
          <w:rFonts w:ascii="宋体" w:hAnsi="宋体" w:cs="宋体"/>
          <w:b/>
          <w:bCs/>
          <w:kern w:val="0"/>
          <w:sz w:val="28"/>
          <w:szCs w:val="28"/>
        </w:rPr>
      </w:pPr>
      <w:r>
        <w:rPr>
          <w:rFonts w:hint="eastAsia" w:ascii="宋体" w:hAnsi="宋体" w:cs="宋体"/>
          <w:b/>
          <w:bCs/>
          <w:kern w:val="0"/>
          <w:sz w:val="28"/>
          <w:szCs w:val="28"/>
        </w:rPr>
        <w:t>三、响应文件的编制</w:t>
      </w:r>
    </w:p>
    <w:p w14:paraId="62361892">
      <w:pPr>
        <w:snapToGrid w:val="0"/>
        <w:spacing w:line="360" w:lineRule="auto"/>
        <w:ind w:firstLine="417" w:firstLineChars="198"/>
        <w:rPr>
          <w:rFonts w:ascii="宋体" w:hAnsi="宋体" w:cs="宋体"/>
          <w:kern w:val="0"/>
          <w:szCs w:val="21"/>
        </w:rPr>
      </w:pPr>
      <w:r>
        <w:rPr>
          <w:rFonts w:hint="eastAsia" w:ascii="宋体" w:hAnsi="宋体" w:cs="宋体"/>
          <w:b/>
          <w:bCs/>
          <w:kern w:val="0"/>
          <w:szCs w:val="21"/>
        </w:rPr>
        <w:t>14.要求</w:t>
      </w:r>
    </w:p>
    <w:p w14:paraId="43AF3D6C">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14.1 供应商应仔细阅读采购文件的所有内容，按照采购文件提供的格式编写响应文件，不得缺少或留空任何采购文件要求填写的表格或提交的资料。采购文件提供格式的按格式填列，未提供格式的可自行拟定。响应文件应对采购文件的要求作出实质性响应（包括供应商资格要求、技术要求、商务要求和响应文件格式中对磋商的要求），供应商对所提供的全部资料的合法性、真实性负责。</w:t>
      </w:r>
    </w:p>
    <w:p w14:paraId="54A67661">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14.2 供应商应完整签署响应文件格式附件中《竞争性磋商响应书》和《抵制商业贿赂承诺》，不得增减或修改内容。否则视为对采购文件未作出实质性响应。</w:t>
      </w:r>
    </w:p>
    <w:p w14:paraId="7DC10314">
      <w:pPr>
        <w:snapToGrid w:val="0"/>
        <w:spacing w:line="360" w:lineRule="auto"/>
        <w:ind w:firstLine="417" w:firstLineChars="198"/>
        <w:rPr>
          <w:rFonts w:ascii="宋体" w:hAnsi="宋体" w:cs="宋体"/>
          <w:kern w:val="0"/>
          <w:szCs w:val="21"/>
        </w:rPr>
      </w:pPr>
      <w:r>
        <w:rPr>
          <w:rFonts w:hint="eastAsia" w:ascii="宋体" w:hAnsi="宋体" w:cs="宋体"/>
          <w:b/>
          <w:bCs/>
          <w:kern w:val="0"/>
          <w:szCs w:val="21"/>
        </w:rPr>
        <w:t>15.响应文件的语言和计量单位</w:t>
      </w:r>
    </w:p>
    <w:p w14:paraId="7A73B942">
      <w:pPr>
        <w:snapToGrid w:val="0"/>
        <w:spacing w:line="360" w:lineRule="auto"/>
        <w:ind w:firstLine="422"/>
        <w:jc w:val="left"/>
        <w:rPr>
          <w:rFonts w:ascii="宋体" w:hAnsi="宋体" w:cs="宋体"/>
          <w:kern w:val="0"/>
          <w:szCs w:val="21"/>
        </w:rPr>
      </w:pPr>
      <w:r>
        <w:rPr>
          <w:rFonts w:hint="eastAsia" w:ascii="宋体" w:hAnsi="宋体" w:cs="宋体"/>
          <w:kern w:val="0"/>
          <w:szCs w:val="21"/>
        </w:rPr>
        <w:t>15.1 响应文件以及供应商与采购人就有关磋商事宜的所有来往函电均应使用简体中文书写。</w:t>
      </w:r>
    </w:p>
    <w:p w14:paraId="07BACC49">
      <w:pPr>
        <w:snapToGrid w:val="0"/>
        <w:spacing w:line="360" w:lineRule="auto"/>
        <w:ind w:firstLine="422"/>
        <w:jc w:val="left"/>
        <w:rPr>
          <w:rFonts w:ascii="宋体" w:hAnsi="宋体" w:cs="宋体"/>
          <w:kern w:val="0"/>
          <w:szCs w:val="21"/>
        </w:rPr>
      </w:pPr>
      <w:r>
        <w:rPr>
          <w:rFonts w:hint="eastAsia" w:ascii="宋体" w:hAnsi="宋体" w:cs="宋体"/>
          <w:kern w:val="0"/>
          <w:szCs w:val="21"/>
        </w:rPr>
        <w:t>15.2关于磋商计量单位，采购文件已有明确规定的，使用采购文件规定的计量单位；采购文件没有规定的，应采用中华人民共和国法定计量单位。否则视为对采购文件未作出实质性响应。</w:t>
      </w:r>
    </w:p>
    <w:p w14:paraId="7250190C">
      <w:pPr>
        <w:snapToGrid w:val="0"/>
        <w:spacing w:line="360" w:lineRule="auto"/>
        <w:ind w:firstLine="422"/>
        <w:jc w:val="left"/>
        <w:rPr>
          <w:rFonts w:ascii="宋体" w:hAnsi="宋体" w:cs="宋体"/>
          <w:kern w:val="0"/>
          <w:szCs w:val="21"/>
        </w:rPr>
      </w:pPr>
      <w:r>
        <w:rPr>
          <w:rFonts w:hint="eastAsia" w:ascii="宋体" w:hAnsi="宋体" w:cs="宋体"/>
          <w:kern w:val="0"/>
          <w:szCs w:val="21"/>
        </w:rPr>
        <w:t>15.3原版为外文的证书类文件，以及由外国人做出的本人签名、外国公司的名称或外国印章等可以是外文，但应当提供中文翻译文件并加盖供应商公章。必要时磋商小组可以要求供应商提供附有公证书的中文翻译文件或者与原版文件签章相一致的中文翻译文件。</w:t>
      </w:r>
    </w:p>
    <w:p w14:paraId="55A6583D">
      <w:pPr>
        <w:snapToGrid w:val="0"/>
        <w:spacing w:line="360" w:lineRule="auto"/>
        <w:ind w:firstLine="417" w:firstLineChars="198"/>
        <w:rPr>
          <w:rFonts w:ascii="宋体" w:hAnsi="宋体" w:cs="宋体"/>
          <w:kern w:val="0"/>
          <w:szCs w:val="21"/>
        </w:rPr>
      </w:pPr>
      <w:r>
        <w:rPr>
          <w:rFonts w:hint="eastAsia" w:ascii="宋体" w:hAnsi="宋体" w:cs="宋体"/>
          <w:b/>
          <w:bCs/>
          <w:kern w:val="0"/>
          <w:szCs w:val="21"/>
        </w:rPr>
        <w:t>16.响应文件的组成</w:t>
      </w:r>
      <w:r>
        <w:rPr>
          <w:rFonts w:hint="eastAsia" w:ascii="宋体" w:hAnsi="宋体" w:cs="宋体"/>
          <w:kern w:val="0"/>
          <w:szCs w:val="21"/>
        </w:rPr>
        <w:t>。</w:t>
      </w:r>
      <w:r>
        <w:rPr>
          <w:rFonts w:hint="eastAsia" w:ascii="宋体" w:hAnsi="宋体" w:cs="宋体"/>
          <w:b/>
          <w:bCs/>
          <w:kern w:val="0"/>
          <w:szCs w:val="21"/>
        </w:rPr>
        <w:t>响应文件应包括下列部分：</w:t>
      </w:r>
    </w:p>
    <w:p w14:paraId="00C45BAA">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16.1、竞争性磋商响应书及初次报价一览表</w:t>
      </w:r>
    </w:p>
    <w:p w14:paraId="1F770BE9">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16.2、报价明细表</w:t>
      </w:r>
    </w:p>
    <w:p w14:paraId="0F803634">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16.3、技术响应表</w:t>
      </w:r>
    </w:p>
    <w:p w14:paraId="394ED5FF">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16.4、商务响应表</w:t>
      </w:r>
    </w:p>
    <w:p w14:paraId="28C03E1A">
      <w:pPr>
        <w:snapToGrid w:val="0"/>
        <w:spacing w:line="360" w:lineRule="auto"/>
        <w:ind w:left="208" w:leftChars="99" w:firstLine="210" w:firstLineChars="100"/>
        <w:jc w:val="left"/>
        <w:rPr>
          <w:rFonts w:ascii="宋体" w:hAnsi="宋体" w:cs="宋体"/>
          <w:kern w:val="0"/>
          <w:szCs w:val="21"/>
        </w:rPr>
      </w:pPr>
      <w:r>
        <w:rPr>
          <w:rFonts w:hint="eastAsia" w:ascii="宋体" w:hAnsi="宋体" w:cs="宋体"/>
          <w:kern w:val="0"/>
          <w:szCs w:val="21"/>
        </w:rPr>
        <w:t>16.5、法定代表人身份证明</w:t>
      </w:r>
    </w:p>
    <w:p w14:paraId="5B223189">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16.6、法定代表人授权书</w:t>
      </w:r>
    </w:p>
    <w:p w14:paraId="7926FEDC">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16.7、证明文件</w:t>
      </w:r>
    </w:p>
    <w:p w14:paraId="0D5A15CA">
      <w:pPr>
        <w:snapToGrid w:val="0"/>
        <w:spacing w:line="360" w:lineRule="auto"/>
        <w:ind w:firstLine="422"/>
        <w:rPr>
          <w:rFonts w:ascii="宋体" w:hAnsi="宋体" w:cs="宋体"/>
          <w:kern w:val="0"/>
          <w:szCs w:val="21"/>
        </w:rPr>
      </w:pPr>
      <w:r>
        <w:rPr>
          <w:rFonts w:hint="eastAsia" w:ascii="宋体" w:hAnsi="宋体" w:cs="宋体"/>
          <w:kern w:val="0"/>
          <w:szCs w:val="21"/>
        </w:rPr>
        <w:t>16.8、供应商承诺书</w:t>
      </w:r>
    </w:p>
    <w:p w14:paraId="76666C42">
      <w:pPr>
        <w:pStyle w:val="7"/>
        <w:widowControl w:val="0"/>
        <w:snapToGrid w:val="0"/>
        <w:spacing w:beforeAutospacing="0" w:afterAutospacing="0" w:line="360" w:lineRule="auto"/>
        <w:rPr>
          <w:sz w:val="21"/>
          <w:szCs w:val="21"/>
        </w:rPr>
      </w:pPr>
      <w:r>
        <w:rPr>
          <w:rFonts w:hint="eastAsia"/>
          <w:sz w:val="21"/>
          <w:szCs w:val="21"/>
        </w:rPr>
        <w:t>16.9、供应商信用承诺函</w:t>
      </w:r>
    </w:p>
    <w:p w14:paraId="717D3FF7">
      <w:pPr>
        <w:snapToGrid w:val="0"/>
        <w:spacing w:line="360" w:lineRule="auto"/>
        <w:ind w:firstLine="417" w:firstLineChars="198"/>
        <w:rPr>
          <w:rFonts w:ascii="宋体" w:hAnsi="宋体" w:cs="宋体"/>
          <w:b/>
          <w:kern w:val="0"/>
          <w:szCs w:val="21"/>
        </w:rPr>
      </w:pPr>
      <w:r>
        <w:rPr>
          <w:rFonts w:hint="eastAsia" w:ascii="宋体" w:hAnsi="宋体" w:cs="宋体"/>
          <w:b/>
          <w:kern w:val="0"/>
          <w:szCs w:val="21"/>
        </w:rPr>
        <w:t>17.响应文件有效期</w:t>
      </w:r>
    </w:p>
    <w:p w14:paraId="29BC449B">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17.1 响应文件从采购公告所规定的投标截止期之后开始生效，在</w:t>
      </w:r>
      <w:r>
        <w:rPr>
          <w:rFonts w:hint="eastAsia" w:ascii="宋体" w:hAnsi="宋体" w:cs="宋体"/>
          <w:bCs/>
          <w:kern w:val="0"/>
          <w:szCs w:val="21"/>
        </w:rPr>
        <w:t>供应商须知前附表</w:t>
      </w:r>
      <w:r>
        <w:rPr>
          <w:rFonts w:hint="eastAsia" w:ascii="宋体" w:hAnsi="宋体" w:cs="宋体"/>
          <w:kern w:val="0"/>
          <w:szCs w:val="21"/>
        </w:rPr>
        <w:t>第13项所规定的期限内保持有效。有效期不足将导致其响应文件被拒绝。成交供应商的响应文件有效期至合同完全履行止。</w:t>
      </w:r>
    </w:p>
    <w:p w14:paraId="6CBFA3D7">
      <w:pPr>
        <w:snapToGrid w:val="0"/>
        <w:spacing w:line="360" w:lineRule="auto"/>
        <w:ind w:firstLine="422"/>
        <w:jc w:val="left"/>
        <w:rPr>
          <w:rFonts w:ascii="宋体" w:hAnsi="宋体" w:cs="宋体"/>
          <w:kern w:val="0"/>
          <w:szCs w:val="21"/>
        </w:rPr>
      </w:pPr>
      <w:r>
        <w:rPr>
          <w:rFonts w:hint="eastAsia" w:ascii="宋体" w:hAnsi="宋体" w:cs="宋体"/>
          <w:kern w:val="0"/>
          <w:szCs w:val="21"/>
        </w:rPr>
        <w:t>17.2特殊情况下采购人可于投标有效期满之前书面要求供应商同意延长有效期，供应商应在采购人规定的期限内以书面形式予以答复。供应商可以拒绝上述要求。供应商答复不明确或者逾期未答复的，均视为拒绝上述要求。对于接受该要求的供应商，既不要求也不允许其修改响应文件。</w:t>
      </w:r>
    </w:p>
    <w:p w14:paraId="5453B364">
      <w:pPr>
        <w:snapToGrid w:val="0"/>
        <w:spacing w:line="360" w:lineRule="auto"/>
        <w:ind w:firstLine="417" w:firstLineChars="198"/>
        <w:rPr>
          <w:rFonts w:ascii="宋体" w:hAnsi="宋体" w:cs="宋体"/>
          <w:kern w:val="0"/>
          <w:szCs w:val="21"/>
        </w:rPr>
      </w:pPr>
      <w:r>
        <w:rPr>
          <w:rFonts w:hint="eastAsia" w:ascii="宋体" w:hAnsi="宋体" w:cs="宋体"/>
          <w:b/>
          <w:bCs/>
          <w:kern w:val="0"/>
          <w:szCs w:val="21"/>
        </w:rPr>
        <w:t>18.投标报价</w:t>
      </w:r>
    </w:p>
    <w:p w14:paraId="68AED16C">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18.1 所有磋商报价均以人民币元为计算单位。</w:t>
      </w:r>
    </w:p>
    <w:p w14:paraId="402CE240">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18.2 供应商要按初次报价一览表的内容填写。</w:t>
      </w:r>
    </w:p>
    <w:p w14:paraId="11A8BE16">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 xml:space="preserve">18.3 </w:t>
      </w:r>
      <w:r>
        <w:rPr>
          <w:rFonts w:hint="eastAsia" w:ascii="宋体" w:hAnsi="宋体" w:cs="宋体"/>
          <w:spacing w:val="10"/>
          <w:kern w:val="0"/>
          <w:szCs w:val="21"/>
        </w:rPr>
        <w:t>供应商投报多标包的，应对每标包分别报价并分别填报</w:t>
      </w:r>
      <w:r>
        <w:rPr>
          <w:rFonts w:hint="eastAsia" w:ascii="宋体" w:hAnsi="宋体" w:cs="宋体"/>
          <w:kern w:val="0"/>
          <w:szCs w:val="21"/>
        </w:rPr>
        <w:t>初次报价一览表</w:t>
      </w:r>
      <w:r>
        <w:rPr>
          <w:rFonts w:hint="eastAsia" w:ascii="宋体" w:hAnsi="宋体" w:cs="宋体"/>
          <w:spacing w:val="10"/>
          <w:kern w:val="0"/>
          <w:szCs w:val="21"/>
        </w:rPr>
        <w:t>。</w:t>
      </w:r>
    </w:p>
    <w:p w14:paraId="0FB433AE">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18.4 初次报价一览表中标明的价格在政府采购合同执行过程中是固定不变的，供应商不得以任何理由予以变更。以可调整的价格提交的投标将被作为无效投标处理。</w:t>
      </w:r>
    </w:p>
    <w:p w14:paraId="56C85A45">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18.5 采购人不接受可选择的投标报价。</w:t>
      </w:r>
    </w:p>
    <w:p w14:paraId="6EE7B2DF">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18.6 对于供应商在初次报价一览表和响应文件中列出的赠送条款，在评审时不得作为价格评分因素或者调整评标价格的依据。</w:t>
      </w:r>
    </w:p>
    <w:p w14:paraId="245890ED">
      <w:pPr>
        <w:snapToGrid w:val="0"/>
        <w:spacing w:line="360" w:lineRule="auto"/>
        <w:ind w:firstLine="417" w:firstLineChars="198"/>
        <w:rPr>
          <w:rFonts w:ascii="宋体" w:hAnsi="宋体" w:cs="宋体"/>
          <w:b/>
          <w:kern w:val="0"/>
          <w:szCs w:val="21"/>
        </w:rPr>
      </w:pPr>
      <w:r>
        <w:rPr>
          <w:rFonts w:hint="eastAsia" w:ascii="宋体" w:hAnsi="宋体" w:cs="宋体"/>
          <w:b/>
          <w:kern w:val="0"/>
          <w:szCs w:val="21"/>
        </w:rPr>
        <w:t>19.投标保证金（无）</w:t>
      </w:r>
    </w:p>
    <w:p w14:paraId="7F4AEDA9">
      <w:pPr>
        <w:snapToGrid w:val="0"/>
        <w:spacing w:line="360" w:lineRule="auto"/>
        <w:ind w:firstLine="417" w:firstLineChars="198"/>
        <w:rPr>
          <w:rFonts w:ascii="宋体" w:hAnsi="宋体" w:cs="宋体"/>
          <w:b/>
          <w:kern w:val="0"/>
          <w:szCs w:val="21"/>
        </w:rPr>
      </w:pPr>
      <w:r>
        <w:rPr>
          <w:rFonts w:hint="eastAsia" w:ascii="宋体" w:hAnsi="宋体" w:cs="宋体"/>
          <w:b/>
          <w:kern w:val="0"/>
          <w:szCs w:val="21"/>
        </w:rPr>
        <w:t>20.</w:t>
      </w:r>
      <w:r>
        <w:rPr>
          <w:rFonts w:hint="eastAsia" w:ascii="宋体" w:hAnsi="宋体" w:cs="宋体"/>
          <w:b/>
          <w:bCs/>
          <w:kern w:val="0"/>
          <w:szCs w:val="21"/>
        </w:rPr>
        <w:t>响应</w:t>
      </w:r>
      <w:r>
        <w:rPr>
          <w:rFonts w:hint="eastAsia" w:ascii="宋体" w:hAnsi="宋体" w:cs="宋体"/>
          <w:b/>
          <w:kern w:val="0"/>
          <w:szCs w:val="21"/>
        </w:rPr>
        <w:t>文件的签署及其他规定</w:t>
      </w:r>
    </w:p>
    <w:p w14:paraId="04B2653B">
      <w:pPr>
        <w:snapToGrid w:val="0"/>
        <w:spacing w:line="360" w:lineRule="auto"/>
        <w:ind w:firstLine="415" w:firstLineChars="198"/>
        <w:rPr>
          <w:rFonts w:ascii="宋体" w:hAnsi="宋体" w:cs="宋体"/>
          <w:kern w:val="0"/>
          <w:szCs w:val="21"/>
        </w:rPr>
      </w:pPr>
      <w:r>
        <w:rPr>
          <w:rFonts w:hint="eastAsia" w:ascii="宋体" w:hAnsi="宋体" w:cs="宋体"/>
          <w:kern w:val="0"/>
          <w:szCs w:val="21"/>
        </w:rPr>
        <w:t>20.1响应文件应按第六章“响应文件格式”进行编写，如有必要，可以增加附页，作为响应文件的组成部分。其中，磋商报价一览表在满足采购文件实质性要求的基础上，可以提出比采购文件要求更有利于采购人的承诺。</w:t>
      </w:r>
    </w:p>
    <w:p w14:paraId="3EF66716">
      <w:pPr>
        <w:snapToGrid w:val="0"/>
        <w:spacing w:line="360" w:lineRule="auto"/>
        <w:ind w:firstLine="415" w:firstLineChars="198"/>
        <w:rPr>
          <w:rFonts w:ascii="宋体" w:hAnsi="宋体" w:cs="宋体"/>
          <w:kern w:val="0"/>
          <w:szCs w:val="21"/>
        </w:rPr>
      </w:pPr>
      <w:r>
        <w:rPr>
          <w:rFonts w:hint="eastAsia" w:ascii="宋体" w:hAnsi="宋体" w:cs="宋体"/>
          <w:kern w:val="0"/>
          <w:szCs w:val="21"/>
        </w:rPr>
        <w:t>20.2 响应文件应当对采购文件有关交货期、响应文件有效期、质量要求、技术标准和要求、磋商范围等实质性内容作出响应。</w:t>
      </w:r>
    </w:p>
    <w:p w14:paraId="5BD1A53E">
      <w:pPr>
        <w:snapToGrid w:val="0"/>
        <w:spacing w:line="360" w:lineRule="auto"/>
        <w:ind w:firstLine="415" w:firstLineChars="198"/>
        <w:rPr>
          <w:rFonts w:ascii="宋体" w:hAnsi="宋体" w:cs="宋体"/>
          <w:kern w:val="0"/>
          <w:szCs w:val="21"/>
        </w:rPr>
      </w:pPr>
      <w:r>
        <w:rPr>
          <w:rFonts w:hint="eastAsia" w:ascii="宋体" w:hAnsi="宋体" w:cs="宋体"/>
          <w:kern w:val="0"/>
          <w:szCs w:val="21"/>
        </w:rPr>
        <w:t>20.3响应文件应用不褪色的材料书写或打印，并由供应商的法定代表人盖章或盖单位公章；响应文件应尽量避免涂改、行间插字或删除，如果出现上述情况，改动之处应加盖单位公章或由供应商的法定代表人盖章确认。签字或盖章的具体要求见供应商须知前附表。</w:t>
      </w:r>
    </w:p>
    <w:p w14:paraId="7A4B1BB6">
      <w:pPr>
        <w:snapToGrid w:val="0"/>
        <w:spacing w:line="360" w:lineRule="auto"/>
        <w:ind w:firstLine="415" w:firstLineChars="198"/>
        <w:rPr>
          <w:rFonts w:ascii="宋体" w:hAnsi="宋体" w:cs="宋体"/>
          <w:kern w:val="0"/>
          <w:szCs w:val="21"/>
        </w:rPr>
      </w:pPr>
      <w:r>
        <w:rPr>
          <w:rFonts w:hint="eastAsia" w:ascii="宋体" w:hAnsi="宋体" w:cs="宋体"/>
          <w:kern w:val="0"/>
          <w:szCs w:val="21"/>
        </w:rPr>
        <w:t>20.4响应文件份数见供应商须知前附表。响应文件正本和副本的封面上应清楚地标记“正本”或“副本”的字样。</w:t>
      </w:r>
    </w:p>
    <w:p w14:paraId="57C84EB6">
      <w:pPr>
        <w:snapToGrid w:val="0"/>
        <w:spacing w:line="360" w:lineRule="auto"/>
        <w:ind w:firstLine="415" w:firstLineChars="198"/>
        <w:rPr>
          <w:rFonts w:ascii="宋体" w:hAnsi="宋体" w:cs="宋体"/>
          <w:kern w:val="0"/>
          <w:szCs w:val="21"/>
        </w:rPr>
      </w:pPr>
      <w:r>
        <w:rPr>
          <w:rFonts w:hint="eastAsia" w:ascii="宋体" w:hAnsi="宋体" w:cs="宋体"/>
          <w:kern w:val="0"/>
          <w:szCs w:val="21"/>
        </w:rPr>
        <w:t>20.5响应文件的具体装订要求见供应商须知前附表规定。</w:t>
      </w:r>
    </w:p>
    <w:p w14:paraId="2B2D8BF2">
      <w:pPr>
        <w:snapToGrid w:val="0"/>
        <w:spacing w:line="360" w:lineRule="auto"/>
        <w:ind w:firstLine="562"/>
        <w:jc w:val="center"/>
        <w:outlineLvl w:val="1"/>
        <w:rPr>
          <w:rFonts w:ascii="宋体" w:hAnsi="宋体" w:cs="宋体"/>
          <w:b/>
          <w:bCs/>
          <w:kern w:val="0"/>
          <w:sz w:val="28"/>
          <w:szCs w:val="28"/>
        </w:rPr>
      </w:pPr>
      <w:r>
        <w:rPr>
          <w:rFonts w:hint="eastAsia" w:ascii="宋体" w:hAnsi="宋体" w:cs="宋体"/>
          <w:b/>
          <w:bCs/>
          <w:kern w:val="0"/>
          <w:sz w:val="28"/>
          <w:szCs w:val="28"/>
        </w:rPr>
        <w:t>四、响应文件的递交</w:t>
      </w:r>
    </w:p>
    <w:p w14:paraId="66CAF501">
      <w:pPr>
        <w:snapToGrid w:val="0"/>
        <w:spacing w:line="360" w:lineRule="auto"/>
        <w:ind w:firstLine="417" w:firstLineChars="198"/>
        <w:rPr>
          <w:rFonts w:ascii="宋体" w:hAnsi="宋体" w:cs="宋体"/>
          <w:b/>
          <w:kern w:val="0"/>
          <w:szCs w:val="21"/>
        </w:rPr>
      </w:pPr>
      <w:r>
        <w:rPr>
          <w:rFonts w:hint="eastAsia" w:ascii="宋体" w:hAnsi="宋体" w:cs="宋体"/>
          <w:b/>
          <w:kern w:val="0"/>
          <w:szCs w:val="21"/>
        </w:rPr>
        <w:t>21. 响应文件的密封、标记</w:t>
      </w:r>
    </w:p>
    <w:p w14:paraId="0BF9554C">
      <w:pPr>
        <w:spacing w:line="360" w:lineRule="auto"/>
        <w:ind w:firstLine="424" w:firstLineChars="202"/>
        <w:rPr>
          <w:rFonts w:ascii="宋体" w:hAnsi="宋体" w:cs="宋体"/>
          <w:kern w:val="0"/>
          <w:szCs w:val="21"/>
        </w:rPr>
      </w:pPr>
      <w:r>
        <w:rPr>
          <w:rFonts w:hint="eastAsia" w:ascii="宋体" w:hAnsi="宋体" w:cs="宋体"/>
          <w:kern w:val="0"/>
          <w:szCs w:val="21"/>
        </w:rPr>
        <w:t>21.1</w:t>
      </w:r>
      <w:r>
        <w:rPr>
          <w:rFonts w:hint="eastAsia" w:ascii="宋体" w:hAnsi="宋体" w:cs="宋体"/>
        </w:rPr>
        <w:t>响应文件应密封包装，并在封套的封口处加盖供应商单位章或由供应商的法定代表人（单位负责人）或其授权的代理人签字。</w:t>
      </w:r>
    </w:p>
    <w:p w14:paraId="10FFD53F">
      <w:pPr>
        <w:snapToGrid w:val="0"/>
        <w:spacing w:line="360" w:lineRule="auto"/>
        <w:ind w:firstLine="420" w:firstLineChars="200"/>
        <w:jc w:val="left"/>
        <w:rPr>
          <w:rFonts w:ascii="宋体" w:hAnsi="宋体" w:cs="宋体"/>
        </w:rPr>
      </w:pPr>
      <w:r>
        <w:rPr>
          <w:rFonts w:hint="eastAsia" w:ascii="宋体" w:hAnsi="宋体" w:cs="宋体"/>
        </w:rPr>
        <w:t>21.2 未按本章第21.1项要求密封的</w:t>
      </w:r>
      <w:r>
        <w:rPr>
          <w:rFonts w:hint="eastAsia" w:ascii="宋体" w:hAnsi="宋体" w:cs="宋体"/>
          <w:kern w:val="0"/>
          <w:szCs w:val="21"/>
        </w:rPr>
        <w:t>响应</w:t>
      </w:r>
      <w:r>
        <w:rPr>
          <w:rFonts w:hint="eastAsia" w:ascii="宋体" w:hAnsi="宋体" w:cs="宋体"/>
        </w:rPr>
        <w:t>文件，采购人不予受理。</w:t>
      </w:r>
    </w:p>
    <w:p w14:paraId="3672A6A9">
      <w:pPr>
        <w:snapToGrid w:val="0"/>
        <w:spacing w:line="360" w:lineRule="auto"/>
        <w:ind w:firstLine="417" w:firstLineChars="198"/>
        <w:rPr>
          <w:rFonts w:ascii="宋体" w:hAnsi="宋体" w:cs="宋体"/>
          <w:b/>
          <w:kern w:val="0"/>
          <w:szCs w:val="21"/>
        </w:rPr>
      </w:pPr>
      <w:r>
        <w:rPr>
          <w:rFonts w:hint="eastAsia" w:ascii="宋体" w:hAnsi="宋体" w:cs="宋体"/>
          <w:b/>
          <w:kern w:val="0"/>
          <w:szCs w:val="21"/>
        </w:rPr>
        <w:t>22. 响应文件的递交</w:t>
      </w:r>
    </w:p>
    <w:p w14:paraId="0793CAF0">
      <w:pPr>
        <w:autoSpaceDE w:val="0"/>
        <w:autoSpaceDN w:val="0"/>
        <w:adjustRightInd w:val="0"/>
        <w:snapToGrid w:val="0"/>
        <w:spacing w:line="360" w:lineRule="auto"/>
        <w:ind w:right="-34" w:rightChars="-16" w:firstLine="420" w:firstLineChars="200"/>
        <w:jc w:val="left"/>
        <w:rPr>
          <w:rFonts w:ascii="宋体" w:hAnsi="宋体" w:cs="宋体"/>
          <w:kern w:val="0"/>
          <w:szCs w:val="21"/>
        </w:rPr>
      </w:pPr>
      <w:r>
        <w:rPr>
          <w:rFonts w:hint="eastAsia" w:ascii="宋体" w:hAnsi="宋体" w:cs="宋体"/>
          <w:kern w:val="0"/>
          <w:szCs w:val="21"/>
        </w:rPr>
        <w:t>22.1 供应商应在规定的磋商截止时间前递交响应文件。</w:t>
      </w:r>
    </w:p>
    <w:p w14:paraId="3BE37291">
      <w:pPr>
        <w:autoSpaceDE w:val="0"/>
        <w:autoSpaceDN w:val="0"/>
        <w:adjustRightInd w:val="0"/>
        <w:snapToGrid w:val="0"/>
        <w:spacing w:line="360" w:lineRule="auto"/>
        <w:ind w:right="-34" w:rightChars="-16" w:firstLine="420" w:firstLineChars="200"/>
        <w:jc w:val="left"/>
        <w:rPr>
          <w:rFonts w:ascii="宋体" w:hAnsi="宋体" w:cs="宋体"/>
          <w:kern w:val="0"/>
          <w:szCs w:val="21"/>
        </w:rPr>
      </w:pPr>
      <w:r>
        <w:rPr>
          <w:rFonts w:hint="eastAsia" w:ascii="宋体" w:hAnsi="宋体" w:cs="宋体"/>
          <w:kern w:val="0"/>
          <w:szCs w:val="21"/>
        </w:rPr>
        <w:t>22.2 供应商递交响应文件的地点：见供应商须知前附表。</w:t>
      </w:r>
    </w:p>
    <w:p w14:paraId="1D27FF33">
      <w:pPr>
        <w:autoSpaceDE w:val="0"/>
        <w:autoSpaceDN w:val="0"/>
        <w:adjustRightInd w:val="0"/>
        <w:snapToGrid w:val="0"/>
        <w:spacing w:line="360" w:lineRule="auto"/>
        <w:ind w:right="-34" w:rightChars="-16" w:firstLine="420" w:firstLineChars="200"/>
        <w:jc w:val="left"/>
        <w:rPr>
          <w:rFonts w:ascii="宋体" w:hAnsi="宋体" w:cs="宋体"/>
          <w:kern w:val="0"/>
          <w:szCs w:val="21"/>
        </w:rPr>
      </w:pPr>
      <w:r>
        <w:rPr>
          <w:rFonts w:hint="eastAsia" w:ascii="宋体" w:hAnsi="宋体" w:cs="宋体"/>
          <w:kern w:val="0"/>
          <w:szCs w:val="21"/>
        </w:rPr>
        <w:t>22.3 除供应商须知前附表另有规定外，供应商所递交的响应文件不予退还。</w:t>
      </w:r>
    </w:p>
    <w:p w14:paraId="5AA5BAC0">
      <w:pPr>
        <w:autoSpaceDE w:val="0"/>
        <w:autoSpaceDN w:val="0"/>
        <w:adjustRightInd w:val="0"/>
        <w:snapToGrid w:val="0"/>
        <w:spacing w:line="360" w:lineRule="auto"/>
        <w:ind w:right="-34" w:rightChars="-16" w:firstLine="420" w:firstLineChars="200"/>
        <w:jc w:val="left"/>
        <w:rPr>
          <w:rFonts w:ascii="宋体" w:hAnsi="宋体" w:cs="宋体"/>
          <w:kern w:val="0"/>
          <w:szCs w:val="21"/>
        </w:rPr>
      </w:pPr>
      <w:r>
        <w:rPr>
          <w:rFonts w:hint="eastAsia" w:ascii="宋体" w:hAnsi="宋体" w:cs="宋体"/>
          <w:kern w:val="0"/>
          <w:szCs w:val="21"/>
        </w:rPr>
        <w:t>22.4 逾期送达的或者未送达指定地点的响应文件，采购人不予受理。</w:t>
      </w:r>
    </w:p>
    <w:p w14:paraId="4A79F088">
      <w:pPr>
        <w:snapToGrid w:val="0"/>
        <w:spacing w:line="360" w:lineRule="auto"/>
        <w:ind w:firstLine="417" w:firstLineChars="198"/>
        <w:rPr>
          <w:rFonts w:ascii="宋体" w:hAnsi="宋体" w:cs="宋体"/>
          <w:b/>
          <w:kern w:val="0"/>
          <w:szCs w:val="21"/>
        </w:rPr>
      </w:pPr>
      <w:r>
        <w:rPr>
          <w:rFonts w:hint="eastAsia" w:ascii="宋体" w:hAnsi="宋体" w:cs="宋体"/>
          <w:b/>
          <w:kern w:val="0"/>
          <w:szCs w:val="21"/>
        </w:rPr>
        <w:t>23. 响应文件的修改和撤回</w:t>
      </w:r>
    </w:p>
    <w:p w14:paraId="6BEE936C">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23.1 供应商在投标截止时间前，可以对所提交的响应文件进行补充、修改或者撤回，并书面通知采购人。补充、修改的内容和撤回通知应当按本须知要求签署、盖章、密封，并作为响应文件的组成部分。</w:t>
      </w:r>
    </w:p>
    <w:p w14:paraId="00F0D421">
      <w:pPr>
        <w:snapToGrid w:val="0"/>
        <w:spacing w:line="360" w:lineRule="auto"/>
        <w:ind w:firstLine="420" w:firstLineChars="200"/>
        <w:jc w:val="left"/>
        <w:rPr>
          <w:rFonts w:ascii="宋体" w:hAnsi="宋体" w:cs="宋体"/>
          <w:kern w:val="0"/>
          <w:sz w:val="24"/>
        </w:rPr>
      </w:pPr>
      <w:r>
        <w:rPr>
          <w:rFonts w:hint="eastAsia" w:ascii="宋体" w:hAnsi="宋体" w:cs="宋体"/>
          <w:kern w:val="0"/>
          <w:szCs w:val="21"/>
        </w:rPr>
        <w:t>23.2 供应商在磋商截止期后不得修改、撤回响应文件。供应商在投标截止期后修改响应文件的，其投标将被拒绝。</w:t>
      </w:r>
    </w:p>
    <w:p w14:paraId="4DF91DCC">
      <w:pPr>
        <w:snapToGrid w:val="0"/>
        <w:spacing w:line="360" w:lineRule="auto"/>
        <w:ind w:firstLine="562"/>
        <w:jc w:val="center"/>
        <w:outlineLvl w:val="1"/>
        <w:rPr>
          <w:rFonts w:ascii="宋体" w:hAnsi="宋体" w:cs="宋体"/>
          <w:b/>
          <w:bCs/>
          <w:kern w:val="0"/>
          <w:sz w:val="28"/>
          <w:szCs w:val="28"/>
        </w:rPr>
      </w:pPr>
      <w:r>
        <w:rPr>
          <w:rFonts w:hint="eastAsia" w:ascii="宋体" w:hAnsi="宋体" w:cs="宋体"/>
          <w:b/>
          <w:bCs/>
          <w:kern w:val="0"/>
          <w:sz w:val="28"/>
          <w:szCs w:val="28"/>
        </w:rPr>
        <w:t>五、评标</w:t>
      </w:r>
    </w:p>
    <w:p w14:paraId="49B7048E">
      <w:pPr>
        <w:snapToGrid w:val="0"/>
        <w:spacing w:line="360" w:lineRule="auto"/>
        <w:ind w:firstLine="422" w:firstLineChars="200"/>
        <w:jc w:val="left"/>
        <w:rPr>
          <w:rFonts w:ascii="宋体" w:hAnsi="宋体" w:cs="宋体"/>
          <w:kern w:val="0"/>
          <w:szCs w:val="21"/>
        </w:rPr>
      </w:pPr>
      <w:r>
        <w:rPr>
          <w:rFonts w:hint="eastAsia" w:ascii="宋体" w:hAnsi="宋体" w:cs="宋体"/>
          <w:b/>
          <w:bCs/>
          <w:kern w:val="0"/>
          <w:szCs w:val="21"/>
        </w:rPr>
        <w:t>24. 组建磋商小组</w:t>
      </w:r>
    </w:p>
    <w:p w14:paraId="1841028E">
      <w:pPr>
        <w:snapToGrid w:val="0"/>
        <w:spacing w:line="360" w:lineRule="auto"/>
        <w:ind w:firstLine="420" w:firstLineChars="200"/>
        <w:rPr>
          <w:rFonts w:ascii="宋体" w:hAnsi="宋体" w:cs="宋体"/>
          <w:kern w:val="0"/>
          <w:szCs w:val="21"/>
        </w:rPr>
      </w:pPr>
      <w:r>
        <w:rPr>
          <w:rFonts w:hint="eastAsia" w:ascii="宋体" w:hAnsi="宋体" w:cs="宋体"/>
          <w:kern w:val="0"/>
          <w:szCs w:val="21"/>
        </w:rPr>
        <w:t>24.1 磋商小组由采购人代表和评审专家组成。成员由3人以上单数组成。</w:t>
      </w:r>
      <w:r>
        <w:rPr>
          <w:rFonts w:hint="eastAsia" w:ascii="宋体" w:hAnsi="宋体" w:cs="宋体"/>
          <w:szCs w:val="21"/>
        </w:rPr>
        <w:t>在开标后由磋商小组对</w:t>
      </w:r>
      <w:r>
        <w:rPr>
          <w:rFonts w:hint="eastAsia" w:ascii="宋体" w:hAnsi="宋体" w:cs="宋体"/>
          <w:kern w:val="0"/>
          <w:szCs w:val="21"/>
        </w:rPr>
        <w:t>响应文件</w:t>
      </w:r>
      <w:r>
        <w:rPr>
          <w:rFonts w:hint="eastAsia" w:ascii="宋体" w:hAnsi="宋体" w:cs="宋体"/>
          <w:szCs w:val="21"/>
        </w:rPr>
        <w:t>进行审查、质疑、评估和比较，并做合理的建议。</w:t>
      </w:r>
    </w:p>
    <w:p w14:paraId="25318A5D">
      <w:pPr>
        <w:snapToGrid w:val="0"/>
        <w:spacing w:line="360" w:lineRule="auto"/>
        <w:ind w:firstLine="420" w:firstLineChars="200"/>
        <w:jc w:val="left"/>
        <w:rPr>
          <w:rFonts w:ascii="宋体" w:hAnsi="宋体" w:cs="宋体"/>
          <w:szCs w:val="21"/>
        </w:rPr>
      </w:pPr>
      <w:r>
        <w:rPr>
          <w:rFonts w:hint="eastAsia" w:ascii="宋体" w:hAnsi="宋体" w:cs="宋体"/>
          <w:kern w:val="0"/>
          <w:szCs w:val="21"/>
        </w:rPr>
        <w:t>24.2磋商小组成员要依法独立评审，并对评审意见承担个人责任。</w:t>
      </w:r>
      <w:r>
        <w:rPr>
          <w:rFonts w:hint="eastAsia" w:ascii="宋体" w:hAnsi="宋体" w:cs="宋体"/>
          <w:szCs w:val="21"/>
        </w:rPr>
        <w:t>磋商小组成员对需要共同认定的事项存在争议的，按照少数服从多数的原则</w:t>
      </w:r>
      <w:r>
        <w:rPr>
          <w:rFonts w:hint="eastAsia" w:ascii="宋体" w:hAnsi="宋体" w:cs="宋体"/>
          <w:kern w:val="0"/>
          <w:szCs w:val="21"/>
        </w:rPr>
        <w:t>做</w:t>
      </w:r>
      <w:r>
        <w:rPr>
          <w:rFonts w:hint="eastAsia" w:ascii="宋体" w:hAnsi="宋体" w:cs="宋体"/>
          <w:szCs w:val="21"/>
        </w:rPr>
        <w:t>出结论。持不同意见的磋商小组成员应当在评审报告上签署不同意见</w:t>
      </w:r>
      <w:r>
        <w:rPr>
          <w:rFonts w:hint="eastAsia" w:ascii="宋体" w:hAnsi="宋体" w:cs="宋体"/>
          <w:kern w:val="0"/>
          <w:szCs w:val="21"/>
        </w:rPr>
        <w:t>并说明</w:t>
      </w:r>
      <w:r>
        <w:rPr>
          <w:rFonts w:hint="eastAsia" w:ascii="宋体" w:hAnsi="宋体" w:cs="宋体"/>
          <w:szCs w:val="21"/>
        </w:rPr>
        <w:t>理由，否则视为同意。</w:t>
      </w:r>
    </w:p>
    <w:p w14:paraId="5DF8CE88">
      <w:pPr>
        <w:snapToGrid w:val="0"/>
        <w:spacing w:line="360" w:lineRule="auto"/>
        <w:ind w:firstLine="422" w:firstLineChars="200"/>
        <w:jc w:val="left"/>
        <w:rPr>
          <w:rFonts w:ascii="宋体" w:hAnsi="宋体" w:cs="宋体"/>
          <w:b/>
          <w:bCs/>
          <w:szCs w:val="21"/>
        </w:rPr>
      </w:pPr>
      <w:r>
        <w:rPr>
          <w:rFonts w:hint="eastAsia" w:ascii="宋体" w:hAnsi="宋体" w:cs="宋体"/>
          <w:b/>
          <w:bCs/>
          <w:szCs w:val="21"/>
        </w:rPr>
        <w:t xml:space="preserve">25. </w:t>
      </w:r>
      <w:r>
        <w:rPr>
          <w:rFonts w:hint="eastAsia" w:ascii="宋体" w:hAnsi="宋体" w:cs="宋体"/>
          <w:b/>
          <w:bCs/>
          <w:kern w:val="0"/>
          <w:szCs w:val="21"/>
        </w:rPr>
        <w:t>响应</w:t>
      </w:r>
      <w:r>
        <w:rPr>
          <w:rFonts w:hint="eastAsia" w:ascii="宋体" w:hAnsi="宋体" w:cs="宋体"/>
          <w:b/>
          <w:bCs/>
          <w:szCs w:val="21"/>
        </w:rPr>
        <w:t>文件的初审</w:t>
      </w:r>
    </w:p>
    <w:p w14:paraId="21877863">
      <w:pPr>
        <w:pStyle w:val="31"/>
        <w:snapToGrid w:val="0"/>
        <w:spacing w:before="0" w:beforeAutospacing="0" w:after="0" w:afterAutospacing="0" w:line="360" w:lineRule="auto"/>
        <w:ind w:firstLine="420" w:firstLineChars="200"/>
        <w:jc w:val="both"/>
        <w:rPr>
          <w:rFonts w:ascii="宋体" w:hAnsi="宋体" w:cs="宋体"/>
          <w:sz w:val="21"/>
          <w:szCs w:val="21"/>
        </w:rPr>
      </w:pPr>
      <w:r>
        <w:rPr>
          <w:rFonts w:hint="eastAsia" w:ascii="宋体" w:hAnsi="宋体" w:cs="宋体"/>
          <w:sz w:val="21"/>
          <w:szCs w:val="21"/>
        </w:rPr>
        <w:t>25.1对所有供应商的评估，都采用相同的程序和标准。评标过程将严格按照采购文件的要求和条件进行。</w:t>
      </w:r>
    </w:p>
    <w:p w14:paraId="2B4D111B">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25.2 磋商小组将对响应文件进行检查，以确定响应文件是否完整、有无计算上的错误、文件是否已正确签署等。</w:t>
      </w:r>
    </w:p>
    <w:p w14:paraId="36EE796A">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25.3 响应文件报价出现前后不一致的，除采购文件另有规定外，修正错误的原则如下：</w:t>
      </w:r>
    </w:p>
    <w:p w14:paraId="3F77B0DF">
      <w:pPr>
        <w:pStyle w:val="31"/>
        <w:shd w:val="clear" w:color="auto" w:fill="FFFFFF"/>
        <w:snapToGrid w:val="0"/>
        <w:spacing w:before="0" w:beforeAutospacing="0" w:after="0" w:afterAutospacing="0" w:line="360" w:lineRule="auto"/>
        <w:ind w:firstLine="420" w:firstLineChars="200"/>
        <w:jc w:val="both"/>
        <w:rPr>
          <w:rFonts w:ascii="宋体" w:hAnsi="宋体" w:cs="宋体"/>
          <w:sz w:val="21"/>
          <w:szCs w:val="21"/>
        </w:rPr>
      </w:pPr>
      <w:r>
        <w:rPr>
          <w:rFonts w:hint="eastAsia" w:ascii="宋体" w:hAnsi="宋体" w:cs="宋体"/>
          <w:sz w:val="21"/>
          <w:szCs w:val="21"/>
        </w:rPr>
        <w:t>25.3.1响应文件</w:t>
      </w:r>
      <w:r>
        <w:rPr>
          <w:rFonts w:hint="eastAsia" w:ascii="宋体" w:hAnsi="宋体" w:cs="宋体"/>
          <w:sz w:val="21"/>
          <w:szCs w:val="21"/>
          <w:shd w:val="clear" w:color="auto" w:fill="FFFFFF"/>
        </w:rPr>
        <w:t>初次报价一览表（报价表）内容与响应文件中相应内容不一致的，以初次报价一览表（报价表）为准；</w:t>
      </w:r>
    </w:p>
    <w:p w14:paraId="7CAD54CD">
      <w:pPr>
        <w:pStyle w:val="31"/>
        <w:shd w:val="clear" w:color="auto" w:fill="FFFFFF"/>
        <w:snapToGrid w:val="0"/>
        <w:spacing w:before="0" w:beforeAutospacing="0" w:after="0" w:afterAutospacing="0" w:line="360" w:lineRule="auto"/>
        <w:ind w:firstLine="420" w:firstLineChars="200"/>
        <w:jc w:val="both"/>
        <w:rPr>
          <w:rFonts w:ascii="宋体" w:hAnsi="宋体" w:cs="宋体"/>
          <w:sz w:val="21"/>
          <w:szCs w:val="21"/>
        </w:rPr>
      </w:pPr>
      <w:r>
        <w:rPr>
          <w:rFonts w:hint="eastAsia" w:ascii="宋体" w:hAnsi="宋体" w:cs="宋体"/>
          <w:sz w:val="21"/>
          <w:szCs w:val="21"/>
        </w:rPr>
        <w:t>25.3.2</w:t>
      </w:r>
      <w:r>
        <w:rPr>
          <w:rFonts w:hint="eastAsia" w:ascii="宋体" w:hAnsi="宋体" w:cs="宋体"/>
          <w:sz w:val="21"/>
          <w:szCs w:val="21"/>
          <w:shd w:val="clear" w:color="auto" w:fill="FFFFFF"/>
        </w:rPr>
        <w:t>大写金额</w:t>
      </w:r>
      <w:r>
        <w:rPr>
          <w:rFonts w:hint="eastAsia" w:ascii="宋体" w:hAnsi="宋体" w:cs="宋体"/>
          <w:sz w:val="21"/>
          <w:szCs w:val="21"/>
        </w:rPr>
        <w:t>与</w:t>
      </w:r>
      <w:r>
        <w:rPr>
          <w:rFonts w:hint="eastAsia" w:ascii="宋体" w:hAnsi="宋体" w:cs="宋体"/>
          <w:sz w:val="21"/>
          <w:szCs w:val="21"/>
          <w:shd w:val="clear" w:color="auto" w:fill="FFFFFF"/>
        </w:rPr>
        <w:t>小写金额不一致的，以大写金额为准；</w:t>
      </w:r>
    </w:p>
    <w:p w14:paraId="68B6E77E">
      <w:pPr>
        <w:pStyle w:val="31"/>
        <w:shd w:val="clear" w:color="auto" w:fill="FFFFFF"/>
        <w:snapToGrid w:val="0"/>
        <w:spacing w:before="0" w:beforeAutospacing="0" w:after="0" w:afterAutospacing="0" w:line="360" w:lineRule="auto"/>
        <w:ind w:firstLine="420" w:firstLineChars="200"/>
        <w:jc w:val="both"/>
        <w:rPr>
          <w:rFonts w:ascii="宋体" w:hAnsi="宋体" w:cs="宋体"/>
          <w:sz w:val="21"/>
          <w:szCs w:val="21"/>
        </w:rPr>
      </w:pPr>
      <w:r>
        <w:rPr>
          <w:rFonts w:hint="eastAsia" w:ascii="宋体" w:hAnsi="宋体" w:cs="宋体"/>
          <w:sz w:val="21"/>
          <w:szCs w:val="21"/>
        </w:rPr>
        <w:t>25.3.3</w:t>
      </w:r>
      <w:r>
        <w:rPr>
          <w:rFonts w:hint="eastAsia" w:ascii="宋体" w:hAnsi="宋体" w:cs="宋体"/>
          <w:sz w:val="21"/>
          <w:szCs w:val="21"/>
          <w:shd w:val="clear" w:color="auto" w:fill="FFFFFF"/>
        </w:rPr>
        <w:t>单价金额小数点或者百分比有明显错位的，以初次报价一览表的总价为准，并修改单价；</w:t>
      </w:r>
    </w:p>
    <w:p w14:paraId="077D11B5">
      <w:pPr>
        <w:pStyle w:val="31"/>
        <w:shd w:val="clear" w:color="auto" w:fill="FFFFFF"/>
        <w:snapToGrid w:val="0"/>
        <w:spacing w:before="0" w:beforeAutospacing="0" w:after="0" w:afterAutospacing="0" w:line="360" w:lineRule="auto"/>
        <w:ind w:firstLine="420" w:firstLineChars="200"/>
        <w:jc w:val="both"/>
        <w:rPr>
          <w:rFonts w:ascii="宋体" w:hAnsi="宋体" w:cs="宋体"/>
          <w:sz w:val="21"/>
          <w:szCs w:val="21"/>
        </w:rPr>
      </w:pPr>
      <w:r>
        <w:rPr>
          <w:rFonts w:hint="eastAsia" w:ascii="宋体" w:hAnsi="宋体" w:cs="宋体"/>
          <w:sz w:val="21"/>
          <w:szCs w:val="21"/>
        </w:rPr>
        <w:t>25.3.4</w:t>
      </w:r>
      <w:r>
        <w:rPr>
          <w:rFonts w:hint="eastAsia" w:ascii="宋体" w:hAnsi="宋体" w:cs="宋体"/>
          <w:sz w:val="21"/>
          <w:szCs w:val="21"/>
          <w:shd w:val="clear" w:color="auto" w:fill="FFFFFF"/>
        </w:rPr>
        <w:t>总价金额与按单价汇总金额不一致的，以单价金额计算结果为准。</w:t>
      </w:r>
    </w:p>
    <w:p w14:paraId="0B0DA6BC">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25.3.5对不同文字文本响应文件的解释发生异议的，以中文文本为准。</w:t>
      </w:r>
    </w:p>
    <w:p w14:paraId="647F809A">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25.3.6同时出现两种以上不一致的，按照前款规定的顺序修正。修正后的报价按照财政部87号令第五十一条第二款的规定经供应商确认后产生约束力，供应商不确认的，其投标无效。</w:t>
      </w:r>
    </w:p>
    <w:p w14:paraId="4FCD60B5">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25.4 资格性检查和符合性检查。</w:t>
      </w:r>
    </w:p>
    <w:p w14:paraId="33E74A81">
      <w:pPr>
        <w:tabs>
          <w:tab w:val="left" w:pos="0"/>
        </w:tabs>
        <w:snapToGrid w:val="0"/>
        <w:spacing w:line="360" w:lineRule="auto"/>
        <w:ind w:firstLine="420" w:firstLineChars="200"/>
        <w:contextualSpacing/>
        <w:jc w:val="left"/>
        <w:rPr>
          <w:rFonts w:ascii="宋体" w:hAnsi="宋体" w:cs="宋体"/>
          <w:szCs w:val="21"/>
        </w:rPr>
      </w:pPr>
      <w:r>
        <w:rPr>
          <w:rFonts w:hint="eastAsia" w:ascii="宋体" w:hAnsi="宋体" w:cs="宋体"/>
          <w:kern w:val="0"/>
          <w:szCs w:val="21"/>
        </w:rPr>
        <w:t>25.4.1</w:t>
      </w:r>
      <w:r>
        <w:rPr>
          <w:rFonts w:hint="eastAsia" w:ascii="宋体" w:hAnsi="宋体" w:cs="宋体"/>
          <w:szCs w:val="21"/>
        </w:rPr>
        <w:t>资格性检查。依据法规政策和采购文件的规定，在对</w:t>
      </w:r>
      <w:r>
        <w:rPr>
          <w:rFonts w:hint="eastAsia" w:ascii="宋体" w:hAnsi="宋体" w:cs="宋体"/>
          <w:szCs w:val="21"/>
          <w:shd w:val="clear" w:color="auto" w:fill="FFFFFF"/>
        </w:rPr>
        <w:t>响应文件</w:t>
      </w:r>
      <w:r>
        <w:rPr>
          <w:rFonts w:hint="eastAsia" w:ascii="宋体" w:hAnsi="宋体" w:cs="宋体"/>
          <w:szCs w:val="21"/>
        </w:rPr>
        <w:t>详细评估之前，采购人将依据供应商提交的</w:t>
      </w:r>
      <w:r>
        <w:rPr>
          <w:rFonts w:hint="eastAsia" w:ascii="宋体" w:hAnsi="宋体" w:cs="宋体"/>
          <w:szCs w:val="21"/>
          <w:shd w:val="clear" w:color="auto" w:fill="FFFFFF"/>
        </w:rPr>
        <w:t>响应文件</w:t>
      </w:r>
      <w:r>
        <w:rPr>
          <w:rFonts w:hint="eastAsia" w:ascii="宋体" w:hAnsi="宋体" w:cs="宋体"/>
          <w:szCs w:val="21"/>
        </w:rPr>
        <w:t>按采购公告第二项和采购文件第三章4.供应商应提交的证明文件所述的资格标准对供应商进行资格审查,以确定其是否具备磋商资格。如果供应商不具备磋商资格、不满足采购文件所规定的资格标准或提供资格证明文件不全,其投标将被作为无效磋商。在审查过程中，采购人有权要求供应商按采购文件的规定提供相关资格证明材料的原件以供审查。供应商应在规定的时限内提供。供应商拒不提供的，或者不能在规定时限内提供的，视为其不具备该资格条件。</w:t>
      </w:r>
    </w:p>
    <w:p w14:paraId="0DD9A42E">
      <w:pPr>
        <w:snapToGrid w:val="0"/>
        <w:spacing w:line="360" w:lineRule="auto"/>
        <w:ind w:firstLine="420" w:firstLineChars="200"/>
        <w:jc w:val="left"/>
        <w:rPr>
          <w:rFonts w:ascii="宋体" w:hAnsi="宋体" w:cs="宋体"/>
          <w:szCs w:val="21"/>
        </w:rPr>
      </w:pPr>
      <w:r>
        <w:rPr>
          <w:rFonts w:hint="eastAsia" w:ascii="宋体" w:hAnsi="宋体" w:cs="宋体"/>
          <w:szCs w:val="21"/>
        </w:rPr>
        <w:t>25.4.2 资格审查后合格的供应商不足3家的，不得评标。</w:t>
      </w:r>
    </w:p>
    <w:p w14:paraId="3CA2F18F">
      <w:pPr>
        <w:snapToGrid w:val="0"/>
        <w:spacing w:line="360" w:lineRule="auto"/>
        <w:ind w:firstLine="420" w:firstLineChars="200"/>
        <w:jc w:val="left"/>
        <w:rPr>
          <w:rFonts w:ascii="宋体" w:hAnsi="宋体" w:cs="宋体"/>
          <w:szCs w:val="21"/>
        </w:rPr>
      </w:pPr>
      <w:r>
        <w:rPr>
          <w:rFonts w:hint="eastAsia" w:ascii="宋体" w:hAnsi="宋体" w:cs="宋体"/>
          <w:kern w:val="0"/>
          <w:szCs w:val="21"/>
        </w:rPr>
        <w:t>25.4.3 符合性检查。依据采购文件的规定，磋商小组将从</w:t>
      </w:r>
      <w:r>
        <w:rPr>
          <w:rFonts w:hint="eastAsia" w:ascii="宋体" w:hAnsi="宋体" w:cs="宋体"/>
          <w:szCs w:val="21"/>
          <w:shd w:val="clear" w:color="auto" w:fill="FFFFFF"/>
        </w:rPr>
        <w:t>响应文件</w:t>
      </w:r>
      <w:r>
        <w:rPr>
          <w:rFonts w:hint="eastAsia" w:ascii="宋体" w:hAnsi="宋体" w:cs="宋体"/>
          <w:kern w:val="0"/>
          <w:szCs w:val="21"/>
        </w:rPr>
        <w:t>的有效性、完整性和对采购文件的响应程度进行审查，以确定是否符合对采购文件的实质性要求作出响应。对没有实质性响应的响应文件将不进行评估，其投标被作为无效磋商。凡有下列情况之一者，响应文件也将被视为未实质性响应采购文件要求：</w:t>
      </w:r>
    </w:p>
    <w:p w14:paraId="0C158ABE">
      <w:pPr>
        <w:tabs>
          <w:tab w:val="left" w:pos="0"/>
        </w:tabs>
        <w:snapToGrid w:val="0"/>
        <w:spacing w:line="360" w:lineRule="auto"/>
        <w:ind w:firstLine="420" w:firstLineChars="200"/>
        <w:contextualSpacing/>
        <w:jc w:val="left"/>
        <w:rPr>
          <w:rFonts w:ascii="宋体" w:hAnsi="宋体" w:cs="宋体"/>
          <w:szCs w:val="21"/>
        </w:rPr>
      </w:pPr>
      <w:r>
        <w:rPr>
          <w:rFonts w:hint="eastAsia" w:ascii="宋体" w:hAnsi="宋体" w:cs="宋体"/>
          <w:szCs w:val="21"/>
        </w:rPr>
        <w:t>（1）</w:t>
      </w:r>
      <w:r>
        <w:rPr>
          <w:rFonts w:hint="eastAsia" w:ascii="宋体" w:hAnsi="宋体" w:cs="宋体"/>
          <w:szCs w:val="21"/>
          <w:shd w:val="clear" w:color="auto" w:fill="FFFFFF"/>
        </w:rPr>
        <w:t>响应文件</w:t>
      </w:r>
      <w:r>
        <w:rPr>
          <w:rFonts w:hint="eastAsia" w:ascii="宋体" w:hAnsi="宋体" w:cs="宋体"/>
          <w:szCs w:val="21"/>
        </w:rPr>
        <w:t>未按规定签字、盖章的。</w:t>
      </w:r>
    </w:p>
    <w:p w14:paraId="10DF45A5">
      <w:pPr>
        <w:tabs>
          <w:tab w:val="left" w:pos="0"/>
        </w:tabs>
        <w:snapToGrid w:val="0"/>
        <w:spacing w:line="360" w:lineRule="auto"/>
        <w:ind w:firstLine="420" w:firstLineChars="200"/>
        <w:contextualSpacing/>
        <w:jc w:val="left"/>
        <w:rPr>
          <w:rFonts w:ascii="宋体" w:hAnsi="宋体" w:cs="宋体"/>
          <w:szCs w:val="21"/>
        </w:rPr>
      </w:pPr>
      <w:r>
        <w:rPr>
          <w:rFonts w:hint="eastAsia" w:ascii="宋体" w:hAnsi="宋体" w:cs="宋体"/>
          <w:szCs w:val="21"/>
        </w:rPr>
        <w:t>（2）供应商未能出具有效身份证明，或与身份不符的。</w:t>
      </w:r>
    </w:p>
    <w:p w14:paraId="239D24E0">
      <w:pPr>
        <w:tabs>
          <w:tab w:val="left" w:pos="0"/>
        </w:tabs>
        <w:snapToGrid w:val="0"/>
        <w:spacing w:line="360" w:lineRule="auto"/>
        <w:ind w:firstLine="420" w:firstLineChars="200"/>
        <w:contextualSpacing/>
        <w:jc w:val="left"/>
        <w:rPr>
          <w:rFonts w:ascii="宋体" w:hAnsi="宋体" w:cs="宋体"/>
          <w:szCs w:val="21"/>
        </w:rPr>
      </w:pPr>
      <w:r>
        <w:rPr>
          <w:rFonts w:hint="eastAsia" w:ascii="宋体" w:hAnsi="宋体" w:cs="宋体"/>
          <w:szCs w:val="21"/>
        </w:rPr>
        <w:t>（3）未按磋商文件规定报价，报价均超过采购预算或最高限价的。</w:t>
      </w:r>
    </w:p>
    <w:p w14:paraId="0181B4B7">
      <w:pPr>
        <w:tabs>
          <w:tab w:val="left" w:pos="0"/>
        </w:tabs>
        <w:snapToGrid w:val="0"/>
        <w:spacing w:line="360" w:lineRule="auto"/>
        <w:ind w:firstLine="420" w:firstLineChars="200"/>
        <w:contextualSpacing/>
        <w:jc w:val="left"/>
        <w:rPr>
          <w:rFonts w:ascii="宋体" w:hAnsi="宋体" w:cs="宋体"/>
          <w:szCs w:val="21"/>
        </w:rPr>
      </w:pPr>
      <w:r>
        <w:rPr>
          <w:rFonts w:hint="eastAsia" w:ascii="宋体" w:hAnsi="宋体" w:cs="宋体"/>
          <w:szCs w:val="21"/>
        </w:rPr>
        <w:t>（4）</w:t>
      </w:r>
      <w:r>
        <w:rPr>
          <w:rFonts w:hint="eastAsia" w:ascii="宋体" w:hAnsi="宋体" w:cs="宋体"/>
          <w:szCs w:val="21"/>
          <w:shd w:val="clear" w:color="auto" w:fill="FFFFFF"/>
        </w:rPr>
        <w:t>响应文件</w:t>
      </w:r>
      <w:r>
        <w:rPr>
          <w:rFonts w:hint="eastAsia" w:ascii="宋体" w:hAnsi="宋体" w:cs="宋体"/>
          <w:szCs w:val="21"/>
        </w:rPr>
        <w:t>有效期、交货期、质量等不满足采购文件要求的。</w:t>
      </w:r>
    </w:p>
    <w:p w14:paraId="6854C0EA">
      <w:pPr>
        <w:tabs>
          <w:tab w:val="left" w:pos="0"/>
        </w:tabs>
        <w:snapToGrid w:val="0"/>
        <w:spacing w:line="360" w:lineRule="auto"/>
        <w:ind w:firstLine="420" w:firstLineChars="200"/>
        <w:contextualSpacing/>
        <w:jc w:val="left"/>
        <w:rPr>
          <w:rFonts w:ascii="宋体" w:hAnsi="宋体" w:cs="宋体"/>
          <w:szCs w:val="21"/>
        </w:rPr>
      </w:pPr>
      <w:r>
        <w:rPr>
          <w:rFonts w:hint="eastAsia" w:ascii="宋体" w:hAnsi="宋体" w:cs="宋体"/>
          <w:szCs w:val="21"/>
        </w:rPr>
        <w:t>（5）未按采购文件提供的格式填列、项目不齐全或内容虚假的。</w:t>
      </w:r>
    </w:p>
    <w:p w14:paraId="47093D1B">
      <w:pPr>
        <w:tabs>
          <w:tab w:val="left" w:pos="0"/>
        </w:tabs>
        <w:snapToGrid w:val="0"/>
        <w:spacing w:line="360" w:lineRule="auto"/>
        <w:ind w:firstLine="420" w:firstLineChars="200"/>
        <w:contextualSpacing/>
        <w:jc w:val="left"/>
        <w:rPr>
          <w:rFonts w:ascii="宋体" w:hAnsi="宋体" w:cs="宋体"/>
          <w:szCs w:val="21"/>
        </w:rPr>
      </w:pPr>
      <w:r>
        <w:rPr>
          <w:rFonts w:hint="eastAsia" w:ascii="宋体" w:hAnsi="宋体" w:cs="宋体"/>
          <w:szCs w:val="21"/>
        </w:rPr>
        <w:t>（6）</w:t>
      </w:r>
      <w:r>
        <w:rPr>
          <w:rFonts w:hint="eastAsia" w:ascii="宋体" w:hAnsi="宋体" w:cs="宋体"/>
          <w:szCs w:val="21"/>
          <w:shd w:val="clear" w:color="auto" w:fill="FFFFFF"/>
        </w:rPr>
        <w:t>响应文件</w:t>
      </w:r>
      <w:r>
        <w:rPr>
          <w:rFonts w:hint="eastAsia" w:ascii="宋体" w:hAnsi="宋体" w:cs="宋体"/>
          <w:szCs w:val="21"/>
        </w:rPr>
        <w:t>的实质性内容未使用中文表述，或意思表述不明确，或前后矛盾，或使用计量单位不符合采购文件要求的。</w:t>
      </w:r>
    </w:p>
    <w:p w14:paraId="3FF53A68">
      <w:pPr>
        <w:tabs>
          <w:tab w:val="left" w:pos="0"/>
        </w:tabs>
        <w:snapToGrid w:val="0"/>
        <w:spacing w:line="360" w:lineRule="auto"/>
        <w:ind w:firstLine="420" w:firstLineChars="200"/>
        <w:contextualSpacing/>
        <w:jc w:val="left"/>
        <w:rPr>
          <w:rFonts w:ascii="宋体" w:hAnsi="宋体" w:cs="宋体"/>
          <w:szCs w:val="21"/>
        </w:rPr>
      </w:pPr>
      <w:r>
        <w:rPr>
          <w:rFonts w:hint="eastAsia" w:ascii="宋体" w:hAnsi="宋体" w:cs="宋体"/>
          <w:szCs w:val="21"/>
        </w:rPr>
        <w:t>（7）</w:t>
      </w:r>
      <w:r>
        <w:rPr>
          <w:rFonts w:hint="eastAsia" w:ascii="宋体" w:hAnsi="宋体" w:cs="宋体"/>
          <w:szCs w:val="21"/>
          <w:shd w:val="clear" w:color="auto" w:fill="FFFFFF"/>
        </w:rPr>
        <w:t>响应文件</w:t>
      </w:r>
      <w:r>
        <w:rPr>
          <w:rFonts w:hint="eastAsia" w:ascii="宋体" w:hAnsi="宋体" w:cs="宋体"/>
          <w:szCs w:val="21"/>
        </w:rPr>
        <w:t>的关键内容字迹模糊、无法辨认,或</w:t>
      </w:r>
      <w:r>
        <w:rPr>
          <w:rFonts w:hint="eastAsia" w:ascii="宋体" w:hAnsi="宋体" w:cs="宋体"/>
          <w:kern w:val="0"/>
          <w:szCs w:val="21"/>
        </w:rPr>
        <w:t>响应</w:t>
      </w:r>
      <w:r>
        <w:rPr>
          <w:rFonts w:hint="eastAsia" w:ascii="宋体" w:hAnsi="宋体" w:cs="宋体"/>
          <w:szCs w:val="21"/>
        </w:rPr>
        <w:t>文件中经修正的内容字迹模糊无法辩认，或修改处未按规定签名盖章的。</w:t>
      </w:r>
    </w:p>
    <w:p w14:paraId="46417891">
      <w:pPr>
        <w:tabs>
          <w:tab w:val="left" w:pos="0"/>
        </w:tabs>
        <w:snapToGrid w:val="0"/>
        <w:spacing w:line="360" w:lineRule="auto"/>
        <w:ind w:firstLine="420" w:firstLineChars="200"/>
        <w:contextualSpacing/>
        <w:jc w:val="left"/>
        <w:rPr>
          <w:rFonts w:ascii="宋体" w:hAnsi="宋体" w:cs="宋体"/>
          <w:kern w:val="0"/>
          <w:szCs w:val="21"/>
        </w:rPr>
      </w:pPr>
      <w:r>
        <w:rPr>
          <w:rFonts w:hint="eastAsia" w:ascii="宋体" w:hAnsi="宋体" w:cs="宋体"/>
          <w:szCs w:val="21"/>
        </w:rPr>
        <w:t>（8）</w:t>
      </w:r>
      <w:r>
        <w:rPr>
          <w:rFonts w:hint="eastAsia" w:ascii="宋体" w:hAnsi="宋体" w:cs="宋体"/>
          <w:szCs w:val="21"/>
          <w:shd w:val="clear" w:color="auto" w:fill="FFFFFF"/>
        </w:rPr>
        <w:t>响应文件</w:t>
      </w:r>
      <w:r>
        <w:rPr>
          <w:rFonts w:hint="eastAsia" w:ascii="宋体" w:hAnsi="宋体" w:cs="宋体"/>
          <w:szCs w:val="21"/>
        </w:rPr>
        <w:t>内容未按采购文件响应的。</w:t>
      </w:r>
    </w:p>
    <w:p w14:paraId="6FD7502D">
      <w:pPr>
        <w:tabs>
          <w:tab w:val="left" w:pos="0"/>
        </w:tabs>
        <w:snapToGrid w:val="0"/>
        <w:spacing w:line="360" w:lineRule="auto"/>
        <w:ind w:firstLine="420" w:firstLineChars="200"/>
        <w:contextualSpacing/>
        <w:jc w:val="left"/>
        <w:rPr>
          <w:rFonts w:ascii="宋体" w:hAnsi="宋体" w:cs="宋体"/>
          <w:kern w:val="0"/>
          <w:szCs w:val="21"/>
        </w:rPr>
      </w:pPr>
      <w:r>
        <w:rPr>
          <w:rFonts w:hint="eastAsia" w:ascii="宋体" w:hAnsi="宋体" w:cs="宋体"/>
          <w:kern w:val="0"/>
          <w:szCs w:val="21"/>
        </w:rPr>
        <w:t>（9）不符合采购文件中规定的其它实质性条款。</w:t>
      </w:r>
    </w:p>
    <w:p w14:paraId="2A1DEA3B">
      <w:pPr>
        <w:tabs>
          <w:tab w:val="left" w:pos="0"/>
        </w:tabs>
        <w:snapToGrid w:val="0"/>
        <w:spacing w:line="360" w:lineRule="auto"/>
        <w:ind w:firstLine="420" w:firstLineChars="200"/>
        <w:contextualSpacing/>
        <w:jc w:val="left"/>
        <w:rPr>
          <w:rFonts w:ascii="宋体" w:hAnsi="宋体" w:cs="宋体"/>
          <w:kern w:val="0"/>
          <w:szCs w:val="21"/>
        </w:rPr>
      </w:pPr>
      <w:r>
        <w:rPr>
          <w:rFonts w:hint="eastAsia" w:ascii="宋体" w:hAnsi="宋体" w:cs="宋体"/>
          <w:kern w:val="0"/>
          <w:szCs w:val="21"/>
        </w:rPr>
        <w:t>磋商小组决定投标的响应性只根据响应文件本身的内容，而不寻求其他的外部证据。</w:t>
      </w:r>
    </w:p>
    <w:p w14:paraId="17BC9BF3">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25.4.4 对资格性检查和符合性检查不合格的供应商，将通过评标系统告知其理由。</w:t>
      </w:r>
    </w:p>
    <w:p w14:paraId="15F9A6CA">
      <w:pPr>
        <w:pStyle w:val="31"/>
        <w:snapToGrid w:val="0"/>
        <w:spacing w:before="0" w:beforeAutospacing="0" w:after="0" w:afterAutospacing="0" w:line="360" w:lineRule="auto"/>
        <w:ind w:firstLine="420" w:firstLineChars="200"/>
        <w:jc w:val="both"/>
        <w:rPr>
          <w:rFonts w:ascii="宋体" w:hAnsi="宋体" w:cs="宋体"/>
          <w:sz w:val="21"/>
          <w:szCs w:val="21"/>
        </w:rPr>
      </w:pPr>
      <w:r>
        <w:rPr>
          <w:rFonts w:hint="eastAsia" w:ascii="宋体" w:hAnsi="宋体" w:cs="宋体"/>
          <w:sz w:val="21"/>
          <w:szCs w:val="21"/>
        </w:rPr>
        <w:t>25.5 在评审过程中，磋商小组发现供应商有下列情形之一的，视为供应商串通投标，其磋商无效：</w:t>
      </w:r>
    </w:p>
    <w:p w14:paraId="116D37D6">
      <w:pPr>
        <w:tabs>
          <w:tab w:val="left" w:pos="0"/>
        </w:tabs>
        <w:snapToGrid w:val="0"/>
        <w:spacing w:line="360" w:lineRule="auto"/>
        <w:ind w:left="105" w:leftChars="50" w:firstLine="315" w:firstLineChars="150"/>
        <w:contextualSpacing/>
        <w:jc w:val="left"/>
        <w:rPr>
          <w:rFonts w:ascii="宋体" w:hAnsi="宋体" w:cs="宋体"/>
          <w:kern w:val="0"/>
          <w:szCs w:val="21"/>
        </w:rPr>
      </w:pPr>
      <w:r>
        <w:rPr>
          <w:rFonts w:hint="eastAsia" w:ascii="宋体" w:hAnsi="宋体" w:cs="宋体"/>
          <w:kern w:val="0"/>
          <w:szCs w:val="21"/>
        </w:rPr>
        <w:t>25.5.1不同供应商的</w:t>
      </w:r>
      <w:r>
        <w:rPr>
          <w:rFonts w:hint="eastAsia" w:ascii="宋体" w:hAnsi="宋体" w:cs="宋体"/>
          <w:szCs w:val="21"/>
          <w:shd w:val="clear" w:color="auto" w:fill="FFFFFF"/>
        </w:rPr>
        <w:t>响应文件</w:t>
      </w:r>
      <w:r>
        <w:rPr>
          <w:rFonts w:hint="eastAsia" w:ascii="宋体" w:hAnsi="宋体" w:cs="宋体"/>
          <w:kern w:val="0"/>
          <w:szCs w:val="21"/>
        </w:rPr>
        <w:t>异常一致。</w:t>
      </w:r>
    </w:p>
    <w:p w14:paraId="70677677">
      <w:pPr>
        <w:tabs>
          <w:tab w:val="left" w:pos="0"/>
        </w:tabs>
        <w:snapToGrid w:val="0"/>
        <w:spacing w:line="360" w:lineRule="auto"/>
        <w:ind w:left="105" w:leftChars="50" w:firstLine="315" w:firstLineChars="150"/>
        <w:contextualSpacing/>
        <w:jc w:val="left"/>
        <w:rPr>
          <w:rFonts w:ascii="宋体" w:hAnsi="宋体" w:cs="宋体"/>
          <w:szCs w:val="21"/>
        </w:rPr>
      </w:pPr>
      <w:r>
        <w:rPr>
          <w:rFonts w:hint="eastAsia" w:ascii="宋体" w:hAnsi="宋体" w:cs="宋体"/>
          <w:szCs w:val="21"/>
        </w:rPr>
        <w:t>25.5.2不同供应商的</w:t>
      </w:r>
      <w:r>
        <w:rPr>
          <w:rFonts w:hint="eastAsia" w:ascii="宋体" w:hAnsi="宋体" w:cs="宋体"/>
          <w:szCs w:val="21"/>
          <w:shd w:val="clear" w:color="auto" w:fill="FFFFFF"/>
        </w:rPr>
        <w:t>响应文件</w:t>
      </w:r>
      <w:r>
        <w:rPr>
          <w:rFonts w:hint="eastAsia" w:ascii="宋体" w:hAnsi="宋体" w:cs="宋体"/>
          <w:szCs w:val="21"/>
        </w:rPr>
        <w:t>由同一单位或者个人编制；</w:t>
      </w:r>
    </w:p>
    <w:p w14:paraId="2AA471E9">
      <w:pPr>
        <w:tabs>
          <w:tab w:val="left" w:pos="0"/>
        </w:tabs>
        <w:snapToGrid w:val="0"/>
        <w:spacing w:line="360" w:lineRule="auto"/>
        <w:ind w:left="105" w:leftChars="50" w:firstLine="315" w:firstLineChars="150"/>
        <w:contextualSpacing/>
        <w:jc w:val="left"/>
        <w:rPr>
          <w:rFonts w:ascii="宋体" w:hAnsi="宋体" w:cs="宋体"/>
          <w:szCs w:val="21"/>
        </w:rPr>
      </w:pPr>
      <w:r>
        <w:rPr>
          <w:rFonts w:hint="eastAsia" w:ascii="宋体" w:hAnsi="宋体" w:cs="宋体"/>
          <w:szCs w:val="21"/>
        </w:rPr>
        <w:t>25.5.3不同供应商委托同一单位或者个人办理投标事宜；</w:t>
      </w:r>
    </w:p>
    <w:p w14:paraId="2DCA37A2">
      <w:pPr>
        <w:tabs>
          <w:tab w:val="left" w:pos="0"/>
        </w:tabs>
        <w:snapToGrid w:val="0"/>
        <w:spacing w:line="360" w:lineRule="auto"/>
        <w:ind w:left="105" w:leftChars="50" w:firstLine="315" w:firstLineChars="150"/>
        <w:contextualSpacing/>
        <w:jc w:val="left"/>
        <w:rPr>
          <w:rFonts w:ascii="宋体" w:hAnsi="宋体" w:cs="宋体"/>
          <w:szCs w:val="21"/>
        </w:rPr>
      </w:pPr>
      <w:r>
        <w:rPr>
          <w:rFonts w:hint="eastAsia" w:ascii="宋体" w:hAnsi="宋体" w:cs="宋体"/>
          <w:szCs w:val="21"/>
        </w:rPr>
        <w:t>25.5.4不同供应商的</w:t>
      </w:r>
      <w:r>
        <w:rPr>
          <w:rFonts w:hint="eastAsia" w:ascii="宋体" w:hAnsi="宋体" w:cs="宋体"/>
          <w:szCs w:val="21"/>
          <w:shd w:val="clear" w:color="auto" w:fill="FFFFFF"/>
        </w:rPr>
        <w:t>响应文件</w:t>
      </w:r>
      <w:r>
        <w:rPr>
          <w:rFonts w:hint="eastAsia" w:ascii="宋体" w:hAnsi="宋体" w:cs="宋体"/>
          <w:szCs w:val="21"/>
        </w:rPr>
        <w:t>载明的项目管理成员或者联系人员为同一人；　　</w:t>
      </w:r>
    </w:p>
    <w:p w14:paraId="1530C1C6">
      <w:pPr>
        <w:tabs>
          <w:tab w:val="left" w:pos="0"/>
        </w:tabs>
        <w:snapToGrid w:val="0"/>
        <w:spacing w:line="360" w:lineRule="auto"/>
        <w:ind w:left="105" w:leftChars="50" w:firstLine="315" w:firstLineChars="150"/>
        <w:contextualSpacing/>
        <w:jc w:val="left"/>
        <w:rPr>
          <w:rFonts w:ascii="宋体" w:hAnsi="宋体" w:cs="宋体"/>
          <w:szCs w:val="21"/>
        </w:rPr>
      </w:pPr>
      <w:r>
        <w:rPr>
          <w:rFonts w:hint="eastAsia" w:ascii="宋体" w:hAnsi="宋体" w:cs="宋体"/>
          <w:szCs w:val="21"/>
        </w:rPr>
        <w:t>25.5.5不同供应商的</w:t>
      </w:r>
      <w:r>
        <w:rPr>
          <w:rFonts w:hint="eastAsia" w:ascii="宋体" w:hAnsi="宋体" w:cs="宋体"/>
          <w:szCs w:val="21"/>
          <w:shd w:val="clear" w:color="auto" w:fill="FFFFFF"/>
        </w:rPr>
        <w:t>响应文件</w:t>
      </w:r>
      <w:r>
        <w:rPr>
          <w:rFonts w:hint="eastAsia" w:ascii="宋体" w:hAnsi="宋体" w:cs="宋体"/>
          <w:szCs w:val="21"/>
        </w:rPr>
        <w:t>相互混装；</w:t>
      </w:r>
    </w:p>
    <w:p w14:paraId="3F592F19">
      <w:pPr>
        <w:tabs>
          <w:tab w:val="left" w:pos="0"/>
        </w:tabs>
        <w:snapToGrid w:val="0"/>
        <w:spacing w:line="360" w:lineRule="auto"/>
        <w:ind w:left="105" w:leftChars="50" w:firstLine="315" w:firstLineChars="150"/>
        <w:contextualSpacing/>
        <w:jc w:val="left"/>
        <w:rPr>
          <w:rFonts w:ascii="宋体" w:hAnsi="宋体" w:cs="宋体"/>
          <w:szCs w:val="21"/>
        </w:rPr>
      </w:pPr>
      <w:r>
        <w:rPr>
          <w:rFonts w:hint="eastAsia" w:ascii="宋体" w:hAnsi="宋体" w:cs="宋体"/>
          <w:szCs w:val="21"/>
        </w:rPr>
        <w:t>25.5.6不同供应商的投标保证金从同一单位或者个人的账户转出（若收取）。</w:t>
      </w:r>
    </w:p>
    <w:p w14:paraId="27252700">
      <w:pPr>
        <w:adjustRightInd w:val="0"/>
        <w:snapToGrid w:val="0"/>
        <w:spacing w:line="360" w:lineRule="auto"/>
        <w:ind w:left="19" w:leftChars="9" w:firstLine="399" w:firstLineChars="190"/>
        <w:jc w:val="left"/>
        <w:textAlignment w:val="baseline"/>
        <w:rPr>
          <w:rFonts w:ascii="宋体" w:hAnsi="宋体" w:cs="宋体"/>
          <w:szCs w:val="21"/>
        </w:rPr>
      </w:pPr>
      <w:r>
        <w:rPr>
          <w:rFonts w:hint="eastAsia" w:ascii="宋体" w:hAnsi="宋体" w:cs="宋体"/>
          <w:kern w:val="0"/>
          <w:szCs w:val="21"/>
        </w:rPr>
        <w:t>25.5.7 有证据证明供应商串通投标的其他情形的；</w:t>
      </w:r>
    </w:p>
    <w:p w14:paraId="74E83DFC">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25.5.8 不同供应商的</w:t>
      </w:r>
      <w:r>
        <w:rPr>
          <w:rFonts w:hint="eastAsia" w:ascii="宋体" w:hAnsi="宋体" w:cs="宋体"/>
          <w:szCs w:val="21"/>
          <w:shd w:val="clear" w:color="auto" w:fill="FFFFFF"/>
        </w:rPr>
        <w:t>响应文件</w:t>
      </w:r>
      <w:r>
        <w:rPr>
          <w:rFonts w:hint="eastAsia" w:ascii="宋体" w:hAnsi="宋体" w:cs="宋体"/>
          <w:kern w:val="0"/>
          <w:szCs w:val="21"/>
        </w:rPr>
        <w:t>制作机器码一致；</w:t>
      </w:r>
    </w:p>
    <w:p w14:paraId="2D68A9BA">
      <w:pPr>
        <w:snapToGrid w:val="0"/>
        <w:spacing w:line="360" w:lineRule="auto"/>
        <w:ind w:firstLine="420" w:firstLineChars="200"/>
        <w:jc w:val="left"/>
        <w:rPr>
          <w:rFonts w:ascii="宋体" w:hAnsi="宋体" w:cs="宋体"/>
          <w:szCs w:val="21"/>
        </w:rPr>
      </w:pPr>
      <w:r>
        <w:rPr>
          <w:rFonts w:hint="eastAsia" w:ascii="宋体" w:hAnsi="宋体" w:cs="宋体"/>
          <w:kern w:val="0"/>
          <w:szCs w:val="21"/>
        </w:rPr>
        <w:t>25.5.9 磋商小组认定的其他串通投标情形。</w:t>
      </w:r>
    </w:p>
    <w:p w14:paraId="287782D4">
      <w:pPr>
        <w:tabs>
          <w:tab w:val="left" w:pos="0"/>
        </w:tabs>
        <w:snapToGrid w:val="0"/>
        <w:spacing w:line="360" w:lineRule="auto"/>
        <w:ind w:left="105" w:leftChars="50" w:firstLine="316" w:firstLineChars="150"/>
        <w:contextualSpacing/>
        <w:jc w:val="left"/>
        <w:rPr>
          <w:rFonts w:ascii="宋体" w:hAnsi="宋体" w:cs="宋体"/>
          <w:b/>
          <w:bCs/>
          <w:szCs w:val="21"/>
        </w:rPr>
      </w:pPr>
      <w:r>
        <w:rPr>
          <w:rFonts w:hint="eastAsia" w:ascii="宋体" w:hAnsi="宋体" w:cs="宋体"/>
          <w:b/>
          <w:bCs/>
          <w:szCs w:val="21"/>
        </w:rPr>
        <w:t>25.6 磋商</w:t>
      </w:r>
    </w:p>
    <w:p w14:paraId="3A2A0DBB">
      <w:pPr>
        <w:widowControl/>
        <w:kinsoku w:val="0"/>
        <w:autoSpaceDE w:val="0"/>
        <w:autoSpaceDN w:val="0"/>
        <w:adjustRightInd w:val="0"/>
        <w:snapToGrid w:val="0"/>
        <w:spacing w:line="360" w:lineRule="auto"/>
        <w:ind w:firstLine="422" w:firstLineChars="200"/>
        <w:textAlignment w:val="baseline"/>
        <w:rPr>
          <w:rFonts w:ascii="宋体" w:hAnsi="宋体" w:cs="宋体"/>
          <w:b/>
          <w:bCs/>
          <w:szCs w:val="21"/>
        </w:rPr>
      </w:pPr>
      <w:r>
        <w:rPr>
          <w:rFonts w:hint="eastAsia" w:ascii="宋体" w:hAnsi="宋体" w:cs="宋体"/>
          <w:b/>
          <w:bCs/>
          <w:szCs w:val="21"/>
        </w:rPr>
        <w:t>对资格性检查和符合性检查合格的供应商，进入本次磋商程序。</w:t>
      </w:r>
    </w:p>
    <w:p w14:paraId="747D4F9F">
      <w:pPr>
        <w:widowControl/>
        <w:kinsoku w:val="0"/>
        <w:autoSpaceDE w:val="0"/>
        <w:autoSpaceDN w:val="0"/>
        <w:adjustRightInd w:val="0"/>
        <w:snapToGrid w:val="0"/>
        <w:spacing w:line="360" w:lineRule="auto"/>
        <w:ind w:firstLine="422" w:firstLineChars="200"/>
        <w:textAlignment w:val="baseline"/>
        <w:rPr>
          <w:rFonts w:ascii="宋体" w:hAnsi="宋体" w:cs="宋体"/>
          <w:b/>
          <w:bCs/>
          <w:szCs w:val="21"/>
        </w:rPr>
      </w:pPr>
      <w:r>
        <w:rPr>
          <w:rFonts w:hint="eastAsia" w:ascii="宋体" w:hAnsi="宋体" w:cs="宋体"/>
          <w:b/>
          <w:bCs/>
          <w:szCs w:val="21"/>
        </w:rPr>
        <w:t>25.6.1 磋商小组通过随机方式确定参加磋商供应商的磋商顺序，所有成员集中与供应商按照顺序分别单独进行磋商。在磋商中，磋商的任何一方不得透露与磋商有关的其他供应商的技术资料、价格和其他信息。在磋商过程中，磋商小组可以根据磋商文件和磋商情况实质性变动采购需求中的技术、服务要求及合同条款，但不得变动磋商文件的其他内容。实质性变动的内容须经采购人代表确认。磋商文件有实质性变动的，磋商小组应当以书面形式通知所有参加磋商供应商。</w:t>
      </w:r>
    </w:p>
    <w:p w14:paraId="1ED6F787">
      <w:pPr>
        <w:widowControl/>
        <w:kinsoku w:val="0"/>
        <w:autoSpaceDE w:val="0"/>
        <w:autoSpaceDN w:val="0"/>
        <w:adjustRightInd w:val="0"/>
        <w:snapToGrid w:val="0"/>
        <w:spacing w:line="360" w:lineRule="auto"/>
        <w:ind w:firstLine="422" w:firstLineChars="200"/>
        <w:textAlignment w:val="baseline"/>
      </w:pPr>
      <w:r>
        <w:rPr>
          <w:rFonts w:hint="eastAsia" w:ascii="宋体" w:hAnsi="宋体" w:cs="宋体"/>
          <w:b/>
          <w:bCs/>
          <w:szCs w:val="21"/>
        </w:rPr>
        <w:t>25.6.2 本次竞争性磋商进行</w:t>
      </w:r>
      <w:r>
        <w:rPr>
          <w:rFonts w:hint="eastAsia" w:ascii="宋体" w:hAnsi="宋体" w:cs="宋体"/>
          <w:b/>
          <w:bCs/>
          <w:szCs w:val="21"/>
          <w:u w:val="single"/>
        </w:rPr>
        <w:t xml:space="preserve"> 多 </w:t>
      </w:r>
      <w:r>
        <w:rPr>
          <w:rFonts w:hint="eastAsia" w:ascii="宋体" w:hAnsi="宋体" w:cs="宋体"/>
          <w:b/>
          <w:bCs/>
          <w:szCs w:val="21"/>
        </w:rPr>
        <w:t>轮次报价（二次及以上），并给予每个供应商相同的机会。响应文件报价为第一轮报价，以后轮次报价不得高于上一轮次报价（除竞争性磋商文件有实质性变动外），否则将被视为未实质性响应竞争性磋商文件。磋商报价以供应商的最后一轮次报价为准。</w:t>
      </w:r>
    </w:p>
    <w:p w14:paraId="2EC6C885">
      <w:pPr>
        <w:snapToGrid w:val="0"/>
        <w:spacing w:line="360" w:lineRule="auto"/>
        <w:ind w:firstLine="422" w:firstLineChars="200"/>
        <w:jc w:val="left"/>
        <w:rPr>
          <w:rFonts w:ascii="宋体" w:hAnsi="宋体" w:cs="宋体"/>
          <w:kern w:val="0"/>
          <w:szCs w:val="21"/>
        </w:rPr>
      </w:pPr>
      <w:r>
        <w:rPr>
          <w:rFonts w:hint="eastAsia" w:ascii="宋体" w:hAnsi="宋体" w:cs="宋体"/>
          <w:b/>
          <w:bCs/>
          <w:kern w:val="0"/>
          <w:szCs w:val="21"/>
        </w:rPr>
        <w:t>26. 响应文件的澄清</w:t>
      </w:r>
    </w:p>
    <w:p w14:paraId="7EB68683">
      <w:pPr>
        <w:snapToGrid w:val="0"/>
        <w:spacing w:line="360" w:lineRule="auto"/>
        <w:ind w:firstLine="420" w:firstLineChars="200"/>
        <w:jc w:val="left"/>
        <w:rPr>
          <w:rFonts w:ascii="宋体" w:hAnsi="宋体" w:cs="宋体"/>
          <w:szCs w:val="21"/>
        </w:rPr>
      </w:pPr>
      <w:r>
        <w:rPr>
          <w:rFonts w:hint="eastAsia" w:ascii="宋体" w:hAnsi="宋体" w:cs="宋体"/>
          <w:kern w:val="0"/>
          <w:szCs w:val="21"/>
        </w:rPr>
        <w:t>对响应文件中含义不明确、同类问题表述不一致或者有明显文字和计算错误的内容，磋商小组可以书面形式要求供应商作出必要的澄清。供应商的澄清应当在磋商小组规定的时间内以书面形式作出，由其供应商代表签字。但澄清事项不得超出响应文件的范围，不得实质性改变响应文件的内容，不得通过澄清等方式对供应商实行差别对待。磋商小组不得接受供应商主动提出的澄清和解释。</w:t>
      </w:r>
    </w:p>
    <w:p w14:paraId="7BD86981">
      <w:pPr>
        <w:snapToGrid w:val="0"/>
        <w:spacing w:line="360" w:lineRule="auto"/>
        <w:ind w:firstLine="422" w:firstLineChars="200"/>
        <w:jc w:val="left"/>
        <w:rPr>
          <w:rFonts w:ascii="宋体" w:hAnsi="宋体" w:cs="宋体"/>
          <w:b/>
          <w:bCs/>
          <w:kern w:val="0"/>
          <w:szCs w:val="21"/>
        </w:rPr>
      </w:pPr>
      <w:r>
        <w:rPr>
          <w:rFonts w:hint="eastAsia" w:ascii="宋体" w:hAnsi="宋体" w:cs="宋体"/>
          <w:b/>
          <w:bCs/>
          <w:kern w:val="0"/>
          <w:szCs w:val="21"/>
        </w:rPr>
        <w:t>27. 比较与评价</w:t>
      </w:r>
    </w:p>
    <w:p w14:paraId="5242C565">
      <w:pPr>
        <w:pStyle w:val="31"/>
        <w:snapToGrid w:val="0"/>
        <w:spacing w:before="0" w:beforeAutospacing="0" w:after="0" w:afterAutospacing="0" w:line="360" w:lineRule="auto"/>
        <w:ind w:firstLine="420" w:firstLineChars="200"/>
        <w:jc w:val="both"/>
        <w:rPr>
          <w:rFonts w:ascii="宋体" w:hAnsi="宋体" w:cs="宋体"/>
          <w:sz w:val="21"/>
          <w:szCs w:val="21"/>
        </w:rPr>
      </w:pPr>
      <w:r>
        <w:rPr>
          <w:rFonts w:hint="eastAsia" w:ascii="宋体" w:hAnsi="宋体" w:cs="宋体"/>
          <w:sz w:val="21"/>
          <w:szCs w:val="21"/>
        </w:rPr>
        <w:t>27.1 磋商小组将按本采购文件规定的评标方法与标准，对资格性检查和符合性检查合格的</w:t>
      </w:r>
      <w:r>
        <w:rPr>
          <w:rFonts w:hint="eastAsia" w:ascii="宋体" w:hAnsi="宋体" w:cs="宋体"/>
          <w:sz w:val="21"/>
          <w:szCs w:val="21"/>
          <w:shd w:val="clear" w:color="auto" w:fill="FFFFFF"/>
        </w:rPr>
        <w:t>响应文件</w:t>
      </w:r>
      <w:r>
        <w:rPr>
          <w:rFonts w:hint="eastAsia" w:ascii="宋体" w:hAnsi="宋体" w:cs="宋体"/>
          <w:sz w:val="21"/>
          <w:szCs w:val="21"/>
        </w:rPr>
        <w:t>进行商务和技术评估，综合比较与评价。</w:t>
      </w:r>
    </w:p>
    <w:p w14:paraId="463B14BC">
      <w:pPr>
        <w:pStyle w:val="31"/>
        <w:snapToGrid w:val="0"/>
        <w:spacing w:before="0" w:beforeAutospacing="0" w:after="0" w:afterAutospacing="0" w:line="360" w:lineRule="auto"/>
        <w:ind w:firstLine="420" w:firstLineChars="200"/>
        <w:jc w:val="both"/>
        <w:rPr>
          <w:rFonts w:ascii="宋体" w:hAnsi="宋体" w:cs="宋体"/>
          <w:sz w:val="21"/>
          <w:szCs w:val="21"/>
        </w:rPr>
      </w:pPr>
      <w:r>
        <w:rPr>
          <w:rFonts w:hint="eastAsia" w:ascii="宋体" w:hAnsi="宋体" w:cs="宋体"/>
          <w:sz w:val="21"/>
          <w:szCs w:val="21"/>
        </w:rPr>
        <w:t>27.2对漏（缺）报项的处理：采购文件中要求列入报价的费用（含配置、功能），漏（缺）报的视同已含在投标总价中。</w:t>
      </w:r>
    </w:p>
    <w:p w14:paraId="1E7760AA">
      <w:pPr>
        <w:pStyle w:val="31"/>
        <w:snapToGrid w:val="0"/>
        <w:spacing w:before="0" w:beforeAutospacing="0" w:after="0" w:afterAutospacing="0" w:line="360" w:lineRule="auto"/>
        <w:ind w:firstLine="420" w:firstLineChars="200"/>
        <w:jc w:val="both"/>
        <w:rPr>
          <w:rFonts w:ascii="宋体" w:hAnsi="宋体" w:cs="宋体"/>
          <w:b/>
          <w:bCs/>
          <w:sz w:val="21"/>
          <w:szCs w:val="21"/>
        </w:rPr>
      </w:pPr>
      <w:r>
        <w:rPr>
          <w:rFonts w:hint="eastAsia" w:ascii="宋体" w:hAnsi="宋体" w:cs="宋体"/>
          <w:sz w:val="21"/>
          <w:szCs w:val="21"/>
        </w:rPr>
        <w:t>27.3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投标处理。</w:t>
      </w:r>
    </w:p>
    <w:p w14:paraId="1BB02ACF">
      <w:pPr>
        <w:snapToGrid w:val="0"/>
        <w:spacing w:line="360" w:lineRule="auto"/>
        <w:ind w:firstLine="422" w:firstLineChars="200"/>
        <w:jc w:val="left"/>
        <w:rPr>
          <w:rFonts w:ascii="宋体" w:hAnsi="宋体" w:cs="宋体"/>
          <w:kern w:val="0"/>
          <w:szCs w:val="21"/>
        </w:rPr>
      </w:pPr>
      <w:r>
        <w:rPr>
          <w:rFonts w:hint="eastAsia" w:ascii="宋体" w:hAnsi="宋体" w:cs="宋体"/>
          <w:b/>
          <w:bCs/>
          <w:kern w:val="0"/>
          <w:szCs w:val="21"/>
        </w:rPr>
        <w:t>28. 评标过程及保密原则</w:t>
      </w:r>
    </w:p>
    <w:p w14:paraId="40502D99">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28.1 凡与本次采购有关人员对属于审查、澄清、评价和比较磋商的有关资料以及定标意向等，均不得向供应商或其他人员透露。否则,将按有关规定追究相关人员的责任。</w:t>
      </w:r>
    </w:p>
    <w:p w14:paraId="0F098F17">
      <w:pPr>
        <w:snapToGrid w:val="0"/>
        <w:spacing w:line="360" w:lineRule="auto"/>
        <w:ind w:firstLine="420" w:firstLineChars="200"/>
        <w:jc w:val="left"/>
        <w:rPr>
          <w:rFonts w:ascii="宋体" w:hAnsi="宋体" w:cs="宋体"/>
          <w:szCs w:val="21"/>
        </w:rPr>
      </w:pPr>
      <w:r>
        <w:rPr>
          <w:rFonts w:hint="eastAsia" w:ascii="宋体" w:hAnsi="宋体" w:cs="宋体"/>
          <w:kern w:val="0"/>
          <w:szCs w:val="21"/>
        </w:rPr>
        <w:t>28.2 在评标期间，供应商试图影响或干预评审的任何行为，将导致其磋商被作为无效磋商，并承担相应的法律责任。</w:t>
      </w:r>
    </w:p>
    <w:p w14:paraId="49D9378F">
      <w:pPr>
        <w:snapToGrid w:val="0"/>
        <w:spacing w:line="360" w:lineRule="auto"/>
        <w:ind w:firstLine="422" w:firstLineChars="200"/>
        <w:jc w:val="left"/>
        <w:rPr>
          <w:rFonts w:ascii="宋体" w:hAnsi="宋体" w:cs="宋体"/>
          <w:b/>
          <w:kern w:val="0"/>
          <w:szCs w:val="21"/>
        </w:rPr>
      </w:pPr>
      <w:r>
        <w:rPr>
          <w:rFonts w:hint="eastAsia" w:ascii="宋体" w:hAnsi="宋体" w:cs="宋体"/>
          <w:b/>
          <w:kern w:val="0"/>
          <w:szCs w:val="21"/>
        </w:rPr>
        <w:t>29.评标异议登记</w:t>
      </w:r>
    </w:p>
    <w:p w14:paraId="68DD49D5">
      <w:pPr>
        <w:snapToGrid w:val="0"/>
        <w:spacing w:line="360" w:lineRule="auto"/>
        <w:ind w:firstLine="420" w:firstLineChars="200"/>
        <w:jc w:val="left"/>
        <w:rPr>
          <w:rFonts w:ascii="宋体" w:hAnsi="宋体" w:cs="宋体"/>
          <w:kern w:val="0"/>
          <w:sz w:val="24"/>
        </w:rPr>
      </w:pPr>
      <w:r>
        <w:rPr>
          <w:rFonts w:hint="eastAsia" w:ascii="宋体" w:hAnsi="宋体" w:cs="宋体"/>
          <w:bCs/>
          <w:kern w:val="0"/>
          <w:szCs w:val="21"/>
        </w:rPr>
        <w:t>采购人</w:t>
      </w:r>
      <w:r>
        <w:rPr>
          <w:rFonts w:hint="eastAsia" w:ascii="宋体" w:hAnsi="宋体" w:cs="宋体"/>
          <w:kern w:val="0"/>
          <w:szCs w:val="21"/>
        </w:rPr>
        <w:t>工作人员对评审专家等相关人员在评审过程中发现、提出的异议进行逐项登记。</w:t>
      </w:r>
    </w:p>
    <w:p w14:paraId="1C01C5AF">
      <w:pPr>
        <w:snapToGrid w:val="0"/>
        <w:spacing w:line="360" w:lineRule="auto"/>
        <w:ind w:firstLine="562"/>
        <w:jc w:val="center"/>
        <w:outlineLvl w:val="1"/>
        <w:rPr>
          <w:rFonts w:ascii="宋体" w:hAnsi="宋体" w:cs="宋体"/>
          <w:b/>
          <w:bCs/>
          <w:kern w:val="0"/>
          <w:sz w:val="28"/>
          <w:szCs w:val="28"/>
        </w:rPr>
      </w:pPr>
      <w:r>
        <w:rPr>
          <w:rFonts w:hint="eastAsia" w:ascii="宋体" w:hAnsi="宋体" w:cs="宋体"/>
          <w:b/>
          <w:bCs/>
          <w:kern w:val="0"/>
          <w:sz w:val="28"/>
          <w:szCs w:val="28"/>
        </w:rPr>
        <w:t>六、定标</w:t>
      </w:r>
    </w:p>
    <w:p w14:paraId="13A83A73">
      <w:pPr>
        <w:snapToGrid w:val="0"/>
        <w:spacing w:line="360" w:lineRule="auto"/>
        <w:ind w:firstLine="422" w:firstLineChars="200"/>
        <w:rPr>
          <w:rFonts w:ascii="宋体" w:hAnsi="宋体" w:cs="宋体"/>
          <w:kern w:val="0"/>
          <w:szCs w:val="21"/>
        </w:rPr>
      </w:pPr>
      <w:r>
        <w:rPr>
          <w:rFonts w:hint="eastAsia" w:ascii="宋体" w:hAnsi="宋体" w:cs="宋体"/>
          <w:b/>
          <w:bCs/>
          <w:kern w:val="0"/>
          <w:szCs w:val="21"/>
        </w:rPr>
        <w:t>30. 定标原则</w:t>
      </w:r>
    </w:p>
    <w:p w14:paraId="0B32D5D3">
      <w:pPr>
        <w:snapToGrid w:val="0"/>
        <w:spacing w:line="360" w:lineRule="auto"/>
        <w:ind w:firstLine="420" w:firstLineChars="200"/>
        <w:jc w:val="left"/>
        <w:rPr>
          <w:rFonts w:ascii="宋体" w:hAnsi="宋体" w:cs="宋体"/>
          <w:bCs/>
          <w:kern w:val="0"/>
          <w:szCs w:val="21"/>
        </w:rPr>
      </w:pPr>
      <w:r>
        <w:rPr>
          <w:rFonts w:hint="eastAsia" w:ascii="宋体" w:hAnsi="宋体" w:cs="宋体"/>
          <w:bCs/>
          <w:kern w:val="0"/>
          <w:szCs w:val="21"/>
        </w:rPr>
        <w:t>30.1 最低投标价不作为成交的保证。</w:t>
      </w:r>
    </w:p>
    <w:p w14:paraId="0C4EFB5D">
      <w:pPr>
        <w:snapToGrid w:val="0"/>
        <w:spacing w:line="360" w:lineRule="auto"/>
        <w:ind w:firstLine="420" w:firstLineChars="200"/>
        <w:jc w:val="left"/>
        <w:rPr>
          <w:rFonts w:ascii="宋体" w:hAnsi="宋体" w:cs="宋体"/>
          <w:bCs/>
          <w:kern w:val="0"/>
          <w:szCs w:val="21"/>
        </w:rPr>
      </w:pPr>
      <w:r>
        <w:rPr>
          <w:rFonts w:hint="eastAsia" w:ascii="宋体" w:hAnsi="宋体" w:cs="宋体"/>
          <w:bCs/>
          <w:kern w:val="0"/>
          <w:szCs w:val="21"/>
        </w:rPr>
        <w:t>30.2 确定实质上响应采购文件且满足下列条件的为成交候选供应商（或成交供应商）</w:t>
      </w:r>
    </w:p>
    <w:p w14:paraId="6DF7C860">
      <w:pPr>
        <w:snapToGrid w:val="0"/>
        <w:spacing w:line="360" w:lineRule="auto"/>
        <w:ind w:firstLine="420" w:firstLineChars="200"/>
        <w:rPr>
          <w:rFonts w:ascii="宋体" w:hAnsi="宋体" w:cs="宋体"/>
          <w:szCs w:val="21"/>
        </w:rPr>
      </w:pPr>
      <w:bookmarkStart w:id="47" w:name="_Toc32200"/>
      <w:r>
        <w:rPr>
          <w:rFonts w:hint="eastAsia" w:ascii="宋体" w:hAnsi="宋体" w:cs="宋体"/>
          <w:bCs/>
          <w:kern w:val="0"/>
          <w:szCs w:val="21"/>
        </w:rPr>
        <w:t>30.2.1</w:t>
      </w:r>
      <w:bookmarkEnd w:id="47"/>
      <w:r>
        <w:rPr>
          <w:rFonts w:hint="eastAsia" w:ascii="宋体" w:hAnsi="宋体" w:cs="宋体"/>
          <w:bCs/>
          <w:kern w:val="0"/>
          <w:szCs w:val="21"/>
        </w:rPr>
        <w:t>本次评标采用</w:t>
      </w:r>
      <w:r>
        <w:rPr>
          <w:rFonts w:hint="eastAsia" w:ascii="宋体" w:hAnsi="宋体" w:cs="宋体"/>
          <w:szCs w:val="21"/>
        </w:rPr>
        <w:t>综合评分法，是指响应文件满足采购文件全部实质性要求，且按照评审因素的量化指标评审得分最高的供应商为成交供应商的评标方法。</w:t>
      </w:r>
    </w:p>
    <w:p w14:paraId="32684605">
      <w:pPr>
        <w:snapToGrid w:val="0"/>
        <w:spacing w:line="360" w:lineRule="auto"/>
        <w:ind w:firstLine="420" w:firstLineChars="200"/>
        <w:rPr>
          <w:rFonts w:ascii="宋体" w:hAnsi="宋体" w:cs="宋体"/>
          <w:szCs w:val="21"/>
        </w:rPr>
      </w:pPr>
      <w:r>
        <w:rPr>
          <w:rFonts w:hint="eastAsia" w:ascii="宋体" w:hAnsi="宋体" w:cs="宋体"/>
          <w:szCs w:val="21"/>
        </w:rPr>
        <w:t>采用综合评分法的，评标结果按评审后得分由高到低顺序排列。</w:t>
      </w:r>
      <w:r>
        <w:rPr>
          <w:rFonts w:hint="eastAsia" w:ascii="宋体" w:hAnsi="宋体" w:cs="宋体"/>
          <w:szCs w:val="21"/>
          <w:shd w:val="clear" w:color="auto" w:fill="FFFFFF"/>
        </w:rPr>
        <w:t>响应文件</w:t>
      </w:r>
      <w:r>
        <w:rPr>
          <w:rFonts w:hint="eastAsia" w:ascii="宋体" w:hAnsi="宋体" w:cs="宋体"/>
          <w:szCs w:val="21"/>
        </w:rPr>
        <w:t>满足采购文件全部实质性要求，且按照评审因素的量化指标评审得分最高的供应商为排名第一的成交供应商，以此类推。得分相同的，按磋商报价由低到高顺序排列。得分且磋商报价相同的，按技术部分得分顺序排列。得分与技术指标优劣均相同的，通过随机抽取产生。</w:t>
      </w:r>
    </w:p>
    <w:p w14:paraId="52DEE0EC">
      <w:pPr>
        <w:snapToGrid w:val="0"/>
        <w:spacing w:line="360" w:lineRule="auto"/>
        <w:ind w:firstLine="422" w:firstLineChars="200"/>
        <w:rPr>
          <w:rFonts w:ascii="宋体" w:hAnsi="宋体" w:cs="宋体"/>
          <w:kern w:val="0"/>
          <w:szCs w:val="21"/>
        </w:rPr>
      </w:pPr>
      <w:r>
        <w:rPr>
          <w:rFonts w:hint="eastAsia" w:ascii="宋体" w:hAnsi="宋体" w:cs="宋体"/>
          <w:b/>
          <w:bCs/>
          <w:kern w:val="0"/>
          <w:szCs w:val="21"/>
        </w:rPr>
        <w:t>31. 确定成交供应商和成交候选供应商</w:t>
      </w:r>
    </w:p>
    <w:p w14:paraId="103171CD">
      <w:pPr>
        <w:snapToGrid w:val="0"/>
        <w:spacing w:line="360" w:lineRule="auto"/>
        <w:ind w:firstLine="420" w:firstLineChars="200"/>
        <w:jc w:val="left"/>
        <w:rPr>
          <w:rFonts w:ascii="宋体" w:hAnsi="宋体" w:cs="宋体"/>
          <w:kern w:val="0"/>
          <w:szCs w:val="21"/>
        </w:rPr>
      </w:pPr>
      <w:r>
        <w:rPr>
          <w:rFonts w:hint="eastAsia" w:ascii="宋体" w:hAnsi="宋体" w:cs="宋体"/>
          <w:bCs/>
          <w:kern w:val="0"/>
          <w:szCs w:val="21"/>
        </w:rPr>
        <w:t>本项目由采购人授权磋商小组确定一名成交供应商并推荐一名成交候选供应商</w:t>
      </w:r>
      <w:r>
        <w:rPr>
          <w:rFonts w:hint="eastAsia" w:ascii="宋体" w:hAnsi="宋体" w:cs="宋体"/>
          <w:kern w:val="0"/>
          <w:szCs w:val="21"/>
        </w:rPr>
        <w:t>。</w:t>
      </w:r>
    </w:p>
    <w:p w14:paraId="03F25C5A">
      <w:pPr>
        <w:snapToGrid w:val="0"/>
        <w:spacing w:line="360" w:lineRule="auto"/>
        <w:ind w:firstLine="422" w:firstLineChars="200"/>
        <w:rPr>
          <w:rFonts w:ascii="宋体" w:hAnsi="宋体" w:cs="宋体"/>
          <w:b/>
          <w:bCs/>
          <w:kern w:val="0"/>
          <w:szCs w:val="21"/>
        </w:rPr>
      </w:pPr>
      <w:r>
        <w:rPr>
          <w:rFonts w:hint="eastAsia" w:ascii="宋体" w:hAnsi="宋体" w:cs="宋体"/>
          <w:b/>
          <w:bCs/>
          <w:kern w:val="0"/>
          <w:szCs w:val="21"/>
        </w:rPr>
        <w:t>32. 成交通知书及成交结果公告</w:t>
      </w:r>
    </w:p>
    <w:p w14:paraId="1C229D19">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32.1评审结束后，采购人将成交供应商的情况在本采购项目采购公告发布的同一媒介予以公示，公示期限3个工作日，公示期结束后向成交供应商发出成交通知书。</w:t>
      </w:r>
    </w:p>
    <w:p w14:paraId="6E78F332">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32.2成交供应商在规定的时间内不领取成交通知书的，视为成交后自动放弃成交资格；成交供应商在有效报价中报价最低,非不可抗力放弃成交资格的。发生上述情况的承担由此引起的一切后果。</w:t>
      </w:r>
    </w:p>
    <w:p w14:paraId="332A5727">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32.3成交通知书对采购人和成交供应商具有同等法律效力。成交通知书发出后，采购人改变成交结果，或者成交供应商放弃成交，应按相关法律、规章、规范性文件的要求承担相应的法律责任。</w:t>
      </w:r>
    </w:p>
    <w:p w14:paraId="068F2C0C">
      <w:pPr>
        <w:snapToGrid w:val="0"/>
        <w:spacing w:line="360" w:lineRule="auto"/>
        <w:ind w:firstLine="420" w:firstLineChars="200"/>
        <w:jc w:val="left"/>
        <w:rPr>
          <w:rFonts w:ascii="宋体" w:hAnsi="宋体" w:cs="宋体"/>
          <w:bCs/>
          <w:kern w:val="0"/>
          <w:szCs w:val="21"/>
        </w:rPr>
      </w:pPr>
      <w:r>
        <w:rPr>
          <w:rFonts w:hint="eastAsia" w:ascii="宋体" w:hAnsi="宋体" w:cs="宋体"/>
          <w:kern w:val="0"/>
          <w:szCs w:val="21"/>
        </w:rPr>
        <w:t>32</w:t>
      </w:r>
      <w:r>
        <w:rPr>
          <w:rFonts w:hint="eastAsia" w:ascii="宋体" w:hAnsi="宋体" w:cs="宋体"/>
          <w:bCs/>
          <w:kern w:val="0"/>
          <w:szCs w:val="21"/>
        </w:rPr>
        <w:t>.4成交通知书将作为签订合同的依据。合同签订后，成交通知书成为合同的一部分。</w:t>
      </w:r>
    </w:p>
    <w:p w14:paraId="6B275AED">
      <w:pPr>
        <w:snapToGrid w:val="0"/>
        <w:spacing w:line="360" w:lineRule="auto"/>
        <w:ind w:firstLine="422" w:firstLineChars="200"/>
        <w:rPr>
          <w:rFonts w:ascii="宋体" w:hAnsi="宋体" w:cs="宋体"/>
          <w:b/>
          <w:bCs/>
          <w:kern w:val="0"/>
          <w:szCs w:val="21"/>
        </w:rPr>
      </w:pPr>
      <w:r>
        <w:rPr>
          <w:rFonts w:hint="eastAsia" w:ascii="宋体" w:hAnsi="宋体" w:cs="宋体"/>
          <w:b/>
          <w:bCs/>
          <w:kern w:val="0"/>
          <w:szCs w:val="21"/>
        </w:rPr>
        <w:t>33. 采购人宣布废标的权利</w:t>
      </w:r>
    </w:p>
    <w:p w14:paraId="5EE88AD4">
      <w:pPr>
        <w:snapToGrid w:val="0"/>
        <w:spacing w:line="360" w:lineRule="auto"/>
        <w:ind w:firstLine="420" w:firstLineChars="200"/>
        <w:jc w:val="left"/>
        <w:rPr>
          <w:rFonts w:ascii="宋体" w:hAnsi="宋体" w:cs="宋体"/>
          <w:bCs/>
          <w:kern w:val="0"/>
          <w:szCs w:val="21"/>
        </w:rPr>
      </w:pPr>
      <w:r>
        <w:rPr>
          <w:rFonts w:hint="eastAsia" w:ascii="宋体" w:hAnsi="宋体" w:cs="宋体"/>
          <w:bCs/>
          <w:kern w:val="0"/>
          <w:szCs w:val="21"/>
        </w:rPr>
        <w:t>33.1出现下列情况之一时，采购人有权宣布废标，并将理由通知所有供应商：</w:t>
      </w:r>
    </w:p>
    <w:p w14:paraId="0D111630">
      <w:pPr>
        <w:snapToGrid w:val="0"/>
        <w:spacing w:line="360" w:lineRule="auto"/>
        <w:ind w:firstLine="420" w:firstLineChars="200"/>
        <w:jc w:val="left"/>
        <w:rPr>
          <w:rFonts w:ascii="宋体" w:hAnsi="宋体" w:cs="宋体"/>
          <w:bCs/>
          <w:kern w:val="0"/>
          <w:szCs w:val="21"/>
        </w:rPr>
      </w:pPr>
      <w:r>
        <w:rPr>
          <w:rFonts w:hint="eastAsia" w:ascii="宋体" w:hAnsi="宋体" w:cs="宋体"/>
          <w:bCs/>
          <w:kern w:val="0"/>
          <w:szCs w:val="21"/>
        </w:rPr>
        <w:t>33.1.1出现影响采购公正的违法、违规行为的。</w:t>
      </w:r>
    </w:p>
    <w:p w14:paraId="252F25B7">
      <w:pPr>
        <w:snapToGrid w:val="0"/>
        <w:spacing w:line="360" w:lineRule="auto"/>
        <w:ind w:firstLine="420" w:firstLineChars="200"/>
        <w:jc w:val="left"/>
        <w:rPr>
          <w:rFonts w:ascii="宋体" w:hAnsi="宋体" w:cs="宋体"/>
          <w:bCs/>
          <w:kern w:val="0"/>
          <w:szCs w:val="21"/>
        </w:rPr>
      </w:pPr>
      <w:r>
        <w:rPr>
          <w:rFonts w:hint="eastAsia" w:ascii="宋体" w:hAnsi="宋体" w:cs="宋体"/>
          <w:bCs/>
          <w:kern w:val="0"/>
          <w:szCs w:val="21"/>
        </w:rPr>
        <w:t>33.1.2供应商的报价均超过了采购预算金额，采购人不能支付的。</w:t>
      </w:r>
    </w:p>
    <w:p w14:paraId="40E14E1F">
      <w:pPr>
        <w:snapToGrid w:val="0"/>
        <w:spacing w:line="360" w:lineRule="auto"/>
        <w:ind w:firstLine="420" w:firstLineChars="200"/>
        <w:jc w:val="left"/>
        <w:rPr>
          <w:rFonts w:ascii="宋体" w:hAnsi="宋体" w:cs="宋体"/>
          <w:bCs/>
          <w:kern w:val="0"/>
          <w:szCs w:val="21"/>
        </w:rPr>
      </w:pPr>
      <w:r>
        <w:rPr>
          <w:rFonts w:hint="eastAsia" w:ascii="宋体" w:hAnsi="宋体" w:cs="宋体"/>
          <w:bCs/>
          <w:kern w:val="0"/>
          <w:szCs w:val="21"/>
        </w:rPr>
        <w:t>33.1.3因重大变故，采购任务取消的。</w:t>
      </w:r>
    </w:p>
    <w:p w14:paraId="7487DF05">
      <w:pPr>
        <w:snapToGrid w:val="0"/>
        <w:spacing w:line="360" w:lineRule="auto"/>
        <w:ind w:firstLine="420" w:firstLineChars="200"/>
        <w:rPr>
          <w:rFonts w:ascii="宋体" w:hAnsi="宋体" w:cs="宋体"/>
          <w:szCs w:val="21"/>
        </w:rPr>
      </w:pPr>
      <w:r>
        <w:rPr>
          <w:rFonts w:hint="eastAsia" w:ascii="宋体" w:hAnsi="宋体" w:cs="宋体"/>
          <w:bCs/>
          <w:kern w:val="0"/>
          <w:szCs w:val="21"/>
        </w:rPr>
        <w:t>33</w:t>
      </w:r>
      <w:r>
        <w:rPr>
          <w:rFonts w:hint="eastAsia" w:ascii="宋体" w:hAnsi="宋体" w:cs="宋体"/>
          <w:kern w:val="0"/>
          <w:szCs w:val="21"/>
        </w:rPr>
        <w:t xml:space="preserve">.2 </w:t>
      </w:r>
      <w:r>
        <w:rPr>
          <w:rFonts w:hint="eastAsia" w:ascii="宋体" w:hAnsi="宋体" w:cs="宋体"/>
          <w:szCs w:val="21"/>
        </w:rPr>
        <w:t>投标截止后供应商不足3家或通过资格性检查或符合性检查的供应商不足3家的，除采购任务取消情形外，按照以下方式处理：</w:t>
      </w:r>
    </w:p>
    <w:p w14:paraId="11A686B1">
      <w:pPr>
        <w:numPr>
          <w:ilvl w:val="0"/>
          <w:numId w:val="2"/>
        </w:numPr>
        <w:snapToGrid w:val="0"/>
        <w:spacing w:line="360" w:lineRule="auto"/>
        <w:ind w:firstLine="420" w:firstLineChars="200"/>
        <w:rPr>
          <w:rFonts w:ascii="宋体" w:hAnsi="宋体" w:cs="宋体"/>
          <w:szCs w:val="21"/>
        </w:rPr>
      </w:pPr>
      <w:r>
        <w:rPr>
          <w:rFonts w:hint="eastAsia" w:ascii="宋体" w:hAnsi="宋体" w:cs="宋体"/>
          <w:szCs w:val="21"/>
        </w:rPr>
        <w:t>采购文件存在不合理条款或者招标程序不符合规定的，采购人正后依法重新招标；　</w:t>
      </w:r>
    </w:p>
    <w:p w14:paraId="721145E7">
      <w:pPr>
        <w:snapToGrid w:val="0"/>
        <w:spacing w:line="360" w:lineRule="auto"/>
        <w:ind w:firstLine="420" w:firstLineChars="200"/>
        <w:rPr>
          <w:rFonts w:ascii="宋体" w:hAnsi="宋体" w:cs="宋体"/>
          <w:b/>
          <w:kern w:val="0"/>
          <w:sz w:val="52"/>
          <w:szCs w:val="52"/>
        </w:rPr>
      </w:pPr>
      <w:r>
        <w:rPr>
          <w:rFonts w:hint="eastAsia" w:ascii="宋体" w:hAnsi="宋体" w:cs="宋体"/>
          <w:szCs w:val="21"/>
        </w:rPr>
        <w:t>（2）采购文件没有不合理条款、招标程序符合规定，需要采用其他采购方式采购的，采购人应当依法报财政部门批准。</w:t>
      </w:r>
    </w:p>
    <w:p w14:paraId="4A2F8A0B">
      <w:pPr>
        <w:snapToGrid w:val="0"/>
        <w:spacing w:line="360" w:lineRule="auto"/>
        <w:ind w:firstLine="562"/>
        <w:jc w:val="center"/>
        <w:outlineLvl w:val="1"/>
        <w:rPr>
          <w:rFonts w:ascii="宋体" w:hAnsi="宋体" w:cs="宋体"/>
          <w:b/>
          <w:bCs/>
          <w:kern w:val="0"/>
          <w:sz w:val="28"/>
          <w:szCs w:val="28"/>
        </w:rPr>
      </w:pPr>
      <w:r>
        <w:rPr>
          <w:rFonts w:hint="eastAsia" w:ascii="宋体" w:hAnsi="宋体" w:cs="宋体"/>
          <w:b/>
          <w:bCs/>
          <w:kern w:val="0"/>
          <w:sz w:val="28"/>
          <w:szCs w:val="28"/>
        </w:rPr>
        <w:t>七、合同授予</w:t>
      </w:r>
    </w:p>
    <w:p w14:paraId="0E8DCA21">
      <w:pPr>
        <w:snapToGrid w:val="0"/>
        <w:spacing w:line="360" w:lineRule="auto"/>
        <w:ind w:firstLine="472" w:firstLineChars="224"/>
        <w:rPr>
          <w:rFonts w:ascii="宋体" w:hAnsi="宋体" w:cs="宋体"/>
          <w:kern w:val="0"/>
          <w:szCs w:val="21"/>
        </w:rPr>
      </w:pPr>
      <w:r>
        <w:rPr>
          <w:rFonts w:hint="eastAsia" w:ascii="宋体" w:hAnsi="宋体" w:cs="宋体"/>
          <w:b/>
          <w:bCs/>
          <w:kern w:val="0"/>
          <w:szCs w:val="21"/>
        </w:rPr>
        <w:t>34.合同签订</w:t>
      </w:r>
    </w:p>
    <w:p w14:paraId="0AB42A5F">
      <w:pPr>
        <w:snapToGrid w:val="0"/>
        <w:spacing w:line="360" w:lineRule="auto"/>
        <w:ind w:firstLine="420" w:firstLineChars="200"/>
        <w:jc w:val="left"/>
        <w:rPr>
          <w:rFonts w:ascii="宋体" w:hAnsi="宋体" w:cs="宋体"/>
          <w:kern w:val="0"/>
          <w:szCs w:val="21"/>
          <w:u w:val="single"/>
        </w:rPr>
      </w:pPr>
      <w:bookmarkStart w:id="48" w:name="_Toc8594"/>
      <w:r>
        <w:rPr>
          <w:rFonts w:hint="eastAsia" w:ascii="宋体" w:hAnsi="宋体" w:cs="宋体"/>
          <w:kern w:val="0"/>
          <w:szCs w:val="21"/>
        </w:rPr>
        <w:t>34.1 采购人、成交供应商自成交通知书发出之日起，在采购文件第三章《供应商须知前附表》规定的时间内，根据采购文件确定的事项和成交供应商</w:t>
      </w:r>
      <w:r>
        <w:rPr>
          <w:rFonts w:hint="eastAsia" w:ascii="宋体" w:hAnsi="宋体" w:cs="宋体"/>
          <w:szCs w:val="21"/>
          <w:shd w:val="clear" w:color="auto" w:fill="FFFFFF"/>
        </w:rPr>
        <w:t>响应文件</w:t>
      </w:r>
      <w:r>
        <w:rPr>
          <w:rFonts w:hint="eastAsia" w:ascii="宋体" w:hAnsi="宋体" w:cs="宋体"/>
          <w:kern w:val="0"/>
          <w:szCs w:val="21"/>
        </w:rPr>
        <w:t>签订合同。双方所签订的合同不得对采购文件和成交供应商</w:t>
      </w:r>
      <w:r>
        <w:rPr>
          <w:rFonts w:hint="eastAsia" w:ascii="宋体" w:hAnsi="宋体" w:cs="宋体"/>
          <w:szCs w:val="21"/>
          <w:shd w:val="clear" w:color="auto" w:fill="FFFFFF"/>
        </w:rPr>
        <w:t>响应文件</w:t>
      </w:r>
      <w:r>
        <w:rPr>
          <w:rFonts w:hint="eastAsia" w:ascii="宋体" w:hAnsi="宋体" w:cs="宋体"/>
          <w:kern w:val="0"/>
          <w:szCs w:val="21"/>
        </w:rPr>
        <w:t>作实质性修改。</w:t>
      </w:r>
    </w:p>
    <w:p w14:paraId="160D66E5">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34.2 采购文件、采购文件的修改文件、成交供应商的</w:t>
      </w:r>
      <w:r>
        <w:rPr>
          <w:rFonts w:hint="eastAsia" w:ascii="宋体" w:hAnsi="宋体" w:cs="宋体"/>
          <w:szCs w:val="21"/>
          <w:shd w:val="clear" w:color="auto" w:fill="FFFFFF"/>
        </w:rPr>
        <w:t>响应文件</w:t>
      </w:r>
      <w:r>
        <w:rPr>
          <w:rFonts w:hint="eastAsia" w:ascii="宋体" w:hAnsi="宋体" w:cs="宋体"/>
          <w:kern w:val="0"/>
          <w:szCs w:val="21"/>
        </w:rPr>
        <w:t>、补充或修改的文件及澄清或承诺文件等，均为双方签订合同的组成部分，并与合同一并作为本采购文件所列采购项目的互补性法律文件，与合同具有同等法律效力。</w:t>
      </w:r>
    </w:p>
    <w:p w14:paraId="091B26A6">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34.3 成交供应商放弃成交、因不可抗力不能履行合同、不按照采购文件要求提交履约保证金，或者被查实存在影响成交结果的违法行为等情形，不符合成交条件的，采购人可以按照磋商小组提出的成交候选供应商名单排序依次确定其他成交候选供应商为成交供应商，也可以重新招标。</w:t>
      </w:r>
    </w:p>
    <w:bookmarkEnd w:id="48"/>
    <w:p w14:paraId="409DA0BE">
      <w:pPr>
        <w:ind w:firstLine="422"/>
        <w:rPr>
          <w:rFonts w:ascii="宋体" w:hAnsi="宋体" w:cs="宋体"/>
        </w:rPr>
      </w:pPr>
      <w:r>
        <w:rPr>
          <w:rFonts w:hint="eastAsia" w:ascii="宋体" w:hAnsi="宋体" w:cs="宋体"/>
        </w:rPr>
        <w:br w:type="page"/>
      </w:r>
    </w:p>
    <w:p w14:paraId="55209D06">
      <w:pPr>
        <w:widowControl/>
        <w:snapToGrid w:val="0"/>
        <w:ind w:firstLine="643"/>
        <w:jc w:val="center"/>
        <w:outlineLvl w:val="0"/>
        <w:rPr>
          <w:rFonts w:ascii="宋体" w:hAnsi="宋体" w:cs="宋体"/>
          <w:kern w:val="0"/>
          <w:sz w:val="24"/>
        </w:rPr>
      </w:pPr>
      <w:bookmarkStart w:id="49" w:name="_Toc31399"/>
      <w:r>
        <w:rPr>
          <w:rFonts w:hint="eastAsia" w:ascii="宋体" w:hAnsi="宋体" w:cs="宋体"/>
          <w:b/>
          <w:bCs/>
          <w:kern w:val="0"/>
          <w:sz w:val="32"/>
          <w:szCs w:val="32"/>
        </w:rPr>
        <w:t>第四章  评标办法及评分标准</w:t>
      </w:r>
      <w:bookmarkEnd w:id="45"/>
      <w:bookmarkEnd w:id="49"/>
    </w:p>
    <w:p w14:paraId="25E9C10E">
      <w:pPr>
        <w:ind w:firstLine="422"/>
        <w:rPr>
          <w:rFonts w:ascii="宋体" w:hAnsi="宋体" w:cs="宋体"/>
        </w:rPr>
      </w:pPr>
    </w:p>
    <w:p w14:paraId="2BA1C1AB">
      <w:pPr>
        <w:tabs>
          <w:tab w:val="left" w:pos="1620"/>
        </w:tabs>
        <w:snapToGrid w:val="0"/>
        <w:spacing w:line="360" w:lineRule="auto"/>
        <w:ind w:firstLine="422"/>
        <w:rPr>
          <w:rFonts w:ascii="宋体" w:hAnsi="宋体" w:cs="宋体"/>
          <w:szCs w:val="21"/>
        </w:rPr>
      </w:pPr>
    </w:p>
    <w:p w14:paraId="188B6E1D">
      <w:pPr>
        <w:tabs>
          <w:tab w:val="left" w:pos="1620"/>
        </w:tabs>
        <w:snapToGrid w:val="0"/>
        <w:spacing w:line="360" w:lineRule="auto"/>
        <w:ind w:firstLine="422"/>
        <w:rPr>
          <w:rFonts w:ascii="宋体" w:hAnsi="宋体" w:cs="宋体"/>
          <w:szCs w:val="21"/>
        </w:rPr>
      </w:pPr>
      <w:r>
        <w:rPr>
          <w:rFonts w:hint="eastAsia" w:ascii="宋体" w:hAnsi="宋体" w:cs="宋体"/>
          <w:szCs w:val="21"/>
        </w:rPr>
        <w:t>（一）评标原则</w:t>
      </w:r>
    </w:p>
    <w:p w14:paraId="6244B9B8">
      <w:pPr>
        <w:tabs>
          <w:tab w:val="left" w:pos="1620"/>
        </w:tabs>
        <w:snapToGrid w:val="0"/>
        <w:spacing w:line="360" w:lineRule="auto"/>
        <w:ind w:firstLine="462" w:firstLineChars="220"/>
        <w:rPr>
          <w:rFonts w:ascii="宋体" w:hAnsi="宋体" w:cs="宋体"/>
          <w:szCs w:val="21"/>
        </w:rPr>
      </w:pPr>
      <w:r>
        <w:rPr>
          <w:rFonts w:hint="eastAsia" w:ascii="宋体" w:hAnsi="宋体" w:cs="宋体"/>
          <w:szCs w:val="21"/>
        </w:rPr>
        <w:t>按照“公平、公正”的原则对待所有供应商，按照采购文件的相关规定进行评标、定标。</w:t>
      </w:r>
    </w:p>
    <w:p w14:paraId="057AB958">
      <w:pPr>
        <w:tabs>
          <w:tab w:val="left" w:pos="1620"/>
        </w:tabs>
        <w:snapToGrid w:val="0"/>
        <w:spacing w:line="360" w:lineRule="auto"/>
        <w:ind w:firstLine="422"/>
        <w:rPr>
          <w:rFonts w:ascii="宋体" w:hAnsi="宋体" w:cs="宋体"/>
          <w:szCs w:val="21"/>
        </w:rPr>
      </w:pPr>
      <w:r>
        <w:rPr>
          <w:rFonts w:hint="eastAsia" w:ascii="宋体" w:hAnsi="宋体" w:cs="宋体"/>
          <w:szCs w:val="21"/>
        </w:rPr>
        <w:t>（二）评标办法</w:t>
      </w:r>
    </w:p>
    <w:p w14:paraId="6A0BDC42">
      <w:pPr>
        <w:tabs>
          <w:tab w:val="left" w:pos="1620"/>
        </w:tabs>
        <w:snapToGrid w:val="0"/>
        <w:spacing w:line="360" w:lineRule="auto"/>
        <w:ind w:firstLine="462" w:firstLineChars="220"/>
        <w:rPr>
          <w:rFonts w:ascii="宋体" w:hAnsi="宋体" w:cs="宋体"/>
          <w:szCs w:val="21"/>
        </w:rPr>
      </w:pPr>
      <w:r>
        <w:rPr>
          <w:rFonts w:hint="eastAsia" w:ascii="宋体" w:hAnsi="宋体" w:cs="宋体"/>
          <w:szCs w:val="21"/>
        </w:rPr>
        <w:t>1．本项目采用综合评分法，总分为100分。</w:t>
      </w:r>
    </w:p>
    <w:p w14:paraId="04D79023">
      <w:pPr>
        <w:tabs>
          <w:tab w:val="left" w:pos="1620"/>
        </w:tabs>
        <w:snapToGrid w:val="0"/>
        <w:spacing w:line="360" w:lineRule="auto"/>
        <w:ind w:firstLine="462" w:firstLineChars="220"/>
        <w:rPr>
          <w:rFonts w:ascii="宋体" w:hAnsi="宋体" w:cs="宋体"/>
          <w:szCs w:val="21"/>
        </w:rPr>
      </w:pPr>
      <w:r>
        <w:rPr>
          <w:rFonts w:hint="eastAsia" w:ascii="宋体" w:hAnsi="宋体" w:cs="宋体"/>
          <w:szCs w:val="21"/>
        </w:rPr>
        <w:t>2．磋商小组按照采购文件中规定的评标方法和标准，对</w:t>
      </w:r>
      <w:r>
        <w:rPr>
          <w:rFonts w:hint="eastAsia" w:ascii="宋体" w:hAnsi="宋体" w:cs="宋体"/>
          <w:kern w:val="0"/>
          <w:szCs w:val="21"/>
        </w:rPr>
        <w:t>响应</w:t>
      </w:r>
      <w:r>
        <w:rPr>
          <w:rFonts w:hint="eastAsia" w:ascii="宋体" w:hAnsi="宋体" w:cs="宋体"/>
          <w:szCs w:val="21"/>
        </w:rPr>
        <w:t>文件进行综合比较与评价。</w:t>
      </w:r>
    </w:p>
    <w:p w14:paraId="708DA970">
      <w:pPr>
        <w:tabs>
          <w:tab w:val="left" w:pos="1620"/>
        </w:tabs>
        <w:snapToGrid w:val="0"/>
        <w:spacing w:line="360" w:lineRule="auto"/>
        <w:ind w:firstLine="462" w:firstLineChars="220"/>
        <w:rPr>
          <w:rFonts w:ascii="宋体" w:hAnsi="宋体" w:cs="宋体"/>
          <w:szCs w:val="21"/>
        </w:rPr>
      </w:pPr>
      <w:r>
        <w:rPr>
          <w:rFonts w:hint="eastAsia" w:ascii="宋体" w:hAnsi="宋体" w:cs="宋体"/>
          <w:szCs w:val="21"/>
        </w:rPr>
        <w:t>3.评标结果按评审后得分由高到低顺序排列，得分相同的，按投标报价由低到高顺序排列。得分且投标报价相同的，按技术部分得分顺序排列。</w:t>
      </w:r>
    </w:p>
    <w:p w14:paraId="492D9FCE">
      <w:pPr>
        <w:tabs>
          <w:tab w:val="left" w:pos="1620"/>
        </w:tabs>
        <w:snapToGrid w:val="0"/>
        <w:spacing w:line="360" w:lineRule="auto"/>
        <w:ind w:firstLine="462" w:firstLineChars="220"/>
        <w:rPr>
          <w:rFonts w:ascii="宋体" w:hAnsi="宋体" w:cs="宋体"/>
          <w:szCs w:val="21"/>
        </w:rPr>
      </w:pPr>
      <w:r>
        <w:rPr>
          <w:rFonts w:hint="eastAsia" w:ascii="宋体" w:hAnsi="宋体" w:cs="宋体"/>
          <w:szCs w:val="21"/>
        </w:rPr>
        <w:t>4.</w:t>
      </w:r>
      <w:r>
        <w:rPr>
          <w:rFonts w:hint="eastAsia" w:ascii="宋体" w:hAnsi="宋体" w:cs="宋体"/>
          <w:kern w:val="0"/>
          <w:szCs w:val="21"/>
        </w:rPr>
        <w:t>响应</w:t>
      </w:r>
      <w:r>
        <w:rPr>
          <w:rFonts w:hint="eastAsia" w:ascii="宋体" w:hAnsi="宋体" w:cs="宋体"/>
          <w:szCs w:val="21"/>
        </w:rPr>
        <w:t>文件满足采购文件全部实质性要求，且评审得分最高的供应商为成交供应商。</w:t>
      </w:r>
    </w:p>
    <w:p w14:paraId="28C62929">
      <w:pPr>
        <w:tabs>
          <w:tab w:val="left" w:pos="1620"/>
        </w:tabs>
        <w:snapToGrid w:val="0"/>
        <w:spacing w:line="360" w:lineRule="auto"/>
        <w:ind w:firstLine="422"/>
        <w:rPr>
          <w:rFonts w:ascii="宋体" w:hAnsi="宋体" w:cs="宋体"/>
          <w:szCs w:val="21"/>
        </w:rPr>
      </w:pPr>
      <w:r>
        <w:rPr>
          <w:rFonts w:hint="eastAsia" w:ascii="宋体" w:hAnsi="宋体" w:cs="宋体"/>
          <w:szCs w:val="21"/>
        </w:rPr>
        <w:t>（三）评标程序</w:t>
      </w:r>
    </w:p>
    <w:p w14:paraId="468D4C62">
      <w:pPr>
        <w:snapToGrid w:val="0"/>
        <w:spacing w:line="360" w:lineRule="auto"/>
        <w:ind w:firstLine="420" w:firstLineChars="200"/>
        <w:rPr>
          <w:rFonts w:ascii="宋体" w:hAnsi="宋体" w:cs="宋体"/>
          <w:szCs w:val="21"/>
        </w:rPr>
      </w:pPr>
      <w:r>
        <w:rPr>
          <w:rFonts w:hint="eastAsia" w:ascii="宋体" w:hAnsi="宋体" w:cs="宋体"/>
          <w:szCs w:val="21"/>
        </w:rPr>
        <w:t>详细评审（100分）</w:t>
      </w:r>
    </w:p>
    <w:p w14:paraId="4CCDFDFF">
      <w:pPr>
        <w:bidi w:val="0"/>
        <w:jc w:val="center"/>
        <w:rPr>
          <w:b/>
          <w:bCs/>
        </w:rPr>
      </w:pPr>
      <w:r>
        <w:rPr>
          <w:rFonts w:hint="eastAsia"/>
          <w:b/>
          <w:bCs/>
        </w:rPr>
        <w:t>包1：全自动化学发光免疫分析仪</w:t>
      </w:r>
    </w:p>
    <w:tbl>
      <w:tblPr>
        <w:tblStyle w:val="34"/>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1AB0E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9482" w:type="dxa"/>
            <w:gridSpan w:val="3"/>
            <w:noWrap/>
            <w:vAlign w:val="center"/>
          </w:tcPr>
          <w:p w14:paraId="4FFC08D8">
            <w:pPr>
              <w:tabs>
                <w:tab w:val="left" w:pos="3000"/>
              </w:tabs>
              <w:snapToGrid w:val="0"/>
              <w:jc w:val="center"/>
              <w:rPr>
                <w:rFonts w:ascii="宋体" w:hAnsi="宋体" w:cs="宋体"/>
                <w:szCs w:val="21"/>
              </w:rPr>
            </w:pPr>
            <w:r>
              <w:rPr>
                <w:rFonts w:hint="eastAsia" w:ascii="宋体" w:hAnsi="宋体" w:cs="宋体"/>
                <w:szCs w:val="21"/>
              </w:rPr>
              <w:t>评审内容</w:t>
            </w:r>
          </w:p>
        </w:tc>
      </w:tr>
      <w:tr w14:paraId="3D1BE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jc w:val="center"/>
        </w:trPr>
        <w:tc>
          <w:tcPr>
            <w:tcW w:w="1239" w:type="dxa"/>
            <w:noWrap/>
            <w:vAlign w:val="center"/>
          </w:tcPr>
          <w:p w14:paraId="2AC4F612">
            <w:pPr>
              <w:snapToGrid w:val="0"/>
              <w:spacing w:line="320" w:lineRule="exact"/>
              <w:jc w:val="left"/>
              <w:rPr>
                <w:rFonts w:ascii="宋体" w:hAnsi="宋体" w:cs="宋体"/>
                <w:szCs w:val="21"/>
              </w:rPr>
            </w:pPr>
            <w:r>
              <w:rPr>
                <w:rFonts w:hint="eastAsia" w:ascii="宋体" w:hAnsi="宋体" w:cs="宋体"/>
                <w:szCs w:val="21"/>
              </w:rPr>
              <w:t>价格标部分 (30分)</w:t>
            </w:r>
          </w:p>
        </w:tc>
        <w:tc>
          <w:tcPr>
            <w:tcW w:w="8243" w:type="dxa"/>
            <w:gridSpan w:val="2"/>
            <w:noWrap/>
            <w:vAlign w:val="center"/>
          </w:tcPr>
          <w:p w14:paraId="779562FA">
            <w:pPr>
              <w:pStyle w:val="5"/>
              <w:snapToGrid w:val="0"/>
              <w:spacing w:line="360" w:lineRule="exact"/>
              <w:jc w:val="both"/>
              <w:rPr>
                <w:rFonts w:hAnsi="宋体"/>
                <w:color w:val="auto"/>
                <w:sz w:val="21"/>
                <w:szCs w:val="21"/>
              </w:rPr>
            </w:pPr>
            <w:r>
              <w:rPr>
                <w:rFonts w:hint="eastAsia" w:hAnsi="宋体"/>
                <w:color w:val="auto"/>
                <w:sz w:val="21"/>
                <w:szCs w:val="21"/>
              </w:rPr>
              <w:t>说明：当磋商小组发现供应商的磋商报价明显低于其他通过符合性审查的磋商报价，或投标（响应）报价低于采购项目最高限价45%的，即投标（响应）报价&lt;采购项目最高限价×45%，有可能影响产品质量或者不能诚信履约，磋商小组可要求相关供应商在评审现场合理的时间内对投标（响应）价格作出解释，提供项目具体成本测算等与报价合理性相关的书面说明及必要的证明材料。供应商不能合理说明或提供证明材料的，磋商小组应按无效磋商处理，并在评审报告中记录审查相关情况。</w:t>
            </w:r>
          </w:p>
          <w:p w14:paraId="457EE27A">
            <w:pPr>
              <w:pStyle w:val="5"/>
              <w:snapToGrid w:val="0"/>
              <w:spacing w:line="360" w:lineRule="exact"/>
              <w:jc w:val="both"/>
              <w:rPr>
                <w:rFonts w:hAnsi="宋体"/>
                <w:color w:val="auto"/>
                <w:sz w:val="21"/>
                <w:szCs w:val="21"/>
              </w:rPr>
            </w:pPr>
            <w:r>
              <w:rPr>
                <w:rFonts w:hint="eastAsia" w:hAnsi="宋体"/>
                <w:color w:val="auto"/>
                <w:sz w:val="21"/>
                <w:szCs w:val="21"/>
              </w:rPr>
              <w:t>有效磋商报价：磋商报价不高于采购预算价的为有效磋商报价。</w:t>
            </w:r>
          </w:p>
          <w:p w14:paraId="0D31A46E">
            <w:pPr>
              <w:pStyle w:val="5"/>
              <w:snapToGrid w:val="0"/>
              <w:spacing w:line="360" w:lineRule="exact"/>
              <w:jc w:val="both"/>
              <w:rPr>
                <w:rFonts w:hAnsi="宋体"/>
                <w:color w:val="auto"/>
                <w:sz w:val="21"/>
                <w:szCs w:val="21"/>
              </w:rPr>
            </w:pPr>
            <w:r>
              <w:rPr>
                <w:rFonts w:hint="eastAsia" w:hAnsi="宋体"/>
                <w:color w:val="auto"/>
                <w:sz w:val="21"/>
                <w:szCs w:val="21"/>
              </w:rPr>
              <w:t>评标基准值的确定：满足采购文件要求且磋商价格最低的有效磋商报价为评标基准价。</w:t>
            </w:r>
          </w:p>
          <w:p w14:paraId="3A45AE5D">
            <w:pPr>
              <w:snapToGrid w:val="0"/>
              <w:spacing w:line="360" w:lineRule="exact"/>
              <w:rPr>
                <w:rFonts w:ascii="宋体" w:hAnsi="宋体" w:cs="宋体"/>
              </w:rPr>
            </w:pPr>
            <w:r>
              <w:rPr>
                <w:rFonts w:hint="eastAsia" w:ascii="宋体" w:hAnsi="宋体" w:cs="宋体"/>
                <w:szCs w:val="21"/>
              </w:rPr>
              <w:t>磋商报价得分=（评标基准价/有效磋商报价）×30分</w:t>
            </w:r>
          </w:p>
        </w:tc>
      </w:tr>
      <w:tr w14:paraId="2CA85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jc w:val="center"/>
        </w:trPr>
        <w:tc>
          <w:tcPr>
            <w:tcW w:w="1239" w:type="dxa"/>
            <w:vMerge w:val="restart"/>
            <w:noWrap/>
            <w:vAlign w:val="center"/>
          </w:tcPr>
          <w:p w14:paraId="7AB67D71">
            <w:pPr>
              <w:snapToGrid w:val="0"/>
              <w:spacing w:line="320" w:lineRule="exact"/>
              <w:jc w:val="center"/>
              <w:rPr>
                <w:rFonts w:ascii="宋体" w:hAnsi="宋体" w:cs="宋体"/>
                <w:szCs w:val="21"/>
              </w:rPr>
            </w:pPr>
            <w:r>
              <w:rPr>
                <w:rFonts w:hint="eastAsia" w:ascii="宋体" w:hAnsi="宋体" w:cs="宋体"/>
                <w:szCs w:val="21"/>
              </w:rPr>
              <w:t>技术部分（41分）</w:t>
            </w:r>
          </w:p>
        </w:tc>
        <w:tc>
          <w:tcPr>
            <w:tcW w:w="1473" w:type="dxa"/>
            <w:noWrap/>
            <w:vAlign w:val="center"/>
          </w:tcPr>
          <w:p w14:paraId="118FC8B6">
            <w:pPr>
              <w:snapToGrid w:val="0"/>
              <w:spacing w:line="360" w:lineRule="exact"/>
              <w:jc w:val="center"/>
              <w:rPr>
                <w:rFonts w:ascii="宋体" w:hAnsi="宋体" w:cs="宋体"/>
                <w:color w:val="000000" w:themeColor="text1"/>
                <w:szCs w:val="21"/>
              </w:rPr>
            </w:pPr>
            <w:r>
              <w:rPr>
                <w:rFonts w:hint="eastAsia" w:ascii="宋体" w:hAnsi="宋体" w:cs="宋体"/>
                <w:color w:val="000000" w:themeColor="text1"/>
                <w:szCs w:val="21"/>
              </w:rPr>
              <w:t>1.产品技术参数（30分）</w:t>
            </w:r>
          </w:p>
        </w:tc>
        <w:tc>
          <w:tcPr>
            <w:tcW w:w="6770" w:type="dxa"/>
            <w:noWrap/>
            <w:vAlign w:val="center"/>
          </w:tcPr>
          <w:p w14:paraId="2D65E205">
            <w:pPr>
              <w:widowControl/>
              <w:snapToGrid w:val="0"/>
              <w:spacing w:line="360" w:lineRule="exact"/>
              <w:rPr>
                <w:rFonts w:ascii="宋体" w:hAnsi="宋体" w:cs="宋体"/>
                <w:szCs w:val="21"/>
              </w:rPr>
            </w:pPr>
            <w:r>
              <w:rPr>
                <w:rFonts w:hint="eastAsia" w:ascii="宋体" w:hAnsi="宋体" w:cs="宋体"/>
                <w:color w:val="000000" w:themeColor="text1"/>
                <w:szCs w:val="21"/>
              </w:rPr>
              <w:t>供应商对“第二章 采购需求 三、技术参数”的响应，所投产品技术参数全部满足磋商文件要求得30分，</w:t>
            </w:r>
            <w:r>
              <w:rPr>
                <w:rFonts w:hint="eastAsia" w:ascii="宋体" w:hAnsi="宋体" w:cs="宋体"/>
                <w:szCs w:val="21"/>
              </w:rPr>
              <w:t xml:space="preserve">有一项不满足的扣3分，扣完为止；如得分为0，则磋商无效。 </w:t>
            </w:r>
          </w:p>
          <w:p w14:paraId="31491677">
            <w:pPr>
              <w:widowControl/>
              <w:snapToGrid w:val="0"/>
              <w:spacing w:line="360" w:lineRule="exact"/>
              <w:rPr>
                <w:rFonts w:ascii="宋体" w:hAnsi="宋体" w:cs="宋体"/>
                <w:color w:val="000000" w:themeColor="text1"/>
                <w:szCs w:val="21"/>
              </w:rPr>
            </w:pPr>
            <w:r>
              <w:rPr>
                <w:rFonts w:hint="eastAsia" w:ascii="宋体" w:hAnsi="宋体" w:cs="宋体"/>
                <w:color w:val="000000" w:themeColor="text1"/>
                <w:szCs w:val="21"/>
              </w:rPr>
              <w:t>1）供应商需如实填写技术偏离表，并标注偏离情况。</w:t>
            </w:r>
          </w:p>
          <w:p w14:paraId="28B9363B">
            <w:pPr>
              <w:widowControl/>
              <w:snapToGrid w:val="0"/>
              <w:spacing w:line="360" w:lineRule="exact"/>
              <w:rPr>
                <w:rFonts w:ascii="宋体" w:hAnsi="宋体" w:cs="宋体"/>
                <w:b/>
                <w:bCs/>
                <w:szCs w:val="21"/>
              </w:rPr>
            </w:pPr>
            <w:r>
              <w:rPr>
                <w:rFonts w:hint="eastAsia" w:ascii="宋体" w:hAnsi="宋体" w:cs="宋体"/>
                <w:b/>
                <w:bCs/>
                <w:szCs w:val="21"/>
              </w:rPr>
              <w:t>2）供应商所投设备及配套试剂需提供医疗器械注册证【含附件：产品技术要求（如有）】，如未按要求提供，则投标无效。</w:t>
            </w:r>
          </w:p>
          <w:p w14:paraId="7503B248">
            <w:pPr>
              <w:widowControl/>
              <w:snapToGrid w:val="0"/>
              <w:spacing w:line="360" w:lineRule="exact"/>
              <w:rPr>
                <w:rFonts w:ascii="宋体" w:hAnsi="宋体" w:cs="宋体"/>
                <w:color w:val="000000" w:themeColor="text1"/>
                <w:szCs w:val="21"/>
              </w:rPr>
            </w:pPr>
            <w:r>
              <w:rPr>
                <w:rFonts w:hint="eastAsia" w:ascii="宋体" w:hAnsi="宋体" w:cs="宋体"/>
                <w:szCs w:val="21"/>
              </w:rPr>
              <w:t>3）</w:t>
            </w:r>
            <w:r>
              <w:rPr>
                <w:rFonts w:hint="eastAsia" w:ascii="宋体" w:hAnsi="宋体" w:cs="宋体"/>
                <w:color w:val="000000" w:themeColor="text1"/>
                <w:szCs w:val="21"/>
              </w:rPr>
              <w:t>提供产品注册检验报告、响应技术参数条款的技术白皮书和彩页等相关文件，并对响应技术参数部分做出明显标注。未提供对应证明材料的，视为不满足该项参数要求，做扣分处理。</w:t>
            </w:r>
          </w:p>
        </w:tc>
      </w:tr>
      <w:tr w14:paraId="433C4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jc w:val="center"/>
        </w:trPr>
        <w:tc>
          <w:tcPr>
            <w:tcW w:w="1239" w:type="dxa"/>
            <w:vMerge w:val="continue"/>
            <w:noWrap/>
            <w:vAlign w:val="center"/>
          </w:tcPr>
          <w:p w14:paraId="5A9A0B62">
            <w:pPr>
              <w:snapToGrid w:val="0"/>
              <w:spacing w:line="320" w:lineRule="exact"/>
              <w:jc w:val="center"/>
              <w:rPr>
                <w:rFonts w:ascii="宋体" w:hAnsi="宋体" w:cs="宋体"/>
                <w:szCs w:val="21"/>
              </w:rPr>
            </w:pPr>
          </w:p>
        </w:tc>
        <w:tc>
          <w:tcPr>
            <w:tcW w:w="1473" w:type="dxa"/>
            <w:noWrap/>
            <w:vAlign w:val="center"/>
          </w:tcPr>
          <w:p w14:paraId="22DE3C1F">
            <w:pPr>
              <w:widowControl/>
              <w:snapToGrid w:val="0"/>
              <w:spacing w:line="360" w:lineRule="exact"/>
              <w:rPr>
                <w:rFonts w:ascii="宋体" w:hAnsi="宋体" w:cs="宋体"/>
                <w:szCs w:val="21"/>
              </w:rPr>
            </w:pPr>
            <w:r>
              <w:rPr>
                <w:rFonts w:hint="eastAsia" w:ascii="宋体" w:hAnsi="宋体" w:cs="宋体"/>
                <w:kern w:val="0"/>
                <w:szCs w:val="21"/>
              </w:rPr>
              <w:t>2.产品综合评议</w:t>
            </w:r>
            <w:r>
              <w:rPr>
                <w:rFonts w:hint="eastAsia" w:ascii="宋体" w:hAnsi="宋体" w:cs="宋体"/>
                <w:szCs w:val="21"/>
              </w:rPr>
              <w:t>（5分）</w:t>
            </w:r>
          </w:p>
        </w:tc>
        <w:tc>
          <w:tcPr>
            <w:tcW w:w="6770" w:type="dxa"/>
            <w:noWrap/>
            <w:vAlign w:val="center"/>
          </w:tcPr>
          <w:p w14:paraId="661B032C">
            <w:pPr>
              <w:widowControl/>
              <w:snapToGrid w:val="0"/>
              <w:spacing w:line="360" w:lineRule="exact"/>
              <w:rPr>
                <w:rFonts w:ascii="宋体" w:hAnsi="宋体" w:cs="宋体"/>
                <w:szCs w:val="21"/>
              </w:rPr>
            </w:pPr>
            <w:r>
              <w:rPr>
                <w:rFonts w:hint="eastAsia" w:ascii="宋体" w:hAnsi="宋体" w:cs="宋体"/>
                <w:color w:val="000000" w:themeColor="text1"/>
                <w:szCs w:val="21"/>
              </w:rPr>
              <w:t>根据供应商所投产品整体性能量化指标进行评价，产品技术指标能够最大程度满足采购需求，且技术先进、操作安全、运行稳定等产品整体性能优异的得5分；整体性能一般的得3分；整体性能较差的得1分。</w:t>
            </w:r>
          </w:p>
        </w:tc>
      </w:tr>
      <w:tr w14:paraId="22150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239" w:type="dxa"/>
            <w:vMerge w:val="continue"/>
            <w:noWrap/>
            <w:vAlign w:val="center"/>
          </w:tcPr>
          <w:p w14:paraId="30445976">
            <w:pPr>
              <w:snapToGrid w:val="0"/>
              <w:spacing w:line="320" w:lineRule="exact"/>
              <w:jc w:val="center"/>
              <w:rPr>
                <w:rFonts w:ascii="宋体" w:hAnsi="宋体" w:cs="宋体"/>
                <w:szCs w:val="21"/>
              </w:rPr>
            </w:pPr>
          </w:p>
        </w:tc>
        <w:tc>
          <w:tcPr>
            <w:tcW w:w="1473" w:type="dxa"/>
            <w:vMerge w:val="restart"/>
            <w:noWrap/>
            <w:vAlign w:val="center"/>
          </w:tcPr>
          <w:p w14:paraId="4E48EE36">
            <w:pPr>
              <w:widowControl/>
              <w:snapToGrid w:val="0"/>
              <w:spacing w:line="360" w:lineRule="exact"/>
              <w:jc w:val="center"/>
              <w:rPr>
                <w:rFonts w:ascii="宋体" w:hAnsi="宋体" w:cs="宋体"/>
                <w:szCs w:val="21"/>
              </w:rPr>
            </w:pPr>
            <w:r>
              <w:rPr>
                <w:rFonts w:hint="eastAsia" w:ascii="宋体" w:hAnsi="宋体" w:cs="宋体"/>
                <w:kern w:val="0"/>
                <w:szCs w:val="21"/>
              </w:rPr>
              <w:t>3.实施方案（6分）</w:t>
            </w:r>
          </w:p>
        </w:tc>
        <w:tc>
          <w:tcPr>
            <w:tcW w:w="6770" w:type="dxa"/>
            <w:noWrap/>
            <w:vAlign w:val="center"/>
          </w:tcPr>
          <w:p w14:paraId="7AF31BDA">
            <w:pPr>
              <w:widowControl/>
              <w:snapToGrid w:val="0"/>
              <w:spacing w:line="360" w:lineRule="exact"/>
              <w:rPr>
                <w:rFonts w:ascii="宋体" w:hAnsi="宋体" w:cs="宋体"/>
                <w:szCs w:val="21"/>
              </w:rPr>
            </w:pPr>
            <w:r>
              <w:rPr>
                <w:rFonts w:hint="eastAsia" w:ascii="宋体" w:hAnsi="宋体" w:cs="宋体"/>
                <w:szCs w:val="21"/>
              </w:rPr>
              <w:t>供应商提供的供货、安装、调试措施包括：①供货时间安排及保障措施；②人员配备及职责分工；③安装、调试服务方案及保障措施。</w:t>
            </w:r>
          </w:p>
          <w:p w14:paraId="6795828A">
            <w:pPr>
              <w:widowControl/>
              <w:snapToGrid w:val="0"/>
              <w:spacing w:line="360" w:lineRule="exact"/>
              <w:rPr>
                <w:rFonts w:ascii="宋体" w:hAnsi="宋体" w:cs="宋体"/>
                <w:szCs w:val="21"/>
              </w:rPr>
            </w:pPr>
            <w:r>
              <w:rPr>
                <w:rFonts w:hint="eastAsia" w:ascii="宋体" w:hAnsi="宋体" w:cs="宋体"/>
                <w:szCs w:val="21"/>
              </w:rPr>
              <w:t>措施具体详实、人员及工具配备合理、完全满足采购需求的得3分；有较具体的措施，基本满足采购需求的得2分；措施不完备，不能满足采购需求的得1分；缺项得0分。</w:t>
            </w:r>
          </w:p>
        </w:tc>
      </w:tr>
      <w:tr w14:paraId="4AFE8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ign w:val="center"/>
          </w:tcPr>
          <w:p w14:paraId="39FE2554">
            <w:pPr>
              <w:snapToGrid w:val="0"/>
              <w:spacing w:line="320" w:lineRule="exact"/>
              <w:jc w:val="center"/>
              <w:rPr>
                <w:rFonts w:ascii="宋体" w:hAnsi="宋体" w:cs="宋体"/>
                <w:szCs w:val="21"/>
              </w:rPr>
            </w:pPr>
          </w:p>
        </w:tc>
        <w:tc>
          <w:tcPr>
            <w:tcW w:w="1473" w:type="dxa"/>
            <w:vMerge w:val="continue"/>
            <w:noWrap/>
            <w:vAlign w:val="center"/>
          </w:tcPr>
          <w:p w14:paraId="74E7D6D2">
            <w:pPr>
              <w:widowControl/>
              <w:snapToGrid w:val="0"/>
              <w:spacing w:line="360" w:lineRule="exact"/>
              <w:rPr>
                <w:rFonts w:ascii="宋体" w:hAnsi="宋体" w:cs="宋体"/>
                <w:kern w:val="0"/>
                <w:szCs w:val="21"/>
              </w:rPr>
            </w:pPr>
          </w:p>
        </w:tc>
        <w:tc>
          <w:tcPr>
            <w:tcW w:w="6770" w:type="dxa"/>
            <w:noWrap/>
            <w:vAlign w:val="center"/>
          </w:tcPr>
          <w:p w14:paraId="46D85AC8">
            <w:pPr>
              <w:widowControl/>
              <w:snapToGrid w:val="0"/>
              <w:spacing w:line="360" w:lineRule="exact"/>
              <w:rPr>
                <w:rFonts w:ascii="宋体" w:hAnsi="宋体" w:cs="宋体"/>
                <w:szCs w:val="21"/>
              </w:rPr>
            </w:pPr>
            <w:r>
              <w:rPr>
                <w:rFonts w:hint="eastAsia" w:ascii="宋体" w:hAnsi="宋体" w:cs="宋体"/>
                <w:szCs w:val="21"/>
              </w:rPr>
              <w:t>根据供应商针对突发情况提供应急服务方案及保障措施进行打分，包含（但不限于）以下内容：应急响应流程及响应时间、应急保障措施（人员配备、备品备件等）。</w:t>
            </w:r>
          </w:p>
          <w:p w14:paraId="62C074DF">
            <w:pPr>
              <w:widowControl/>
              <w:snapToGrid w:val="0"/>
              <w:spacing w:line="360" w:lineRule="exact"/>
              <w:rPr>
                <w:rFonts w:ascii="宋体" w:hAnsi="宋体" w:cs="宋体"/>
                <w:szCs w:val="21"/>
              </w:rPr>
            </w:pPr>
            <w:r>
              <w:rPr>
                <w:rFonts w:hint="eastAsia" w:ascii="宋体" w:hAnsi="宋体" w:cs="宋体"/>
                <w:szCs w:val="21"/>
              </w:rPr>
              <w:t>应急响应时间极快、应急保障充分的得3分；应急响应时间快、应急保障较充分的得2分；应急响应时间时间长、应急保障不充分的得1分；缺项得0分。</w:t>
            </w:r>
          </w:p>
        </w:tc>
      </w:tr>
      <w:tr w14:paraId="5865A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jc w:val="center"/>
        </w:trPr>
        <w:tc>
          <w:tcPr>
            <w:tcW w:w="1239" w:type="dxa"/>
            <w:vMerge w:val="restart"/>
            <w:noWrap/>
            <w:vAlign w:val="center"/>
          </w:tcPr>
          <w:p w14:paraId="6F4CB44A">
            <w:pPr>
              <w:snapToGrid w:val="0"/>
              <w:spacing w:line="320" w:lineRule="exact"/>
              <w:jc w:val="center"/>
              <w:rPr>
                <w:rFonts w:ascii="宋体" w:hAnsi="宋体" w:cs="宋体"/>
                <w:szCs w:val="21"/>
              </w:rPr>
            </w:pPr>
            <w:r>
              <w:rPr>
                <w:rFonts w:hint="eastAsia" w:ascii="宋体" w:hAnsi="宋体" w:cs="宋体"/>
                <w:szCs w:val="21"/>
              </w:rPr>
              <w:t>商务评价</w:t>
            </w:r>
          </w:p>
          <w:p w14:paraId="093BD857">
            <w:pPr>
              <w:snapToGrid w:val="0"/>
              <w:spacing w:line="320" w:lineRule="exact"/>
              <w:jc w:val="center"/>
              <w:rPr>
                <w:rFonts w:ascii="宋体" w:hAnsi="宋体" w:cs="宋体"/>
                <w:szCs w:val="21"/>
              </w:rPr>
            </w:pPr>
            <w:r>
              <w:rPr>
                <w:rFonts w:hint="eastAsia" w:ascii="宋体" w:hAnsi="宋体" w:cs="宋体"/>
                <w:szCs w:val="21"/>
              </w:rPr>
              <w:t>(29分)</w:t>
            </w:r>
          </w:p>
        </w:tc>
        <w:tc>
          <w:tcPr>
            <w:tcW w:w="1473" w:type="dxa"/>
            <w:tcBorders>
              <w:top w:val="single" w:color="auto" w:sz="4" w:space="0"/>
            </w:tcBorders>
            <w:noWrap/>
            <w:vAlign w:val="center"/>
          </w:tcPr>
          <w:p w14:paraId="007B41EB">
            <w:pPr>
              <w:snapToGrid w:val="0"/>
              <w:spacing w:line="360" w:lineRule="exact"/>
              <w:jc w:val="center"/>
              <w:rPr>
                <w:rFonts w:ascii="宋体" w:hAnsi="宋体" w:cs="宋体"/>
                <w:szCs w:val="21"/>
              </w:rPr>
            </w:pPr>
            <w:r>
              <w:rPr>
                <w:rFonts w:hint="eastAsia" w:ascii="宋体" w:hAnsi="宋体" w:cs="宋体"/>
                <w:szCs w:val="21"/>
              </w:rPr>
              <w:t>1.试剂（7分）</w:t>
            </w:r>
          </w:p>
        </w:tc>
        <w:tc>
          <w:tcPr>
            <w:tcW w:w="6770" w:type="dxa"/>
            <w:noWrap/>
            <w:vAlign w:val="center"/>
          </w:tcPr>
          <w:p w14:paraId="3588CE72">
            <w:pPr>
              <w:widowControl/>
              <w:snapToGrid w:val="0"/>
              <w:spacing w:line="360" w:lineRule="exact"/>
              <w:rPr>
                <w:rFonts w:ascii="宋体" w:hAnsi="宋体" w:cs="宋体"/>
                <w:szCs w:val="21"/>
              </w:rPr>
            </w:pPr>
            <w:r>
              <w:rPr>
                <w:rFonts w:hint="eastAsia" w:ascii="宋体" w:hAnsi="宋体" w:cs="宋体"/>
                <w:szCs w:val="21"/>
              </w:rPr>
              <w:t xml:space="preserve">根据供应商对试剂的报价进行评分： </w:t>
            </w:r>
          </w:p>
          <w:p w14:paraId="50BB4661">
            <w:pPr>
              <w:widowControl/>
              <w:snapToGrid w:val="0"/>
              <w:spacing w:line="360" w:lineRule="exact"/>
              <w:rPr>
                <w:rFonts w:eastAsia="黑体"/>
              </w:rPr>
            </w:pPr>
            <w:r>
              <w:rPr>
                <w:rFonts w:hint="eastAsia" w:ascii="宋体" w:hAnsi="宋体" w:cs="宋体"/>
                <w:szCs w:val="21"/>
              </w:rPr>
              <w:t>试剂单价最低、完全符合项目需求的得7分；</w:t>
            </w:r>
          </w:p>
          <w:p w14:paraId="5EBA9D55">
            <w:pPr>
              <w:widowControl/>
              <w:snapToGrid w:val="0"/>
              <w:spacing w:line="360" w:lineRule="exact"/>
              <w:rPr>
                <w:rFonts w:ascii="宋体" w:hAnsi="宋体" w:cs="宋体"/>
                <w:szCs w:val="21"/>
              </w:rPr>
            </w:pPr>
            <w:r>
              <w:rPr>
                <w:rFonts w:hint="eastAsia" w:ascii="宋体" w:hAnsi="宋体" w:cs="宋体"/>
                <w:szCs w:val="21"/>
              </w:rPr>
              <w:t>试剂单价在最低与最高价之间、完全符合项目需求的得3分；</w:t>
            </w:r>
          </w:p>
          <w:p w14:paraId="7ACC5C5A">
            <w:pPr>
              <w:widowControl/>
              <w:snapToGrid w:val="0"/>
              <w:spacing w:line="360" w:lineRule="exact"/>
              <w:rPr>
                <w:rFonts w:ascii="宋体" w:hAnsi="宋体" w:cs="宋体"/>
                <w:szCs w:val="21"/>
              </w:rPr>
            </w:pPr>
            <w:r>
              <w:rPr>
                <w:rFonts w:hint="eastAsia" w:ascii="宋体" w:hAnsi="宋体" w:cs="宋体"/>
                <w:szCs w:val="21"/>
              </w:rPr>
              <w:t>试剂单价最高、完全符合项目需求的得1分。</w:t>
            </w:r>
          </w:p>
          <w:p w14:paraId="63C1728B">
            <w:pPr>
              <w:widowControl/>
              <w:snapToGrid w:val="0"/>
              <w:spacing w:line="360" w:lineRule="exact"/>
              <w:rPr>
                <w:rFonts w:ascii="宋体" w:hAnsi="宋体" w:cs="宋体"/>
                <w:szCs w:val="21"/>
              </w:rPr>
            </w:pPr>
            <w:r>
              <w:rPr>
                <w:rFonts w:hint="eastAsia" w:ascii="宋体" w:hAnsi="宋体" w:cs="宋体"/>
                <w:szCs w:val="21"/>
              </w:rPr>
              <w:t>注：未进行试剂报价、试剂不符合采购需求的不得分。</w:t>
            </w:r>
          </w:p>
        </w:tc>
      </w:tr>
      <w:tr w14:paraId="243D6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239" w:type="dxa"/>
            <w:vMerge w:val="continue"/>
            <w:noWrap/>
            <w:vAlign w:val="center"/>
          </w:tcPr>
          <w:p w14:paraId="3BADE322">
            <w:pPr>
              <w:snapToGrid w:val="0"/>
              <w:spacing w:line="320" w:lineRule="exact"/>
              <w:jc w:val="center"/>
              <w:rPr>
                <w:rFonts w:ascii="宋体" w:hAnsi="宋体" w:cs="宋体"/>
                <w:szCs w:val="21"/>
              </w:rPr>
            </w:pPr>
          </w:p>
        </w:tc>
        <w:tc>
          <w:tcPr>
            <w:tcW w:w="1473" w:type="dxa"/>
            <w:tcBorders>
              <w:top w:val="single" w:color="auto" w:sz="4" w:space="0"/>
            </w:tcBorders>
            <w:noWrap/>
            <w:vAlign w:val="center"/>
          </w:tcPr>
          <w:p w14:paraId="16DB4FDB">
            <w:pPr>
              <w:snapToGrid w:val="0"/>
              <w:spacing w:line="360" w:lineRule="exact"/>
              <w:jc w:val="center"/>
              <w:rPr>
                <w:rFonts w:ascii="宋体" w:hAnsi="宋体" w:cs="宋体"/>
                <w:szCs w:val="21"/>
              </w:rPr>
            </w:pPr>
            <w:r>
              <w:rPr>
                <w:rFonts w:hint="eastAsia" w:ascii="宋体" w:hAnsi="宋体" w:cs="宋体"/>
                <w:szCs w:val="21"/>
              </w:rPr>
              <w:t>2.质保期</w:t>
            </w:r>
          </w:p>
          <w:p w14:paraId="6942F50E">
            <w:pPr>
              <w:snapToGrid w:val="0"/>
              <w:spacing w:line="360" w:lineRule="exact"/>
              <w:jc w:val="center"/>
              <w:rPr>
                <w:rFonts w:ascii="宋体" w:hAnsi="宋体" w:cs="宋体"/>
                <w:szCs w:val="21"/>
              </w:rPr>
            </w:pPr>
            <w:r>
              <w:rPr>
                <w:rFonts w:hint="eastAsia" w:ascii="宋体" w:hAnsi="宋体" w:cs="宋体"/>
                <w:szCs w:val="21"/>
              </w:rPr>
              <w:t>（10分）</w:t>
            </w:r>
          </w:p>
        </w:tc>
        <w:tc>
          <w:tcPr>
            <w:tcW w:w="6770" w:type="dxa"/>
            <w:noWrap/>
          </w:tcPr>
          <w:p w14:paraId="145CA606">
            <w:pPr>
              <w:widowControl/>
              <w:snapToGrid w:val="0"/>
              <w:spacing w:line="360" w:lineRule="exact"/>
              <w:rPr>
                <w:rFonts w:ascii="宋体" w:hAnsi="宋体" w:cs="宋体"/>
                <w:szCs w:val="21"/>
              </w:rPr>
            </w:pPr>
            <w:r>
              <w:rPr>
                <w:rFonts w:hint="eastAsia" w:ascii="宋体" w:hAnsi="宋体" w:cs="宋体"/>
                <w:szCs w:val="21"/>
              </w:rPr>
              <w:t>质保期在满足磋商文件的基础上，每增加一年加2分,最多加10分（出具相关服务承诺书）。</w:t>
            </w:r>
          </w:p>
        </w:tc>
      </w:tr>
      <w:tr w14:paraId="5CEDA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1239" w:type="dxa"/>
            <w:vMerge w:val="continue"/>
            <w:noWrap/>
            <w:vAlign w:val="center"/>
          </w:tcPr>
          <w:p w14:paraId="26F6BE57">
            <w:pPr>
              <w:snapToGrid w:val="0"/>
              <w:spacing w:line="320" w:lineRule="exact"/>
              <w:jc w:val="center"/>
              <w:rPr>
                <w:rFonts w:ascii="宋体" w:hAnsi="宋体" w:cs="宋体"/>
                <w:szCs w:val="21"/>
              </w:rPr>
            </w:pPr>
          </w:p>
        </w:tc>
        <w:tc>
          <w:tcPr>
            <w:tcW w:w="1473" w:type="dxa"/>
            <w:tcBorders>
              <w:top w:val="single" w:color="auto" w:sz="4" w:space="0"/>
            </w:tcBorders>
            <w:noWrap/>
            <w:vAlign w:val="center"/>
          </w:tcPr>
          <w:p w14:paraId="07936833">
            <w:pPr>
              <w:snapToGrid w:val="0"/>
              <w:spacing w:line="360" w:lineRule="exact"/>
              <w:jc w:val="center"/>
              <w:rPr>
                <w:rFonts w:ascii="宋体" w:hAnsi="宋体" w:cs="宋体"/>
                <w:szCs w:val="21"/>
              </w:rPr>
            </w:pPr>
            <w:r>
              <w:rPr>
                <w:rFonts w:hint="eastAsia" w:ascii="宋体" w:hAnsi="宋体" w:cs="宋体"/>
                <w:szCs w:val="21"/>
              </w:rPr>
              <w:t>3.类似业绩（6分）</w:t>
            </w:r>
          </w:p>
        </w:tc>
        <w:tc>
          <w:tcPr>
            <w:tcW w:w="6770" w:type="dxa"/>
            <w:noWrap/>
            <w:vAlign w:val="center"/>
          </w:tcPr>
          <w:p w14:paraId="41C678A8">
            <w:pPr>
              <w:snapToGrid w:val="0"/>
              <w:spacing w:line="360" w:lineRule="exact"/>
              <w:rPr>
                <w:rFonts w:ascii="宋体" w:hAnsi="宋体" w:cs="宋体"/>
                <w:szCs w:val="21"/>
              </w:rPr>
            </w:pPr>
            <w:r>
              <w:rPr>
                <w:rFonts w:hint="eastAsia" w:ascii="宋体" w:hAnsi="宋体" w:cs="宋体"/>
                <w:szCs w:val="21"/>
              </w:rPr>
              <w:t>自2022年01月01日以来具有的类似项目(以合同文件为准），每提供一份得2分，最多得6分。</w:t>
            </w:r>
          </w:p>
          <w:p w14:paraId="18BA3EA1">
            <w:pPr>
              <w:snapToGrid w:val="0"/>
              <w:spacing w:line="360" w:lineRule="exact"/>
              <w:rPr>
                <w:rFonts w:ascii="宋体" w:hAnsi="宋体" w:cs="宋体"/>
                <w:szCs w:val="21"/>
              </w:rPr>
            </w:pPr>
            <w:r>
              <w:rPr>
                <w:rFonts w:hint="eastAsia" w:ascii="宋体" w:hAnsi="宋体" w:cs="宋体"/>
                <w:szCs w:val="21"/>
              </w:rPr>
              <w:t>注：提供合同证明文件，未提供不得分。</w:t>
            </w:r>
          </w:p>
        </w:tc>
      </w:tr>
      <w:tr w14:paraId="759A5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239" w:type="dxa"/>
            <w:vMerge w:val="continue"/>
            <w:noWrap/>
            <w:vAlign w:val="center"/>
          </w:tcPr>
          <w:p w14:paraId="38C1597E">
            <w:pPr>
              <w:snapToGrid w:val="0"/>
              <w:spacing w:line="320" w:lineRule="exact"/>
              <w:jc w:val="center"/>
              <w:rPr>
                <w:rFonts w:ascii="宋体" w:hAnsi="宋体" w:cs="宋体"/>
                <w:szCs w:val="21"/>
              </w:rPr>
            </w:pPr>
          </w:p>
        </w:tc>
        <w:tc>
          <w:tcPr>
            <w:tcW w:w="1473" w:type="dxa"/>
            <w:noWrap/>
            <w:vAlign w:val="center"/>
          </w:tcPr>
          <w:p w14:paraId="339D4BE4">
            <w:pPr>
              <w:snapToGrid w:val="0"/>
              <w:spacing w:line="360" w:lineRule="exact"/>
              <w:jc w:val="center"/>
              <w:rPr>
                <w:rFonts w:ascii="宋体" w:hAnsi="宋体" w:cs="宋体"/>
                <w:szCs w:val="21"/>
              </w:rPr>
            </w:pPr>
            <w:r>
              <w:rPr>
                <w:rFonts w:hint="eastAsia" w:ascii="宋体" w:hAnsi="宋体" w:cs="宋体"/>
                <w:szCs w:val="21"/>
              </w:rPr>
              <w:t>4.售后服务（6分）</w:t>
            </w:r>
          </w:p>
        </w:tc>
        <w:tc>
          <w:tcPr>
            <w:tcW w:w="6770" w:type="dxa"/>
            <w:noWrap/>
            <w:vAlign w:val="center"/>
          </w:tcPr>
          <w:p w14:paraId="45014A18">
            <w:pPr>
              <w:snapToGrid w:val="0"/>
              <w:spacing w:line="360" w:lineRule="exact"/>
              <w:rPr>
                <w:rFonts w:ascii="宋体" w:hAnsi="宋体" w:cs="宋体"/>
                <w:szCs w:val="21"/>
              </w:rPr>
            </w:pPr>
            <w:r>
              <w:rPr>
                <w:rFonts w:hint="eastAsia" w:ascii="宋体" w:hAnsi="宋体" w:cs="宋体"/>
                <w:szCs w:val="21"/>
              </w:rPr>
              <w:t>根据供应商提供的售后服务及培训方案进行评分，包括但不限于：</w:t>
            </w:r>
            <w:r>
              <w:rPr>
                <w:rFonts w:ascii="宋体" w:hAnsi="宋体" w:cs="宋体"/>
                <w:szCs w:val="21"/>
              </w:rPr>
              <w:t>①服务站点设立，售后服务团队及其联系方式、技术水平</w:t>
            </w:r>
            <w:r>
              <w:rPr>
                <w:rFonts w:hint="eastAsia" w:ascii="宋体" w:hAnsi="宋体" w:cs="宋体"/>
                <w:szCs w:val="21"/>
              </w:rPr>
              <w:t>能力</w:t>
            </w:r>
            <w:r>
              <w:rPr>
                <w:rFonts w:ascii="宋体" w:hAnsi="宋体" w:cs="宋体"/>
                <w:szCs w:val="21"/>
              </w:rPr>
              <w:t>及职责分工</w:t>
            </w:r>
            <w:r>
              <w:rPr>
                <w:rFonts w:hint="eastAsia" w:ascii="宋体" w:hAnsi="宋体" w:cs="宋体"/>
                <w:szCs w:val="21"/>
              </w:rPr>
              <w:t>；</w:t>
            </w:r>
            <w:r>
              <w:rPr>
                <w:rFonts w:ascii="宋体" w:hAnsi="宋体" w:cs="宋体"/>
                <w:szCs w:val="21"/>
              </w:rPr>
              <w:t>②</w:t>
            </w:r>
            <w:r>
              <w:rPr>
                <w:rFonts w:hint="eastAsia" w:ascii="宋体" w:hAnsi="宋体" w:cs="宋体"/>
                <w:szCs w:val="21"/>
              </w:rPr>
              <w:t>日常设备维保方案；</w:t>
            </w:r>
            <w:r>
              <w:rPr>
                <w:rFonts w:ascii="宋体" w:hAnsi="宋体" w:cs="宋体"/>
                <w:szCs w:val="21"/>
              </w:rPr>
              <w:t>③</w:t>
            </w:r>
            <w:r>
              <w:rPr>
                <w:rFonts w:hint="eastAsia" w:ascii="宋体" w:hAnsi="宋体" w:cs="宋体"/>
                <w:szCs w:val="21"/>
              </w:rPr>
              <w:t>故障响应时间；④应急维修措施预案；⑤培训方案。</w:t>
            </w:r>
          </w:p>
          <w:p w14:paraId="328D48C4">
            <w:pPr>
              <w:snapToGrid w:val="0"/>
              <w:spacing w:line="360" w:lineRule="exact"/>
              <w:rPr>
                <w:rFonts w:ascii="宋体" w:hAnsi="宋体" w:cs="宋体"/>
                <w:szCs w:val="21"/>
              </w:rPr>
            </w:pPr>
            <w:r>
              <w:rPr>
                <w:rFonts w:hint="eastAsia" w:ascii="宋体" w:hAnsi="宋体" w:cs="宋体"/>
                <w:szCs w:val="21"/>
              </w:rPr>
              <w:t>服务承诺符合本项目特点，措施详尽、人员专业性强、故障响应时间极快、日常维保方案及应急维修措施预案合理且可行，有具体的培训方案，得6分。</w:t>
            </w:r>
          </w:p>
          <w:p w14:paraId="707C1AAF">
            <w:pPr>
              <w:snapToGrid w:val="0"/>
              <w:spacing w:line="360" w:lineRule="exact"/>
              <w:rPr>
                <w:rFonts w:ascii="宋体" w:hAnsi="宋体" w:cs="宋体"/>
                <w:szCs w:val="21"/>
              </w:rPr>
            </w:pPr>
            <w:r>
              <w:rPr>
                <w:rFonts w:hint="eastAsia" w:ascii="宋体" w:hAnsi="宋体" w:cs="宋体"/>
                <w:szCs w:val="21"/>
              </w:rPr>
              <w:t>服务承诺符合本项目特点，人员专业性较强、故障响应时间快、日常维保方案及应急维修措施预案较合理，有较具体的培训方案的得3分；</w:t>
            </w:r>
          </w:p>
          <w:p w14:paraId="143475F8">
            <w:pPr>
              <w:snapToGrid w:val="0"/>
              <w:spacing w:line="360" w:lineRule="exact"/>
              <w:rPr>
                <w:rFonts w:ascii="宋体" w:hAnsi="宋体" w:cs="宋体"/>
                <w:szCs w:val="21"/>
              </w:rPr>
            </w:pPr>
            <w:r>
              <w:rPr>
                <w:rFonts w:hint="eastAsia" w:ascii="宋体" w:hAnsi="宋体" w:cs="宋体"/>
                <w:szCs w:val="21"/>
              </w:rPr>
              <w:t>服务承诺符合本项目特点，故障响应时间较长、应急维修措施预案不完备，培训方案不完备的得1分；</w:t>
            </w:r>
          </w:p>
          <w:p w14:paraId="3B583204">
            <w:pPr>
              <w:snapToGrid w:val="0"/>
              <w:spacing w:line="360" w:lineRule="exact"/>
              <w:rPr>
                <w:rFonts w:ascii="宋体" w:hAnsi="宋体" w:cs="宋体"/>
                <w:szCs w:val="21"/>
              </w:rPr>
            </w:pPr>
            <w:r>
              <w:rPr>
                <w:rFonts w:hint="eastAsia" w:ascii="宋体" w:hAnsi="宋体" w:cs="宋体"/>
                <w:szCs w:val="21"/>
              </w:rPr>
              <w:t>缺项得0分。</w:t>
            </w:r>
          </w:p>
        </w:tc>
      </w:tr>
      <w:tr w14:paraId="771A1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tcPr>
          <w:p w14:paraId="6ABE0387">
            <w:pPr>
              <w:snapToGrid w:val="0"/>
              <w:spacing w:line="320" w:lineRule="exact"/>
              <w:jc w:val="center"/>
              <w:rPr>
                <w:rFonts w:ascii="宋体" w:hAnsi="宋体" w:cs="宋体"/>
                <w:szCs w:val="21"/>
              </w:rPr>
            </w:pPr>
            <w:r>
              <w:rPr>
                <w:rFonts w:hint="eastAsia" w:ascii="宋体" w:hAnsi="宋体" w:cs="宋体"/>
                <w:szCs w:val="21"/>
              </w:rPr>
              <w:t>得分的计算</w:t>
            </w:r>
          </w:p>
        </w:tc>
        <w:tc>
          <w:tcPr>
            <w:tcW w:w="8243" w:type="dxa"/>
            <w:gridSpan w:val="2"/>
            <w:noWrap/>
            <w:vAlign w:val="center"/>
          </w:tcPr>
          <w:p w14:paraId="6AE817E0">
            <w:pPr>
              <w:snapToGrid w:val="0"/>
              <w:spacing w:line="360" w:lineRule="exact"/>
              <w:rPr>
                <w:rFonts w:ascii="宋体" w:hAnsi="宋体" w:cs="宋体"/>
                <w:szCs w:val="21"/>
              </w:rPr>
            </w:pPr>
            <w:r>
              <w:rPr>
                <w:rFonts w:hint="eastAsia" w:ascii="宋体" w:hAnsi="宋体" w:cs="宋体"/>
                <w:szCs w:val="21"/>
              </w:rPr>
              <w:t>磋商小组成员评分=各项评分因素的汇总得分。</w:t>
            </w:r>
          </w:p>
          <w:p w14:paraId="5407881D">
            <w:pPr>
              <w:snapToGrid w:val="0"/>
              <w:spacing w:line="360" w:lineRule="exact"/>
              <w:rPr>
                <w:rFonts w:ascii="宋体" w:hAnsi="宋体" w:cs="宋体"/>
                <w:szCs w:val="21"/>
              </w:rPr>
            </w:pPr>
            <w:r>
              <w:rPr>
                <w:rFonts w:hint="eastAsia" w:ascii="宋体" w:hAnsi="宋体" w:cs="宋体"/>
                <w:szCs w:val="21"/>
              </w:rPr>
              <w:t>评标总得分=磋商小组所有成员合计评分/磋商小组组成人员数。</w:t>
            </w:r>
          </w:p>
        </w:tc>
      </w:tr>
    </w:tbl>
    <w:p w14:paraId="20AC6F0F">
      <w:pPr>
        <w:pStyle w:val="2"/>
      </w:pPr>
      <w:r>
        <w:rPr>
          <w:rFonts w:hint="eastAsia"/>
        </w:rPr>
        <w:t>包2：心肺复苏机</w:t>
      </w:r>
    </w:p>
    <w:tbl>
      <w:tblPr>
        <w:tblStyle w:val="34"/>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19FB5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9482" w:type="dxa"/>
            <w:gridSpan w:val="3"/>
            <w:noWrap/>
            <w:vAlign w:val="center"/>
          </w:tcPr>
          <w:p w14:paraId="42C984EF">
            <w:pPr>
              <w:tabs>
                <w:tab w:val="left" w:pos="3000"/>
              </w:tabs>
              <w:snapToGrid w:val="0"/>
              <w:jc w:val="center"/>
              <w:rPr>
                <w:rFonts w:ascii="宋体" w:hAnsi="宋体" w:cs="宋体"/>
                <w:szCs w:val="21"/>
              </w:rPr>
            </w:pPr>
            <w:r>
              <w:rPr>
                <w:rFonts w:hint="eastAsia" w:ascii="宋体" w:hAnsi="宋体" w:cs="宋体"/>
                <w:szCs w:val="21"/>
              </w:rPr>
              <w:t>评审内容</w:t>
            </w:r>
          </w:p>
        </w:tc>
      </w:tr>
      <w:tr w14:paraId="23519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jc w:val="center"/>
        </w:trPr>
        <w:tc>
          <w:tcPr>
            <w:tcW w:w="1239" w:type="dxa"/>
            <w:noWrap/>
            <w:vAlign w:val="center"/>
          </w:tcPr>
          <w:p w14:paraId="7025AF16">
            <w:pPr>
              <w:snapToGrid w:val="0"/>
              <w:spacing w:line="320" w:lineRule="exact"/>
              <w:jc w:val="left"/>
              <w:rPr>
                <w:rFonts w:ascii="宋体" w:hAnsi="宋体" w:cs="宋体"/>
                <w:szCs w:val="21"/>
              </w:rPr>
            </w:pPr>
            <w:r>
              <w:rPr>
                <w:rFonts w:hint="eastAsia" w:ascii="宋体" w:hAnsi="宋体" w:cs="宋体"/>
                <w:szCs w:val="21"/>
              </w:rPr>
              <w:t>价格标部分 (30分)</w:t>
            </w:r>
          </w:p>
        </w:tc>
        <w:tc>
          <w:tcPr>
            <w:tcW w:w="8243" w:type="dxa"/>
            <w:gridSpan w:val="2"/>
            <w:noWrap/>
            <w:vAlign w:val="center"/>
          </w:tcPr>
          <w:p w14:paraId="66629464">
            <w:pPr>
              <w:pStyle w:val="5"/>
              <w:snapToGrid w:val="0"/>
              <w:spacing w:line="360" w:lineRule="exact"/>
              <w:jc w:val="both"/>
              <w:rPr>
                <w:rFonts w:hAnsi="宋体"/>
                <w:color w:val="auto"/>
                <w:sz w:val="21"/>
                <w:szCs w:val="21"/>
              </w:rPr>
            </w:pPr>
            <w:r>
              <w:rPr>
                <w:rFonts w:hint="eastAsia" w:hAnsi="宋体"/>
                <w:color w:val="auto"/>
                <w:sz w:val="21"/>
                <w:szCs w:val="21"/>
              </w:rPr>
              <w:t>说明：当磋商小组发现供应商的磋商报价明显低于其他磋商报价，使其磋商报价可能低于其个别成本的，磋商小组可对其质询，并要求该供应商做出书面说明和提供相关的证明材料；该供应商不能合理说明或提供证明材料的，磋商小组应按无效磋商处理。</w:t>
            </w:r>
          </w:p>
          <w:p w14:paraId="0815ECF6">
            <w:pPr>
              <w:pStyle w:val="5"/>
              <w:snapToGrid w:val="0"/>
              <w:spacing w:line="360" w:lineRule="exact"/>
              <w:jc w:val="both"/>
              <w:rPr>
                <w:rFonts w:hAnsi="宋体"/>
                <w:color w:val="auto"/>
                <w:sz w:val="21"/>
                <w:szCs w:val="21"/>
              </w:rPr>
            </w:pPr>
            <w:r>
              <w:rPr>
                <w:rFonts w:hint="eastAsia" w:hAnsi="宋体"/>
                <w:color w:val="auto"/>
                <w:sz w:val="21"/>
                <w:szCs w:val="21"/>
              </w:rPr>
              <w:t>有效磋商报价：磋商报价不高于采购预算价的为有效磋商报价。</w:t>
            </w:r>
          </w:p>
          <w:p w14:paraId="502E034D">
            <w:pPr>
              <w:pStyle w:val="5"/>
              <w:snapToGrid w:val="0"/>
              <w:spacing w:line="360" w:lineRule="exact"/>
              <w:jc w:val="both"/>
              <w:rPr>
                <w:rFonts w:hAnsi="宋体"/>
                <w:color w:val="auto"/>
                <w:sz w:val="21"/>
                <w:szCs w:val="21"/>
              </w:rPr>
            </w:pPr>
            <w:r>
              <w:rPr>
                <w:rFonts w:hint="eastAsia" w:hAnsi="宋体"/>
                <w:color w:val="auto"/>
                <w:sz w:val="21"/>
                <w:szCs w:val="21"/>
              </w:rPr>
              <w:t>评标基准值的确定：满足采购文件要求且磋商价格最低的有效磋商报价为评标基准价。</w:t>
            </w:r>
          </w:p>
          <w:p w14:paraId="798D1DEA">
            <w:pPr>
              <w:snapToGrid w:val="0"/>
              <w:spacing w:line="360" w:lineRule="exact"/>
              <w:rPr>
                <w:rFonts w:ascii="宋体" w:hAnsi="宋体" w:cs="宋体"/>
              </w:rPr>
            </w:pPr>
            <w:r>
              <w:rPr>
                <w:rFonts w:hint="eastAsia" w:ascii="宋体" w:hAnsi="宋体" w:cs="宋体"/>
                <w:szCs w:val="21"/>
              </w:rPr>
              <w:t>磋商报价得分=（评标基准价/有效磋商报价）×30分</w:t>
            </w:r>
          </w:p>
        </w:tc>
      </w:tr>
      <w:tr w14:paraId="2F625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jc w:val="center"/>
        </w:trPr>
        <w:tc>
          <w:tcPr>
            <w:tcW w:w="1239" w:type="dxa"/>
            <w:vMerge w:val="restart"/>
            <w:noWrap/>
            <w:vAlign w:val="center"/>
          </w:tcPr>
          <w:p w14:paraId="2F61BBD4">
            <w:pPr>
              <w:snapToGrid w:val="0"/>
              <w:spacing w:line="320" w:lineRule="exact"/>
              <w:jc w:val="center"/>
              <w:rPr>
                <w:rFonts w:ascii="宋体" w:hAnsi="宋体" w:cs="宋体"/>
                <w:szCs w:val="21"/>
              </w:rPr>
            </w:pPr>
            <w:r>
              <w:rPr>
                <w:rFonts w:hint="eastAsia" w:ascii="宋体" w:hAnsi="宋体" w:cs="宋体"/>
                <w:szCs w:val="21"/>
              </w:rPr>
              <w:t>技术部分（48分）</w:t>
            </w:r>
          </w:p>
        </w:tc>
        <w:tc>
          <w:tcPr>
            <w:tcW w:w="1473" w:type="dxa"/>
            <w:noWrap/>
            <w:vAlign w:val="center"/>
          </w:tcPr>
          <w:p w14:paraId="69C57AE8">
            <w:pPr>
              <w:snapToGrid w:val="0"/>
              <w:spacing w:line="360" w:lineRule="exact"/>
              <w:jc w:val="center"/>
              <w:rPr>
                <w:rFonts w:ascii="宋体" w:hAnsi="宋体" w:cs="宋体"/>
                <w:color w:val="000000" w:themeColor="text1"/>
                <w:szCs w:val="21"/>
              </w:rPr>
            </w:pPr>
            <w:r>
              <w:rPr>
                <w:rFonts w:hint="eastAsia" w:ascii="宋体" w:hAnsi="宋体" w:cs="宋体"/>
                <w:color w:val="000000" w:themeColor="text1"/>
                <w:szCs w:val="21"/>
              </w:rPr>
              <w:t>1.产品技术参数（36分）</w:t>
            </w:r>
          </w:p>
        </w:tc>
        <w:tc>
          <w:tcPr>
            <w:tcW w:w="6770" w:type="dxa"/>
            <w:noWrap/>
            <w:vAlign w:val="center"/>
          </w:tcPr>
          <w:p w14:paraId="485B55A4">
            <w:pPr>
              <w:widowControl/>
              <w:snapToGrid w:val="0"/>
              <w:spacing w:line="360" w:lineRule="exact"/>
              <w:rPr>
                <w:rFonts w:ascii="宋体" w:hAnsi="宋体" w:cs="宋体"/>
                <w:szCs w:val="21"/>
              </w:rPr>
            </w:pPr>
            <w:r>
              <w:rPr>
                <w:rFonts w:hint="eastAsia" w:ascii="宋体" w:hAnsi="宋体" w:cs="宋体"/>
                <w:color w:val="000000" w:themeColor="text1"/>
                <w:szCs w:val="21"/>
              </w:rPr>
              <w:t>供应商对“第二章 采购需求 三、技术参数”的响应，所投产品技术参数全部满足磋商文件要求得36分，</w:t>
            </w:r>
            <w:r>
              <w:rPr>
                <w:rFonts w:hint="eastAsia" w:ascii="宋体" w:hAnsi="宋体" w:cs="宋体"/>
                <w:szCs w:val="21"/>
              </w:rPr>
              <w:t xml:space="preserve">有一项不满足的扣3分，扣完为止；如得分为0，则磋商无效。 </w:t>
            </w:r>
          </w:p>
          <w:p w14:paraId="72C1FF21">
            <w:pPr>
              <w:widowControl/>
              <w:snapToGrid w:val="0"/>
              <w:spacing w:line="360" w:lineRule="exact"/>
              <w:rPr>
                <w:rFonts w:ascii="宋体" w:hAnsi="宋体" w:cs="宋体"/>
                <w:color w:val="000000" w:themeColor="text1"/>
                <w:szCs w:val="21"/>
              </w:rPr>
            </w:pPr>
            <w:r>
              <w:rPr>
                <w:rFonts w:hint="eastAsia" w:ascii="宋体" w:hAnsi="宋体" w:cs="宋体"/>
                <w:color w:val="000000" w:themeColor="text1"/>
                <w:szCs w:val="21"/>
              </w:rPr>
              <w:t>1）供应商需如实填写技术偏离表，并标注偏离情况。</w:t>
            </w:r>
          </w:p>
          <w:p w14:paraId="05F36A5B">
            <w:pPr>
              <w:widowControl/>
              <w:snapToGrid w:val="0"/>
              <w:spacing w:line="360" w:lineRule="exact"/>
              <w:rPr>
                <w:rFonts w:ascii="宋体" w:hAnsi="宋体" w:cs="宋体"/>
                <w:b/>
                <w:bCs/>
                <w:szCs w:val="21"/>
              </w:rPr>
            </w:pPr>
            <w:r>
              <w:rPr>
                <w:rFonts w:hint="eastAsia" w:ascii="宋体" w:hAnsi="宋体" w:cs="宋体"/>
                <w:b/>
                <w:bCs/>
                <w:szCs w:val="21"/>
              </w:rPr>
              <w:t>2）供应商所投设备需提供医疗器械注册证【含附件：产品技术要求（如有）】，如未按要求提供，则投标无效。</w:t>
            </w:r>
          </w:p>
          <w:p w14:paraId="4F3FCFEE">
            <w:pPr>
              <w:widowControl/>
              <w:snapToGrid w:val="0"/>
              <w:spacing w:line="360" w:lineRule="exact"/>
              <w:rPr>
                <w:rFonts w:ascii="宋体" w:hAnsi="宋体" w:cs="宋体"/>
                <w:color w:val="000000" w:themeColor="text1"/>
                <w:szCs w:val="21"/>
              </w:rPr>
            </w:pPr>
            <w:r>
              <w:rPr>
                <w:rFonts w:hint="eastAsia" w:ascii="宋体" w:hAnsi="宋体" w:cs="宋体"/>
                <w:szCs w:val="21"/>
              </w:rPr>
              <w:t>3）</w:t>
            </w:r>
            <w:r>
              <w:rPr>
                <w:rFonts w:hint="eastAsia" w:ascii="宋体" w:hAnsi="宋体" w:cs="宋体"/>
                <w:color w:val="000000" w:themeColor="text1"/>
                <w:szCs w:val="21"/>
              </w:rPr>
              <w:t>提供产品注册检验报告、响应技术参数条款的技术白皮书和彩页等相关文件，并对响应技术参数部分做出明显标注。未提供对应证明材料的，视为不满足该项参数要求，做扣分处理。</w:t>
            </w:r>
          </w:p>
        </w:tc>
      </w:tr>
      <w:tr w14:paraId="3E096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ign w:val="center"/>
          </w:tcPr>
          <w:p w14:paraId="2450B8FF">
            <w:pPr>
              <w:snapToGrid w:val="0"/>
              <w:spacing w:line="320" w:lineRule="exact"/>
              <w:jc w:val="center"/>
              <w:rPr>
                <w:rFonts w:ascii="宋体" w:hAnsi="宋体" w:cs="宋体"/>
                <w:szCs w:val="21"/>
              </w:rPr>
            </w:pPr>
          </w:p>
        </w:tc>
        <w:tc>
          <w:tcPr>
            <w:tcW w:w="1473" w:type="dxa"/>
            <w:noWrap/>
            <w:vAlign w:val="center"/>
          </w:tcPr>
          <w:p w14:paraId="501E0820">
            <w:pPr>
              <w:widowControl/>
              <w:snapToGrid w:val="0"/>
              <w:spacing w:line="360" w:lineRule="exact"/>
              <w:rPr>
                <w:rFonts w:ascii="宋体" w:hAnsi="宋体" w:cs="宋体"/>
                <w:szCs w:val="21"/>
              </w:rPr>
            </w:pPr>
            <w:r>
              <w:rPr>
                <w:rFonts w:hint="eastAsia" w:ascii="宋体" w:hAnsi="宋体" w:cs="宋体"/>
                <w:kern w:val="0"/>
                <w:szCs w:val="21"/>
              </w:rPr>
              <w:t>2.产品综合评议</w:t>
            </w:r>
            <w:r>
              <w:rPr>
                <w:rFonts w:hint="eastAsia" w:ascii="宋体" w:hAnsi="宋体" w:cs="宋体"/>
                <w:szCs w:val="21"/>
              </w:rPr>
              <w:t>（5分）</w:t>
            </w:r>
          </w:p>
        </w:tc>
        <w:tc>
          <w:tcPr>
            <w:tcW w:w="6770" w:type="dxa"/>
            <w:noWrap/>
            <w:vAlign w:val="center"/>
          </w:tcPr>
          <w:p w14:paraId="03E225BE">
            <w:pPr>
              <w:widowControl/>
              <w:snapToGrid w:val="0"/>
              <w:spacing w:line="360" w:lineRule="exact"/>
              <w:rPr>
                <w:rFonts w:ascii="宋体" w:hAnsi="宋体" w:cs="宋体"/>
                <w:szCs w:val="21"/>
              </w:rPr>
            </w:pPr>
            <w:r>
              <w:rPr>
                <w:rFonts w:hint="eastAsia" w:ascii="宋体" w:hAnsi="宋体" w:cs="宋体"/>
                <w:color w:val="000000" w:themeColor="text1"/>
                <w:szCs w:val="21"/>
              </w:rPr>
              <w:t>根据供应商所投产品整体性能量化指标进行评价，产品技术指标能够最大程度满足采购需求，且技术先进、操作安全、运行稳定等产品整体性能优异的得5分；整体性能一般的得3分；整体性能较差的得1分。</w:t>
            </w:r>
          </w:p>
        </w:tc>
      </w:tr>
      <w:tr w14:paraId="30DCE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239" w:type="dxa"/>
            <w:vMerge w:val="continue"/>
            <w:noWrap/>
            <w:vAlign w:val="center"/>
          </w:tcPr>
          <w:p w14:paraId="11FFE422">
            <w:pPr>
              <w:snapToGrid w:val="0"/>
              <w:spacing w:line="320" w:lineRule="exact"/>
              <w:jc w:val="center"/>
              <w:rPr>
                <w:rFonts w:ascii="宋体" w:hAnsi="宋体" w:cs="宋体"/>
                <w:szCs w:val="21"/>
              </w:rPr>
            </w:pPr>
          </w:p>
        </w:tc>
        <w:tc>
          <w:tcPr>
            <w:tcW w:w="1473" w:type="dxa"/>
            <w:vMerge w:val="restart"/>
            <w:noWrap/>
            <w:vAlign w:val="center"/>
          </w:tcPr>
          <w:p w14:paraId="0E261C4A">
            <w:pPr>
              <w:widowControl/>
              <w:snapToGrid w:val="0"/>
              <w:spacing w:line="360" w:lineRule="exact"/>
              <w:jc w:val="center"/>
              <w:rPr>
                <w:rFonts w:ascii="宋体" w:hAnsi="宋体" w:cs="宋体"/>
                <w:szCs w:val="21"/>
              </w:rPr>
            </w:pPr>
            <w:r>
              <w:rPr>
                <w:rFonts w:hint="eastAsia" w:ascii="宋体" w:hAnsi="宋体" w:cs="宋体"/>
                <w:kern w:val="0"/>
                <w:szCs w:val="21"/>
              </w:rPr>
              <w:t>3.实施方案（7分）</w:t>
            </w:r>
          </w:p>
        </w:tc>
        <w:tc>
          <w:tcPr>
            <w:tcW w:w="6770" w:type="dxa"/>
            <w:noWrap/>
            <w:vAlign w:val="center"/>
          </w:tcPr>
          <w:p w14:paraId="765EE2D1">
            <w:pPr>
              <w:widowControl/>
              <w:snapToGrid w:val="0"/>
              <w:spacing w:line="360" w:lineRule="exact"/>
              <w:rPr>
                <w:rFonts w:ascii="宋体" w:hAnsi="宋体" w:cs="宋体"/>
                <w:szCs w:val="21"/>
              </w:rPr>
            </w:pPr>
            <w:r>
              <w:rPr>
                <w:rFonts w:hint="eastAsia" w:ascii="宋体" w:hAnsi="宋体" w:cs="宋体"/>
                <w:szCs w:val="21"/>
              </w:rPr>
              <w:t>供应商提供的供货、安装、调试措施包括：①供货时间安排及保障措施；②人员配备及职责分工；③安装、调试服务方案及保障措施。</w:t>
            </w:r>
          </w:p>
          <w:p w14:paraId="23BDE345">
            <w:pPr>
              <w:widowControl/>
              <w:snapToGrid w:val="0"/>
              <w:spacing w:line="360" w:lineRule="exact"/>
              <w:rPr>
                <w:rFonts w:ascii="宋体" w:hAnsi="宋体" w:cs="宋体"/>
                <w:szCs w:val="21"/>
              </w:rPr>
            </w:pPr>
            <w:r>
              <w:rPr>
                <w:rFonts w:hint="eastAsia" w:ascii="宋体" w:hAnsi="宋体" w:cs="宋体"/>
                <w:szCs w:val="21"/>
              </w:rPr>
              <w:t>措施具体详实、人员及工具配备合理、完全满足采购需求的得4分；有较具体的措施，基本满足采购需求的得2分；措施不完备，不能满足采购需求的得1分；缺项得0分。</w:t>
            </w:r>
          </w:p>
        </w:tc>
      </w:tr>
      <w:tr w14:paraId="0CD2B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ign w:val="center"/>
          </w:tcPr>
          <w:p w14:paraId="425527F4">
            <w:pPr>
              <w:snapToGrid w:val="0"/>
              <w:spacing w:line="320" w:lineRule="exact"/>
              <w:jc w:val="center"/>
              <w:rPr>
                <w:rFonts w:ascii="宋体" w:hAnsi="宋体" w:cs="宋体"/>
                <w:szCs w:val="21"/>
              </w:rPr>
            </w:pPr>
          </w:p>
        </w:tc>
        <w:tc>
          <w:tcPr>
            <w:tcW w:w="1473" w:type="dxa"/>
            <w:vMerge w:val="continue"/>
            <w:noWrap/>
            <w:vAlign w:val="center"/>
          </w:tcPr>
          <w:p w14:paraId="6E81D840">
            <w:pPr>
              <w:widowControl/>
              <w:snapToGrid w:val="0"/>
              <w:spacing w:line="360" w:lineRule="exact"/>
              <w:rPr>
                <w:rFonts w:ascii="宋体" w:hAnsi="宋体" w:cs="宋体"/>
                <w:kern w:val="0"/>
                <w:szCs w:val="21"/>
              </w:rPr>
            </w:pPr>
          </w:p>
        </w:tc>
        <w:tc>
          <w:tcPr>
            <w:tcW w:w="6770" w:type="dxa"/>
            <w:noWrap/>
            <w:vAlign w:val="center"/>
          </w:tcPr>
          <w:p w14:paraId="2A137A5B">
            <w:pPr>
              <w:widowControl/>
              <w:snapToGrid w:val="0"/>
              <w:spacing w:line="360" w:lineRule="exact"/>
              <w:rPr>
                <w:rFonts w:ascii="宋体" w:hAnsi="宋体" w:cs="宋体"/>
                <w:szCs w:val="21"/>
              </w:rPr>
            </w:pPr>
            <w:r>
              <w:rPr>
                <w:rFonts w:hint="eastAsia" w:ascii="宋体" w:hAnsi="宋体" w:cs="宋体"/>
                <w:szCs w:val="21"/>
              </w:rPr>
              <w:t>根据供应商针对突发情况提供应急服务方案及保障措施进行打分，包含（但不限于）以下内容：应急响应流程及响应时间、应急保障措施（人员配备、备品备件等）。</w:t>
            </w:r>
          </w:p>
          <w:p w14:paraId="4F7AE727">
            <w:pPr>
              <w:widowControl/>
              <w:snapToGrid w:val="0"/>
              <w:spacing w:line="360" w:lineRule="exact"/>
              <w:rPr>
                <w:rFonts w:ascii="宋体" w:hAnsi="宋体" w:cs="宋体"/>
                <w:szCs w:val="21"/>
              </w:rPr>
            </w:pPr>
            <w:r>
              <w:rPr>
                <w:rFonts w:hint="eastAsia" w:ascii="宋体" w:hAnsi="宋体" w:cs="宋体"/>
                <w:szCs w:val="21"/>
              </w:rPr>
              <w:t>应急响应时间极快、应急保障充分的得3分；应急响应时间快、应急保障较充分的得2分；应急响应时间时间长、应急保障不充分的得1分；缺项得0分。</w:t>
            </w:r>
          </w:p>
        </w:tc>
      </w:tr>
      <w:tr w14:paraId="7B2C8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1239" w:type="dxa"/>
            <w:vMerge w:val="restart"/>
            <w:noWrap/>
            <w:vAlign w:val="center"/>
          </w:tcPr>
          <w:p w14:paraId="325A0238">
            <w:pPr>
              <w:snapToGrid w:val="0"/>
              <w:spacing w:line="320" w:lineRule="exact"/>
              <w:jc w:val="center"/>
              <w:rPr>
                <w:rFonts w:ascii="宋体" w:hAnsi="宋体" w:cs="宋体"/>
                <w:szCs w:val="21"/>
              </w:rPr>
            </w:pPr>
            <w:r>
              <w:rPr>
                <w:rFonts w:hint="eastAsia" w:ascii="宋体" w:hAnsi="宋体" w:cs="宋体"/>
                <w:szCs w:val="21"/>
              </w:rPr>
              <w:t>商务评价</w:t>
            </w:r>
          </w:p>
          <w:p w14:paraId="2DB74BD0">
            <w:pPr>
              <w:snapToGrid w:val="0"/>
              <w:spacing w:line="320" w:lineRule="exact"/>
              <w:jc w:val="center"/>
              <w:rPr>
                <w:rFonts w:ascii="宋体" w:hAnsi="宋体" w:cs="宋体"/>
                <w:szCs w:val="21"/>
              </w:rPr>
            </w:pPr>
            <w:r>
              <w:rPr>
                <w:rFonts w:hint="eastAsia" w:ascii="宋体" w:hAnsi="宋体" w:cs="宋体"/>
                <w:szCs w:val="21"/>
              </w:rPr>
              <w:t>(22分)</w:t>
            </w:r>
          </w:p>
        </w:tc>
        <w:tc>
          <w:tcPr>
            <w:tcW w:w="1473" w:type="dxa"/>
            <w:tcBorders>
              <w:top w:val="single" w:color="auto" w:sz="4" w:space="0"/>
            </w:tcBorders>
            <w:noWrap/>
            <w:vAlign w:val="center"/>
          </w:tcPr>
          <w:p w14:paraId="0C6A2B8F">
            <w:pPr>
              <w:snapToGrid w:val="0"/>
              <w:spacing w:line="360" w:lineRule="exact"/>
              <w:jc w:val="center"/>
              <w:rPr>
                <w:rFonts w:ascii="宋体" w:hAnsi="宋体" w:cs="宋体"/>
                <w:szCs w:val="21"/>
              </w:rPr>
            </w:pPr>
            <w:r>
              <w:rPr>
                <w:rFonts w:hint="eastAsia" w:ascii="宋体" w:hAnsi="宋体" w:cs="宋体"/>
                <w:szCs w:val="21"/>
              </w:rPr>
              <w:t>1.质保期</w:t>
            </w:r>
          </w:p>
          <w:p w14:paraId="37585C88">
            <w:pPr>
              <w:snapToGrid w:val="0"/>
              <w:spacing w:line="360" w:lineRule="exact"/>
              <w:jc w:val="center"/>
              <w:rPr>
                <w:rFonts w:ascii="宋体" w:hAnsi="宋体" w:cs="宋体"/>
                <w:szCs w:val="21"/>
              </w:rPr>
            </w:pPr>
            <w:r>
              <w:rPr>
                <w:rFonts w:hint="eastAsia" w:ascii="宋体" w:hAnsi="宋体" w:cs="宋体"/>
                <w:szCs w:val="21"/>
              </w:rPr>
              <w:t>（4分）</w:t>
            </w:r>
          </w:p>
        </w:tc>
        <w:tc>
          <w:tcPr>
            <w:tcW w:w="6770" w:type="dxa"/>
            <w:noWrap/>
          </w:tcPr>
          <w:p w14:paraId="6D15B9CD">
            <w:pPr>
              <w:widowControl/>
              <w:snapToGrid w:val="0"/>
              <w:spacing w:line="360" w:lineRule="exact"/>
              <w:rPr>
                <w:rFonts w:ascii="宋体" w:hAnsi="宋体" w:cs="宋体"/>
                <w:szCs w:val="21"/>
              </w:rPr>
            </w:pPr>
            <w:r>
              <w:rPr>
                <w:rFonts w:hint="eastAsia" w:ascii="宋体" w:hAnsi="宋体" w:cs="宋体"/>
                <w:szCs w:val="21"/>
              </w:rPr>
              <w:t>质保期在满足磋商文件的基础上，每增加一年加2分,最多加4分（出具相关服务承诺书）。</w:t>
            </w:r>
          </w:p>
        </w:tc>
      </w:tr>
      <w:tr w14:paraId="45E53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1239" w:type="dxa"/>
            <w:vMerge w:val="continue"/>
            <w:noWrap/>
            <w:vAlign w:val="center"/>
          </w:tcPr>
          <w:p w14:paraId="28F0518C">
            <w:pPr>
              <w:snapToGrid w:val="0"/>
              <w:spacing w:line="320" w:lineRule="exact"/>
              <w:jc w:val="center"/>
              <w:rPr>
                <w:rFonts w:ascii="宋体" w:hAnsi="宋体" w:cs="宋体"/>
                <w:szCs w:val="21"/>
              </w:rPr>
            </w:pPr>
          </w:p>
        </w:tc>
        <w:tc>
          <w:tcPr>
            <w:tcW w:w="1473" w:type="dxa"/>
            <w:tcBorders>
              <w:top w:val="single" w:color="auto" w:sz="4" w:space="0"/>
            </w:tcBorders>
            <w:noWrap/>
            <w:vAlign w:val="center"/>
          </w:tcPr>
          <w:p w14:paraId="76C54145">
            <w:pPr>
              <w:snapToGrid w:val="0"/>
              <w:spacing w:line="360" w:lineRule="exact"/>
              <w:jc w:val="center"/>
              <w:rPr>
                <w:rFonts w:ascii="宋体" w:hAnsi="宋体" w:cs="宋体"/>
                <w:szCs w:val="21"/>
              </w:rPr>
            </w:pPr>
            <w:r>
              <w:rPr>
                <w:rFonts w:hint="eastAsia" w:ascii="宋体" w:hAnsi="宋体" w:cs="宋体"/>
                <w:szCs w:val="21"/>
              </w:rPr>
              <w:t>2.类似业绩（6分）</w:t>
            </w:r>
          </w:p>
        </w:tc>
        <w:tc>
          <w:tcPr>
            <w:tcW w:w="6770" w:type="dxa"/>
            <w:noWrap/>
            <w:vAlign w:val="center"/>
          </w:tcPr>
          <w:p w14:paraId="6C30B2A7">
            <w:pPr>
              <w:snapToGrid w:val="0"/>
              <w:spacing w:line="360" w:lineRule="exact"/>
              <w:rPr>
                <w:rFonts w:ascii="宋体" w:hAnsi="宋体" w:cs="宋体"/>
                <w:szCs w:val="21"/>
              </w:rPr>
            </w:pPr>
            <w:r>
              <w:rPr>
                <w:rFonts w:hint="eastAsia" w:ascii="宋体" w:hAnsi="宋体" w:cs="宋体"/>
                <w:szCs w:val="21"/>
              </w:rPr>
              <w:t>自2022年01月01日以来具有的类似项目(以合同文件为准），每提供一份得2分，最多得6分。</w:t>
            </w:r>
          </w:p>
          <w:p w14:paraId="3A53AEB5">
            <w:pPr>
              <w:snapToGrid w:val="0"/>
              <w:spacing w:line="360" w:lineRule="exact"/>
              <w:rPr>
                <w:rFonts w:ascii="宋体" w:hAnsi="宋体" w:cs="宋体"/>
                <w:szCs w:val="21"/>
              </w:rPr>
            </w:pPr>
            <w:r>
              <w:rPr>
                <w:rFonts w:hint="eastAsia" w:ascii="宋体" w:hAnsi="宋体" w:cs="宋体"/>
                <w:szCs w:val="21"/>
              </w:rPr>
              <w:t>注：提供合同证明文件，未提供不得分。</w:t>
            </w:r>
          </w:p>
        </w:tc>
      </w:tr>
      <w:tr w14:paraId="50642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jc w:val="center"/>
        </w:trPr>
        <w:tc>
          <w:tcPr>
            <w:tcW w:w="1239" w:type="dxa"/>
            <w:vMerge w:val="continue"/>
            <w:noWrap/>
            <w:vAlign w:val="center"/>
          </w:tcPr>
          <w:p w14:paraId="5C5BD2A5">
            <w:pPr>
              <w:snapToGrid w:val="0"/>
              <w:spacing w:line="320" w:lineRule="exact"/>
              <w:jc w:val="center"/>
              <w:rPr>
                <w:rFonts w:ascii="宋体" w:hAnsi="宋体" w:cs="宋体"/>
                <w:szCs w:val="21"/>
              </w:rPr>
            </w:pPr>
          </w:p>
        </w:tc>
        <w:tc>
          <w:tcPr>
            <w:tcW w:w="1473" w:type="dxa"/>
            <w:tcBorders>
              <w:top w:val="single" w:color="auto" w:sz="4" w:space="0"/>
            </w:tcBorders>
            <w:noWrap/>
            <w:vAlign w:val="center"/>
          </w:tcPr>
          <w:p w14:paraId="250B3A43">
            <w:pPr>
              <w:snapToGrid w:val="0"/>
              <w:spacing w:line="360" w:lineRule="exact"/>
              <w:jc w:val="center"/>
              <w:rPr>
                <w:rFonts w:ascii="宋体" w:hAnsi="宋体" w:cs="宋体"/>
                <w:szCs w:val="21"/>
              </w:rPr>
            </w:pPr>
            <w:r>
              <w:rPr>
                <w:rFonts w:hint="eastAsia" w:ascii="宋体" w:hAnsi="宋体" w:cs="宋体"/>
                <w:szCs w:val="21"/>
              </w:rPr>
              <w:t>3.优惠承诺（4分）</w:t>
            </w:r>
          </w:p>
        </w:tc>
        <w:tc>
          <w:tcPr>
            <w:tcW w:w="6770" w:type="dxa"/>
            <w:noWrap/>
            <w:vAlign w:val="center"/>
          </w:tcPr>
          <w:p w14:paraId="3833BF3B">
            <w:pPr>
              <w:pStyle w:val="50"/>
              <w:ind w:firstLine="0"/>
              <w:rPr>
                <w:rFonts w:ascii="宋体" w:hAnsi="宋体" w:cs="宋体"/>
                <w:sz w:val="21"/>
                <w:szCs w:val="21"/>
              </w:rPr>
            </w:pPr>
            <w:r>
              <w:rPr>
                <w:rFonts w:hint="eastAsia" w:ascii="宋体" w:hAnsi="宋体" w:cs="宋体"/>
                <w:sz w:val="21"/>
                <w:szCs w:val="21"/>
              </w:rPr>
              <w:t>根据供应商在满足采购文件要求的基础上另外提出的优惠承诺进行评比：每提供一项对采购人有利的、切实可行的实质性优惠承诺得2分，最多得4分。缺项得0分。</w:t>
            </w:r>
          </w:p>
        </w:tc>
      </w:tr>
      <w:tr w14:paraId="11BE4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jc w:val="center"/>
        </w:trPr>
        <w:tc>
          <w:tcPr>
            <w:tcW w:w="1239" w:type="dxa"/>
            <w:vMerge w:val="continue"/>
            <w:noWrap/>
            <w:vAlign w:val="center"/>
          </w:tcPr>
          <w:p w14:paraId="595119EF">
            <w:pPr>
              <w:snapToGrid w:val="0"/>
              <w:spacing w:line="320" w:lineRule="exact"/>
              <w:jc w:val="center"/>
              <w:rPr>
                <w:rFonts w:ascii="宋体" w:hAnsi="宋体" w:cs="宋体"/>
                <w:szCs w:val="21"/>
              </w:rPr>
            </w:pPr>
          </w:p>
        </w:tc>
        <w:tc>
          <w:tcPr>
            <w:tcW w:w="1473" w:type="dxa"/>
            <w:tcBorders>
              <w:top w:val="single" w:color="auto" w:sz="4" w:space="0"/>
            </w:tcBorders>
            <w:noWrap/>
            <w:vAlign w:val="center"/>
          </w:tcPr>
          <w:p w14:paraId="78BA20BA">
            <w:pPr>
              <w:snapToGrid w:val="0"/>
              <w:spacing w:line="360" w:lineRule="exact"/>
              <w:jc w:val="center"/>
              <w:rPr>
                <w:rFonts w:ascii="宋体" w:hAnsi="宋体" w:cs="宋体"/>
                <w:szCs w:val="21"/>
              </w:rPr>
            </w:pPr>
            <w:r>
              <w:rPr>
                <w:rFonts w:hint="eastAsia" w:ascii="宋体" w:hAnsi="宋体" w:cs="宋体"/>
                <w:szCs w:val="21"/>
              </w:rPr>
              <w:t>4.售后服务（8分）</w:t>
            </w:r>
          </w:p>
        </w:tc>
        <w:tc>
          <w:tcPr>
            <w:tcW w:w="6770" w:type="dxa"/>
            <w:noWrap/>
            <w:vAlign w:val="center"/>
          </w:tcPr>
          <w:p w14:paraId="3E1FBE0F">
            <w:pPr>
              <w:snapToGrid w:val="0"/>
              <w:spacing w:line="360" w:lineRule="exact"/>
              <w:rPr>
                <w:rFonts w:ascii="宋体" w:hAnsi="宋体" w:cs="宋体"/>
                <w:szCs w:val="21"/>
              </w:rPr>
            </w:pPr>
            <w:r>
              <w:rPr>
                <w:rFonts w:hint="eastAsia" w:ascii="宋体" w:hAnsi="宋体" w:cs="宋体"/>
                <w:szCs w:val="21"/>
              </w:rPr>
              <w:t>根据供应商提供的售后服务及培训方案进行评分，包括但不限于：</w:t>
            </w:r>
            <w:r>
              <w:rPr>
                <w:rFonts w:ascii="宋体" w:hAnsi="宋体" w:cs="宋体"/>
                <w:szCs w:val="21"/>
              </w:rPr>
              <w:t>①服务站点设立，售后服务团队及其联系方式、技术水平</w:t>
            </w:r>
            <w:r>
              <w:rPr>
                <w:rFonts w:hint="eastAsia" w:ascii="宋体" w:hAnsi="宋体" w:cs="宋体"/>
                <w:szCs w:val="21"/>
              </w:rPr>
              <w:t>能力</w:t>
            </w:r>
            <w:r>
              <w:rPr>
                <w:rFonts w:ascii="宋体" w:hAnsi="宋体" w:cs="宋体"/>
                <w:szCs w:val="21"/>
              </w:rPr>
              <w:t>及职责分工</w:t>
            </w:r>
            <w:r>
              <w:rPr>
                <w:rFonts w:hint="eastAsia" w:ascii="宋体" w:hAnsi="宋体" w:cs="宋体"/>
                <w:szCs w:val="21"/>
              </w:rPr>
              <w:t>；</w:t>
            </w:r>
            <w:r>
              <w:rPr>
                <w:rFonts w:ascii="宋体" w:hAnsi="宋体" w:cs="宋体"/>
                <w:szCs w:val="21"/>
              </w:rPr>
              <w:t>②</w:t>
            </w:r>
            <w:r>
              <w:rPr>
                <w:rFonts w:hint="eastAsia" w:ascii="宋体" w:hAnsi="宋体" w:cs="宋体"/>
                <w:szCs w:val="21"/>
              </w:rPr>
              <w:t>日常设备维保方案；</w:t>
            </w:r>
            <w:r>
              <w:rPr>
                <w:rFonts w:ascii="宋体" w:hAnsi="宋体" w:cs="宋体"/>
                <w:szCs w:val="21"/>
              </w:rPr>
              <w:t>③</w:t>
            </w:r>
            <w:r>
              <w:rPr>
                <w:rFonts w:hint="eastAsia" w:ascii="宋体" w:hAnsi="宋体" w:cs="宋体"/>
                <w:szCs w:val="21"/>
              </w:rPr>
              <w:t>故障响应时间；④应急维修措施预案；⑤培训方案。</w:t>
            </w:r>
          </w:p>
          <w:p w14:paraId="308D925E">
            <w:pPr>
              <w:snapToGrid w:val="0"/>
              <w:spacing w:line="360" w:lineRule="exact"/>
              <w:rPr>
                <w:rFonts w:ascii="宋体" w:hAnsi="宋体" w:cs="宋体"/>
                <w:szCs w:val="21"/>
              </w:rPr>
            </w:pPr>
            <w:r>
              <w:rPr>
                <w:rFonts w:hint="eastAsia" w:ascii="宋体" w:hAnsi="宋体" w:cs="宋体"/>
                <w:szCs w:val="21"/>
              </w:rPr>
              <w:t>服务承诺符合本项目特点，措施详尽、人员专业性强、故障响应时间极快、日常维保方案及应急维修措施预案合理且可行，有具体的培训方案，得8分。</w:t>
            </w:r>
          </w:p>
          <w:p w14:paraId="2F1A48E8">
            <w:pPr>
              <w:snapToGrid w:val="0"/>
              <w:spacing w:line="360" w:lineRule="exact"/>
              <w:rPr>
                <w:rFonts w:ascii="宋体" w:hAnsi="宋体" w:cs="宋体"/>
                <w:szCs w:val="21"/>
              </w:rPr>
            </w:pPr>
            <w:r>
              <w:rPr>
                <w:rFonts w:hint="eastAsia" w:ascii="宋体" w:hAnsi="宋体" w:cs="宋体"/>
                <w:szCs w:val="21"/>
              </w:rPr>
              <w:t>服务承诺符合本项目特点，人员专业性较强、故障响应时间快、日常维保方案及应急维修措施预案较合理，有较具体的培训方案的得5分；</w:t>
            </w:r>
          </w:p>
          <w:p w14:paraId="2A8E73E8">
            <w:pPr>
              <w:snapToGrid w:val="0"/>
              <w:spacing w:line="360" w:lineRule="exact"/>
              <w:rPr>
                <w:rFonts w:ascii="宋体" w:hAnsi="宋体" w:cs="宋体"/>
                <w:szCs w:val="21"/>
              </w:rPr>
            </w:pPr>
            <w:r>
              <w:rPr>
                <w:rFonts w:hint="eastAsia" w:ascii="宋体" w:hAnsi="宋体" w:cs="宋体"/>
                <w:szCs w:val="21"/>
              </w:rPr>
              <w:t>服务承诺符合本项目特点，故障响应时间较长、应急维修措施预案不完备，培训方案不完备的得2 分；</w:t>
            </w:r>
          </w:p>
          <w:p w14:paraId="479FE684">
            <w:pPr>
              <w:snapToGrid w:val="0"/>
              <w:spacing w:line="360" w:lineRule="exact"/>
              <w:rPr>
                <w:rFonts w:ascii="宋体" w:hAnsi="宋体" w:cs="宋体"/>
                <w:szCs w:val="21"/>
              </w:rPr>
            </w:pPr>
            <w:r>
              <w:rPr>
                <w:rFonts w:hint="eastAsia" w:ascii="宋体" w:hAnsi="宋体" w:cs="宋体"/>
                <w:szCs w:val="21"/>
              </w:rPr>
              <w:t>缺项得0分。</w:t>
            </w:r>
          </w:p>
        </w:tc>
      </w:tr>
      <w:tr w14:paraId="4AA19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tcPr>
          <w:p w14:paraId="1612EDD4">
            <w:pPr>
              <w:snapToGrid w:val="0"/>
              <w:spacing w:line="320" w:lineRule="exact"/>
              <w:jc w:val="center"/>
              <w:rPr>
                <w:rFonts w:ascii="宋体" w:hAnsi="宋体" w:cs="宋体"/>
                <w:szCs w:val="21"/>
              </w:rPr>
            </w:pPr>
            <w:r>
              <w:rPr>
                <w:rFonts w:hint="eastAsia" w:ascii="宋体" w:hAnsi="宋体" w:cs="宋体"/>
                <w:szCs w:val="21"/>
              </w:rPr>
              <w:t>得分的计算</w:t>
            </w:r>
          </w:p>
        </w:tc>
        <w:tc>
          <w:tcPr>
            <w:tcW w:w="8243" w:type="dxa"/>
            <w:gridSpan w:val="2"/>
            <w:noWrap/>
            <w:vAlign w:val="center"/>
          </w:tcPr>
          <w:p w14:paraId="23DF4462">
            <w:pPr>
              <w:snapToGrid w:val="0"/>
              <w:spacing w:line="360" w:lineRule="exact"/>
              <w:rPr>
                <w:rFonts w:ascii="宋体" w:hAnsi="宋体" w:cs="宋体"/>
                <w:szCs w:val="21"/>
              </w:rPr>
            </w:pPr>
            <w:r>
              <w:rPr>
                <w:rFonts w:hint="eastAsia" w:ascii="宋体" w:hAnsi="宋体" w:cs="宋体"/>
                <w:szCs w:val="21"/>
              </w:rPr>
              <w:t>磋商小组成员评分=各项评分因素的汇总得分。</w:t>
            </w:r>
          </w:p>
          <w:p w14:paraId="33356039">
            <w:pPr>
              <w:snapToGrid w:val="0"/>
              <w:spacing w:line="360" w:lineRule="exact"/>
              <w:rPr>
                <w:rFonts w:ascii="宋体" w:hAnsi="宋体" w:cs="宋体"/>
                <w:szCs w:val="21"/>
              </w:rPr>
            </w:pPr>
            <w:r>
              <w:rPr>
                <w:rFonts w:hint="eastAsia" w:ascii="宋体" w:hAnsi="宋体" w:cs="宋体"/>
                <w:szCs w:val="21"/>
              </w:rPr>
              <w:t>评标总得分=磋商小组所有成员合计评分/磋商小组组成人员数。</w:t>
            </w:r>
          </w:p>
        </w:tc>
      </w:tr>
    </w:tbl>
    <w:p w14:paraId="0C99C7B2">
      <w:pPr>
        <w:sectPr>
          <w:pgSz w:w="11906" w:h="16838"/>
          <w:pgMar w:top="1417" w:right="1474" w:bottom="1417" w:left="1474" w:header="851" w:footer="624" w:gutter="0"/>
          <w:cols w:space="720" w:num="1"/>
          <w:docGrid w:type="lines" w:linePitch="319" w:charSpace="0"/>
        </w:sectPr>
      </w:pPr>
    </w:p>
    <w:bookmarkEnd w:id="46"/>
    <w:p w14:paraId="650DA3F4">
      <w:pPr>
        <w:pStyle w:val="3"/>
        <w:snapToGrid w:val="0"/>
        <w:spacing w:before="0" w:after="0" w:line="480" w:lineRule="auto"/>
        <w:ind w:firstLine="562"/>
        <w:jc w:val="center"/>
        <w:rPr>
          <w:rFonts w:ascii="宋体" w:hAnsi="宋体" w:cs="宋体"/>
          <w:sz w:val="28"/>
          <w:szCs w:val="28"/>
        </w:rPr>
      </w:pPr>
      <w:bookmarkStart w:id="50" w:name="_Toc11904"/>
      <w:bookmarkStart w:id="51" w:name="_Toc1947"/>
      <w:bookmarkStart w:id="52" w:name="_Toc1482"/>
      <w:bookmarkStart w:id="53" w:name="_Toc326786897"/>
      <w:bookmarkStart w:id="54" w:name="_Toc256519703"/>
      <w:r>
        <w:rPr>
          <w:rFonts w:hint="eastAsia" w:ascii="宋体" w:hAnsi="宋体" w:cs="宋体"/>
          <w:sz w:val="28"/>
          <w:szCs w:val="28"/>
        </w:rPr>
        <w:t>第五章  采购合同</w:t>
      </w:r>
      <w:bookmarkEnd w:id="50"/>
    </w:p>
    <w:p w14:paraId="21CD66B8">
      <w:pPr>
        <w:snapToGrid w:val="0"/>
        <w:spacing w:line="360" w:lineRule="auto"/>
        <w:ind w:firstLine="422"/>
        <w:jc w:val="center"/>
        <w:rPr>
          <w:rFonts w:ascii="宋体" w:hAnsi="宋体" w:cs="宋体"/>
          <w:szCs w:val="21"/>
        </w:rPr>
      </w:pPr>
      <w:r>
        <w:rPr>
          <w:rFonts w:hint="eastAsia" w:ascii="宋体" w:hAnsi="宋体" w:cs="宋体"/>
          <w:szCs w:val="21"/>
        </w:rPr>
        <w:t>（以实际合同为准）</w:t>
      </w:r>
    </w:p>
    <w:p w14:paraId="39300F24">
      <w:pPr>
        <w:ind w:firstLine="422"/>
        <w:rPr>
          <w:rFonts w:ascii="宋体" w:hAnsi="宋体" w:cs="宋体"/>
        </w:rPr>
      </w:pPr>
    </w:p>
    <w:p w14:paraId="6AD147B6">
      <w:pPr>
        <w:ind w:firstLine="643"/>
        <w:rPr>
          <w:rFonts w:ascii="宋体" w:hAnsi="宋体" w:cs="宋体"/>
          <w:sz w:val="32"/>
          <w:szCs w:val="32"/>
        </w:rPr>
      </w:pPr>
    </w:p>
    <w:p w14:paraId="70CFFD99">
      <w:pPr>
        <w:ind w:firstLine="422"/>
        <w:rPr>
          <w:rFonts w:ascii="宋体" w:hAnsi="宋体" w:cs="宋体"/>
        </w:rPr>
      </w:pPr>
      <w:r>
        <w:rPr>
          <w:rFonts w:hint="eastAsia" w:ascii="宋体" w:hAnsi="宋体" w:cs="宋体"/>
        </w:rPr>
        <w:br w:type="page"/>
      </w:r>
    </w:p>
    <w:p w14:paraId="2571CDA4">
      <w:pPr>
        <w:pStyle w:val="3"/>
        <w:ind w:firstLine="643"/>
        <w:jc w:val="center"/>
        <w:rPr>
          <w:rFonts w:ascii="宋体" w:hAnsi="宋体" w:cs="宋体"/>
          <w:kern w:val="0"/>
        </w:rPr>
      </w:pPr>
      <w:bookmarkStart w:id="55" w:name="_Toc18702"/>
      <w:r>
        <w:rPr>
          <w:rFonts w:hint="eastAsia" w:ascii="宋体" w:hAnsi="宋体" w:cs="宋体"/>
          <w:sz w:val="32"/>
          <w:szCs w:val="32"/>
        </w:rPr>
        <w:t>第六章  响应文件格式</w:t>
      </w:r>
      <w:bookmarkEnd w:id="51"/>
      <w:bookmarkEnd w:id="52"/>
      <w:bookmarkEnd w:id="55"/>
    </w:p>
    <w:p w14:paraId="6E3C6E9E">
      <w:pPr>
        <w:spacing w:line="440" w:lineRule="exact"/>
        <w:ind w:firstLine="482"/>
        <w:rPr>
          <w:rFonts w:ascii="宋体" w:hAnsi="宋体" w:cs="宋体"/>
          <w:sz w:val="24"/>
        </w:rPr>
      </w:pPr>
    </w:p>
    <w:p w14:paraId="0B7B8036">
      <w:pPr>
        <w:ind w:firstLine="643"/>
        <w:jc w:val="center"/>
        <w:rPr>
          <w:rFonts w:ascii="宋体" w:hAnsi="宋体" w:cs="宋体"/>
          <w:b/>
          <w:bCs/>
          <w:sz w:val="32"/>
          <w:szCs w:val="32"/>
        </w:rPr>
      </w:pPr>
      <w:bookmarkStart w:id="56" w:name="_Toc13604"/>
      <w:r>
        <w:rPr>
          <w:rFonts w:hint="eastAsia" w:ascii="宋体" w:hAnsi="宋体" w:cs="宋体"/>
          <w:b/>
          <w:bCs/>
          <w:sz w:val="32"/>
          <w:szCs w:val="32"/>
        </w:rPr>
        <w:t>目    录</w:t>
      </w:r>
      <w:bookmarkEnd w:id="56"/>
    </w:p>
    <w:p w14:paraId="635DFF2C">
      <w:pPr>
        <w:widowControl/>
        <w:wordWrap w:val="0"/>
        <w:spacing w:line="460" w:lineRule="exact"/>
        <w:ind w:firstLine="480" w:firstLineChars="200"/>
        <w:jc w:val="left"/>
        <w:rPr>
          <w:rFonts w:ascii="宋体" w:hAnsi="宋体" w:cs="宋体"/>
          <w:kern w:val="0"/>
          <w:sz w:val="24"/>
        </w:rPr>
      </w:pPr>
    </w:p>
    <w:p w14:paraId="210CE2E9">
      <w:pPr>
        <w:snapToGrid w:val="0"/>
        <w:spacing w:line="360" w:lineRule="auto"/>
        <w:ind w:firstLine="480" w:firstLineChars="200"/>
        <w:rPr>
          <w:rFonts w:ascii="宋体" w:hAnsi="宋体" w:cs="宋体"/>
          <w:sz w:val="24"/>
        </w:rPr>
      </w:pPr>
      <w:bookmarkStart w:id="57" w:name="_Toc11308"/>
      <w:r>
        <w:rPr>
          <w:rFonts w:hint="eastAsia" w:ascii="宋体" w:hAnsi="宋体" w:cs="宋体"/>
          <w:sz w:val="24"/>
        </w:rPr>
        <w:t>附件1响应文件封面（格式）</w:t>
      </w:r>
      <w:bookmarkEnd w:id="57"/>
    </w:p>
    <w:p w14:paraId="3EB5D3F7">
      <w:pPr>
        <w:snapToGrid w:val="0"/>
        <w:spacing w:line="360" w:lineRule="auto"/>
        <w:ind w:firstLine="480" w:firstLineChars="200"/>
        <w:rPr>
          <w:rFonts w:ascii="宋体" w:hAnsi="宋体" w:cs="宋体"/>
          <w:sz w:val="24"/>
        </w:rPr>
      </w:pPr>
      <w:bookmarkStart w:id="58" w:name="_Toc25345"/>
      <w:r>
        <w:rPr>
          <w:rFonts w:hint="eastAsia" w:ascii="宋体" w:hAnsi="宋体" w:cs="宋体"/>
          <w:sz w:val="24"/>
        </w:rPr>
        <w:t xml:space="preserve">附件2 </w:t>
      </w:r>
      <w:r>
        <w:rPr>
          <w:rFonts w:hint="eastAsia" w:ascii="宋体" w:hAnsi="宋体" w:cs="宋体"/>
          <w:kern w:val="0"/>
          <w:sz w:val="24"/>
        </w:rPr>
        <w:t>竞争性磋商响应书</w:t>
      </w:r>
      <w:r>
        <w:rPr>
          <w:rFonts w:hint="eastAsia" w:ascii="宋体" w:hAnsi="宋体" w:cs="宋体"/>
          <w:sz w:val="24"/>
        </w:rPr>
        <w:t>（格式）</w:t>
      </w:r>
      <w:bookmarkEnd w:id="58"/>
    </w:p>
    <w:p w14:paraId="4CC7AFDC">
      <w:pPr>
        <w:snapToGrid w:val="0"/>
        <w:spacing w:line="360" w:lineRule="auto"/>
        <w:ind w:firstLine="480" w:firstLineChars="200"/>
        <w:rPr>
          <w:rFonts w:ascii="宋体" w:hAnsi="宋体" w:cs="宋体"/>
          <w:sz w:val="24"/>
        </w:rPr>
      </w:pPr>
      <w:bookmarkStart w:id="59" w:name="_Toc10217"/>
      <w:r>
        <w:rPr>
          <w:rFonts w:hint="eastAsia" w:ascii="宋体" w:hAnsi="宋体" w:cs="宋体"/>
          <w:sz w:val="24"/>
        </w:rPr>
        <w:t xml:space="preserve">附件3 </w:t>
      </w:r>
      <w:r>
        <w:rPr>
          <w:rFonts w:hint="eastAsia" w:ascii="宋体" w:hAnsi="宋体" w:cs="宋体"/>
          <w:kern w:val="0"/>
          <w:sz w:val="24"/>
        </w:rPr>
        <w:t>初次报价一览表</w:t>
      </w:r>
      <w:r>
        <w:rPr>
          <w:rFonts w:hint="eastAsia" w:ascii="宋体" w:hAnsi="宋体" w:cs="宋体"/>
          <w:sz w:val="24"/>
        </w:rPr>
        <w:t>（格式）</w:t>
      </w:r>
      <w:bookmarkEnd w:id="59"/>
    </w:p>
    <w:p w14:paraId="79FD05ED">
      <w:pPr>
        <w:snapToGrid w:val="0"/>
        <w:spacing w:line="360" w:lineRule="auto"/>
        <w:ind w:firstLine="480" w:firstLineChars="200"/>
        <w:rPr>
          <w:rFonts w:ascii="宋体" w:hAnsi="宋体" w:cs="宋体"/>
          <w:sz w:val="24"/>
        </w:rPr>
      </w:pPr>
      <w:bookmarkStart w:id="60" w:name="_Toc9579"/>
      <w:r>
        <w:rPr>
          <w:rFonts w:hint="eastAsia" w:ascii="宋体" w:hAnsi="宋体" w:cs="宋体"/>
          <w:sz w:val="24"/>
        </w:rPr>
        <w:t xml:space="preserve">附件4 </w:t>
      </w:r>
      <w:bookmarkEnd w:id="60"/>
      <w:r>
        <w:rPr>
          <w:rFonts w:hint="eastAsia" w:ascii="宋体" w:hAnsi="宋体" w:cs="宋体"/>
          <w:sz w:val="24"/>
        </w:rPr>
        <w:t>报价明细表（格式）</w:t>
      </w:r>
    </w:p>
    <w:p w14:paraId="22F12BA5">
      <w:pPr>
        <w:snapToGrid w:val="0"/>
        <w:spacing w:line="360" w:lineRule="auto"/>
        <w:ind w:firstLine="480" w:firstLineChars="200"/>
        <w:rPr>
          <w:rFonts w:ascii="宋体" w:hAnsi="宋体" w:cs="宋体"/>
          <w:sz w:val="24"/>
        </w:rPr>
      </w:pPr>
      <w:bookmarkStart w:id="61" w:name="_Toc28392"/>
      <w:r>
        <w:rPr>
          <w:rFonts w:hint="eastAsia" w:ascii="宋体" w:hAnsi="宋体" w:cs="宋体"/>
          <w:sz w:val="24"/>
        </w:rPr>
        <w:t>附件5技术响应</w:t>
      </w:r>
      <w:bookmarkEnd w:id="61"/>
      <w:r>
        <w:rPr>
          <w:rFonts w:hint="eastAsia" w:ascii="宋体" w:hAnsi="宋体" w:cs="宋体"/>
          <w:sz w:val="24"/>
        </w:rPr>
        <w:t>表（格式）</w:t>
      </w:r>
    </w:p>
    <w:p w14:paraId="1D001D1B">
      <w:pPr>
        <w:snapToGrid w:val="0"/>
        <w:spacing w:line="360" w:lineRule="auto"/>
        <w:ind w:firstLine="480" w:firstLineChars="200"/>
        <w:rPr>
          <w:rFonts w:ascii="宋体" w:hAnsi="宋体" w:cs="宋体"/>
          <w:sz w:val="24"/>
        </w:rPr>
      </w:pPr>
      <w:bookmarkStart w:id="62" w:name="_Toc6234"/>
      <w:r>
        <w:rPr>
          <w:rFonts w:hint="eastAsia" w:ascii="宋体" w:hAnsi="宋体" w:cs="宋体"/>
          <w:sz w:val="24"/>
        </w:rPr>
        <w:t>附件6 商务</w:t>
      </w:r>
      <w:bookmarkEnd w:id="62"/>
      <w:r>
        <w:rPr>
          <w:rFonts w:hint="eastAsia" w:ascii="宋体" w:hAnsi="宋体" w:cs="宋体"/>
          <w:sz w:val="24"/>
        </w:rPr>
        <w:t>响应表（格式）</w:t>
      </w:r>
    </w:p>
    <w:p w14:paraId="54AADBD6">
      <w:pPr>
        <w:snapToGrid w:val="0"/>
        <w:spacing w:line="360" w:lineRule="auto"/>
        <w:ind w:firstLine="480" w:firstLineChars="200"/>
        <w:rPr>
          <w:rFonts w:ascii="宋体" w:hAnsi="宋体" w:cs="宋体"/>
          <w:sz w:val="24"/>
        </w:rPr>
      </w:pPr>
      <w:bookmarkStart w:id="63" w:name="_Toc26231"/>
      <w:r>
        <w:rPr>
          <w:rFonts w:hint="eastAsia" w:ascii="宋体" w:hAnsi="宋体" w:cs="宋体"/>
          <w:sz w:val="24"/>
        </w:rPr>
        <w:t>附件7法定代表人身份证明（格式）</w:t>
      </w:r>
      <w:bookmarkEnd w:id="63"/>
    </w:p>
    <w:p w14:paraId="4A599CA3">
      <w:pPr>
        <w:snapToGrid w:val="0"/>
        <w:spacing w:line="360" w:lineRule="auto"/>
        <w:ind w:firstLine="480" w:firstLineChars="200"/>
        <w:rPr>
          <w:rFonts w:ascii="宋体" w:hAnsi="宋体" w:cs="宋体"/>
          <w:sz w:val="24"/>
        </w:rPr>
      </w:pPr>
      <w:bookmarkStart w:id="64" w:name="_Toc18484"/>
      <w:r>
        <w:rPr>
          <w:rFonts w:hint="eastAsia" w:ascii="宋体" w:hAnsi="宋体" w:cs="宋体"/>
          <w:sz w:val="24"/>
        </w:rPr>
        <w:t>附件8法定代表人授权书（格式）</w:t>
      </w:r>
      <w:bookmarkEnd w:id="64"/>
    </w:p>
    <w:p w14:paraId="46EE126B">
      <w:pPr>
        <w:snapToGrid w:val="0"/>
        <w:spacing w:line="360" w:lineRule="auto"/>
        <w:ind w:firstLine="480" w:firstLineChars="200"/>
        <w:rPr>
          <w:rFonts w:ascii="宋体" w:hAnsi="宋体" w:cs="宋体"/>
          <w:sz w:val="24"/>
        </w:rPr>
      </w:pPr>
      <w:bookmarkStart w:id="65" w:name="_Toc31857"/>
      <w:r>
        <w:rPr>
          <w:rFonts w:hint="eastAsia" w:ascii="宋体" w:hAnsi="宋体" w:cs="宋体"/>
          <w:sz w:val="24"/>
        </w:rPr>
        <w:t>附件9 证明文件</w:t>
      </w:r>
      <w:bookmarkEnd w:id="65"/>
    </w:p>
    <w:p w14:paraId="136CB598">
      <w:pPr>
        <w:snapToGrid w:val="0"/>
        <w:spacing w:line="360" w:lineRule="auto"/>
        <w:ind w:firstLine="480" w:firstLineChars="200"/>
        <w:rPr>
          <w:rFonts w:ascii="宋体" w:hAnsi="宋体" w:cs="宋体"/>
          <w:sz w:val="24"/>
        </w:rPr>
      </w:pPr>
      <w:bookmarkStart w:id="66" w:name="_Toc23116"/>
      <w:r>
        <w:rPr>
          <w:rFonts w:hint="eastAsia" w:ascii="宋体" w:hAnsi="宋体" w:cs="宋体"/>
          <w:sz w:val="24"/>
        </w:rPr>
        <w:t>附件10 供应商承诺书（格式）</w:t>
      </w:r>
      <w:bookmarkEnd w:id="66"/>
    </w:p>
    <w:p w14:paraId="6E0B6DE8">
      <w:pPr>
        <w:snapToGrid w:val="0"/>
        <w:spacing w:line="360" w:lineRule="auto"/>
        <w:ind w:firstLine="480" w:firstLineChars="200"/>
        <w:rPr>
          <w:rFonts w:ascii="宋体" w:hAnsi="宋体" w:cs="宋体"/>
          <w:sz w:val="24"/>
        </w:rPr>
      </w:pPr>
      <w:r>
        <w:rPr>
          <w:rFonts w:hint="eastAsia" w:ascii="宋体" w:hAnsi="宋体" w:cs="宋体"/>
          <w:sz w:val="24"/>
        </w:rPr>
        <w:t>附件11 供应商信用承诺函（格式）</w:t>
      </w:r>
    </w:p>
    <w:p w14:paraId="15382202">
      <w:pPr>
        <w:snapToGrid w:val="0"/>
        <w:spacing w:line="360" w:lineRule="auto"/>
        <w:ind w:firstLine="480" w:firstLineChars="200"/>
        <w:rPr>
          <w:rFonts w:ascii="宋体" w:hAnsi="宋体" w:cs="宋体"/>
          <w:sz w:val="24"/>
        </w:rPr>
      </w:pPr>
    </w:p>
    <w:p w14:paraId="3BCCF2E9">
      <w:pPr>
        <w:pStyle w:val="33"/>
        <w:ind w:firstLine="210"/>
        <w:rPr>
          <w:rFonts w:ascii="宋体" w:hAnsi="宋体" w:cs="宋体"/>
        </w:rPr>
      </w:pPr>
    </w:p>
    <w:p w14:paraId="0E2214BE">
      <w:pPr>
        <w:widowControl/>
        <w:wordWrap w:val="0"/>
        <w:snapToGrid w:val="0"/>
        <w:spacing w:line="460" w:lineRule="exact"/>
        <w:ind w:firstLine="482" w:firstLineChars="200"/>
        <w:jc w:val="center"/>
        <w:rPr>
          <w:rFonts w:ascii="宋体" w:hAnsi="宋体" w:cs="宋体"/>
          <w:b/>
          <w:bCs/>
          <w:kern w:val="0"/>
          <w:sz w:val="24"/>
        </w:rPr>
      </w:pPr>
    </w:p>
    <w:p w14:paraId="004AE81F">
      <w:pPr>
        <w:widowControl/>
        <w:wordWrap w:val="0"/>
        <w:snapToGrid w:val="0"/>
        <w:spacing w:line="460" w:lineRule="exact"/>
        <w:ind w:firstLine="482" w:firstLineChars="200"/>
        <w:jc w:val="center"/>
        <w:rPr>
          <w:rFonts w:ascii="宋体" w:hAnsi="宋体" w:cs="宋体"/>
          <w:b/>
          <w:bCs/>
          <w:kern w:val="0"/>
          <w:sz w:val="24"/>
        </w:rPr>
      </w:pPr>
    </w:p>
    <w:p w14:paraId="4FD68B0D">
      <w:pPr>
        <w:widowControl/>
        <w:wordWrap w:val="0"/>
        <w:snapToGrid w:val="0"/>
        <w:spacing w:line="460" w:lineRule="exact"/>
        <w:ind w:firstLine="482" w:firstLineChars="200"/>
        <w:jc w:val="center"/>
        <w:rPr>
          <w:rFonts w:ascii="宋体" w:hAnsi="宋体" w:cs="宋体"/>
          <w:b/>
          <w:bCs/>
          <w:kern w:val="0"/>
          <w:sz w:val="24"/>
        </w:rPr>
      </w:pPr>
    </w:p>
    <w:p w14:paraId="1108B4AC">
      <w:pPr>
        <w:pStyle w:val="4"/>
        <w:ind w:firstLine="480"/>
        <w:rPr>
          <w:rFonts w:ascii="宋体" w:hAnsi="宋体" w:cs="宋体"/>
          <w:b/>
          <w:bCs/>
          <w:kern w:val="0"/>
          <w:sz w:val="24"/>
        </w:rPr>
      </w:pPr>
    </w:p>
    <w:p w14:paraId="5103CAE2">
      <w:pPr>
        <w:pStyle w:val="5"/>
        <w:rPr>
          <w:rFonts w:hAnsi="宋体"/>
          <w:b/>
          <w:bCs/>
          <w:color w:val="auto"/>
        </w:rPr>
      </w:pPr>
    </w:p>
    <w:p w14:paraId="7F07CBEB">
      <w:pPr>
        <w:pStyle w:val="5"/>
        <w:rPr>
          <w:rFonts w:hAnsi="宋体"/>
          <w:b/>
          <w:bCs/>
          <w:color w:val="auto"/>
        </w:rPr>
      </w:pPr>
    </w:p>
    <w:p w14:paraId="49F91498">
      <w:pPr>
        <w:ind w:firstLine="422"/>
        <w:rPr>
          <w:rFonts w:ascii="宋体" w:hAnsi="宋体" w:cs="宋体"/>
        </w:rPr>
      </w:pPr>
      <w:r>
        <w:rPr>
          <w:rFonts w:hint="eastAsia" w:ascii="宋体" w:hAnsi="宋体" w:cs="宋体"/>
        </w:rPr>
        <w:br w:type="page"/>
      </w:r>
    </w:p>
    <w:p w14:paraId="4558F2B8">
      <w:pPr>
        <w:pStyle w:val="2"/>
      </w:pPr>
      <w:bookmarkStart w:id="67" w:name="_Toc24743"/>
      <w:bookmarkStart w:id="68" w:name="_Toc31798"/>
      <w:r>
        <w:rPr>
          <w:rFonts w:hint="eastAsia"/>
        </w:rPr>
        <w:t>附件1              响应文件封面（格式）</w:t>
      </w:r>
      <w:bookmarkEnd w:id="67"/>
      <w:bookmarkEnd w:id="68"/>
    </w:p>
    <w:p w14:paraId="69C8A10D">
      <w:pPr>
        <w:widowControl/>
        <w:wordWrap w:val="0"/>
        <w:spacing w:line="460" w:lineRule="exact"/>
        <w:ind w:firstLine="482" w:firstLineChars="200"/>
        <w:jc w:val="center"/>
        <w:rPr>
          <w:rFonts w:ascii="宋体" w:hAnsi="宋体" w:cs="宋体"/>
          <w:b/>
          <w:kern w:val="0"/>
          <w:sz w:val="24"/>
        </w:rPr>
      </w:pPr>
    </w:p>
    <w:p w14:paraId="40ACAB0D">
      <w:pPr>
        <w:snapToGrid w:val="0"/>
        <w:spacing w:line="360" w:lineRule="auto"/>
        <w:ind w:firstLine="883"/>
        <w:jc w:val="center"/>
        <w:rPr>
          <w:rFonts w:ascii="宋体" w:hAnsi="宋体" w:cs="宋体"/>
          <w:b/>
          <w:spacing w:val="90"/>
          <w:sz w:val="52"/>
          <w:szCs w:val="52"/>
        </w:rPr>
      </w:pPr>
      <w:r>
        <w:rPr>
          <w:rFonts w:hint="eastAsia" w:ascii="宋体" w:hAnsi="宋体" w:cs="宋体"/>
          <w:b/>
          <w:snapToGrid w:val="0"/>
          <w:kern w:val="0"/>
          <w:sz w:val="44"/>
          <w:szCs w:val="44"/>
        </w:rPr>
        <w:t>驻马店市中心医院项目</w:t>
      </w:r>
    </w:p>
    <w:p w14:paraId="2DE560B4">
      <w:pPr>
        <w:snapToGrid w:val="0"/>
        <w:spacing w:line="360" w:lineRule="auto"/>
        <w:ind w:firstLine="1404"/>
        <w:jc w:val="center"/>
        <w:rPr>
          <w:rFonts w:ascii="宋体" w:hAnsi="宋体" w:cs="宋体"/>
          <w:b/>
          <w:spacing w:val="90"/>
          <w:sz w:val="52"/>
          <w:szCs w:val="52"/>
        </w:rPr>
      </w:pPr>
      <w:r>
        <w:rPr>
          <w:rFonts w:hint="eastAsia" w:ascii="宋体" w:hAnsi="宋体" w:cs="宋体"/>
          <w:b/>
          <w:spacing w:val="90"/>
          <w:sz w:val="52"/>
          <w:szCs w:val="52"/>
        </w:rPr>
        <w:t>响应文件</w:t>
      </w:r>
    </w:p>
    <w:p w14:paraId="19826E68">
      <w:pPr>
        <w:spacing w:line="360" w:lineRule="auto"/>
        <w:ind w:firstLine="562"/>
        <w:rPr>
          <w:rFonts w:ascii="宋体" w:hAnsi="宋体" w:cs="宋体"/>
          <w:sz w:val="28"/>
        </w:rPr>
      </w:pPr>
    </w:p>
    <w:p w14:paraId="75C041C2">
      <w:pPr>
        <w:pStyle w:val="5"/>
        <w:spacing w:line="360" w:lineRule="auto"/>
        <w:rPr>
          <w:rFonts w:hAnsi="宋体"/>
          <w:color w:val="auto"/>
        </w:rPr>
      </w:pPr>
    </w:p>
    <w:p w14:paraId="6A9DF57C">
      <w:pPr>
        <w:pStyle w:val="5"/>
        <w:spacing w:line="360" w:lineRule="auto"/>
        <w:rPr>
          <w:rFonts w:hAnsi="宋体"/>
          <w:color w:val="auto"/>
        </w:rPr>
      </w:pPr>
    </w:p>
    <w:p w14:paraId="79CB73C4">
      <w:pPr>
        <w:spacing w:line="360" w:lineRule="auto"/>
        <w:ind w:firstLine="482"/>
        <w:rPr>
          <w:rFonts w:ascii="宋体" w:hAnsi="宋体" w:cs="宋体"/>
          <w:sz w:val="28"/>
        </w:rPr>
      </w:pPr>
      <w:r>
        <w:rPr>
          <w:rFonts w:hint="eastAsia" w:ascii="宋体" w:hAnsi="宋体" w:cs="宋体"/>
          <w:b/>
          <w:color w:val="000000"/>
          <w:kern w:val="0"/>
          <w:sz w:val="24"/>
        </w:rPr>
        <w:t xml:space="preserve">                     包号及包名称：</w:t>
      </w:r>
    </w:p>
    <w:p w14:paraId="3722626C">
      <w:pPr>
        <w:spacing w:line="360" w:lineRule="auto"/>
        <w:ind w:firstLine="562"/>
        <w:rPr>
          <w:rFonts w:ascii="宋体" w:hAnsi="宋体" w:cs="宋体"/>
          <w:sz w:val="28"/>
        </w:rPr>
      </w:pPr>
    </w:p>
    <w:p w14:paraId="4F8F0F71">
      <w:pPr>
        <w:spacing w:line="360" w:lineRule="auto"/>
        <w:ind w:firstLine="562"/>
        <w:rPr>
          <w:rFonts w:ascii="宋体" w:hAnsi="宋体" w:cs="宋体"/>
          <w:sz w:val="28"/>
        </w:rPr>
      </w:pPr>
    </w:p>
    <w:p w14:paraId="68C898E3">
      <w:pPr>
        <w:spacing w:line="360" w:lineRule="auto"/>
        <w:ind w:firstLine="562"/>
        <w:rPr>
          <w:rFonts w:ascii="宋体" w:hAnsi="宋体" w:cs="宋体"/>
          <w:sz w:val="28"/>
        </w:rPr>
      </w:pPr>
    </w:p>
    <w:p w14:paraId="390F6E1E">
      <w:pPr>
        <w:spacing w:line="360" w:lineRule="auto"/>
        <w:ind w:firstLine="562"/>
        <w:jc w:val="center"/>
        <w:rPr>
          <w:rFonts w:ascii="宋体" w:hAnsi="宋体" w:cs="宋体"/>
          <w:sz w:val="28"/>
          <w:szCs w:val="28"/>
        </w:rPr>
      </w:pPr>
      <w:r>
        <w:rPr>
          <w:rFonts w:hint="eastAsia" w:ascii="宋体" w:hAnsi="宋体" w:cs="宋体"/>
          <w:sz w:val="28"/>
          <w:szCs w:val="28"/>
        </w:rPr>
        <w:t>供应商：</w:t>
      </w:r>
      <w:r>
        <w:rPr>
          <w:rFonts w:hint="eastAsia" w:ascii="宋体" w:hAnsi="宋体" w:cs="宋体"/>
          <w:sz w:val="28"/>
          <w:szCs w:val="28"/>
          <w:u w:val="single"/>
          <w:lang w:val="en-US" w:eastAsia="zh-CN"/>
        </w:rPr>
        <w:t xml:space="preserve">                  </w:t>
      </w:r>
      <w:r>
        <w:rPr>
          <w:rFonts w:hint="eastAsia" w:ascii="宋体" w:hAnsi="宋体" w:cs="宋体"/>
          <w:sz w:val="28"/>
          <w:szCs w:val="28"/>
        </w:rPr>
        <w:t>（全称并加盖公章）</w:t>
      </w:r>
    </w:p>
    <w:p w14:paraId="110068E9">
      <w:pPr>
        <w:widowControl/>
        <w:wordWrap w:val="0"/>
        <w:spacing w:line="460" w:lineRule="exact"/>
        <w:ind w:firstLine="1587" w:firstLineChars="567"/>
        <w:jc w:val="both"/>
        <w:rPr>
          <w:rFonts w:ascii="宋体" w:hAnsi="宋体" w:cs="宋体"/>
          <w:sz w:val="28"/>
          <w:szCs w:val="28"/>
        </w:rPr>
      </w:pPr>
      <w:r>
        <w:rPr>
          <w:rFonts w:hint="eastAsia" w:ascii="宋体" w:hAnsi="宋体" w:cs="宋体"/>
          <w:sz w:val="28"/>
          <w:szCs w:val="28"/>
        </w:rPr>
        <w:t>法定代表人或委托代理人（签字或盖章）：</w:t>
      </w:r>
    </w:p>
    <w:p w14:paraId="072F06A3">
      <w:pPr>
        <w:widowControl/>
        <w:wordWrap w:val="0"/>
        <w:spacing w:line="460" w:lineRule="exact"/>
        <w:ind w:firstLine="562"/>
        <w:jc w:val="center"/>
        <w:rPr>
          <w:rFonts w:ascii="宋体" w:hAnsi="宋体" w:cs="宋体"/>
          <w:b/>
          <w:kern w:val="0"/>
          <w:sz w:val="24"/>
        </w:rPr>
      </w:pPr>
      <w:r>
        <w:rPr>
          <w:rFonts w:hint="eastAsia" w:ascii="宋体" w:hAnsi="宋体" w:cs="宋体"/>
          <w:sz w:val="28"/>
          <w:szCs w:val="28"/>
        </w:rPr>
        <w:t>年   月   日</w:t>
      </w:r>
    </w:p>
    <w:p w14:paraId="5D9046FD">
      <w:pPr>
        <w:widowControl/>
        <w:wordWrap w:val="0"/>
        <w:spacing w:line="460" w:lineRule="exact"/>
        <w:ind w:firstLine="482" w:firstLineChars="200"/>
        <w:jc w:val="left"/>
        <w:rPr>
          <w:rFonts w:ascii="宋体" w:hAnsi="宋体" w:cs="宋体"/>
          <w:b/>
          <w:kern w:val="0"/>
          <w:sz w:val="24"/>
        </w:rPr>
      </w:pPr>
    </w:p>
    <w:p w14:paraId="60B52A7F">
      <w:pPr>
        <w:pStyle w:val="4"/>
        <w:ind w:firstLine="480"/>
        <w:rPr>
          <w:rFonts w:ascii="宋体" w:hAnsi="宋体" w:cs="宋体"/>
          <w:b/>
          <w:kern w:val="0"/>
          <w:sz w:val="24"/>
        </w:rPr>
      </w:pPr>
    </w:p>
    <w:p w14:paraId="1A1F389F">
      <w:pPr>
        <w:ind w:firstLine="482"/>
        <w:rPr>
          <w:rFonts w:ascii="宋体" w:hAnsi="宋体" w:cs="宋体"/>
          <w:b/>
          <w:kern w:val="0"/>
          <w:sz w:val="24"/>
        </w:rPr>
      </w:pPr>
      <w:r>
        <w:rPr>
          <w:rFonts w:hint="eastAsia" w:ascii="宋体" w:hAnsi="宋体" w:cs="宋体"/>
          <w:b/>
          <w:kern w:val="0"/>
          <w:sz w:val="24"/>
        </w:rPr>
        <w:br w:type="page"/>
      </w:r>
    </w:p>
    <w:p w14:paraId="0D1260E2">
      <w:pPr>
        <w:pStyle w:val="2"/>
      </w:pPr>
      <w:bookmarkStart w:id="69" w:name="_Toc14560"/>
      <w:bookmarkStart w:id="70" w:name="_Toc8818"/>
      <w:r>
        <w:rPr>
          <w:rFonts w:hint="eastAsia"/>
        </w:rPr>
        <w:t>附件2      竞争性磋商响应书（格式）</w:t>
      </w:r>
      <w:bookmarkEnd w:id="69"/>
      <w:bookmarkEnd w:id="70"/>
    </w:p>
    <w:p w14:paraId="72996F04">
      <w:pPr>
        <w:wordWrap w:val="0"/>
        <w:snapToGrid w:val="0"/>
        <w:spacing w:line="460" w:lineRule="exact"/>
        <w:ind w:firstLine="422"/>
        <w:jc w:val="left"/>
        <w:rPr>
          <w:rFonts w:ascii="宋体" w:hAnsi="宋体" w:cs="宋体"/>
          <w:kern w:val="0"/>
          <w:szCs w:val="21"/>
        </w:rPr>
      </w:pPr>
      <w:r>
        <w:rPr>
          <w:rFonts w:hint="eastAsia" w:ascii="宋体" w:hAnsi="宋体" w:cs="宋体"/>
          <w:kern w:val="0"/>
          <w:szCs w:val="21"/>
        </w:rPr>
        <w:t>致：</w:t>
      </w:r>
      <w:r>
        <w:rPr>
          <w:rFonts w:hint="eastAsia" w:ascii="宋体" w:hAnsi="宋体" w:cs="宋体"/>
          <w:kern w:val="0"/>
          <w:szCs w:val="21"/>
          <w:u w:val="single"/>
        </w:rPr>
        <w:t xml:space="preserve"> （采购人名称）</w:t>
      </w:r>
      <w:r>
        <w:rPr>
          <w:rFonts w:hint="eastAsia" w:ascii="宋体" w:hAnsi="宋体" w:cs="宋体"/>
          <w:kern w:val="0"/>
          <w:szCs w:val="21"/>
        </w:rPr>
        <w:t>：</w:t>
      </w:r>
    </w:p>
    <w:p w14:paraId="5B60FB4E">
      <w:pPr>
        <w:wordWrap w:val="0"/>
        <w:spacing w:line="460" w:lineRule="exact"/>
        <w:ind w:firstLine="525" w:firstLineChars="250"/>
        <w:jc w:val="left"/>
        <w:rPr>
          <w:rFonts w:ascii="宋体" w:hAnsi="宋体" w:cs="宋体"/>
          <w:kern w:val="0"/>
          <w:szCs w:val="21"/>
        </w:rPr>
      </w:pPr>
      <w:r>
        <w:rPr>
          <w:rFonts w:hint="eastAsia" w:ascii="宋体" w:hAnsi="宋体" w:cs="宋体"/>
          <w:kern w:val="0"/>
          <w:szCs w:val="21"/>
          <w:u w:val="single"/>
        </w:rPr>
        <w:t>（供应商名称）</w:t>
      </w:r>
      <w:r>
        <w:rPr>
          <w:rFonts w:hint="eastAsia" w:ascii="宋体" w:hAnsi="宋体" w:cs="宋体"/>
          <w:kern w:val="0"/>
          <w:szCs w:val="21"/>
        </w:rPr>
        <w:t>现委托（姓名）为我方代理人，参加贵方组织的项目的磋商。现正式提交下述文件1份：</w:t>
      </w:r>
    </w:p>
    <w:p w14:paraId="71ABA472">
      <w:pPr>
        <w:wordWrap w:val="0"/>
        <w:spacing w:line="460" w:lineRule="exact"/>
        <w:ind w:firstLine="420" w:firstLineChars="200"/>
        <w:jc w:val="left"/>
        <w:rPr>
          <w:rFonts w:ascii="宋体" w:hAnsi="宋体" w:cs="宋体"/>
          <w:kern w:val="0"/>
          <w:szCs w:val="21"/>
        </w:rPr>
      </w:pPr>
      <w:r>
        <w:rPr>
          <w:rFonts w:hint="eastAsia" w:ascii="宋体" w:hAnsi="宋体" w:cs="宋体"/>
          <w:kern w:val="0"/>
          <w:szCs w:val="21"/>
        </w:rPr>
        <w:t>1、初次报价一览表。</w:t>
      </w:r>
    </w:p>
    <w:p w14:paraId="62FC09F6">
      <w:pPr>
        <w:wordWrap w:val="0"/>
        <w:spacing w:line="460" w:lineRule="exact"/>
        <w:ind w:firstLine="420" w:firstLineChars="200"/>
        <w:jc w:val="left"/>
        <w:rPr>
          <w:rFonts w:ascii="宋体" w:hAnsi="宋体" w:cs="宋体"/>
          <w:kern w:val="0"/>
          <w:szCs w:val="21"/>
        </w:rPr>
      </w:pPr>
      <w:r>
        <w:rPr>
          <w:rFonts w:hint="eastAsia" w:ascii="宋体" w:hAnsi="宋体" w:cs="宋体"/>
          <w:kern w:val="0"/>
          <w:szCs w:val="21"/>
        </w:rPr>
        <w:t>2、报价明细表。</w:t>
      </w:r>
    </w:p>
    <w:p w14:paraId="51F14D43">
      <w:pPr>
        <w:wordWrap w:val="0"/>
        <w:spacing w:line="460" w:lineRule="exact"/>
        <w:ind w:firstLine="420" w:firstLineChars="200"/>
        <w:jc w:val="left"/>
        <w:rPr>
          <w:rFonts w:ascii="宋体" w:hAnsi="宋体" w:cs="宋体"/>
          <w:kern w:val="0"/>
          <w:szCs w:val="21"/>
        </w:rPr>
      </w:pPr>
      <w:r>
        <w:rPr>
          <w:rFonts w:hint="eastAsia" w:ascii="宋体" w:hAnsi="宋体" w:cs="宋体"/>
          <w:kern w:val="0"/>
          <w:szCs w:val="21"/>
        </w:rPr>
        <w:t>3、技术响应表。</w:t>
      </w:r>
    </w:p>
    <w:p w14:paraId="4A69C7FA">
      <w:pPr>
        <w:wordWrap w:val="0"/>
        <w:spacing w:line="460" w:lineRule="exact"/>
        <w:ind w:firstLine="420" w:firstLineChars="200"/>
        <w:jc w:val="left"/>
        <w:rPr>
          <w:rFonts w:ascii="宋体" w:hAnsi="宋体" w:cs="宋体"/>
          <w:kern w:val="0"/>
          <w:szCs w:val="21"/>
        </w:rPr>
      </w:pPr>
      <w:r>
        <w:rPr>
          <w:rFonts w:hint="eastAsia" w:ascii="宋体" w:hAnsi="宋体" w:cs="宋体"/>
          <w:kern w:val="0"/>
          <w:szCs w:val="21"/>
        </w:rPr>
        <w:t>4、商务响应表。</w:t>
      </w:r>
    </w:p>
    <w:p w14:paraId="52FFD458">
      <w:pPr>
        <w:wordWrap w:val="0"/>
        <w:spacing w:line="460" w:lineRule="exact"/>
        <w:ind w:firstLine="420" w:firstLineChars="200"/>
        <w:jc w:val="left"/>
        <w:rPr>
          <w:rFonts w:ascii="宋体" w:hAnsi="宋体" w:cs="宋体"/>
          <w:kern w:val="0"/>
          <w:szCs w:val="21"/>
        </w:rPr>
      </w:pPr>
      <w:r>
        <w:rPr>
          <w:rFonts w:hint="eastAsia" w:ascii="宋体" w:hAnsi="宋体" w:cs="宋体"/>
          <w:kern w:val="0"/>
          <w:szCs w:val="21"/>
        </w:rPr>
        <w:t>5、证明文件。</w:t>
      </w:r>
    </w:p>
    <w:p w14:paraId="6012FE6B">
      <w:pPr>
        <w:wordWrap w:val="0"/>
        <w:snapToGrid w:val="0"/>
        <w:spacing w:line="460" w:lineRule="exact"/>
        <w:ind w:firstLine="420" w:firstLineChars="200"/>
        <w:jc w:val="left"/>
        <w:rPr>
          <w:rFonts w:ascii="宋体" w:hAnsi="宋体" w:cs="宋体"/>
          <w:kern w:val="0"/>
          <w:szCs w:val="21"/>
        </w:rPr>
      </w:pPr>
      <w:r>
        <w:rPr>
          <w:rFonts w:hint="eastAsia" w:ascii="宋体" w:hAnsi="宋体" w:cs="宋体"/>
          <w:kern w:val="0"/>
          <w:szCs w:val="21"/>
        </w:rPr>
        <w:t>为便于贵方公正、择优地确定成交供应商及其投标产品和服务，我方就本次投标有关事项郑重声明并宣布同意如下：</w:t>
      </w:r>
    </w:p>
    <w:p w14:paraId="7C2EB476">
      <w:pPr>
        <w:wordWrap w:val="0"/>
        <w:spacing w:line="360" w:lineRule="auto"/>
        <w:ind w:firstLine="420" w:firstLineChars="200"/>
        <w:jc w:val="left"/>
        <w:rPr>
          <w:rFonts w:ascii="宋体" w:hAnsi="宋体" w:cs="宋体"/>
          <w:kern w:val="0"/>
          <w:szCs w:val="21"/>
        </w:rPr>
      </w:pPr>
      <w:r>
        <w:rPr>
          <w:rFonts w:hint="eastAsia" w:ascii="宋体" w:hAnsi="宋体" w:cs="宋体"/>
          <w:kern w:val="0"/>
          <w:szCs w:val="21"/>
        </w:rPr>
        <w:t>1、我方承诺已经具备采购文件中规定的参加政府采购活动的供应商应当具备的条件。我方愿意向贵方提供任何与本采购项目投标有关的数据、情况和技术资料，并根据需要提供一切承诺的证明材料，并保证其真实、合法、有效。</w:t>
      </w:r>
    </w:p>
    <w:p w14:paraId="0C71CCF7">
      <w:pPr>
        <w:wordWrap w:val="0"/>
        <w:snapToGrid w:val="0"/>
        <w:spacing w:line="460" w:lineRule="exact"/>
        <w:ind w:firstLine="420" w:firstLineChars="200"/>
        <w:jc w:val="left"/>
        <w:rPr>
          <w:rFonts w:ascii="宋体" w:hAnsi="宋体" w:cs="宋体"/>
          <w:kern w:val="0"/>
          <w:szCs w:val="21"/>
        </w:rPr>
      </w:pPr>
      <w:r>
        <w:rPr>
          <w:rFonts w:hint="eastAsia" w:ascii="宋体" w:hAnsi="宋体" w:cs="宋体"/>
          <w:kern w:val="0"/>
          <w:szCs w:val="21"/>
        </w:rPr>
        <w:t>2、我方承诺在磋商活动中提供的各种材料真实有效。</w:t>
      </w:r>
    </w:p>
    <w:p w14:paraId="01F28D1A">
      <w:pPr>
        <w:wordWrap w:val="0"/>
        <w:snapToGrid w:val="0"/>
        <w:spacing w:line="460" w:lineRule="exact"/>
        <w:ind w:firstLine="420" w:firstLineChars="200"/>
        <w:jc w:val="left"/>
        <w:rPr>
          <w:rFonts w:ascii="宋体" w:hAnsi="宋体" w:cs="宋体"/>
          <w:kern w:val="0"/>
          <w:szCs w:val="21"/>
        </w:rPr>
      </w:pPr>
      <w:r>
        <w:rPr>
          <w:rFonts w:hint="eastAsia" w:ascii="宋体" w:hAnsi="宋体" w:cs="宋体"/>
          <w:kern w:val="0"/>
          <w:szCs w:val="21"/>
        </w:rPr>
        <w:t>3、我方同意在响应文件有效期内遵守本响应文件中的承诺且在此期限期满之前均具有约束力。如果我方成交，响应文件有效期与合同履行期相同。</w:t>
      </w:r>
    </w:p>
    <w:p w14:paraId="331E767E">
      <w:pPr>
        <w:wordWrap w:val="0"/>
        <w:snapToGrid w:val="0"/>
        <w:spacing w:line="460" w:lineRule="exact"/>
        <w:ind w:firstLine="420" w:firstLineChars="200"/>
        <w:jc w:val="left"/>
        <w:rPr>
          <w:rFonts w:ascii="宋体" w:hAnsi="宋体" w:cs="宋体"/>
          <w:kern w:val="0"/>
          <w:szCs w:val="21"/>
        </w:rPr>
      </w:pPr>
      <w:r>
        <w:rPr>
          <w:rFonts w:hint="eastAsia" w:ascii="宋体" w:hAnsi="宋体" w:cs="宋体"/>
          <w:kern w:val="0"/>
          <w:szCs w:val="21"/>
        </w:rPr>
        <w:t>4、我方已详细审查全部采购文件，包括修改文件（如有的话）和有关附件，将自行承担因对全部采购文件理解不正确或误解而产生的相应后果。</w:t>
      </w:r>
    </w:p>
    <w:p w14:paraId="67FFA929">
      <w:pPr>
        <w:wordWrap w:val="0"/>
        <w:spacing w:line="360" w:lineRule="auto"/>
        <w:ind w:firstLine="420" w:firstLineChars="200"/>
        <w:jc w:val="left"/>
        <w:rPr>
          <w:rFonts w:ascii="宋体" w:hAnsi="宋体" w:cs="宋体"/>
          <w:kern w:val="0"/>
          <w:szCs w:val="21"/>
        </w:rPr>
      </w:pPr>
      <w:r>
        <w:rPr>
          <w:rFonts w:hint="eastAsia" w:ascii="宋体" w:hAnsi="宋体" w:cs="宋体"/>
          <w:kern w:val="0"/>
          <w:szCs w:val="21"/>
        </w:rPr>
        <w:t>5、我方保证尊重磋商小组的评审结果，完全理解本采购项目最低投标价不作为成交的保证。</w:t>
      </w:r>
    </w:p>
    <w:p w14:paraId="0071657E">
      <w:pPr>
        <w:wordWrap w:val="0"/>
        <w:spacing w:line="360" w:lineRule="auto"/>
        <w:ind w:firstLine="420" w:firstLineChars="200"/>
        <w:jc w:val="left"/>
        <w:rPr>
          <w:rFonts w:ascii="宋体" w:hAnsi="宋体" w:cs="宋体"/>
          <w:kern w:val="0"/>
          <w:szCs w:val="21"/>
        </w:rPr>
      </w:pPr>
      <w:r>
        <w:rPr>
          <w:rFonts w:hint="eastAsia" w:ascii="宋体" w:hAnsi="宋体" w:cs="宋体"/>
          <w:kern w:val="0"/>
          <w:szCs w:val="21"/>
        </w:rPr>
        <w:t>6、我方理解并遵守采购文件的全部规定，接受采购文件中政府采购合同的全部条款且无任何异议。</w:t>
      </w:r>
    </w:p>
    <w:p w14:paraId="091A540A">
      <w:pPr>
        <w:wordWrap w:val="0"/>
        <w:snapToGrid w:val="0"/>
        <w:spacing w:line="460" w:lineRule="exact"/>
        <w:ind w:firstLine="420" w:firstLineChars="200"/>
        <w:jc w:val="left"/>
        <w:rPr>
          <w:rFonts w:ascii="宋体" w:hAnsi="宋体" w:cs="宋体"/>
          <w:kern w:val="0"/>
          <w:szCs w:val="21"/>
        </w:rPr>
      </w:pPr>
      <w:r>
        <w:rPr>
          <w:rFonts w:hint="eastAsia" w:ascii="宋体" w:hAnsi="宋体" w:cs="宋体"/>
          <w:kern w:val="0"/>
          <w:szCs w:val="21"/>
        </w:rPr>
        <w:t>7、如果我方代表</w:t>
      </w:r>
      <w:r>
        <w:rPr>
          <w:rFonts w:hint="eastAsia" w:ascii="宋体" w:hAnsi="宋体" w:cs="宋体"/>
          <w:bCs/>
          <w:kern w:val="0"/>
          <w:szCs w:val="21"/>
        </w:rPr>
        <w:t>未按时参加开标的，视同放弃开标监督权利，认可开标结果。</w:t>
      </w:r>
    </w:p>
    <w:p w14:paraId="604D30E8">
      <w:pPr>
        <w:wordWrap w:val="0"/>
        <w:spacing w:line="460" w:lineRule="exact"/>
        <w:ind w:firstLine="420" w:firstLineChars="200"/>
        <w:jc w:val="left"/>
        <w:rPr>
          <w:rFonts w:ascii="宋体" w:hAnsi="宋体" w:cs="宋体"/>
          <w:kern w:val="0"/>
          <w:szCs w:val="21"/>
        </w:rPr>
      </w:pPr>
      <w:r>
        <w:rPr>
          <w:rFonts w:hint="eastAsia" w:ascii="宋体" w:hAnsi="宋体" w:cs="宋体"/>
          <w:kern w:val="0"/>
          <w:szCs w:val="21"/>
        </w:rPr>
        <w:t>8、如果我方存在供应商须知第9.3项所述情况，同意被认定为在经营活动中有重大违法记录。</w:t>
      </w:r>
    </w:p>
    <w:p w14:paraId="54659D69">
      <w:pPr>
        <w:wordWrap w:val="0"/>
        <w:spacing w:line="360" w:lineRule="auto"/>
        <w:ind w:firstLine="420" w:firstLineChars="200"/>
        <w:jc w:val="left"/>
        <w:rPr>
          <w:rFonts w:ascii="宋体" w:hAnsi="宋体" w:cs="宋体"/>
          <w:kern w:val="0"/>
          <w:szCs w:val="21"/>
        </w:rPr>
      </w:pPr>
      <w:r>
        <w:rPr>
          <w:rFonts w:hint="eastAsia" w:ascii="宋体" w:hAnsi="宋体" w:cs="宋体"/>
          <w:kern w:val="0"/>
          <w:szCs w:val="21"/>
        </w:rPr>
        <w:t>9、如果发生供应商须知第25.4.1、25.4.3项所述情况，同意我方投标被作为无效磋商处理。</w:t>
      </w:r>
    </w:p>
    <w:p w14:paraId="5DBBBBDB">
      <w:pPr>
        <w:wordWrap w:val="0"/>
        <w:spacing w:line="360" w:lineRule="auto"/>
        <w:ind w:firstLine="420" w:firstLineChars="200"/>
        <w:jc w:val="left"/>
        <w:rPr>
          <w:rFonts w:ascii="宋体" w:hAnsi="宋体" w:cs="宋体"/>
          <w:kern w:val="0"/>
          <w:szCs w:val="21"/>
        </w:rPr>
      </w:pPr>
      <w:r>
        <w:rPr>
          <w:rFonts w:hint="eastAsia" w:ascii="宋体" w:hAnsi="宋体" w:cs="宋体"/>
          <w:kern w:val="0"/>
          <w:szCs w:val="21"/>
        </w:rPr>
        <w:t>10、如果发生供应商须知第25.5项所述情况，同意磋商小组认定我方的行为属于串通投标的行为，并自愿接受监管部门的处罚。</w:t>
      </w:r>
    </w:p>
    <w:p w14:paraId="05A3E060">
      <w:pPr>
        <w:wordWrap w:val="0"/>
        <w:spacing w:line="460" w:lineRule="exact"/>
        <w:ind w:firstLine="420" w:firstLineChars="200"/>
        <w:jc w:val="left"/>
        <w:rPr>
          <w:rFonts w:ascii="宋体" w:hAnsi="宋体" w:cs="宋体"/>
          <w:kern w:val="0"/>
          <w:szCs w:val="21"/>
        </w:rPr>
      </w:pPr>
      <w:r>
        <w:rPr>
          <w:rFonts w:hint="eastAsia" w:ascii="宋体" w:hAnsi="宋体" w:cs="宋体"/>
          <w:kern w:val="0"/>
          <w:szCs w:val="21"/>
        </w:rPr>
        <w:t>11、如果现场变更采购方式，我方同意在不改变采购需求、资质条件等情况下，按变更后的采购方式的规定程序进行采购。</w:t>
      </w:r>
    </w:p>
    <w:p w14:paraId="14F1AE2A">
      <w:pPr>
        <w:wordWrap w:val="0"/>
        <w:snapToGrid w:val="0"/>
        <w:spacing w:line="460" w:lineRule="exact"/>
        <w:ind w:firstLine="420" w:firstLineChars="200"/>
        <w:jc w:val="left"/>
        <w:rPr>
          <w:rFonts w:ascii="宋体" w:hAnsi="宋体" w:cs="宋体"/>
          <w:kern w:val="0"/>
          <w:szCs w:val="21"/>
        </w:rPr>
      </w:pPr>
      <w:r>
        <w:rPr>
          <w:rFonts w:hint="eastAsia" w:ascii="宋体" w:hAnsi="宋体" w:cs="宋体"/>
          <w:kern w:val="0"/>
          <w:szCs w:val="21"/>
        </w:rPr>
        <w:t>12、如果被确定为成交供应商，我方同意按采购文件的规定领取成交通知书并缴纳服务费。否则，视为我方成交后自动放弃成交资格，承担由此引起的一切后果。</w:t>
      </w:r>
    </w:p>
    <w:p w14:paraId="37046FA6">
      <w:pPr>
        <w:wordWrap w:val="0"/>
        <w:spacing w:line="460" w:lineRule="exact"/>
        <w:ind w:firstLine="420" w:firstLineChars="200"/>
        <w:jc w:val="left"/>
        <w:rPr>
          <w:rFonts w:ascii="宋体" w:hAnsi="宋体" w:cs="宋体"/>
          <w:kern w:val="0"/>
          <w:szCs w:val="21"/>
        </w:rPr>
      </w:pPr>
      <w:r>
        <w:rPr>
          <w:rFonts w:hint="eastAsia" w:ascii="宋体" w:hAnsi="宋体" w:cs="宋体"/>
          <w:kern w:val="0"/>
          <w:szCs w:val="21"/>
        </w:rPr>
        <w:t>13、如果被确定为成交供应商，我方同意在领取成交通知书之日起</w:t>
      </w:r>
      <w:r>
        <w:rPr>
          <w:rFonts w:hint="eastAsia" w:ascii="宋体" w:hAnsi="宋体" w:cs="宋体"/>
          <w:kern w:val="0"/>
          <w:szCs w:val="21"/>
          <w:u w:val="single"/>
        </w:rPr>
        <w:t xml:space="preserve">  30  </w:t>
      </w:r>
      <w:r>
        <w:rPr>
          <w:rFonts w:hint="eastAsia" w:ascii="宋体" w:hAnsi="宋体" w:cs="宋体"/>
          <w:kern w:val="0"/>
          <w:szCs w:val="21"/>
        </w:rPr>
        <w:t>日内，按照采购文件的规定与采购人签订采购合同。否则，视为我方成交后无正当理由不与采购人签订合同并承担相应法律责任。</w:t>
      </w:r>
    </w:p>
    <w:p w14:paraId="66037544">
      <w:pPr>
        <w:wordWrap w:val="0"/>
        <w:snapToGrid w:val="0"/>
        <w:spacing w:line="460" w:lineRule="exact"/>
        <w:ind w:firstLine="420" w:firstLineChars="200"/>
        <w:jc w:val="left"/>
        <w:rPr>
          <w:rFonts w:ascii="宋体" w:hAnsi="宋体" w:cs="宋体"/>
          <w:kern w:val="0"/>
          <w:szCs w:val="21"/>
        </w:rPr>
      </w:pPr>
      <w:r>
        <w:rPr>
          <w:rFonts w:hint="eastAsia" w:ascii="宋体" w:hAnsi="宋体" w:cs="宋体"/>
          <w:kern w:val="0"/>
          <w:szCs w:val="21"/>
        </w:rPr>
        <w:t>14、我方最近3年内的被公开披露或查处的违法违规行为有：。</w:t>
      </w:r>
      <w:r>
        <w:rPr>
          <w:rFonts w:hint="eastAsia" w:ascii="宋体" w:hAnsi="宋体" w:cs="宋体"/>
          <w:b/>
          <w:bCs/>
          <w:kern w:val="0"/>
          <w:szCs w:val="21"/>
        </w:rPr>
        <w:t>（若无，则填无；若有，逐一列明）</w:t>
      </w:r>
    </w:p>
    <w:p w14:paraId="1206F9B9">
      <w:pPr>
        <w:tabs>
          <w:tab w:val="left" w:pos="939"/>
        </w:tabs>
        <w:wordWrap w:val="0"/>
        <w:snapToGrid w:val="0"/>
        <w:spacing w:line="460" w:lineRule="exact"/>
        <w:ind w:firstLine="420" w:firstLineChars="200"/>
        <w:jc w:val="left"/>
        <w:rPr>
          <w:rFonts w:ascii="宋体" w:hAnsi="宋体" w:cs="宋体"/>
          <w:kern w:val="0"/>
          <w:szCs w:val="21"/>
        </w:rPr>
      </w:pPr>
      <w:r>
        <w:rPr>
          <w:rFonts w:hint="eastAsia" w:ascii="宋体" w:hAnsi="宋体" w:cs="宋体"/>
          <w:kern w:val="0"/>
          <w:szCs w:val="21"/>
        </w:rPr>
        <w:t>15、以上事项如有虚假或隐瞒，我方愿意承担一切后果和责任。</w:t>
      </w:r>
    </w:p>
    <w:p w14:paraId="3EAB460C">
      <w:pPr>
        <w:wordWrap w:val="0"/>
        <w:spacing w:line="460" w:lineRule="exact"/>
        <w:ind w:firstLine="420" w:firstLineChars="200"/>
        <w:jc w:val="left"/>
        <w:rPr>
          <w:rFonts w:ascii="宋体" w:hAnsi="宋体" w:cs="宋体"/>
          <w:kern w:val="0"/>
          <w:szCs w:val="21"/>
        </w:rPr>
      </w:pPr>
      <w:r>
        <w:rPr>
          <w:rFonts w:hint="eastAsia" w:ascii="宋体" w:hAnsi="宋体" w:cs="宋体"/>
          <w:kern w:val="0"/>
          <w:szCs w:val="21"/>
        </w:rPr>
        <w:t>16、与磋商有关的一切正式往来通讯请寄（地址电话必须为最新并可以联系到）：</w:t>
      </w:r>
    </w:p>
    <w:p w14:paraId="3D73F5AF">
      <w:pPr>
        <w:wordWrap w:val="0"/>
        <w:spacing w:line="460" w:lineRule="exact"/>
        <w:ind w:firstLine="420" w:firstLineChars="200"/>
        <w:jc w:val="left"/>
        <w:rPr>
          <w:rFonts w:ascii="宋体" w:hAnsi="宋体" w:cs="宋体"/>
          <w:kern w:val="0"/>
          <w:szCs w:val="21"/>
          <w:u w:val="single"/>
        </w:rPr>
      </w:pPr>
      <w:r>
        <w:rPr>
          <w:rFonts w:hint="eastAsia" w:ascii="宋体" w:hAnsi="宋体" w:cs="宋体"/>
          <w:kern w:val="0"/>
          <w:szCs w:val="21"/>
        </w:rPr>
        <w:t xml:space="preserve">   地址：     邮编：</w:t>
      </w:r>
    </w:p>
    <w:p w14:paraId="050A4403">
      <w:pPr>
        <w:wordWrap w:val="0"/>
        <w:spacing w:line="460" w:lineRule="exact"/>
        <w:ind w:firstLine="420" w:firstLineChars="200"/>
        <w:jc w:val="left"/>
        <w:rPr>
          <w:rFonts w:ascii="宋体" w:hAnsi="宋体" w:cs="宋体"/>
          <w:kern w:val="0"/>
          <w:szCs w:val="21"/>
          <w:u w:val="single"/>
        </w:rPr>
      </w:pPr>
      <w:r>
        <w:rPr>
          <w:rFonts w:hint="eastAsia" w:ascii="宋体" w:hAnsi="宋体" w:cs="宋体"/>
          <w:kern w:val="0"/>
          <w:szCs w:val="21"/>
        </w:rPr>
        <w:t xml:space="preserve">   电话：     传真： </w:t>
      </w:r>
    </w:p>
    <w:p w14:paraId="53774F77">
      <w:pPr>
        <w:wordWrap w:val="0"/>
        <w:spacing w:line="460" w:lineRule="exact"/>
        <w:ind w:firstLine="420" w:firstLineChars="200"/>
        <w:jc w:val="left"/>
        <w:rPr>
          <w:rFonts w:ascii="宋体" w:hAnsi="宋体" w:cs="宋体"/>
          <w:kern w:val="0"/>
          <w:szCs w:val="21"/>
        </w:rPr>
      </w:pPr>
    </w:p>
    <w:p w14:paraId="35869B7F">
      <w:pPr>
        <w:wordWrap w:val="0"/>
        <w:spacing w:line="460" w:lineRule="exact"/>
        <w:ind w:firstLine="735" w:firstLineChars="350"/>
        <w:jc w:val="left"/>
        <w:rPr>
          <w:rFonts w:ascii="宋体" w:hAnsi="宋体" w:cs="宋体"/>
          <w:kern w:val="0"/>
          <w:szCs w:val="21"/>
          <w:u w:val="single"/>
        </w:rPr>
      </w:pPr>
      <w:r>
        <w:rPr>
          <w:rFonts w:hint="eastAsia" w:ascii="宋体" w:hAnsi="宋体" w:cs="宋体"/>
          <w:szCs w:val="21"/>
        </w:rPr>
        <w:t>法定代表人或委托代理人（签字</w:t>
      </w:r>
      <w:r>
        <w:rPr>
          <w:rFonts w:hint="eastAsia" w:ascii="宋体" w:hAnsi="宋体" w:cs="宋体"/>
          <w:kern w:val="0"/>
          <w:szCs w:val="21"/>
        </w:rPr>
        <w:t>或盖章</w:t>
      </w:r>
      <w:r>
        <w:rPr>
          <w:rFonts w:hint="eastAsia" w:ascii="宋体" w:hAnsi="宋体" w:cs="宋体"/>
          <w:szCs w:val="21"/>
        </w:rPr>
        <w:t>）</w:t>
      </w:r>
      <w:r>
        <w:rPr>
          <w:rFonts w:hint="eastAsia" w:ascii="宋体" w:hAnsi="宋体" w:cs="宋体"/>
          <w:kern w:val="0"/>
          <w:szCs w:val="21"/>
        </w:rPr>
        <w:t xml:space="preserve">： </w:t>
      </w:r>
    </w:p>
    <w:p w14:paraId="136FDFD8">
      <w:pPr>
        <w:wordWrap w:val="0"/>
        <w:spacing w:line="460" w:lineRule="exact"/>
        <w:ind w:firstLine="420" w:firstLineChars="200"/>
        <w:jc w:val="left"/>
        <w:rPr>
          <w:rFonts w:ascii="宋体" w:hAnsi="宋体" w:cs="宋体"/>
          <w:kern w:val="0"/>
          <w:szCs w:val="21"/>
        </w:rPr>
      </w:pPr>
      <w:r>
        <w:rPr>
          <w:rFonts w:hint="eastAsia" w:ascii="宋体" w:hAnsi="宋体" w:cs="宋体"/>
          <w:kern w:val="0"/>
          <w:szCs w:val="21"/>
        </w:rPr>
        <w:t xml:space="preserve">   供应商：</w:t>
      </w:r>
      <w:r>
        <w:rPr>
          <w:rFonts w:hint="eastAsia" w:ascii="宋体" w:hAnsi="宋体" w:cs="宋体"/>
          <w:kern w:val="0"/>
          <w:szCs w:val="21"/>
          <w:u w:val="single"/>
          <w:lang w:val="en-US" w:eastAsia="zh-CN"/>
        </w:rPr>
        <w:t xml:space="preserve">                          </w:t>
      </w:r>
      <w:r>
        <w:rPr>
          <w:rFonts w:hint="eastAsia" w:ascii="宋体" w:hAnsi="宋体" w:cs="宋体"/>
          <w:kern w:val="0"/>
          <w:szCs w:val="21"/>
        </w:rPr>
        <w:t>（全称并加盖公章）</w:t>
      </w:r>
    </w:p>
    <w:p w14:paraId="6A907D82">
      <w:pPr>
        <w:snapToGrid w:val="0"/>
        <w:spacing w:line="460" w:lineRule="exact"/>
        <w:ind w:firstLine="1260" w:firstLineChars="600"/>
        <w:rPr>
          <w:rFonts w:ascii="宋体" w:hAnsi="宋体" w:cs="宋体"/>
          <w:kern w:val="0"/>
          <w:sz w:val="24"/>
        </w:rPr>
      </w:pPr>
      <w:r>
        <w:rPr>
          <w:rFonts w:hint="eastAsia" w:ascii="宋体" w:hAnsi="宋体" w:cs="宋体"/>
          <w:kern w:val="0"/>
          <w:szCs w:val="21"/>
        </w:rPr>
        <w:t xml:space="preserve">年    月   日 </w:t>
      </w:r>
    </w:p>
    <w:p w14:paraId="3B3D046A">
      <w:pPr>
        <w:widowControl/>
        <w:wordWrap w:val="0"/>
        <w:snapToGrid w:val="0"/>
        <w:spacing w:before="50" w:after="50" w:line="480" w:lineRule="auto"/>
        <w:ind w:firstLine="480"/>
        <w:jc w:val="left"/>
        <w:rPr>
          <w:rFonts w:ascii="宋体" w:hAnsi="宋体" w:cs="宋体"/>
          <w:b/>
          <w:kern w:val="0"/>
          <w:sz w:val="24"/>
        </w:rPr>
      </w:pPr>
    </w:p>
    <w:p w14:paraId="76066969">
      <w:pPr>
        <w:spacing w:line="500" w:lineRule="exact"/>
        <w:ind w:firstLine="480"/>
        <w:jc w:val="center"/>
        <w:rPr>
          <w:rFonts w:ascii="宋体" w:hAnsi="宋体" w:cs="宋体"/>
          <w:b/>
          <w:bCs/>
          <w:sz w:val="24"/>
        </w:rPr>
      </w:pPr>
    </w:p>
    <w:p w14:paraId="1E66B433">
      <w:pPr>
        <w:ind w:firstLine="562"/>
        <w:rPr>
          <w:rFonts w:ascii="宋体" w:hAnsi="宋体" w:cs="宋体"/>
          <w:sz w:val="28"/>
          <w:szCs w:val="28"/>
        </w:rPr>
      </w:pPr>
      <w:r>
        <w:rPr>
          <w:rFonts w:hint="eastAsia" w:ascii="宋体" w:hAnsi="宋体" w:cs="宋体"/>
          <w:sz w:val="28"/>
          <w:szCs w:val="28"/>
        </w:rPr>
        <w:br w:type="page"/>
      </w:r>
    </w:p>
    <w:p w14:paraId="0490A257">
      <w:pPr>
        <w:pStyle w:val="2"/>
      </w:pPr>
      <w:bookmarkStart w:id="71" w:name="_Toc7838"/>
      <w:r>
        <w:rPr>
          <w:rFonts w:hint="eastAsia"/>
        </w:rPr>
        <w:t>附件3            初次报价一览表</w:t>
      </w:r>
      <w:bookmarkEnd w:id="71"/>
      <w:r>
        <w:rPr>
          <w:rFonts w:hint="eastAsia"/>
        </w:rPr>
        <w:t>（格式）</w:t>
      </w:r>
    </w:p>
    <w:p w14:paraId="0232208D">
      <w:pPr>
        <w:rPr>
          <w:rFonts w:ascii="宋体" w:hAnsi="宋体" w:cs="宋体"/>
          <w:sz w:val="22"/>
        </w:rPr>
      </w:pPr>
      <w:r>
        <w:rPr>
          <w:rFonts w:hint="eastAsia" w:ascii="宋体" w:hAnsi="宋体" w:cs="宋体"/>
        </w:rPr>
        <w:t xml:space="preserve">包号：                                                               </w:t>
      </w:r>
      <w:r>
        <w:rPr>
          <w:rFonts w:hint="eastAsia" w:ascii="宋体" w:hAnsi="宋体" w:cs="宋体"/>
          <w:sz w:val="22"/>
        </w:rPr>
        <w:t>单位：人民币元</w:t>
      </w:r>
    </w:p>
    <w:tbl>
      <w:tblPr>
        <w:tblStyle w:val="34"/>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1"/>
        <w:gridCol w:w="8095"/>
      </w:tblGrid>
      <w:tr w14:paraId="448A1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91" w:type="dxa"/>
            <w:noWrap/>
            <w:vAlign w:val="center"/>
          </w:tcPr>
          <w:p w14:paraId="6C8639FA">
            <w:pPr>
              <w:keepNext w:val="0"/>
              <w:keepLines w:val="0"/>
              <w:pageBreakBefore w:val="0"/>
              <w:widowControl/>
              <w:kinsoku/>
              <w:wordWrap/>
              <w:overflowPunct/>
              <w:topLinePunct w:val="0"/>
              <w:autoSpaceDE/>
              <w:autoSpaceDN/>
              <w:bidi w:val="0"/>
              <w:adjustRightInd/>
              <w:snapToGrid w:val="0"/>
              <w:jc w:val="center"/>
              <w:textAlignment w:val="auto"/>
              <w:rPr>
                <w:rFonts w:ascii="宋体" w:hAnsi="宋体" w:cs="宋体"/>
                <w:szCs w:val="21"/>
              </w:rPr>
            </w:pPr>
            <w:r>
              <w:rPr>
                <w:rFonts w:hint="eastAsia" w:ascii="宋体" w:hAnsi="宋体" w:cs="宋体"/>
                <w:kern w:val="0"/>
                <w:szCs w:val="21"/>
              </w:rPr>
              <w:t>项目名称</w:t>
            </w:r>
          </w:p>
        </w:tc>
        <w:tc>
          <w:tcPr>
            <w:tcW w:w="8095" w:type="dxa"/>
            <w:noWrap/>
            <w:vAlign w:val="center"/>
          </w:tcPr>
          <w:p w14:paraId="706374F0">
            <w:pPr>
              <w:ind w:firstLine="422"/>
              <w:rPr>
                <w:rFonts w:ascii="宋体" w:hAnsi="宋体" w:cs="宋体"/>
                <w:bCs/>
                <w:szCs w:val="21"/>
              </w:rPr>
            </w:pPr>
          </w:p>
        </w:tc>
      </w:tr>
      <w:tr w14:paraId="77E97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91" w:type="dxa"/>
            <w:noWrap/>
            <w:vAlign w:val="center"/>
          </w:tcPr>
          <w:p w14:paraId="77442492">
            <w:pPr>
              <w:keepNext w:val="0"/>
              <w:keepLines w:val="0"/>
              <w:pageBreakBefore w:val="0"/>
              <w:widowControl/>
              <w:kinsoku/>
              <w:wordWrap/>
              <w:overflowPunct/>
              <w:topLinePunct w:val="0"/>
              <w:autoSpaceDE/>
              <w:autoSpaceDN/>
              <w:bidi w:val="0"/>
              <w:adjustRightInd/>
              <w:snapToGrid w:val="0"/>
              <w:jc w:val="center"/>
              <w:textAlignment w:val="auto"/>
              <w:rPr>
                <w:rFonts w:ascii="宋体" w:hAnsi="宋体" w:cs="宋体"/>
                <w:szCs w:val="21"/>
              </w:rPr>
            </w:pPr>
            <w:r>
              <w:rPr>
                <w:rFonts w:hint="eastAsia" w:ascii="宋体" w:hAnsi="宋体" w:cs="宋体"/>
                <w:kern w:val="0"/>
                <w:szCs w:val="21"/>
              </w:rPr>
              <w:t>供应商名称</w:t>
            </w:r>
          </w:p>
        </w:tc>
        <w:tc>
          <w:tcPr>
            <w:tcW w:w="8095" w:type="dxa"/>
            <w:noWrap/>
            <w:vAlign w:val="center"/>
          </w:tcPr>
          <w:p w14:paraId="5D8FEA72">
            <w:pPr>
              <w:ind w:firstLine="422"/>
              <w:rPr>
                <w:rFonts w:ascii="宋体" w:hAnsi="宋体" w:cs="宋体"/>
                <w:szCs w:val="21"/>
              </w:rPr>
            </w:pPr>
          </w:p>
        </w:tc>
      </w:tr>
      <w:tr w14:paraId="7D3C6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591" w:type="dxa"/>
            <w:noWrap/>
            <w:vAlign w:val="center"/>
          </w:tcPr>
          <w:p w14:paraId="16C1004C">
            <w:pPr>
              <w:keepNext w:val="0"/>
              <w:keepLines w:val="0"/>
              <w:pageBreakBefore w:val="0"/>
              <w:kinsoku/>
              <w:wordWrap/>
              <w:overflowPunct/>
              <w:topLinePunct w:val="0"/>
              <w:autoSpaceDE/>
              <w:autoSpaceDN/>
              <w:bidi w:val="0"/>
              <w:adjustRightInd/>
              <w:jc w:val="center"/>
              <w:textAlignment w:val="auto"/>
              <w:rPr>
                <w:rFonts w:ascii="宋体" w:hAnsi="宋体" w:cs="宋体"/>
                <w:spacing w:val="-20"/>
                <w:szCs w:val="21"/>
              </w:rPr>
            </w:pPr>
            <w:r>
              <w:rPr>
                <w:rFonts w:hint="eastAsia" w:ascii="宋体" w:hAnsi="宋体" w:cs="宋体"/>
                <w:szCs w:val="21"/>
              </w:rPr>
              <w:t>磋商报价</w:t>
            </w:r>
          </w:p>
        </w:tc>
        <w:tc>
          <w:tcPr>
            <w:tcW w:w="8095" w:type="dxa"/>
            <w:noWrap/>
            <w:vAlign w:val="center"/>
          </w:tcPr>
          <w:p w14:paraId="5EE49EE1">
            <w:pPr>
              <w:ind w:firstLine="422"/>
              <w:rPr>
                <w:rFonts w:ascii="宋体" w:hAnsi="宋体" w:cs="宋体"/>
                <w:color w:val="000000" w:themeColor="text1"/>
                <w:szCs w:val="21"/>
                <w:u w:val="single"/>
              </w:rPr>
            </w:pPr>
            <w:r>
              <w:rPr>
                <w:rFonts w:hint="eastAsia" w:ascii="宋体" w:hAnsi="宋体" w:cs="宋体"/>
                <w:color w:val="000000" w:themeColor="text1"/>
                <w:szCs w:val="21"/>
              </w:rPr>
              <w:t>大写：</w:t>
            </w:r>
          </w:p>
          <w:p w14:paraId="15922F30">
            <w:pPr>
              <w:ind w:firstLine="422"/>
              <w:rPr>
                <w:rFonts w:ascii="宋体" w:hAnsi="宋体" w:cs="宋体"/>
                <w:szCs w:val="21"/>
              </w:rPr>
            </w:pPr>
            <w:r>
              <w:rPr>
                <w:rFonts w:hint="eastAsia" w:ascii="宋体" w:hAnsi="宋体" w:cs="宋体"/>
                <w:color w:val="000000" w:themeColor="text1"/>
                <w:szCs w:val="21"/>
              </w:rPr>
              <w:t>小写：</w:t>
            </w:r>
            <w:r>
              <w:rPr>
                <w:rFonts w:hint="eastAsia" w:ascii="宋体" w:hAnsi="宋体" w:cs="宋体"/>
                <w:color w:val="000000" w:themeColor="text1"/>
                <w:szCs w:val="21"/>
                <w:u w:val="single"/>
                <w:lang w:val="en-US" w:eastAsia="zh-CN"/>
              </w:rPr>
              <w:t xml:space="preserve">                </w:t>
            </w:r>
            <w:r>
              <w:rPr>
                <w:rFonts w:hint="eastAsia" w:ascii="宋体" w:hAnsi="宋体" w:cs="宋体"/>
                <w:color w:val="000000" w:themeColor="text1"/>
                <w:szCs w:val="21"/>
              </w:rPr>
              <w:t>元（详见报价明细表）</w:t>
            </w:r>
          </w:p>
        </w:tc>
      </w:tr>
      <w:tr w14:paraId="57C62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1591" w:type="dxa"/>
            <w:noWrap/>
            <w:vAlign w:val="center"/>
          </w:tcPr>
          <w:p w14:paraId="2AEAA96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kern w:val="0"/>
                <w:szCs w:val="21"/>
              </w:rPr>
            </w:pPr>
            <w:r>
              <w:rPr>
                <w:rFonts w:hint="eastAsia" w:ascii="宋体" w:hAnsi="宋体" w:cs="宋体"/>
                <w:kern w:val="0"/>
                <w:szCs w:val="21"/>
              </w:rPr>
              <w:t>响应文件</w:t>
            </w:r>
          </w:p>
          <w:p w14:paraId="19B25DC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宋体" w:hAnsi="宋体" w:cs="宋体"/>
                <w:szCs w:val="21"/>
              </w:rPr>
            </w:pPr>
            <w:r>
              <w:rPr>
                <w:rFonts w:hint="eastAsia" w:ascii="宋体" w:hAnsi="宋体" w:cs="宋体"/>
                <w:kern w:val="0"/>
                <w:szCs w:val="21"/>
              </w:rPr>
              <w:t>有效期</w:t>
            </w:r>
          </w:p>
        </w:tc>
        <w:tc>
          <w:tcPr>
            <w:tcW w:w="8095" w:type="dxa"/>
            <w:noWrap/>
            <w:vAlign w:val="center"/>
          </w:tcPr>
          <w:p w14:paraId="5501A899">
            <w:pPr>
              <w:pStyle w:val="21"/>
              <w:ind w:left="0" w:leftChars="0"/>
              <w:rPr>
                <w:rFonts w:cs="宋体"/>
                <w:szCs w:val="21"/>
                <w:u w:val="single"/>
              </w:rPr>
            </w:pPr>
            <w:r>
              <w:rPr>
                <w:rFonts w:hint="eastAsia" w:cs="宋体"/>
                <w:kern w:val="0"/>
                <w:sz w:val="21"/>
                <w:szCs w:val="21"/>
              </w:rPr>
              <w:t>响应文件递交截止期结束后60日。</w:t>
            </w:r>
          </w:p>
        </w:tc>
      </w:tr>
      <w:tr w14:paraId="3F210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91" w:type="dxa"/>
            <w:noWrap/>
            <w:vAlign w:val="center"/>
          </w:tcPr>
          <w:p w14:paraId="7616E06B">
            <w:pPr>
              <w:ind w:firstLine="422"/>
              <w:jc w:val="center"/>
              <w:rPr>
                <w:rFonts w:ascii="宋体" w:hAnsi="宋体" w:cs="宋体"/>
                <w:szCs w:val="21"/>
              </w:rPr>
            </w:pPr>
            <w:r>
              <w:rPr>
                <w:rFonts w:hint="eastAsia" w:ascii="宋体" w:hAnsi="宋体" w:cs="宋体"/>
                <w:szCs w:val="21"/>
              </w:rPr>
              <w:t>备  注</w:t>
            </w:r>
          </w:p>
        </w:tc>
        <w:tc>
          <w:tcPr>
            <w:tcW w:w="8095" w:type="dxa"/>
            <w:noWrap/>
            <w:vAlign w:val="center"/>
          </w:tcPr>
          <w:p w14:paraId="64F38E5F">
            <w:pPr>
              <w:pStyle w:val="21"/>
              <w:ind w:left="0" w:leftChars="0"/>
              <w:rPr>
                <w:rFonts w:cs="宋体"/>
                <w:sz w:val="21"/>
                <w:szCs w:val="21"/>
              </w:rPr>
            </w:pPr>
          </w:p>
        </w:tc>
      </w:tr>
    </w:tbl>
    <w:p w14:paraId="148C654E">
      <w:pPr>
        <w:spacing w:line="360" w:lineRule="auto"/>
        <w:ind w:firstLine="420" w:firstLineChars="200"/>
        <w:rPr>
          <w:rFonts w:ascii="宋体" w:hAnsi="宋体" w:cs="宋体"/>
          <w:kern w:val="0"/>
          <w:szCs w:val="21"/>
        </w:rPr>
      </w:pPr>
      <w:bookmarkStart w:id="72" w:name="_Toc11620"/>
      <w:bookmarkStart w:id="73" w:name="_Toc20877"/>
      <w:r>
        <w:rPr>
          <w:rFonts w:hint="eastAsia" w:ascii="宋体" w:hAnsi="宋体" w:cs="宋体"/>
          <w:kern w:val="0"/>
          <w:szCs w:val="21"/>
        </w:rPr>
        <w:t>注: 1、报价一经涂改，应在涂改处加盖单位公章或供应商代表签字或盖章，否则其投标作无效标处理。</w:t>
      </w:r>
    </w:p>
    <w:p w14:paraId="31FCF960">
      <w:pPr>
        <w:spacing w:line="360" w:lineRule="auto"/>
        <w:ind w:firstLine="420" w:firstLineChars="200"/>
        <w:rPr>
          <w:rFonts w:ascii="宋体" w:hAnsi="宋体" w:cs="宋体"/>
        </w:rPr>
      </w:pPr>
      <w:r>
        <w:rPr>
          <w:rFonts w:hint="eastAsia" w:ascii="宋体" w:hAnsi="宋体" w:cs="宋体"/>
          <w:kern w:val="0"/>
          <w:szCs w:val="21"/>
        </w:rPr>
        <w:t>2、供应商按格式填列，不得自行更改。否则引起的不利后果由供应商承担。</w:t>
      </w:r>
    </w:p>
    <w:p w14:paraId="03FEAAD2">
      <w:pPr>
        <w:spacing w:line="360" w:lineRule="auto"/>
        <w:ind w:firstLine="420" w:firstLineChars="200"/>
        <w:jc w:val="center"/>
        <w:rPr>
          <w:rFonts w:ascii="宋体" w:hAnsi="宋体" w:cs="宋体"/>
          <w:szCs w:val="21"/>
        </w:rPr>
      </w:pPr>
    </w:p>
    <w:bookmarkEnd w:id="72"/>
    <w:bookmarkEnd w:id="73"/>
    <w:p w14:paraId="4351E8E5">
      <w:pPr>
        <w:spacing w:line="360" w:lineRule="auto"/>
        <w:ind w:firstLine="420" w:firstLineChars="200"/>
        <w:jc w:val="center"/>
        <w:rPr>
          <w:rFonts w:ascii="宋体" w:hAnsi="宋体" w:cs="宋体"/>
          <w:kern w:val="0"/>
          <w:szCs w:val="21"/>
        </w:rPr>
      </w:pPr>
      <w:bookmarkStart w:id="74" w:name="_Toc12222"/>
      <w:bookmarkStart w:id="75" w:name="_Toc625"/>
      <w:r>
        <w:rPr>
          <w:rFonts w:hint="eastAsia" w:ascii="宋体" w:hAnsi="宋体" w:cs="宋体"/>
          <w:kern w:val="0"/>
          <w:szCs w:val="21"/>
        </w:rPr>
        <w:t xml:space="preserve"> 供应商：</w:t>
      </w:r>
      <w:r>
        <w:rPr>
          <w:rFonts w:hint="eastAsia" w:ascii="宋体" w:hAnsi="宋体" w:cs="宋体"/>
          <w:kern w:val="0"/>
          <w:szCs w:val="21"/>
          <w:lang w:val="en-US" w:eastAsia="zh-CN"/>
        </w:rPr>
        <w:t xml:space="preserve"> </w:t>
      </w:r>
      <w:r>
        <w:rPr>
          <w:rFonts w:hint="eastAsia" w:ascii="宋体" w:hAnsi="宋体" w:cs="宋体"/>
          <w:kern w:val="0"/>
          <w:szCs w:val="21"/>
          <w:u w:val="single"/>
          <w:lang w:val="en-US" w:eastAsia="zh-CN"/>
        </w:rPr>
        <w:t xml:space="preserve">             </w:t>
      </w:r>
      <w:r>
        <w:rPr>
          <w:rFonts w:hint="eastAsia" w:ascii="宋体" w:hAnsi="宋体" w:cs="宋体"/>
          <w:kern w:val="0"/>
          <w:szCs w:val="21"/>
        </w:rPr>
        <w:t>（全称并加盖公章）</w:t>
      </w:r>
    </w:p>
    <w:p w14:paraId="6CA3F348">
      <w:pPr>
        <w:spacing w:line="360" w:lineRule="auto"/>
        <w:ind w:firstLine="420" w:firstLineChars="200"/>
        <w:jc w:val="center"/>
        <w:rPr>
          <w:rFonts w:ascii="宋体" w:hAnsi="宋体" w:cs="宋体"/>
          <w:szCs w:val="21"/>
          <w:u w:val="single"/>
        </w:rPr>
      </w:pPr>
      <w:r>
        <w:rPr>
          <w:rFonts w:hint="eastAsia" w:ascii="宋体" w:hAnsi="宋体" w:cs="宋体"/>
          <w:szCs w:val="21"/>
        </w:rPr>
        <w:t>法定代表人或委托代理人（签字</w:t>
      </w:r>
      <w:r>
        <w:rPr>
          <w:rFonts w:hint="eastAsia" w:ascii="宋体" w:hAnsi="宋体" w:cs="宋体"/>
          <w:kern w:val="0"/>
          <w:szCs w:val="21"/>
        </w:rPr>
        <w:t>或盖章</w:t>
      </w:r>
      <w:r>
        <w:rPr>
          <w:rFonts w:hint="eastAsia" w:ascii="宋体" w:hAnsi="宋体" w:cs="宋体"/>
          <w:szCs w:val="21"/>
        </w:rPr>
        <w:t>）：</w:t>
      </w:r>
      <w:bookmarkEnd w:id="74"/>
      <w:bookmarkEnd w:id="75"/>
    </w:p>
    <w:p w14:paraId="69C80A5D">
      <w:pPr>
        <w:ind w:firstLine="422"/>
        <w:jc w:val="center"/>
        <w:rPr>
          <w:rFonts w:ascii="宋体" w:hAnsi="宋体" w:cs="宋体"/>
          <w:szCs w:val="21"/>
        </w:rPr>
      </w:pPr>
    </w:p>
    <w:p w14:paraId="7BFE24A8">
      <w:pPr>
        <w:spacing w:line="360" w:lineRule="auto"/>
        <w:ind w:firstLine="420" w:firstLineChars="200"/>
        <w:jc w:val="center"/>
        <w:rPr>
          <w:rFonts w:ascii="宋体" w:hAnsi="宋体" w:cs="宋体"/>
        </w:rPr>
      </w:pPr>
      <w:bookmarkStart w:id="76" w:name="_Toc1330"/>
      <w:bookmarkStart w:id="77" w:name="_Toc9950"/>
      <w:r>
        <w:rPr>
          <w:rFonts w:hint="eastAsia" w:ascii="宋体" w:hAnsi="宋体" w:cs="宋体"/>
          <w:szCs w:val="21"/>
        </w:rPr>
        <w:t>年  月  日</w:t>
      </w:r>
      <w:bookmarkEnd w:id="76"/>
      <w:bookmarkEnd w:id="77"/>
    </w:p>
    <w:p w14:paraId="2B133232">
      <w:pPr>
        <w:ind w:firstLine="422"/>
        <w:rPr>
          <w:rFonts w:ascii="宋体" w:hAnsi="宋体" w:cs="宋体"/>
        </w:rPr>
      </w:pPr>
    </w:p>
    <w:bookmarkEnd w:id="53"/>
    <w:bookmarkEnd w:id="54"/>
    <w:p w14:paraId="7D6DF31B">
      <w:pPr>
        <w:spacing w:before="20" w:after="20"/>
        <w:ind w:firstLine="422"/>
        <w:rPr>
          <w:rFonts w:ascii="宋体" w:hAnsi="宋体" w:cs="宋体"/>
        </w:rPr>
      </w:pPr>
      <w:bookmarkStart w:id="78" w:name="_Toc24984"/>
      <w:bookmarkStart w:id="79" w:name="_Toc22004"/>
    </w:p>
    <w:p w14:paraId="322BE3D1">
      <w:pPr>
        <w:ind w:firstLine="422"/>
        <w:rPr>
          <w:rFonts w:ascii="宋体" w:hAnsi="宋体" w:cs="宋体"/>
        </w:rPr>
      </w:pPr>
    </w:p>
    <w:p w14:paraId="13F3C454">
      <w:pPr>
        <w:ind w:firstLine="422"/>
        <w:rPr>
          <w:rFonts w:ascii="宋体" w:hAnsi="宋体" w:cs="宋体"/>
        </w:rPr>
      </w:pPr>
      <w:r>
        <w:rPr>
          <w:rFonts w:hint="eastAsia" w:ascii="宋体" w:hAnsi="宋体" w:cs="宋体"/>
        </w:rPr>
        <w:br w:type="page"/>
      </w:r>
    </w:p>
    <w:p w14:paraId="013B51B7">
      <w:pPr>
        <w:pStyle w:val="2"/>
      </w:pPr>
      <w:r>
        <w:rPr>
          <w:rFonts w:hint="eastAsia"/>
        </w:rPr>
        <w:t xml:space="preserve">附件4         </w:t>
      </w:r>
      <w:bookmarkEnd w:id="78"/>
      <w:bookmarkEnd w:id="79"/>
      <w:r>
        <w:rPr>
          <w:rFonts w:hint="eastAsia"/>
        </w:rPr>
        <w:t>报价明细表（格式）</w:t>
      </w:r>
    </w:p>
    <w:p w14:paraId="5D6C31F8">
      <w:r>
        <w:rPr>
          <w:rFonts w:hint="eastAsia" w:ascii="宋体" w:hAnsi="宋体" w:cs="宋体"/>
        </w:rPr>
        <w:t xml:space="preserve"> 包号：                                                         </w:t>
      </w:r>
      <w:r>
        <w:rPr>
          <w:rFonts w:hint="eastAsia" w:ascii="宋体" w:hAnsi="宋体" w:cs="宋体"/>
          <w:color w:val="000000" w:themeColor="text1"/>
          <w:kern w:val="0"/>
          <w:szCs w:val="21"/>
        </w:rPr>
        <w:t>金额单位：人民币（元）</w:t>
      </w:r>
    </w:p>
    <w:tbl>
      <w:tblPr>
        <w:tblStyle w:val="34"/>
        <w:tblpPr w:leftFromText="180" w:rightFromText="180" w:vertAnchor="text" w:horzAnchor="page" w:tblpX="1095" w:tblpY="449"/>
        <w:tblOverlap w:val="never"/>
        <w:tblW w:w="98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7"/>
        <w:gridCol w:w="1923"/>
        <w:gridCol w:w="1424"/>
        <w:gridCol w:w="1424"/>
        <w:gridCol w:w="1447"/>
        <w:gridCol w:w="822"/>
        <w:gridCol w:w="883"/>
        <w:gridCol w:w="1140"/>
      </w:tblGrid>
      <w:tr w14:paraId="3681C5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817" w:type="dxa"/>
            <w:tcBorders>
              <w:top w:val="single" w:color="auto" w:sz="4" w:space="0"/>
              <w:left w:val="single" w:color="auto" w:sz="4" w:space="0"/>
              <w:bottom w:val="nil"/>
              <w:right w:val="single" w:color="auto" w:sz="4" w:space="0"/>
            </w:tcBorders>
            <w:vAlign w:val="center"/>
          </w:tcPr>
          <w:p w14:paraId="7B9829D9">
            <w:pPr>
              <w:widowControl/>
              <w:tabs>
                <w:tab w:val="left" w:pos="1418"/>
              </w:tabs>
              <w:snapToGrid w:val="0"/>
              <w:spacing w:before="50" w:after="50" w:line="400" w:lineRule="exact"/>
              <w:jc w:val="center"/>
              <w:rPr>
                <w:rFonts w:ascii="宋体" w:hAnsi="宋体" w:cs="宋体"/>
                <w:color w:val="000000" w:themeColor="text1"/>
                <w:spacing w:val="20"/>
                <w:kern w:val="0"/>
                <w:sz w:val="24"/>
              </w:rPr>
            </w:pPr>
            <w:r>
              <w:rPr>
                <w:rFonts w:hint="eastAsia" w:ascii="宋体" w:hAnsi="宋体" w:cs="宋体"/>
                <w:color w:val="000000" w:themeColor="text1"/>
                <w:kern w:val="0"/>
                <w:sz w:val="24"/>
              </w:rPr>
              <w:t>序号</w:t>
            </w:r>
          </w:p>
        </w:tc>
        <w:tc>
          <w:tcPr>
            <w:tcW w:w="1923" w:type="dxa"/>
            <w:tcBorders>
              <w:top w:val="single" w:color="auto" w:sz="4" w:space="0"/>
              <w:left w:val="single" w:color="auto" w:sz="4" w:space="0"/>
              <w:bottom w:val="nil"/>
              <w:right w:val="single" w:color="auto" w:sz="4" w:space="0"/>
            </w:tcBorders>
            <w:vAlign w:val="center"/>
          </w:tcPr>
          <w:p w14:paraId="1FACBB83">
            <w:pPr>
              <w:widowControl/>
              <w:tabs>
                <w:tab w:val="left" w:pos="1418"/>
              </w:tabs>
              <w:snapToGrid w:val="0"/>
              <w:spacing w:before="50" w:after="50" w:line="400" w:lineRule="exact"/>
              <w:jc w:val="center"/>
              <w:rPr>
                <w:rFonts w:ascii="宋体" w:hAnsi="宋体" w:cs="宋体"/>
                <w:color w:val="000000" w:themeColor="text1"/>
                <w:spacing w:val="20"/>
                <w:kern w:val="0"/>
                <w:sz w:val="24"/>
              </w:rPr>
            </w:pPr>
            <w:r>
              <w:rPr>
                <w:rFonts w:hint="eastAsia" w:ascii="宋体" w:hAnsi="宋体" w:cs="宋体"/>
                <w:color w:val="000000" w:themeColor="text1"/>
                <w:spacing w:val="20"/>
                <w:kern w:val="0"/>
                <w:sz w:val="24"/>
              </w:rPr>
              <w:t>货物名称</w:t>
            </w:r>
          </w:p>
        </w:tc>
        <w:tc>
          <w:tcPr>
            <w:tcW w:w="1424" w:type="dxa"/>
            <w:tcBorders>
              <w:top w:val="single" w:color="auto" w:sz="4" w:space="0"/>
              <w:left w:val="single" w:color="auto" w:sz="4" w:space="0"/>
              <w:bottom w:val="nil"/>
              <w:right w:val="single" w:color="auto" w:sz="4" w:space="0"/>
            </w:tcBorders>
            <w:vAlign w:val="center"/>
          </w:tcPr>
          <w:p w14:paraId="1BC6587D">
            <w:pPr>
              <w:widowControl/>
              <w:tabs>
                <w:tab w:val="left" w:pos="1418"/>
              </w:tabs>
              <w:snapToGrid w:val="0"/>
              <w:spacing w:before="50" w:after="50" w:line="400" w:lineRule="exact"/>
              <w:jc w:val="center"/>
              <w:rPr>
                <w:rFonts w:ascii="宋体" w:hAnsi="宋体" w:cs="宋体"/>
                <w:color w:val="000000" w:themeColor="text1"/>
                <w:spacing w:val="20"/>
                <w:kern w:val="0"/>
                <w:sz w:val="24"/>
              </w:rPr>
            </w:pPr>
            <w:r>
              <w:rPr>
                <w:rFonts w:hint="eastAsia" w:ascii="宋体" w:hAnsi="宋体" w:cs="宋体"/>
                <w:color w:val="000000" w:themeColor="text1"/>
                <w:spacing w:val="20"/>
                <w:kern w:val="0"/>
                <w:sz w:val="24"/>
              </w:rPr>
              <w:t>品牌</w:t>
            </w:r>
          </w:p>
        </w:tc>
        <w:tc>
          <w:tcPr>
            <w:tcW w:w="1424" w:type="dxa"/>
            <w:tcBorders>
              <w:top w:val="single" w:color="auto" w:sz="4" w:space="0"/>
              <w:left w:val="single" w:color="auto" w:sz="4" w:space="0"/>
              <w:bottom w:val="nil"/>
              <w:right w:val="single" w:color="auto" w:sz="4" w:space="0"/>
            </w:tcBorders>
            <w:vAlign w:val="center"/>
          </w:tcPr>
          <w:p w14:paraId="5CC4189D">
            <w:pPr>
              <w:widowControl/>
              <w:tabs>
                <w:tab w:val="left" w:pos="1418"/>
              </w:tabs>
              <w:snapToGrid w:val="0"/>
              <w:spacing w:before="50" w:after="50" w:line="400" w:lineRule="exact"/>
              <w:jc w:val="center"/>
              <w:rPr>
                <w:rFonts w:ascii="宋体" w:hAnsi="宋体" w:cs="宋体"/>
                <w:color w:val="000000" w:themeColor="text1"/>
                <w:spacing w:val="20"/>
                <w:kern w:val="0"/>
                <w:sz w:val="24"/>
              </w:rPr>
            </w:pPr>
            <w:r>
              <w:rPr>
                <w:rFonts w:hint="eastAsia" w:ascii="宋体" w:hAnsi="宋体" w:cs="宋体"/>
                <w:color w:val="000000" w:themeColor="text1"/>
                <w:spacing w:val="20"/>
                <w:kern w:val="0"/>
                <w:sz w:val="24"/>
              </w:rPr>
              <w:t>规格型号</w:t>
            </w:r>
          </w:p>
        </w:tc>
        <w:tc>
          <w:tcPr>
            <w:tcW w:w="1447" w:type="dxa"/>
            <w:tcBorders>
              <w:top w:val="single" w:color="auto" w:sz="4" w:space="0"/>
              <w:left w:val="single" w:color="auto" w:sz="4" w:space="0"/>
              <w:bottom w:val="nil"/>
              <w:right w:val="single" w:color="auto" w:sz="4" w:space="0"/>
            </w:tcBorders>
            <w:vAlign w:val="center"/>
          </w:tcPr>
          <w:p w14:paraId="7E15DE1F">
            <w:pPr>
              <w:widowControl/>
              <w:tabs>
                <w:tab w:val="left" w:pos="1418"/>
              </w:tabs>
              <w:snapToGrid w:val="0"/>
              <w:spacing w:before="50" w:after="50" w:line="400" w:lineRule="exact"/>
              <w:jc w:val="center"/>
              <w:rPr>
                <w:rFonts w:ascii="宋体" w:hAnsi="宋体" w:cs="宋体"/>
                <w:color w:val="000000" w:themeColor="text1"/>
                <w:kern w:val="0"/>
                <w:sz w:val="24"/>
              </w:rPr>
            </w:pPr>
            <w:r>
              <w:rPr>
                <w:rFonts w:hint="eastAsia" w:ascii="宋体" w:hAnsi="宋体" w:cs="宋体"/>
                <w:color w:val="000000" w:themeColor="text1"/>
                <w:kern w:val="0"/>
                <w:sz w:val="24"/>
              </w:rPr>
              <w:t>产地</w:t>
            </w:r>
          </w:p>
        </w:tc>
        <w:tc>
          <w:tcPr>
            <w:tcW w:w="822" w:type="dxa"/>
            <w:tcBorders>
              <w:top w:val="single" w:color="auto" w:sz="4" w:space="0"/>
              <w:left w:val="single" w:color="auto" w:sz="4" w:space="0"/>
              <w:bottom w:val="nil"/>
              <w:right w:val="single" w:color="auto" w:sz="4" w:space="0"/>
            </w:tcBorders>
            <w:vAlign w:val="center"/>
          </w:tcPr>
          <w:p w14:paraId="13101978">
            <w:pPr>
              <w:widowControl/>
              <w:tabs>
                <w:tab w:val="left" w:pos="1418"/>
              </w:tabs>
              <w:snapToGrid w:val="0"/>
              <w:spacing w:before="50" w:after="50" w:line="400" w:lineRule="exact"/>
              <w:jc w:val="center"/>
              <w:rPr>
                <w:rFonts w:ascii="宋体" w:hAnsi="宋体" w:cs="宋体"/>
                <w:color w:val="000000" w:themeColor="text1"/>
                <w:spacing w:val="20"/>
                <w:kern w:val="0"/>
                <w:sz w:val="24"/>
              </w:rPr>
            </w:pPr>
            <w:r>
              <w:rPr>
                <w:rFonts w:hint="eastAsia" w:ascii="宋体" w:hAnsi="宋体" w:cs="宋体"/>
                <w:color w:val="000000" w:themeColor="text1"/>
                <w:kern w:val="0"/>
                <w:sz w:val="24"/>
              </w:rPr>
              <w:t>数量</w:t>
            </w:r>
          </w:p>
        </w:tc>
        <w:tc>
          <w:tcPr>
            <w:tcW w:w="883" w:type="dxa"/>
            <w:tcBorders>
              <w:top w:val="single" w:color="auto" w:sz="4" w:space="0"/>
              <w:left w:val="single" w:color="auto" w:sz="4" w:space="0"/>
              <w:bottom w:val="nil"/>
              <w:right w:val="single" w:color="auto" w:sz="4" w:space="0"/>
            </w:tcBorders>
            <w:vAlign w:val="center"/>
          </w:tcPr>
          <w:p w14:paraId="55E899CD">
            <w:pPr>
              <w:widowControl/>
              <w:tabs>
                <w:tab w:val="left" w:pos="1418"/>
              </w:tabs>
              <w:snapToGrid w:val="0"/>
              <w:spacing w:before="50" w:after="50" w:line="400" w:lineRule="exact"/>
              <w:jc w:val="center"/>
              <w:rPr>
                <w:rFonts w:ascii="宋体" w:hAnsi="宋体" w:cs="宋体"/>
                <w:color w:val="000000" w:themeColor="text1"/>
                <w:spacing w:val="20"/>
                <w:kern w:val="0"/>
                <w:sz w:val="24"/>
              </w:rPr>
            </w:pPr>
            <w:r>
              <w:rPr>
                <w:rFonts w:hint="eastAsia" w:ascii="宋体" w:hAnsi="宋体" w:cs="宋体"/>
                <w:color w:val="000000" w:themeColor="text1"/>
                <w:kern w:val="0"/>
                <w:sz w:val="24"/>
              </w:rPr>
              <w:t>单价</w:t>
            </w:r>
          </w:p>
        </w:tc>
        <w:tc>
          <w:tcPr>
            <w:tcW w:w="1140" w:type="dxa"/>
            <w:tcBorders>
              <w:top w:val="single" w:color="auto" w:sz="4" w:space="0"/>
              <w:left w:val="single" w:color="auto" w:sz="4" w:space="0"/>
              <w:bottom w:val="nil"/>
              <w:right w:val="single" w:color="auto" w:sz="4" w:space="0"/>
            </w:tcBorders>
            <w:vAlign w:val="center"/>
          </w:tcPr>
          <w:p w14:paraId="267BB7CE">
            <w:pPr>
              <w:widowControl/>
              <w:tabs>
                <w:tab w:val="left" w:pos="1418"/>
              </w:tabs>
              <w:snapToGrid w:val="0"/>
              <w:spacing w:before="50" w:after="50" w:line="400" w:lineRule="exact"/>
              <w:jc w:val="center"/>
              <w:rPr>
                <w:rFonts w:ascii="宋体" w:hAnsi="宋体" w:cs="宋体"/>
                <w:color w:val="000000" w:themeColor="text1"/>
                <w:spacing w:val="20"/>
                <w:kern w:val="0"/>
                <w:sz w:val="24"/>
              </w:rPr>
            </w:pPr>
            <w:r>
              <w:rPr>
                <w:rFonts w:hint="eastAsia" w:ascii="宋体" w:hAnsi="宋体" w:cs="宋体"/>
                <w:color w:val="000000" w:themeColor="text1"/>
                <w:spacing w:val="20"/>
                <w:kern w:val="0"/>
                <w:sz w:val="24"/>
              </w:rPr>
              <w:t>总价</w:t>
            </w:r>
          </w:p>
        </w:tc>
      </w:tr>
      <w:tr w14:paraId="2322D0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817" w:type="dxa"/>
            <w:tcBorders>
              <w:top w:val="single" w:color="auto" w:sz="4" w:space="0"/>
              <w:left w:val="single" w:color="auto" w:sz="4" w:space="0"/>
              <w:bottom w:val="single" w:color="auto" w:sz="4" w:space="0"/>
              <w:right w:val="single" w:color="auto" w:sz="4" w:space="0"/>
            </w:tcBorders>
          </w:tcPr>
          <w:p w14:paraId="1ACE8ED8">
            <w:pPr>
              <w:widowControl/>
              <w:tabs>
                <w:tab w:val="left" w:pos="1418"/>
              </w:tabs>
              <w:snapToGrid w:val="0"/>
              <w:spacing w:before="50" w:after="50" w:line="400" w:lineRule="exact"/>
              <w:jc w:val="center"/>
              <w:rPr>
                <w:rFonts w:ascii="宋体" w:hAnsi="宋体" w:cs="宋体"/>
                <w:color w:val="000000" w:themeColor="text1"/>
                <w:kern w:val="0"/>
                <w:sz w:val="24"/>
              </w:rPr>
            </w:pPr>
            <w:r>
              <w:rPr>
                <w:rFonts w:hint="eastAsia" w:ascii="宋体" w:hAnsi="宋体" w:cs="宋体"/>
                <w:color w:val="000000" w:themeColor="text1"/>
                <w:kern w:val="0"/>
                <w:sz w:val="24"/>
              </w:rPr>
              <w:t>1</w:t>
            </w:r>
          </w:p>
        </w:tc>
        <w:tc>
          <w:tcPr>
            <w:tcW w:w="1923" w:type="dxa"/>
            <w:tcBorders>
              <w:top w:val="single" w:color="auto" w:sz="4" w:space="0"/>
              <w:left w:val="single" w:color="auto" w:sz="4" w:space="0"/>
              <w:bottom w:val="single" w:color="auto" w:sz="4" w:space="0"/>
              <w:right w:val="single" w:color="auto" w:sz="4" w:space="0"/>
            </w:tcBorders>
          </w:tcPr>
          <w:p w14:paraId="041A6759">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c>
          <w:tcPr>
            <w:tcW w:w="1424" w:type="dxa"/>
            <w:tcBorders>
              <w:top w:val="single" w:color="auto" w:sz="4" w:space="0"/>
              <w:left w:val="single" w:color="auto" w:sz="4" w:space="0"/>
              <w:bottom w:val="single" w:color="auto" w:sz="4" w:space="0"/>
              <w:right w:val="single" w:color="auto" w:sz="4" w:space="0"/>
            </w:tcBorders>
          </w:tcPr>
          <w:p w14:paraId="0BBFCCA6">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c>
          <w:tcPr>
            <w:tcW w:w="1424" w:type="dxa"/>
            <w:tcBorders>
              <w:top w:val="single" w:color="auto" w:sz="4" w:space="0"/>
              <w:left w:val="single" w:color="auto" w:sz="4" w:space="0"/>
              <w:bottom w:val="single" w:color="auto" w:sz="4" w:space="0"/>
              <w:right w:val="single" w:color="auto" w:sz="4" w:space="0"/>
            </w:tcBorders>
          </w:tcPr>
          <w:p w14:paraId="0A2B778B">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c>
          <w:tcPr>
            <w:tcW w:w="1447" w:type="dxa"/>
            <w:tcBorders>
              <w:top w:val="single" w:color="auto" w:sz="4" w:space="0"/>
              <w:left w:val="single" w:color="auto" w:sz="4" w:space="0"/>
              <w:bottom w:val="single" w:color="auto" w:sz="4" w:space="0"/>
              <w:right w:val="single" w:color="auto" w:sz="4" w:space="0"/>
            </w:tcBorders>
          </w:tcPr>
          <w:p w14:paraId="5FFBCFA3">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c>
          <w:tcPr>
            <w:tcW w:w="822" w:type="dxa"/>
            <w:tcBorders>
              <w:top w:val="single" w:color="auto" w:sz="4" w:space="0"/>
              <w:left w:val="single" w:color="auto" w:sz="4" w:space="0"/>
              <w:bottom w:val="single" w:color="auto" w:sz="4" w:space="0"/>
              <w:right w:val="single" w:color="auto" w:sz="4" w:space="0"/>
            </w:tcBorders>
          </w:tcPr>
          <w:p w14:paraId="5E6E98A9">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c>
          <w:tcPr>
            <w:tcW w:w="883" w:type="dxa"/>
            <w:tcBorders>
              <w:top w:val="single" w:color="auto" w:sz="4" w:space="0"/>
              <w:left w:val="single" w:color="auto" w:sz="4" w:space="0"/>
              <w:bottom w:val="single" w:color="auto" w:sz="4" w:space="0"/>
              <w:right w:val="single" w:color="auto" w:sz="4" w:space="0"/>
            </w:tcBorders>
          </w:tcPr>
          <w:p w14:paraId="669352DB">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c>
          <w:tcPr>
            <w:tcW w:w="1140" w:type="dxa"/>
            <w:tcBorders>
              <w:top w:val="single" w:color="auto" w:sz="4" w:space="0"/>
              <w:left w:val="single" w:color="auto" w:sz="4" w:space="0"/>
              <w:bottom w:val="single" w:color="auto" w:sz="4" w:space="0"/>
              <w:right w:val="single" w:color="auto" w:sz="4" w:space="0"/>
            </w:tcBorders>
          </w:tcPr>
          <w:p w14:paraId="69DBE2D8">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r>
      <w:tr w14:paraId="3E5C64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817" w:type="dxa"/>
            <w:tcBorders>
              <w:top w:val="single" w:color="auto" w:sz="4" w:space="0"/>
              <w:left w:val="single" w:color="auto" w:sz="4" w:space="0"/>
              <w:bottom w:val="single" w:color="auto" w:sz="4" w:space="0"/>
              <w:right w:val="single" w:color="auto" w:sz="4" w:space="0"/>
            </w:tcBorders>
          </w:tcPr>
          <w:p w14:paraId="6CBBA1B3">
            <w:pPr>
              <w:widowControl/>
              <w:tabs>
                <w:tab w:val="left" w:pos="1418"/>
              </w:tabs>
              <w:snapToGrid w:val="0"/>
              <w:spacing w:before="50" w:after="50" w:line="400" w:lineRule="exact"/>
              <w:jc w:val="center"/>
              <w:rPr>
                <w:rFonts w:ascii="宋体" w:hAnsi="宋体" w:cs="宋体"/>
                <w:color w:val="000000" w:themeColor="text1"/>
                <w:kern w:val="0"/>
                <w:sz w:val="24"/>
              </w:rPr>
            </w:pPr>
            <w:r>
              <w:rPr>
                <w:rFonts w:hint="eastAsia" w:ascii="宋体" w:hAnsi="宋体" w:cs="宋体"/>
                <w:color w:val="000000" w:themeColor="text1"/>
                <w:kern w:val="0"/>
                <w:sz w:val="24"/>
              </w:rPr>
              <w:t>2</w:t>
            </w:r>
          </w:p>
        </w:tc>
        <w:tc>
          <w:tcPr>
            <w:tcW w:w="1923" w:type="dxa"/>
            <w:tcBorders>
              <w:top w:val="single" w:color="auto" w:sz="4" w:space="0"/>
              <w:left w:val="single" w:color="auto" w:sz="4" w:space="0"/>
              <w:bottom w:val="single" w:color="auto" w:sz="4" w:space="0"/>
              <w:right w:val="single" w:color="auto" w:sz="4" w:space="0"/>
            </w:tcBorders>
          </w:tcPr>
          <w:p w14:paraId="5096CD8F">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c>
          <w:tcPr>
            <w:tcW w:w="1424" w:type="dxa"/>
            <w:tcBorders>
              <w:top w:val="single" w:color="auto" w:sz="4" w:space="0"/>
              <w:left w:val="single" w:color="auto" w:sz="4" w:space="0"/>
              <w:bottom w:val="single" w:color="auto" w:sz="4" w:space="0"/>
              <w:right w:val="single" w:color="auto" w:sz="4" w:space="0"/>
            </w:tcBorders>
          </w:tcPr>
          <w:p w14:paraId="0D51F077">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c>
          <w:tcPr>
            <w:tcW w:w="1424" w:type="dxa"/>
            <w:tcBorders>
              <w:top w:val="single" w:color="auto" w:sz="4" w:space="0"/>
              <w:left w:val="single" w:color="auto" w:sz="4" w:space="0"/>
              <w:bottom w:val="single" w:color="auto" w:sz="4" w:space="0"/>
              <w:right w:val="single" w:color="auto" w:sz="4" w:space="0"/>
            </w:tcBorders>
          </w:tcPr>
          <w:p w14:paraId="7F6E539A">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c>
          <w:tcPr>
            <w:tcW w:w="1447" w:type="dxa"/>
            <w:tcBorders>
              <w:top w:val="single" w:color="auto" w:sz="4" w:space="0"/>
              <w:left w:val="single" w:color="auto" w:sz="4" w:space="0"/>
              <w:bottom w:val="single" w:color="auto" w:sz="4" w:space="0"/>
              <w:right w:val="single" w:color="auto" w:sz="4" w:space="0"/>
            </w:tcBorders>
          </w:tcPr>
          <w:p w14:paraId="1E29F5E2">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c>
          <w:tcPr>
            <w:tcW w:w="822" w:type="dxa"/>
            <w:tcBorders>
              <w:top w:val="single" w:color="auto" w:sz="4" w:space="0"/>
              <w:left w:val="single" w:color="auto" w:sz="4" w:space="0"/>
              <w:bottom w:val="single" w:color="auto" w:sz="4" w:space="0"/>
              <w:right w:val="single" w:color="auto" w:sz="4" w:space="0"/>
            </w:tcBorders>
          </w:tcPr>
          <w:p w14:paraId="2982C6CA">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c>
          <w:tcPr>
            <w:tcW w:w="883" w:type="dxa"/>
            <w:tcBorders>
              <w:top w:val="single" w:color="auto" w:sz="4" w:space="0"/>
              <w:left w:val="single" w:color="auto" w:sz="4" w:space="0"/>
              <w:bottom w:val="single" w:color="auto" w:sz="4" w:space="0"/>
              <w:right w:val="single" w:color="auto" w:sz="4" w:space="0"/>
            </w:tcBorders>
          </w:tcPr>
          <w:p w14:paraId="3AD4325C">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c>
          <w:tcPr>
            <w:tcW w:w="1140" w:type="dxa"/>
            <w:tcBorders>
              <w:top w:val="single" w:color="auto" w:sz="4" w:space="0"/>
              <w:left w:val="single" w:color="auto" w:sz="4" w:space="0"/>
              <w:bottom w:val="single" w:color="auto" w:sz="4" w:space="0"/>
              <w:right w:val="single" w:color="auto" w:sz="4" w:space="0"/>
            </w:tcBorders>
          </w:tcPr>
          <w:p w14:paraId="67A7027E">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r>
      <w:tr w14:paraId="07E677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817" w:type="dxa"/>
            <w:tcBorders>
              <w:top w:val="single" w:color="auto" w:sz="4" w:space="0"/>
              <w:left w:val="single" w:color="auto" w:sz="4" w:space="0"/>
              <w:bottom w:val="single" w:color="auto" w:sz="4" w:space="0"/>
              <w:right w:val="single" w:color="auto" w:sz="4" w:space="0"/>
            </w:tcBorders>
          </w:tcPr>
          <w:p w14:paraId="6D2887DA">
            <w:pPr>
              <w:widowControl/>
              <w:tabs>
                <w:tab w:val="left" w:pos="1418"/>
              </w:tabs>
              <w:snapToGrid w:val="0"/>
              <w:spacing w:before="50" w:after="50" w:line="400" w:lineRule="exact"/>
              <w:jc w:val="center"/>
              <w:rPr>
                <w:rFonts w:ascii="宋体" w:hAnsi="宋体" w:cs="宋体"/>
                <w:color w:val="000000" w:themeColor="text1"/>
                <w:kern w:val="0"/>
                <w:sz w:val="24"/>
              </w:rPr>
            </w:pPr>
            <w:r>
              <w:rPr>
                <w:rFonts w:hint="eastAsia" w:ascii="宋体" w:hAnsi="宋体" w:cs="宋体"/>
                <w:color w:val="000000" w:themeColor="text1"/>
                <w:kern w:val="0"/>
                <w:sz w:val="24"/>
              </w:rPr>
              <w:t>3</w:t>
            </w:r>
          </w:p>
        </w:tc>
        <w:tc>
          <w:tcPr>
            <w:tcW w:w="1923" w:type="dxa"/>
            <w:tcBorders>
              <w:top w:val="single" w:color="auto" w:sz="4" w:space="0"/>
              <w:left w:val="single" w:color="auto" w:sz="4" w:space="0"/>
              <w:bottom w:val="single" w:color="auto" w:sz="4" w:space="0"/>
              <w:right w:val="single" w:color="auto" w:sz="4" w:space="0"/>
            </w:tcBorders>
          </w:tcPr>
          <w:p w14:paraId="767B291C">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c>
          <w:tcPr>
            <w:tcW w:w="1424" w:type="dxa"/>
            <w:tcBorders>
              <w:top w:val="single" w:color="auto" w:sz="4" w:space="0"/>
              <w:left w:val="single" w:color="auto" w:sz="4" w:space="0"/>
              <w:bottom w:val="single" w:color="auto" w:sz="4" w:space="0"/>
              <w:right w:val="single" w:color="auto" w:sz="4" w:space="0"/>
            </w:tcBorders>
          </w:tcPr>
          <w:p w14:paraId="2866A0FB">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c>
          <w:tcPr>
            <w:tcW w:w="1424" w:type="dxa"/>
            <w:tcBorders>
              <w:top w:val="single" w:color="auto" w:sz="4" w:space="0"/>
              <w:left w:val="single" w:color="auto" w:sz="4" w:space="0"/>
              <w:bottom w:val="single" w:color="auto" w:sz="4" w:space="0"/>
              <w:right w:val="single" w:color="auto" w:sz="4" w:space="0"/>
            </w:tcBorders>
          </w:tcPr>
          <w:p w14:paraId="1AAC2164">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c>
          <w:tcPr>
            <w:tcW w:w="1447" w:type="dxa"/>
            <w:tcBorders>
              <w:top w:val="single" w:color="auto" w:sz="4" w:space="0"/>
              <w:left w:val="single" w:color="auto" w:sz="4" w:space="0"/>
              <w:bottom w:val="single" w:color="auto" w:sz="4" w:space="0"/>
              <w:right w:val="single" w:color="auto" w:sz="4" w:space="0"/>
            </w:tcBorders>
          </w:tcPr>
          <w:p w14:paraId="5298C92A">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c>
          <w:tcPr>
            <w:tcW w:w="822" w:type="dxa"/>
            <w:tcBorders>
              <w:top w:val="single" w:color="auto" w:sz="4" w:space="0"/>
              <w:left w:val="single" w:color="auto" w:sz="4" w:space="0"/>
              <w:bottom w:val="single" w:color="auto" w:sz="4" w:space="0"/>
              <w:right w:val="single" w:color="auto" w:sz="4" w:space="0"/>
            </w:tcBorders>
          </w:tcPr>
          <w:p w14:paraId="368D2081">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c>
          <w:tcPr>
            <w:tcW w:w="883" w:type="dxa"/>
            <w:tcBorders>
              <w:top w:val="single" w:color="auto" w:sz="4" w:space="0"/>
              <w:left w:val="single" w:color="auto" w:sz="4" w:space="0"/>
              <w:bottom w:val="single" w:color="auto" w:sz="4" w:space="0"/>
              <w:right w:val="single" w:color="auto" w:sz="4" w:space="0"/>
            </w:tcBorders>
          </w:tcPr>
          <w:p w14:paraId="26B079B2">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c>
          <w:tcPr>
            <w:tcW w:w="1140" w:type="dxa"/>
            <w:tcBorders>
              <w:top w:val="single" w:color="auto" w:sz="4" w:space="0"/>
              <w:left w:val="single" w:color="auto" w:sz="4" w:space="0"/>
              <w:bottom w:val="single" w:color="auto" w:sz="4" w:space="0"/>
              <w:right w:val="single" w:color="auto" w:sz="4" w:space="0"/>
            </w:tcBorders>
          </w:tcPr>
          <w:p w14:paraId="56774EFE">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r>
      <w:tr w14:paraId="52E3AF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817" w:type="dxa"/>
            <w:tcBorders>
              <w:top w:val="single" w:color="auto" w:sz="4" w:space="0"/>
              <w:left w:val="single" w:color="auto" w:sz="4" w:space="0"/>
              <w:bottom w:val="single" w:color="auto" w:sz="4" w:space="0"/>
              <w:right w:val="single" w:color="auto" w:sz="4" w:space="0"/>
            </w:tcBorders>
          </w:tcPr>
          <w:p w14:paraId="30B2D826">
            <w:pPr>
              <w:widowControl/>
              <w:tabs>
                <w:tab w:val="left" w:pos="1418"/>
              </w:tabs>
              <w:snapToGrid w:val="0"/>
              <w:spacing w:before="50" w:after="50" w:line="400" w:lineRule="exact"/>
              <w:jc w:val="center"/>
              <w:rPr>
                <w:rFonts w:ascii="宋体" w:hAnsi="宋体" w:cs="宋体"/>
                <w:color w:val="000000" w:themeColor="text1"/>
                <w:kern w:val="0"/>
                <w:sz w:val="24"/>
              </w:rPr>
            </w:pPr>
            <w:r>
              <w:rPr>
                <w:rFonts w:hint="eastAsia" w:ascii="宋体" w:hAnsi="宋体" w:cs="宋体"/>
                <w:color w:val="000000" w:themeColor="text1"/>
                <w:kern w:val="0"/>
                <w:sz w:val="24"/>
              </w:rPr>
              <w:t>4</w:t>
            </w:r>
          </w:p>
        </w:tc>
        <w:tc>
          <w:tcPr>
            <w:tcW w:w="1923" w:type="dxa"/>
            <w:tcBorders>
              <w:top w:val="single" w:color="auto" w:sz="4" w:space="0"/>
              <w:left w:val="single" w:color="auto" w:sz="4" w:space="0"/>
              <w:bottom w:val="single" w:color="auto" w:sz="4" w:space="0"/>
              <w:right w:val="single" w:color="auto" w:sz="4" w:space="0"/>
            </w:tcBorders>
          </w:tcPr>
          <w:p w14:paraId="25E7C867">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c>
          <w:tcPr>
            <w:tcW w:w="1424" w:type="dxa"/>
            <w:tcBorders>
              <w:top w:val="single" w:color="auto" w:sz="4" w:space="0"/>
              <w:left w:val="single" w:color="auto" w:sz="4" w:space="0"/>
              <w:bottom w:val="single" w:color="auto" w:sz="4" w:space="0"/>
              <w:right w:val="single" w:color="auto" w:sz="4" w:space="0"/>
            </w:tcBorders>
          </w:tcPr>
          <w:p w14:paraId="3087C26C">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c>
          <w:tcPr>
            <w:tcW w:w="1424" w:type="dxa"/>
            <w:tcBorders>
              <w:top w:val="single" w:color="auto" w:sz="4" w:space="0"/>
              <w:left w:val="single" w:color="auto" w:sz="4" w:space="0"/>
              <w:bottom w:val="single" w:color="auto" w:sz="4" w:space="0"/>
              <w:right w:val="single" w:color="auto" w:sz="4" w:space="0"/>
            </w:tcBorders>
          </w:tcPr>
          <w:p w14:paraId="32B448BC">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c>
          <w:tcPr>
            <w:tcW w:w="1447" w:type="dxa"/>
            <w:tcBorders>
              <w:top w:val="single" w:color="auto" w:sz="4" w:space="0"/>
              <w:left w:val="single" w:color="auto" w:sz="4" w:space="0"/>
              <w:bottom w:val="single" w:color="auto" w:sz="4" w:space="0"/>
              <w:right w:val="single" w:color="auto" w:sz="4" w:space="0"/>
            </w:tcBorders>
          </w:tcPr>
          <w:p w14:paraId="0AB81755">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c>
          <w:tcPr>
            <w:tcW w:w="822" w:type="dxa"/>
            <w:tcBorders>
              <w:top w:val="single" w:color="auto" w:sz="4" w:space="0"/>
              <w:left w:val="single" w:color="auto" w:sz="4" w:space="0"/>
              <w:bottom w:val="single" w:color="auto" w:sz="4" w:space="0"/>
              <w:right w:val="single" w:color="auto" w:sz="4" w:space="0"/>
            </w:tcBorders>
          </w:tcPr>
          <w:p w14:paraId="335DCC49">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c>
          <w:tcPr>
            <w:tcW w:w="883" w:type="dxa"/>
            <w:tcBorders>
              <w:top w:val="single" w:color="auto" w:sz="4" w:space="0"/>
              <w:left w:val="single" w:color="auto" w:sz="4" w:space="0"/>
              <w:bottom w:val="single" w:color="auto" w:sz="4" w:space="0"/>
              <w:right w:val="single" w:color="auto" w:sz="4" w:space="0"/>
            </w:tcBorders>
          </w:tcPr>
          <w:p w14:paraId="3F537BCC">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c>
          <w:tcPr>
            <w:tcW w:w="1140" w:type="dxa"/>
            <w:tcBorders>
              <w:top w:val="single" w:color="auto" w:sz="4" w:space="0"/>
              <w:left w:val="single" w:color="auto" w:sz="4" w:space="0"/>
              <w:bottom w:val="single" w:color="auto" w:sz="4" w:space="0"/>
              <w:right w:val="single" w:color="auto" w:sz="4" w:space="0"/>
            </w:tcBorders>
          </w:tcPr>
          <w:p w14:paraId="40673195">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r>
      <w:tr w14:paraId="07D008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817" w:type="dxa"/>
            <w:tcBorders>
              <w:top w:val="single" w:color="auto" w:sz="4" w:space="0"/>
              <w:left w:val="single" w:color="auto" w:sz="4" w:space="0"/>
              <w:bottom w:val="single" w:color="auto" w:sz="4" w:space="0"/>
              <w:right w:val="single" w:color="auto" w:sz="4" w:space="0"/>
            </w:tcBorders>
          </w:tcPr>
          <w:p w14:paraId="507C699D">
            <w:pPr>
              <w:widowControl/>
              <w:tabs>
                <w:tab w:val="left" w:pos="1418"/>
              </w:tabs>
              <w:snapToGrid w:val="0"/>
              <w:spacing w:before="50" w:after="50" w:line="400" w:lineRule="exact"/>
              <w:jc w:val="center"/>
              <w:rPr>
                <w:rFonts w:ascii="宋体" w:hAnsi="宋体" w:cs="宋体"/>
                <w:color w:val="000000" w:themeColor="text1"/>
                <w:kern w:val="0"/>
                <w:sz w:val="24"/>
              </w:rPr>
            </w:pPr>
          </w:p>
        </w:tc>
        <w:tc>
          <w:tcPr>
            <w:tcW w:w="1923" w:type="dxa"/>
            <w:tcBorders>
              <w:top w:val="single" w:color="auto" w:sz="4" w:space="0"/>
              <w:left w:val="single" w:color="auto" w:sz="4" w:space="0"/>
              <w:bottom w:val="single" w:color="auto" w:sz="4" w:space="0"/>
              <w:right w:val="single" w:color="auto" w:sz="4" w:space="0"/>
            </w:tcBorders>
          </w:tcPr>
          <w:p w14:paraId="245CE4D4">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c>
          <w:tcPr>
            <w:tcW w:w="1424" w:type="dxa"/>
            <w:tcBorders>
              <w:top w:val="single" w:color="auto" w:sz="4" w:space="0"/>
              <w:left w:val="single" w:color="auto" w:sz="4" w:space="0"/>
              <w:bottom w:val="single" w:color="auto" w:sz="4" w:space="0"/>
              <w:right w:val="single" w:color="auto" w:sz="4" w:space="0"/>
            </w:tcBorders>
          </w:tcPr>
          <w:p w14:paraId="2129CB13">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c>
          <w:tcPr>
            <w:tcW w:w="1424" w:type="dxa"/>
            <w:tcBorders>
              <w:top w:val="single" w:color="auto" w:sz="4" w:space="0"/>
              <w:left w:val="single" w:color="auto" w:sz="4" w:space="0"/>
              <w:bottom w:val="single" w:color="auto" w:sz="4" w:space="0"/>
              <w:right w:val="single" w:color="auto" w:sz="4" w:space="0"/>
            </w:tcBorders>
          </w:tcPr>
          <w:p w14:paraId="6B5F83E6">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c>
          <w:tcPr>
            <w:tcW w:w="1447" w:type="dxa"/>
            <w:tcBorders>
              <w:top w:val="single" w:color="auto" w:sz="4" w:space="0"/>
              <w:left w:val="single" w:color="auto" w:sz="4" w:space="0"/>
              <w:bottom w:val="single" w:color="auto" w:sz="4" w:space="0"/>
              <w:right w:val="single" w:color="auto" w:sz="4" w:space="0"/>
            </w:tcBorders>
          </w:tcPr>
          <w:p w14:paraId="453BE678">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c>
          <w:tcPr>
            <w:tcW w:w="822" w:type="dxa"/>
            <w:tcBorders>
              <w:top w:val="single" w:color="auto" w:sz="4" w:space="0"/>
              <w:left w:val="single" w:color="auto" w:sz="4" w:space="0"/>
              <w:bottom w:val="single" w:color="auto" w:sz="4" w:space="0"/>
              <w:right w:val="single" w:color="auto" w:sz="4" w:space="0"/>
            </w:tcBorders>
          </w:tcPr>
          <w:p w14:paraId="2FFEFA02">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c>
          <w:tcPr>
            <w:tcW w:w="883" w:type="dxa"/>
            <w:tcBorders>
              <w:top w:val="single" w:color="auto" w:sz="4" w:space="0"/>
              <w:left w:val="single" w:color="auto" w:sz="4" w:space="0"/>
              <w:bottom w:val="single" w:color="auto" w:sz="4" w:space="0"/>
              <w:right w:val="single" w:color="auto" w:sz="4" w:space="0"/>
            </w:tcBorders>
          </w:tcPr>
          <w:p w14:paraId="418BED14">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c>
          <w:tcPr>
            <w:tcW w:w="1140" w:type="dxa"/>
            <w:tcBorders>
              <w:top w:val="single" w:color="auto" w:sz="4" w:space="0"/>
              <w:left w:val="single" w:color="auto" w:sz="4" w:space="0"/>
              <w:bottom w:val="single" w:color="auto" w:sz="4" w:space="0"/>
              <w:right w:val="single" w:color="auto" w:sz="4" w:space="0"/>
            </w:tcBorders>
          </w:tcPr>
          <w:p w14:paraId="2CE1C728">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r>
      <w:tr w14:paraId="00C530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817" w:type="dxa"/>
            <w:tcBorders>
              <w:top w:val="single" w:color="auto" w:sz="4" w:space="0"/>
              <w:left w:val="single" w:color="auto" w:sz="4" w:space="0"/>
              <w:bottom w:val="single" w:color="auto" w:sz="4" w:space="0"/>
              <w:right w:val="single" w:color="auto" w:sz="4" w:space="0"/>
            </w:tcBorders>
          </w:tcPr>
          <w:p w14:paraId="543A24C6">
            <w:pPr>
              <w:widowControl/>
              <w:tabs>
                <w:tab w:val="left" w:pos="1418"/>
              </w:tabs>
              <w:snapToGrid w:val="0"/>
              <w:spacing w:before="50" w:after="50" w:line="400" w:lineRule="exact"/>
              <w:jc w:val="center"/>
              <w:rPr>
                <w:rFonts w:ascii="宋体" w:hAnsi="宋体" w:cs="宋体"/>
                <w:color w:val="000000" w:themeColor="text1"/>
                <w:spacing w:val="20"/>
                <w:kern w:val="0"/>
                <w:sz w:val="24"/>
              </w:rPr>
            </w:pPr>
            <w:r>
              <w:rPr>
                <w:rFonts w:hint="eastAsia" w:ascii="宋体" w:hAnsi="宋体" w:cs="宋体"/>
                <w:color w:val="000000" w:themeColor="text1"/>
                <w:spacing w:val="20"/>
                <w:kern w:val="0"/>
                <w:sz w:val="24"/>
              </w:rPr>
              <w:t>...</w:t>
            </w:r>
          </w:p>
        </w:tc>
        <w:tc>
          <w:tcPr>
            <w:tcW w:w="1923" w:type="dxa"/>
            <w:tcBorders>
              <w:top w:val="single" w:color="auto" w:sz="4" w:space="0"/>
              <w:left w:val="single" w:color="auto" w:sz="4" w:space="0"/>
              <w:bottom w:val="single" w:color="auto" w:sz="4" w:space="0"/>
              <w:right w:val="single" w:color="auto" w:sz="4" w:space="0"/>
            </w:tcBorders>
          </w:tcPr>
          <w:p w14:paraId="47AED2ED">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r>
              <w:rPr>
                <w:rFonts w:hint="eastAsia" w:ascii="宋体" w:hAnsi="宋体" w:cs="宋体"/>
                <w:color w:val="000000" w:themeColor="text1"/>
                <w:spacing w:val="20"/>
                <w:kern w:val="0"/>
                <w:sz w:val="24"/>
              </w:rPr>
              <w:t>总计</w:t>
            </w:r>
          </w:p>
        </w:tc>
        <w:tc>
          <w:tcPr>
            <w:tcW w:w="1424" w:type="dxa"/>
            <w:tcBorders>
              <w:top w:val="single" w:color="auto" w:sz="4" w:space="0"/>
              <w:left w:val="single" w:color="auto" w:sz="4" w:space="0"/>
              <w:bottom w:val="single" w:color="auto" w:sz="4" w:space="0"/>
              <w:right w:val="single" w:color="auto" w:sz="4" w:space="0"/>
            </w:tcBorders>
          </w:tcPr>
          <w:p w14:paraId="131B9985">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c>
          <w:tcPr>
            <w:tcW w:w="1424" w:type="dxa"/>
            <w:tcBorders>
              <w:top w:val="single" w:color="auto" w:sz="4" w:space="0"/>
              <w:left w:val="single" w:color="auto" w:sz="4" w:space="0"/>
              <w:bottom w:val="single" w:color="auto" w:sz="4" w:space="0"/>
              <w:right w:val="single" w:color="auto" w:sz="4" w:space="0"/>
            </w:tcBorders>
          </w:tcPr>
          <w:p w14:paraId="25C397AB">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c>
          <w:tcPr>
            <w:tcW w:w="1447" w:type="dxa"/>
            <w:tcBorders>
              <w:top w:val="single" w:color="auto" w:sz="4" w:space="0"/>
              <w:left w:val="single" w:color="auto" w:sz="4" w:space="0"/>
              <w:bottom w:val="single" w:color="auto" w:sz="4" w:space="0"/>
              <w:right w:val="single" w:color="auto" w:sz="4" w:space="0"/>
            </w:tcBorders>
          </w:tcPr>
          <w:p w14:paraId="45AE4427">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c>
          <w:tcPr>
            <w:tcW w:w="822" w:type="dxa"/>
            <w:tcBorders>
              <w:top w:val="single" w:color="auto" w:sz="4" w:space="0"/>
              <w:left w:val="single" w:color="auto" w:sz="4" w:space="0"/>
              <w:bottom w:val="single" w:color="auto" w:sz="4" w:space="0"/>
              <w:right w:val="single" w:color="auto" w:sz="4" w:space="0"/>
            </w:tcBorders>
          </w:tcPr>
          <w:p w14:paraId="5F3ACFCD">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c>
          <w:tcPr>
            <w:tcW w:w="883" w:type="dxa"/>
            <w:tcBorders>
              <w:top w:val="single" w:color="auto" w:sz="4" w:space="0"/>
              <w:left w:val="single" w:color="auto" w:sz="4" w:space="0"/>
              <w:bottom w:val="single" w:color="auto" w:sz="4" w:space="0"/>
              <w:right w:val="single" w:color="auto" w:sz="4" w:space="0"/>
            </w:tcBorders>
          </w:tcPr>
          <w:p w14:paraId="4AB3CC2B">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c>
          <w:tcPr>
            <w:tcW w:w="1140" w:type="dxa"/>
            <w:tcBorders>
              <w:top w:val="single" w:color="auto" w:sz="4" w:space="0"/>
              <w:left w:val="single" w:color="auto" w:sz="4" w:space="0"/>
              <w:bottom w:val="single" w:color="auto" w:sz="4" w:space="0"/>
              <w:right w:val="single" w:color="auto" w:sz="4" w:space="0"/>
            </w:tcBorders>
          </w:tcPr>
          <w:p w14:paraId="6D760B0B">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r>
      <w:tr w14:paraId="24B5FC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817" w:type="dxa"/>
            <w:tcBorders>
              <w:top w:val="single" w:color="auto" w:sz="4" w:space="0"/>
              <w:left w:val="single" w:color="auto" w:sz="4" w:space="0"/>
              <w:bottom w:val="single" w:color="auto" w:sz="4" w:space="0"/>
              <w:right w:val="single" w:color="auto" w:sz="4" w:space="0"/>
            </w:tcBorders>
          </w:tcPr>
          <w:p w14:paraId="565E2EED">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c>
          <w:tcPr>
            <w:tcW w:w="9063" w:type="dxa"/>
            <w:gridSpan w:val="7"/>
            <w:tcBorders>
              <w:top w:val="single" w:color="auto" w:sz="4" w:space="0"/>
              <w:left w:val="single" w:color="auto" w:sz="4" w:space="0"/>
              <w:bottom w:val="single" w:color="auto" w:sz="4" w:space="0"/>
              <w:right w:val="single" w:color="auto" w:sz="4" w:space="0"/>
            </w:tcBorders>
          </w:tcPr>
          <w:p w14:paraId="3AC77635">
            <w:pPr>
              <w:widowControl/>
              <w:tabs>
                <w:tab w:val="left" w:pos="1418"/>
              </w:tabs>
              <w:snapToGrid w:val="0"/>
              <w:spacing w:before="50" w:after="50" w:line="400" w:lineRule="exact"/>
              <w:ind w:firstLine="562"/>
              <w:jc w:val="left"/>
              <w:rPr>
                <w:rFonts w:ascii="宋体" w:hAnsi="宋体" w:cs="宋体"/>
                <w:color w:val="000000" w:themeColor="text1"/>
                <w:spacing w:val="20"/>
                <w:kern w:val="0"/>
                <w:sz w:val="24"/>
              </w:rPr>
            </w:pPr>
            <w:r>
              <w:rPr>
                <w:rFonts w:hint="eastAsia" w:ascii="宋体" w:hAnsi="宋体" w:cs="宋体"/>
                <w:color w:val="000000" w:themeColor="text1"/>
                <w:spacing w:val="20"/>
                <w:kern w:val="0"/>
                <w:sz w:val="24"/>
              </w:rPr>
              <w:t>磋商报价(</w:t>
            </w:r>
            <w:r>
              <w:rPr>
                <w:rFonts w:hint="eastAsia" w:ascii="宋体" w:hAnsi="宋体" w:cs="宋体"/>
                <w:color w:val="000000" w:themeColor="text1"/>
                <w:kern w:val="0"/>
                <w:sz w:val="24"/>
                <w:szCs w:val="21"/>
              </w:rPr>
              <w:t>大写)：</w:t>
            </w:r>
          </w:p>
        </w:tc>
      </w:tr>
    </w:tbl>
    <w:p w14:paraId="3CE94804">
      <w:pPr>
        <w:pStyle w:val="33"/>
        <w:ind w:firstLine="3990" w:firstLineChars="1900"/>
        <w:rPr>
          <w:rFonts w:ascii="宋体" w:hAnsi="宋体" w:cs="宋体"/>
        </w:rPr>
      </w:pPr>
    </w:p>
    <w:p w14:paraId="0CA00B20">
      <w:pPr>
        <w:wordWrap w:val="0"/>
        <w:spacing w:line="460" w:lineRule="exact"/>
        <w:ind w:firstLine="4200" w:firstLineChars="2000"/>
        <w:jc w:val="left"/>
        <w:rPr>
          <w:rFonts w:ascii="宋体" w:hAnsi="宋体" w:cs="宋体"/>
          <w:kern w:val="0"/>
          <w:szCs w:val="21"/>
        </w:rPr>
      </w:pPr>
      <w:r>
        <w:rPr>
          <w:rFonts w:hint="eastAsia" w:ascii="宋体" w:hAnsi="宋体" w:cs="宋体"/>
          <w:kern w:val="0"/>
          <w:szCs w:val="21"/>
        </w:rPr>
        <w:t>供应商：</w:t>
      </w:r>
      <w:r>
        <w:rPr>
          <w:rFonts w:hint="eastAsia" w:ascii="宋体" w:hAnsi="宋体" w:cs="宋体"/>
          <w:kern w:val="0"/>
          <w:szCs w:val="21"/>
          <w:u w:val="single"/>
          <w:lang w:val="en-US" w:eastAsia="zh-CN"/>
        </w:rPr>
        <w:t xml:space="preserve">               </w:t>
      </w:r>
      <w:r>
        <w:rPr>
          <w:rFonts w:hint="eastAsia" w:ascii="宋体" w:hAnsi="宋体" w:cs="宋体"/>
          <w:kern w:val="0"/>
          <w:szCs w:val="21"/>
        </w:rPr>
        <w:t>（全称并加盖公章）</w:t>
      </w:r>
    </w:p>
    <w:p w14:paraId="17818BD2">
      <w:pPr>
        <w:widowControl/>
        <w:shd w:val="clear" w:color="auto" w:fill="FFFFFF"/>
        <w:spacing w:line="360" w:lineRule="auto"/>
        <w:ind w:left="1480" w:leftChars="705" w:firstLine="2574" w:firstLineChars="1226"/>
        <w:rPr>
          <w:rFonts w:ascii="宋体" w:hAnsi="宋体" w:cs="宋体"/>
          <w:szCs w:val="21"/>
        </w:rPr>
      </w:pPr>
      <w:r>
        <w:rPr>
          <w:rFonts w:hint="eastAsia" w:ascii="宋体" w:hAnsi="宋体" w:cs="宋体"/>
          <w:kern w:val="0"/>
          <w:szCs w:val="21"/>
        </w:rPr>
        <w:t>法定代表人或委托代理人（签字或盖章）：</w:t>
      </w:r>
    </w:p>
    <w:p w14:paraId="1A399454">
      <w:pPr>
        <w:widowControl/>
        <w:wordWrap w:val="0"/>
        <w:spacing w:line="460" w:lineRule="exact"/>
        <w:ind w:firstLine="4410" w:firstLineChars="2100"/>
        <w:jc w:val="left"/>
        <w:rPr>
          <w:rFonts w:ascii="宋体" w:hAnsi="宋体" w:cs="宋体"/>
          <w:szCs w:val="21"/>
        </w:rPr>
      </w:pPr>
      <w:r>
        <w:rPr>
          <w:rFonts w:hint="eastAsia" w:ascii="宋体" w:hAnsi="宋体" w:cs="宋体"/>
          <w:kern w:val="0"/>
          <w:szCs w:val="21"/>
        </w:rPr>
        <w:t>年    月    日</w:t>
      </w:r>
    </w:p>
    <w:p w14:paraId="0FFE3DD4">
      <w:pPr>
        <w:widowControl/>
        <w:wordWrap w:val="0"/>
        <w:spacing w:line="460" w:lineRule="exact"/>
        <w:ind w:firstLine="5600" w:firstLineChars="2000"/>
        <w:jc w:val="left"/>
        <w:rPr>
          <w:rFonts w:ascii="宋体" w:hAnsi="宋体" w:cs="宋体"/>
          <w:sz w:val="28"/>
          <w:szCs w:val="28"/>
        </w:rPr>
      </w:pPr>
    </w:p>
    <w:p w14:paraId="317E95EB">
      <w:pPr>
        <w:pStyle w:val="24"/>
        <w:ind w:firstLine="482"/>
        <w:rPr>
          <w:rFonts w:ascii="宋体" w:hAnsi="宋体" w:cs="宋体"/>
          <w:kern w:val="0"/>
          <w:sz w:val="24"/>
        </w:rPr>
        <w:sectPr>
          <w:pgSz w:w="11906" w:h="16838"/>
          <w:pgMar w:top="1417" w:right="1474" w:bottom="1417" w:left="1474" w:header="851" w:footer="624" w:gutter="0"/>
          <w:cols w:space="720" w:num="1"/>
          <w:docGrid w:type="lines" w:linePitch="319" w:charSpace="0"/>
        </w:sectPr>
      </w:pPr>
    </w:p>
    <w:p w14:paraId="4F26CD89">
      <w:pPr>
        <w:rPr>
          <w:rFonts w:ascii="宋体" w:hAnsi="宋体" w:cs="宋体"/>
          <w:b/>
          <w:bCs/>
          <w:sz w:val="28"/>
          <w:szCs w:val="28"/>
        </w:rPr>
      </w:pPr>
      <w:bookmarkStart w:id="80" w:name="_Toc226"/>
      <w:bookmarkStart w:id="81" w:name="_Toc15804"/>
      <w:r>
        <w:rPr>
          <w:rFonts w:hint="eastAsia" w:ascii="宋体" w:hAnsi="宋体" w:cs="宋体"/>
          <w:b/>
          <w:bCs/>
          <w:sz w:val="28"/>
          <w:szCs w:val="28"/>
        </w:rPr>
        <w:t xml:space="preserve">                       4.1               配套试剂报价一览表</w:t>
      </w:r>
    </w:p>
    <w:p w14:paraId="68A47A38">
      <w:pPr>
        <w:rPr>
          <w:rFonts w:ascii="宋体" w:hAnsi="宋体" w:cs="宋体"/>
          <w:b/>
          <w:bCs/>
          <w:sz w:val="28"/>
          <w:szCs w:val="28"/>
        </w:rPr>
      </w:pPr>
      <w:r>
        <w:rPr>
          <w:rFonts w:hint="eastAsia" w:ascii="宋体" w:hAnsi="宋体" w:cs="宋体"/>
        </w:rPr>
        <w:t>包号：</w:t>
      </w:r>
    </w:p>
    <w:tbl>
      <w:tblPr>
        <w:tblStyle w:val="35"/>
        <w:tblW w:w="0" w:type="auto"/>
        <w:tblInd w:w="-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9"/>
        <w:gridCol w:w="1447"/>
        <w:gridCol w:w="1447"/>
        <w:gridCol w:w="1046"/>
        <w:gridCol w:w="1046"/>
        <w:gridCol w:w="1046"/>
        <w:gridCol w:w="1164"/>
        <w:gridCol w:w="929"/>
        <w:gridCol w:w="929"/>
        <w:gridCol w:w="1046"/>
        <w:gridCol w:w="1609"/>
        <w:gridCol w:w="1908"/>
      </w:tblGrid>
      <w:tr w14:paraId="30796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Align w:val="center"/>
          </w:tcPr>
          <w:p w14:paraId="070B3F61">
            <w:pPr>
              <w:jc w:val="center"/>
              <w:rPr>
                <w:szCs w:val="21"/>
              </w:rPr>
            </w:pPr>
            <w:r>
              <w:rPr>
                <w:rFonts w:hint="eastAsia"/>
                <w:b/>
                <w:bCs/>
                <w:szCs w:val="21"/>
              </w:rPr>
              <w:t>序号</w:t>
            </w:r>
          </w:p>
        </w:tc>
        <w:tc>
          <w:tcPr>
            <w:tcW w:w="1447" w:type="dxa"/>
            <w:vAlign w:val="center"/>
          </w:tcPr>
          <w:p w14:paraId="1E8EDA04">
            <w:pPr>
              <w:widowControl/>
              <w:jc w:val="center"/>
              <w:rPr>
                <w:rFonts w:ascii="宋体" w:hAnsi="宋体" w:cs="宋体"/>
                <w:b/>
                <w:bCs/>
                <w:snapToGrid w:val="0"/>
                <w:color w:val="000000"/>
                <w:kern w:val="0"/>
                <w:szCs w:val="21"/>
              </w:rPr>
            </w:pPr>
            <w:r>
              <w:rPr>
                <w:rFonts w:hint="eastAsia" w:ascii="宋体" w:hAnsi="宋体" w:cs="宋体"/>
                <w:b/>
                <w:bCs/>
                <w:snapToGrid w:val="0"/>
                <w:color w:val="000000"/>
                <w:kern w:val="0"/>
                <w:szCs w:val="21"/>
              </w:rPr>
              <w:t>检测项目</w:t>
            </w:r>
          </w:p>
        </w:tc>
        <w:tc>
          <w:tcPr>
            <w:tcW w:w="1447" w:type="dxa"/>
            <w:vAlign w:val="center"/>
          </w:tcPr>
          <w:p w14:paraId="6484FBA2">
            <w:pPr>
              <w:widowControl/>
              <w:jc w:val="center"/>
              <w:rPr>
                <w:szCs w:val="21"/>
              </w:rPr>
            </w:pPr>
            <w:r>
              <w:rPr>
                <w:rFonts w:hint="eastAsia" w:ascii="宋体" w:hAnsi="宋体" w:cs="宋体"/>
                <w:b/>
                <w:bCs/>
                <w:snapToGrid w:val="0"/>
                <w:color w:val="000000"/>
                <w:kern w:val="0"/>
                <w:szCs w:val="21"/>
              </w:rPr>
              <w:t>商品名称</w:t>
            </w:r>
          </w:p>
        </w:tc>
        <w:tc>
          <w:tcPr>
            <w:tcW w:w="1046" w:type="dxa"/>
            <w:vAlign w:val="center"/>
          </w:tcPr>
          <w:p w14:paraId="2B86FF2F">
            <w:pPr>
              <w:widowControl/>
              <w:jc w:val="center"/>
              <w:rPr>
                <w:szCs w:val="21"/>
              </w:rPr>
            </w:pPr>
            <w:r>
              <w:rPr>
                <w:rFonts w:hint="eastAsia" w:ascii="宋体" w:hAnsi="宋体" w:cs="宋体"/>
                <w:b/>
                <w:bCs/>
                <w:snapToGrid w:val="0"/>
                <w:color w:val="000000"/>
                <w:kern w:val="0"/>
                <w:szCs w:val="21"/>
              </w:rPr>
              <w:t>注册</w:t>
            </w:r>
          </w:p>
          <w:p w14:paraId="120288D1">
            <w:pPr>
              <w:widowControl/>
              <w:jc w:val="center"/>
              <w:rPr>
                <w:szCs w:val="21"/>
              </w:rPr>
            </w:pPr>
            <w:r>
              <w:rPr>
                <w:rFonts w:hint="eastAsia" w:ascii="宋体" w:hAnsi="宋体" w:cs="宋体"/>
                <w:b/>
                <w:bCs/>
                <w:snapToGrid w:val="0"/>
                <w:color w:val="000000"/>
                <w:kern w:val="0"/>
                <w:szCs w:val="21"/>
              </w:rPr>
              <w:t>证名称及注册证号</w:t>
            </w:r>
          </w:p>
        </w:tc>
        <w:tc>
          <w:tcPr>
            <w:tcW w:w="1046" w:type="dxa"/>
            <w:vAlign w:val="center"/>
          </w:tcPr>
          <w:p w14:paraId="53676710">
            <w:pPr>
              <w:widowControl/>
              <w:jc w:val="center"/>
              <w:rPr>
                <w:szCs w:val="21"/>
              </w:rPr>
            </w:pPr>
            <w:r>
              <w:rPr>
                <w:rFonts w:hint="eastAsia" w:ascii="宋体" w:hAnsi="宋体" w:cs="宋体"/>
                <w:b/>
                <w:bCs/>
                <w:snapToGrid w:val="0"/>
                <w:color w:val="000000"/>
                <w:kern w:val="0"/>
                <w:szCs w:val="21"/>
              </w:rPr>
              <w:t>品牌</w:t>
            </w:r>
          </w:p>
          <w:p w14:paraId="3B800EA1">
            <w:pPr>
              <w:widowControl/>
              <w:jc w:val="center"/>
              <w:rPr>
                <w:szCs w:val="21"/>
              </w:rPr>
            </w:pPr>
          </w:p>
        </w:tc>
        <w:tc>
          <w:tcPr>
            <w:tcW w:w="1046" w:type="dxa"/>
            <w:vAlign w:val="center"/>
          </w:tcPr>
          <w:p w14:paraId="0BB2BAC2">
            <w:pPr>
              <w:widowControl/>
              <w:jc w:val="center"/>
              <w:rPr>
                <w:rFonts w:ascii="宋体" w:hAnsi="宋体" w:cs="宋体"/>
                <w:b/>
                <w:bCs/>
                <w:snapToGrid w:val="0"/>
                <w:color w:val="000000"/>
                <w:kern w:val="0"/>
                <w:szCs w:val="21"/>
              </w:rPr>
            </w:pPr>
            <w:r>
              <w:rPr>
                <w:rFonts w:hint="eastAsia" w:ascii="宋体" w:hAnsi="宋体" w:cs="宋体"/>
                <w:b/>
                <w:bCs/>
                <w:snapToGrid w:val="0"/>
                <w:color w:val="000000"/>
                <w:kern w:val="0"/>
                <w:szCs w:val="21"/>
              </w:rPr>
              <w:t>规格型号</w:t>
            </w:r>
          </w:p>
        </w:tc>
        <w:tc>
          <w:tcPr>
            <w:tcW w:w="1164" w:type="dxa"/>
            <w:vAlign w:val="center"/>
          </w:tcPr>
          <w:p w14:paraId="3C9DC141">
            <w:pPr>
              <w:widowControl/>
              <w:jc w:val="center"/>
              <w:rPr>
                <w:rFonts w:ascii="宋体" w:hAnsi="宋体" w:cs="宋体"/>
                <w:b/>
                <w:bCs/>
                <w:snapToGrid w:val="0"/>
                <w:color w:val="000000"/>
                <w:kern w:val="0"/>
                <w:szCs w:val="21"/>
              </w:rPr>
            </w:pPr>
            <w:r>
              <w:rPr>
                <w:rFonts w:hint="eastAsia" w:ascii="宋体" w:hAnsi="宋体" w:cs="宋体"/>
                <w:b/>
                <w:bCs/>
                <w:snapToGrid w:val="0"/>
                <w:color w:val="000000"/>
                <w:kern w:val="0"/>
                <w:szCs w:val="21"/>
              </w:rPr>
              <w:t>生产企业</w:t>
            </w:r>
          </w:p>
        </w:tc>
        <w:tc>
          <w:tcPr>
            <w:tcW w:w="929" w:type="dxa"/>
            <w:vAlign w:val="center"/>
          </w:tcPr>
          <w:p w14:paraId="159F4052">
            <w:pPr>
              <w:widowControl/>
              <w:jc w:val="center"/>
              <w:rPr>
                <w:rFonts w:ascii="宋体" w:hAnsi="宋体" w:cs="宋体"/>
                <w:b/>
                <w:bCs/>
                <w:snapToGrid w:val="0"/>
                <w:color w:val="000000"/>
                <w:kern w:val="0"/>
                <w:szCs w:val="21"/>
              </w:rPr>
            </w:pPr>
            <w:r>
              <w:rPr>
                <w:rFonts w:hint="eastAsia" w:ascii="宋体" w:hAnsi="宋体" w:cs="宋体"/>
                <w:b/>
                <w:bCs/>
                <w:snapToGrid w:val="0"/>
                <w:color w:val="000000"/>
                <w:kern w:val="0"/>
                <w:szCs w:val="21"/>
              </w:rPr>
              <w:t>试验方法</w:t>
            </w:r>
          </w:p>
        </w:tc>
        <w:tc>
          <w:tcPr>
            <w:tcW w:w="929" w:type="dxa"/>
            <w:vAlign w:val="center"/>
          </w:tcPr>
          <w:p w14:paraId="299CE505">
            <w:pPr>
              <w:widowControl/>
              <w:jc w:val="center"/>
              <w:rPr>
                <w:rFonts w:ascii="宋体" w:hAnsi="宋体" w:cs="宋体"/>
                <w:b/>
                <w:bCs/>
                <w:snapToGrid w:val="0"/>
                <w:color w:val="000000"/>
                <w:kern w:val="0"/>
                <w:szCs w:val="21"/>
              </w:rPr>
            </w:pPr>
            <w:r>
              <w:rPr>
                <w:rFonts w:hint="eastAsia" w:ascii="宋体" w:hAnsi="宋体" w:cs="宋体"/>
                <w:b/>
                <w:bCs/>
                <w:snapToGrid w:val="0"/>
                <w:color w:val="000000"/>
                <w:kern w:val="0"/>
                <w:szCs w:val="21"/>
              </w:rPr>
              <w:t>计价</w:t>
            </w:r>
          </w:p>
          <w:p w14:paraId="133DB0FF">
            <w:pPr>
              <w:widowControl/>
              <w:jc w:val="center"/>
              <w:rPr>
                <w:rFonts w:ascii="宋体" w:hAnsi="宋体" w:cs="宋体"/>
                <w:b/>
                <w:bCs/>
                <w:snapToGrid w:val="0"/>
                <w:color w:val="000000"/>
                <w:kern w:val="0"/>
                <w:szCs w:val="21"/>
              </w:rPr>
            </w:pPr>
            <w:r>
              <w:rPr>
                <w:rFonts w:hint="eastAsia" w:ascii="宋体" w:hAnsi="宋体" w:cs="宋体"/>
                <w:b/>
                <w:bCs/>
                <w:snapToGrid w:val="0"/>
                <w:color w:val="000000"/>
                <w:kern w:val="0"/>
                <w:szCs w:val="21"/>
              </w:rPr>
              <w:t>单位</w:t>
            </w:r>
          </w:p>
        </w:tc>
        <w:tc>
          <w:tcPr>
            <w:tcW w:w="1046" w:type="dxa"/>
            <w:vAlign w:val="center"/>
          </w:tcPr>
          <w:p w14:paraId="2927E8D3">
            <w:pPr>
              <w:widowControl/>
              <w:jc w:val="center"/>
              <w:rPr>
                <w:rFonts w:ascii="宋体" w:hAnsi="宋体" w:cs="宋体"/>
                <w:b/>
                <w:bCs/>
                <w:snapToGrid w:val="0"/>
                <w:color w:val="000000"/>
                <w:kern w:val="0"/>
                <w:szCs w:val="21"/>
              </w:rPr>
            </w:pPr>
            <w:r>
              <w:rPr>
                <w:rFonts w:hint="eastAsia" w:ascii="宋体" w:hAnsi="宋体" w:cs="宋体"/>
                <w:b/>
                <w:bCs/>
                <w:snapToGrid w:val="0"/>
                <w:color w:val="000000"/>
                <w:kern w:val="0"/>
                <w:szCs w:val="21"/>
              </w:rPr>
              <w:t>单价</w:t>
            </w:r>
          </w:p>
          <w:p w14:paraId="7BEEFB8A">
            <w:pPr>
              <w:widowControl/>
              <w:jc w:val="center"/>
              <w:rPr>
                <w:rFonts w:ascii="宋体" w:hAnsi="宋体" w:cs="宋体"/>
                <w:b/>
                <w:bCs/>
                <w:snapToGrid w:val="0"/>
                <w:color w:val="000000"/>
                <w:kern w:val="0"/>
                <w:szCs w:val="21"/>
              </w:rPr>
            </w:pPr>
            <w:r>
              <w:rPr>
                <w:rFonts w:hint="eastAsia" w:ascii="宋体" w:hAnsi="宋体" w:cs="宋体"/>
                <w:b/>
                <w:bCs/>
                <w:snapToGrid w:val="0"/>
                <w:color w:val="000000"/>
                <w:kern w:val="0"/>
                <w:szCs w:val="21"/>
              </w:rPr>
              <w:t>（元/每人份）</w:t>
            </w:r>
          </w:p>
        </w:tc>
        <w:tc>
          <w:tcPr>
            <w:tcW w:w="1609" w:type="dxa"/>
            <w:vAlign w:val="center"/>
          </w:tcPr>
          <w:p w14:paraId="6E611E87">
            <w:pPr>
              <w:widowControl/>
              <w:jc w:val="center"/>
              <w:rPr>
                <w:rFonts w:ascii="宋体" w:hAnsi="宋体" w:cs="宋体"/>
                <w:b/>
                <w:bCs/>
                <w:snapToGrid w:val="0"/>
                <w:color w:val="000000"/>
                <w:kern w:val="0"/>
                <w:szCs w:val="21"/>
              </w:rPr>
            </w:pPr>
            <w:r>
              <w:rPr>
                <w:rFonts w:hint="eastAsia" w:ascii="宋体" w:hAnsi="宋体" w:cs="宋体"/>
                <w:b/>
                <w:bCs/>
                <w:snapToGrid w:val="0"/>
                <w:color w:val="000000"/>
                <w:kern w:val="0"/>
                <w:szCs w:val="21"/>
              </w:rPr>
              <w:t>网采号</w:t>
            </w:r>
          </w:p>
        </w:tc>
        <w:tc>
          <w:tcPr>
            <w:tcW w:w="1908" w:type="dxa"/>
            <w:vAlign w:val="center"/>
          </w:tcPr>
          <w:p w14:paraId="37882908">
            <w:pPr>
              <w:spacing w:line="320" w:lineRule="exact"/>
              <w:jc w:val="center"/>
              <w:outlineLvl w:val="0"/>
              <w:rPr>
                <w:rFonts w:ascii="宋体" w:hAnsi="宋体" w:cs="宋体"/>
                <w:b/>
                <w:szCs w:val="21"/>
              </w:rPr>
            </w:pPr>
            <w:r>
              <w:rPr>
                <w:rFonts w:hint="eastAsia" w:ascii="宋体" w:hAnsi="宋体" w:cs="宋体"/>
                <w:b/>
                <w:szCs w:val="21"/>
              </w:rPr>
              <w:t>省、市、县</w:t>
            </w:r>
          </w:p>
          <w:p w14:paraId="65CDC61F">
            <w:pPr>
              <w:spacing w:line="320" w:lineRule="exact"/>
              <w:jc w:val="center"/>
              <w:outlineLvl w:val="0"/>
              <w:rPr>
                <w:rFonts w:ascii="宋体" w:hAnsi="宋体" w:cs="宋体"/>
                <w:b/>
                <w:szCs w:val="21"/>
              </w:rPr>
            </w:pPr>
            <w:r>
              <w:rPr>
                <w:rFonts w:hint="eastAsia" w:ascii="宋体" w:hAnsi="宋体" w:cs="宋体"/>
                <w:b/>
                <w:szCs w:val="21"/>
              </w:rPr>
              <w:t>收费编码</w:t>
            </w:r>
          </w:p>
          <w:p w14:paraId="66AD7189">
            <w:pPr>
              <w:spacing w:line="320" w:lineRule="exact"/>
              <w:jc w:val="center"/>
              <w:outlineLvl w:val="0"/>
              <w:rPr>
                <w:szCs w:val="21"/>
              </w:rPr>
            </w:pPr>
            <w:r>
              <w:rPr>
                <w:rFonts w:hint="eastAsia" w:ascii="宋体" w:hAnsi="宋体" w:cs="宋体"/>
                <w:b/>
                <w:szCs w:val="21"/>
              </w:rPr>
              <w:t>收费标准</w:t>
            </w:r>
          </w:p>
        </w:tc>
      </w:tr>
      <w:tr w14:paraId="1B6D8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restart"/>
          </w:tcPr>
          <w:p w14:paraId="0FC2FFE8"/>
        </w:tc>
        <w:tc>
          <w:tcPr>
            <w:tcW w:w="1447" w:type="dxa"/>
            <w:vMerge w:val="restart"/>
          </w:tcPr>
          <w:p w14:paraId="30455CD6"/>
        </w:tc>
        <w:tc>
          <w:tcPr>
            <w:tcW w:w="1447" w:type="dxa"/>
          </w:tcPr>
          <w:p w14:paraId="2F6316A6"/>
        </w:tc>
        <w:tc>
          <w:tcPr>
            <w:tcW w:w="1046" w:type="dxa"/>
          </w:tcPr>
          <w:p w14:paraId="757B2B61"/>
        </w:tc>
        <w:tc>
          <w:tcPr>
            <w:tcW w:w="1046" w:type="dxa"/>
          </w:tcPr>
          <w:p w14:paraId="3B2547A6"/>
        </w:tc>
        <w:tc>
          <w:tcPr>
            <w:tcW w:w="1046" w:type="dxa"/>
          </w:tcPr>
          <w:p w14:paraId="76D997C3"/>
        </w:tc>
        <w:tc>
          <w:tcPr>
            <w:tcW w:w="1164" w:type="dxa"/>
          </w:tcPr>
          <w:p w14:paraId="1324F098"/>
        </w:tc>
        <w:tc>
          <w:tcPr>
            <w:tcW w:w="929" w:type="dxa"/>
          </w:tcPr>
          <w:p w14:paraId="2AB63450"/>
        </w:tc>
        <w:tc>
          <w:tcPr>
            <w:tcW w:w="929" w:type="dxa"/>
          </w:tcPr>
          <w:p w14:paraId="665BD11F"/>
        </w:tc>
        <w:tc>
          <w:tcPr>
            <w:tcW w:w="1046" w:type="dxa"/>
          </w:tcPr>
          <w:p w14:paraId="4A73934A"/>
        </w:tc>
        <w:tc>
          <w:tcPr>
            <w:tcW w:w="1609" w:type="dxa"/>
          </w:tcPr>
          <w:p w14:paraId="6098C578"/>
        </w:tc>
        <w:tc>
          <w:tcPr>
            <w:tcW w:w="1908" w:type="dxa"/>
          </w:tcPr>
          <w:p w14:paraId="6C39625C"/>
        </w:tc>
      </w:tr>
      <w:tr w14:paraId="3AB7F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continue"/>
          </w:tcPr>
          <w:p w14:paraId="4FEBE237"/>
        </w:tc>
        <w:tc>
          <w:tcPr>
            <w:tcW w:w="1447" w:type="dxa"/>
            <w:vMerge w:val="continue"/>
          </w:tcPr>
          <w:p w14:paraId="317784AE"/>
        </w:tc>
        <w:tc>
          <w:tcPr>
            <w:tcW w:w="1447" w:type="dxa"/>
          </w:tcPr>
          <w:p w14:paraId="2810EF9B"/>
        </w:tc>
        <w:tc>
          <w:tcPr>
            <w:tcW w:w="1046" w:type="dxa"/>
          </w:tcPr>
          <w:p w14:paraId="2A437ED4"/>
        </w:tc>
        <w:tc>
          <w:tcPr>
            <w:tcW w:w="1046" w:type="dxa"/>
          </w:tcPr>
          <w:p w14:paraId="64F49067"/>
        </w:tc>
        <w:tc>
          <w:tcPr>
            <w:tcW w:w="1046" w:type="dxa"/>
          </w:tcPr>
          <w:p w14:paraId="1A7A7CCF"/>
        </w:tc>
        <w:tc>
          <w:tcPr>
            <w:tcW w:w="1164" w:type="dxa"/>
          </w:tcPr>
          <w:p w14:paraId="1CA7E538"/>
        </w:tc>
        <w:tc>
          <w:tcPr>
            <w:tcW w:w="929" w:type="dxa"/>
          </w:tcPr>
          <w:p w14:paraId="70A24186"/>
        </w:tc>
        <w:tc>
          <w:tcPr>
            <w:tcW w:w="929" w:type="dxa"/>
          </w:tcPr>
          <w:p w14:paraId="662ACAFD"/>
        </w:tc>
        <w:tc>
          <w:tcPr>
            <w:tcW w:w="1046" w:type="dxa"/>
          </w:tcPr>
          <w:p w14:paraId="12346ED8"/>
        </w:tc>
        <w:tc>
          <w:tcPr>
            <w:tcW w:w="1609" w:type="dxa"/>
          </w:tcPr>
          <w:p w14:paraId="061808DF"/>
        </w:tc>
        <w:tc>
          <w:tcPr>
            <w:tcW w:w="1908" w:type="dxa"/>
          </w:tcPr>
          <w:p w14:paraId="51B9842F"/>
        </w:tc>
      </w:tr>
      <w:tr w14:paraId="28214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restart"/>
          </w:tcPr>
          <w:p w14:paraId="42A3C328"/>
        </w:tc>
        <w:tc>
          <w:tcPr>
            <w:tcW w:w="1447" w:type="dxa"/>
            <w:vMerge w:val="restart"/>
          </w:tcPr>
          <w:p w14:paraId="7FBAD0E5"/>
        </w:tc>
        <w:tc>
          <w:tcPr>
            <w:tcW w:w="1447" w:type="dxa"/>
          </w:tcPr>
          <w:p w14:paraId="01A0F543"/>
        </w:tc>
        <w:tc>
          <w:tcPr>
            <w:tcW w:w="1046" w:type="dxa"/>
          </w:tcPr>
          <w:p w14:paraId="2935015F"/>
        </w:tc>
        <w:tc>
          <w:tcPr>
            <w:tcW w:w="1046" w:type="dxa"/>
          </w:tcPr>
          <w:p w14:paraId="3FE83652"/>
        </w:tc>
        <w:tc>
          <w:tcPr>
            <w:tcW w:w="1046" w:type="dxa"/>
          </w:tcPr>
          <w:p w14:paraId="78CF81AD"/>
        </w:tc>
        <w:tc>
          <w:tcPr>
            <w:tcW w:w="1164" w:type="dxa"/>
          </w:tcPr>
          <w:p w14:paraId="3713C7DF"/>
        </w:tc>
        <w:tc>
          <w:tcPr>
            <w:tcW w:w="929" w:type="dxa"/>
          </w:tcPr>
          <w:p w14:paraId="27A15971"/>
        </w:tc>
        <w:tc>
          <w:tcPr>
            <w:tcW w:w="929" w:type="dxa"/>
          </w:tcPr>
          <w:p w14:paraId="186AD0E9"/>
        </w:tc>
        <w:tc>
          <w:tcPr>
            <w:tcW w:w="1046" w:type="dxa"/>
          </w:tcPr>
          <w:p w14:paraId="6B5AF01F"/>
        </w:tc>
        <w:tc>
          <w:tcPr>
            <w:tcW w:w="1609" w:type="dxa"/>
          </w:tcPr>
          <w:p w14:paraId="3B272B91"/>
        </w:tc>
        <w:tc>
          <w:tcPr>
            <w:tcW w:w="1908" w:type="dxa"/>
          </w:tcPr>
          <w:p w14:paraId="43256D8D"/>
        </w:tc>
      </w:tr>
      <w:tr w14:paraId="59896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continue"/>
          </w:tcPr>
          <w:p w14:paraId="380A0B4A"/>
        </w:tc>
        <w:tc>
          <w:tcPr>
            <w:tcW w:w="1447" w:type="dxa"/>
            <w:vMerge w:val="continue"/>
          </w:tcPr>
          <w:p w14:paraId="7FE13415"/>
        </w:tc>
        <w:tc>
          <w:tcPr>
            <w:tcW w:w="1447" w:type="dxa"/>
          </w:tcPr>
          <w:p w14:paraId="7D2E9403"/>
        </w:tc>
        <w:tc>
          <w:tcPr>
            <w:tcW w:w="1046" w:type="dxa"/>
          </w:tcPr>
          <w:p w14:paraId="3FBFAFF1"/>
        </w:tc>
        <w:tc>
          <w:tcPr>
            <w:tcW w:w="1046" w:type="dxa"/>
          </w:tcPr>
          <w:p w14:paraId="1280AB51"/>
        </w:tc>
        <w:tc>
          <w:tcPr>
            <w:tcW w:w="1046" w:type="dxa"/>
          </w:tcPr>
          <w:p w14:paraId="3FA73361"/>
        </w:tc>
        <w:tc>
          <w:tcPr>
            <w:tcW w:w="1164" w:type="dxa"/>
          </w:tcPr>
          <w:p w14:paraId="65922FAF"/>
        </w:tc>
        <w:tc>
          <w:tcPr>
            <w:tcW w:w="929" w:type="dxa"/>
          </w:tcPr>
          <w:p w14:paraId="3D39C241"/>
        </w:tc>
        <w:tc>
          <w:tcPr>
            <w:tcW w:w="929" w:type="dxa"/>
          </w:tcPr>
          <w:p w14:paraId="5C61512A"/>
        </w:tc>
        <w:tc>
          <w:tcPr>
            <w:tcW w:w="1046" w:type="dxa"/>
          </w:tcPr>
          <w:p w14:paraId="18C4A8BA"/>
        </w:tc>
        <w:tc>
          <w:tcPr>
            <w:tcW w:w="1609" w:type="dxa"/>
          </w:tcPr>
          <w:p w14:paraId="5965884D"/>
        </w:tc>
        <w:tc>
          <w:tcPr>
            <w:tcW w:w="1908" w:type="dxa"/>
          </w:tcPr>
          <w:p w14:paraId="35BB4C85"/>
        </w:tc>
      </w:tr>
    </w:tbl>
    <w:p w14:paraId="73B8D9E6"/>
    <w:p w14:paraId="61EDC41E">
      <w:pPr>
        <w:widowControl/>
        <w:kinsoku w:val="0"/>
        <w:autoSpaceDE w:val="0"/>
        <w:autoSpaceDN w:val="0"/>
        <w:adjustRightInd w:val="0"/>
        <w:snapToGrid w:val="0"/>
        <w:spacing w:line="460" w:lineRule="exact"/>
        <w:ind w:firstLine="480" w:firstLineChars="200"/>
        <w:jc w:val="left"/>
        <w:textAlignment w:val="baseline"/>
        <w:rPr>
          <w:rFonts w:ascii="宋体" w:hAnsi="宋体" w:cs="宋体"/>
          <w:color w:val="000000" w:themeColor="text1"/>
          <w:kern w:val="0"/>
          <w:sz w:val="24"/>
          <w:u w:val="single"/>
        </w:rPr>
      </w:pPr>
      <w:r>
        <w:rPr>
          <w:rFonts w:hint="eastAsia" w:ascii="宋体" w:hAnsi="宋体" w:cs="宋体"/>
          <w:color w:val="000000" w:themeColor="text1"/>
          <w:kern w:val="0"/>
          <w:sz w:val="24"/>
        </w:rPr>
        <w:t xml:space="preserve">法人代表或委托代理人（签字或盖章）： </w:t>
      </w:r>
    </w:p>
    <w:p w14:paraId="06D646D1">
      <w:pPr>
        <w:widowControl/>
        <w:kinsoku w:val="0"/>
        <w:autoSpaceDE w:val="0"/>
        <w:autoSpaceDN w:val="0"/>
        <w:adjustRightInd w:val="0"/>
        <w:snapToGrid w:val="0"/>
        <w:spacing w:line="560" w:lineRule="exact"/>
        <w:ind w:firstLine="480" w:firstLineChars="200"/>
        <w:jc w:val="left"/>
        <w:textAlignment w:val="baseline"/>
        <w:rPr>
          <w:rFonts w:ascii="宋体" w:hAnsi="宋体" w:cs="宋体"/>
          <w:color w:val="000000" w:themeColor="text1"/>
          <w:kern w:val="0"/>
          <w:sz w:val="52"/>
          <w:szCs w:val="52"/>
        </w:rPr>
      </w:pPr>
      <w:r>
        <w:rPr>
          <w:rFonts w:hint="eastAsia" w:ascii="宋体" w:hAnsi="宋体" w:cs="宋体"/>
          <w:color w:val="000000" w:themeColor="text1"/>
          <w:kern w:val="0"/>
          <w:sz w:val="24"/>
        </w:rPr>
        <w:t>供应商：</w:t>
      </w:r>
      <w:r>
        <w:rPr>
          <w:rFonts w:hint="eastAsia" w:ascii="宋体" w:hAnsi="宋体" w:cs="宋体"/>
          <w:color w:val="000000" w:themeColor="text1"/>
          <w:kern w:val="0"/>
          <w:sz w:val="24"/>
          <w:u w:val="single"/>
          <w:lang w:val="en-US" w:eastAsia="zh-CN"/>
        </w:rPr>
        <w:t xml:space="preserve">                   </w:t>
      </w:r>
      <w:r>
        <w:rPr>
          <w:rFonts w:hint="eastAsia" w:ascii="宋体" w:hAnsi="宋体" w:cs="宋体"/>
          <w:color w:val="000000" w:themeColor="text1"/>
          <w:kern w:val="0"/>
          <w:sz w:val="24"/>
        </w:rPr>
        <w:t>（全称并加盖公章）</w:t>
      </w:r>
    </w:p>
    <w:p w14:paraId="37F24207">
      <w:pPr>
        <w:widowControl/>
        <w:kinsoku w:val="0"/>
        <w:autoSpaceDE w:val="0"/>
        <w:autoSpaceDN w:val="0"/>
        <w:adjustRightInd w:val="0"/>
        <w:snapToGrid w:val="0"/>
        <w:spacing w:line="560" w:lineRule="exact"/>
        <w:ind w:firstLine="480" w:firstLineChars="200"/>
        <w:jc w:val="left"/>
        <w:textAlignment w:val="baseline"/>
        <w:rPr>
          <w:rFonts w:ascii="宋体" w:hAnsi="宋体" w:cs="宋体"/>
          <w:color w:val="000000" w:themeColor="text1"/>
          <w:kern w:val="0"/>
          <w:sz w:val="24"/>
        </w:rPr>
      </w:pPr>
      <w:r>
        <w:rPr>
          <w:rFonts w:hint="eastAsia" w:ascii="宋体" w:hAnsi="宋体" w:cs="宋体"/>
          <w:color w:val="000000" w:themeColor="text1"/>
          <w:kern w:val="0"/>
          <w:sz w:val="24"/>
        </w:rPr>
        <w:t>日期：    年    月    日</w:t>
      </w:r>
    </w:p>
    <w:p w14:paraId="342C55FE">
      <w:pPr>
        <w:widowControl/>
        <w:kinsoku w:val="0"/>
        <w:autoSpaceDE w:val="0"/>
        <w:autoSpaceDN w:val="0"/>
        <w:adjustRightInd w:val="0"/>
        <w:snapToGrid w:val="0"/>
        <w:spacing w:line="400" w:lineRule="exact"/>
        <w:textAlignment w:val="baseline"/>
        <w:rPr>
          <w:rFonts w:ascii="宋体" w:hAnsi="宋体" w:cs="宋体"/>
          <w:b/>
          <w:bCs/>
          <w:szCs w:val="21"/>
        </w:rPr>
      </w:pPr>
      <w:r>
        <w:rPr>
          <w:rFonts w:hint="eastAsia" w:ascii="宋体" w:hAnsi="宋体" w:cs="宋体"/>
          <w:b/>
          <w:bCs/>
          <w:szCs w:val="21"/>
        </w:rPr>
        <w:t>注：1.请按照检测项目填写试剂。</w:t>
      </w:r>
    </w:p>
    <w:p w14:paraId="580E6F22">
      <w:pPr>
        <w:widowControl/>
        <w:kinsoku w:val="0"/>
        <w:autoSpaceDE w:val="0"/>
        <w:autoSpaceDN w:val="0"/>
        <w:adjustRightInd w:val="0"/>
        <w:snapToGrid w:val="0"/>
        <w:spacing w:line="400" w:lineRule="exact"/>
        <w:ind w:firstLine="422" w:firstLineChars="200"/>
        <w:textAlignment w:val="baseline"/>
        <w:rPr>
          <w:rFonts w:ascii="宋体" w:hAnsi="宋体" w:cs="宋体"/>
          <w:b/>
          <w:bCs/>
          <w:szCs w:val="21"/>
        </w:rPr>
      </w:pPr>
      <w:r>
        <w:rPr>
          <w:rFonts w:hint="eastAsia" w:ascii="宋体" w:hAnsi="宋体" w:cs="宋体"/>
          <w:b/>
          <w:bCs/>
          <w:szCs w:val="21"/>
        </w:rPr>
        <w:t>2.试剂以“每人份”为单位进行报价。</w:t>
      </w:r>
    </w:p>
    <w:p w14:paraId="32C004CA">
      <w:pPr>
        <w:widowControl/>
        <w:spacing w:line="400" w:lineRule="exact"/>
        <w:jc w:val="left"/>
      </w:pPr>
      <w:r>
        <w:rPr>
          <w:rFonts w:hint="eastAsia" w:ascii="宋体" w:hAnsi="宋体" w:cs="宋体"/>
          <w:b/>
          <w:bCs/>
          <w:snapToGrid w:val="0"/>
          <w:color w:val="000000"/>
          <w:kern w:val="0"/>
          <w:sz w:val="24"/>
        </w:rPr>
        <w:t>备注: 此表为产品配套试剂报价表，如没有，无需制作，可自行删除。</w:t>
      </w:r>
    </w:p>
    <w:p w14:paraId="18E7BE7F">
      <w:pPr>
        <w:ind w:firstLine="562"/>
        <w:rPr>
          <w:rFonts w:ascii="宋体" w:hAnsi="宋体" w:cs="宋体"/>
          <w:b/>
          <w:bCs/>
          <w:sz w:val="28"/>
          <w:szCs w:val="28"/>
        </w:rPr>
      </w:pPr>
    </w:p>
    <w:p w14:paraId="02B188F6">
      <w:pPr>
        <w:ind w:firstLine="562"/>
        <w:rPr>
          <w:rFonts w:ascii="宋体" w:hAnsi="宋体" w:cs="宋体"/>
          <w:b/>
          <w:bCs/>
          <w:sz w:val="28"/>
          <w:szCs w:val="28"/>
        </w:rPr>
      </w:pPr>
      <w:r>
        <w:rPr>
          <w:rFonts w:hint="eastAsia" w:ascii="宋体" w:hAnsi="宋体" w:cs="宋体"/>
          <w:b/>
          <w:bCs/>
          <w:sz w:val="28"/>
          <w:szCs w:val="28"/>
        </w:rPr>
        <w:t xml:space="preserve">                         4.2               配套耗材报价一览表</w:t>
      </w:r>
    </w:p>
    <w:p w14:paraId="661B7B92">
      <w:r>
        <w:rPr>
          <w:rFonts w:hint="eastAsia" w:ascii="宋体" w:hAnsi="宋体" w:cs="宋体"/>
        </w:rPr>
        <w:t>包号：</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3"/>
        <w:gridCol w:w="1514"/>
        <w:gridCol w:w="1357"/>
        <w:gridCol w:w="1030"/>
        <w:gridCol w:w="1030"/>
        <w:gridCol w:w="1030"/>
        <w:gridCol w:w="1030"/>
        <w:gridCol w:w="1040"/>
        <w:gridCol w:w="1236"/>
        <w:gridCol w:w="1445"/>
        <w:gridCol w:w="1506"/>
        <w:gridCol w:w="1049"/>
      </w:tblGrid>
      <w:tr w14:paraId="343C6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Align w:val="center"/>
          </w:tcPr>
          <w:p w14:paraId="7A673390">
            <w:pPr>
              <w:jc w:val="center"/>
              <w:rPr>
                <w:b/>
                <w:bCs/>
                <w:szCs w:val="21"/>
              </w:rPr>
            </w:pPr>
            <w:r>
              <w:rPr>
                <w:rFonts w:hint="eastAsia"/>
                <w:b/>
                <w:bCs/>
                <w:szCs w:val="21"/>
              </w:rPr>
              <w:t>序号</w:t>
            </w:r>
          </w:p>
        </w:tc>
        <w:tc>
          <w:tcPr>
            <w:tcW w:w="1543" w:type="dxa"/>
            <w:vAlign w:val="center"/>
          </w:tcPr>
          <w:p w14:paraId="40393574">
            <w:pPr>
              <w:widowControl/>
              <w:jc w:val="center"/>
              <w:rPr>
                <w:rFonts w:ascii="宋体" w:hAnsi="宋体" w:cs="宋体"/>
                <w:b/>
                <w:bCs/>
                <w:snapToGrid w:val="0"/>
                <w:color w:val="000000"/>
                <w:kern w:val="0"/>
                <w:szCs w:val="21"/>
              </w:rPr>
            </w:pPr>
            <w:r>
              <w:rPr>
                <w:rFonts w:hint="eastAsia" w:ascii="宋体" w:hAnsi="宋体" w:cs="宋体"/>
                <w:b/>
                <w:bCs/>
                <w:snapToGrid w:val="0"/>
                <w:color w:val="000000"/>
                <w:kern w:val="0"/>
                <w:szCs w:val="21"/>
              </w:rPr>
              <w:t>耗材名称</w:t>
            </w:r>
          </w:p>
        </w:tc>
        <w:tc>
          <w:tcPr>
            <w:tcW w:w="1393" w:type="dxa"/>
            <w:vAlign w:val="center"/>
          </w:tcPr>
          <w:p w14:paraId="704B1A57">
            <w:pPr>
              <w:widowControl/>
              <w:jc w:val="center"/>
              <w:rPr>
                <w:b/>
                <w:bCs/>
                <w:szCs w:val="21"/>
              </w:rPr>
            </w:pPr>
            <w:r>
              <w:rPr>
                <w:rFonts w:hint="eastAsia" w:ascii="宋体" w:hAnsi="宋体" w:cs="宋体"/>
                <w:b/>
                <w:bCs/>
                <w:snapToGrid w:val="0"/>
                <w:color w:val="000000"/>
                <w:kern w:val="0"/>
                <w:szCs w:val="21"/>
              </w:rPr>
              <w:t>商品名（通用名）</w:t>
            </w:r>
          </w:p>
        </w:tc>
        <w:tc>
          <w:tcPr>
            <w:tcW w:w="1060" w:type="dxa"/>
            <w:vAlign w:val="center"/>
          </w:tcPr>
          <w:p w14:paraId="5C4B3E80">
            <w:pPr>
              <w:widowControl/>
              <w:jc w:val="center"/>
              <w:rPr>
                <w:b/>
                <w:bCs/>
                <w:szCs w:val="21"/>
              </w:rPr>
            </w:pPr>
            <w:r>
              <w:rPr>
                <w:rFonts w:hint="eastAsia" w:ascii="宋体" w:hAnsi="宋体" w:cs="宋体"/>
                <w:b/>
                <w:bCs/>
                <w:snapToGrid w:val="0"/>
                <w:color w:val="000000"/>
                <w:kern w:val="0"/>
                <w:szCs w:val="21"/>
              </w:rPr>
              <w:t>投标产</w:t>
            </w:r>
          </w:p>
          <w:p w14:paraId="0F5F0143">
            <w:pPr>
              <w:widowControl/>
              <w:jc w:val="center"/>
              <w:rPr>
                <w:b/>
                <w:bCs/>
                <w:szCs w:val="21"/>
              </w:rPr>
            </w:pPr>
            <w:r>
              <w:rPr>
                <w:rFonts w:hint="eastAsia" w:ascii="宋体" w:hAnsi="宋体" w:cs="宋体"/>
                <w:b/>
                <w:bCs/>
                <w:snapToGrid w:val="0"/>
                <w:color w:val="000000"/>
                <w:kern w:val="0"/>
                <w:szCs w:val="21"/>
              </w:rPr>
              <w:t>品注册</w:t>
            </w:r>
          </w:p>
          <w:p w14:paraId="42757A2D">
            <w:pPr>
              <w:widowControl/>
              <w:jc w:val="center"/>
              <w:rPr>
                <w:b/>
                <w:bCs/>
                <w:szCs w:val="21"/>
              </w:rPr>
            </w:pPr>
            <w:r>
              <w:rPr>
                <w:rFonts w:hint="eastAsia" w:ascii="宋体" w:hAnsi="宋体" w:cs="宋体"/>
                <w:b/>
                <w:bCs/>
                <w:snapToGrid w:val="0"/>
                <w:color w:val="000000"/>
                <w:kern w:val="0"/>
                <w:szCs w:val="21"/>
              </w:rPr>
              <w:t>证名称</w:t>
            </w:r>
          </w:p>
        </w:tc>
        <w:tc>
          <w:tcPr>
            <w:tcW w:w="1060" w:type="dxa"/>
            <w:vAlign w:val="center"/>
          </w:tcPr>
          <w:p w14:paraId="70D624B8">
            <w:pPr>
              <w:widowControl/>
              <w:jc w:val="center"/>
              <w:rPr>
                <w:b/>
                <w:bCs/>
                <w:szCs w:val="21"/>
              </w:rPr>
            </w:pPr>
            <w:r>
              <w:rPr>
                <w:rFonts w:hint="eastAsia" w:cs="仿宋" w:asciiTheme="majorEastAsia" w:hAnsiTheme="majorEastAsia" w:eastAsiaTheme="majorEastAsia"/>
                <w:b/>
                <w:szCs w:val="21"/>
              </w:rPr>
              <w:t>生产厂家</w:t>
            </w:r>
          </w:p>
        </w:tc>
        <w:tc>
          <w:tcPr>
            <w:tcW w:w="1060" w:type="dxa"/>
            <w:vAlign w:val="center"/>
          </w:tcPr>
          <w:p w14:paraId="17414484">
            <w:pPr>
              <w:widowControl/>
              <w:jc w:val="center"/>
              <w:rPr>
                <w:b/>
                <w:bCs/>
                <w:szCs w:val="21"/>
              </w:rPr>
            </w:pPr>
            <w:r>
              <w:rPr>
                <w:rFonts w:hint="eastAsia"/>
                <w:b/>
                <w:bCs/>
                <w:szCs w:val="21"/>
              </w:rPr>
              <w:t>品牌</w:t>
            </w:r>
          </w:p>
        </w:tc>
        <w:tc>
          <w:tcPr>
            <w:tcW w:w="1060" w:type="dxa"/>
            <w:vAlign w:val="center"/>
          </w:tcPr>
          <w:p w14:paraId="06FEDEFB">
            <w:pPr>
              <w:widowControl/>
              <w:jc w:val="center"/>
              <w:rPr>
                <w:b/>
                <w:bCs/>
                <w:szCs w:val="21"/>
              </w:rPr>
            </w:pPr>
            <w:r>
              <w:rPr>
                <w:rFonts w:hint="eastAsia"/>
                <w:b/>
                <w:bCs/>
                <w:szCs w:val="21"/>
              </w:rPr>
              <w:t>产地</w:t>
            </w:r>
          </w:p>
        </w:tc>
        <w:tc>
          <w:tcPr>
            <w:tcW w:w="1060" w:type="dxa"/>
          </w:tcPr>
          <w:p w14:paraId="543F8E26">
            <w:pPr>
              <w:widowControl/>
              <w:jc w:val="center"/>
              <w:rPr>
                <w:b/>
                <w:bCs/>
                <w:szCs w:val="21"/>
              </w:rPr>
            </w:pPr>
            <w:r>
              <w:rPr>
                <w:rFonts w:hint="eastAsia"/>
                <w:b/>
                <w:bCs/>
                <w:szCs w:val="21"/>
              </w:rPr>
              <w:t>规格型号</w:t>
            </w:r>
          </w:p>
          <w:p w14:paraId="5D3280D6">
            <w:pPr>
              <w:widowControl/>
              <w:jc w:val="center"/>
              <w:rPr>
                <w:b/>
                <w:bCs/>
                <w:szCs w:val="21"/>
              </w:rPr>
            </w:pPr>
            <w:r>
              <w:rPr>
                <w:rFonts w:hint="eastAsia"/>
                <w:b/>
                <w:bCs/>
                <w:szCs w:val="21"/>
              </w:rPr>
              <w:t>（注册证型号）</w:t>
            </w:r>
          </w:p>
        </w:tc>
        <w:tc>
          <w:tcPr>
            <w:tcW w:w="1277" w:type="dxa"/>
            <w:vAlign w:val="center"/>
          </w:tcPr>
          <w:p w14:paraId="170B9668">
            <w:pPr>
              <w:widowControl/>
              <w:jc w:val="center"/>
              <w:rPr>
                <w:b/>
                <w:bCs/>
                <w:szCs w:val="21"/>
              </w:rPr>
            </w:pPr>
            <w:r>
              <w:rPr>
                <w:rFonts w:hint="eastAsia"/>
                <w:b/>
                <w:bCs/>
                <w:szCs w:val="21"/>
              </w:rPr>
              <w:t>计价单位</w:t>
            </w:r>
          </w:p>
        </w:tc>
        <w:tc>
          <w:tcPr>
            <w:tcW w:w="1486" w:type="dxa"/>
            <w:vAlign w:val="center"/>
          </w:tcPr>
          <w:p w14:paraId="490DE90C">
            <w:pPr>
              <w:widowControl/>
              <w:jc w:val="center"/>
              <w:rPr>
                <w:b/>
                <w:bCs/>
                <w:szCs w:val="21"/>
              </w:rPr>
            </w:pPr>
            <w:r>
              <w:rPr>
                <w:rFonts w:hint="eastAsia"/>
                <w:b/>
                <w:bCs/>
                <w:szCs w:val="21"/>
              </w:rPr>
              <w:t>投标单价</w:t>
            </w:r>
          </w:p>
          <w:p w14:paraId="00F98FA1">
            <w:pPr>
              <w:widowControl/>
              <w:jc w:val="center"/>
              <w:rPr>
                <w:b/>
                <w:bCs/>
                <w:szCs w:val="21"/>
              </w:rPr>
            </w:pPr>
            <w:r>
              <w:rPr>
                <w:rFonts w:hint="eastAsia"/>
                <w:b/>
                <w:bCs/>
                <w:szCs w:val="21"/>
              </w:rPr>
              <w:t>（元/单位）</w:t>
            </w:r>
          </w:p>
        </w:tc>
        <w:tc>
          <w:tcPr>
            <w:tcW w:w="1560" w:type="dxa"/>
            <w:vAlign w:val="center"/>
          </w:tcPr>
          <w:p w14:paraId="0924C604">
            <w:pPr>
              <w:widowControl/>
              <w:jc w:val="center"/>
              <w:rPr>
                <w:rFonts w:ascii="宋体" w:hAnsi="宋体" w:cs="宋体"/>
                <w:b/>
                <w:bCs/>
                <w:snapToGrid w:val="0"/>
                <w:color w:val="000000"/>
                <w:kern w:val="0"/>
                <w:szCs w:val="21"/>
              </w:rPr>
            </w:pPr>
            <w:r>
              <w:rPr>
                <w:rFonts w:hint="eastAsia" w:ascii="宋体" w:hAnsi="宋体" w:cs="宋体"/>
                <w:b/>
                <w:bCs/>
                <w:snapToGrid w:val="0"/>
                <w:color w:val="000000"/>
                <w:kern w:val="0"/>
                <w:szCs w:val="21"/>
              </w:rPr>
              <w:t>投标产品</w:t>
            </w:r>
          </w:p>
          <w:p w14:paraId="24DF005C">
            <w:pPr>
              <w:widowControl/>
              <w:jc w:val="center"/>
              <w:rPr>
                <w:b/>
                <w:bCs/>
                <w:szCs w:val="21"/>
              </w:rPr>
            </w:pPr>
            <w:r>
              <w:rPr>
                <w:rFonts w:hint="eastAsia" w:ascii="宋体" w:hAnsi="宋体" w:cs="宋体"/>
                <w:b/>
                <w:bCs/>
                <w:snapToGrid w:val="0"/>
                <w:color w:val="000000"/>
                <w:kern w:val="0"/>
                <w:szCs w:val="21"/>
              </w:rPr>
              <w:t>注册证号</w:t>
            </w:r>
          </w:p>
        </w:tc>
        <w:tc>
          <w:tcPr>
            <w:tcW w:w="1080" w:type="dxa"/>
            <w:vAlign w:val="center"/>
          </w:tcPr>
          <w:p w14:paraId="0C343CE1">
            <w:pPr>
              <w:widowControl/>
              <w:jc w:val="center"/>
              <w:rPr>
                <w:rFonts w:ascii="宋体" w:hAnsi="宋体" w:cs="宋体"/>
                <w:b/>
                <w:bCs/>
                <w:snapToGrid w:val="0"/>
                <w:color w:val="000000"/>
                <w:kern w:val="0"/>
                <w:szCs w:val="21"/>
              </w:rPr>
            </w:pPr>
            <w:r>
              <w:rPr>
                <w:rFonts w:hint="eastAsia" w:ascii="宋体" w:hAnsi="宋体" w:cs="宋体"/>
                <w:b/>
                <w:bCs/>
                <w:snapToGrid w:val="0"/>
                <w:color w:val="000000"/>
                <w:kern w:val="0"/>
                <w:szCs w:val="21"/>
              </w:rPr>
              <w:t>备注</w:t>
            </w:r>
          </w:p>
        </w:tc>
      </w:tr>
      <w:tr w14:paraId="4A176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Align w:val="center"/>
          </w:tcPr>
          <w:p w14:paraId="1D41C481">
            <w:pPr>
              <w:widowControl/>
              <w:jc w:val="center"/>
              <w:rPr>
                <w:rFonts w:ascii="宋体" w:hAnsi="宋体" w:cs="宋体"/>
                <w:b/>
                <w:bCs/>
                <w:snapToGrid w:val="0"/>
                <w:color w:val="000000"/>
                <w:kern w:val="0"/>
                <w:szCs w:val="21"/>
              </w:rPr>
            </w:pPr>
            <w:r>
              <w:rPr>
                <w:rFonts w:hint="eastAsia" w:ascii="宋体" w:hAnsi="宋体" w:cs="宋体"/>
                <w:b/>
                <w:bCs/>
                <w:snapToGrid w:val="0"/>
                <w:color w:val="000000"/>
                <w:kern w:val="0"/>
                <w:szCs w:val="21"/>
              </w:rPr>
              <w:t>1</w:t>
            </w:r>
          </w:p>
        </w:tc>
        <w:tc>
          <w:tcPr>
            <w:tcW w:w="1543" w:type="dxa"/>
            <w:vAlign w:val="center"/>
          </w:tcPr>
          <w:p w14:paraId="1FFDB8D5">
            <w:pPr>
              <w:ind w:firstLine="422"/>
              <w:jc w:val="center"/>
            </w:pPr>
          </w:p>
        </w:tc>
        <w:tc>
          <w:tcPr>
            <w:tcW w:w="1393" w:type="dxa"/>
          </w:tcPr>
          <w:p w14:paraId="4FBDBFA8">
            <w:pPr>
              <w:ind w:firstLine="422"/>
            </w:pPr>
          </w:p>
        </w:tc>
        <w:tc>
          <w:tcPr>
            <w:tcW w:w="1060" w:type="dxa"/>
          </w:tcPr>
          <w:p w14:paraId="0C53B530">
            <w:pPr>
              <w:ind w:firstLine="422"/>
            </w:pPr>
          </w:p>
        </w:tc>
        <w:tc>
          <w:tcPr>
            <w:tcW w:w="1060" w:type="dxa"/>
          </w:tcPr>
          <w:p w14:paraId="071D0CDF">
            <w:pPr>
              <w:ind w:firstLine="422"/>
            </w:pPr>
          </w:p>
        </w:tc>
        <w:tc>
          <w:tcPr>
            <w:tcW w:w="1060" w:type="dxa"/>
          </w:tcPr>
          <w:p w14:paraId="40202A3D">
            <w:pPr>
              <w:ind w:firstLine="422"/>
            </w:pPr>
          </w:p>
        </w:tc>
        <w:tc>
          <w:tcPr>
            <w:tcW w:w="1060" w:type="dxa"/>
          </w:tcPr>
          <w:p w14:paraId="6ECE9A87">
            <w:pPr>
              <w:ind w:firstLine="422"/>
            </w:pPr>
          </w:p>
        </w:tc>
        <w:tc>
          <w:tcPr>
            <w:tcW w:w="1060" w:type="dxa"/>
          </w:tcPr>
          <w:p w14:paraId="2D7885D5">
            <w:pPr>
              <w:ind w:firstLine="422"/>
            </w:pPr>
          </w:p>
        </w:tc>
        <w:tc>
          <w:tcPr>
            <w:tcW w:w="1277" w:type="dxa"/>
          </w:tcPr>
          <w:p w14:paraId="3312F7AE">
            <w:pPr>
              <w:ind w:firstLine="422"/>
            </w:pPr>
          </w:p>
        </w:tc>
        <w:tc>
          <w:tcPr>
            <w:tcW w:w="1486" w:type="dxa"/>
          </w:tcPr>
          <w:p w14:paraId="11FB3D82">
            <w:pPr>
              <w:ind w:firstLine="422"/>
            </w:pPr>
          </w:p>
        </w:tc>
        <w:tc>
          <w:tcPr>
            <w:tcW w:w="1560" w:type="dxa"/>
          </w:tcPr>
          <w:p w14:paraId="5C8C6307">
            <w:pPr>
              <w:ind w:firstLine="422"/>
            </w:pPr>
          </w:p>
        </w:tc>
        <w:tc>
          <w:tcPr>
            <w:tcW w:w="1080" w:type="dxa"/>
          </w:tcPr>
          <w:p w14:paraId="208D5562">
            <w:pPr>
              <w:ind w:firstLine="422"/>
            </w:pPr>
          </w:p>
        </w:tc>
      </w:tr>
      <w:tr w14:paraId="0EDB6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Align w:val="center"/>
          </w:tcPr>
          <w:p w14:paraId="107CC910">
            <w:pPr>
              <w:widowControl/>
              <w:jc w:val="center"/>
              <w:rPr>
                <w:rFonts w:ascii="宋体" w:hAnsi="宋体" w:cs="宋体"/>
                <w:b/>
                <w:bCs/>
                <w:snapToGrid w:val="0"/>
                <w:color w:val="000000"/>
                <w:kern w:val="0"/>
                <w:szCs w:val="21"/>
              </w:rPr>
            </w:pPr>
            <w:r>
              <w:rPr>
                <w:rFonts w:hint="eastAsia" w:ascii="宋体" w:hAnsi="宋体" w:cs="宋体"/>
                <w:b/>
                <w:bCs/>
                <w:snapToGrid w:val="0"/>
                <w:color w:val="000000"/>
                <w:kern w:val="0"/>
                <w:szCs w:val="21"/>
              </w:rPr>
              <w:t>2</w:t>
            </w:r>
          </w:p>
        </w:tc>
        <w:tc>
          <w:tcPr>
            <w:tcW w:w="1543" w:type="dxa"/>
            <w:vAlign w:val="center"/>
          </w:tcPr>
          <w:p w14:paraId="2680CF03">
            <w:pPr>
              <w:ind w:firstLine="422"/>
              <w:jc w:val="center"/>
            </w:pPr>
          </w:p>
        </w:tc>
        <w:tc>
          <w:tcPr>
            <w:tcW w:w="1393" w:type="dxa"/>
          </w:tcPr>
          <w:p w14:paraId="40888BA3">
            <w:pPr>
              <w:ind w:firstLine="422"/>
            </w:pPr>
          </w:p>
        </w:tc>
        <w:tc>
          <w:tcPr>
            <w:tcW w:w="1060" w:type="dxa"/>
          </w:tcPr>
          <w:p w14:paraId="463E8F04">
            <w:pPr>
              <w:ind w:firstLine="422"/>
            </w:pPr>
          </w:p>
        </w:tc>
        <w:tc>
          <w:tcPr>
            <w:tcW w:w="1060" w:type="dxa"/>
          </w:tcPr>
          <w:p w14:paraId="13D7ECA5">
            <w:pPr>
              <w:ind w:firstLine="422"/>
            </w:pPr>
          </w:p>
        </w:tc>
        <w:tc>
          <w:tcPr>
            <w:tcW w:w="1060" w:type="dxa"/>
          </w:tcPr>
          <w:p w14:paraId="052C9A82">
            <w:pPr>
              <w:ind w:firstLine="422"/>
            </w:pPr>
          </w:p>
        </w:tc>
        <w:tc>
          <w:tcPr>
            <w:tcW w:w="1060" w:type="dxa"/>
          </w:tcPr>
          <w:p w14:paraId="2F00D759">
            <w:pPr>
              <w:ind w:firstLine="422"/>
            </w:pPr>
          </w:p>
        </w:tc>
        <w:tc>
          <w:tcPr>
            <w:tcW w:w="1060" w:type="dxa"/>
          </w:tcPr>
          <w:p w14:paraId="39DE32E0">
            <w:pPr>
              <w:ind w:firstLine="422"/>
            </w:pPr>
          </w:p>
        </w:tc>
        <w:tc>
          <w:tcPr>
            <w:tcW w:w="1277" w:type="dxa"/>
          </w:tcPr>
          <w:p w14:paraId="3ED1CD27">
            <w:pPr>
              <w:ind w:firstLine="422"/>
            </w:pPr>
          </w:p>
        </w:tc>
        <w:tc>
          <w:tcPr>
            <w:tcW w:w="1486" w:type="dxa"/>
          </w:tcPr>
          <w:p w14:paraId="2D0AA353">
            <w:pPr>
              <w:ind w:firstLine="422"/>
            </w:pPr>
          </w:p>
        </w:tc>
        <w:tc>
          <w:tcPr>
            <w:tcW w:w="1560" w:type="dxa"/>
          </w:tcPr>
          <w:p w14:paraId="2D688932">
            <w:pPr>
              <w:ind w:firstLine="422"/>
            </w:pPr>
          </w:p>
        </w:tc>
        <w:tc>
          <w:tcPr>
            <w:tcW w:w="1080" w:type="dxa"/>
          </w:tcPr>
          <w:p w14:paraId="0AD3C087">
            <w:pPr>
              <w:ind w:firstLine="422"/>
            </w:pPr>
          </w:p>
        </w:tc>
      </w:tr>
      <w:tr w14:paraId="6FE0A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Align w:val="center"/>
          </w:tcPr>
          <w:p w14:paraId="2D6A2CB5">
            <w:pPr>
              <w:widowControl/>
              <w:jc w:val="center"/>
              <w:rPr>
                <w:rFonts w:ascii="宋体" w:hAnsi="宋体" w:cs="宋体"/>
                <w:b/>
                <w:bCs/>
                <w:snapToGrid w:val="0"/>
                <w:color w:val="000000"/>
                <w:kern w:val="0"/>
                <w:szCs w:val="21"/>
              </w:rPr>
            </w:pPr>
            <w:r>
              <w:rPr>
                <w:rFonts w:hint="eastAsia" w:ascii="宋体" w:hAnsi="宋体" w:cs="宋体"/>
                <w:b/>
                <w:bCs/>
                <w:snapToGrid w:val="0"/>
                <w:color w:val="000000"/>
                <w:kern w:val="0"/>
                <w:szCs w:val="21"/>
              </w:rPr>
              <w:t>3</w:t>
            </w:r>
          </w:p>
        </w:tc>
        <w:tc>
          <w:tcPr>
            <w:tcW w:w="1543" w:type="dxa"/>
            <w:vAlign w:val="center"/>
          </w:tcPr>
          <w:p w14:paraId="2AFE1FDC">
            <w:pPr>
              <w:ind w:firstLine="422"/>
              <w:jc w:val="center"/>
            </w:pPr>
          </w:p>
        </w:tc>
        <w:tc>
          <w:tcPr>
            <w:tcW w:w="1393" w:type="dxa"/>
          </w:tcPr>
          <w:p w14:paraId="776FDB21">
            <w:pPr>
              <w:ind w:firstLine="422"/>
            </w:pPr>
          </w:p>
        </w:tc>
        <w:tc>
          <w:tcPr>
            <w:tcW w:w="1060" w:type="dxa"/>
          </w:tcPr>
          <w:p w14:paraId="78E22228">
            <w:pPr>
              <w:ind w:firstLine="422"/>
            </w:pPr>
          </w:p>
        </w:tc>
        <w:tc>
          <w:tcPr>
            <w:tcW w:w="1060" w:type="dxa"/>
          </w:tcPr>
          <w:p w14:paraId="61FD497A">
            <w:pPr>
              <w:ind w:firstLine="422"/>
            </w:pPr>
          </w:p>
        </w:tc>
        <w:tc>
          <w:tcPr>
            <w:tcW w:w="1060" w:type="dxa"/>
          </w:tcPr>
          <w:p w14:paraId="26933A4D">
            <w:pPr>
              <w:ind w:firstLine="422"/>
            </w:pPr>
          </w:p>
        </w:tc>
        <w:tc>
          <w:tcPr>
            <w:tcW w:w="1060" w:type="dxa"/>
          </w:tcPr>
          <w:p w14:paraId="2F3A6065">
            <w:pPr>
              <w:ind w:firstLine="422"/>
            </w:pPr>
          </w:p>
        </w:tc>
        <w:tc>
          <w:tcPr>
            <w:tcW w:w="1060" w:type="dxa"/>
          </w:tcPr>
          <w:p w14:paraId="7526225F">
            <w:pPr>
              <w:ind w:firstLine="422"/>
            </w:pPr>
          </w:p>
        </w:tc>
        <w:tc>
          <w:tcPr>
            <w:tcW w:w="1277" w:type="dxa"/>
          </w:tcPr>
          <w:p w14:paraId="39115E0E">
            <w:pPr>
              <w:ind w:firstLine="422"/>
            </w:pPr>
          </w:p>
        </w:tc>
        <w:tc>
          <w:tcPr>
            <w:tcW w:w="1486" w:type="dxa"/>
          </w:tcPr>
          <w:p w14:paraId="24545AAD">
            <w:pPr>
              <w:ind w:firstLine="422"/>
            </w:pPr>
          </w:p>
        </w:tc>
        <w:tc>
          <w:tcPr>
            <w:tcW w:w="1560" w:type="dxa"/>
          </w:tcPr>
          <w:p w14:paraId="54CD421B">
            <w:pPr>
              <w:ind w:firstLine="422"/>
            </w:pPr>
          </w:p>
        </w:tc>
        <w:tc>
          <w:tcPr>
            <w:tcW w:w="1080" w:type="dxa"/>
          </w:tcPr>
          <w:p w14:paraId="4015DA63">
            <w:pPr>
              <w:ind w:firstLine="422"/>
            </w:pPr>
          </w:p>
        </w:tc>
      </w:tr>
      <w:tr w14:paraId="1220F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tcPr>
          <w:p w14:paraId="63CA2A1C">
            <w:pPr>
              <w:ind w:firstLine="422"/>
            </w:pPr>
            <w:r>
              <w:rPr>
                <w:rFonts w:hint="eastAsia"/>
              </w:rPr>
              <w:t>......</w:t>
            </w:r>
          </w:p>
        </w:tc>
        <w:tc>
          <w:tcPr>
            <w:tcW w:w="1543" w:type="dxa"/>
          </w:tcPr>
          <w:p w14:paraId="235D8206">
            <w:pPr>
              <w:ind w:firstLine="422"/>
            </w:pPr>
            <w:r>
              <w:rPr>
                <w:rFonts w:hint="eastAsia"/>
              </w:rPr>
              <w:t>......</w:t>
            </w:r>
          </w:p>
        </w:tc>
        <w:tc>
          <w:tcPr>
            <w:tcW w:w="1393" w:type="dxa"/>
          </w:tcPr>
          <w:p w14:paraId="17213357">
            <w:pPr>
              <w:ind w:firstLine="422"/>
            </w:pPr>
          </w:p>
        </w:tc>
        <w:tc>
          <w:tcPr>
            <w:tcW w:w="1060" w:type="dxa"/>
          </w:tcPr>
          <w:p w14:paraId="413DBAF6">
            <w:pPr>
              <w:ind w:firstLine="422"/>
            </w:pPr>
          </w:p>
        </w:tc>
        <w:tc>
          <w:tcPr>
            <w:tcW w:w="1060" w:type="dxa"/>
          </w:tcPr>
          <w:p w14:paraId="0F276ADA">
            <w:pPr>
              <w:ind w:firstLine="422"/>
            </w:pPr>
          </w:p>
        </w:tc>
        <w:tc>
          <w:tcPr>
            <w:tcW w:w="1060" w:type="dxa"/>
          </w:tcPr>
          <w:p w14:paraId="3AAEAB4E">
            <w:pPr>
              <w:ind w:firstLine="422"/>
            </w:pPr>
          </w:p>
        </w:tc>
        <w:tc>
          <w:tcPr>
            <w:tcW w:w="1060" w:type="dxa"/>
          </w:tcPr>
          <w:p w14:paraId="4EA5D10D">
            <w:pPr>
              <w:ind w:firstLine="422"/>
            </w:pPr>
          </w:p>
        </w:tc>
        <w:tc>
          <w:tcPr>
            <w:tcW w:w="1060" w:type="dxa"/>
          </w:tcPr>
          <w:p w14:paraId="06C7A7BA">
            <w:pPr>
              <w:ind w:firstLine="422"/>
            </w:pPr>
          </w:p>
        </w:tc>
        <w:tc>
          <w:tcPr>
            <w:tcW w:w="1277" w:type="dxa"/>
          </w:tcPr>
          <w:p w14:paraId="73FE7C6F">
            <w:pPr>
              <w:ind w:firstLine="422"/>
            </w:pPr>
          </w:p>
        </w:tc>
        <w:tc>
          <w:tcPr>
            <w:tcW w:w="1486" w:type="dxa"/>
          </w:tcPr>
          <w:p w14:paraId="669BE075">
            <w:pPr>
              <w:ind w:firstLine="422"/>
            </w:pPr>
          </w:p>
        </w:tc>
        <w:tc>
          <w:tcPr>
            <w:tcW w:w="1560" w:type="dxa"/>
          </w:tcPr>
          <w:p w14:paraId="6A5041D8">
            <w:pPr>
              <w:ind w:firstLine="422"/>
            </w:pPr>
          </w:p>
        </w:tc>
        <w:tc>
          <w:tcPr>
            <w:tcW w:w="1080" w:type="dxa"/>
          </w:tcPr>
          <w:p w14:paraId="1EBFA81E">
            <w:pPr>
              <w:ind w:firstLine="422"/>
            </w:pPr>
          </w:p>
        </w:tc>
      </w:tr>
    </w:tbl>
    <w:p w14:paraId="549D22CD">
      <w:pPr>
        <w:ind w:firstLine="422"/>
      </w:pPr>
    </w:p>
    <w:p w14:paraId="0C66B6DE">
      <w:pPr>
        <w:widowControl/>
        <w:kinsoku w:val="0"/>
        <w:autoSpaceDE w:val="0"/>
        <w:autoSpaceDN w:val="0"/>
        <w:adjustRightInd w:val="0"/>
        <w:snapToGrid w:val="0"/>
        <w:spacing w:line="460" w:lineRule="exact"/>
        <w:ind w:firstLine="480" w:firstLineChars="200"/>
        <w:jc w:val="left"/>
        <w:textAlignment w:val="baseline"/>
        <w:rPr>
          <w:rFonts w:ascii="宋体" w:hAnsi="宋体" w:cs="宋体"/>
          <w:color w:val="000000" w:themeColor="text1"/>
          <w:kern w:val="0"/>
          <w:sz w:val="24"/>
          <w:u w:val="single"/>
        </w:rPr>
      </w:pPr>
      <w:r>
        <w:rPr>
          <w:rFonts w:hint="eastAsia" w:ascii="宋体" w:hAnsi="宋体" w:cs="宋体"/>
          <w:color w:val="000000" w:themeColor="text1"/>
          <w:kern w:val="0"/>
          <w:sz w:val="24"/>
        </w:rPr>
        <w:t xml:space="preserve">法人代表或委托代理人（签字或盖章）： </w:t>
      </w:r>
    </w:p>
    <w:p w14:paraId="6313434A">
      <w:pPr>
        <w:widowControl/>
        <w:kinsoku w:val="0"/>
        <w:autoSpaceDE w:val="0"/>
        <w:autoSpaceDN w:val="0"/>
        <w:adjustRightInd w:val="0"/>
        <w:snapToGrid w:val="0"/>
        <w:spacing w:line="460" w:lineRule="exact"/>
        <w:ind w:firstLine="480" w:firstLineChars="200"/>
        <w:jc w:val="left"/>
        <w:textAlignment w:val="baseline"/>
        <w:rPr>
          <w:rFonts w:ascii="宋体" w:hAnsi="宋体" w:cs="宋体"/>
          <w:color w:val="000000" w:themeColor="text1"/>
          <w:kern w:val="0"/>
          <w:sz w:val="52"/>
          <w:szCs w:val="52"/>
        </w:rPr>
      </w:pPr>
      <w:r>
        <w:rPr>
          <w:rFonts w:hint="eastAsia" w:ascii="宋体" w:hAnsi="宋体" w:cs="宋体"/>
          <w:color w:val="000000" w:themeColor="text1"/>
          <w:kern w:val="0"/>
          <w:sz w:val="24"/>
        </w:rPr>
        <w:t>供应商：</w:t>
      </w:r>
      <w:r>
        <w:rPr>
          <w:rFonts w:hint="eastAsia" w:ascii="宋体" w:hAnsi="宋体" w:cs="宋体"/>
          <w:color w:val="000000" w:themeColor="text1"/>
          <w:kern w:val="0"/>
          <w:sz w:val="24"/>
          <w:u w:val="single"/>
          <w:lang w:val="en-US" w:eastAsia="zh-CN"/>
        </w:rPr>
        <w:t xml:space="preserve">                 </w:t>
      </w:r>
      <w:r>
        <w:rPr>
          <w:rFonts w:hint="eastAsia" w:ascii="宋体" w:hAnsi="宋体" w:cs="宋体"/>
          <w:color w:val="000000" w:themeColor="text1"/>
          <w:kern w:val="0"/>
          <w:sz w:val="24"/>
        </w:rPr>
        <w:t>（全称并加盖公章）</w:t>
      </w:r>
    </w:p>
    <w:p w14:paraId="1B679724">
      <w:pPr>
        <w:widowControl/>
        <w:kinsoku w:val="0"/>
        <w:autoSpaceDE w:val="0"/>
        <w:autoSpaceDN w:val="0"/>
        <w:adjustRightInd w:val="0"/>
        <w:snapToGrid w:val="0"/>
        <w:spacing w:line="460" w:lineRule="exact"/>
        <w:ind w:firstLine="480" w:firstLineChars="200"/>
        <w:jc w:val="left"/>
        <w:textAlignment w:val="baseline"/>
        <w:rPr>
          <w:rFonts w:ascii="宋体" w:hAnsi="宋体" w:cs="宋体"/>
          <w:color w:val="000000" w:themeColor="text1"/>
          <w:kern w:val="0"/>
          <w:sz w:val="24"/>
        </w:rPr>
      </w:pPr>
      <w:r>
        <w:rPr>
          <w:rFonts w:hint="eastAsia" w:ascii="宋体" w:hAnsi="宋体" w:cs="宋体"/>
          <w:color w:val="000000" w:themeColor="text1"/>
          <w:kern w:val="0"/>
          <w:sz w:val="24"/>
        </w:rPr>
        <w:t>日期：   年    月    日</w:t>
      </w:r>
    </w:p>
    <w:p w14:paraId="40818F0E">
      <w:pPr>
        <w:widowControl/>
        <w:kinsoku w:val="0"/>
        <w:autoSpaceDE w:val="0"/>
        <w:autoSpaceDN w:val="0"/>
        <w:adjustRightInd w:val="0"/>
        <w:snapToGrid w:val="0"/>
        <w:ind w:firstLine="482" w:firstLineChars="200"/>
        <w:jc w:val="left"/>
        <w:textAlignment w:val="baseline"/>
        <w:rPr>
          <w:rFonts w:ascii="宋体" w:hAnsi="宋体" w:cs="宋体"/>
          <w:b/>
          <w:bCs/>
          <w:snapToGrid w:val="0"/>
          <w:color w:val="000000"/>
          <w:kern w:val="0"/>
          <w:sz w:val="24"/>
        </w:rPr>
      </w:pPr>
    </w:p>
    <w:p w14:paraId="1BFD27A9">
      <w:pPr>
        <w:widowControl/>
        <w:ind w:firstLine="482" w:firstLineChars="200"/>
        <w:jc w:val="left"/>
      </w:pPr>
      <w:r>
        <w:rPr>
          <w:rFonts w:hint="eastAsia" w:ascii="宋体" w:hAnsi="宋体" w:cs="宋体"/>
          <w:b/>
          <w:bCs/>
          <w:snapToGrid w:val="0"/>
          <w:color w:val="000000"/>
          <w:kern w:val="0"/>
          <w:sz w:val="24"/>
        </w:rPr>
        <w:t>备注: 此表为产品配套耗材报价表，如没有，无需制作，可自行删除。</w:t>
      </w:r>
    </w:p>
    <w:p w14:paraId="0BB0FD33">
      <w:pPr>
        <w:pStyle w:val="24"/>
        <w:ind w:firstLine="482"/>
        <w:rPr>
          <w:rFonts w:ascii="宋体" w:hAnsi="宋体" w:cs="宋体"/>
          <w:color w:val="000000" w:themeColor="text1"/>
          <w:kern w:val="0"/>
          <w:sz w:val="24"/>
        </w:rPr>
      </w:pPr>
    </w:p>
    <w:p w14:paraId="62A0227A">
      <w:pPr>
        <w:pStyle w:val="24"/>
        <w:ind w:firstLine="482"/>
        <w:rPr>
          <w:rFonts w:ascii="宋体" w:hAnsi="宋体" w:cs="宋体"/>
          <w:color w:val="000000" w:themeColor="text1"/>
          <w:kern w:val="0"/>
          <w:sz w:val="24"/>
        </w:rPr>
        <w:sectPr>
          <w:pgSz w:w="16838" w:h="11906" w:orient="landscape"/>
          <w:pgMar w:top="1474" w:right="1417" w:bottom="1474" w:left="1417" w:header="851" w:footer="624" w:gutter="0"/>
          <w:cols w:space="720" w:num="1"/>
          <w:docGrid w:type="lines" w:linePitch="319" w:charSpace="0"/>
        </w:sectPr>
      </w:pPr>
    </w:p>
    <w:p w14:paraId="1D6F4276">
      <w:pPr>
        <w:pStyle w:val="2"/>
      </w:pPr>
      <w:r>
        <w:rPr>
          <w:rFonts w:hint="eastAsia"/>
        </w:rPr>
        <w:t>4.3 产品配置清单一览表</w:t>
      </w:r>
    </w:p>
    <w:p w14:paraId="29978303">
      <w:pPr>
        <w:ind w:firstLine="422"/>
        <w:rPr>
          <w:rFonts w:ascii="宋体" w:hAnsi="宋体" w:cs="宋体"/>
        </w:rPr>
      </w:pPr>
      <w:r>
        <w:rPr>
          <w:rFonts w:hint="eastAsia" w:ascii="宋体" w:hAnsi="宋体" w:cs="宋体"/>
        </w:rPr>
        <w:t>包号：</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1676"/>
        <w:gridCol w:w="1238"/>
        <w:gridCol w:w="1238"/>
        <w:gridCol w:w="1238"/>
        <w:gridCol w:w="1023"/>
        <w:gridCol w:w="1800"/>
      </w:tblGrid>
      <w:tr w14:paraId="61457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3D5DE66D">
            <w:pPr>
              <w:jc w:val="center"/>
              <w:rPr>
                <w:rFonts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序号</w:t>
            </w:r>
          </w:p>
        </w:tc>
        <w:tc>
          <w:tcPr>
            <w:tcW w:w="1676" w:type="dxa"/>
            <w:vAlign w:val="center"/>
          </w:tcPr>
          <w:p w14:paraId="416BC61D">
            <w:pPr>
              <w:jc w:val="center"/>
              <w:rPr>
                <w:rFonts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货物名称</w:t>
            </w:r>
          </w:p>
        </w:tc>
        <w:tc>
          <w:tcPr>
            <w:tcW w:w="1238" w:type="dxa"/>
            <w:vAlign w:val="center"/>
          </w:tcPr>
          <w:p w14:paraId="3410D90F">
            <w:pPr>
              <w:jc w:val="center"/>
              <w:rPr>
                <w:rFonts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品牌</w:t>
            </w:r>
          </w:p>
        </w:tc>
        <w:tc>
          <w:tcPr>
            <w:tcW w:w="1238" w:type="dxa"/>
            <w:vAlign w:val="center"/>
          </w:tcPr>
          <w:p w14:paraId="1C4BA406">
            <w:pPr>
              <w:jc w:val="center"/>
              <w:rPr>
                <w:rFonts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产地</w:t>
            </w:r>
          </w:p>
        </w:tc>
        <w:tc>
          <w:tcPr>
            <w:tcW w:w="1238" w:type="dxa"/>
            <w:vAlign w:val="center"/>
          </w:tcPr>
          <w:p w14:paraId="293ED457">
            <w:pPr>
              <w:jc w:val="center"/>
              <w:rPr>
                <w:rFonts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型号规格</w:t>
            </w:r>
          </w:p>
        </w:tc>
        <w:tc>
          <w:tcPr>
            <w:tcW w:w="1023" w:type="dxa"/>
            <w:vAlign w:val="center"/>
          </w:tcPr>
          <w:p w14:paraId="55A085CB">
            <w:pPr>
              <w:jc w:val="center"/>
              <w:rPr>
                <w:rFonts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单位</w:t>
            </w:r>
          </w:p>
        </w:tc>
        <w:tc>
          <w:tcPr>
            <w:tcW w:w="1800" w:type="dxa"/>
            <w:vAlign w:val="center"/>
          </w:tcPr>
          <w:p w14:paraId="21378E84">
            <w:pPr>
              <w:jc w:val="center"/>
              <w:rPr>
                <w:rFonts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数量</w:t>
            </w:r>
          </w:p>
        </w:tc>
      </w:tr>
      <w:tr w14:paraId="12D91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0F8578B6">
            <w:pPr>
              <w:ind w:firstLine="422"/>
              <w:jc w:val="center"/>
            </w:pPr>
          </w:p>
        </w:tc>
        <w:tc>
          <w:tcPr>
            <w:tcW w:w="1676" w:type="dxa"/>
            <w:vAlign w:val="center"/>
          </w:tcPr>
          <w:p w14:paraId="0DD40022">
            <w:pPr>
              <w:ind w:firstLine="422"/>
              <w:jc w:val="center"/>
            </w:pPr>
          </w:p>
        </w:tc>
        <w:tc>
          <w:tcPr>
            <w:tcW w:w="1238" w:type="dxa"/>
            <w:vAlign w:val="center"/>
          </w:tcPr>
          <w:p w14:paraId="705FC284">
            <w:pPr>
              <w:ind w:firstLine="422"/>
              <w:jc w:val="center"/>
            </w:pPr>
          </w:p>
        </w:tc>
        <w:tc>
          <w:tcPr>
            <w:tcW w:w="1238" w:type="dxa"/>
            <w:vAlign w:val="center"/>
          </w:tcPr>
          <w:p w14:paraId="512B3702">
            <w:pPr>
              <w:ind w:firstLine="422"/>
              <w:jc w:val="center"/>
            </w:pPr>
          </w:p>
        </w:tc>
        <w:tc>
          <w:tcPr>
            <w:tcW w:w="1238" w:type="dxa"/>
            <w:vAlign w:val="center"/>
          </w:tcPr>
          <w:p w14:paraId="7123BD2D">
            <w:pPr>
              <w:ind w:firstLine="422"/>
              <w:jc w:val="center"/>
            </w:pPr>
          </w:p>
        </w:tc>
        <w:tc>
          <w:tcPr>
            <w:tcW w:w="1023" w:type="dxa"/>
            <w:vAlign w:val="center"/>
          </w:tcPr>
          <w:p w14:paraId="351C42FE">
            <w:pPr>
              <w:ind w:firstLine="422"/>
              <w:jc w:val="center"/>
            </w:pPr>
          </w:p>
        </w:tc>
        <w:tc>
          <w:tcPr>
            <w:tcW w:w="1800" w:type="dxa"/>
            <w:vAlign w:val="center"/>
          </w:tcPr>
          <w:p w14:paraId="0B1FB559">
            <w:pPr>
              <w:ind w:firstLine="422"/>
              <w:jc w:val="center"/>
            </w:pPr>
          </w:p>
        </w:tc>
      </w:tr>
      <w:tr w14:paraId="05E62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4A3DA273">
            <w:pPr>
              <w:ind w:firstLine="422"/>
              <w:jc w:val="center"/>
            </w:pPr>
          </w:p>
        </w:tc>
        <w:tc>
          <w:tcPr>
            <w:tcW w:w="1676" w:type="dxa"/>
            <w:vAlign w:val="center"/>
          </w:tcPr>
          <w:p w14:paraId="57C56CD8">
            <w:pPr>
              <w:ind w:firstLine="422"/>
              <w:jc w:val="center"/>
            </w:pPr>
          </w:p>
        </w:tc>
        <w:tc>
          <w:tcPr>
            <w:tcW w:w="1238" w:type="dxa"/>
            <w:vAlign w:val="center"/>
          </w:tcPr>
          <w:p w14:paraId="4BF7060A">
            <w:pPr>
              <w:ind w:firstLine="422"/>
              <w:jc w:val="center"/>
            </w:pPr>
          </w:p>
        </w:tc>
        <w:tc>
          <w:tcPr>
            <w:tcW w:w="1238" w:type="dxa"/>
            <w:vAlign w:val="center"/>
          </w:tcPr>
          <w:p w14:paraId="7243F34B">
            <w:pPr>
              <w:ind w:firstLine="422"/>
              <w:jc w:val="center"/>
            </w:pPr>
          </w:p>
        </w:tc>
        <w:tc>
          <w:tcPr>
            <w:tcW w:w="1238" w:type="dxa"/>
            <w:vAlign w:val="center"/>
          </w:tcPr>
          <w:p w14:paraId="058153C7">
            <w:pPr>
              <w:ind w:firstLine="422"/>
              <w:jc w:val="center"/>
            </w:pPr>
          </w:p>
        </w:tc>
        <w:tc>
          <w:tcPr>
            <w:tcW w:w="1023" w:type="dxa"/>
            <w:vAlign w:val="center"/>
          </w:tcPr>
          <w:p w14:paraId="3770719E">
            <w:pPr>
              <w:ind w:firstLine="422"/>
              <w:jc w:val="center"/>
            </w:pPr>
          </w:p>
        </w:tc>
        <w:tc>
          <w:tcPr>
            <w:tcW w:w="1800" w:type="dxa"/>
            <w:vAlign w:val="center"/>
          </w:tcPr>
          <w:p w14:paraId="186A561F">
            <w:pPr>
              <w:ind w:firstLine="422"/>
              <w:jc w:val="center"/>
            </w:pPr>
          </w:p>
        </w:tc>
      </w:tr>
      <w:tr w14:paraId="7CC17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6ABF1685">
            <w:pPr>
              <w:ind w:firstLine="422"/>
              <w:jc w:val="center"/>
            </w:pPr>
          </w:p>
        </w:tc>
        <w:tc>
          <w:tcPr>
            <w:tcW w:w="1676" w:type="dxa"/>
            <w:vAlign w:val="center"/>
          </w:tcPr>
          <w:p w14:paraId="540ABD7E">
            <w:pPr>
              <w:ind w:firstLine="422"/>
              <w:jc w:val="center"/>
            </w:pPr>
          </w:p>
        </w:tc>
        <w:tc>
          <w:tcPr>
            <w:tcW w:w="1238" w:type="dxa"/>
            <w:vAlign w:val="center"/>
          </w:tcPr>
          <w:p w14:paraId="0CD204BC">
            <w:pPr>
              <w:ind w:firstLine="422"/>
              <w:jc w:val="center"/>
            </w:pPr>
          </w:p>
        </w:tc>
        <w:tc>
          <w:tcPr>
            <w:tcW w:w="1238" w:type="dxa"/>
            <w:vAlign w:val="center"/>
          </w:tcPr>
          <w:p w14:paraId="48DAF26F">
            <w:pPr>
              <w:ind w:firstLine="422"/>
              <w:jc w:val="center"/>
            </w:pPr>
          </w:p>
        </w:tc>
        <w:tc>
          <w:tcPr>
            <w:tcW w:w="1238" w:type="dxa"/>
            <w:vAlign w:val="center"/>
          </w:tcPr>
          <w:p w14:paraId="5079ABCE">
            <w:pPr>
              <w:ind w:firstLine="422"/>
              <w:jc w:val="center"/>
            </w:pPr>
          </w:p>
        </w:tc>
        <w:tc>
          <w:tcPr>
            <w:tcW w:w="1023" w:type="dxa"/>
            <w:vAlign w:val="center"/>
          </w:tcPr>
          <w:p w14:paraId="1A32D1BE">
            <w:pPr>
              <w:ind w:firstLine="422"/>
              <w:jc w:val="center"/>
            </w:pPr>
          </w:p>
        </w:tc>
        <w:tc>
          <w:tcPr>
            <w:tcW w:w="1800" w:type="dxa"/>
            <w:vAlign w:val="center"/>
          </w:tcPr>
          <w:p w14:paraId="2D8602B6">
            <w:pPr>
              <w:ind w:firstLine="422"/>
              <w:jc w:val="center"/>
            </w:pPr>
          </w:p>
        </w:tc>
      </w:tr>
      <w:tr w14:paraId="06557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5FF59837">
            <w:pPr>
              <w:ind w:firstLine="422"/>
              <w:jc w:val="center"/>
            </w:pPr>
          </w:p>
        </w:tc>
        <w:tc>
          <w:tcPr>
            <w:tcW w:w="1676" w:type="dxa"/>
            <w:vAlign w:val="center"/>
          </w:tcPr>
          <w:p w14:paraId="77087232">
            <w:pPr>
              <w:ind w:firstLine="422"/>
              <w:jc w:val="center"/>
            </w:pPr>
          </w:p>
        </w:tc>
        <w:tc>
          <w:tcPr>
            <w:tcW w:w="1238" w:type="dxa"/>
            <w:vAlign w:val="center"/>
          </w:tcPr>
          <w:p w14:paraId="1FD03C8F">
            <w:pPr>
              <w:ind w:firstLine="422"/>
              <w:jc w:val="center"/>
            </w:pPr>
          </w:p>
        </w:tc>
        <w:tc>
          <w:tcPr>
            <w:tcW w:w="1238" w:type="dxa"/>
            <w:vAlign w:val="center"/>
          </w:tcPr>
          <w:p w14:paraId="5281A6D4">
            <w:pPr>
              <w:ind w:firstLine="422"/>
              <w:jc w:val="center"/>
            </w:pPr>
          </w:p>
        </w:tc>
        <w:tc>
          <w:tcPr>
            <w:tcW w:w="1238" w:type="dxa"/>
            <w:vAlign w:val="center"/>
          </w:tcPr>
          <w:p w14:paraId="5E47C24A">
            <w:pPr>
              <w:ind w:firstLine="422"/>
              <w:jc w:val="center"/>
            </w:pPr>
          </w:p>
        </w:tc>
        <w:tc>
          <w:tcPr>
            <w:tcW w:w="1023" w:type="dxa"/>
            <w:vAlign w:val="center"/>
          </w:tcPr>
          <w:p w14:paraId="691A3556">
            <w:pPr>
              <w:ind w:firstLine="422"/>
              <w:jc w:val="center"/>
            </w:pPr>
          </w:p>
        </w:tc>
        <w:tc>
          <w:tcPr>
            <w:tcW w:w="1800" w:type="dxa"/>
            <w:vAlign w:val="center"/>
          </w:tcPr>
          <w:p w14:paraId="3C177640">
            <w:pPr>
              <w:ind w:firstLine="422"/>
              <w:jc w:val="center"/>
            </w:pPr>
          </w:p>
        </w:tc>
      </w:tr>
      <w:tr w14:paraId="4D7E9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35E1313E">
            <w:pPr>
              <w:ind w:firstLine="422"/>
              <w:jc w:val="center"/>
            </w:pPr>
          </w:p>
        </w:tc>
        <w:tc>
          <w:tcPr>
            <w:tcW w:w="1676" w:type="dxa"/>
            <w:vAlign w:val="center"/>
          </w:tcPr>
          <w:p w14:paraId="73521C9C">
            <w:pPr>
              <w:ind w:firstLine="422"/>
              <w:jc w:val="center"/>
            </w:pPr>
          </w:p>
        </w:tc>
        <w:tc>
          <w:tcPr>
            <w:tcW w:w="1238" w:type="dxa"/>
            <w:vAlign w:val="center"/>
          </w:tcPr>
          <w:p w14:paraId="5AB55607">
            <w:pPr>
              <w:ind w:firstLine="422"/>
              <w:jc w:val="center"/>
            </w:pPr>
          </w:p>
        </w:tc>
        <w:tc>
          <w:tcPr>
            <w:tcW w:w="1238" w:type="dxa"/>
            <w:vAlign w:val="center"/>
          </w:tcPr>
          <w:p w14:paraId="2B085E49">
            <w:pPr>
              <w:ind w:firstLine="422"/>
              <w:jc w:val="center"/>
            </w:pPr>
          </w:p>
        </w:tc>
        <w:tc>
          <w:tcPr>
            <w:tcW w:w="1238" w:type="dxa"/>
            <w:vAlign w:val="center"/>
          </w:tcPr>
          <w:p w14:paraId="1F5ADD19">
            <w:pPr>
              <w:ind w:firstLine="422"/>
              <w:jc w:val="center"/>
            </w:pPr>
          </w:p>
        </w:tc>
        <w:tc>
          <w:tcPr>
            <w:tcW w:w="1023" w:type="dxa"/>
            <w:vAlign w:val="center"/>
          </w:tcPr>
          <w:p w14:paraId="78627923">
            <w:pPr>
              <w:ind w:firstLine="422"/>
              <w:jc w:val="center"/>
            </w:pPr>
          </w:p>
        </w:tc>
        <w:tc>
          <w:tcPr>
            <w:tcW w:w="1800" w:type="dxa"/>
            <w:vAlign w:val="center"/>
          </w:tcPr>
          <w:p w14:paraId="5D3329AF">
            <w:pPr>
              <w:ind w:firstLine="422"/>
              <w:jc w:val="center"/>
            </w:pPr>
          </w:p>
        </w:tc>
      </w:tr>
    </w:tbl>
    <w:p w14:paraId="32BF043D">
      <w:pPr>
        <w:ind w:firstLine="422"/>
      </w:pPr>
    </w:p>
    <w:p w14:paraId="20B7D6FD">
      <w:pPr>
        <w:widowControl/>
        <w:ind w:firstLine="482"/>
        <w:jc w:val="left"/>
      </w:pPr>
      <w:r>
        <w:rPr>
          <w:rFonts w:hint="eastAsia" w:ascii="宋体" w:hAnsi="宋体" w:cs="宋体"/>
          <w:b/>
          <w:bCs/>
          <w:snapToGrid w:val="0"/>
          <w:color w:val="000000"/>
          <w:kern w:val="0"/>
          <w:sz w:val="24"/>
        </w:rPr>
        <w:t>备注：</w:t>
      </w:r>
    </w:p>
    <w:p w14:paraId="54A99582">
      <w:pPr>
        <w:widowControl/>
        <w:ind w:firstLine="482"/>
        <w:jc w:val="left"/>
      </w:pPr>
      <w:r>
        <w:rPr>
          <w:rFonts w:hint="eastAsia" w:ascii="宋体" w:hAnsi="宋体" w:cs="宋体"/>
          <w:b/>
          <w:bCs/>
          <w:snapToGrid w:val="0"/>
          <w:color w:val="000000"/>
          <w:kern w:val="0"/>
          <w:sz w:val="24"/>
        </w:rPr>
        <w:t xml:space="preserve">1、若投标产品配置清单中含第三方产品，请填写第三方品牌、型号、产地，以铭 </w:t>
      </w:r>
    </w:p>
    <w:p w14:paraId="66655C12">
      <w:pPr>
        <w:widowControl/>
        <w:ind w:firstLine="482"/>
        <w:jc w:val="left"/>
      </w:pPr>
      <w:r>
        <w:rPr>
          <w:rFonts w:hint="eastAsia" w:ascii="宋体" w:hAnsi="宋体" w:cs="宋体"/>
          <w:b/>
          <w:bCs/>
          <w:snapToGrid w:val="0"/>
          <w:color w:val="000000"/>
          <w:kern w:val="0"/>
          <w:sz w:val="24"/>
        </w:rPr>
        <w:t xml:space="preserve">牌为准； </w:t>
      </w:r>
    </w:p>
    <w:p w14:paraId="6EAC08FF">
      <w:pPr>
        <w:widowControl/>
        <w:ind w:firstLine="482"/>
        <w:jc w:val="left"/>
      </w:pPr>
      <w:r>
        <w:rPr>
          <w:rFonts w:hint="eastAsia" w:ascii="宋体" w:hAnsi="宋体" w:cs="宋体"/>
          <w:b/>
          <w:bCs/>
          <w:snapToGrid w:val="0"/>
          <w:color w:val="000000"/>
          <w:kern w:val="0"/>
          <w:sz w:val="24"/>
        </w:rPr>
        <w:t xml:space="preserve">2、所投产品若有注册证，投标开标一览表中规格或型号、产地等信息若与注册证不一致，以投标产品注册证信息为准。 </w:t>
      </w:r>
    </w:p>
    <w:p w14:paraId="27EEAB5E">
      <w:pPr>
        <w:ind w:firstLine="422"/>
      </w:pPr>
    </w:p>
    <w:p w14:paraId="6F1278A0">
      <w:pPr>
        <w:widowControl/>
        <w:kinsoku w:val="0"/>
        <w:autoSpaceDE w:val="0"/>
        <w:autoSpaceDN w:val="0"/>
        <w:adjustRightInd w:val="0"/>
        <w:snapToGrid w:val="0"/>
        <w:spacing w:line="460" w:lineRule="exact"/>
        <w:ind w:firstLine="480" w:firstLineChars="200"/>
        <w:jc w:val="left"/>
        <w:textAlignment w:val="baseline"/>
        <w:rPr>
          <w:rFonts w:ascii="宋体" w:hAnsi="宋体" w:cs="宋体"/>
          <w:color w:val="000000" w:themeColor="text1"/>
          <w:kern w:val="0"/>
          <w:sz w:val="24"/>
          <w:u w:val="single"/>
        </w:rPr>
      </w:pPr>
      <w:r>
        <w:rPr>
          <w:rFonts w:hint="eastAsia" w:ascii="宋体" w:hAnsi="宋体" w:cs="宋体"/>
          <w:color w:val="000000" w:themeColor="text1"/>
          <w:kern w:val="0"/>
          <w:sz w:val="24"/>
        </w:rPr>
        <w:t xml:space="preserve">法人代表或委托代理人（签字或盖章）： </w:t>
      </w:r>
    </w:p>
    <w:p w14:paraId="490F63DA">
      <w:pPr>
        <w:widowControl/>
        <w:kinsoku w:val="0"/>
        <w:autoSpaceDE w:val="0"/>
        <w:autoSpaceDN w:val="0"/>
        <w:adjustRightInd w:val="0"/>
        <w:snapToGrid w:val="0"/>
        <w:spacing w:line="460" w:lineRule="exact"/>
        <w:ind w:firstLine="480" w:firstLineChars="200"/>
        <w:jc w:val="left"/>
        <w:textAlignment w:val="baseline"/>
        <w:rPr>
          <w:rFonts w:ascii="宋体" w:hAnsi="宋体" w:cs="宋体"/>
          <w:color w:val="000000" w:themeColor="text1"/>
          <w:kern w:val="0"/>
          <w:sz w:val="52"/>
          <w:szCs w:val="52"/>
        </w:rPr>
      </w:pPr>
      <w:r>
        <w:rPr>
          <w:rFonts w:hint="eastAsia" w:ascii="宋体" w:hAnsi="宋体" w:cs="宋体"/>
          <w:color w:val="000000" w:themeColor="text1"/>
          <w:kern w:val="0"/>
          <w:sz w:val="24"/>
        </w:rPr>
        <w:t>供应商：</w:t>
      </w:r>
      <w:r>
        <w:rPr>
          <w:rFonts w:hint="eastAsia" w:ascii="宋体" w:hAnsi="宋体" w:cs="宋体"/>
          <w:color w:val="000000" w:themeColor="text1"/>
          <w:kern w:val="0"/>
          <w:sz w:val="24"/>
          <w:u w:val="single"/>
          <w:lang w:val="en-US" w:eastAsia="zh-CN"/>
        </w:rPr>
        <w:t xml:space="preserve">                          </w:t>
      </w:r>
      <w:r>
        <w:rPr>
          <w:rFonts w:hint="eastAsia" w:ascii="宋体" w:hAnsi="宋体" w:cs="宋体"/>
          <w:color w:val="000000" w:themeColor="text1"/>
          <w:kern w:val="0"/>
          <w:sz w:val="24"/>
        </w:rPr>
        <w:t>（全称并加盖公章）</w:t>
      </w:r>
    </w:p>
    <w:p w14:paraId="37F89DE6">
      <w:pPr>
        <w:widowControl/>
        <w:kinsoku w:val="0"/>
        <w:autoSpaceDE w:val="0"/>
        <w:autoSpaceDN w:val="0"/>
        <w:adjustRightInd w:val="0"/>
        <w:snapToGrid w:val="0"/>
        <w:spacing w:line="460" w:lineRule="exact"/>
        <w:ind w:firstLine="480" w:firstLineChars="200"/>
        <w:jc w:val="left"/>
        <w:textAlignment w:val="baseline"/>
        <w:rPr>
          <w:rFonts w:ascii="宋体" w:hAnsi="宋体" w:cs="宋体"/>
          <w:color w:val="000000" w:themeColor="text1"/>
          <w:kern w:val="0"/>
          <w:sz w:val="24"/>
        </w:rPr>
      </w:pPr>
      <w:r>
        <w:rPr>
          <w:rFonts w:hint="eastAsia" w:ascii="宋体" w:hAnsi="宋体" w:cs="宋体"/>
          <w:color w:val="000000" w:themeColor="text1"/>
          <w:kern w:val="0"/>
          <w:sz w:val="24"/>
        </w:rPr>
        <w:t>日期：   年    月    日</w:t>
      </w:r>
    </w:p>
    <w:p w14:paraId="2A7883C8">
      <w:pPr>
        <w:ind w:firstLine="422"/>
      </w:pPr>
    </w:p>
    <w:p w14:paraId="03CE53A3">
      <w:pPr>
        <w:ind w:firstLine="482"/>
        <w:rPr>
          <w:rFonts w:ascii="宋体" w:hAnsi="宋体" w:cs="宋体"/>
          <w:sz w:val="24"/>
        </w:rPr>
      </w:pPr>
    </w:p>
    <w:p w14:paraId="1BC0BF5A">
      <w:pPr>
        <w:ind w:firstLine="422"/>
      </w:pPr>
    </w:p>
    <w:p w14:paraId="2392B569">
      <w:pPr>
        <w:pStyle w:val="24"/>
        <w:ind w:firstLine="482"/>
        <w:rPr>
          <w:rFonts w:ascii="宋体" w:hAnsi="宋体" w:cs="宋体"/>
          <w:color w:val="000000" w:themeColor="text1"/>
          <w:kern w:val="0"/>
          <w:sz w:val="24"/>
        </w:rPr>
      </w:pPr>
    </w:p>
    <w:p w14:paraId="66B1696C">
      <w:pPr>
        <w:pStyle w:val="24"/>
        <w:ind w:firstLine="482"/>
        <w:rPr>
          <w:rFonts w:ascii="宋体" w:hAnsi="宋体" w:cs="宋体"/>
          <w:color w:val="000000" w:themeColor="text1"/>
          <w:kern w:val="0"/>
          <w:sz w:val="24"/>
        </w:rPr>
      </w:pPr>
    </w:p>
    <w:p w14:paraId="52E15EE3">
      <w:pPr>
        <w:pStyle w:val="24"/>
        <w:ind w:firstLine="482"/>
        <w:rPr>
          <w:rFonts w:ascii="宋体" w:hAnsi="宋体" w:cs="宋体"/>
          <w:color w:val="000000" w:themeColor="text1"/>
          <w:kern w:val="0"/>
          <w:sz w:val="24"/>
        </w:rPr>
      </w:pPr>
    </w:p>
    <w:p w14:paraId="5E6BB8CD">
      <w:pPr>
        <w:pStyle w:val="24"/>
        <w:ind w:firstLine="482"/>
        <w:rPr>
          <w:rFonts w:ascii="宋体" w:hAnsi="宋体" w:cs="宋体"/>
          <w:color w:val="000000" w:themeColor="text1"/>
          <w:kern w:val="0"/>
          <w:sz w:val="24"/>
        </w:rPr>
      </w:pPr>
    </w:p>
    <w:p w14:paraId="5FCC0367">
      <w:pPr>
        <w:pStyle w:val="24"/>
        <w:ind w:firstLine="482"/>
        <w:rPr>
          <w:rFonts w:ascii="宋体" w:hAnsi="宋体" w:cs="宋体"/>
          <w:color w:val="000000" w:themeColor="text1"/>
          <w:kern w:val="0"/>
          <w:sz w:val="24"/>
        </w:rPr>
      </w:pPr>
    </w:p>
    <w:p w14:paraId="7D5F2F20">
      <w:pPr>
        <w:pStyle w:val="24"/>
        <w:ind w:firstLine="482"/>
        <w:rPr>
          <w:rFonts w:ascii="宋体" w:hAnsi="宋体" w:cs="宋体"/>
          <w:color w:val="000000" w:themeColor="text1"/>
          <w:kern w:val="0"/>
          <w:sz w:val="24"/>
        </w:rPr>
      </w:pPr>
    </w:p>
    <w:p w14:paraId="54E0A0A4">
      <w:pPr>
        <w:pStyle w:val="24"/>
        <w:ind w:firstLine="482"/>
        <w:rPr>
          <w:rFonts w:ascii="宋体" w:hAnsi="宋体" w:cs="宋体"/>
          <w:color w:val="000000" w:themeColor="text1"/>
          <w:kern w:val="0"/>
          <w:sz w:val="24"/>
        </w:rPr>
      </w:pPr>
    </w:p>
    <w:p w14:paraId="0CFBAB82">
      <w:pPr>
        <w:pStyle w:val="24"/>
        <w:ind w:firstLine="482"/>
        <w:rPr>
          <w:rFonts w:ascii="宋体" w:hAnsi="宋体" w:cs="宋体"/>
          <w:color w:val="000000" w:themeColor="text1"/>
          <w:kern w:val="0"/>
          <w:sz w:val="24"/>
        </w:rPr>
      </w:pPr>
    </w:p>
    <w:p w14:paraId="01D699E5">
      <w:pPr>
        <w:pStyle w:val="24"/>
        <w:ind w:firstLine="482"/>
        <w:rPr>
          <w:rFonts w:ascii="宋体" w:hAnsi="宋体" w:cs="宋体"/>
          <w:color w:val="000000" w:themeColor="text1"/>
          <w:kern w:val="0"/>
          <w:sz w:val="24"/>
        </w:rPr>
      </w:pPr>
    </w:p>
    <w:p w14:paraId="5010B248">
      <w:pPr>
        <w:pStyle w:val="24"/>
        <w:ind w:firstLine="562"/>
        <w:jc w:val="center"/>
        <w:rPr>
          <w:rFonts w:ascii="宋体" w:hAnsi="宋体" w:cs="宋体"/>
          <w:b/>
          <w:bCs/>
          <w:sz w:val="28"/>
          <w:szCs w:val="28"/>
        </w:rPr>
      </w:pPr>
      <w:r>
        <w:rPr>
          <w:rFonts w:hint="eastAsia" w:ascii="宋体" w:hAnsi="宋体" w:cs="宋体"/>
          <w:b/>
          <w:bCs/>
          <w:sz w:val="28"/>
          <w:szCs w:val="28"/>
        </w:rPr>
        <w:t>4.4 质保期满后易损件、配件一览表</w:t>
      </w:r>
    </w:p>
    <w:p w14:paraId="47E2C257">
      <w:pPr>
        <w:ind w:firstLine="422"/>
        <w:rPr>
          <w:rFonts w:ascii="宋体" w:hAnsi="宋体" w:cs="宋体"/>
        </w:rPr>
      </w:pPr>
      <w:r>
        <w:rPr>
          <w:rFonts w:hint="eastAsia" w:ascii="宋体" w:hAnsi="宋体" w:cs="宋体"/>
        </w:rPr>
        <w:t>包号：</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5"/>
        <w:gridCol w:w="1946"/>
        <w:gridCol w:w="1306"/>
        <w:gridCol w:w="1306"/>
        <w:gridCol w:w="1339"/>
        <w:gridCol w:w="1306"/>
        <w:gridCol w:w="1306"/>
      </w:tblGrid>
      <w:tr w14:paraId="4B704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5A438364">
            <w:pPr>
              <w:jc w:val="center"/>
              <w:rPr>
                <w:rFonts w:ascii="宋体" w:hAnsi="宋体" w:cs="宋体"/>
                <w:b/>
                <w:bCs/>
                <w:sz w:val="24"/>
              </w:rPr>
            </w:pPr>
            <w:r>
              <w:rPr>
                <w:rFonts w:hint="eastAsia" w:ascii="宋体" w:hAnsi="宋体" w:cs="宋体"/>
                <w:b/>
                <w:bCs/>
                <w:sz w:val="24"/>
              </w:rPr>
              <w:t>序号</w:t>
            </w:r>
          </w:p>
        </w:tc>
        <w:tc>
          <w:tcPr>
            <w:tcW w:w="1946" w:type="dxa"/>
            <w:vAlign w:val="center"/>
          </w:tcPr>
          <w:p w14:paraId="3D389AA8">
            <w:pPr>
              <w:jc w:val="center"/>
              <w:rPr>
                <w:rFonts w:ascii="宋体" w:hAnsi="宋体" w:cs="宋体"/>
                <w:b/>
                <w:bCs/>
                <w:sz w:val="24"/>
              </w:rPr>
            </w:pPr>
            <w:r>
              <w:rPr>
                <w:rFonts w:hint="eastAsia" w:ascii="宋体" w:hAnsi="宋体" w:cs="宋体"/>
                <w:b/>
                <w:bCs/>
                <w:sz w:val="24"/>
              </w:rPr>
              <w:t>配件名称</w:t>
            </w:r>
          </w:p>
        </w:tc>
        <w:tc>
          <w:tcPr>
            <w:tcW w:w="1306" w:type="dxa"/>
            <w:vAlign w:val="center"/>
          </w:tcPr>
          <w:p w14:paraId="245E0249">
            <w:pPr>
              <w:jc w:val="center"/>
              <w:rPr>
                <w:rFonts w:ascii="宋体" w:hAnsi="宋体" w:cs="宋体"/>
                <w:b/>
                <w:bCs/>
                <w:sz w:val="24"/>
              </w:rPr>
            </w:pPr>
            <w:r>
              <w:rPr>
                <w:rFonts w:hint="eastAsia" w:ascii="宋体" w:hAnsi="宋体" w:cs="宋体"/>
                <w:b/>
                <w:bCs/>
                <w:sz w:val="24"/>
              </w:rPr>
              <w:t>规格型号</w:t>
            </w:r>
          </w:p>
        </w:tc>
        <w:tc>
          <w:tcPr>
            <w:tcW w:w="1306" w:type="dxa"/>
            <w:vAlign w:val="center"/>
          </w:tcPr>
          <w:p w14:paraId="0BE277C1">
            <w:pPr>
              <w:jc w:val="center"/>
              <w:rPr>
                <w:rFonts w:ascii="宋体" w:hAnsi="宋体" w:cs="宋体"/>
                <w:b/>
                <w:bCs/>
                <w:sz w:val="24"/>
              </w:rPr>
            </w:pPr>
            <w:r>
              <w:rPr>
                <w:rFonts w:hint="eastAsia" w:ascii="宋体" w:hAnsi="宋体" w:cs="宋体"/>
                <w:b/>
                <w:bCs/>
                <w:sz w:val="24"/>
              </w:rPr>
              <w:t>单位</w:t>
            </w:r>
          </w:p>
        </w:tc>
        <w:tc>
          <w:tcPr>
            <w:tcW w:w="1339" w:type="dxa"/>
            <w:vAlign w:val="center"/>
          </w:tcPr>
          <w:p w14:paraId="09482FDF">
            <w:pPr>
              <w:jc w:val="center"/>
              <w:rPr>
                <w:rFonts w:ascii="宋体" w:hAnsi="宋体" w:cs="宋体"/>
                <w:b/>
                <w:bCs/>
                <w:sz w:val="24"/>
              </w:rPr>
            </w:pPr>
            <w:r>
              <w:rPr>
                <w:rFonts w:hint="eastAsia" w:ascii="宋体" w:hAnsi="宋体" w:cs="宋体"/>
                <w:b/>
                <w:bCs/>
                <w:sz w:val="24"/>
              </w:rPr>
              <w:t>单价（元）</w:t>
            </w:r>
          </w:p>
        </w:tc>
        <w:tc>
          <w:tcPr>
            <w:tcW w:w="1306" w:type="dxa"/>
            <w:vAlign w:val="center"/>
          </w:tcPr>
          <w:p w14:paraId="718B917B">
            <w:pPr>
              <w:jc w:val="center"/>
              <w:rPr>
                <w:rFonts w:ascii="宋体" w:hAnsi="宋体" w:cs="宋体"/>
                <w:b/>
                <w:bCs/>
                <w:sz w:val="24"/>
              </w:rPr>
            </w:pPr>
            <w:r>
              <w:rPr>
                <w:rFonts w:hint="eastAsia" w:ascii="宋体" w:hAnsi="宋体" w:cs="宋体"/>
                <w:b/>
                <w:bCs/>
                <w:sz w:val="24"/>
              </w:rPr>
              <w:t>产地</w:t>
            </w:r>
          </w:p>
        </w:tc>
        <w:tc>
          <w:tcPr>
            <w:tcW w:w="1306" w:type="dxa"/>
            <w:vAlign w:val="center"/>
          </w:tcPr>
          <w:p w14:paraId="78CE139A">
            <w:pPr>
              <w:jc w:val="center"/>
              <w:rPr>
                <w:rFonts w:ascii="宋体" w:hAnsi="宋体" w:cs="宋体"/>
                <w:b/>
                <w:bCs/>
                <w:sz w:val="24"/>
              </w:rPr>
            </w:pPr>
            <w:r>
              <w:rPr>
                <w:rFonts w:hint="eastAsia" w:ascii="宋体" w:hAnsi="宋体" w:cs="宋体"/>
                <w:b/>
                <w:bCs/>
                <w:sz w:val="24"/>
              </w:rPr>
              <w:t>生产企业</w:t>
            </w:r>
          </w:p>
        </w:tc>
      </w:tr>
      <w:tr w14:paraId="1DA31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45D90712">
            <w:pPr>
              <w:ind w:firstLine="482"/>
              <w:jc w:val="center"/>
              <w:rPr>
                <w:rFonts w:ascii="宋体" w:hAnsi="宋体" w:cs="宋体"/>
                <w:sz w:val="24"/>
              </w:rPr>
            </w:pPr>
          </w:p>
        </w:tc>
        <w:tc>
          <w:tcPr>
            <w:tcW w:w="1946" w:type="dxa"/>
            <w:vAlign w:val="center"/>
          </w:tcPr>
          <w:p w14:paraId="0BCDD586">
            <w:pPr>
              <w:ind w:firstLine="482"/>
              <w:jc w:val="center"/>
              <w:rPr>
                <w:rFonts w:ascii="宋体" w:hAnsi="宋体" w:cs="宋体"/>
                <w:sz w:val="24"/>
              </w:rPr>
            </w:pPr>
          </w:p>
        </w:tc>
        <w:tc>
          <w:tcPr>
            <w:tcW w:w="1306" w:type="dxa"/>
            <w:vAlign w:val="center"/>
          </w:tcPr>
          <w:p w14:paraId="23A2A1C4">
            <w:pPr>
              <w:ind w:firstLine="482"/>
              <w:jc w:val="center"/>
              <w:rPr>
                <w:rFonts w:ascii="宋体" w:hAnsi="宋体" w:cs="宋体"/>
                <w:sz w:val="24"/>
              </w:rPr>
            </w:pPr>
          </w:p>
        </w:tc>
        <w:tc>
          <w:tcPr>
            <w:tcW w:w="1306" w:type="dxa"/>
            <w:vAlign w:val="center"/>
          </w:tcPr>
          <w:p w14:paraId="670798F9">
            <w:pPr>
              <w:ind w:firstLine="482"/>
              <w:jc w:val="center"/>
              <w:rPr>
                <w:rFonts w:ascii="宋体" w:hAnsi="宋体" w:cs="宋体"/>
                <w:sz w:val="24"/>
              </w:rPr>
            </w:pPr>
          </w:p>
        </w:tc>
        <w:tc>
          <w:tcPr>
            <w:tcW w:w="1339" w:type="dxa"/>
            <w:vAlign w:val="center"/>
          </w:tcPr>
          <w:p w14:paraId="7D5504D9">
            <w:pPr>
              <w:ind w:firstLine="482"/>
              <w:jc w:val="center"/>
              <w:rPr>
                <w:rFonts w:ascii="宋体" w:hAnsi="宋体" w:cs="宋体"/>
                <w:sz w:val="24"/>
              </w:rPr>
            </w:pPr>
          </w:p>
        </w:tc>
        <w:tc>
          <w:tcPr>
            <w:tcW w:w="1306" w:type="dxa"/>
            <w:vAlign w:val="center"/>
          </w:tcPr>
          <w:p w14:paraId="263C28D8">
            <w:pPr>
              <w:ind w:firstLine="482"/>
              <w:jc w:val="center"/>
              <w:rPr>
                <w:rFonts w:ascii="宋体" w:hAnsi="宋体" w:cs="宋体"/>
                <w:sz w:val="24"/>
              </w:rPr>
            </w:pPr>
          </w:p>
        </w:tc>
        <w:tc>
          <w:tcPr>
            <w:tcW w:w="1306" w:type="dxa"/>
            <w:vAlign w:val="center"/>
          </w:tcPr>
          <w:p w14:paraId="57E5631E">
            <w:pPr>
              <w:ind w:firstLine="482"/>
              <w:jc w:val="center"/>
              <w:rPr>
                <w:rFonts w:ascii="宋体" w:hAnsi="宋体" w:cs="宋体"/>
                <w:sz w:val="24"/>
              </w:rPr>
            </w:pPr>
          </w:p>
        </w:tc>
      </w:tr>
      <w:tr w14:paraId="1FB21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27489D5B">
            <w:pPr>
              <w:ind w:firstLine="482"/>
              <w:jc w:val="center"/>
              <w:rPr>
                <w:rFonts w:ascii="宋体" w:hAnsi="宋体" w:cs="宋体"/>
                <w:sz w:val="24"/>
              </w:rPr>
            </w:pPr>
          </w:p>
        </w:tc>
        <w:tc>
          <w:tcPr>
            <w:tcW w:w="1946" w:type="dxa"/>
            <w:vAlign w:val="center"/>
          </w:tcPr>
          <w:p w14:paraId="1F422171">
            <w:pPr>
              <w:ind w:firstLine="482"/>
              <w:jc w:val="center"/>
              <w:rPr>
                <w:rFonts w:ascii="宋体" w:hAnsi="宋体" w:cs="宋体"/>
                <w:sz w:val="24"/>
              </w:rPr>
            </w:pPr>
          </w:p>
        </w:tc>
        <w:tc>
          <w:tcPr>
            <w:tcW w:w="1306" w:type="dxa"/>
            <w:vAlign w:val="center"/>
          </w:tcPr>
          <w:p w14:paraId="0585AF91">
            <w:pPr>
              <w:ind w:firstLine="482"/>
              <w:jc w:val="center"/>
              <w:rPr>
                <w:rFonts w:ascii="宋体" w:hAnsi="宋体" w:cs="宋体"/>
                <w:sz w:val="24"/>
              </w:rPr>
            </w:pPr>
          </w:p>
        </w:tc>
        <w:tc>
          <w:tcPr>
            <w:tcW w:w="1306" w:type="dxa"/>
            <w:vAlign w:val="center"/>
          </w:tcPr>
          <w:p w14:paraId="1F6A357C">
            <w:pPr>
              <w:ind w:firstLine="482"/>
              <w:jc w:val="center"/>
              <w:rPr>
                <w:rFonts w:ascii="宋体" w:hAnsi="宋体" w:cs="宋体"/>
                <w:sz w:val="24"/>
              </w:rPr>
            </w:pPr>
          </w:p>
        </w:tc>
        <w:tc>
          <w:tcPr>
            <w:tcW w:w="1339" w:type="dxa"/>
            <w:vAlign w:val="center"/>
          </w:tcPr>
          <w:p w14:paraId="453B014C">
            <w:pPr>
              <w:ind w:firstLine="482"/>
              <w:jc w:val="center"/>
              <w:rPr>
                <w:rFonts w:ascii="宋体" w:hAnsi="宋体" w:cs="宋体"/>
                <w:sz w:val="24"/>
              </w:rPr>
            </w:pPr>
          </w:p>
        </w:tc>
        <w:tc>
          <w:tcPr>
            <w:tcW w:w="1306" w:type="dxa"/>
            <w:vAlign w:val="center"/>
          </w:tcPr>
          <w:p w14:paraId="755BA2D9">
            <w:pPr>
              <w:ind w:firstLine="482"/>
              <w:jc w:val="center"/>
              <w:rPr>
                <w:rFonts w:ascii="宋体" w:hAnsi="宋体" w:cs="宋体"/>
                <w:sz w:val="24"/>
              </w:rPr>
            </w:pPr>
          </w:p>
        </w:tc>
        <w:tc>
          <w:tcPr>
            <w:tcW w:w="1306" w:type="dxa"/>
            <w:vAlign w:val="center"/>
          </w:tcPr>
          <w:p w14:paraId="6E77FE62">
            <w:pPr>
              <w:ind w:firstLine="482"/>
              <w:jc w:val="center"/>
              <w:rPr>
                <w:rFonts w:ascii="宋体" w:hAnsi="宋体" w:cs="宋体"/>
                <w:sz w:val="24"/>
              </w:rPr>
            </w:pPr>
          </w:p>
        </w:tc>
      </w:tr>
      <w:tr w14:paraId="7BE1A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0D6AB0E6">
            <w:pPr>
              <w:ind w:firstLine="482"/>
              <w:jc w:val="center"/>
              <w:rPr>
                <w:rFonts w:ascii="宋体" w:hAnsi="宋体" w:cs="宋体"/>
                <w:sz w:val="24"/>
              </w:rPr>
            </w:pPr>
          </w:p>
        </w:tc>
        <w:tc>
          <w:tcPr>
            <w:tcW w:w="1946" w:type="dxa"/>
            <w:vAlign w:val="center"/>
          </w:tcPr>
          <w:p w14:paraId="4C3A83BB">
            <w:pPr>
              <w:ind w:firstLine="482"/>
              <w:jc w:val="center"/>
              <w:rPr>
                <w:rFonts w:ascii="宋体" w:hAnsi="宋体" w:cs="宋体"/>
                <w:sz w:val="24"/>
              </w:rPr>
            </w:pPr>
          </w:p>
        </w:tc>
        <w:tc>
          <w:tcPr>
            <w:tcW w:w="1306" w:type="dxa"/>
            <w:vAlign w:val="center"/>
          </w:tcPr>
          <w:p w14:paraId="336C5676">
            <w:pPr>
              <w:ind w:firstLine="482"/>
              <w:jc w:val="center"/>
              <w:rPr>
                <w:rFonts w:ascii="宋体" w:hAnsi="宋体" w:cs="宋体"/>
                <w:sz w:val="24"/>
              </w:rPr>
            </w:pPr>
          </w:p>
        </w:tc>
        <w:tc>
          <w:tcPr>
            <w:tcW w:w="1306" w:type="dxa"/>
            <w:vAlign w:val="center"/>
          </w:tcPr>
          <w:p w14:paraId="31322AE5">
            <w:pPr>
              <w:ind w:firstLine="482"/>
              <w:jc w:val="center"/>
              <w:rPr>
                <w:rFonts w:ascii="宋体" w:hAnsi="宋体" w:cs="宋体"/>
                <w:sz w:val="24"/>
              </w:rPr>
            </w:pPr>
          </w:p>
        </w:tc>
        <w:tc>
          <w:tcPr>
            <w:tcW w:w="1339" w:type="dxa"/>
            <w:vAlign w:val="center"/>
          </w:tcPr>
          <w:p w14:paraId="5EDF3EDA">
            <w:pPr>
              <w:ind w:firstLine="482"/>
              <w:jc w:val="center"/>
              <w:rPr>
                <w:rFonts w:ascii="宋体" w:hAnsi="宋体" w:cs="宋体"/>
                <w:sz w:val="24"/>
              </w:rPr>
            </w:pPr>
          </w:p>
        </w:tc>
        <w:tc>
          <w:tcPr>
            <w:tcW w:w="1306" w:type="dxa"/>
            <w:vAlign w:val="center"/>
          </w:tcPr>
          <w:p w14:paraId="37ACE19E">
            <w:pPr>
              <w:ind w:firstLine="482"/>
              <w:jc w:val="center"/>
              <w:rPr>
                <w:rFonts w:ascii="宋体" w:hAnsi="宋体" w:cs="宋体"/>
                <w:sz w:val="24"/>
              </w:rPr>
            </w:pPr>
          </w:p>
        </w:tc>
        <w:tc>
          <w:tcPr>
            <w:tcW w:w="1306" w:type="dxa"/>
            <w:vAlign w:val="center"/>
          </w:tcPr>
          <w:p w14:paraId="139363C3">
            <w:pPr>
              <w:ind w:firstLine="482"/>
              <w:jc w:val="center"/>
              <w:rPr>
                <w:rFonts w:ascii="宋体" w:hAnsi="宋体" w:cs="宋体"/>
                <w:sz w:val="24"/>
              </w:rPr>
            </w:pPr>
          </w:p>
        </w:tc>
      </w:tr>
      <w:tr w14:paraId="094DE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1C466A3C">
            <w:pPr>
              <w:ind w:firstLine="482"/>
              <w:jc w:val="center"/>
              <w:rPr>
                <w:rFonts w:ascii="宋体" w:hAnsi="宋体" w:cs="宋体"/>
                <w:sz w:val="24"/>
              </w:rPr>
            </w:pPr>
          </w:p>
        </w:tc>
        <w:tc>
          <w:tcPr>
            <w:tcW w:w="1946" w:type="dxa"/>
            <w:vAlign w:val="center"/>
          </w:tcPr>
          <w:p w14:paraId="4FB8CFD9">
            <w:pPr>
              <w:ind w:firstLine="482"/>
              <w:jc w:val="center"/>
              <w:rPr>
                <w:rFonts w:ascii="宋体" w:hAnsi="宋体" w:cs="宋体"/>
                <w:sz w:val="24"/>
              </w:rPr>
            </w:pPr>
          </w:p>
        </w:tc>
        <w:tc>
          <w:tcPr>
            <w:tcW w:w="1306" w:type="dxa"/>
            <w:vAlign w:val="center"/>
          </w:tcPr>
          <w:p w14:paraId="59C4C14A">
            <w:pPr>
              <w:ind w:firstLine="482"/>
              <w:jc w:val="center"/>
              <w:rPr>
                <w:rFonts w:ascii="宋体" w:hAnsi="宋体" w:cs="宋体"/>
                <w:sz w:val="24"/>
              </w:rPr>
            </w:pPr>
          </w:p>
        </w:tc>
        <w:tc>
          <w:tcPr>
            <w:tcW w:w="1306" w:type="dxa"/>
            <w:vAlign w:val="center"/>
          </w:tcPr>
          <w:p w14:paraId="6C9632B8">
            <w:pPr>
              <w:ind w:firstLine="482"/>
              <w:jc w:val="center"/>
              <w:rPr>
                <w:rFonts w:ascii="宋体" w:hAnsi="宋体" w:cs="宋体"/>
                <w:sz w:val="24"/>
              </w:rPr>
            </w:pPr>
          </w:p>
        </w:tc>
        <w:tc>
          <w:tcPr>
            <w:tcW w:w="1339" w:type="dxa"/>
            <w:vAlign w:val="center"/>
          </w:tcPr>
          <w:p w14:paraId="10BB144C">
            <w:pPr>
              <w:ind w:firstLine="482"/>
              <w:jc w:val="center"/>
              <w:rPr>
                <w:rFonts w:ascii="宋体" w:hAnsi="宋体" w:cs="宋体"/>
                <w:sz w:val="24"/>
              </w:rPr>
            </w:pPr>
          </w:p>
        </w:tc>
        <w:tc>
          <w:tcPr>
            <w:tcW w:w="1306" w:type="dxa"/>
            <w:vAlign w:val="center"/>
          </w:tcPr>
          <w:p w14:paraId="37F59049">
            <w:pPr>
              <w:ind w:firstLine="482"/>
              <w:jc w:val="center"/>
              <w:rPr>
                <w:rFonts w:ascii="宋体" w:hAnsi="宋体" w:cs="宋体"/>
                <w:sz w:val="24"/>
              </w:rPr>
            </w:pPr>
          </w:p>
        </w:tc>
        <w:tc>
          <w:tcPr>
            <w:tcW w:w="1306" w:type="dxa"/>
            <w:vAlign w:val="center"/>
          </w:tcPr>
          <w:p w14:paraId="6F362CAF">
            <w:pPr>
              <w:ind w:firstLine="482"/>
              <w:jc w:val="center"/>
              <w:rPr>
                <w:rFonts w:ascii="宋体" w:hAnsi="宋体" w:cs="宋体"/>
                <w:sz w:val="24"/>
              </w:rPr>
            </w:pPr>
          </w:p>
        </w:tc>
      </w:tr>
      <w:tr w14:paraId="758D7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38DAEEB0">
            <w:pPr>
              <w:ind w:firstLine="482"/>
              <w:jc w:val="center"/>
              <w:rPr>
                <w:rFonts w:ascii="宋体" w:hAnsi="宋体" w:cs="宋体"/>
                <w:sz w:val="24"/>
              </w:rPr>
            </w:pPr>
          </w:p>
        </w:tc>
        <w:tc>
          <w:tcPr>
            <w:tcW w:w="1946" w:type="dxa"/>
            <w:vAlign w:val="center"/>
          </w:tcPr>
          <w:p w14:paraId="0E1BA4D2">
            <w:pPr>
              <w:ind w:firstLine="482"/>
              <w:jc w:val="center"/>
              <w:rPr>
                <w:rFonts w:ascii="宋体" w:hAnsi="宋体" w:cs="宋体"/>
                <w:sz w:val="24"/>
              </w:rPr>
            </w:pPr>
          </w:p>
        </w:tc>
        <w:tc>
          <w:tcPr>
            <w:tcW w:w="1306" w:type="dxa"/>
            <w:vAlign w:val="center"/>
          </w:tcPr>
          <w:p w14:paraId="15AD311A">
            <w:pPr>
              <w:ind w:firstLine="482"/>
              <w:jc w:val="center"/>
              <w:rPr>
                <w:rFonts w:ascii="宋体" w:hAnsi="宋体" w:cs="宋体"/>
                <w:sz w:val="24"/>
              </w:rPr>
            </w:pPr>
          </w:p>
        </w:tc>
        <w:tc>
          <w:tcPr>
            <w:tcW w:w="1306" w:type="dxa"/>
            <w:vAlign w:val="center"/>
          </w:tcPr>
          <w:p w14:paraId="02BD2F66">
            <w:pPr>
              <w:ind w:firstLine="482"/>
              <w:jc w:val="center"/>
              <w:rPr>
                <w:rFonts w:ascii="宋体" w:hAnsi="宋体" w:cs="宋体"/>
                <w:sz w:val="24"/>
              </w:rPr>
            </w:pPr>
          </w:p>
        </w:tc>
        <w:tc>
          <w:tcPr>
            <w:tcW w:w="1339" w:type="dxa"/>
            <w:vAlign w:val="center"/>
          </w:tcPr>
          <w:p w14:paraId="366862E8">
            <w:pPr>
              <w:ind w:firstLine="482"/>
              <w:jc w:val="center"/>
              <w:rPr>
                <w:rFonts w:ascii="宋体" w:hAnsi="宋体" w:cs="宋体"/>
                <w:sz w:val="24"/>
              </w:rPr>
            </w:pPr>
          </w:p>
        </w:tc>
        <w:tc>
          <w:tcPr>
            <w:tcW w:w="1306" w:type="dxa"/>
            <w:vAlign w:val="center"/>
          </w:tcPr>
          <w:p w14:paraId="390DE958">
            <w:pPr>
              <w:ind w:firstLine="482"/>
              <w:jc w:val="center"/>
              <w:rPr>
                <w:rFonts w:ascii="宋体" w:hAnsi="宋体" w:cs="宋体"/>
                <w:sz w:val="24"/>
              </w:rPr>
            </w:pPr>
          </w:p>
        </w:tc>
        <w:tc>
          <w:tcPr>
            <w:tcW w:w="1306" w:type="dxa"/>
            <w:vAlign w:val="center"/>
          </w:tcPr>
          <w:p w14:paraId="73C51573">
            <w:pPr>
              <w:ind w:firstLine="482"/>
              <w:jc w:val="center"/>
              <w:rPr>
                <w:rFonts w:ascii="宋体" w:hAnsi="宋体" w:cs="宋体"/>
                <w:sz w:val="24"/>
              </w:rPr>
            </w:pPr>
          </w:p>
        </w:tc>
      </w:tr>
    </w:tbl>
    <w:p w14:paraId="75B52A94">
      <w:pPr>
        <w:ind w:firstLine="482"/>
        <w:rPr>
          <w:rFonts w:ascii="宋体" w:hAnsi="宋体" w:cs="宋体"/>
          <w:sz w:val="24"/>
        </w:rPr>
      </w:pPr>
    </w:p>
    <w:p w14:paraId="3A327DD3">
      <w:pPr>
        <w:ind w:firstLine="422"/>
      </w:pPr>
    </w:p>
    <w:p w14:paraId="1F5E5781">
      <w:pPr>
        <w:widowControl/>
        <w:kinsoku w:val="0"/>
        <w:autoSpaceDE w:val="0"/>
        <w:autoSpaceDN w:val="0"/>
        <w:adjustRightInd w:val="0"/>
        <w:snapToGrid w:val="0"/>
        <w:spacing w:line="460" w:lineRule="exact"/>
        <w:ind w:firstLine="480" w:firstLineChars="200"/>
        <w:jc w:val="left"/>
        <w:textAlignment w:val="baseline"/>
        <w:rPr>
          <w:rFonts w:ascii="宋体" w:hAnsi="宋体" w:cs="宋体"/>
          <w:color w:val="000000" w:themeColor="text1"/>
          <w:kern w:val="0"/>
          <w:sz w:val="24"/>
          <w:u w:val="single"/>
        </w:rPr>
      </w:pPr>
      <w:r>
        <w:rPr>
          <w:rFonts w:hint="eastAsia" w:ascii="宋体" w:hAnsi="宋体" w:cs="宋体"/>
          <w:color w:val="000000" w:themeColor="text1"/>
          <w:kern w:val="0"/>
          <w:sz w:val="24"/>
        </w:rPr>
        <w:t xml:space="preserve">法人代表或委托代理人（签字或盖章）： </w:t>
      </w:r>
    </w:p>
    <w:p w14:paraId="7450BC92">
      <w:pPr>
        <w:widowControl/>
        <w:kinsoku w:val="0"/>
        <w:autoSpaceDE w:val="0"/>
        <w:autoSpaceDN w:val="0"/>
        <w:adjustRightInd w:val="0"/>
        <w:snapToGrid w:val="0"/>
        <w:spacing w:line="460" w:lineRule="exact"/>
        <w:ind w:firstLine="480" w:firstLineChars="200"/>
        <w:jc w:val="left"/>
        <w:textAlignment w:val="baseline"/>
        <w:rPr>
          <w:rFonts w:ascii="宋体" w:hAnsi="宋体" w:cs="宋体"/>
          <w:color w:val="000000" w:themeColor="text1"/>
          <w:kern w:val="0"/>
          <w:sz w:val="52"/>
          <w:szCs w:val="52"/>
        </w:rPr>
      </w:pPr>
      <w:r>
        <w:rPr>
          <w:rFonts w:hint="eastAsia" w:ascii="宋体" w:hAnsi="宋体" w:cs="宋体"/>
          <w:color w:val="000000" w:themeColor="text1"/>
          <w:kern w:val="0"/>
          <w:sz w:val="24"/>
        </w:rPr>
        <w:t>供应商：</w:t>
      </w:r>
      <w:r>
        <w:rPr>
          <w:rFonts w:hint="eastAsia" w:ascii="宋体" w:hAnsi="宋体" w:cs="宋体"/>
          <w:color w:val="000000" w:themeColor="text1"/>
          <w:kern w:val="0"/>
          <w:sz w:val="24"/>
          <w:u w:val="single"/>
          <w:lang w:val="en-US" w:eastAsia="zh-CN"/>
        </w:rPr>
        <w:t xml:space="preserve">                  </w:t>
      </w:r>
      <w:r>
        <w:rPr>
          <w:rFonts w:hint="eastAsia" w:ascii="宋体" w:hAnsi="宋体" w:cs="宋体"/>
          <w:color w:val="000000" w:themeColor="text1"/>
          <w:kern w:val="0"/>
          <w:sz w:val="24"/>
        </w:rPr>
        <w:t>（全称并加盖公章）</w:t>
      </w:r>
    </w:p>
    <w:p w14:paraId="092A12E7">
      <w:pPr>
        <w:widowControl/>
        <w:kinsoku w:val="0"/>
        <w:autoSpaceDE w:val="0"/>
        <w:autoSpaceDN w:val="0"/>
        <w:adjustRightInd w:val="0"/>
        <w:snapToGrid w:val="0"/>
        <w:spacing w:line="460" w:lineRule="exact"/>
        <w:ind w:firstLine="480" w:firstLineChars="200"/>
        <w:jc w:val="left"/>
        <w:textAlignment w:val="baseline"/>
        <w:rPr>
          <w:rFonts w:ascii="宋体" w:hAnsi="宋体" w:cs="宋体"/>
          <w:color w:val="000000" w:themeColor="text1"/>
          <w:kern w:val="0"/>
          <w:sz w:val="24"/>
        </w:rPr>
      </w:pPr>
      <w:r>
        <w:rPr>
          <w:rFonts w:hint="eastAsia" w:ascii="宋体" w:hAnsi="宋体" w:cs="宋体"/>
          <w:color w:val="000000" w:themeColor="text1"/>
          <w:kern w:val="0"/>
          <w:sz w:val="24"/>
        </w:rPr>
        <w:t>日期：   年    月    日</w:t>
      </w:r>
    </w:p>
    <w:p w14:paraId="0C921AFB">
      <w:pPr>
        <w:pStyle w:val="24"/>
        <w:ind w:firstLine="482"/>
        <w:rPr>
          <w:rFonts w:ascii="宋体" w:hAnsi="宋体" w:cs="宋体"/>
          <w:color w:val="000000" w:themeColor="text1"/>
          <w:kern w:val="0"/>
          <w:sz w:val="24"/>
        </w:rPr>
      </w:pPr>
    </w:p>
    <w:p w14:paraId="6ED7D0A9">
      <w:pPr>
        <w:pStyle w:val="24"/>
        <w:ind w:firstLine="482"/>
        <w:rPr>
          <w:rFonts w:ascii="宋体" w:hAnsi="宋体" w:cs="宋体"/>
          <w:color w:val="000000" w:themeColor="text1"/>
          <w:kern w:val="0"/>
          <w:sz w:val="24"/>
        </w:rPr>
      </w:pPr>
    </w:p>
    <w:p w14:paraId="199293D7">
      <w:pPr>
        <w:pStyle w:val="24"/>
        <w:ind w:firstLine="482"/>
        <w:rPr>
          <w:rFonts w:ascii="宋体" w:hAnsi="宋体" w:cs="宋体"/>
          <w:color w:val="000000" w:themeColor="text1"/>
          <w:kern w:val="0"/>
          <w:sz w:val="24"/>
        </w:rPr>
      </w:pPr>
    </w:p>
    <w:p w14:paraId="55B25DDE">
      <w:pPr>
        <w:pStyle w:val="24"/>
        <w:ind w:firstLine="482"/>
        <w:rPr>
          <w:rFonts w:ascii="宋体" w:hAnsi="宋体" w:cs="宋体"/>
          <w:color w:val="000000" w:themeColor="text1"/>
          <w:kern w:val="0"/>
          <w:sz w:val="24"/>
        </w:rPr>
      </w:pPr>
    </w:p>
    <w:p w14:paraId="05A3716B">
      <w:pPr>
        <w:pStyle w:val="24"/>
        <w:ind w:firstLine="482"/>
        <w:rPr>
          <w:rFonts w:ascii="宋体" w:hAnsi="宋体" w:cs="宋体"/>
          <w:color w:val="000000" w:themeColor="text1"/>
          <w:kern w:val="0"/>
          <w:sz w:val="24"/>
        </w:rPr>
      </w:pPr>
    </w:p>
    <w:p w14:paraId="2445704F">
      <w:pPr>
        <w:pStyle w:val="24"/>
        <w:ind w:firstLine="482"/>
        <w:rPr>
          <w:rFonts w:ascii="宋体" w:hAnsi="宋体" w:cs="宋体"/>
          <w:color w:val="000000" w:themeColor="text1"/>
          <w:kern w:val="0"/>
          <w:sz w:val="24"/>
        </w:rPr>
      </w:pPr>
    </w:p>
    <w:p w14:paraId="306683EE">
      <w:pPr>
        <w:pStyle w:val="24"/>
        <w:ind w:firstLine="482"/>
        <w:rPr>
          <w:rFonts w:ascii="宋体" w:hAnsi="宋体" w:cs="宋体"/>
          <w:color w:val="000000" w:themeColor="text1"/>
          <w:kern w:val="0"/>
          <w:sz w:val="24"/>
        </w:rPr>
      </w:pPr>
    </w:p>
    <w:p w14:paraId="0CB3B944">
      <w:pPr>
        <w:pStyle w:val="24"/>
        <w:ind w:firstLine="482"/>
        <w:rPr>
          <w:rFonts w:ascii="宋体" w:hAnsi="宋体" w:cs="宋体"/>
          <w:color w:val="000000" w:themeColor="text1"/>
          <w:kern w:val="0"/>
          <w:sz w:val="24"/>
        </w:rPr>
      </w:pPr>
    </w:p>
    <w:p w14:paraId="0D334039">
      <w:pPr>
        <w:pStyle w:val="24"/>
        <w:ind w:firstLine="482"/>
        <w:rPr>
          <w:rFonts w:ascii="宋体" w:hAnsi="宋体" w:cs="宋体"/>
          <w:color w:val="000000" w:themeColor="text1"/>
          <w:kern w:val="0"/>
          <w:sz w:val="24"/>
        </w:rPr>
      </w:pPr>
    </w:p>
    <w:p w14:paraId="1BBCC32F">
      <w:pPr>
        <w:pStyle w:val="24"/>
        <w:ind w:firstLine="482"/>
        <w:rPr>
          <w:rFonts w:ascii="宋体" w:hAnsi="宋体" w:cs="宋体"/>
          <w:color w:val="000000" w:themeColor="text1"/>
          <w:kern w:val="0"/>
          <w:sz w:val="24"/>
        </w:rPr>
      </w:pPr>
    </w:p>
    <w:p w14:paraId="7F67FA24">
      <w:pPr>
        <w:pStyle w:val="24"/>
        <w:ind w:firstLine="482"/>
        <w:rPr>
          <w:rFonts w:ascii="宋体" w:hAnsi="宋体" w:cs="宋体"/>
          <w:color w:val="000000" w:themeColor="text1"/>
          <w:kern w:val="0"/>
          <w:sz w:val="24"/>
        </w:rPr>
      </w:pPr>
    </w:p>
    <w:p w14:paraId="053360CB">
      <w:pPr>
        <w:pStyle w:val="24"/>
        <w:ind w:firstLine="482"/>
        <w:rPr>
          <w:rFonts w:ascii="宋体" w:hAnsi="宋体" w:cs="宋体"/>
          <w:color w:val="000000" w:themeColor="text1"/>
          <w:kern w:val="0"/>
          <w:sz w:val="24"/>
        </w:rPr>
      </w:pPr>
    </w:p>
    <w:p w14:paraId="012C8392">
      <w:pPr>
        <w:pStyle w:val="24"/>
        <w:ind w:firstLine="482"/>
        <w:rPr>
          <w:rFonts w:ascii="宋体" w:hAnsi="宋体" w:cs="宋体"/>
          <w:color w:val="000000" w:themeColor="text1"/>
          <w:kern w:val="0"/>
          <w:sz w:val="24"/>
        </w:rPr>
      </w:pPr>
    </w:p>
    <w:p w14:paraId="531A2ECD">
      <w:pPr>
        <w:pStyle w:val="24"/>
        <w:ind w:firstLine="482"/>
        <w:rPr>
          <w:rFonts w:ascii="宋体" w:hAnsi="宋体" w:cs="宋体"/>
          <w:color w:val="000000" w:themeColor="text1"/>
          <w:kern w:val="0"/>
          <w:sz w:val="24"/>
        </w:rPr>
      </w:pPr>
    </w:p>
    <w:p w14:paraId="1D9FDA5F">
      <w:pPr>
        <w:pStyle w:val="24"/>
        <w:ind w:firstLine="482"/>
        <w:rPr>
          <w:rFonts w:ascii="宋体" w:hAnsi="宋体" w:cs="宋体"/>
          <w:color w:val="000000" w:themeColor="text1"/>
          <w:kern w:val="0"/>
          <w:sz w:val="24"/>
        </w:rPr>
      </w:pPr>
    </w:p>
    <w:p w14:paraId="4888F10E">
      <w:pPr>
        <w:pStyle w:val="2"/>
      </w:pPr>
    </w:p>
    <w:p w14:paraId="1CD10EF8">
      <w:pPr>
        <w:pStyle w:val="2"/>
      </w:pPr>
      <w:r>
        <w:rPr>
          <w:rFonts w:hint="eastAsia"/>
        </w:rPr>
        <w:t xml:space="preserve">附件5         </w:t>
      </w:r>
      <w:bookmarkEnd w:id="80"/>
      <w:bookmarkEnd w:id="81"/>
      <w:r>
        <w:rPr>
          <w:rFonts w:hint="eastAsia"/>
        </w:rPr>
        <w:t xml:space="preserve">  技术响应表（格式）</w:t>
      </w:r>
    </w:p>
    <w:p w14:paraId="15A6D5CC">
      <w:pPr>
        <w:ind w:firstLine="422"/>
        <w:rPr>
          <w:rFonts w:ascii="宋体" w:hAnsi="宋体" w:cs="宋体"/>
        </w:rPr>
      </w:pPr>
      <w:r>
        <w:rPr>
          <w:rFonts w:hint="eastAsia" w:ascii="宋体" w:hAnsi="宋体" w:cs="宋体"/>
        </w:rPr>
        <w:t>包号：</w:t>
      </w:r>
    </w:p>
    <w:tbl>
      <w:tblPr>
        <w:tblStyle w:val="91"/>
        <w:tblW w:w="932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837"/>
        <w:gridCol w:w="2160"/>
        <w:gridCol w:w="2205"/>
        <w:gridCol w:w="1425"/>
        <w:gridCol w:w="930"/>
      </w:tblGrid>
      <w:tr w14:paraId="006F47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ign w:val="center"/>
          </w:tcPr>
          <w:p w14:paraId="12D3904F">
            <w:pPr>
              <w:widowControl/>
              <w:spacing w:line="360" w:lineRule="auto"/>
              <w:jc w:val="center"/>
              <w:textAlignment w:val="baseline"/>
              <w:rPr>
                <w:rFonts w:ascii="宋体" w:hAnsi="宋体" w:cs="宋体"/>
                <w:szCs w:val="21"/>
              </w:rPr>
            </w:pPr>
            <w:r>
              <w:rPr>
                <w:rFonts w:hint="eastAsia" w:ascii="宋体" w:hAnsi="宋体" w:cs="宋体"/>
                <w:szCs w:val="21"/>
              </w:rPr>
              <w:t>序号</w:t>
            </w:r>
          </w:p>
        </w:tc>
        <w:tc>
          <w:tcPr>
            <w:tcW w:w="1837" w:type="dxa"/>
            <w:noWrap/>
            <w:vAlign w:val="center"/>
          </w:tcPr>
          <w:p w14:paraId="6CB20472">
            <w:pPr>
              <w:widowControl/>
              <w:spacing w:line="360" w:lineRule="auto"/>
              <w:jc w:val="center"/>
              <w:textAlignment w:val="baseline"/>
              <w:rPr>
                <w:rFonts w:ascii="宋体" w:hAnsi="宋体" w:cs="宋体"/>
                <w:szCs w:val="21"/>
              </w:rPr>
            </w:pPr>
            <w:r>
              <w:rPr>
                <w:rFonts w:hint="eastAsia" w:ascii="宋体" w:hAnsi="宋体" w:cs="宋体"/>
                <w:szCs w:val="21"/>
              </w:rPr>
              <w:t>货物名称</w:t>
            </w:r>
          </w:p>
        </w:tc>
        <w:tc>
          <w:tcPr>
            <w:tcW w:w="2160" w:type="dxa"/>
            <w:noWrap/>
            <w:vAlign w:val="center"/>
          </w:tcPr>
          <w:p w14:paraId="14C698D3">
            <w:pPr>
              <w:widowControl/>
              <w:spacing w:line="360" w:lineRule="auto"/>
              <w:jc w:val="center"/>
              <w:textAlignment w:val="baseline"/>
              <w:rPr>
                <w:rFonts w:ascii="宋体" w:hAnsi="宋体" w:cs="宋体"/>
                <w:szCs w:val="21"/>
              </w:rPr>
            </w:pPr>
            <w:r>
              <w:rPr>
                <w:rFonts w:hint="eastAsia" w:ascii="宋体" w:hAnsi="宋体" w:cs="宋体"/>
                <w:szCs w:val="21"/>
              </w:rPr>
              <w:t>磋商文件要求</w:t>
            </w:r>
          </w:p>
        </w:tc>
        <w:tc>
          <w:tcPr>
            <w:tcW w:w="2205" w:type="dxa"/>
            <w:noWrap/>
            <w:vAlign w:val="center"/>
          </w:tcPr>
          <w:p w14:paraId="3ED3DA03">
            <w:pPr>
              <w:widowControl/>
              <w:spacing w:line="360" w:lineRule="auto"/>
              <w:jc w:val="center"/>
              <w:textAlignment w:val="baseline"/>
              <w:rPr>
                <w:rFonts w:ascii="宋体" w:hAnsi="宋体" w:cs="宋体"/>
                <w:szCs w:val="21"/>
              </w:rPr>
            </w:pPr>
            <w:r>
              <w:rPr>
                <w:rFonts w:hint="eastAsia" w:ascii="宋体" w:hAnsi="宋体" w:cs="宋体"/>
                <w:szCs w:val="21"/>
              </w:rPr>
              <w:t>响应文件响应</w:t>
            </w:r>
          </w:p>
        </w:tc>
        <w:tc>
          <w:tcPr>
            <w:tcW w:w="1425" w:type="dxa"/>
            <w:noWrap/>
            <w:vAlign w:val="center"/>
          </w:tcPr>
          <w:p w14:paraId="11B0A01A">
            <w:pPr>
              <w:widowControl/>
              <w:spacing w:line="360" w:lineRule="auto"/>
              <w:jc w:val="center"/>
              <w:textAlignment w:val="baseline"/>
              <w:rPr>
                <w:rFonts w:ascii="宋体" w:hAnsi="宋体" w:cs="宋体"/>
                <w:szCs w:val="21"/>
              </w:rPr>
            </w:pPr>
            <w:r>
              <w:rPr>
                <w:rFonts w:hint="eastAsia" w:ascii="宋体" w:hAnsi="宋体" w:cs="宋体"/>
                <w:szCs w:val="21"/>
              </w:rPr>
              <w:t>偏离情况</w:t>
            </w:r>
          </w:p>
        </w:tc>
        <w:tc>
          <w:tcPr>
            <w:tcW w:w="930" w:type="dxa"/>
            <w:noWrap/>
            <w:vAlign w:val="center"/>
          </w:tcPr>
          <w:p w14:paraId="2CEC2CB4">
            <w:pPr>
              <w:widowControl/>
              <w:spacing w:line="360" w:lineRule="auto"/>
              <w:jc w:val="center"/>
              <w:textAlignment w:val="baseline"/>
              <w:rPr>
                <w:rFonts w:ascii="宋体" w:hAnsi="宋体" w:cs="宋体"/>
                <w:szCs w:val="21"/>
              </w:rPr>
            </w:pPr>
            <w:r>
              <w:rPr>
                <w:rFonts w:hint="eastAsia" w:ascii="宋体" w:hAnsi="宋体" w:cs="宋体"/>
                <w:szCs w:val="21"/>
              </w:rPr>
              <w:t>备注</w:t>
            </w:r>
          </w:p>
        </w:tc>
      </w:tr>
      <w:tr w14:paraId="73A1BE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ign w:val="center"/>
          </w:tcPr>
          <w:p w14:paraId="607B9A7C">
            <w:pPr>
              <w:widowControl/>
              <w:spacing w:line="360" w:lineRule="auto"/>
              <w:jc w:val="center"/>
              <w:textAlignment w:val="baseline"/>
              <w:rPr>
                <w:rFonts w:ascii="宋体" w:hAnsi="宋体" w:cs="宋体"/>
                <w:szCs w:val="21"/>
              </w:rPr>
            </w:pPr>
            <w:r>
              <w:rPr>
                <w:rFonts w:hint="eastAsia" w:ascii="宋体" w:hAnsi="宋体" w:cs="宋体"/>
                <w:szCs w:val="21"/>
              </w:rPr>
              <w:t>1</w:t>
            </w:r>
          </w:p>
        </w:tc>
        <w:tc>
          <w:tcPr>
            <w:tcW w:w="1837" w:type="dxa"/>
            <w:noWrap/>
            <w:vAlign w:val="center"/>
          </w:tcPr>
          <w:p w14:paraId="46A33C5C">
            <w:pPr>
              <w:widowControl/>
              <w:spacing w:line="360" w:lineRule="auto"/>
              <w:ind w:firstLine="422"/>
              <w:jc w:val="center"/>
              <w:textAlignment w:val="baseline"/>
              <w:rPr>
                <w:rFonts w:ascii="宋体" w:hAnsi="宋体" w:cs="宋体"/>
                <w:szCs w:val="21"/>
              </w:rPr>
            </w:pPr>
          </w:p>
        </w:tc>
        <w:tc>
          <w:tcPr>
            <w:tcW w:w="2160" w:type="dxa"/>
            <w:noWrap/>
            <w:vAlign w:val="center"/>
          </w:tcPr>
          <w:p w14:paraId="3F512F51">
            <w:pPr>
              <w:widowControl/>
              <w:spacing w:line="360" w:lineRule="auto"/>
              <w:ind w:firstLine="422"/>
              <w:jc w:val="center"/>
              <w:textAlignment w:val="baseline"/>
              <w:rPr>
                <w:rFonts w:ascii="宋体" w:hAnsi="宋体" w:cs="宋体"/>
                <w:szCs w:val="21"/>
              </w:rPr>
            </w:pPr>
          </w:p>
        </w:tc>
        <w:tc>
          <w:tcPr>
            <w:tcW w:w="2205" w:type="dxa"/>
            <w:noWrap/>
            <w:vAlign w:val="center"/>
          </w:tcPr>
          <w:p w14:paraId="778CBE42">
            <w:pPr>
              <w:widowControl/>
              <w:spacing w:line="360" w:lineRule="auto"/>
              <w:ind w:firstLine="422"/>
              <w:jc w:val="center"/>
              <w:textAlignment w:val="baseline"/>
              <w:rPr>
                <w:rFonts w:ascii="宋体" w:hAnsi="宋体" w:cs="宋体"/>
                <w:szCs w:val="21"/>
              </w:rPr>
            </w:pPr>
          </w:p>
        </w:tc>
        <w:tc>
          <w:tcPr>
            <w:tcW w:w="1425" w:type="dxa"/>
            <w:noWrap/>
            <w:vAlign w:val="center"/>
          </w:tcPr>
          <w:p w14:paraId="65980E37">
            <w:pPr>
              <w:widowControl/>
              <w:spacing w:line="360" w:lineRule="auto"/>
              <w:ind w:firstLine="422"/>
              <w:jc w:val="center"/>
              <w:textAlignment w:val="baseline"/>
              <w:rPr>
                <w:rFonts w:ascii="宋体" w:hAnsi="宋体" w:cs="宋体"/>
                <w:szCs w:val="21"/>
              </w:rPr>
            </w:pPr>
          </w:p>
        </w:tc>
        <w:tc>
          <w:tcPr>
            <w:tcW w:w="930" w:type="dxa"/>
            <w:noWrap/>
            <w:vAlign w:val="center"/>
          </w:tcPr>
          <w:p w14:paraId="4B1E7023">
            <w:pPr>
              <w:widowControl/>
              <w:spacing w:line="360" w:lineRule="auto"/>
              <w:ind w:firstLine="422"/>
              <w:jc w:val="center"/>
              <w:textAlignment w:val="baseline"/>
              <w:rPr>
                <w:rFonts w:ascii="宋体" w:hAnsi="宋体" w:cs="宋体"/>
                <w:szCs w:val="21"/>
              </w:rPr>
            </w:pPr>
          </w:p>
        </w:tc>
      </w:tr>
      <w:tr w14:paraId="218B5C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ign w:val="center"/>
          </w:tcPr>
          <w:p w14:paraId="3C989D4E">
            <w:pPr>
              <w:widowControl/>
              <w:spacing w:line="360" w:lineRule="auto"/>
              <w:jc w:val="center"/>
              <w:textAlignment w:val="baseline"/>
              <w:rPr>
                <w:rFonts w:ascii="宋体" w:hAnsi="宋体" w:cs="宋体"/>
                <w:szCs w:val="21"/>
              </w:rPr>
            </w:pPr>
            <w:r>
              <w:rPr>
                <w:rFonts w:hint="eastAsia" w:ascii="宋体" w:hAnsi="宋体" w:cs="宋体"/>
                <w:szCs w:val="21"/>
              </w:rPr>
              <w:t>2</w:t>
            </w:r>
          </w:p>
        </w:tc>
        <w:tc>
          <w:tcPr>
            <w:tcW w:w="1837" w:type="dxa"/>
            <w:noWrap/>
            <w:vAlign w:val="center"/>
          </w:tcPr>
          <w:p w14:paraId="032A5673">
            <w:pPr>
              <w:widowControl/>
              <w:spacing w:line="360" w:lineRule="auto"/>
              <w:ind w:firstLine="422"/>
              <w:jc w:val="center"/>
              <w:textAlignment w:val="baseline"/>
              <w:rPr>
                <w:rFonts w:ascii="宋体" w:hAnsi="宋体" w:cs="宋体"/>
                <w:szCs w:val="21"/>
              </w:rPr>
            </w:pPr>
          </w:p>
        </w:tc>
        <w:tc>
          <w:tcPr>
            <w:tcW w:w="2160" w:type="dxa"/>
            <w:noWrap/>
            <w:vAlign w:val="center"/>
          </w:tcPr>
          <w:p w14:paraId="7B097BF9">
            <w:pPr>
              <w:widowControl/>
              <w:spacing w:line="360" w:lineRule="auto"/>
              <w:ind w:firstLine="422"/>
              <w:jc w:val="center"/>
              <w:textAlignment w:val="baseline"/>
              <w:rPr>
                <w:rFonts w:ascii="宋体" w:hAnsi="宋体" w:cs="宋体"/>
                <w:szCs w:val="21"/>
              </w:rPr>
            </w:pPr>
          </w:p>
        </w:tc>
        <w:tc>
          <w:tcPr>
            <w:tcW w:w="2205" w:type="dxa"/>
            <w:noWrap/>
            <w:vAlign w:val="center"/>
          </w:tcPr>
          <w:p w14:paraId="1C8E844A">
            <w:pPr>
              <w:widowControl/>
              <w:spacing w:line="360" w:lineRule="auto"/>
              <w:ind w:firstLine="422"/>
              <w:jc w:val="center"/>
              <w:textAlignment w:val="baseline"/>
              <w:rPr>
                <w:rFonts w:ascii="宋体" w:hAnsi="宋体" w:cs="宋体"/>
                <w:szCs w:val="21"/>
              </w:rPr>
            </w:pPr>
          </w:p>
        </w:tc>
        <w:tc>
          <w:tcPr>
            <w:tcW w:w="1425" w:type="dxa"/>
            <w:noWrap/>
            <w:vAlign w:val="center"/>
          </w:tcPr>
          <w:p w14:paraId="2048E677">
            <w:pPr>
              <w:widowControl/>
              <w:spacing w:line="360" w:lineRule="auto"/>
              <w:ind w:firstLine="422"/>
              <w:jc w:val="center"/>
              <w:textAlignment w:val="baseline"/>
              <w:rPr>
                <w:rFonts w:ascii="宋体" w:hAnsi="宋体" w:cs="宋体"/>
                <w:szCs w:val="21"/>
              </w:rPr>
            </w:pPr>
          </w:p>
        </w:tc>
        <w:tc>
          <w:tcPr>
            <w:tcW w:w="930" w:type="dxa"/>
            <w:noWrap/>
            <w:vAlign w:val="center"/>
          </w:tcPr>
          <w:p w14:paraId="5EE99AF4">
            <w:pPr>
              <w:widowControl/>
              <w:spacing w:line="360" w:lineRule="auto"/>
              <w:ind w:firstLine="422"/>
              <w:jc w:val="center"/>
              <w:textAlignment w:val="baseline"/>
              <w:rPr>
                <w:rFonts w:ascii="宋体" w:hAnsi="宋体" w:cs="宋体"/>
                <w:szCs w:val="21"/>
              </w:rPr>
            </w:pPr>
          </w:p>
        </w:tc>
      </w:tr>
      <w:tr w14:paraId="2DF3D5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ign w:val="center"/>
          </w:tcPr>
          <w:p w14:paraId="15A0F4B5">
            <w:pPr>
              <w:widowControl/>
              <w:spacing w:line="360" w:lineRule="auto"/>
              <w:jc w:val="center"/>
              <w:textAlignment w:val="baseline"/>
              <w:rPr>
                <w:rFonts w:ascii="宋体" w:hAnsi="宋体" w:cs="宋体"/>
                <w:szCs w:val="21"/>
              </w:rPr>
            </w:pPr>
            <w:r>
              <w:rPr>
                <w:rFonts w:hint="eastAsia" w:ascii="宋体" w:hAnsi="宋体" w:cs="宋体"/>
                <w:szCs w:val="21"/>
              </w:rPr>
              <w:t>…</w:t>
            </w:r>
          </w:p>
        </w:tc>
        <w:tc>
          <w:tcPr>
            <w:tcW w:w="1837" w:type="dxa"/>
            <w:noWrap/>
            <w:vAlign w:val="center"/>
          </w:tcPr>
          <w:p w14:paraId="2B5F842E">
            <w:pPr>
              <w:widowControl/>
              <w:spacing w:line="360" w:lineRule="auto"/>
              <w:ind w:firstLine="422"/>
              <w:jc w:val="center"/>
              <w:textAlignment w:val="baseline"/>
              <w:rPr>
                <w:rFonts w:ascii="宋体" w:hAnsi="宋体" w:cs="宋体"/>
                <w:szCs w:val="21"/>
              </w:rPr>
            </w:pPr>
          </w:p>
        </w:tc>
        <w:tc>
          <w:tcPr>
            <w:tcW w:w="2160" w:type="dxa"/>
            <w:noWrap/>
            <w:vAlign w:val="center"/>
          </w:tcPr>
          <w:p w14:paraId="17EBCE99">
            <w:pPr>
              <w:widowControl/>
              <w:spacing w:line="360" w:lineRule="auto"/>
              <w:ind w:firstLine="422"/>
              <w:jc w:val="center"/>
              <w:textAlignment w:val="baseline"/>
              <w:rPr>
                <w:rFonts w:ascii="宋体" w:hAnsi="宋体" w:cs="宋体"/>
                <w:szCs w:val="21"/>
              </w:rPr>
            </w:pPr>
          </w:p>
        </w:tc>
        <w:tc>
          <w:tcPr>
            <w:tcW w:w="2205" w:type="dxa"/>
            <w:noWrap/>
            <w:vAlign w:val="center"/>
          </w:tcPr>
          <w:p w14:paraId="34F7378C">
            <w:pPr>
              <w:widowControl/>
              <w:spacing w:line="360" w:lineRule="auto"/>
              <w:ind w:firstLine="422"/>
              <w:jc w:val="center"/>
              <w:textAlignment w:val="baseline"/>
              <w:rPr>
                <w:rFonts w:ascii="宋体" w:hAnsi="宋体" w:cs="宋体"/>
                <w:szCs w:val="21"/>
              </w:rPr>
            </w:pPr>
          </w:p>
        </w:tc>
        <w:tc>
          <w:tcPr>
            <w:tcW w:w="1425" w:type="dxa"/>
            <w:noWrap/>
            <w:vAlign w:val="center"/>
          </w:tcPr>
          <w:p w14:paraId="020BA37A">
            <w:pPr>
              <w:widowControl/>
              <w:spacing w:line="360" w:lineRule="auto"/>
              <w:ind w:firstLine="422"/>
              <w:jc w:val="center"/>
              <w:textAlignment w:val="baseline"/>
              <w:rPr>
                <w:rFonts w:ascii="宋体" w:hAnsi="宋体" w:cs="宋体"/>
                <w:szCs w:val="21"/>
              </w:rPr>
            </w:pPr>
          </w:p>
        </w:tc>
        <w:tc>
          <w:tcPr>
            <w:tcW w:w="930" w:type="dxa"/>
            <w:noWrap/>
            <w:vAlign w:val="center"/>
          </w:tcPr>
          <w:p w14:paraId="7CC7E6BD">
            <w:pPr>
              <w:widowControl/>
              <w:spacing w:line="360" w:lineRule="auto"/>
              <w:ind w:firstLine="422"/>
              <w:jc w:val="center"/>
              <w:textAlignment w:val="baseline"/>
              <w:rPr>
                <w:rFonts w:ascii="宋体" w:hAnsi="宋体" w:cs="宋体"/>
                <w:szCs w:val="21"/>
              </w:rPr>
            </w:pPr>
          </w:p>
        </w:tc>
      </w:tr>
    </w:tbl>
    <w:p w14:paraId="1DE46984">
      <w:pPr>
        <w:widowControl/>
        <w:spacing w:line="360" w:lineRule="auto"/>
        <w:ind w:firstLine="422"/>
        <w:textAlignment w:val="baseline"/>
        <w:rPr>
          <w:rFonts w:ascii="宋体" w:hAnsi="宋体" w:cs="宋体"/>
          <w:szCs w:val="21"/>
        </w:rPr>
      </w:pPr>
      <w:r>
        <w:rPr>
          <w:rFonts w:hint="eastAsia" w:ascii="宋体" w:hAnsi="宋体" w:cs="宋体"/>
          <w:szCs w:val="21"/>
        </w:rPr>
        <w:t>注：供应商必须如实完整填写表格，“偏离情况”是指“正偏离”、“负偏离”或“无偏离”。</w:t>
      </w:r>
    </w:p>
    <w:p w14:paraId="7366AA67">
      <w:pPr>
        <w:widowControl/>
        <w:spacing w:line="360" w:lineRule="auto"/>
        <w:ind w:firstLine="422"/>
        <w:textAlignment w:val="baseline"/>
        <w:rPr>
          <w:rFonts w:ascii="宋体" w:hAnsi="宋体" w:cs="宋体"/>
          <w:szCs w:val="21"/>
        </w:rPr>
      </w:pPr>
    </w:p>
    <w:p w14:paraId="1CFE6B50">
      <w:pPr>
        <w:widowControl/>
        <w:spacing w:line="360" w:lineRule="auto"/>
        <w:ind w:firstLine="422"/>
        <w:textAlignment w:val="baseline"/>
        <w:rPr>
          <w:rFonts w:ascii="宋体" w:hAnsi="宋体" w:cs="宋体"/>
          <w:szCs w:val="21"/>
        </w:rPr>
      </w:pPr>
    </w:p>
    <w:p w14:paraId="17F68DD9">
      <w:pPr>
        <w:widowControl/>
        <w:spacing w:line="360" w:lineRule="auto"/>
        <w:ind w:firstLine="2100" w:firstLineChars="1000"/>
        <w:textAlignment w:val="baseline"/>
        <w:rPr>
          <w:rFonts w:ascii="宋体" w:hAnsi="宋体" w:cs="宋体"/>
          <w:szCs w:val="21"/>
        </w:rPr>
      </w:pPr>
      <w:r>
        <w:rPr>
          <w:rFonts w:hint="eastAsia" w:ascii="宋体" w:hAnsi="宋体" w:cs="宋体"/>
          <w:szCs w:val="21"/>
        </w:rPr>
        <w:t>供应商：</w:t>
      </w:r>
      <w:r>
        <w:rPr>
          <w:rFonts w:hint="eastAsia" w:ascii="宋体" w:hAnsi="宋体" w:cs="宋体"/>
          <w:szCs w:val="21"/>
          <w:u w:val="single"/>
          <w:lang w:val="en-US" w:eastAsia="zh-CN"/>
        </w:rPr>
        <w:t xml:space="preserve">                       </w:t>
      </w:r>
      <w:r>
        <w:rPr>
          <w:rFonts w:hint="eastAsia" w:ascii="宋体" w:hAnsi="宋体" w:cs="宋体"/>
          <w:szCs w:val="21"/>
        </w:rPr>
        <w:t>（全称并加盖公章）</w:t>
      </w:r>
    </w:p>
    <w:p w14:paraId="45C3B14F">
      <w:pPr>
        <w:widowControl/>
        <w:wordWrap w:val="0"/>
        <w:spacing w:line="460" w:lineRule="exact"/>
        <w:ind w:firstLine="3570" w:firstLineChars="1700"/>
        <w:jc w:val="left"/>
        <w:rPr>
          <w:rFonts w:ascii="宋体" w:hAnsi="宋体" w:cs="宋体"/>
          <w:b/>
          <w:kern w:val="0"/>
          <w:sz w:val="32"/>
          <w:szCs w:val="32"/>
        </w:rPr>
      </w:pPr>
      <w:r>
        <w:rPr>
          <w:rFonts w:hint="eastAsia" w:ascii="宋体" w:hAnsi="宋体" w:cs="宋体"/>
          <w:szCs w:val="21"/>
        </w:rPr>
        <w:t>年    月    日</w:t>
      </w:r>
    </w:p>
    <w:p w14:paraId="5FFB1AA8">
      <w:pPr>
        <w:widowControl/>
        <w:wordWrap w:val="0"/>
        <w:spacing w:line="460" w:lineRule="exact"/>
        <w:ind w:firstLine="643" w:firstLineChars="200"/>
        <w:jc w:val="left"/>
        <w:rPr>
          <w:rFonts w:ascii="宋体" w:hAnsi="宋体" w:cs="宋体"/>
          <w:b/>
          <w:kern w:val="0"/>
          <w:sz w:val="32"/>
          <w:szCs w:val="32"/>
        </w:rPr>
      </w:pPr>
    </w:p>
    <w:p w14:paraId="761713FC">
      <w:pPr>
        <w:widowControl/>
        <w:wordWrap w:val="0"/>
        <w:spacing w:line="460" w:lineRule="exact"/>
        <w:ind w:firstLine="643" w:firstLineChars="200"/>
        <w:jc w:val="left"/>
        <w:rPr>
          <w:rFonts w:ascii="宋体" w:hAnsi="宋体" w:cs="宋体"/>
          <w:b/>
          <w:kern w:val="0"/>
          <w:sz w:val="32"/>
          <w:szCs w:val="32"/>
        </w:rPr>
      </w:pPr>
    </w:p>
    <w:p w14:paraId="2C316290">
      <w:pPr>
        <w:widowControl/>
        <w:wordWrap w:val="0"/>
        <w:spacing w:line="460" w:lineRule="exact"/>
        <w:ind w:firstLine="643" w:firstLineChars="200"/>
        <w:jc w:val="left"/>
        <w:rPr>
          <w:rFonts w:ascii="宋体" w:hAnsi="宋体" w:cs="宋体"/>
          <w:b/>
          <w:kern w:val="0"/>
          <w:sz w:val="32"/>
          <w:szCs w:val="32"/>
        </w:rPr>
      </w:pPr>
    </w:p>
    <w:p w14:paraId="16124475">
      <w:pPr>
        <w:widowControl/>
        <w:wordWrap w:val="0"/>
        <w:spacing w:line="460" w:lineRule="exact"/>
        <w:ind w:firstLine="643" w:firstLineChars="200"/>
        <w:jc w:val="left"/>
        <w:rPr>
          <w:rFonts w:ascii="宋体" w:hAnsi="宋体" w:cs="宋体"/>
          <w:b/>
          <w:kern w:val="0"/>
          <w:sz w:val="32"/>
          <w:szCs w:val="32"/>
        </w:rPr>
      </w:pPr>
    </w:p>
    <w:p w14:paraId="2A769C22">
      <w:pPr>
        <w:widowControl/>
        <w:wordWrap w:val="0"/>
        <w:spacing w:line="460" w:lineRule="exact"/>
        <w:ind w:firstLine="643" w:firstLineChars="200"/>
        <w:jc w:val="left"/>
        <w:rPr>
          <w:rFonts w:ascii="宋体" w:hAnsi="宋体" w:cs="宋体"/>
          <w:b/>
          <w:kern w:val="0"/>
          <w:sz w:val="32"/>
          <w:szCs w:val="32"/>
        </w:rPr>
      </w:pPr>
    </w:p>
    <w:p w14:paraId="672144A6">
      <w:pPr>
        <w:widowControl/>
        <w:wordWrap w:val="0"/>
        <w:snapToGrid w:val="0"/>
        <w:spacing w:before="50" w:afterLines="50"/>
        <w:ind w:firstLine="482"/>
        <w:jc w:val="left"/>
        <w:rPr>
          <w:rFonts w:ascii="宋体" w:hAnsi="宋体" w:cs="宋体"/>
          <w:kern w:val="0"/>
          <w:sz w:val="24"/>
          <w:u w:val="single"/>
        </w:rPr>
      </w:pPr>
    </w:p>
    <w:p w14:paraId="4F1F3160">
      <w:pPr>
        <w:ind w:firstLine="482"/>
        <w:rPr>
          <w:rFonts w:ascii="宋体" w:hAnsi="宋体" w:cs="宋体"/>
          <w:b/>
          <w:kern w:val="0"/>
          <w:sz w:val="24"/>
        </w:rPr>
      </w:pPr>
      <w:r>
        <w:rPr>
          <w:rFonts w:hint="eastAsia" w:ascii="宋体" w:hAnsi="宋体" w:cs="宋体"/>
          <w:b/>
          <w:kern w:val="0"/>
          <w:sz w:val="24"/>
        </w:rPr>
        <w:br w:type="page"/>
      </w:r>
    </w:p>
    <w:p w14:paraId="4E94FE70">
      <w:pPr>
        <w:pStyle w:val="2"/>
      </w:pPr>
      <w:bookmarkStart w:id="82" w:name="_Toc29960"/>
      <w:bookmarkStart w:id="83" w:name="_Toc20420"/>
      <w:bookmarkStart w:id="84" w:name="_Toc24168"/>
      <w:r>
        <w:rPr>
          <w:rFonts w:hint="eastAsia"/>
        </w:rPr>
        <w:t>附件6          商务响应</w:t>
      </w:r>
      <w:bookmarkEnd w:id="82"/>
      <w:bookmarkEnd w:id="83"/>
      <w:bookmarkEnd w:id="84"/>
      <w:r>
        <w:rPr>
          <w:rFonts w:hint="eastAsia"/>
        </w:rPr>
        <w:t>表（格式）</w:t>
      </w:r>
    </w:p>
    <w:p w14:paraId="2D93383D">
      <w:pPr>
        <w:ind w:firstLine="422"/>
        <w:rPr>
          <w:rFonts w:ascii="宋体" w:hAnsi="宋体" w:cs="宋体"/>
        </w:rPr>
      </w:pPr>
      <w:r>
        <w:rPr>
          <w:rFonts w:hint="eastAsia" w:ascii="宋体" w:hAnsi="宋体" w:cs="宋体"/>
        </w:rPr>
        <w:t xml:space="preserve">    包号：</w:t>
      </w:r>
    </w:p>
    <w:tbl>
      <w:tblPr>
        <w:tblStyle w:val="91"/>
        <w:tblW w:w="855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37"/>
        <w:gridCol w:w="2133"/>
        <w:gridCol w:w="2307"/>
        <w:gridCol w:w="1620"/>
        <w:gridCol w:w="1560"/>
      </w:tblGrid>
      <w:tr w14:paraId="293525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1" w:hRule="atLeast"/>
          <w:jc w:val="center"/>
        </w:trPr>
        <w:tc>
          <w:tcPr>
            <w:tcW w:w="937" w:type="dxa"/>
            <w:noWrap/>
            <w:vAlign w:val="center"/>
          </w:tcPr>
          <w:p w14:paraId="57867398">
            <w:pPr>
              <w:widowControl/>
              <w:spacing w:line="360" w:lineRule="auto"/>
              <w:jc w:val="center"/>
              <w:textAlignment w:val="baseline"/>
              <w:rPr>
                <w:rFonts w:ascii="宋体" w:hAnsi="宋体" w:cs="宋体"/>
                <w:color w:val="000000" w:themeColor="text1"/>
                <w:szCs w:val="21"/>
              </w:rPr>
            </w:pPr>
            <w:r>
              <w:rPr>
                <w:rFonts w:hint="eastAsia" w:ascii="宋体" w:hAnsi="宋体" w:cs="宋体"/>
                <w:color w:val="000000" w:themeColor="text1"/>
                <w:szCs w:val="21"/>
              </w:rPr>
              <w:t>序号</w:t>
            </w:r>
          </w:p>
        </w:tc>
        <w:tc>
          <w:tcPr>
            <w:tcW w:w="2133" w:type="dxa"/>
            <w:noWrap/>
            <w:vAlign w:val="center"/>
          </w:tcPr>
          <w:p w14:paraId="75443AF8">
            <w:pPr>
              <w:widowControl/>
              <w:spacing w:line="360" w:lineRule="auto"/>
              <w:jc w:val="center"/>
              <w:textAlignment w:val="baseline"/>
              <w:rPr>
                <w:rFonts w:ascii="宋体" w:hAnsi="宋体" w:cs="宋体"/>
                <w:szCs w:val="21"/>
              </w:rPr>
            </w:pPr>
            <w:r>
              <w:rPr>
                <w:rFonts w:hint="eastAsia" w:ascii="宋体" w:hAnsi="宋体" w:cs="宋体"/>
                <w:szCs w:val="21"/>
              </w:rPr>
              <w:t>项目</w:t>
            </w:r>
          </w:p>
        </w:tc>
        <w:tc>
          <w:tcPr>
            <w:tcW w:w="2307" w:type="dxa"/>
            <w:noWrap/>
            <w:vAlign w:val="center"/>
          </w:tcPr>
          <w:p w14:paraId="0993CEB2">
            <w:pPr>
              <w:widowControl/>
              <w:spacing w:line="360" w:lineRule="auto"/>
              <w:jc w:val="center"/>
              <w:textAlignment w:val="baseline"/>
              <w:rPr>
                <w:rFonts w:ascii="宋体" w:hAnsi="宋体" w:cs="宋体"/>
                <w:szCs w:val="21"/>
              </w:rPr>
            </w:pPr>
            <w:r>
              <w:rPr>
                <w:rFonts w:hint="eastAsia" w:ascii="宋体" w:hAnsi="宋体" w:cs="宋体"/>
                <w:color w:val="000000" w:themeColor="text1"/>
                <w:szCs w:val="21"/>
              </w:rPr>
              <w:t>采购文件要求</w:t>
            </w:r>
          </w:p>
        </w:tc>
        <w:tc>
          <w:tcPr>
            <w:tcW w:w="1620" w:type="dxa"/>
            <w:noWrap/>
            <w:vAlign w:val="center"/>
          </w:tcPr>
          <w:p w14:paraId="1194596F">
            <w:pPr>
              <w:widowControl/>
              <w:spacing w:line="360" w:lineRule="auto"/>
              <w:jc w:val="center"/>
              <w:textAlignment w:val="baseline"/>
              <w:rPr>
                <w:rFonts w:ascii="宋体" w:hAnsi="宋体" w:cs="宋体"/>
                <w:szCs w:val="21"/>
              </w:rPr>
            </w:pPr>
            <w:r>
              <w:rPr>
                <w:rFonts w:hint="eastAsia" w:ascii="宋体" w:hAnsi="宋体" w:cs="宋体"/>
                <w:color w:val="000000" w:themeColor="text1"/>
                <w:szCs w:val="21"/>
              </w:rPr>
              <w:t>响应情况</w:t>
            </w:r>
          </w:p>
        </w:tc>
        <w:tc>
          <w:tcPr>
            <w:tcW w:w="1560" w:type="dxa"/>
            <w:noWrap/>
            <w:vAlign w:val="center"/>
          </w:tcPr>
          <w:p w14:paraId="56E954DA">
            <w:pPr>
              <w:widowControl/>
              <w:spacing w:line="360" w:lineRule="auto"/>
              <w:jc w:val="center"/>
              <w:textAlignment w:val="baseline"/>
              <w:rPr>
                <w:rFonts w:ascii="宋体" w:hAnsi="宋体" w:cs="宋体"/>
                <w:szCs w:val="21"/>
              </w:rPr>
            </w:pPr>
            <w:r>
              <w:rPr>
                <w:rFonts w:hint="eastAsia" w:ascii="宋体" w:hAnsi="宋体" w:cs="宋体"/>
                <w:kern w:val="0"/>
                <w:sz w:val="22"/>
                <w:szCs w:val="22"/>
              </w:rPr>
              <w:t>投标人的承诺或说明</w:t>
            </w:r>
          </w:p>
        </w:tc>
      </w:tr>
      <w:tr w14:paraId="0AECA5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ign w:val="center"/>
          </w:tcPr>
          <w:p w14:paraId="62AAE990">
            <w:pPr>
              <w:widowControl/>
              <w:spacing w:line="360" w:lineRule="auto"/>
              <w:jc w:val="center"/>
              <w:textAlignment w:val="baseline"/>
              <w:rPr>
                <w:rFonts w:ascii="宋体" w:hAnsi="宋体" w:cs="宋体"/>
                <w:color w:val="000000" w:themeColor="text1"/>
                <w:szCs w:val="21"/>
              </w:rPr>
            </w:pPr>
            <w:r>
              <w:rPr>
                <w:rFonts w:hint="eastAsia" w:ascii="宋体" w:hAnsi="宋体" w:cs="宋体"/>
                <w:color w:val="000000" w:themeColor="text1"/>
                <w:szCs w:val="21"/>
              </w:rPr>
              <w:t>1</w:t>
            </w:r>
          </w:p>
        </w:tc>
        <w:tc>
          <w:tcPr>
            <w:tcW w:w="2133" w:type="dxa"/>
            <w:noWrap/>
            <w:vAlign w:val="center"/>
          </w:tcPr>
          <w:p w14:paraId="36B0C4D6">
            <w:pPr>
              <w:pStyle w:val="8"/>
              <w:spacing w:line="360" w:lineRule="auto"/>
              <w:jc w:val="center"/>
              <w:rPr>
                <w:rFonts w:asciiTheme="majorEastAsia" w:hAnsiTheme="majorEastAsia" w:eastAsiaTheme="majorEastAsia"/>
                <w:sz w:val="21"/>
                <w:szCs w:val="21"/>
              </w:rPr>
            </w:pPr>
            <w:r>
              <w:rPr>
                <w:rFonts w:hint="eastAsia" w:cs="仿宋" w:asciiTheme="majorEastAsia" w:hAnsiTheme="majorEastAsia" w:eastAsiaTheme="majorEastAsia"/>
                <w:kern w:val="2"/>
                <w:sz w:val="21"/>
                <w:szCs w:val="21"/>
              </w:rPr>
              <w:t>交货期</w:t>
            </w:r>
          </w:p>
        </w:tc>
        <w:tc>
          <w:tcPr>
            <w:tcW w:w="2307" w:type="dxa"/>
            <w:noWrap/>
            <w:vAlign w:val="center"/>
          </w:tcPr>
          <w:p w14:paraId="16A296A4">
            <w:pPr>
              <w:widowControl/>
              <w:spacing w:line="360" w:lineRule="auto"/>
              <w:ind w:firstLine="422"/>
              <w:jc w:val="center"/>
              <w:textAlignment w:val="baseline"/>
              <w:rPr>
                <w:rFonts w:ascii="宋体" w:hAnsi="宋体" w:cs="宋体"/>
                <w:szCs w:val="21"/>
              </w:rPr>
            </w:pPr>
          </w:p>
        </w:tc>
        <w:tc>
          <w:tcPr>
            <w:tcW w:w="1620" w:type="dxa"/>
            <w:noWrap/>
            <w:vAlign w:val="center"/>
          </w:tcPr>
          <w:p w14:paraId="6C74E491">
            <w:pPr>
              <w:widowControl/>
              <w:spacing w:line="360" w:lineRule="auto"/>
              <w:ind w:firstLine="422"/>
              <w:jc w:val="center"/>
              <w:textAlignment w:val="baseline"/>
              <w:rPr>
                <w:rFonts w:ascii="宋体" w:hAnsi="宋体" w:cs="宋体"/>
                <w:szCs w:val="21"/>
              </w:rPr>
            </w:pPr>
          </w:p>
        </w:tc>
        <w:tc>
          <w:tcPr>
            <w:tcW w:w="1560" w:type="dxa"/>
            <w:noWrap/>
            <w:vAlign w:val="center"/>
          </w:tcPr>
          <w:p w14:paraId="7EE39DD0">
            <w:pPr>
              <w:widowControl/>
              <w:spacing w:line="360" w:lineRule="auto"/>
              <w:ind w:firstLine="422"/>
              <w:jc w:val="center"/>
              <w:textAlignment w:val="baseline"/>
              <w:rPr>
                <w:rFonts w:ascii="宋体" w:hAnsi="宋体" w:cs="宋体"/>
                <w:szCs w:val="21"/>
              </w:rPr>
            </w:pPr>
          </w:p>
        </w:tc>
      </w:tr>
      <w:tr w14:paraId="6E8363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ign w:val="center"/>
          </w:tcPr>
          <w:p w14:paraId="2B96B22B">
            <w:pPr>
              <w:widowControl/>
              <w:spacing w:line="360" w:lineRule="auto"/>
              <w:jc w:val="center"/>
              <w:textAlignment w:val="baseline"/>
              <w:rPr>
                <w:rFonts w:ascii="宋体" w:hAnsi="宋体" w:cs="宋体"/>
                <w:color w:val="000000" w:themeColor="text1"/>
                <w:szCs w:val="21"/>
              </w:rPr>
            </w:pPr>
            <w:r>
              <w:rPr>
                <w:rFonts w:hint="eastAsia" w:ascii="宋体" w:hAnsi="宋体" w:cs="宋体"/>
                <w:color w:val="000000" w:themeColor="text1"/>
                <w:szCs w:val="21"/>
              </w:rPr>
              <w:t>2</w:t>
            </w:r>
          </w:p>
        </w:tc>
        <w:tc>
          <w:tcPr>
            <w:tcW w:w="2133" w:type="dxa"/>
            <w:noWrap/>
            <w:vAlign w:val="center"/>
          </w:tcPr>
          <w:p w14:paraId="5711809C">
            <w:pPr>
              <w:pStyle w:val="8"/>
              <w:spacing w:line="360" w:lineRule="auto"/>
              <w:jc w:val="center"/>
              <w:rPr>
                <w:rFonts w:asciiTheme="majorEastAsia" w:hAnsiTheme="majorEastAsia" w:eastAsiaTheme="majorEastAsia"/>
                <w:sz w:val="21"/>
                <w:szCs w:val="21"/>
              </w:rPr>
            </w:pPr>
            <w:r>
              <w:rPr>
                <w:rFonts w:hint="eastAsia" w:cs="仿宋" w:asciiTheme="majorEastAsia" w:hAnsiTheme="majorEastAsia" w:eastAsiaTheme="majorEastAsia"/>
                <w:kern w:val="2"/>
                <w:sz w:val="21"/>
                <w:szCs w:val="21"/>
              </w:rPr>
              <w:t>交货地点</w:t>
            </w:r>
          </w:p>
        </w:tc>
        <w:tc>
          <w:tcPr>
            <w:tcW w:w="2307" w:type="dxa"/>
            <w:noWrap/>
            <w:vAlign w:val="center"/>
          </w:tcPr>
          <w:p w14:paraId="41B266BE">
            <w:pPr>
              <w:widowControl/>
              <w:spacing w:line="360" w:lineRule="auto"/>
              <w:ind w:firstLine="422"/>
              <w:jc w:val="center"/>
              <w:textAlignment w:val="baseline"/>
              <w:rPr>
                <w:rFonts w:ascii="宋体" w:hAnsi="宋体" w:cs="宋体"/>
                <w:szCs w:val="21"/>
              </w:rPr>
            </w:pPr>
          </w:p>
        </w:tc>
        <w:tc>
          <w:tcPr>
            <w:tcW w:w="1620" w:type="dxa"/>
            <w:noWrap/>
            <w:vAlign w:val="center"/>
          </w:tcPr>
          <w:p w14:paraId="6CE2BD45">
            <w:pPr>
              <w:widowControl/>
              <w:spacing w:line="360" w:lineRule="auto"/>
              <w:ind w:firstLine="422"/>
              <w:jc w:val="center"/>
              <w:textAlignment w:val="baseline"/>
              <w:rPr>
                <w:rFonts w:ascii="宋体" w:hAnsi="宋体" w:cs="宋体"/>
                <w:szCs w:val="21"/>
              </w:rPr>
            </w:pPr>
          </w:p>
        </w:tc>
        <w:tc>
          <w:tcPr>
            <w:tcW w:w="1560" w:type="dxa"/>
            <w:noWrap/>
            <w:vAlign w:val="center"/>
          </w:tcPr>
          <w:p w14:paraId="5257926C">
            <w:pPr>
              <w:widowControl/>
              <w:spacing w:line="360" w:lineRule="auto"/>
              <w:ind w:firstLine="422"/>
              <w:jc w:val="center"/>
              <w:textAlignment w:val="baseline"/>
              <w:rPr>
                <w:rFonts w:ascii="宋体" w:hAnsi="宋体" w:cs="宋体"/>
                <w:szCs w:val="21"/>
              </w:rPr>
            </w:pPr>
          </w:p>
        </w:tc>
      </w:tr>
      <w:tr w14:paraId="2E021C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ign w:val="center"/>
          </w:tcPr>
          <w:p w14:paraId="6664343C">
            <w:pPr>
              <w:widowControl/>
              <w:spacing w:line="360" w:lineRule="auto"/>
              <w:jc w:val="center"/>
              <w:textAlignment w:val="baseline"/>
              <w:rPr>
                <w:rFonts w:ascii="宋体" w:hAnsi="宋体" w:cs="宋体"/>
                <w:color w:val="000000" w:themeColor="text1"/>
                <w:szCs w:val="21"/>
              </w:rPr>
            </w:pPr>
            <w:r>
              <w:rPr>
                <w:rFonts w:hint="eastAsia" w:ascii="宋体" w:hAnsi="宋体" w:cs="宋体"/>
                <w:color w:val="000000" w:themeColor="text1"/>
                <w:szCs w:val="21"/>
              </w:rPr>
              <w:t>3</w:t>
            </w:r>
          </w:p>
        </w:tc>
        <w:tc>
          <w:tcPr>
            <w:tcW w:w="2133" w:type="dxa"/>
            <w:noWrap/>
            <w:vAlign w:val="center"/>
          </w:tcPr>
          <w:p w14:paraId="72AA0EF0">
            <w:pPr>
              <w:pStyle w:val="8"/>
              <w:spacing w:line="360" w:lineRule="auto"/>
              <w:jc w:val="center"/>
              <w:rPr>
                <w:rFonts w:cs="仿宋" w:asciiTheme="majorEastAsia" w:hAnsiTheme="majorEastAsia" w:eastAsiaTheme="majorEastAsia"/>
                <w:kern w:val="2"/>
                <w:sz w:val="21"/>
                <w:szCs w:val="21"/>
              </w:rPr>
            </w:pPr>
            <w:r>
              <w:rPr>
                <w:rFonts w:hint="eastAsia" w:cs="仿宋" w:asciiTheme="majorEastAsia" w:hAnsiTheme="majorEastAsia" w:eastAsiaTheme="majorEastAsia"/>
                <w:kern w:val="2"/>
                <w:sz w:val="21"/>
                <w:szCs w:val="21"/>
              </w:rPr>
              <w:t>质保期</w:t>
            </w:r>
          </w:p>
        </w:tc>
        <w:tc>
          <w:tcPr>
            <w:tcW w:w="2307" w:type="dxa"/>
            <w:noWrap/>
            <w:vAlign w:val="center"/>
          </w:tcPr>
          <w:p w14:paraId="44CF29C5">
            <w:pPr>
              <w:widowControl/>
              <w:spacing w:line="360" w:lineRule="auto"/>
              <w:ind w:firstLine="422"/>
              <w:jc w:val="center"/>
              <w:textAlignment w:val="baseline"/>
              <w:rPr>
                <w:rFonts w:ascii="宋体" w:hAnsi="宋体" w:cs="宋体"/>
                <w:szCs w:val="21"/>
              </w:rPr>
            </w:pPr>
          </w:p>
        </w:tc>
        <w:tc>
          <w:tcPr>
            <w:tcW w:w="1620" w:type="dxa"/>
            <w:noWrap/>
            <w:vAlign w:val="center"/>
          </w:tcPr>
          <w:p w14:paraId="318D38E3">
            <w:pPr>
              <w:widowControl/>
              <w:spacing w:line="360" w:lineRule="auto"/>
              <w:ind w:firstLine="422"/>
              <w:jc w:val="center"/>
              <w:textAlignment w:val="baseline"/>
              <w:rPr>
                <w:rFonts w:ascii="宋体" w:hAnsi="宋体" w:cs="宋体"/>
                <w:szCs w:val="21"/>
              </w:rPr>
            </w:pPr>
          </w:p>
        </w:tc>
        <w:tc>
          <w:tcPr>
            <w:tcW w:w="1560" w:type="dxa"/>
            <w:noWrap/>
            <w:vAlign w:val="center"/>
          </w:tcPr>
          <w:p w14:paraId="5F6A6B01">
            <w:pPr>
              <w:widowControl/>
              <w:spacing w:line="360" w:lineRule="auto"/>
              <w:ind w:firstLine="422"/>
              <w:jc w:val="center"/>
              <w:textAlignment w:val="baseline"/>
              <w:rPr>
                <w:rFonts w:ascii="宋体" w:hAnsi="宋体" w:cs="宋体"/>
                <w:szCs w:val="21"/>
              </w:rPr>
            </w:pPr>
          </w:p>
        </w:tc>
      </w:tr>
      <w:tr w14:paraId="4B2C55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ign w:val="center"/>
          </w:tcPr>
          <w:p w14:paraId="5878EEC3">
            <w:pPr>
              <w:widowControl/>
              <w:spacing w:line="360" w:lineRule="auto"/>
              <w:jc w:val="center"/>
              <w:textAlignment w:val="baseline"/>
              <w:rPr>
                <w:rFonts w:ascii="宋体" w:hAnsi="宋体" w:cs="宋体"/>
                <w:color w:val="000000" w:themeColor="text1"/>
                <w:szCs w:val="21"/>
              </w:rPr>
            </w:pPr>
            <w:r>
              <w:rPr>
                <w:rFonts w:hint="eastAsia" w:ascii="宋体" w:hAnsi="宋体" w:cs="宋体"/>
                <w:color w:val="000000" w:themeColor="text1"/>
                <w:szCs w:val="21"/>
              </w:rPr>
              <w:t>4</w:t>
            </w:r>
          </w:p>
        </w:tc>
        <w:tc>
          <w:tcPr>
            <w:tcW w:w="2133" w:type="dxa"/>
            <w:noWrap/>
            <w:vAlign w:val="center"/>
          </w:tcPr>
          <w:p w14:paraId="49430C6F">
            <w:pPr>
              <w:pStyle w:val="8"/>
              <w:spacing w:line="360" w:lineRule="auto"/>
              <w:jc w:val="center"/>
              <w:rPr>
                <w:rFonts w:asciiTheme="majorEastAsia" w:hAnsiTheme="majorEastAsia" w:eastAsiaTheme="majorEastAsia"/>
                <w:sz w:val="21"/>
                <w:szCs w:val="21"/>
              </w:rPr>
            </w:pPr>
            <w:r>
              <w:rPr>
                <w:rFonts w:hint="eastAsia" w:cs="仿宋" w:asciiTheme="majorEastAsia" w:hAnsiTheme="majorEastAsia" w:eastAsiaTheme="majorEastAsia"/>
                <w:kern w:val="2"/>
                <w:sz w:val="21"/>
                <w:szCs w:val="21"/>
              </w:rPr>
              <w:t>质量要求</w:t>
            </w:r>
          </w:p>
        </w:tc>
        <w:tc>
          <w:tcPr>
            <w:tcW w:w="2307" w:type="dxa"/>
            <w:noWrap/>
            <w:vAlign w:val="center"/>
          </w:tcPr>
          <w:p w14:paraId="767A9D7E">
            <w:pPr>
              <w:widowControl/>
              <w:spacing w:line="360" w:lineRule="auto"/>
              <w:ind w:firstLine="422"/>
              <w:jc w:val="center"/>
              <w:textAlignment w:val="baseline"/>
              <w:rPr>
                <w:rFonts w:ascii="宋体" w:hAnsi="宋体" w:cs="宋体"/>
                <w:szCs w:val="21"/>
              </w:rPr>
            </w:pPr>
          </w:p>
        </w:tc>
        <w:tc>
          <w:tcPr>
            <w:tcW w:w="1620" w:type="dxa"/>
            <w:noWrap/>
            <w:vAlign w:val="center"/>
          </w:tcPr>
          <w:p w14:paraId="2088D1FB">
            <w:pPr>
              <w:widowControl/>
              <w:spacing w:line="360" w:lineRule="auto"/>
              <w:ind w:firstLine="422"/>
              <w:jc w:val="center"/>
              <w:textAlignment w:val="baseline"/>
              <w:rPr>
                <w:rFonts w:ascii="宋体" w:hAnsi="宋体" w:cs="宋体"/>
                <w:szCs w:val="21"/>
              </w:rPr>
            </w:pPr>
          </w:p>
        </w:tc>
        <w:tc>
          <w:tcPr>
            <w:tcW w:w="1560" w:type="dxa"/>
            <w:noWrap/>
            <w:vAlign w:val="center"/>
          </w:tcPr>
          <w:p w14:paraId="2EB50BFE">
            <w:pPr>
              <w:widowControl/>
              <w:spacing w:line="360" w:lineRule="auto"/>
              <w:ind w:firstLine="422"/>
              <w:jc w:val="center"/>
              <w:textAlignment w:val="baseline"/>
              <w:rPr>
                <w:rFonts w:ascii="宋体" w:hAnsi="宋体" w:cs="宋体"/>
                <w:szCs w:val="21"/>
              </w:rPr>
            </w:pPr>
          </w:p>
        </w:tc>
      </w:tr>
      <w:tr w14:paraId="4C9A3E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ign w:val="center"/>
          </w:tcPr>
          <w:p w14:paraId="6A3009E6">
            <w:pPr>
              <w:widowControl/>
              <w:spacing w:line="360" w:lineRule="auto"/>
              <w:jc w:val="center"/>
              <w:textAlignment w:val="baseline"/>
              <w:rPr>
                <w:rFonts w:ascii="宋体" w:hAnsi="宋体" w:cs="宋体"/>
                <w:color w:val="000000" w:themeColor="text1"/>
                <w:szCs w:val="21"/>
              </w:rPr>
            </w:pPr>
            <w:r>
              <w:rPr>
                <w:rFonts w:hint="eastAsia" w:ascii="宋体" w:hAnsi="宋体" w:cs="宋体"/>
                <w:color w:val="000000" w:themeColor="text1"/>
                <w:szCs w:val="21"/>
              </w:rPr>
              <w:t>5</w:t>
            </w:r>
          </w:p>
        </w:tc>
        <w:tc>
          <w:tcPr>
            <w:tcW w:w="2133" w:type="dxa"/>
            <w:noWrap/>
            <w:vAlign w:val="center"/>
          </w:tcPr>
          <w:p w14:paraId="3B277A13">
            <w:pPr>
              <w:pStyle w:val="8"/>
              <w:spacing w:line="360" w:lineRule="auto"/>
              <w:jc w:val="center"/>
              <w:rPr>
                <w:rFonts w:asciiTheme="majorEastAsia" w:hAnsiTheme="majorEastAsia" w:eastAsiaTheme="majorEastAsia"/>
                <w:sz w:val="21"/>
                <w:szCs w:val="21"/>
              </w:rPr>
            </w:pPr>
            <w:r>
              <w:rPr>
                <w:rFonts w:hint="eastAsia" w:cs="仿宋" w:asciiTheme="majorEastAsia" w:hAnsiTheme="majorEastAsia" w:eastAsiaTheme="majorEastAsia"/>
                <w:kern w:val="2"/>
                <w:sz w:val="21"/>
                <w:szCs w:val="21"/>
              </w:rPr>
              <w:t>售后服务</w:t>
            </w:r>
          </w:p>
        </w:tc>
        <w:tc>
          <w:tcPr>
            <w:tcW w:w="2307" w:type="dxa"/>
            <w:noWrap/>
            <w:vAlign w:val="center"/>
          </w:tcPr>
          <w:p w14:paraId="409284B7">
            <w:pPr>
              <w:widowControl/>
              <w:spacing w:line="360" w:lineRule="auto"/>
              <w:ind w:firstLine="422"/>
              <w:jc w:val="center"/>
              <w:textAlignment w:val="baseline"/>
              <w:rPr>
                <w:rFonts w:ascii="宋体" w:hAnsi="宋体" w:cs="宋体"/>
                <w:szCs w:val="21"/>
              </w:rPr>
            </w:pPr>
          </w:p>
        </w:tc>
        <w:tc>
          <w:tcPr>
            <w:tcW w:w="1620" w:type="dxa"/>
            <w:noWrap/>
            <w:vAlign w:val="center"/>
          </w:tcPr>
          <w:p w14:paraId="276FADAB">
            <w:pPr>
              <w:widowControl/>
              <w:spacing w:line="360" w:lineRule="auto"/>
              <w:ind w:firstLine="422"/>
              <w:jc w:val="center"/>
              <w:textAlignment w:val="baseline"/>
              <w:rPr>
                <w:rFonts w:ascii="宋体" w:hAnsi="宋体" w:cs="宋体"/>
                <w:szCs w:val="21"/>
              </w:rPr>
            </w:pPr>
          </w:p>
        </w:tc>
        <w:tc>
          <w:tcPr>
            <w:tcW w:w="1560" w:type="dxa"/>
            <w:noWrap/>
            <w:vAlign w:val="center"/>
          </w:tcPr>
          <w:p w14:paraId="77D2F442">
            <w:pPr>
              <w:widowControl/>
              <w:spacing w:line="360" w:lineRule="auto"/>
              <w:ind w:firstLine="422"/>
              <w:jc w:val="center"/>
              <w:textAlignment w:val="baseline"/>
              <w:rPr>
                <w:rFonts w:ascii="宋体" w:hAnsi="宋体" w:cs="宋体"/>
                <w:szCs w:val="21"/>
              </w:rPr>
            </w:pPr>
          </w:p>
        </w:tc>
      </w:tr>
      <w:tr w14:paraId="1D2FB9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ign w:val="center"/>
          </w:tcPr>
          <w:p w14:paraId="0BEC8515">
            <w:pPr>
              <w:widowControl/>
              <w:spacing w:line="360" w:lineRule="auto"/>
              <w:jc w:val="center"/>
              <w:textAlignment w:val="baseline"/>
              <w:rPr>
                <w:rFonts w:ascii="宋体" w:hAnsi="宋体" w:cs="宋体"/>
                <w:color w:val="000000" w:themeColor="text1"/>
                <w:szCs w:val="21"/>
              </w:rPr>
            </w:pPr>
            <w:r>
              <w:rPr>
                <w:rFonts w:hint="eastAsia" w:ascii="宋体" w:hAnsi="宋体" w:cs="宋体"/>
                <w:color w:val="000000" w:themeColor="text1"/>
                <w:szCs w:val="21"/>
              </w:rPr>
              <w:t>6</w:t>
            </w:r>
          </w:p>
        </w:tc>
        <w:tc>
          <w:tcPr>
            <w:tcW w:w="2133" w:type="dxa"/>
            <w:noWrap/>
            <w:vAlign w:val="center"/>
          </w:tcPr>
          <w:p w14:paraId="7C794DE0">
            <w:pPr>
              <w:pStyle w:val="8"/>
              <w:spacing w:line="360" w:lineRule="auto"/>
              <w:jc w:val="center"/>
              <w:rPr>
                <w:rFonts w:cs="仿宋" w:asciiTheme="majorEastAsia" w:hAnsiTheme="majorEastAsia" w:eastAsiaTheme="majorEastAsia"/>
                <w:kern w:val="2"/>
                <w:sz w:val="21"/>
                <w:szCs w:val="21"/>
              </w:rPr>
            </w:pPr>
            <w:r>
              <w:rPr>
                <w:rFonts w:hint="eastAsia" w:cs="仿宋" w:asciiTheme="majorEastAsia" w:hAnsiTheme="majorEastAsia" w:eastAsiaTheme="majorEastAsia"/>
                <w:kern w:val="2"/>
                <w:sz w:val="21"/>
                <w:szCs w:val="21"/>
              </w:rPr>
              <w:t>培训</w:t>
            </w:r>
          </w:p>
        </w:tc>
        <w:tc>
          <w:tcPr>
            <w:tcW w:w="2307" w:type="dxa"/>
            <w:noWrap/>
            <w:vAlign w:val="center"/>
          </w:tcPr>
          <w:p w14:paraId="342DD2E5">
            <w:pPr>
              <w:widowControl/>
              <w:spacing w:line="360" w:lineRule="auto"/>
              <w:ind w:firstLine="422"/>
              <w:jc w:val="center"/>
              <w:textAlignment w:val="baseline"/>
              <w:rPr>
                <w:rFonts w:ascii="宋体" w:hAnsi="宋体" w:cs="宋体"/>
                <w:szCs w:val="21"/>
              </w:rPr>
            </w:pPr>
          </w:p>
        </w:tc>
        <w:tc>
          <w:tcPr>
            <w:tcW w:w="1620" w:type="dxa"/>
            <w:noWrap/>
            <w:vAlign w:val="center"/>
          </w:tcPr>
          <w:p w14:paraId="110056F5">
            <w:pPr>
              <w:widowControl/>
              <w:spacing w:line="360" w:lineRule="auto"/>
              <w:ind w:firstLine="422"/>
              <w:jc w:val="center"/>
              <w:textAlignment w:val="baseline"/>
              <w:rPr>
                <w:rFonts w:ascii="宋体" w:hAnsi="宋体" w:cs="宋体"/>
                <w:szCs w:val="21"/>
              </w:rPr>
            </w:pPr>
          </w:p>
        </w:tc>
        <w:tc>
          <w:tcPr>
            <w:tcW w:w="1560" w:type="dxa"/>
            <w:noWrap/>
            <w:vAlign w:val="center"/>
          </w:tcPr>
          <w:p w14:paraId="7E668666">
            <w:pPr>
              <w:widowControl/>
              <w:spacing w:line="360" w:lineRule="auto"/>
              <w:ind w:firstLine="422"/>
              <w:jc w:val="center"/>
              <w:textAlignment w:val="baseline"/>
              <w:rPr>
                <w:rFonts w:ascii="宋体" w:hAnsi="宋体" w:cs="宋体"/>
                <w:szCs w:val="21"/>
              </w:rPr>
            </w:pPr>
          </w:p>
        </w:tc>
      </w:tr>
      <w:tr w14:paraId="6A3BFE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ign w:val="center"/>
          </w:tcPr>
          <w:p w14:paraId="6D953C7A">
            <w:pPr>
              <w:widowControl/>
              <w:spacing w:line="360" w:lineRule="auto"/>
              <w:jc w:val="center"/>
              <w:textAlignment w:val="baseline"/>
              <w:rPr>
                <w:rFonts w:ascii="宋体" w:hAnsi="宋体" w:cs="宋体"/>
                <w:color w:val="000000" w:themeColor="text1"/>
                <w:szCs w:val="21"/>
              </w:rPr>
            </w:pPr>
            <w:r>
              <w:rPr>
                <w:rFonts w:hint="eastAsia" w:ascii="宋体" w:hAnsi="宋体" w:cs="宋体"/>
                <w:color w:val="000000" w:themeColor="text1"/>
                <w:szCs w:val="21"/>
              </w:rPr>
              <w:t>7</w:t>
            </w:r>
          </w:p>
        </w:tc>
        <w:tc>
          <w:tcPr>
            <w:tcW w:w="2133" w:type="dxa"/>
            <w:noWrap/>
            <w:vAlign w:val="center"/>
          </w:tcPr>
          <w:p w14:paraId="05E58DC4">
            <w:pPr>
              <w:pStyle w:val="8"/>
              <w:spacing w:line="360" w:lineRule="auto"/>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其他要求</w:t>
            </w:r>
          </w:p>
        </w:tc>
        <w:tc>
          <w:tcPr>
            <w:tcW w:w="2307" w:type="dxa"/>
            <w:noWrap/>
            <w:vAlign w:val="center"/>
          </w:tcPr>
          <w:p w14:paraId="6AB770F9">
            <w:pPr>
              <w:widowControl/>
              <w:spacing w:line="360" w:lineRule="auto"/>
              <w:ind w:firstLine="422"/>
              <w:jc w:val="center"/>
              <w:textAlignment w:val="baseline"/>
              <w:rPr>
                <w:rFonts w:ascii="宋体" w:hAnsi="宋体" w:cs="宋体"/>
                <w:szCs w:val="21"/>
              </w:rPr>
            </w:pPr>
          </w:p>
        </w:tc>
        <w:tc>
          <w:tcPr>
            <w:tcW w:w="1620" w:type="dxa"/>
            <w:noWrap/>
            <w:vAlign w:val="center"/>
          </w:tcPr>
          <w:p w14:paraId="2DCDB45F">
            <w:pPr>
              <w:widowControl/>
              <w:spacing w:line="360" w:lineRule="auto"/>
              <w:ind w:firstLine="422"/>
              <w:jc w:val="center"/>
              <w:textAlignment w:val="baseline"/>
              <w:rPr>
                <w:rFonts w:ascii="宋体" w:hAnsi="宋体" w:cs="宋体"/>
                <w:szCs w:val="21"/>
              </w:rPr>
            </w:pPr>
          </w:p>
        </w:tc>
        <w:tc>
          <w:tcPr>
            <w:tcW w:w="1560" w:type="dxa"/>
            <w:noWrap/>
            <w:vAlign w:val="center"/>
          </w:tcPr>
          <w:p w14:paraId="488F8C62">
            <w:pPr>
              <w:widowControl/>
              <w:spacing w:line="360" w:lineRule="auto"/>
              <w:ind w:firstLine="422"/>
              <w:jc w:val="center"/>
              <w:textAlignment w:val="baseline"/>
              <w:rPr>
                <w:rFonts w:ascii="宋体" w:hAnsi="宋体" w:cs="宋体"/>
                <w:szCs w:val="21"/>
              </w:rPr>
            </w:pPr>
          </w:p>
        </w:tc>
      </w:tr>
      <w:tr w14:paraId="7D902A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ign w:val="center"/>
          </w:tcPr>
          <w:p w14:paraId="3B5E9BC4">
            <w:pPr>
              <w:widowControl/>
              <w:spacing w:line="360" w:lineRule="auto"/>
              <w:ind w:firstLine="422"/>
              <w:jc w:val="center"/>
              <w:textAlignment w:val="baseline"/>
              <w:rPr>
                <w:rFonts w:ascii="宋体" w:hAnsi="宋体" w:cs="宋体"/>
                <w:szCs w:val="21"/>
              </w:rPr>
            </w:pPr>
          </w:p>
        </w:tc>
        <w:tc>
          <w:tcPr>
            <w:tcW w:w="2133" w:type="dxa"/>
            <w:noWrap/>
            <w:vAlign w:val="center"/>
          </w:tcPr>
          <w:p w14:paraId="727EC906">
            <w:pPr>
              <w:pStyle w:val="8"/>
              <w:spacing w:line="360" w:lineRule="auto"/>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w:t>
            </w:r>
          </w:p>
        </w:tc>
        <w:tc>
          <w:tcPr>
            <w:tcW w:w="2307" w:type="dxa"/>
            <w:noWrap/>
            <w:vAlign w:val="center"/>
          </w:tcPr>
          <w:p w14:paraId="64CBF3A2">
            <w:pPr>
              <w:widowControl/>
              <w:spacing w:line="360" w:lineRule="auto"/>
              <w:ind w:firstLine="422"/>
              <w:jc w:val="center"/>
              <w:textAlignment w:val="baseline"/>
              <w:rPr>
                <w:rFonts w:ascii="宋体" w:hAnsi="宋体" w:cs="宋体"/>
                <w:szCs w:val="21"/>
              </w:rPr>
            </w:pPr>
          </w:p>
        </w:tc>
        <w:tc>
          <w:tcPr>
            <w:tcW w:w="1620" w:type="dxa"/>
            <w:noWrap/>
            <w:vAlign w:val="center"/>
          </w:tcPr>
          <w:p w14:paraId="53784F7B">
            <w:pPr>
              <w:widowControl/>
              <w:spacing w:line="360" w:lineRule="auto"/>
              <w:ind w:firstLine="422"/>
              <w:jc w:val="center"/>
              <w:textAlignment w:val="baseline"/>
              <w:rPr>
                <w:rFonts w:ascii="宋体" w:hAnsi="宋体" w:cs="宋体"/>
                <w:szCs w:val="21"/>
              </w:rPr>
            </w:pPr>
          </w:p>
        </w:tc>
        <w:tc>
          <w:tcPr>
            <w:tcW w:w="1560" w:type="dxa"/>
            <w:noWrap/>
            <w:vAlign w:val="center"/>
          </w:tcPr>
          <w:p w14:paraId="06BB41A1">
            <w:pPr>
              <w:widowControl/>
              <w:spacing w:line="360" w:lineRule="auto"/>
              <w:ind w:firstLine="422"/>
              <w:jc w:val="center"/>
              <w:textAlignment w:val="baseline"/>
              <w:rPr>
                <w:rFonts w:ascii="宋体" w:hAnsi="宋体" w:cs="宋体"/>
                <w:szCs w:val="21"/>
              </w:rPr>
            </w:pPr>
          </w:p>
        </w:tc>
      </w:tr>
    </w:tbl>
    <w:p w14:paraId="69C9A87C">
      <w:pPr>
        <w:ind w:firstLine="420"/>
        <w:rPr>
          <w:rFonts w:ascii="宋体" w:hAnsi="宋体" w:cs="宋体"/>
          <w:b/>
          <w:kern w:val="0"/>
          <w:szCs w:val="21"/>
        </w:rPr>
      </w:pPr>
    </w:p>
    <w:p w14:paraId="0E2AB5F5">
      <w:pPr>
        <w:pStyle w:val="33"/>
        <w:ind w:firstLine="210"/>
        <w:rPr>
          <w:rFonts w:ascii="宋体" w:hAnsi="宋体" w:cs="宋体"/>
        </w:rPr>
      </w:pPr>
    </w:p>
    <w:p w14:paraId="51F53F9F">
      <w:pPr>
        <w:widowControl/>
        <w:spacing w:line="360" w:lineRule="auto"/>
        <w:ind w:firstLine="3360" w:firstLineChars="1600"/>
        <w:textAlignment w:val="baseline"/>
        <w:rPr>
          <w:rFonts w:ascii="宋体" w:hAnsi="宋体" w:cs="宋体"/>
          <w:szCs w:val="21"/>
        </w:rPr>
      </w:pPr>
      <w:r>
        <w:rPr>
          <w:rFonts w:hint="eastAsia" w:ascii="宋体" w:hAnsi="宋体" w:cs="宋体"/>
          <w:szCs w:val="21"/>
        </w:rPr>
        <w:t>供应商：</w:t>
      </w:r>
      <w:r>
        <w:rPr>
          <w:rFonts w:hint="eastAsia" w:ascii="宋体" w:hAnsi="宋体" w:cs="宋体"/>
          <w:szCs w:val="21"/>
          <w:u w:val="single"/>
          <w:lang w:val="en-US" w:eastAsia="zh-CN"/>
        </w:rPr>
        <w:t xml:space="preserve">                     </w:t>
      </w:r>
      <w:r>
        <w:rPr>
          <w:rFonts w:hint="eastAsia" w:ascii="宋体" w:hAnsi="宋体" w:cs="宋体"/>
          <w:szCs w:val="21"/>
        </w:rPr>
        <w:t>（全称并加盖公章）</w:t>
      </w:r>
    </w:p>
    <w:p w14:paraId="2FC4550B">
      <w:pPr>
        <w:widowControl/>
        <w:spacing w:line="360" w:lineRule="auto"/>
        <w:ind w:firstLine="4410" w:firstLineChars="2100"/>
        <w:textAlignment w:val="baseline"/>
        <w:rPr>
          <w:rFonts w:ascii="宋体" w:hAnsi="宋体" w:cs="宋体"/>
          <w:sz w:val="24"/>
        </w:rPr>
      </w:pPr>
      <w:r>
        <w:rPr>
          <w:rFonts w:hint="eastAsia" w:ascii="宋体" w:hAnsi="宋体" w:cs="宋体"/>
          <w:szCs w:val="21"/>
        </w:rPr>
        <w:t>年    月    日</w:t>
      </w:r>
    </w:p>
    <w:p w14:paraId="1CA3EB20">
      <w:pPr>
        <w:ind w:firstLine="422"/>
        <w:rPr>
          <w:rFonts w:ascii="宋体" w:hAnsi="宋体" w:cs="宋体"/>
        </w:rPr>
      </w:pPr>
    </w:p>
    <w:p w14:paraId="08584447">
      <w:pPr>
        <w:ind w:firstLine="422"/>
        <w:rPr>
          <w:rFonts w:ascii="宋体" w:hAnsi="宋体" w:cs="宋体"/>
        </w:rPr>
      </w:pPr>
    </w:p>
    <w:p w14:paraId="07309C7E">
      <w:pPr>
        <w:ind w:firstLine="422"/>
        <w:rPr>
          <w:rFonts w:ascii="宋体" w:hAnsi="宋体" w:cs="宋体"/>
        </w:rPr>
      </w:pPr>
    </w:p>
    <w:p w14:paraId="04171BF7">
      <w:pPr>
        <w:ind w:firstLine="422"/>
        <w:rPr>
          <w:rFonts w:ascii="宋体" w:hAnsi="宋体" w:cs="宋体"/>
        </w:rPr>
      </w:pPr>
    </w:p>
    <w:p w14:paraId="17F75BC4">
      <w:pPr>
        <w:ind w:firstLine="422"/>
        <w:rPr>
          <w:rFonts w:ascii="宋体" w:hAnsi="宋体" w:cs="宋体"/>
        </w:rPr>
      </w:pPr>
    </w:p>
    <w:p w14:paraId="1AE8205F">
      <w:pPr>
        <w:ind w:firstLine="422"/>
        <w:rPr>
          <w:rFonts w:ascii="宋体" w:hAnsi="宋体" w:cs="宋体"/>
        </w:rPr>
      </w:pPr>
    </w:p>
    <w:p w14:paraId="4B30D93F">
      <w:pPr>
        <w:ind w:firstLine="422"/>
        <w:rPr>
          <w:rFonts w:ascii="宋体" w:hAnsi="宋体" w:cs="宋体"/>
        </w:rPr>
      </w:pPr>
    </w:p>
    <w:p w14:paraId="6B715795">
      <w:pPr>
        <w:ind w:firstLine="422"/>
        <w:rPr>
          <w:rFonts w:ascii="宋体" w:hAnsi="宋体" w:cs="宋体"/>
        </w:rPr>
      </w:pPr>
    </w:p>
    <w:p w14:paraId="4669D2C1">
      <w:pPr>
        <w:ind w:firstLine="422"/>
        <w:rPr>
          <w:rFonts w:ascii="宋体" w:hAnsi="宋体" w:cs="宋体"/>
        </w:rPr>
      </w:pPr>
    </w:p>
    <w:p w14:paraId="73C92D7D">
      <w:pPr>
        <w:ind w:firstLine="422"/>
        <w:rPr>
          <w:rFonts w:ascii="宋体" w:hAnsi="宋体" w:cs="宋体"/>
        </w:rPr>
      </w:pPr>
    </w:p>
    <w:p w14:paraId="064BB153">
      <w:pPr>
        <w:ind w:firstLine="422"/>
        <w:rPr>
          <w:rFonts w:ascii="宋体" w:hAnsi="宋体" w:cs="宋体"/>
        </w:rPr>
      </w:pPr>
    </w:p>
    <w:p w14:paraId="39ED87E5">
      <w:pPr>
        <w:ind w:firstLine="562"/>
        <w:rPr>
          <w:rFonts w:ascii="宋体" w:hAnsi="宋体" w:cs="宋体"/>
          <w:b/>
          <w:sz w:val="28"/>
        </w:rPr>
      </w:pPr>
      <w:bookmarkStart w:id="85" w:name="_Toc31526"/>
      <w:bookmarkStart w:id="86" w:name="_Toc28621"/>
      <w:r>
        <w:rPr>
          <w:rFonts w:hint="eastAsia" w:ascii="宋体" w:hAnsi="宋体" w:cs="宋体"/>
          <w:b/>
          <w:sz w:val="28"/>
        </w:rPr>
        <w:br w:type="page"/>
      </w:r>
    </w:p>
    <w:p w14:paraId="55CED1DB">
      <w:pPr>
        <w:pStyle w:val="2"/>
      </w:pPr>
      <w:bookmarkStart w:id="87" w:name="_Toc29406"/>
      <w:r>
        <w:rPr>
          <w:rFonts w:hint="eastAsia"/>
        </w:rPr>
        <w:t>附件7         法定代表人身份证明（格式）</w:t>
      </w:r>
      <w:bookmarkEnd w:id="85"/>
      <w:bookmarkEnd w:id="86"/>
      <w:bookmarkEnd w:id="87"/>
    </w:p>
    <w:p w14:paraId="635288B2">
      <w:pPr>
        <w:widowControl/>
        <w:wordWrap w:val="0"/>
        <w:spacing w:line="460" w:lineRule="exact"/>
        <w:ind w:firstLine="482"/>
        <w:jc w:val="left"/>
        <w:rPr>
          <w:rFonts w:ascii="宋体" w:hAnsi="宋体" w:cs="宋体"/>
          <w:kern w:val="0"/>
          <w:sz w:val="24"/>
        </w:rPr>
      </w:pPr>
    </w:p>
    <w:p w14:paraId="29796701">
      <w:pPr>
        <w:widowControl/>
        <w:wordWrap w:val="0"/>
        <w:spacing w:line="460" w:lineRule="exact"/>
        <w:ind w:firstLine="480" w:firstLineChars="200"/>
        <w:jc w:val="left"/>
        <w:rPr>
          <w:rFonts w:ascii="宋体" w:hAnsi="宋体" w:cs="宋体"/>
          <w:kern w:val="0"/>
          <w:sz w:val="24"/>
          <w:u w:val="single"/>
        </w:rPr>
      </w:pPr>
      <w:r>
        <w:rPr>
          <w:rFonts w:hint="eastAsia" w:ascii="宋体" w:hAnsi="宋体" w:cs="宋体"/>
          <w:kern w:val="0"/>
          <w:sz w:val="24"/>
        </w:rPr>
        <w:t>供应商名称：</w:t>
      </w:r>
    </w:p>
    <w:p w14:paraId="0D53122A">
      <w:pPr>
        <w:widowControl/>
        <w:wordWrap w:val="0"/>
        <w:spacing w:line="460" w:lineRule="exact"/>
        <w:ind w:firstLine="480" w:firstLineChars="200"/>
        <w:jc w:val="left"/>
        <w:rPr>
          <w:rFonts w:ascii="宋体" w:hAnsi="宋体" w:cs="宋体"/>
          <w:kern w:val="0"/>
          <w:sz w:val="24"/>
          <w:u w:val="single"/>
        </w:rPr>
      </w:pPr>
      <w:r>
        <w:rPr>
          <w:rFonts w:hint="eastAsia" w:ascii="宋体" w:hAnsi="宋体" w:cs="宋体"/>
          <w:kern w:val="0"/>
          <w:sz w:val="24"/>
        </w:rPr>
        <w:t>地址：</w:t>
      </w:r>
    </w:p>
    <w:p w14:paraId="1BD12774">
      <w:pPr>
        <w:widowControl/>
        <w:wordWrap w:val="0"/>
        <w:spacing w:line="460" w:lineRule="exact"/>
        <w:ind w:firstLine="480" w:firstLineChars="200"/>
        <w:jc w:val="left"/>
        <w:rPr>
          <w:rFonts w:ascii="宋体" w:hAnsi="宋体" w:cs="宋体"/>
          <w:kern w:val="0"/>
          <w:sz w:val="24"/>
          <w:szCs w:val="20"/>
        </w:rPr>
      </w:pPr>
      <w:r>
        <w:rPr>
          <w:rFonts w:hint="eastAsia" w:ascii="宋体" w:hAnsi="宋体" w:cs="宋体"/>
          <w:kern w:val="0"/>
          <w:sz w:val="24"/>
        </w:rPr>
        <w:t>成立时间：</w:t>
      </w:r>
      <w:r>
        <w:rPr>
          <w:rFonts w:hint="eastAsia" w:ascii="宋体" w:hAnsi="宋体" w:cs="宋体"/>
          <w:kern w:val="0"/>
          <w:sz w:val="24"/>
          <w:szCs w:val="20"/>
        </w:rPr>
        <w:t>年月日</w:t>
      </w:r>
    </w:p>
    <w:p w14:paraId="2843453C">
      <w:pPr>
        <w:widowControl/>
        <w:wordWrap w:val="0"/>
        <w:spacing w:line="460" w:lineRule="exact"/>
        <w:ind w:firstLine="480" w:firstLineChars="200"/>
        <w:jc w:val="left"/>
        <w:rPr>
          <w:rFonts w:ascii="宋体" w:hAnsi="宋体" w:cs="宋体"/>
          <w:kern w:val="0"/>
          <w:sz w:val="24"/>
          <w:u w:val="single"/>
        </w:rPr>
      </w:pPr>
      <w:r>
        <w:rPr>
          <w:rFonts w:hint="eastAsia" w:ascii="宋体" w:hAnsi="宋体" w:cs="宋体"/>
          <w:kern w:val="0"/>
          <w:sz w:val="24"/>
          <w:szCs w:val="20"/>
        </w:rPr>
        <w:t>经营期限：</w:t>
      </w:r>
    </w:p>
    <w:p w14:paraId="7E48816E">
      <w:pPr>
        <w:widowControl/>
        <w:wordWrap w:val="0"/>
        <w:spacing w:line="460" w:lineRule="exact"/>
        <w:ind w:firstLine="480" w:firstLineChars="200"/>
        <w:jc w:val="left"/>
        <w:rPr>
          <w:rFonts w:ascii="宋体" w:hAnsi="宋体" w:cs="宋体"/>
          <w:kern w:val="0"/>
          <w:sz w:val="24"/>
          <w:szCs w:val="20"/>
        </w:rPr>
      </w:pPr>
      <w:r>
        <w:rPr>
          <w:rFonts w:hint="eastAsia" w:ascii="宋体" w:hAnsi="宋体" w:cs="宋体"/>
          <w:kern w:val="0"/>
          <w:sz w:val="24"/>
        </w:rPr>
        <w:t>姓名：</w:t>
      </w:r>
      <w:r>
        <w:rPr>
          <w:rFonts w:hint="eastAsia" w:ascii="宋体" w:hAnsi="宋体" w:cs="宋体"/>
          <w:kern w:val="0"/>
          <w:sz w:val="24"/>
          <w:szCs w:val="20"/>
        </w:rPr>
        <w:t>，性别：，年龄：，职务：，系（供应商名称）的法定代表人。</w:t>
      </w:r>
    </w:p>
    <w:p w14:paraId="3BA34DC3">
      <w:pPr>
        <w:widowControl/>
        <w:wordWrap w:val="0"/>
        <w:spacing w:line="460" w:lineRule="exact"/>
        <w:ind w:firstLine="482"/>
        <w:jc w:val="left"/>
        <w:rPr>
          <w:rFonts w:ascii="宋体" w:hAnsi="宋体" w:cs="宋体"/>
          <w:kern w:val="0"/>
          <w:sz w:val="24"/>
          <w:szCs w:val="20"/>
        </w:rPr>
      </w:pPr>
    </w:p>
    <w:p w14:paraId="6958B1D0">
      <w:pPr>
        <w:widowControl/>
        <w:wordWrap w:val="0"/>
        <w:spacing w:line="460" w:lineRule="exact"/>
        <w:ind w:firstLine="480" w:firstLineChars="200"/>
        <w:jc w:val="left"/>
        <w:rPr>
          <w:rFonts w:ascii="宋体" w:hAnsi="宋体" w:cs="宋体"/>
          <w:kern w:val="0"/>
          <w:sz w:val="24"/>
          <w:szCs w:val="20"/>
        </w:rPr>
      </w:pPr>
      <w:r>
        <w:rPr>
          <w:rFonts w:hint="eastAsia" w:ascii="宋体" w:hAnsi="宋体" w:cs="宋体"/>
          <w:kern w:val="0"/>
          <w:sz w:val="24"/>
          <w:szCs w:val="20"/>
        </w:rPr>
        <w:t>特此证明。</w:t>
      </w:r>
    </w:p>
    <w:p w14:paraId="03F06FD4">
      <w:pPr>
        <w:widowControl/>
        <w:wordWrap w:val="0"/>
        <w:spacing w:line="460" w:lineRule="exact"/>
        <w:ind w:firstLine="482"/>
        <w:jc w:val="left"/>
        <w:rPr>
          <w:rFonts w:ascii="宋体" w:hAnsi="宋体" w:cs="宋体"/>
          <w:kern w:val="0"/>
          <w:sz w:val="24"/>
          <w:szCs w:val="20"/>
        </w:rPr>
      </w:pPr>
    </w:p>
    <w:p w14:paraId="3DFE6E4C">
      <w:pPr>
        <w:widowControl/>
        <w:wordWrap w:val="0"/>
        <w:spacing w:beforeLines="100" w:afterLines="100" w:line="480" w:lineRule="exact"/>
        <w:ind w:firstLine="720"/>
        <w:jc w:val="center"/>
        <w:rPr>
          <w:rFonts w:ascii="宋体" w:hAnsi="宋体" w:cs="宋体"/>
          <w:b/>
          <w:kern w:val="0"/>
          <w:sz w:val="36"/>
          <w:szCs w:val="36"/>
        </w:rPr>
      </w:pPr>
    </w:p>
    <w:tbl>
      <w:tblPr>
        <w:tblStyle w:val="34"/>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3BE06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4CB06A44">
            <w:pPr>
              <w:widowControl/>
              <w:spacing w:line="480" w:lineRule="exact"/>
              <w:ind w:firstLine="482"/>
              <w:jc w:val="left"/>
              <w:rPr>
                <w:rFonts w:ascii="宋体" w:hAnsi="宋体" w:cs="宋体"/>
                <w:bCs/>
                <w:kern w:val="0"/>
                <w:sz w:val="24"/>
              </w:rPr>
            </w:pPr>
            <w:r>
              <w:rPr>
                <w:rFonts w:hint="eastAsia" w:ascii="宋体" w:hAnsi="宋体" w:cs="宋体"/>
                <w:bCs/>
                <w:kern w:val="0"/>
                <w:sz w:val="24"/>
              </w:rPr>
              <w:t>此处请粘贴法定代表人身份证复印件</w:t>
            </w:r>
          </w:p>
          <w:p w14:paraId="6D736889">
            <w:pPr>
              <w:widowControl/>
              <w:spacing w:line="480" w:lineRule="exact"/>
              <w:ind w:firstLine="482"/>
              <w:jc w:val="left"/>
              <w:rPr>
                <w:rFonts w:ascii="宋体" w:hAnsi="宋体" w:cs="宋体"/>
                <w:kern w:val="0"/>
                <w:sz w:val="24"/>
              </w:rPr>
            </w:pPr>
          </w:p>
          <w:p w14:paraId="29199192">
            <w:pPr>
              <w:widowControl/>
              <w:spacing w:line="480" w:lineRule="exact"/>
              <w:ind w:firstLine="482"/>
              <w:jc w:val="left"/>
              <w:rPr>
                <w:rFonts w:ascii="宋体" w:hAnsi="宋体" w:cs="宋体"/>
                <w:kern w:val="0"/>
                <w:sz w:val="24"/>
              </w:rPr>
            </w:pPr>
          </w:p>
        </w:tc>
      </w:tr>
    </w:tbl>
    <w:p w14:paraId="7B3734C3">
      <w:pPr>
        <w:widowControl/>
        <w:wordWrap w:val="0"/>
        <w:spacing w:beforeLines="100" w:afterLines="100" w:line="480" w:lineRule="exact"/>
        <w:ind w:firstLine="480"/>
        <w:jc w:val="center"/>
        <w:rPr>
          <w:rFonts w:ascii="宋体" w:hAnsi="宋体" w:cs="宋体"/>
          <w:b/>
          <w:kern w:val="0"/>
          <w:sz w:val="24"/>
        </w:rPr>
      </w:pPr>
    </w:p>
    <w:p w14:paraId="2CA3C586">
      <w:pPr>
        <w:widowControl/>
        <w:wordWrap w:val="0"/>
        <w:spacing w:beforeLines="100" w:afterLines="100" w:line="480" w:lineRule="exact"/>
        <w:ind w:firstLine="720"/>
        <w:jc w:val="center"/>
        <w:rPr>
          <w:rFonts w:ascii="宋体" w:hAnsi="宋体" w:cs="宋体"/>
          <w:b/>
          <w:kern w:val="0"/>
          <w:sz w:val="36"/>
          <w:szCs w:val="36"/>
        </w:rPr>
      </w:pPr>
    </w:p>
    <w:p w14:paraId="6203F9B6">
      <w:pPr>
        <w:widowControl/>
        <w:wordWrap w:val="0"/>
        <w:spacing w:beforeLines="100" w:afterLines="100" w:line="480" w:lineRule="exact"/>
        <w:ind w:firstLine="720"/>
        <w:jc w:val="center"/>
        <w:rPr>
          <w:rFonts w:ascii="宋体" w:hAnsi="宋体" w:cs="宋体"/>
          <w:b/>
          <w:kern w:val="0"/>
          <w:sz w:val="36"/>
          <w:szCs w:val="36"/>
        </w:rPr>
      </w:pPr>
    </w:p>
    <w:p w14:paraId="5A3ABA43">
      <w:pPr>
        <w:widowControl/>
        <w:wordWrap w:val="0"/>
        <w:spacing w:line="480" w:lineRule="exact"/>
        <w:ind w:firstLine="482"/>
        <w:jc w:val="right"/>
        <w:rPr>
          <w:rFonts w:ascii="宋体" w:hAnsi="宋体" w:cs="宋体"/>
          <w:kern w:val="0"/>
          <w:sz w:val="24"/>
        </w:rPr>
      </w:pPr>
    </w:p>
    <w:p w14:paraId="4226D732">
      <w:pPr>
        <w:widowControl/>
        <w:wordWrap w:val="0"/>
        <w:spacing w:line="480" w:lineRule="exact"/>
        <w:ind w:firstLine="482"/>
        <w:jc w:val="right"/>
        <w:rPr>
          <w:rFonts w:ascii="宋体" w:hAnsi="宋体" w:cs="宋体"/>
          <w:kern w:val="0"/>
          <w:sz w:val="24"/>
        </w:rPr>
      </w:pPr>
    </w:p>
    <w:p w14:paraId="2ED83689">
      <w:pPr>
        <w:widowControl/>
        <w:wordWrap w:val="0"/>
        <w:snapToGrid w:val="0"/>
        <w:spacing w:line="460" w:lineRule="exact"/>
        <w:ind w:firstLine="2760" w:firstLineChars="1150"/>
        <w:jc w:val="left"/>
        <w:rPr>
          <w:rFonts w:ascii="宋体" w:hAnsi="宋体" w:cs="宋体"/>
          <w:kern w:val="0"/>
          <w:sz w:val="24"/>
        </w:rPr>
      </w:pPr>
      <w:r>
        <w:rPr>
          <w:rFonts w:hint="eastAsia" w:ascii="宋体" w:hAnsi="宋体" w:cs="宋体"/>
          <w:kern w:val="0"/>
          <w:sz w:val="24"/>
        </w:rPr>
        <w:t>供应商：</w:t>
      </w:r>
      <w:r>
        <w:rPr>
          <w:rFonts w:hint="eastAsia" w:ascii="宋体" w:hAnsi="宋体" w:cs="宋体"/>
          <w:kern w:val="0"/>
          <w:sz w:val="24"/>
          <w:u w:val="single"/>
          <w:lang w:val="en-US" w:eastAsia="zh-CN"/>
        </w:rPr>
        <w:t xml:space="preserve">                  </w:t>
      </w:r>
      <w:r>
        <w:rPr>
          <w:rFonts w:hint="eastAsia" w:ascii="宋体" w:hAnsi="宋体" w:cs="宋体"/>
          <w:kern w:val="0"/>
          <w:sz w:val="24"/>
        </w:rPr>
        <w:t>（全称并加盖公章）</w:t>
      </w:r>
    </w:p>
    <w:p w14:paraId="37764DB5">
      <w:pPr>
        <w:widowControl/>
        <w:wordWrap w:val="0"/>
        <w:spacing w:line="460" w:lineRule="exact"/>
        <w:ind w:left="3780" w:leftChars="1800" w:firstLine="480" w:firstLineChars="200"/>
        <w:jc w:val="left"/>
        <w:rPr>
          <w:rFonts w:ascii="宋体" w:hAnsi="宋体" w:cs="宋体"/>
          <w:kern w:val="0"/>
          <w:sz w:val="24"/>
        </w:rPr>
      </w:pPr>
      <w:r>
        <w:rPr>
          <w:rFonts w:hint="eastAsia" w:ascii="宋体" w:hAnsi="宋体" w:cs="宋体"/>
          <w:kern w:val="0"/>
          <w:sz w:val="24"/>
        </w:rPr>
        <w:t>年    月    日</w:t>
      </w:r>
    </w:p>
    <w:p w14:paraId="7C7C0B30">
      <w:pPr>
        <w:ind w:firstLine="422"/>
        <w:rPr>
          <w:rFonts w:ascii="宋体" w:hAnsi="宋体" w:cs="宋体"/>
        </w:rPr>
      </w:pPr>
    </w:p>
    <w:p w14:paraId="22652886">
      <w:pPr>
        <w:ind w:firstLine="422"/>
        <w:rPr>
          <w:rFonts w:ascii="宋体" w:hAnsi="宋体" w:cs="宋体"/>
        </w:rPr>
      </w:pPr>
      <w:r>
        <w:rPr>
          <w:rFonts w:hint="eastAsia" w:ascii="宋体" w:hAnsi="宋体" w:cs="宋体"/>
        </w:rPr>
        <w:br w:type="page"/>
      </w:r>
    </w:p>
    <w:p w14:paraId="43A59FF9">
      <w:pPr>
        <w:pStyle w:val="2"/>
      </w:pPr>
      <w:bookmarkStart w:id="88" w:name="_Toc13976"/>
      <w:bookmarkStart w:id="89" w:name="_Toc30519"/>
      <w:bookmarkStart w:id="90" w:name="_Toc12939"/>
      <w:r>
        <w:rPr>
          <w:rFonts w:hint="eastAsia"/>
        </w:rPr>
        <w:t>附件8         法定代表人授权书（格式）</w:t>
      </w:r>
      <w:bookmarkEnd w:id="88"/>
      <w:bookmarkEnd w:id="89"/>
      <w:bookmarkEnd w:id="90"/>
    </w:p>
    <w:p w14:paraId="2229868A">
      <w:pPr>
        <w:widowControl/>
        <w:tabs>
          <w:tab w:val="left" w:pos="420"/>
          <w:tab w:val="left" w:pos="2160"/>
        </w:tabs>
        <w:wordWrap w:val="0"/>
        <w:spacing w:line="460" w:lineRule="exact"/>
        <w:ind w:firstLine="480" w:firstLineChars="200"/>
        <w:jc w:val="left"/>
        <w:rPr>
          <w:rFonts w:ascii="宋体" w:hAnsi="宋体" w:cs="宋体"/>
          <w:kern w:val="0"/>
          <w:sz w:val="24"/>
        </w:rPr>
      </w:pPr>
    </w:p>
    <w:p w14:paraId="509F91A0">
      <w:pPr>
        <w:widowControl/>
        <w:wordWrap w:val="0"/>
        <w:snapToGrid w:val="0"/>
        <w:spacing w:line="460" w:lineRule="exact"/>
        <w:ind w:firstLine="482"/>
        <w:jc w:val="left"/>
        <w:rPr>
          <w:rFonts w:ascii="宋体" w:hAnsi="宋体" w:cs="宋体"/>
          <w:b/>
          <w:bCs/>
          <w:kern w:val="0"/>
          <w:sz w:val="24"/>
        </w:rPr>
      </w:pPr>
      <w:r>
        <w:rPr>
          <w:rFonts w:hint="eastAsia" w:ascii="宋体" w:hAnsi="宋体" w:cs="宋体"/>
          <w:bCs/>
          <w:kern w:val="0"/>
          <w:sz w:val="24"/>
        </w:rPr>
        <w:t>致：</w:t>
      </w:r>
      <w:r>
        <w:rPr>
          <w:rFonts w:hint="eastAsia" w:ascii="宋体" w:hAnsi="宋体" w:cs="宋体"/>
          <w:kern w:val="0"/>
          <w:sz w:val="24"/>
        </w:rPr>
        <w:t>（采购人名称）：</w:t>
      </w:r>
    </w:p>
    <w:p w14:paraId="7E3D612A">
      <w:pPr>
        <w:widowControl/>
        <w:wordWrap w:val="0"/>
        <w:snapToGrid w:val="0"/>
        <w:spacing w:line="460" w:lineRule="exact"/>
        <w:ind w:firstLine="480" w:firstLineChars="200"/>
        <w:jc w:val="left"/>
        <w:rPr>
          <w:rFonts w:ascii="宋体" w:hAnsi="宋体" w:cs="宋体"/>
          <w:kern w:val="0"/>
          <w:sz w:val="24"/>
        </w:rPr>
      </w:pPr>
      <w:r>
        <w:rPr>
          <w:rFonts w:hint="eastAsia" w:ascii="宋体" w:hAnsi="宋体" w:cs="宋体"/>
          <w:kern w:val="0"/>
          <w:sz w:val="24"/>
        </w:rPr>
        <w:t>我（姓名）系（供应商名称）的法定代表人，现委托 （姓名）为我方代理人。代理人根据本授权，以我方的名义参加项目的投标活动，并代表我方全权办理针对上述项目的磋商、开标、评审、签约等具体事务和签署相关文件。</w:t>
      </w:r>
    </w:p>
    <w:p w14:paraId="41D7D7DB">
      <w:pPr>
        <w:widowControl/>
        <w:wordWrap w:val="0"/>
        <w:snapToGrid w:val="0"/>
        <w:spacing w:line="460" w:lineRule="exact"/>
        <w:ind w:firstLine="480" w:firstLineChars="200"/>
        <w:jc w:val="left"/>
        <w:rPr>
          <w:rFonts w:ascii="宋体" w:hAnsi="宋体" w:cs="宋体"/>
          <w:kern w:val="0"/>
          <w:sz w:val="24"/>
        </w:rPr>
      </w:pPr>
      <w:r>
        <w:rPr>
          <w:rFonts w:hint="eastAsia" w:ascii="宋体" w:hAnsi="宋体" w:cs="宋体"/>
          <w:kern w:val="0"/>
          <w:sz w:val="24"/>
        </w:rPr>
        <w:t>我方对代理人的签名负全部责任。在撤销授权的书面通知以前，本授权书一直有效。代理人在授权书有效期内签署的所有文件不因授权的撤销而失效。</w:t>
      </w:r>
    </w:p>
    <w:p w14:paraId="34B56450">
      <w:pPr>
        <w:widowControl/>
        <w:wordWrap w:val="0"/>
        <w:snapToGrid w:val="0"/>
        <w:spacing w:line="460" w:lineRule="exact"/>
        <w:ind w:firstLine="480" w:firstLineChars="200"/>
        <w:jc w:val="left"/>
        <w:rPr>
          <w:rFonts w:ascii="宋体" w:hAnsi="宋体" w:cs="宋体"/>
          <w:kern w:val="0"/>
          <w:sz w:val="24"/>
        </w:rPr>
      </w:pPr>
      <w:r>
        <w:rPr>
          <w:rFonts w:hint="eastAsia" w:ascii="宋体" w:hAnsi="宋体" w:cs="宋体"/>
          <w:kern w:val="0"/>
          <w:sz w:val="24"/>
        </w:rPr>
        <w:t>如果本次采购活动现场变更采购方式，本授权书有效。</w:t>
      </w:r>
    </w:p>
    <w:p w14:paraId="05655B7F">
      <w:pPr>
        <w:widowControl/>
        <w:wordWrap w:val="0"/>
        <w:snapToGrid w:val="0"/>
        <w:spacing w:line="460" w:lineRule="exact"/>
        <w:ind w:firstLine="480" w:firstLineChars="200"/>
        <w:jc w:val="left"/>
        <w:rPr>
          <w:rFonts w:ascii="宋体" w:hAnsi="宋体" w:cs="宋体"/>
          <w:kern w:val="0"/>
          <w:sz w:val="24"/>
        </w:rPr>
      </w:pPr>
      <w:r>
        <w:rPr>
          <w:rFonts w:hint="eastAsia" w:ascii="宋体" w:hAnsi="宋体" w:cs="宋体"/>
          <w:kern w:val="0"/>
          <w:sz w:val="24"/>
        </w:rPr>
        <w:t>代理人无转委托权。</w:t>
      </w:r>
    </w:p>
    <w:p w14:paraId="2BE4F497">
      <w:pPr>
        <w:widowControl/>
        <w:wordWrap w:val="0"/>
        <w:snapToGrid w:val="0"/>
        <w:spacing w:line="460" w:lineRule="exact"/>
        <w:ind w:firstLine="480" w:firstLineChars="200"/>
        <w:jc w:val="left"/>
        <w:rPr>
          <w:rFonts w:ascii="宋体" w:hAnsi="宋体" w:cs="宋体"/>
          <w:kern w:val="0"/>
          <w:sz w:val="24"/>
          <w:u w:val="single"/>
        </w:rPr>
      </w:pPr>
      <w:r>
        <w:rPr>
          <w:rFonts w:hint="eastAsia" w:ascii="宋体" w:hAnsi="宋体" w:cs="宋体"/>
          <w:kern w:val="0"/>
          <w:sz w:val="24"/>
        </w:rPr>
        <w:t>委托期限：</w:t>
      </w:r>
    </w:p>
    <w:p w14:paraId="06940F31">
      <w:pPr>
        <w:widowControl/>
        <w:wordWrap w:val="0"/>
        <w:snapToGrid w:val="0"/>
        <w:spacing w:line="460" w:lineRule="exact"/>
        <w:ind w:firstLine="480" w:firstLineChars="200"/>
        <w:jc w:val="left"/>
        <w:rPr>
          <w:rFonts w:ascii="宋体" w:hAnsi="宋体" w:cs="宋体"/>
          <w:kern w:val="0"/>
          <w:sz w:val="24"/>
        </w:rPr>
      </w:pPr>
    </w:p>
    <w:p w14:paraId="0DF92820">
      <w:pPr>
        <w:widowControl/>
        <w:wordWrap w:val="0"/>
        <w:snapToGrid w:val="0"/>
        <w:spacing w:line="460" w:lineRule="exact"/>
        <w:ind w:firstLine="480" w:firstLineChars="200"/>
        <w:jc w:val="left"/>
        <w:rPr>
          <w:rFonts w:ascii="宋体" w:hAnsi="宋体" w:cs="宋体"/>
          <w:kern w:val="0"/>
          <w:sz w:val="24"/>
          <w:u w:val="single"/>
        </w:rPr>
      </w:pPr>
      <w:r>
        <w:rPr>
          <w:rFonts w:hint="eastAsia" w:ascii="宋体" w:hAnsi="宋体" w:cs="宋体"/>
          <w:kern w:val="0"/>
          <w:sz w:val="24"/>
        </w:rPr>
        <w:t>委托代理人签名：             法定代表人签名或盖章：</w:t>
      </w:r>
    </w:p>
    <w:p w14:paraId="3A226FEF">
      <w:pPr>
        <w:widowControl/>
        <w:wordWrap w:val="0"/>
        <w:snapToGrid w:val="0"/>
        <w:spacing w:line="460" w:lineRule="exact"/>
        <w:ind w:firstLine="480" w:firstLineChars="200"/>
        <w:jc w:val="left"/>
        <w:rPr>
          <w:rFonts w:ascii="宋体" w:hAnsi="宋体" w:cs="宋体"/>
          <w:kern w:val="0"/>
          <w:sz w:val="24"/>
        </w:rPr>
      </w:pPr>
      <w:r>
        <w:rPr>
          <w:rFonts w:hint="eastAsia" w:ascii="宋体" w:hAnsi="宋体" w:cs="宋体"/>
          <w:kern w:val="0"/>
          <w:sz w:val="24"/>
        </w:rPr>
        <w:t>职务：                       职务：</w:t>
      </w:r>
    </w:p>
    <w:tbl>
      <w:tblPr>
        <w:tblStyle w:val="34"/>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4F816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640B4FD0">
            <w:pPr>
              <w:widowControl/>
              <w:spacing w:line="480" w:lineRule="exact"/>
              <w:ind w:firstLine="482"/>
              <w:jc w:val="left"/>
              <w:rPr>
                <w:rFonts w:ascii="宋体" w:hAnsi="宋体" w:cs="宋体"/>
                <w:kern w:val="0"/>
                <w:sz w:val="24"/>
              </w:rPr>
            </w:pPr>
            <w:r>
              <w:rPr>
                <w:rFonts w:hint="eastAsia" w:ascii="宋体" w:hAnsi="宋体" w:cs="宋体"/>
                <w:bCs/>
                <w:kern w:val="0"/>
                <w:sz w:val="24"/>
              </w:rPr>
              <w:t>此处请粘贴</w:t>
            </w:r>
            <w:r>
              <w:rPr>
                <w:rFonts w:hint="eastAsia" w:ascii="宋体" w:hAnsi="宋体" w:cs="宋体"/>
                <w:kern w:val="0"/>
                <w:sz w:val="24"/>
              </w:rPr>
              <w:t>委托代理人</w:t>
            </w:r>
            <w:r>
              <w:rPr>
                <w:rFonts w:hint="eastAsia" w:ascii="宋体" w:hAnsi="宋体" w:cs="宋体"/>
                <w:bCs/>
                <w:kern w:val="0"/>
                <w:sz w:val="24"/>
              </w:rPr>
              <w:t>身份证复印件</w:t>
            </w:r>
          </w:p>
        </w:tc>
      </w:tr>
    </w:tbl>
    <w:p w14:paraId="30A6EB32">
      <w:pPr>
        <w:widowControl/>
        <w:wordWrap w:val="0"/>
        <w:snapToGrid w:val="0"/>
        <w:spacing w:line="460" w:lineRule="exact"/>
        <w:ind w:firstLine="480" w:firstLineChars="200"/>
        <w:jc w:val="left"/>
        <w:rPr>
          <w:rFonts w:ascii="宋体" w:hAnsi="宋体" w:cs="宋体"/>
          <w:kern w:val="0"/>
          <w:sz w:val="24"/>
        </w:rPr>
      </w:pPr>
      <w:r>
        <w:rPr>
          <w:rFonts w:hint="eastAsia" w:ascii="宋体" w:hAnsi="宋体" w:cs="宋体"/>
          <w:kern w:val="0"/>
          <w:sz w:val="24"/>
        </w:rPr>
        <w:t>委托代理人身份证号码：</w:t>
      </w:r>
    </w:p>
    <w:p w14:paraId="3F2B5D1A">
      <w:pPr>
        <w:widowControl/>
        <w:wordWrap w:val="0"/>
        <w:spacing w:line="460" w:lineRule="exact"/>
        <w:ind w:firstLine="4800" w:firstLineChars="2000"/>
        <w:jc w:val="left"/>
        <w:rPr>
          <w:rFonts w:ascii="宋体" w:hAnsi="宋体" w:cs="宋体"/>
          <w:kern w:val="0"/>
          <w:sz w:val="24"/>
        </w:rPr>
      </w:pPr>
    </w:p>
    <w:p w14:paraId="0E13F02F">
      <w:pPr>
        <w:widowControl/>
        <w:wordWrap w:val="0"/>
        <w:spacing w:line="360" w:lineRule="auto"/>
        <w:ind w:firstLine="482"/>
        <w:jc w:val="center"/>
        <w:rPr>
          <w:rFonts w:ascii="宋体" w:hAnsi="宋体" w:cs="宋体"/>
          <w:kern w:val="0"/>
          <w:sz w:val="24"/>
        </w:rPr>
      </w:pPr>
    </w:p>
    <w:p w14:paraId="3D082451">
      <w:pPr>
        <w:widowControl/>
        <w:wordWrap w:val="0"/>
        <w:spacing w:line="360" w:lineRule="auto"/>
        <w:ind w:firstLine="482"/>
        <w:jc w:val="right"/>
        <w:rPr>
          <w:rFonts w:ascii="宋体" w:hAnsi="宋体" w:cs="宋体"/>
          <w:kern w:val="0"/>
          <w:sz w:val="24"/>
        </w:rPr>
      </w:pPr>
    </w:p>
    <w:p w14:paraId="3188C57D">
      <w:pPr>
        <w:widowControl/>
        <w:wordWrap w:val="0"/>
        <w:spacing w:line="360" w:lineRule="auto"/>
        <w:ind w:firstLine="482"/>
        <w:jc w:val="right"/>
        <w:rPr>
          <w:rFonts w:ascii="宋体" w:hAnsi="宋体" w:cs="宋体"/>
          <w:kern w:val="0"/>
          <w:sz w:val="24"/>
        </w:rPr>
      </w:pPr>
    </w:p>
    <w:p w14:paraId="575F89A6">
      <w:pPr>
        <w:widowControl/>
        <w:wordWrap w:val="0"/>
        <w:spacing w:line="360" w:lineRule="auto"/>
        <w:ind w:firstLine="482"/>
        <w:jc w:val="right"/>
        <w:rPr>
          <w:rFonts w:ascii="宋体" w:hAnsi="宋体" w:cs="宋体"/>
          <w:kern w:val="0"/>
          <w:sz w:val="24"/>
        </w:rPr>
      </w:pPr>
    </w:p>
    <w:p w14:paraId="1117CFC9">
      <w:pPr>
        <w:widowControl/>
        <w:wordWrap w:val="0"/>
        <w:spacing w:line="360" w:lineRule="auto"/>
        <w:ind w:firstLine="482"/>
        <w:jc w:val="right"/>
        <w:rPr>
          <w:rFonts w:ascii="宋体" w:hAnsi="宋体" w:cs="宋体"/>
          <w:kern w:val="0"/>
          <w:sz w:val="24"/>
        </w:rPr>
      </w:pPr>
    </w:p>
    <w:p w14:paraId="6D9D3C4D">
      <w:pPr>
        <w:widowControl/>
        <w:wordWrap w:val="0"/>
        <w:spacing w:line="360" w:lineRule="auto"/>
        <w:ind w:firstLine="482"/>
        <w:jc w:val="right"/>
        <w:rPr>
          <w:rFonts w:ascii="宋体" w:hAnsi="宋体" w:cs="宋体"/>
          <w:kern w:val="0"/>
          <w:sz w:val="24"/>
        </w:rPr>
      </w:pPr>
    </w:p>
    <w:p w14:paraId="11D1F7BA">
      <w:pPr>
        <w:widowControl/>
        <w:spacing w:line="360" w:lineRule="auto"/>
        <w:ind w:firstLine="482"/>
        <w:jc w:val="center"/>
        <w:rPr>
          <w:rFonts w:ascii="宋体" w:hAnsi="宋体" w:cs="宋体"/>
          <w:kern w:val="0"/>
          <w:sz w:val="24"/>
        </w:rPr>
      </w:pPr>
      <w:r>
        <w:rPr>
          <w:rFonts w:hint="eastAsia" w:ascii="宋体" w:hAnsi="宋体" w:cs="宋体"/>
          <w:kern w:val="0"/>
          <w:sz w:val="24"/>
        </w:rPr>
        <w:t>供应商：</w:t>
      </w:r>
      <w:r>
        <w:rPr>
          <w:rFonts w:hint="eastAsia" w:ascii="宋体" w:hAnsi="宋体" w:cs="宋体"/>
          <w:kern w:val="0"/>
          <w:sz w:val="24"/>
          <w:u w:val="single"/>
          <w:lang w:val="en-US" w:eastAsia="zh-CN"/>
        </w:rPr>
        <w:t xml:space="preserve">                </w:t>
      </w:r>
      <w:r>
        <w:rPr>
          <w:rFonts w:hint="eastAsia" w:ascii="宋体" w:hAnsi="宋体" w:cs="宋体"/>
          <w:kern w:val="0"/>
          <w:sz w:val="24"/>
        </w:rPr>
        <w:t>（全称并加盖公章）</w:t>
      </w:r>
    </w:p>
    <w:p w14:paraId="37482E74">
      <w:pPr>
        <w:widowControl/>
        <w:wordWrap w:val="0"/>
        <w:spacing w:line="460" w:lineRule="exact"/>
        <w:ind w:firstLine="3840" w:firstLineChars="1600"/>
        <w:jc w:val="left"/>
        <w:rPr>
          <w:rFonts w:ascii="宋体" w:hAnsi="宋体" w:cs="宋体"/>
          <w:b/>
          <w:kern w:val="0"/>
          <w:sz w:val="32"/>
          <w:szCs w:val="32"/>
        </w:rPr>
      </w:pPr>
      <w:r>
        <w:rPr>
          <w:rFonts w:hint="eastAsia" w:ascii="宋体" w:hAnsi="宋体" w:cs="宋体"/>
          <w:kern w:val="0"/>
          <w:sz w:val="24"/>
        </w:rPr>
        <w:t>年    月    日</w:t>
      </w:r>
    </w:p>
    <w:p w14:paraId="1BD2B3BF">
      <w:pPr>
        <w:widowControl/>
        <w:spacing w:line="360" w:lineRule="auto"/>
        <w:ind w:firstLine="7228" w:firstLineChars="2250"/>
        <w:jc w:val="left"/>
        <w:rPr>
          <w:rFonts w:ascii="宋体" w:hAnsi="宋体" w:cs="宋体"/>
          <w:b/>
          <w:kern w:val="0"/>
          <w:sz w:val="32"/>
          <w:szCs w:val="32"/>
        </w:rPr>
      </w:pPr>
    </w:p>
    <w:p w14:paraId="3F66D892">
      <w:pPr>
        <w:ind w:firstLine="643"/>
        <w:rPr>
          <w:rFonts w:ascii="宋体" w:hAnsi="宋体" w:cs="宋体"/>
          <w:b/>
          <w:kern w:val="0"/>
          <w:sz w:val="32"/>
          <w:szCs w:val="32"/>
        </w:rPr>
      </w:pPr>
      <w:r>
        <w:rPr>
          <w:rFonts w:hint="eastAsia" w:ascii="宋体" w:hAnsi="宋体" w:cs="宋体"/>
          <w:b/>
          <w:kern w:val="0"/>
          <w:sz w:val="32"/>
          <w:szCs w:val="32"/>
        </w:rPr>
        <w:br w:type="page"/>
      </w:r>
    </w:p>
    <w:p w14:paraId="6DB6A875">
      <w:pPr>
        <w:pStyle w:val="2"/>
      </w:pPr>
      <w:bookmarkStart w:id="91" w:name="_Toc3342"/>
      <w:bookmarkStart w:id="92" w:name="_Toc18105"/>
      <w:bookmarkStart w:id="93" w:name="_Toc24693"/>
      <w:r>
        <w:rPr>
          <w:rFonts w:hint="eastAsia"/>
        </w:rPr>
        <w:t>附件9          证明文件</w:t>
      </w:r>
      <w:bookmarkEnd w:id="91"/>
      <w:bookmarkEnd w:id="92"/>
      <w:bookmarkEnd w:id="93"/>
    </w:p>
    <w:p w14:paraId="54289CC6">
      <w:pPr>
        <w:pStyle w:val="13"/>
        <w:spacing w:beforeAutospacing="0" w:afterAutospacing="0" w:line="480" w:lineRule="auto"/>
        <w:ind w:firstLine="472" w:firstLineChars="224"/>
        <w:jc w:val="both"/>
        <w:rPr>
          <w:b/>
          <w:sz w:val="21"/>
          <w:szCs w:val="21"/>
        </w:rPr>
      </w:pPr>
      <w:bookmarkStart w:id="94" w:name="_Toc17966"/>
    </w:p>
    <w:p w14:paraId="3E345387">
      <w:pPr>
        <w:pStyle w:val="13"/>
        <w:spacing w:beforeAutospacing="0" w:afterAutospacing="0" w:line="480" w:lineRule="auto"/>
        <w:ind w:firstLine="472" w:firstLineChars="224"/>
        <w:jc w:val="both"/>
        <w:rPr>
          <w:b/>
          <w:sz w:val="21"/>
          <w:szCs w:val="21"/>
        </w:rPr>
      </w:pPr>
      <w:r>
        <w:rPr>
          <w:rFonts w:hint="eastAsia"/>
          <w:b/>
          <w:sz w:val="21"/>
          <w:szCs w:val="21"/>
        </w:rPr>
        <w:t>9.1资格审查资料</w:t>
      </w:r>
    </w:p>
    <w:p w14:paraId="512674F3">
      <w:pPr>
        <w:pStyle w:val="13"/>
        <w:spacing w:beforeAutospacing="0" w:afterAutospacing="0" w:line="480" w:lineRule="auto"/>
        <w:ind w:firstLine="470" w:firstLineChars="224"/>
        <w:jc w:val="both"/>
        <w:rPr>
          <w:bCs/>
          <w:sz w:val="21"/>
          <w:szCs w:val="21"/>
        </w:rPr>
      </w:pPr>
    </w:p>
    <w:p w14:paraId="575B944F">
      <w:pPr>
        <w:pStyle w:val="13"/>
        <w:spacing w:beforeAutospacing="0" w:afterAutospacing="0" w:line="480" w:lineRule="auto"/>
        <w:ind w:firstLine="470" w:firstLineChars="224"/>
        <w:jc w:val="both"/>
        <w:rPr>
          <w:bCs/>
          <w:sz w:val="21"/>
          <w:szCs w:val="21"/>
        </w:rPr>
      </w:pPr>
    </w:p>
    <w:p w14:paraId="4F8B8BAF">
      <w:pPr>
        <w:pStyle w:val="13"/>
        <w:spacing w:beforeAutospacing="0" w:afterAutospacing="0" w:line="480" w:lineRule="auto"/>
        <w:ind w:firstLine="472" w:firstLineChars="224"/>
        <w:jc w:val="both"/>
        <w:rPr>
          <w:b/>
          <w:sz w:val="21"/>
          <w:szCs w:val="21"/>
        </w:rPr>
      </w:pPr>
      <w:r>
        <w:rPr>
          <w:rFonts w:hint="eastAsia"/>
          <w:b/>
          <w:sz w:val="21"/>
          <w:szCs w:val="21"/>
        </w:rPr>
        <w:t>9.2评分标准中需提供的证明材料</w:t>
      </w:r>
    </w:p>
    <w:p w14:paraId="022617F2">
      <w:pPr>
        <w:pStyle w:val="13"/>
        <w:spacing w:beforeAutospacing="0" w:afterAutospacing="0" w:line="480" w:lineRule="auto"/>
        <w:ind w:firstLine="470" w:firstLineChars="224"/>
        <w:jc w:val="both"/>
        <w:rPr>
          <w:bCs/>
          <w:sz w:val="21"/>
          <w:szCs w:val="21"/>
        </w:rPr>
      </w:pPr>
    </w:p>
    <w:p w14:paraId="3F814FD0">
      <w:pPr>
        <w:pStyle w:val="13"/>
        <w:spacing w:beforeAutospacing="0" w:afterAutospacing="0" w:line="480" w:lineRule="auto"/>
        <w:ind w:firstLine="470" w:firstLineChars="224"/>
        <w:jc w:val="both"/>
        <w:rPr>
          <w:bCs/>
          <w:sz w:val="21"/>
          <w:szCs w:val="21"/>
        </w:rPr>
      </w:pPr>
    </w:p>
    <w:p w14:paraId="4FBF8870">
      <w:pPr>
        <w:pStyle w:val="13"/>
        <w:spacing w:beforeAutospacing="0" w:afterAutospacing="0" w:line="480" w:lineRule="auto"/>
        <w:ind w:firstLine="472" w:firstLineChars="224"/>
        <w:jc w:val="both"/>
        <w:rPr>
          <w:b/>
          <w:sz w:val="21"/>
          <w:szCs w:val="21"/>
        </w:rPr>
      </w:pPr>
      <w:r>
        <w:rPr>
          <w:rFonts w:hint="eastAsia"/>
          <w:b/>
          <w:sz w:val="21"/>
          <w:szCs w:val="21"/>
        </w:rPr>
        <w:t>9.3 供应商认为其他需要提供的证明材料</w:t>
      </w:r>
    </w:p>
    <w:p w14:paraId="203C5821">
      <w:pPr>
        <w:pStyle w:val="13"/>
        <w:spacing w:beforeAutospacing="0" w:afterAutospacing="0" w:line="480" w:lineRule="auto"/>
        <w:ind w:firstLine="540" w:firstLineChars="224"/>
        <w:jc w:val="both"/>
        <w:rPr>
          <w:b/>
          <w:bCs/>
        </w:rPr>
      </w:pPr>
    </w:p>
    <w:p w14:paraId="4A8D23B2">
      <w:pPr>
        <w:pStyle w:val="13"/>
        <w:spacing w:beforeAutospacing="0" w:afterAutospacing="0" w:line="480" w:lineRule="auto"/>
        <w:ind w:firstLine="540" w:firstLineChars="224"/>
        <w:jc w:val="both"/>
        <w:rPr>
          <w:b/>
          <w:bCs/>
        </w:rPr>
      </w:pPr>
    </w:p>
    <w:p w14:paraId="12DE1DB5">
      <w:pPr>
        <w:pStyle w:val="13"/>
        <w:spacing w:beforeAutospacing="0" w:afterAutospacing="0" w:line="480" w:lineRule="auto"/>
        <w:ind w:firstLine="540" w:firstLineChars="224"/>
        <w:jc w:val="both"/>
        <w:rPr>
          <w:b/>
          <w:bCs/>
        </w:rPr>
      </w:pPr>
    </w:p>
    <w:p w14:paraId="40064CE1">
      <w:pPr>
        <w:pStyle w:val="13"/>
        <w:spacing w:beforeAutospacing="0" w:afterAutospacing="0" w:line="480" w:lineRule="auto"/>
        <w:ind w:firstLine="540" w:firstLineChars="224"/>
        <w:jc w:val="both"/>
        <w:rPr>
          <w:b/>
          <w:bCs/>
        </w:rPr>
      </w:pPr>
    </w:p>
    <w:p w14:paraId="12F29492">
      <w:pPr>
        <w:pStyle w:val="13"/>
        <w:spacing w:beforeAutospacing="0" w:afterAutospacing="0" w:line="480" w:lineRule="auto"/>
        <w:ind w:firstLine="540" w:firstLineChars="224"/>
        <w:jc w:val="both"/>
        <w:rPr>
          <w:b/>
          <w:bCs/>
        </w:rPr>
      </w:pPr>
    </w:p>
    <w:p w14:paraId="27E904B0">
      <w:pPr>
        <w:pStyle w:val="13"/>
        <w:spacing w:beforeAutospacing="0" w:afterAutospacing="0" w:line="480" w:lineRule="auto"/>
        <w:ind w:firstLine="540" w:firstLineChars="224"/>
        <w:jc w:val="both"/>
        <w:rPr>
          <w:b/>
          <w:bCs/>
        </w:rPr>
      </w:pPr>
    </w:p>
    <w:p w14:paraId="565AC856">
      <w:pPr>
        <w:pStyle w:val="13"/>
        <w:spacing w:beforeAutospacing="0" w:afterAutospacing="0" w:line="480" w:lineRule="auto"/>
        <w:ind w:firstLine="540" w:firstLineChars="224"/>
        <w:jc w:val="both"/>
        <w:rPr>
          <w:b/>
          <w:bCs/>
        </w:rPr>
      </w:pPr>
    </w:p>
    <w:p w14:paraId="5E35566B">
      <w:pPr>
        <w:pStyle w:val="13"/>
        <w:spacing w:beforeAutospacing="0" w:afterAutospacing="0" w:line="480" w:lineRule="auto"/>
        <w:ind w:firstLine="540" w:firstLineChars="224"/>
        <w:jc w:val="both"/>
        <w:rPr>
          <w:b/>
          <w:bCs/>
        </w:rPr>
      </w:pPr>
    </w:p>
    <w:p w14:paraId="08069139">
      <w:pPr>
        <w:pStyle w:val="13"/>
        <w:spacing w:beforeAutospacing="0" w:afterAutospacing="0" w:line="480" w:lineRule="auto"/>
        <w:ind w:firstLine="540" w:firstLineChars="224"/>
        <w:jc w:val="both"/>
        <w:rPr>
          <w:b/>
          <w:bCs/>
        </w:rPr>
      </w:pPr>
    </w:p>
    <w:p w14:paraId="1B56B8A2">
      <w:pPr>
        <w:pStyle w:val="13"/>
        <w:spacing w:beforeAutospacing="0" w:afterAutospacing="0" w:line="480" w:lineRule="auto"/>
        <w:ind w:firstLine="540" w:firstLineChars="224"/>
        <w:jc w:val="both"/>
        <w:rPr>
          <w:b/>
          <w:bCs/>
        </w:rPr>
      </w:pPr>
    </w:p>
    <w:p w14:paraId="1861204E">
      <w:pPr>
        <w:pStyle w:val="13"/>
        <w:spacing w:beforeAutospacing="0" w:afterAutospacing="0" w:line="480" w:lineRule="auto"/>
        <w:ind w:firstLine="540" w:firstLineChars="224"/>
        <w:jc w:val="both"/>
        <w:rPr>
          <w:b/>
          <w:bCs/>
        </w:rPr>
      </w:pPr>
    </w:p>
    <w:p w14:paraId="2A0DEC22">
      <w:pPr>
        <w:pStyle w:val="13"/>
        <w:spacing w:beforeAutospacing="0" w:afterAutospacing="0" w:line="480" w:lineRule="auto"/>
        <w:ind w:firstLine="540" w:firstLineChars="224"/>
        <w:jc w:val="both"/>
        <w:rPr>
          <w:b/>
          <w:bCs/>
        </w:rPr>
      </w:pPr>
    </w:p>
    <w:p w14:paraId="500D328C">
      <w:pPr>
        <w:pStyle w:val="2"/>
      </w:pPr>
      <w:bookmarkStart w:id="95" w:name="_Toc13726"/>
      <w:bookmarkStart w:id="96" w:name="_Toc16083"/>
      <w:bookmarkStart w:id="97" w:name="_Toc12888"/>
      <w:r>
        <w:rPr>
          <w:rFonts w:hint="eastAsia"/>
        </w:rPr>
        <w:t xml:space="preserve">附件10      </w:t>
      </w:r>
      <w:bookmarkEnd w:id="94"/>
      <w:r>
        <w:rPr>
          <w:rFonts w:hint="eastAsia"/>
        </w:rPr>
        <w:t>供 应 商 承 诺 书 （格式）</w:t>
      </w:r>
      <w:bookmarkEnd w:id="95"/>
      <w:bookmarkEnd w:id="96"/>
      <w:bookmarkEnd w:id="97"/>
    </w:p>
    <w:p w14:paraId="31381F23">
      <w:pPr>
        <w:ind w:firstLine="422"/>
        <w:rPr>
          <w:rFonts w:ascii="宋体" w:hAnsi="宋体" w:cs="宋体"/>
        </w:rPr>
      </w:pPr>
    </w:p>
    <w:p w14:paraId="5A9A15FA">
      <w:pPr>
        <w:snapToGrid w:val="0"/>
        <w:spacing w:line="480" w:lineRule="auto"/>
        <w:ind w:firstLine="422"/>
        <w:rPr>
          <w:rFonts w:ascii="宋体" w:hAnsi="宋体" w:cs="宋体"/>
          <w:szCs w:val="21"/>
        </w:rPr>
      </w:pPr>
      <w:r>
        <w:rPr>
          <w:rFonts w:hint="eastAsia" w:ascii="宋体" w:hAnsi="宋体" w:cs="宋体"/>
          <w:szCs w:val="21"/>
        </w:rPr>
        <w:t>我院（以下简称甲方）组织的本次采购，在遵守《招标投标法》、《政府采购法》、《合同法》、《反不正当竞争法》和《关于推进招投标监督领域诚信建设的意见》等法律法规的基础上，要求贵方（以下简称乙方）做出如下承诺：</w:t>
      </w:r>
    </w:p>
    <w:p w14:paraId="502A8C37">
      <w:pPr>
        <w:snapToGrid w:val="0"/>
        <w:spacing w:line="480" w:lineRule="auto"/>
        <w:ind w:firstLine="422"/>
        <w:rPr>
          <w:rFonts w:ascii="宋体" w:hAnsi="宋体" w:cs="宋体"/>
          <w:szCs w:val="21"/>
        </w:rPr>
      </w:pPr>
      <w:r>
        <w:rPr>
          <w:rFonts w:hint="eastAsia" w:ascii="宋体" w:hAnsi="宋体" w:cs="宋体"/>
          <w:szCs w:val="21"/>
        </w:rPr>
        <w:t>1、遵循公开、公平、公正和诚实信用的原则自愿参加，所提供的一切材料真实、有效、合法。</w:t>
      </w:r>
    </w:p>
    <w:p w14:paraId="41CA4F8A">
      <w:pPr>
        <w:snapToGrid w:val="0"/>
        <w:spacing w:line="480" w:lineRule="auto"/>
        <w:ind w:firstLine="422"/>
        <w:rPr>
          <w:rFonts w:ascii="宋体" w:hAnsi="宋体" w:cs="宋体"/>
          <w:szCs w:val="21"/>
        </w:rPr>
      </w:pPr>
      <w:r>
        <w:rPr>
          <w:rFonts w:hint="eastAsia" w:ascii="宋体" w:hAnsi="宋体" w:cs="宋体"/>
          <w:szCs w:val="21"/>
        </w:rPr>
        <w:t>2、遵守甲方采购纪律，诚实守信地为甲方提供安全可靠的产品、服务及相关技术，保证质量并主动做好售后服务工作。</w:t>
      </w:r>
    </w:p>
    <w:p w14:paraId="6BF51891">
      <w:pPr>
        <w:snapToGrid w:val="0"/>
        <w:spacing w:line="480" w:lineRule="auto"/>
        <w:ind w:firstLine="422"/>
        <w:rPr>
          <w:rFonts w:ascii="宋体" w:hAnsi="宋体" w:cs="宋体"/>
          <w:szCs w:val="21"/>
        </w:rPr>
      </w:pPr>
      <w:r>
        <w:rPr>
          <w:rFonts w:hint="eastAsia" w:ascii="宋体" w:hAnsi="宋体" w:cs="宋体"/>
          <w:szCs w:val="21"/>
        </w:rPr>
        <w:t>3、杜绝利用提供财物或给予其他不正当利益谋取中标的不良行为。</w:t>
      </w:r>
    </w:p>
    <w:p w14:paraId="56A87816">
      <w:pPr>
        <w:snapToGrid w:val="0"/>
        <w:spacing w:line="480" w:lineRule="auto"/>
        <w:ind w:firstLine="422"/>
        <w:rPr>
          <w:rFonts w:ascii="宋体" w:hAnsi="宋体" w:cs="宋体"/>
          <w:szCs w:val="21"/>
        </w:rPr>
      </w:pPr>
      <w:r>
        <w:rPr>
          <w:rFonts w:hint="eastAsia" w:ascii="宋体" w:hAnsi="宋体" w:cs="宋体"/>
          <w:szCs w:val="21"/>
        </w:rPr>
        <w:t>4、不发生其他任何可能影响甲方工作人员公正执行公务或者职务廉洁的行为。</w:t>
      </w:r>
    </w:p>
    <w:p w14:paraId="69606368">
      <w:pPr>
        <w:snapToGrid w:val="0"/>
        <w:spacing w:line="480" w:lineRule="auto"/>
        <w:ind w:firstLine="422"/>
        <w:rPr>
          <w:rFonts w:ascii="宋体" w:hAnsi="宋体" w:cs="宋体"/>
          <w:szCs w:val="21"/>
        </w:rPr>
      </w:pPr>
      <w:r>
        <w:rPr>
          <w:rFonts w:hint="eastAsia" w:ascii="宋体" w:hAnsi="宋体" w:cs="宋体"/>
          <w:szCs w:val="21"/>
        </w:rPr>
        <w:t>5、不参与串标、围标或其他不正当竞争行为；杜绝以虚报资质、业绩或其他弄虚作假等方式骗取中标。</w:t>
      </w:r>
    </w:p>
    <w:p w14:paraId="782D1C81">
      <w:pPr>
        <w:snapToGrid w:val="0"/>
        <w:spacing w:line="480" w:lineRule="auto"/>
        <w:ind w:firstLine="422"/>
        <w:rPr>
          <w:rFonts w:ascii="宋体" w:hAnsi="宋体" w:cs="宋体"/>
          <w:szCs w:val="21"/>
        </w:rPr>
      </w:pPr>
      <w:r>
        <w:rPr>
          <w:rFonts w:hint="eastAsia" w:ascii="宋体" w:hAnsi="宋体" w:cs="宋体"/>
          <w:szCs w:val="21"/>
        </w:rPr>
        <w:t>6、响应时，杜绝擅自修改采购文件或技术标准（包括差异表）技术配置的行为。</w:t>
      </w:r>
    </w:p>
    <w:p w14:paraId="4F26BE9B">
      <w:pPr>
        <w:snapToGrid w:val="0"/>
        <w:spacing w:line="480" w:lineRule="auto"/>
        <w:ind w:firstLine="422"/>
        <w:rPr>
          <w:rFonts w:ascii="宋体" w:hAnsi="宋体" w:cs="宋体"/>
          <w:szCs w:val="21"/>
        </w:rPr>
      </w:pPr>
      <w:r>
        <w:rPr>
          <w:rFonts w:hint="eastAsia" w:ascii="宋体" w:hAnsi="宋体" w:cs="宋体"/>
          <w:szCs w:val="21"/>
        </w:rPr>
        <w:t>7、严格按照采购、响应文件要求签订合同，不违反法律无故拒签合同，不签订背离合同（或技术协议书）实质性内容的协议。</w:t>
      </w:r>
    </w:p>
    <w:p w14:paraId="5D167E3F">
      <w:pPr>
        <w:snapToGrid w:val="0"/>
        <w:spacing w:line="480" w:lineRule="auto"/>
        <w:ind w:firstLine="422"/>
        <w:rPr>
          <w:rFonts w:ascii="宋体" w:hAnsi="宋体" w:cs="宋体"/>
          <w:szCs w:val="21"/>
        </w:rPr>
      </w:pPr>
    </w:p>
    <w:p w14:paraId="331DC7D7">
      <w:pPr>
        <w:snapToGrid w:val="0"/>
        <w:spacing w:line="480" w:lineRule="auto"/>
        <w:ind w:firstLine="422"/>
        <w:rPr>
          <w:rFonts w:ascii="宋体" w:hAnsi="宋体" w:cs="宋体"/>
          <w:szCs w:val="21"/>
        </w:rPr>
      </w:pPr>
      <w:r>
        <w:rPr>
          <w:rFonts w:hint="eastAsia" w:ascii="宋体" w:hAnsi="宋体" w:cs="宋体"/>
          <w:szCs w:val="21"/>
        </w:rPr>
        <w:t>供应商：</w:t>
      </w:r>
      <w:r>
        <w:rPr>
          <w:rFonts w:hint="eastAsia" w:ascii="宋体" w:hAnsi="宋体" w:cs="宋体"/>
          <w:szCs w:val="21"/>
          <w:u w:val="single"/>
          <w:lang w:val="en-US" w:eastAsia="zh-CN"/>
        </w:rPr>
        <w:t xml:space="preserve">                    </w:t>
      </w:r>
      <w:r>
        <w:rPr>
          <w:rFonts w:hint="eastAsia" w:ascii="宋体" w:hAnsi="宋体" w:cs="宋体"/>
          <w:szCs w:val="21"/>
        </w:rPr>
        <w:t>（全称并加盖公章）</w:t>
      </w:r>
    </w:p>
    <w:p w14:paraId="31815984">
      <w:pPr>
        <w:snapToGrid w:val="0"/>
        <w:spacing w:line="480" w:lineRule="auto"/>
        <w:ind w:firstLine="422"/>
        <w:rPr>
          <w:rFonts w:ascii="宋体" w:hAnsi="宋体" w:cs="宋体"/>
          <w:szCs w:val="21"/>
        </w:rPr>
      </w:pPr>
      <w:r>
        <w:rPr>
          <w:rFonts w:hint="eastAsia" w:ascii="宋体" w:hAnsi="宋体" w:cs="宋体"/>
          <w:szCs w:val="21"/>
        </w:rPr>
        <w:t xml:space="preserve">法定代表人或委托人（签字或盖章）：            </w:t>
      </w:r>
    </w:p>
    <w:p w14:paraId="5894E548">
      <w:pPr>
        <w:snapToGrid w:val="0"/>
        <w:spacing w:line="480" w:lineRule="auto"/>
        <w:ind w:firstLine="422"/>
        <w:rPr>
          <w:rFonts w:ascii="宋体" w:hAnsi="宋体" w:cs="宋体"/>
          <w:sz w:val="28"/>
          <w:szCs w:val="28"/>
        </w:rPr>
      </w:pPr>
      <w:r>
        <w:rPr>
          <w:rFonts w:hint="eastAsia" w:ascii="宋体" w:hAnsi="宋体" w:cs="宋体"/>
          <w:szCs w:val="21"/>
        </w:rPr>
        <w:t xml:space="preserve">       年   月   日</w:t>
      </w:r>
    </w:p>
    <w:p w14:paraId="6B7CD74C">
      <w:pPr>
        <w:widowControl/>
        <w:spacing w:line="360" w:lineRule="auto"/>
        <w:ind w:firstLine="4305" w:firstLineChars="2050"/>
        <w:jc w:val="left"/>
        <w:rPr>
          <w:rFonts w:ascii="宋体" w:hAnsi="宋体" w:cs="宋体"/>
          <w:kern w:val="0"/>
          <w:szCs w:val="21"/>
        </w:rPr>
      </w:pPr>
    </w:p>
    <w:p w14:paraId="64CA7BE8">
      <w:pPr>
        <w:pStyle w:val="33"/>
        <w:ind w:firstLine="210"/>
        <w:rPr>
          <w:rFonts w:ascii="宋体" w:hAnsi="宋体" w:cs="宋体"/>
          <w:kern w:val="0"/>
        </w:rPr>
      </w:pPr>
    </w:p>
    <w:p w14:paraId="7D2F54BB">
      <w:pPr>
        <w:pStyle w:val="7"/>
        <w:ind w:firstLine="480"/>
        <w:rPr>
          <w:szCs w:val="21"/>
        </w:rPr>
      </w:pPr>
    </w:p>
    <w:p w14:paraId="4B0F2F78">
      <w:pPr>
        <w:pStyle w:val="13"/>
        <w:ind w:firstLine="482"/>
      </w:pPr>
    </w:p>
    <w:p w14:paraId="1331CF03">
      <w:pPr>
        <w:pStyle w:val="2"/>
      </w:pPr>
    </w:p>
    <w:p w14:paraId="16336AD5">
      <w:pPr>
        <w:ind w:firstLine="422"/>
      </w:pPr>
    </w:p>
    <w:p w14:paraId="690461F6">
      <w:pPr>
        <w:pStyle w:val="2"/>
      </w:pPr>
      <w:r>
        <w:rPr>
          <w:rFonts w:hint="eastAsia"/>
        </w:rPr>
        <w:t>附件11     供应商信用承诺函（格式）</w:t>
      </w:r>
    </w:p>
    <w:p w14:paraId="676234D8">
      <w:pPr>
        <w:snapToGrid w:val="0"/>
        <w:spacing w:line="360" w:lineRule="auto"/>
        <w:ind w:firstLine="422"/>
        <w:rPr>
          <w:rFonts w:ascii="宋体" w:hAnsi="宋体" w:cs="宋体"/>
          <w:szCs w:val="21"/>
        </w:rPr>
      </w:pPr>
      <w:r>
        <w:rPr>
          <w:rFonts w:hint="eastAsia" w:ascii="宋体" w:hAnsi="宋体" w:cs="宋体"/>
          <w:szCs w:val="21"/>
        </w:rPr>
        <w:t>致（采购人或政府采购代理机构）：</w:t>
      </w:r>
    </w:p>
    <w:p w14:paraId="4A2FC00B">
      <w:pPr>
        <w:snapToGrid w:val="0"/>
        <w:spacing w:line="360" w:lineRule="auto"/>
        <w:ind w:firstLine="422"/>
        <w:rPr>
          <w:rFonts w:ascii="宋体" w:hAnsi="宋体" w:cs="宋体"/>
          <w:szCs w:val="21"/>
        </w:rPr>
      </w:pPr>
      <w:r>
        <w:rPr>
          <w:rFonts w:hint="eastAsia" w:ascii="宋体" w:hAnsi="宋体" w:cs="宋体"/>
          <w:szCs w:val="21"/>
        </w:rPr>
        <w:t>单位名称（自然人姓名）：</w:t>
      </w:r>
    </w:p>
    <w:p w14:paraId="0305F4CF">
      <w:pPr>
        <w:snapToGrid w:val="0"/>
        <w:spacing w:line="360" w:lineRule="auto"/>
        <w:ind w:firstLine="422"/>
        <w:rPr>
          <w:rFonts w:ascii="宋体" w:hAnsi="宋体" w:cs="宋体"/>
          <w:szCs w:val="21"/>
        </w:rPr>
      </w:pPr>
      <w:r>
        <w:rPr>
          <w:rFonts w:hint="eastAsia" w:ascii="宋体" w:hAnsi="宋体" w:cs="宋体"/>
          <w:szCs w:val="21"/>
        </w:rPr>
        <w:t>统一社会信用代码（身份证号码）：</w:t>
      </w:r>
    </w:p>
    <w:p w14:paraId="1D1495EE">
      <w:pPr>
        <w:snapToGrid w:val="0"/>
        <w:spacing w:line="360" w:lineRule="auto"/>
        <w:ind w:firstLine="422"/>
        <w:rPr>
          <w:rFonts w:ascii="宋体" w:hAnsi="宋体" w:cs="宋体"/>
          <w:szCs w:val="21"/>
        </w:rPr>
      </w:pPr>
      <w:r>
        <w:rPr>
          <w:rFonts w:hint="eastAsia" w:ascii="宋体" w:hAnsi="宋体" w:cs="宋体"/>
          <w:szCs w:val="21"/>
        </w:rPr>
        <w:t>法定代表人（负责人）：</w:t>
      </w:r>
    </w:p>
    <w:p w14:paraId="7C871E86">
      <w:pPr>
        <w:snapToGrid w:val="0"/>
        <w:spacing w:line="360" w:lineRule="auto"/>
        <w:ind w:firstLine="422"/>
        <w:rPr>
          <w:rFonts w:ascii="宋体" w:hAnsi="宋体" w:cs="宋体"/>
          <w:szCs w:val="21"/>
        </w:rPr>
      </w:pPr>
      <w:r>
        <w:rPr>
          <w:rFonts w:hint="eastAsia" w:ascii="宋体" w:hAnsi="宋体" w:cs="宋体"/>
          <w:szCs w:val="21"/>
        </w:rPr>
        <w:t>联系地址和电话：</w:t>
      </w:r>
    </w:p>
    <w:p w14:paraId="4F399B71">
      <w:pPr>
        <w:snapToGrid w:val="0"/>
        <w:spacing w:line="360" w:lineRule="auto"/>
        <w:ind w:firstLine="422"/>
        <w:rPr>
          <w:rFonts w:ascii="宋体" w:hAnsi="宋体" w:cs="宋体"/>
          <w:szCs w:val="21"/>
        </w:rPr>
      </w:pPr>
      <w:r>
        <w:rPr>
          <w:rFonts w:hint="eastAsia" w:ascii="宋体" w:hAnsi="宋体" w:cs="宋体"/>
          <w:szCs w:val="21"/>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4DBC8A7B">
      <w:pPr>
        <w:snapToGrid w:val="0"/>
        <w:spacing w:line="360" w:lineRule="auto"/>
        <w:ind w:firstLine="422"/>
        <w:rPr>
          <w:rFonts w:ascii="宋体" w:hAnsi="宋体" w:cs="宋体"/>
          <w:szCs w:val="21"/>
        </w:rPr>
      </w:pPr>
      <w:r>
        <w:rPr>
          <w:rFonts w:hint="eastAsia" w:ascii="宋体" w:hAnsi="宋体" w:cs="宋体"/>
          <w:szCs w:val="21"/>
        </w:rPr>
        <w:t>（一）具有独立承担民事责任的能力；</w:t>
      </w:r>
    </w:p>
    <w:p w14:paraId="0C5F9AC8">
      <w:pPr>
        <w:snapToGrid w:val="0"/>
        <w:spacing w:line="360" w:lineRule="auto"/>
        <w:ind w:firstLine="422"/>
        <w:rPr>
          <w:rFonts w:ascii="宋体" w:hAnsi="宋体" w:cs="宋体"/>
          <w:szCs w:val="21"/>
        </w:rPr>
      </w:pPr>
      <w:r>
        <w:rPr>
          <w:rFonts w:hint="eastAsia" w:ascii="宋体" w:hAnsi="宋体" w:cs="宋体"/>
          <w:szCs w:val="21"/>
        </w:rPr>
        <w:t>（二）具有良好的商业信誉和健全的财务会计制度；</w:t>
      </w:r>
    </w:p>
    <w:p w14:paraId="398D0B3C">
      <w:pPr>
        <w:snapToGrid w:val="0"/>
        <w:spacing w:line="360" w:lineRule="auto"/>
        <w:ind w:firstLine="422"/>
        <w:rPr>
          <w:rFonts w:ascii="宋体" w:hAnsi="宋体" w:cs="宋体"/>
          <w:szCs w:val="21"/>
        </w:rPr>
      </w:pPr>
      <w:r>
        <w:rPr>
          <w:rFonts w:hint="eastAsia" w:ascii="宋体" w:hAnsi="宋体" w:cs="宋体"/>
          <w:szCs w:val="21"/>
        </w:rPr>
        <w:t>（三）具有履行合同所必需的设备和专业技术能力；</w:t>
      </w:r>
    </w:p>
    <w:p w14:paraId="1B006E68">
      <w:pPr>
        <w:snapToGrid w:val="0"/>
        <w:spacing w:line="360" w:lineRule="auto"/>
        <w:ind w:firstLine="422"/>
        <w:rPr>
          <w:rFonts w:ascii="宋体" w:hAnsi="宋体" w:cs="宋体"/>
          <w:szCs w:val="21"/>
        </w:rPr>
      </w:pPr>
      <w:r>
        <w:rPr>
          <w:rFonts w:hint="eastAsia" w:ascii="宋体" w:hAnsi="宋体" w:cs="宋体"/>
          <w:szCs w:val="21"/>
        </w:rPr>
        <w:t>（四）有依法缴纳税收和社会保障资金的良好记录；</w:t>
      </w:r>
    </w:p>
    <w:p w14:paraId="3C523B10">
      <w:pPr>
        <w:snapToGrid w:val="0"/>
        <w:spacing w:line="360" w:lineRule="auto"/>
        <w:ind w:firstLine="422"/>
        <w:rPr>
          <w:rFonts w:ascii="宋体" w:hAnsi="宋体" w:cs="宋体"/>
          <w:szCs w:val="21"/>
        </w:rPr>
      </w:pPr>
      <w:r>
        <w:rPr>
          <w:rFonts w:hint="eastAsia" w:ascii="宋体" w:hAnsi="宋体" w:cs="宋体"/>
          <w:szCs w:val="21"/>
        </w:rPr>
        <w:t>（五）参加政府采购活动前三年内，在经营活动中没有重大违法记录；</w:t>
      </w:r>
    </w:p>
    <w:p w14:paraId="6AA65EE5">
      <w:pPr>
        <w:snapToGrid w:val="0"/>
        <w:spacing w:line="360" w:lineRule="auto"/>
        <w:ind w:firstLine="422"/>
        <w:rPr>
          <w:rFonts w:ascii="宋体" w:hAnsi="宋体" w:cs="宋体"/>
          <w:szCs w:val="21"/>
        </w:rPr>
      </w:pPr>
      <w:r>
        <w:rPr>
          <w:rFonts w:hint="eastAsia" w:ascii="宋体" w:hAnsi="宋体" w:cs="宋体"/>
          <w:szCs w:val="21"/>
        </w:rPr>
        <w:t>（六）未被列入严重失信主体名单、失信被执行人、税收违法黑名单、政府采购严重违法失信行为记录名单，未曾作出虚假承诺；</w:t>
      </w:r>
    </w:p>
    <w:p w14:paraId="7A6A57A9">
      <w:pPr>
        <w:snapToGrid w:val="0"/>
        <w:spacing w:line="360" w:lineRule="auto"/>
        <w:ind w:firstLine="422"/>
        <w:rPr>
          <w:rFonts w:ascii="宋体" w:hAnsi="宋体" w:cs="宋体"/>
          <w:szCs w:val="21"/>
        </w:rPr>
      </w:pPr>
      <w:r>
        <w:rPr>
          <w:rFonts w:hint="eastAsia" w:ascii="宋体" w:hAnsi="宋体" w:cs="宋体"/>
          <w:szCs w:val="21"/>
        </w:rPr>
        <w:t>（七）符合法律、行政法规规定的其他条件。</w:t>
      </w:r>
    </w:p>
    <w:p w14:paraId="607FDDE8">
      <w:pPr>
        <w:snapToGrid w:val="0"/>
        <w:spacing w:line="360" w:lineRule="auto"/>
        <w:ind w:firstLine="422"/>
        <w:rPr>
          <w:rFonts w:ascii="宋体" w:hAnsi="宋体" w:cs="宋体"/>
          <w:szCs w:val="21"/>
        </w:rPr>
      </w:pPr>
      <w:r>
        <w:rPr>
          <w:rFonts w:hint="eastAsia" w:ascii="宋体" w:hAnsi="宋体" w:cs="宋体"/>
          <w:szCs w:val="21"/>
        </w:rPr>
        <w:t>我单位（本人）保证上述承诺事项的真实性，如有弄虚作假或其他违法违规行为，愿意承担一切法律责任，并承担因此所造成的一切损失。</w:t>
      </w:r>
    </w:p>
    <w:p w14:paraId="4F55EA9E">
      <w:pPr>
        <w:snapToGrid w:val="0"/>
        <w:spacing w:line="360" w:lineRule="auto"/>
        <w:ind w:firstLine="422"/>
        <w:rPr>
          <w:rFonts w:ascii="宋体" w:hAnsi="宋体" w:cs="宋体"/>
          <w:szCs w:val="21"/>
        </w:rPr>
      </w:pPr>
    </w:p>
    <w:p w14:paraId="5F0D0E35">
      <w:pPr>
        <w:snapToGrid w:val="0"/>
        <w:spacing w:line="360" w:lineRule="auto"/>
        <w:ind w:firstLine="422"/>
        <w:rPr>
          <w:rFonts w:ascii="宋体" w:hAnsi="宋体" w:cs="宋体"/>
          <w:szCs w:val="21"/>
        </w:rPr>
      </w:pPr>
      <w:r>
        <w:rPr>
          <w:rFonts w:hint="eastAsia" w:ascii="宋体" w:hAnsi="宋体" w:cs="宋体"/>
          <w:szCs w:val="21"/>
        </w:rPr>
        <w:t>供应商：</w:t>
      </w:r>
      <w:r>
        <w:rPr>
          <w:rFonts w:hint="eastAsia" w:ascii="宋体" w:hAnsi="宋体" w:cs="宋体"/>
          <w:szCs w:val="21"/>
          <w:u w:val="single"/>
          <w:lang w:val="en-US" w:eastAsia="zh-CN"/>
        </w:rPr>
        <w:t xml:space="preserve">                            </w:t>
      </w:r>
      <w:r>
        <w:rPr>
          <w:rFonts w:hint="eastAsia" w:ascii="宋体" w:hAnsi="宋体" w:cs="宋体"/>
          <w:szCs w:val="21"/>
        </w:rPr>
        <w:t>（全称并加盖公章）</w:t>
      </w:r>
    </w:p>
    <w:p w14:paraId="152DCC90">
      <w:pPr>
        <w:snapToGrid w:val="0"/>
        <w:spacing w:line="360" w:lineRule="auto"/>
        <w:ind w:firstLine="422"/>
        <w:rPr>
          <w:rFonts w:ascii="宋体" w:hAnsi="宋体" w:cs="宋体"/>
          <w:szCs w:val="21"/>
        </w:rPr>
      </w:pPr>
      <w:r>
        <w:rPr>
          <w:rFonts w:hint="eastAsia" w:ascii="宋体" w:hAnsi="宋体" w:cs="宋体"/>
          <w:szCs w:val="21"/>
        </w:rPr>
        <w:t>法定代表人、负责人、自然人或授权代表(签字或盖章)：</w:t>
      </w:r>
    </w:p>
    <w:p w14:paraId="7C8FD593">
      <w:pPr>
        <w:snapToGrid w:val="0"/>
        <w:spacing w:line="360" w:lineRule="auto"/>
        <w:ind w:firstLine="422"/>
        <w:rPr>
          <w:rFonts w:ascii="宋体" w:hAnsi="宋体" w:cs="宋体"/>
          <w:szCs w:val="21"/>
        </w:rPr>
      </w:pPr>
      <w:r>
        <w:rPr>
          <w:rFonts w:hint="eastAsia" w:ascii="宋体" w:hAnsi="宋体" w:cs="宋体"/>
          <w:szCs w:val="21"/>
        </w:rPr>
        <w:t>日期：       年      月       日</w:t>
      </w:r>
    </w:p>
    <w:p w14:paraId="6EA8302C">
      <w:pPr>
        <w:snapToGrid w:val="0"/>
        <w:spacing w:line="360" w:lineRule="auto"/>
        <w:ind w:firstLine="422"/>
        <w:rPr>
          <w:rFonts w:ascii="宋体" w:hAnsi="宋体" w:cs="宋体"/>
          <w:szCs w:val="21"/>
        </w:rPr>
      </w:pPr>
    </w:p>
    <w:p w14:paraId="408B7373">
      <w:pPr>
        <w:snapToGrid w:val="0"/>
        <w:spacing w:line="360" w:lineRule="auto"/>
        <w:ind w:firstLine="422"/>
        <w:rPr>
          <w:rFonts w:ascii="宋体" w:hAnsi="宋体" w:cs="宋体"/>
          <w:szCs w:val="21"/>
        </w:rPr>
      </w:pPr>
    </w:p>
    <w:p w14:paraId="0219EF8C">
      <w:pPr>
        <w:snapToGrid w:val="0"/>
        <w:spacing w:line="360" w:lineRule="auto"/>
        <w:ind w:firstLine="422"/>
        <w:rPr>
          <w:rFonts w:ascii="宋体" w:hAnsi="宋体" w:cs="宋体"/>
          <w:szCs w:val="21"/>
        </w:rPr>
      </w:pPr>
      <w:r>
        <w:rPr>
          <w:rFonts w:hint="eastAsia" w:ascii="宋体" w:hAnsi="宋体" w:cs="宋体"/>
          <w:szCs w:val="21"/>
        </w:rPr>
        <w:t>注：1.供应商须在投标（响应性）文件中按此模板提供承诺函，未提供视为未实质性响应招标文件要求，按无效投标（响应）处理。</w:t>
      </w:r>
    </w:p>
    <w:p w14:paraId="2CD8DC87">
      <w:pPr>
        <w:snapToGrid w:val="0"/>
        <w:spacing w:line="360" w:lineRule="auto"/>
        <w:ind w:firstLine="422"/>
        <w:rPr>
          <w:rFonts w:ascii="宋体" w:hAnsi="宋体" w:cs="宋体"/>
          <w:szCs w:val="21"/>
        </w:rPr>
      </w:pPr>
      <w:r>
        <w:rPr>
          <w:rFonts w:hint="eastAsia" w:ascii="宋体" w:hAnsi="宋体" w:cs="宋体"/>
          <w:szCs w:val="21"/>
        </w:rPr>
        <w:t>2.供应商的法定代表人或者授权代表的签字或盖章应真实、有效，如由授权代表签字或盖章的，应提供“法定代表人授权书”。</w:t>
      </w:r>
    </w:p>
    <w:p w14:paraId="635EB67B">
      <w:pPr>
        <w:pStyle w:val="13"/>
        <w:spacing w:beforeAutospacing="0" w:afterAutospacing="0" w:line="460" w:lineRule="atLeast"/>
        <w:ind w:firstLine="560"/>
        <w:jc w:val="both"/>
        <w:rPr>
          <w:b/>
          <w:bCs/>
          <w:sz w:val="28"/>
          <w:szCs w:val="28"/>
        </w:rPr>
      </w:pPr>
    </w:p>
    <w:p w14:paraId="2980BFB4">
      <w:pPr>
        <w:pStyle w:val="13"/>
        <w:spacing w:beforeAutospacing="0" w:afterAutospacing="0" w:line="460" w:lineRule="atLeast"/>
        <w:ind w:firstLine="560"/>
        <w:jc w:val="both"/>
        <w:rPr>
          <w:b/>
          <w:bCs/>
          <w:sz w:val="28"/>
          <w:szCs w:val="28"/>
        </w:rPr>
        <w:sectPr>
          <w:pgSz w:w="11906" w:h="16838"/>
          <w:pgMar w:top="1417" w:right="1474" w:bottom="1417" w:left="1474" w:header="851" w:footer="624" w:gutter="0"/>
          <w:cols w:space="720" w:num="1"/>
          <w:docGrid w:type="lines" w:linePitch="319" w:charSpace="0"/>
        </w:sectPr>
      </w:pPr>
    </w:p>
    <w:p w14:paraId="37A49074">
      <w:pPr>
        <w:pStyle w:val="2"/>
      </w:pPr>
      <w:bookmarkStart w:id="98" w:name="_Toc25094"/>
      <w:bookmarkStart w:id="99" w:name="_Toc31685"/>
      <w:bookmarkStart w:id="100" w:name="_Toc23394"/>
      <w:r>
        <w:rPr>
          <w:rFonts w:hint="eastAsia"/>
        </w:rPr>
        <w:t>供应商认为有必要的其他资料</w:t>
      </w:r>
      <w:bookmarkEnd w:id="98"/>
      <w:bookmarkEnd w:id="99"/>
      <w:bookmarkEnd w:id="100"/>
    </w:p>
    <w:p w14:paraId="67214030">
      <w:pPr>
        <w:widowControl/>
        <w:spacing w:line="360" w:lineRule="auto"/>
        <w:ind w:firstLine="420" w:firstLineChars="200"/>
        <w:jc w:val="left"/>
        <w:rPr>
          <w:rFonts w:ascii="宋体" w:hAnsi="宋体" w:cs="宋体"/>
          <w:kern w:val="0"/>
          <w:sz w:val="24"/>
        </w:rPr>
      </w:pPr>
      <w:r>
        <w:rPr>
          <w:rFonts w:hint="eastAsia" w:ascii="宋体" w:hAnsi="宋体" w:cs="宋体"/>
          <w:kern w:val="0"/>
          <w:szCs w:val="21"/>
        </w:rPr>
        <w:t>备注：供应商应当仔细核对采购文件中有关废标条款和评标标准，提供供应商认为应当附加的其它内容，以充分证明其投标符合采购文件规定，并为评标提供充分依据。如果供应商未能提供相关证明文件，将有可能导致废标或者无法得分。</w:t>
      </w:r>
    </w:p>
    <w:p w14:paraId="276460F3">
      <w:pPr>
        <w:pStyle w:val="13"/>
        <w:spacing w:beforeAutospacing="0" w:afterAutospacing="0" w:line="460" w:lineRule="atLeast"/>
        <w:ind w:firstLine="560"/>
        <w:jc w:val="both"/>
        <w:rPr>
          <w:b/>
          <w:bCs/>
          <w:sz w:val="28"/>
          <w:szCs w:val="28"/>
        </w:rPr>
      </w:pPr>
    </w:p>
    <w:sectPr>
      <w:pgSz w:w="11906" w:h="16838"/>
      <w:pgMar w:top="1417" w:right="1474" w:bottom="1417" w:left="1474" w:header="851" w:footer="624"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7D8676">
    <w:pPr>
      <w:pStyle w:val="23"/>
      <w:pBdr>
        <w:top w:val="single" w:color="auto" w:sz="4" w:space="1"/>
      </w:pBdr>
      <w:jc w:val="both"/>
    </w:pPr>
    <w:r>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nDNi/TAAAABgEAAA8AAAAAAAAAAQAg&#10;AAAAIgAAAGRycy9kb3ducmV2LnhtbFBLAQIUABQAAAAIAIdO4kDrd9gM2gEAALMDAAAOAAAAAAAA&#10;AAEAIAAAACIBAABkcnMvZTJvRG9jLnhtbFBLBQYAAAAABgAGAFkBAABuBQAAAAA=&#10;">
          <v:path/>
          <v:fill on="f" focussize="0,0"/>
          <v:stroke on="f" weight="0.5pt" joinstyle="miter"/>
          <v:imagedata o:title=""/>
          <o:lock v:ext="edit"/>
          <v:textbox inset="0mm,0mm,0mm,0mm" style="mso-fit-shape-to-text:t;">
            <w:txbxContent>
              <w:p w14:paraId="083B4008">
                <w:pPr>
                  <w:pStyle w:val="23"/>
                </w:pPr>
                <w:r>
                  <w:fldChar w:fldCharType="begin"/>
                </w:r>
                <w:r>
                  <w:instrText xml:space="preserve"> PAGE  \* MERGEFORMAT </w:instrText>
                </w:r>
                <w:r>
                  <w:fldChar w:fldCharType="separate"/>
                </w:r>
                <w:r>
                  <w:t>2</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858BB4">
    <w:pPr>
      <w:pStyle w:val="23"/>
      <w:pBdr>
        <w:top w:val="single" w:color="auto" w:sz="4" w:space="1"/>
      </w:pBdr>
      <w:jc w:val="both"/>
    </w:pPr>
    <w:r>
      <w:pict>
        <v:shape id="文本框 1026" o:spid="_x0000_s1027"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X2aas1AAAAAQBAAAPAAAAAAAAAAEAIAAAACIAAABkcnMvZG93bnJldi54bWxQSwEC&#10;FAAUAAAACACHTuJAs/XvZb8BAACCAwAADgAAAAAAAAABACAAAAAjAQAAZHJzL2Uyb0RvYy54bWxQ&#10;SwUGAAAAAAYABgBZAQAAVAUAAAAA&#10;">
          <v:path/>
          <v:fill on="f" focussize="0,0"/>
          <v:stroke on="f" joinstyle="miter"/>
          <v:imagedata o:title=""/>
          <o:lock v:ext="edit"/>
          <v:textbox inset="0mm,0mm,0mm,0mm">
            <w:txbxContent>
              <w:p w14:paraId="3048FC19">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11</w:t>
                </w:r>
                <w:r>
                  <w:rPr>
                    <w:rFonts w:hint="eastAsia" w:ascii="宋体" w:hAnsi="宋体" w:cs="宋体"/>
                  </w:rPr>
                  <w:fldChar w:fldCharType="end"/>
                </w:r>
              </w:p>
            </w:txbxContent>
          </v:textbox>
        </v:shape>
      </w:pict>
    </w:r>
  </w:p>
  <w:p w14:paraId="56B9E57D">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6ECBBA">
    <w:pPr>
      <w:snapToGrid w:val="0"/>
      <w:spacing w:line="324" w:lineRule="auto"/>
      <w:ind w:firstLine="420" w:firstLineChars="2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DE865C"/>
    <w:multiLevelType w:val="singleLevel"/>
    <w:tmpl w:val="AEDE865C"/>
    <w:lvl w:ilvl="0" w:tentative="0">
      <w:start w:val="1"/>
      <w:numFmt w:val="lowerLetter"/>
      <w:suff w:val="nothing"/>
      <w:lvlText w:val="%1、"/>
      <w:lvlJc w:val="left"/>
    </w:lvl>
  </w:abstractNum>
  <w:abstractNum w:abstractNumId="1">
    <w:nsid w:val="59B6410A"/>
    <w:multiLevelType w:val="singleLevel"/>
    <w:tmpl w:val="59B6410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319"/>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UxZTMwNmMyMDcwMThhNDM2NzZhZjYxYzY5Y2VkNzQifQ=="/>
  </w:docVars>
  <w:rsids>
    <w:rsidRoot w:val="00172A27"/>
    <w:rsid w:val="00000AB1"/>
    <w:rsid w:val="00000E51"/>
    <w:rsid w:val="00001783"/>
    <w:rsid w:val="00002A62"/>
    <w:rsid w:val="000034B0"/>
    <w:rsid w:val="00003688"/>
    <w:rsid w:val="000036EC"/>
    <w:rsid w:val="00006E01"/>
    <w:rsid w:val="000070D2"/>
    <w:rsid w:val="00012F90"/>
    <w:rsid w:val="000134E8"/>
    <w:rsid w:val="000165C3"/>
    <w:rsid w:val="00017230"/>
    <w:rsid w:val="00020C53"/>
    <w:rsid w:val="00021C37"/>
    <w:rsid w:val="000224F7"/>
    <w:rsid w:val="00022E51"/>
    <w:rsid w:val="00024627"/>
    <w:rsid w:val="0002491A"/>
    <w:rsid w:val="000262D7"/>
    <w:rsid w:val="00026368"/>
    <w:rsid w:val="00026467"/>
    <w:rsid w:val="0002667F"/>
    <w:rsid w:val="00026B79"/>
    <w:rsid w:val="000272B2"/>
    <w:rsid w:val="00030CFB"/>
    <w:rsid w:val="00031431"/>
    <w:rsid w:val="00033E1F"/>
    <w:rsid w:val="00034451"/>
    <w:rsid w:val="00034F10"/>
    <w:rsid w:val="00035692"/>
    <w:rsid w:val="00036275"/>
    <w:rsid w:val="00037EC8"/>
    <w:rsid w:val="00040E94"/>
    <w:rsid w:val="00040F14"/>
    <w:rsid w:val="00043DD5"/>
    <w:rsid w:val="0004437B"/>
    <w:rsid w:val="0005061A"/>
    <w:rsid w:val="000521E5"/>
    <w:rsid w:val="00054740"/>
    <w:rsid w:val="00055707"/>
    <w:rsid w:val="0005650A"/>
    <w:rsid w:val="00057843"/>
    <w:rsid w:val="00057904"/>
    <w:rsid w:val="00061862"/>
    <w:rsid w:val="00064977"/>
    <w:rsid w:val="000658B2"/>
    <w:rsid w:val="00065EFE"/>
    <w:rsid w:val="000678CF"/>
    <w:rsid w:val="00067EA4"/>
    <w:rsid w:val="000757DD"/>
    <w:rsid w:val="000763E2"/>
    <w:rsid w:val="000771AB"/>
    <w:rsid w:val="0007730A"/>
    <w:rsid w:val="00080E88"/>
    <w:rsid w:val="000828BF"/>
    <w:rsid w:val="00082E68"/>
    <w:rsid w:val="00082F1F"/>
    <w:rsid w:val="0008472B"/>
    <w:rsid w:val="00084866"/>
    <w:rsid w:val="00084D2B"/>
    <w:rsid w:val="00085F92"/>
    <w:rsid w:val="00087C68"/>
    <w:rsid w:val="000910D5"/>
    <w:rsid w:val="0009148A"/>
    <w:rsid w:val="00091777"/>
    <w:rsid w:val="00092B31"/>
    <w:rsid w:val="00097532"/>
    <w:rsid w:val="00097E42"/>
    <w:rsid w:val="000A0B1B"/>
    <w:rsid w:val="000A126A"/>
    <w:rsid w:val="000A16B7"/>
    <w:rsid w:val="000A4B66"/>
    <w:rsid w:val="000A5E29"/>
    <w:rsid w:val="000A7088"/>
    <w:rsid w:val="000A78F6"/>
    <w:rsid w:val="000B0240"/>
    <w:rsid w:val="000B1BAF"/>
    <w:rsid w:val="000B58B6"/>
    <w:rsid w:val="000B6531"/>
    <w:rsid w:val="000B772E"/>
    <w:rsid w:val="000C0F01"/>
    <w:rsid w:val="000C43E1"/>
    <w:rsid w:val="000C5DC7"/>
    <w:rsid w:val="000C5F74"/>
    <w:rsid w:val="000C6026"/>
    <w:rsid w:val="000C6342"/>
    <w:rsid w:val="000C6986"/>
    <w:rsid w:val="000C6F01"/>
    <w:rsid w:val="000C73C9"/>
    <w:rsid w:val="000D0D98"/>
    <w:rsid w:val="000D2906"/>
    <w:rsid w:val="000D44AD"/>
    <w:rsid w:val="000D700F"/>
    <w:rsid w:val="000D720F"/>
    <w:rsid w:val="000D72E6"/>
    <w:rsid w:val="000E252C"/>
    <w:rsid w:val="000E5095"/>
    <w:rsid w:val="000E619B"/>
    <w:rsid w:val="000E6B87"/>
    <w:rsid w:val="000E6D3C"/>
    <w:rsid w:val="000E7320"/>
    <w:rsid w:val="000F035B"/>
    <w:rsid w:val="000F2100"/>
    <w:rsid w:val="000F613E"/>
    <w:rsid w:val="000F685E"/>
    <w:rsid w:val="000F760E"/>
    <w:rsid w:val="001032D9"/>
    <w:rsid w:val="00104521"/>
    <w:rsid w:val="001068B2"/>
    <w:rsid w:val="00110444"/>
    <w:rsid w:val="00110E95"/>
    <w:rsid w:val="0011253B"/>
    <w:rsid w:val="001139C0"/>
    <w:rsid w:val="0011410E"/>
    <w:rsid w:val="0011452C"/>
    <w:rsid w:val="001159E0"/>
    <w:rsid w:val="00117A8A"/>
    <w:rsid w:val="00121774"/>
    <w:rsid w:val="00121A13"/>
    <w:rsid w:val="00122AE5"/>
    <w:rsid w:val="00127E77"/>
    <w:rsid w:val="001312F9"/>
    <w:rsid w:val="001317E8"/>
    <w:rsid w:val="00131DD7"/>
    <w:rsid w:val="0013574E"/>
    <w:rsid w:val="001369A8"/>
    <w:rsid w:val="00141198"/>
    <w:rsid w:val="001415A9"/>
    <w:rsid w:val="00141C52"/>
    <w:rsid w:val="0014434B"/>
    <w:rsid w:val="00144591"/>
    <w:rsid w:val="001450DC"/>
    <w:rsid w:val="00145792"/>
    <w:rsid w:val="001464A2"/>
    <w:rsid w:val="00147FC2"/>
    <w:rsid w:val="00150F19"/>
    <w:rsid w:val="0015192E"/>
    <w:rsid w:val="00151D92"/>
    <w:rsid w:val="00153449"/>
    <w:rsid w:val="0015397F"/>
    <w:rsid w:val="0015540A"/>
    <w:rsid w:val="00155B84"/>
    <w:rsid w:val="00160D41"/>
    <w:rsid w:val="00161142"/>
    <w:rsid w:val="0016181E"/>
    <w:rsid w:val="00162EA5"/>
    <w:rsid w:val="001630D8"/>
    <w:rsid w:val="001636E7"/>
    <w:rsid w:val="00163DB4"/>
    <w:rsid w:val="001641C5"/>
    <w:rsid w:val="001642CE"/>
    <w:rsid w:val="001656CE"/>
    <w:rsid w:val="00166218"/>
    <w:rsid w:val="001666F6"/>
    <w:rsid w:val="00166B7C"/>
    <w:rsid w:val="001670DD"/>
    <w:rsid w:val="00170402"/>
    <w:rsid w:val="00170488"/>
    <w:rsid w:val="00171081"/>
    <w:rsid w:val="00171DC4"/>
    <w:rsid w:val="00172A27"/>
    <w:rsid w:val="001743D2"/>
    <w:rsid w:val="00175383"/>
    <w:rsid w:val="001756D5"/>
    <w:rsid w:val="00176116"/>
    <w:rsid w:val="00176541"/>
    <w:rsid w:val="00177086"/>
    <w:rsid w:val="00177AD1"/>
    <w:rsid w:val="00177B8C"/>
    <w:rsid w:val="001809B6"/>
    <w:rsid w:val="00180A78"/>
    <w:rsid w:val="00181303"/>
    <w:rsid w:val="0018222D"/>
    <w:rsid w:val="0018227E"/>
    <w:rsid w:val="00183B61"/>
    <w:rsid w:val="00184196"/>
    <w:rsid w:val="001866AC"/>
    <w:rsid w:val="00190212"/>
    <w:rsid w:val="001929CA"/>
    <w:rsid w:val="00192E94"/>
    <w:rsid w:val="00193782"/>
    <w:rsid w:val="00194C91"/>
    <w:rsid w:val="001A1E1C"/>
    <w:rsid w:val="001A1F77"/>
    <w:rsid w:val="001A2CD9"/>
    <w:rsid w:val="001A2ED8"/>
    <w:rsid w:val="001A56C1"/>
    <w:rsid w:val="001A6057"/>
    <w:rsid w:val="001A63D5"/>
    <w:rsid w:val="001A7FFD"/>
    <w:rsid w:val="001B03E7"/>
    <w:rsid w:val="001B14FE"/>
    <w:rsid w:val="001B17D7"/>
    <w:rsid w:val="001B4D8E"/>
    <w:rsid w:val="001B6482"/>
    <w:rsid w:val="001B6FFC"/>
    <w:rsid w:val="001B74AE"/>
    <w:rsid w:val="001C08A9"/>
    <w:rsid w:val="001C0E0A"/>
    <w:rsid w:val="001C150B"/>
    <w:rsid w:val="001C1C8B"/>
    <w:rsid w:val="001D0E22"/>
    <w:rsid w:val="001D0FF7"/>
    <w:rsid w:val="001D1E9E"/>
    <w:rsid w:val="001D414F"/>
    <w:rsid w:val="001D4D3C"/>
    <w:rsid w:val="001D784A"/>
    <w:rsid w:val="001D7D80"/>
    <w:rsid w:val="001E1034"/>
    <w:rsid w:val="001E3399"/>
    <w:rsid w:val="001E3C11"/>
    <w:rsid w:val="001E3D17"/>
    <w:rsid w:val="001E50E4"/>
    <w:rsid w:val="001E682B"/>
    <w:rsid w:val="001F4DBD"/>
    <w:rsid w:val="001F4F1E"/>
    <w:rsid w:val="001F52D5"/>
    <w:rsid w:val="001F60F4"/>
    <w:rsid w:val="001F636E"/>
    <w:rsid w:val="001F79C5"/>
    <w:rsid w:val="00203225"/>
    <w:rsid w:val="0020523C"/>
    <w:rsid w:val="002067D5"/>
    <w:rsid w:val="00207653"/>
    <w:rsid w:val="0021089D"/>
    <w:rsid w:val="00211B74"/>
    <w:rsid w:val="00213CF6"/>
    <w:rsid w:val="00214403"/>
    <w:rsid w:val="00214B34"/>
    <w:rsid w:val="0021505B"/>
    <w:rsid w:val="00216B61"/>
    <w:rsid w:val="0022026F"/>
    <w:rsid w:val="00220AD5"/>
    <w:rsid w:val="0022103B"/>
    <w:rsid w:val="002219DC"/>
    <w:rsid w:val="00221F14"/>
    <w:rsid w:val="00221F7D"/>
    <w:rsid w:val="00225928"/>
    <w:rsid w:val="002313AD"/>
    <w:rsid w:val="00231F56"/>
    <w:rsid w:val="00232B10"/>
    <w:rsid w:val="00234020"/>
    <w:rsid w:val="002355B8"/>
    <w:rsid w:val="00235D34"/>
    <w:rsid w:val="00237EB0"/>
    <w:rsid w:val="0024066E"/>
    <w:rsid w:val="0024068F"/>
    <w:rsid w:val="00243986"/>
    <w:rsid w:val="00243C82"/>
    <w:rsid w:val="0024618D"/>
    <w:rsid w:val="002476D8"/>
    <w:rsid w:val="00255BE1"/>
    <w:rsid w:val="00260868"/>
    <w:rsid w:val="002613AA"/>
    <w:rsid w:val="002727E2"/>
    <w:rsid w:val="00275597"/>
    <w:rsid w:val="002818DD"/>
    <w:rsid w:val="00281F28"/>
    <w:rsid w:val="002832A8"/>
    <w:rsid w:val="00286921"/>
    <w:rsid w:val="0028704B"/>
    <w:rsid w:val="002905EB"/>
    <w:rsid w:val="0029070D"/>
    <w:rsid w:val="002912E9"/>
    <w:rsid w:val="00291D17"/>
    <w:rsid w:val="002936CA"/>
    <w:rsid w:val="002977D4"/>
    <w:rsid w:val="00297DDD"/>
    <w:rsid w:val="002A19CE"/>
    <w:rsid w:val="002A25FA"/>
    <w:rsid w:val="002A5685"/>
    <w:rsid w:val="002A6EF5"/>
    <w:rsid w:val="002B0A49"/>
    <w:rsid w:val="002B151E"/>
    <w:rsid w:val="002B1A70"/>
    <w:rsid w:val="002B1F8A"/>
    <w:rsid w:val="002B21DB"/>
    <w:rsid w:val="002B2A18"/>
    <w:rsid w:val="002B2FF2"/>
    <w:rsid w:val="002B39C1"/>
    <w:rsid w:val="002B4688"/>
    <w:rsid w:val="002B59AF"/>
    <w:rsid w:val="002B6028"/>
    <w:rsid w:val="002B6EEC"/>
    <w:rsid w:val="002C318F"/>
    <w:rsid w:val="002C39FA"/>
    <w:rsid w:val="002C524D"/>
    <w:rsid w:val="002C59F0"/>
    <w:rsid w:val="002D1344"/>
    <w:rsid w:val="002D28E7"/>
    <w:rsid w:val="002D38D8"/>
    <w:rsid w:val="002D429F"/>
    <w:rsid w:val="002D485D"/>
    <w:rsid w:val="002D5AB8"/>
    <w:rsid w:val="002D694B"/>
    <w:rsid w:val="002D700F"/>
    <w:rsid w:val="002D7301"/>
    <w:rsid w:val="002D76D9"/>
    <w:rsid w:val="002D7928"/>
    <w:rsid w:val="002E0BB5"/>
    <w:rsid w:val="002E132A"/>
    <w:rsid w:val="002E1ECA"/>
    <w:rsid w:val="002E1ED0"/>
    <w:rsid w:val="002E62DB"/>
    <w:rsid w:val="002F0B3C"/>
    <w:rsid w:val="002F0CC5"/>
    <w:rsid w:val="002F2EA3"/>
    <w:rsid w:val="002F4484"/>
    <w:rsid w:val="002F4F94"/>
    <w:rsid w:val="002F52A8"/>
    <w:rsid w:val="002F74DF"/>
    <w:rsid w:val="0030109F"/>
    <w:rsid w:val="003011E2"/>
    <w:rsid w:val="00302165"/>
    <w:rsid w:val="00302195"/>
    <w:rsid w:val="00302A40"/>
    <w:rsid w:val="00302D67"/>
    <w:rsid w:val="00304980"/>
    <w:rsid w:val="003053B5"/>
    <w:rsid w:val="00305925"/>
    <w:rsid w:val="003103AD"/>
    <w:rsid w:val="00311B9A"/>
    <w:rsid w:val="00321BAA"/>
    <w:rsid w:val="003229B6"/>
    <w:rsid w:val="003251B4"/>
    <w:rsid w:val="0032794F"/>
    <w:rsid w:val="003337C7"/>
    <w:rsid w:val="00333A21"/>
    <w:rsid w:val="00333A29"/>
    <w:rsid w:val="0033503C"/>
    <w:rsid w:val="003362C5"/>
    <w:rsid w:val="00336964"/>
    <w:rsid w:val="003401DD"/>
    <w:rsid w:val="003404CE"/>
    <w:rsid w:val="0034106D"/>
    <w:rsid w:val="00344D4E"/>
    <w:rsid w:val="00347C22"/>
    <w:rsid w:val="003506C4"/>
    <w:rsid w:val="003534C9"/>
    <w:rsid w:val="00353F83"/>
    <w:rsid w:val="003559F8"/>
    <w:rsid w:val="00356B57"/>
    <w:rsid w:val="00360373"/>
    <w:rsid w:val="003634AB"/>
    <w:rsid w:val="00365120"/>
    <w:rsid w:val="00365DBF"/>
    <w:rsid w:val="00367A12"/>
    <w:rsid w:val="00367C34"/>
    <w:rsid w:val="00371352"/>
    <w:rsid w:val="003714B6"/>
    <w:rsid w:val="00373382"/>
    <w:rsid w:val="00373CD1"/>
    <w:rsid w:val="0037426D"/>
    <w:rsid w:val="00374559"/>
    <w:rsid w:val="0037549E"/>
    <w:rsid w:val="00375CA4"/>
    <w:rsid w:val="0037721E"/>
    <w:rsid w:val="00377591"/>
    <w:rsid w:val="00380986"/>
    <w:rsid w:val="00382A6A"/>
    <w:rsid w:val="00382D18"/>
    <w:rsid w:val="00382F26"/>
    <w:rsid w:val="0038356F"/>
    <w:rsid w:val="00383C51"/>
    <w:rsid w:val="003849B3"/>
    <w:rsid w:val="0038547B"/>
    <w:rsid w:val="00386F28"/>
    <w:rsid w:val="00390347"/>
    <w:rsid w:val="0039067A"/>
    <w:rsid w:val="0039106F"/>
    <w:rsid w:val="00391146"/>
    <w:rsid w:val="00391737"/>
    <w:rsid w:val="00392964"/>
    <w:rsid w:val="0039368B"/>
    <w:rsid w:val="0039495F"/>
    <w:rsid w:val="00394D38"/>
    <w:rsid w:val="003962AF"/>
    <w:rsid w:val="00396D48"/>
    <w:rsid w:val="003A03F9"/>
    <w:rsid w:val="003A3A14"/>
    <w:rsid w:val="003A56C5"/>
    <w:rsid w:val="003A73B3"/>
    <w:rsid w:val="003B004D"/>
    <w:rsid w:val="003B0180"/>
    <w:rsid w:val="003B06C0"/>
    <w:rsid w:val="003B06EB"/>
    <w:rsid w:val="003B12F8"/>
    <w:rsid w:val="003B16B4"/>
    <w:rsid w:val="003B21E0"/>
    <w:rsid w:val="003B2FDA"/>
    <w:rsid w:val="003B419B"/>
    <w:rsid w:val="003B61DA"/>
    <w:rsid w:val="003C09CC"/>
    <w:rsid w:val="003C2BD8"/>
    <w:rsid w:val="003C3687"/>
    <w:rsid w:val="003C36EF"/>
    <w:rsid w:val="003C3EB1"/>
    <w:rsid w:val="003C5883"/>
    <w:rsid w:val="003D1F44"/>
    <w:rsid w:val="003D2173"/>
    <w:rsid w:val="003D31F6"/>
    <w:rsid w:val="003D3D59"/>
    <w:rsid w:val="003D3EAB"/>
    <w:rsid w:val="003D4648"/>
    <w:rsid w:val="003D48A8"/>
    <w:rsid w:val="003D5DB0"/>
    <w:rsid w:val="003E1179"/>
    <w:rsid w:val="003E1FE2"/>
    <w:rsid w:val="003E2410"/>
    <w:rsid w:val="003E35BE"/>
    <w:rsid w:val="003F23A1"/>
    <w:rsid w:val="003F35EF"/>
    <w:rsid w:val="003F3AED"/>
    <w:rsid w:val="003F4368"/>
    <w:rsid w:val="003F5E68"/>
    <w:rsid w:val="003F63CA"/>
    <w:rsid w:val="003F6C54"/>
    <w:rsid w:val="004027D6"/>
    <w:rsid w:val="00405888"/>
    <w:rsid w:val="0040755F"/>
    <w:rsid w:val="00407F61"/>
    <w:rsid w:val="00410C32"/>
    <w:rsid w:val="00411E91"/>
    <w:rsid w:val="00415A9F"/>
    <w:rsid w:val="00416BEF"/>
    <w:rsid w:val="00420790"/>
    <w:rsid w:val="004212E9"/>
    <w:rsid w:val="004217D4"/>
    <w:rsid w:val="00421D27"/>
    <w:rsid w:val="00425B8B"/>
    <w:rsid w:val="004261E2"/>
    <w:rsid w:val="004266B1"/>
    <w:rsid w:val="00427060"/>
    <w:rsid w:val="0043058E"/>
    <w:rsid w:val="0043216D"/>
    <w:rsid w:val="00434748"/>
    <w:rsid w:val="00435566"/>
    <w:rsid w:val="0043672E"/>
    <w:rsid w:val="00437299"/>
    <w:rsid w:val="00443D6D"/>
    <w:rsid w:val="00444A2F"/>
    <w:rsid w:val="00446D88"/>
    <w:rsid w:val="0044728E"/>
    <w:rsid w:val="00450723"/>
    <w:rsid w:val="0045184C"/>
    <w:rsid w:val="00454DD9"/>
    <w:rsid w:val="004564BA"/>
    <w:rsid w:val="00457E4B"/>
    <w:rsid w:val="00457F9B"/>
    <w:rsid w:val="00460C29"/>
    <w:rsid w:val="00460C96"/>
    <w:rsid w:val="00462411"/>
    <w:rsid w:val="0046307F"/>
    <w:rsid w:val="004634EB"/>
    <w:rsid w:val="004637BF"/>
    <w:rsid w:val="004638C7"/>
    <w:rsid w:val="00464EC0"/>
    <w:rsid w:val="0046606F"/>
    <w:rsid w:val="00467458"/>
    <w:rsid w:val="004674EE"/>
    <w:rsid w:val="00467CD8"/>
    <w:rsid w:val="00467DBB"/>
    <w:rsid w:val="00471877"/>
    <w:rsid w:val="00474C5C"/>
    <w:rsid w:val="0047545B"/>
    <w:rsid w:val="00476D4F"/>
    <w:rsid w:val="00477033"/>
    <w:rsid w:val="00477339"/>
    <w:rsid w:val="004807EA"/>
    <w:rsid w:val="00481BE4"/>
    <w:rsid w:val="00482A00"/>
    <w:rsid w:val="00483DEE"/>
    <w:rsid w:val="00483F46"/>
    <w:rsid w:val="004840F2"/>
    <w:rsid w:val="004860CE"/>
    <w:rsid w:val="00486CE9"/>
    <w:rsid w:val="0048719B"/>
    <w:rsid w:val="00487965"/>
    <w:rsid w:val="00490823"/>
    <w:rsid w:val="0049159F"/>
    <w:rsid w:val="00491CFF"/>
    <w:rsid w:val="004921A7"/>
    <w:rsid w:val="00494A79"/>
    <w:rsid w:val="00494AE3"/>
    <w:rsid w:val="004950AA"/>
    <w:rsid w:val="004950E6"/>
    <w:rsid w:val="004967B9"/>
    <w:rsid w:val="004A2DC2"/>
    <w:rsid w:val="004A3ED1"/>
    <w:rsid w:val="004A43CD"/>
    <w:rsid w:val="004A56AA"/>
    <w:rsid w:val="004A596D"/>
    <w:rsid w:val="004B0865"/>
    <w:rsid w:val="004B0DC2"/>
    <w:rsid w:val="004B1068"/>
    <w:rsid w:val="004B3872"/>
    <w:rsid w:val="004B479D"/>
    <w:rsid w:val="004B6CE6"/>
    <w:rsid w:val="004C595C"/>
    <w:rsid w:val="004C598F"/>
    <w:rsid w:val="004C5CED"/>
    <w:rsid w:val="004C6D19"/>
    <w:rsid w:val="004D09EE"/>
    <w:rsid w:val="004D16DB"/>
    <w:rsid w:val="004D5FCF"/>
    <w:rsid w:val="004D751C"/>
    <w:rsid w:val="004D7B42"/>
    <w:rsid w:val="004E37F2"/>
    <w:rsid w:val="004F0462"/>
    <w:rsid w:val="004F0829"/>
    <w:rsid w:val="004F10AB"/>
    <w:rsid w:val="004F26C4"/>
    <w:rsid w:val="004F345F"/>
    <w:rsid w:val="004F367E"/>
    <w:rsid w:val="004F38AE"/>
    <w:rsid w:val="004F4D12"/>
    <w:rsid w:val="0050229C"/>
    <w:rsid w:val="00503E97"/>
    <w:rsid w:val="005068C0"/>
    <w:rsid w:val="00507911"/>
    <w:rsid w:val="005104D9"/>
    <w:rsid w:val="00512A1F"/>
    <w:rsid w:val="00513806"/>
    <w:rsid w:val="00517971"/>
    <w:rsid w:val="00521606"/>
    <w:rsid w:val="005226EE"/>
    <w:rsid w:val="00524147"/>
    <w:rsid w:val="00524AC7"/>
    <w:rsid w:val="00525D5A"/>
    <w:rsid w:val="0052705E"/>
    <w:rsid w:val="00527303"/>
    <w:rsid w:val="00527323"/>
    <w:rsid w:val="005303BE"/>
    <w:rsid w:val="00530CA6"/>
    <w:rsid w:val="00531A15"/>
    <w:rsid w:val="00534FA4"/>
    <w:rsid w:val="00536761"/>
    <w:rsid w:val="00541266"/>
    <w:rsid w:val="00543694"/>
    <w:rsid w:val="00544D76"/>
    <w:rsid w:val="00545EBC"/>
    <w:rsid w:val="00552CFD"/>
    <w:rsid w:val="005537EC"/>
    <w:rsid w:val="00560012"/>
    <w:rsid w:val="0056071D"/>
    <w:rsid w:val="00561DC8"/>
    <w:rsid w:val="00563D1E"/>
    <w:rsid w:val="00563FCD"/>
    <w:rsid w:val="00567B6D"/>
    <w:rsid w:val="00570BC1"/>
    <w:rsid w:val="00570BE1"/>
    <w:rsid w:val="005713EB"/>
    <w:rsid w:val="005714DD"/>
    <w:rsid w:val="0057221A"/>
    <w:rsid w:val="00574F1C"/>
    <w:rsid w:val="00575874"/>
    <w:rsid w:val="00576E4E"/>
    <w:rsid w:val="00577008"/>
    <w:rsid w:val="005770C8"/>
    <w:rsid w:val="00583F9C"/>
    <w:rsid w:val="005860F6"/>
    <w:rsid w:val="00586111"/>
    <w:rsid w:val="005867C0"/>
    <w:rsid w:val="00586B69"/>
    <w:rsid w:val="00587007"/>
    <w:rsid w:val="005871CC"/>
    <w:rsid w:val="005916D7"/>
    <w:rsid w:val="005920D4"/>
    <w:rsid w:val="00592A6D"/>
    <w:rsid w:val="005946C4"/>
    <w:rsid w:val="00595847"/>
    <w:rsid w:val="005967AC"/>
    <w:rsid w:val="00596F66"/>
    <w:rsid w:val="005A0722"/>
    <w:rsid w:val="005A15B6"/>
    <w:rsid w:val="005A466D"/>
    <w:rsid w:val="005A7B7D"/>
    <w:rsid w:val="005B1953"/>
    <w:rsid w:val="005B1D93"/>
    <w:rsid w:val="005B3737"/>
    <w:rsid w:val="005B38FA"/>
    <w:rsid w:val="005B61DC"/>
    <w:rsid w:val="005B6847"/>
    <w:rsid w:val="005B6CFA"/>
    <w:rsid w:val="005B79B6"/>
    <w:rsid w:val="005C11E9"/>
    <w:rsid w:val="005C3148"/>
    <w:rsid w:val="005C332C"/>
    <w:rsid w:val="005C511F"/>
    <w:rsid w:val="005C6B44"/>
    <w:rsid w:val="005C7F75"/>
    <w:rsid w:val="005D0E36"/>
    <w:rsid w:val="005D1C21"/>
    <w:rsid w:val="005D3447"/>
    <w:rsid w:val="005D3B26"/>
    <w:rsid w:val="005D5624"/>
    <w:rsid w:val="005D5C32"/>
    <w:rsid w:val="005D6997"/>
    <w:rsid w:val="005D788B"/>
    <w:rsid w:val="005D7A7D"/>
    <w:rsid w:val="005D7CD8"/>
    <w:rsid w:val="005E1A51"/>
    <w:rsid w:val="005E1D47"/>
    <w:rsid w:val="005E531D"/>
    <w:rsid w:val="005F0F8A"/>
    <w:rsid w:val="005F182B"/>
    <w:rsid w:val="005F1896"/>
    <w:rsid w:val="005F73CD"/>
    <w:rsid w:val="00600486"/>
    <w:rsid w:val="006026D1"/>
    <w:rsid w:val="006026DE"/>
    <w:rsid w:val="00602F12"/>
    <w:rsid w:val="00605665"/>
    <w:rsid w:val="00606A63"/>
    <w:rsid w:val="006101F4"/>
    <w:rsid w:val="00611848"/>
    <w:rsid w:val="00612DAD"/>
    <w:rsid w:val="006134B6"/>
    <w:rsid w:val="00615547"/>
    <w:rsid w:val="0061568B"/>
    <w:rsid w:val="006172B1"/>
    <w:rsid w:val="0062103C"/>
    <w:rsid w:val="00621F9D"/>
    <w:rsid w:val="00622261"/>
    <w:rsid w:val="0062301A"/>
    <w:rsid w:val="00623B19"/>
    <w:rsid w:val="00623E63"/>
    <w:rsid w:val="006246AF"/>
    <w:rsid w:val="00627850"/>
    <w:rsid w:val="00627DC7"/>
    <w:rsid w:val="00630BAF"/>
    <w:rsid w:val="00632751"/>
    <w:rsid w:val="00633657"/>
    <w:rsid w:val="00633CAE"/>
    <w:rsid w:val="00635EE7"/>
    <w:rsid w:val="00640403"/>
    <w:rsid w:val="00641EC7"/>
    <w:rsid w:val="00643CF6"/>
    <w:rsid w:val="006449C9"/>
    <w:rsid w:val="0064622C"/>
    <w:rsid w:val="0064748F"/>
    <w:rsid w:val="0064772A"/>
    <w:rsid w:val="006506F3"/>
    <w:rsid w:val="006527BA"/>
    <w:rsid w:val="00654D3A"/>
    <w:rsid w:val="00657186"/>
    <w:rsid w:val="00657B85"/>
    <w:rsid w:val="00661C98"/>
    <w:rsid w:val="00662038"/>
    <w:rsid w:val="00662F1B"/>
    <w:rsid w:val="006635F6"/>
    <w:rsid w:val="00663912"/>
    <w:rsid w:val="00665B74"/>
    <w:rsid w:val="00666E46"/>
    <w:rsid w:val="00666F5D"/>
    <w:rsid w:val="00671982"/>
    <w:rsid w:val="006733F1"/>
    <w:rsid w:val="00674B7B"/>
    <w:rsid w:val="006774B7"/>
    <w:rsid w:val="00681340"/>
    <w:rsid w:val="00681E00"/>
    <w:rsid w:val="00681EFA"/>
    <w:rsid w:val="00683BD4"/>
    <w:rsid w:val="00684504"/>
    <w:rsid w:val="006901E3"/>
    <w:rsid w:val="006925B8"/>
    <w:rsid w:val="00693D1E"/>
    <w:rsid w:val="00694E40"/>
    <w:rsid w:val="00695469"/>
    <w:rsid w:val="006973BE"/>
    <w:rsid w:val="006978E1"/>
    <w:rsid w:val="006A0E79"/>
    <w:rsid w:val="006A3FAF"/>
    <w:rsid w:val="006A53C0"/>
    <w:rsid w:val="006A5EC9"/>
    <w:rsid w:val="006A6BE3"/>
    <w:rsid w:val="006A6C58"/>
    <w:rsid w:val="006A6CA0"/>
    <w:rsid w:val="006B0BA3"/>
    <w:rsid w:val="006B3507"/>
    <w:rsid w:val="006B4389"/>
    <w:rsid w:val="006B4580"/>
    <w:rsid w:val="006B6276"/>
    <w:rsid w:val="006C1808"/>
    <w:rsid w:val="006C1AC3"/>
    <w:rsid w:val="006C32E3"/>
    <w:rsid w:val="006C3381"/>
    <w:rsid w:val="006C3F8D"/>
    <w:rsid w:val="006C5145"/>
    <w:rsid w:val="006C5741"/>
    <w:rsid w:val="006C5895"/>
    <w:rsid w:val="006C63F2"/>
    <w:rsid w:val="006C7A22"/>
    <w:rsid w:val="006D078E"/>
    <w:rsid w:val="006D23F4"/>
    <w:rsid w:val="006D2422"/>
    <w:rsid w:val="006D2754"/>
    <w:rsid w:val="006D5953"/>
    <w:rsid w:val="006D6F88"/>
    <w:rsid w:val="006E01C7"/>
    <w:rsid w:val="006E0E89"/>
    <w:rsid w:val="006E17FA"/>
    <w:rsid w:val="006E211C"/>
    <w:rsid w:val="006E29B1"/>
    <w:rsid w:val="006E3D12"/>
    <w:rsid w:val="006E3F7B"/>
    <w:rsid w:val="006E54C7"/>
    <w:rsid w:val="006E596B"/>
    <w:rsid w:val="006E7834"/>
    <w:rsid w:val="006F04DA"/>
    <w:rsid w:val="006F1887"/>
    <w:rsid w:val="006F2533"/>
    <w:rsid w:val="006F3630"/>
    <w:rsid w:val="006F36C9"/>
    <w:rsid w:val="006F3FF8"/>
    <w:rsid w:val="006F5EBB"/>
    <w:rsid w:val="006F6D76"/>
    <w:rsid w:val="00700968"/>
    <w:rsid w:val="007014F4"/>
    <w:rsid w:val="00704336"/>
    <w:rsid w:val="00705377"/>
    <w:rsid w:val="00706265"/>
    <w:rsid w:val="007076EB"/>
    <w:rsid w:val="00715079"/>
    <w:rsid w:val="00715942"/>
    <w:rsid w:val="007169FB"/>
    <w:rsid w:val="00717B75"/>
    <w:rsid w:val="00717D28"/>
    <w:rsid w:val="00720430"/>
    <w:rsid w:val="007213BD"/>
    <w:rsid w:val="0072294E"/>
    <w:rsid w:val="00724894"/>
    <w:rsid w:val="0073362A"/>
    <w:rsid w:val="00733B3C"/>
    <w:rsid w:val="0073416C"/>
    <w:rsid w:val="007346EB"/>
    <w:rsid w:val="00734BB4"/>
    <w:rsid w:val="00734E23"/>
    <w:rsid w:val="0073566B"/>
    <w:rsid w:val="007361D9"/>
    <w:rsid w:val="00736BAB"/>
    <w:rsid w:val="00742A39"/>
    <w:rsid w:val="00743A29"/>
    <w:rsid w:val="007442BF"/>
    <w:rsid w:val="007451B7"/>
    <w:rsid w:val="007454DB"/>
    <w:rsid w:val="007477B9"/>
    <w:rsid w:val="00752D80"/>
    <w:rsid w:val="007539E6"/>
    <w:rsid w:val="00753B1A"/>
    <w:rsid w:val="0075506B"/>
    <w:rsid w:val="00755297"/>
    <w:rsid w:val="0075538E"/>
    <w:rsid w:val="00756A8B"/>
    <w:rsid w:val="00756D59"/>
    <w:rsid w:val="007635C6"/>
    <w:rsid w:val="0076388D"/>
    <w:rsid w:val="00766B59"/>
    <w:rsid w:val="0076783A"/>
    <w:rsid w:val="00767EFA"/>
    <w:rsid w:val="00770296"/>
    <w:rsid w:val="0077380E"/>
    <w:rsid w:val="00776A44"/>
    <w:rsid w:val="00780946"/>
    <w:rsid w:val="00780B59"/>
    <w:rsid w:val="007819D5"/>
    <w:rsid w:val="00781F49"/>
    <w:rsid w:val="00782ABA"/>
    <w:rsid w:val="00784D17"/>
    <w:rsid w:val="007855DC"/>
    <w:rsid w:val="007860D6"/>
    <w:rsid w:val="00786DC8"/>
    <w:rsid w:val="00790D20"/>
    <w:rsid w:val="0079163E"/>
    <w:rsid w:val="00791A8C"/>
    <w:rsid w:val="00791C0A"/>
    <w:rsid w:val="00792549"/>
    <w:rsid w:val="00793671"/>
    <w:rsid w:val="00797DE8"/>
    <w:rsid w:val="007A0321"/>
    <w:rsid w:val="007A0A02"/>
    <w:rsid w:val="007A1ABC"/>
    <w:rsid w:val="007A1BDB"/>
    <w:rsid w:val="007A1E32"/>
    <w:rsid w:val="007A2048"/>
    <w:rsid w:val="007A393C"/>
    <w:rsid w:val="007A4505"/>
    <w:rsid w:val="007A54CA"/>
    <w:rsid w:val="007A7CCF"/>
    <w:rsid w:val="007B2EDA"/>
    <w:rsid w:val="007B5BF3"/>
    <w:rsid w:val="007B6B89"/>
    <w:rsid w:val="007C13DE"/>
    <w:rsid w:val="007C1D12"/>
    <w:rsid w:val="007C242C"/>
    <w:rsid w:val="007C27CB"/>
    <w:rsid w:val="007C353C"/>
    <w:rsid w:val="007C3EA2"/>
    <w:rsid w:val="007D12EA"/>
    <w:rsid w:val="007D1504"/>
    <w:rsid w:val="007D7FE5"/>
    <w:rsid w:val="007E07D0"/>
    <w:rsid w:val="007E0DAC"/>
    <w:rsid w:val="007E14EB"/>
    <w:rsid w:val="007E17A3"/>
    <w:rsid w:val="007E2E98"/>
    <w:rsid w:val="007E52EB"/>
    <w:rsid w:val="007E5618"/>
    <w:rsid w:val="007E5F56"/>
    <w:rsid w:val="007E6644"/>
    <w:rsid w:val="007E69C5"/>
    <w:rsid w:val="007F0E44"/>
    <w:rsid w:val="007F12B5"/>
    <w:rsid w:val="007F1A27"/>
    <w:rsid w:val="007F1ABB"/>
    <w:rsid w:val="007F1D3D"/>
    <w:rsid w:val="007F370E"/>
    <w:rsid w:val="007F50E5"/>
    <w:rsid w:val="008018E2"/>
    <w:rsid w:val="00803A8F"/>
    <w:rsid w:val="00805C27"/>
    <w:rsid w:val="00805D18"/>
    <w:rsid w:val="00806F13"/>
    <w:rsid w:val="00807B83"/>
    <w:rsid w:val="0081025F"/>
    <w:rsid w:val="008104D7"/>
    <w:rsid w:val="0081331D"/>
    <w:rsid w:val="008140E1"/>
    <w:rsid w:val="008146D5"/>
    <w:rsid w:val="008147DA"/>
    <w:rsid w:val="00815884"/>
    <w:rsid w:val="0082101E"/>
    <w:rsid w:val="00821BBB"/>
    <w:rsid w:val="00821EAA"/>
    <w:rsid w:val="00822315"/>
    <w:rsid w:val="00823BC7"/>
    <w:rsid w:val="00826C87"/>
    <w:rsid w:val="00827FF5"/>
    <w:rsid w:val="008306BE"/>
    <w:rsid w:val="008307A1"/>
    <w:rsid w:val="00831534"/>
    <w:rsid w:val="00831ACF"/>
    <w:rsid w:val="00833E18"/>
    <w:rsid w:val="00834B99"/>
    <w:rsid w:val="00835896"/>
    <w:rsid w:val="008365BA"/>
    <w:rsid w:val="00836F89"/>
    <w:rsid w:val="00837C0D"/>
    <w:rsid w:val="00842911"/>
    <w:rsid w:val="00844E75"/>
    <w:rsid w:val="00844FCA"/>
    <w:rsid w:val="0084536A"/>
    <w:rsid w:val="00846002"/>
    <w:rsid w:val="0084772E"/>
    <w:rsid w:val="008500F7"/>
    <w:rsid w:val="008509F0"/>
    <w:rsid w:val="00853408"/>
    <w:rsid w:val="008553A0"/>
    <w:rsid w:val="00857EC9"/>
    <w:rsid w:val="008603BD"/>
    <w:rsid w:val="00860E45"/>
    <w:rsid w:val="00862B84"/>
    <w:rsid w:val="008639A5"/>
    <w:rsid w:val="00864B24"/>
    <w:rsid w:val="00864B7C"/>
    <w:rsid w:val="00864F88"/>
    <w:rsid w:val="0086557E"/>
    <w:rsid w:val="008676F4"/>
    <w:rsid w:val="008717DC"/>
    <w:rsid w:val="008750C8"/>
    <w:rsid w:val="008757D7"/>
    <w:rsid w:val="00880AFB"/>
    <w:rsid w:val="0088168B"/>
    <w:rsid w:val="00881F4C"/>
    <w:rsid w:val="00882F21"/>
    <w:rsid w:val="008831D5"/>
    <w:rsid w:val="00883BDF"/>
    <w:rsid w:val="0088445C"/>
    <w:rsid w:val="008855FF"/>
    <w:rsid w:val="00885D72"/>
    <w:rsid w:val="008864FA"/>
    <w:rsid w:val="00890267"/>
    <w:rsid w:val="0089078E"/>
    <w:rsid w:val="00891D96"/>
    <w:rsid w:val="00892117"/>
    <w:rsid w:val="0089391E"/>
    <w:rsid w:val="00893E5D"/>
    <w:rsid w:val="00896D40"/>
    <w:rsid w:val="008A10E8"/>
    <w:rsid w:val="008A115E"/>
    <w:rsid w:val="008A380B"/>
    <w:rsid w:val="008A4B1D"/>
    <w:rsid w:val="008A69F8"/>
    <w:rsid w:val="008A7033"/>
    <w:rsid w:val="008B0660"/>
    <w:rsid w:val="008B51F5"/>
    <w:rsid w:val="008B5432"/>
    <w:rsid w:val="008B5D0F"/>
    <w:rsid w:val="008B7B10"/>
    <w:rsid w:val="008B7FB1"/>
    <w:rsid w:val="008C2BC7"/>
    <w:rsid w:val="008C31FD"/>
    <w:rsid w:val="008C47EB"/>
    <w:rsid w:val="008C4BE6"/>
    <w:rsid w:val="008C53A8"/>
    <w:rsid w:val="008C698C"/>
    <w:rsid w:val="008C7324"/>
    <w:rsid w:val="008D2BEE"/>
    <w:rsid w:val="008D3384"/>
    <w:rsid w:val="008D3693"/>
    <w:rsid w:val="008D3956"/>
    <w:rsid w:val="008D64BC"/>
    <w:rsid w:val="008D70CD"/>
    <w:rsid w:val="008E0145"/>
    <w:rsid w:val="008E4585"/>
    <w:rsid w:val="008E5901"/>
    <w:rsid w:val="008F07E3"/>
    <w:rsid w:val="008F15BA"/>
    <w:rsid w:val="008F2CDA"/>
    <w:rsid w:val="008F5CF0"/>
    <w:rsid w:val="008F606B"/>
    <w:rsid w:val="00900739"/>
    <w:rsid w:val="00904FE1"/>
    <w:rsid w:val="009072BE"/>
    <w:rsid w:val="00912E3B"/>
    <w:rsid w:val="00912FF6"/>
    <w:rsid w:val="00914296"/>
    <w:rsid w:val="00914EED"/>
    <w:rsid w:val="00916FD0"/>
    <w:rsid w:val="009175CA"/>
    <w:rsid w:val="009224E0"/>
    <w:rsid w:val="00923589"/>
    <w:rsid w:val="00923C18"/>
    <w:rsid w:val="00924816"/>
    <w:rsid w:val="00925126"/>
    <w:rsid w:val="00927240"/>
    <w:rsid w:val="00930E42"/>
    <w:rsid w:val="009317EA"/>
    <w:rsid w:val="00931BD1"/>
    <w:rsid w:val="00934F7A"/>
    <w:rsid w:val="00937351"/>
    <w:rsid w:val="009404CE"/>
    <w:rsid w:val="00940EC0"/>
    <w:rsid w:val="0094252B"/>
    <w:rsid w:val="00943475"/>
    <w:rsid w:val="0094548A"/>
    <w:rsid w:val="00947054"/>
    <w:rsid w:val="00947CF0"/>
    <w:rsid w:val="009503FF"/>
    <w:rsid w:val="00951B72"/>
    <w:rsid w:val="0095275E"/>
    <w:rsid w:val="00952958"/>
    <w:rsid w:val="009535DB"/>
    <w:rsid w:val="00955F1D"/>
    <w:rsid w:val="00960D8F"/>
    <w:rsid w:val="00961552"/>
    <w:rsid w:val="0096169A"/>
    <w:rsid w:val="009616B6"/>
    <w:rsid w:val="00961710"/>
    <w:rsid w:val="00961C05"/>
    <w:rsid w:val="00963049"/>
    <w:rsid w:val="009659CB"/>
    <w:rsid w:val="00966ECA"/>
    <w:rsid w:val="009677D1"/>
    <w:rsid w:val="00967B87"/>
    <w:rsid w:val="00970BD7"/>
    <w:rsid w:val="009717CE"/>
    <w:rsid w:val="00971EE8"/>
    <w:rsid w:val="009724B2"/>
    <w:rsid w:val="009729DE"/>
    <w:rsid w:val="00973278"/>
    <w:rsid w:val="009741D8"/>
    <w:rsid w:val="00975858"/>
    <w:rsid w:val="009768B9"/>
    <w:rsid w:val="0097722F"/>
    <w:rsid w:val="009808B9"/>
    <w:rsid w:val="00980E18"/>
    <w:rsid w:val="009814D9"/>
    <w:rsid w:val="00982151"/>
    <w:rsid w:val="00983771"/>
    <w:rsid w:val="0098410D"/>
    <w:rsid w:val="009859B9"/>
    <w:rsid w:val="00990484"/>
    <w:rsid w:val="00991ADF"/>
    <w:rsid w:val="009920DE"/>
    <w:rsid w:val="009923FC"/>
    <w:rsid w:val="00992F09"/>
    <w:rsid w:val="00997337"/>
    <w:rsid w:val="00997918"/>
    <w:rsid w:val="009A0964"/>
    <w:rsid w:val="009A0F72"/>
    <w:rsid w:val="009A1744"/>
    <w:rsid w:val="009A1E3D"/>
    <w:rsid w:val="009A25B4"/>
    <w:rsid w:val="009A541B"/>
    <w:rsid w:val="009A5F7D"/>
    <w:rsid w:val="009A6C70"/>
    <w:rsid w:val="009A7CF8"/>
    <w:rsid w:val="009A7E9D"/>
    <w:rsid w:val="009B2766"/>
    <w:rsid w:val="009B41D3"/>
    <w:rsid w:val="009B46DB"/>
    <w:rsid w:val="009B47DF"/>
    <w:rsid w:val="009C113C"/>
    <w:rsid w:val="009C263F"/>
    <w:rsid w:val="009C2AC3"/>
    <w:rsid w:val="009C3284"/>
    <w:rsid w:val="009C475B"/>
    <w:rsid w:val="009C491F"/>
    <w:rsid w:val="009C4A96"/>
    <w:rsid w:val="009C5323"/>
    <w:rsid w:val="009C55B8"/>
    <w:rsid w:val="009C78C9"/>
    <w:rsid w:val="009C7E8F"/>
    <w:rsid w:val="009D017B"/>
    <w:rsid w:val="009D01D7"/>
    <w:rsid w:val="009D0F10"/>
    <w:rsid w:val="009D2408"/>
    <w:rsid w:val="009D63E5"/>
    <w:rsid w:val="009D7201"/>
    <w:rsid w:val="009D7F59"/>
    <w:rsid w:val="009D7FA9"/>
    <w:rsid w:val="009E0962"/>
    <w:rsid w:val="009E0C76"/>
    <w:rsid w:val="009E0FBD"/>
    <w:rsid w:val="009E1A71"/>
    <w:rsid w:val="009E620F"/>
    <w:rsid w:val="009E79A7"/>
    <w:rsid w:val="009E7CC4"/>
    <w:rsid w:val="009F07C2"/>
    <w:rsid w:val="009F2826"/>
    <w:rsid w:val="009F38E9"/>
    <w:rsid w:val="009F3BFA"/>
    <w:rsid w:val="009F484C"/>
    <w:rsid w:val="009F4B6A"/>
    <w:rsid w:val="009F4C0F"/>
    <w:rsid w:val="009F712F"/>
    <w:rsid w:val="009F754C"/>
    <w:rsid w:val="009F7DA4"/>
    <w:rsid w:val="00A01800"/>
    <w:rsid w:val="00A02455"/>
    <w:rsid w:val="00A024E5"/>
    <w:rsid w:val="00A0403C"/>
    <w:rsid w:val="00A050BB"/>
    <w:rsid w:val="00A100AE"/>
    <w:rsid w:val="00A10EBC"/>
    <w:rsid w:val="00A14E61"/>
    <w:rsid w:val="00A1620E"/>
    <w:rsid w:val="00A16ECE"/>
    <w:rsid w:val="00A17C7A"/>
    <w:rsid w:val="00A210ED"/>
    <w:rsid w:val="00A21E49"/>
    <w:rsid w:val="00A231F0"/>
    <w:rsid w:val="00A24F12"/>
    <w:rsid w:val="00A2511D"/>
    <w:rsid w:val="00A2615F"/>
    <w:rsid w:val="00A26755"/>
    <w:rsid w:val="00A279C9"/>
    <w:rsid w:val="00A32088"/>
    <w:rsid w:val="00A32F86"/>
    <w:rsid w:val="00A3420A"/>
    <w:rsid w:val="00A34848"/>
    <w:rsid w:val="00A34CF7"/>
    <w:rsid w:val="00A368DE"/>
    <w:rsid w:val="00A37A89"/>
    <w:rsid w:val="00A37F82"/>
    <w:rsid w:val="00A40B5F"/>
    <w:rsid w:val="00A40D02"/>
    <w:rsid w:val="00A41E21"/>
    <w:rsid w:val="00A41ECD"/>
    <w:rsid w:val="00A4599A"/>
    <w:rsid w:val="00A45C7A"/>
    <w:rsid w:val="00A47335"/>
    <w:rsid w:val="00A514B4"/>
    <w:rsid w:val="00A52955"/>
    <w:rsid w:val="00A54D5F"/>
    <w:rsid w:val="00A55C8E"/>
    <w:rsid w:val="00A55D2D"/>
    <w:rsid w:val="00A56CCC"/>
    <w:rsid w:val="00A5712A"/>
    <w:rsid w:val="00A62166"/>
    <w:rsid w:val="00A65A67"/>
    <w:rsid w:val="00A662D0"/>
    <w:rsid w:val="00A6650A"/>
    <w:rsid w:val="00A7048A"/>
    <w:rsid w:val="00A7065F"/>
    <w:rsid w:val="00A70F9F"/>
    <w:rsid w:val="00A713F9"/>
    <w:rsid w:val="00A7378F"/>
    <w:rsid w:val="00A7567E"/>
    <w:rsid w:val="00A771FC"/>
    <w:rsid w:val="00A77547"/>
    <w:rsid w:val="00A776A7"/>
    <w:rsid w:val="00A80D95"/>
    <w:rsid w:val="00A82282"/>
    <w:rsid w:val="00A83F4E"/>
    <w:rsid w:val="00A840B0"/>
    <w:rsid w:val="00A87518"/>
    <w:rsid w:val="00A87569"/>
    <w:rsid w:val="00A87F54"/>
    <w:rsid w:val="00A9022C"/>
    <w:rsid w:val="00A906A4"/>
    <w:rsid w:val="00A90A32"/>
    <w:rsid w:val="00A90A50"/>
    <w:rsid w:val="00A92654"/>
    <w:rsid w:val="00A9622A"/>
    <w:rsid w:val="00A965DA"/>
    <w:rsid w:val="00A9755F"/>
    <w:rsid w:val="00AA1D33"/>
    <w:rsid w:val="00AA2C6F"/>
    <w:rsid w:val="00AA53A8"/>
    <w:rsid w:val="00AA65F9"/>
    <w:rsid w:val="00AA6A35"/>
    <w:rsid w:val="00AA6C76"/>
    <w:rsid w:val="00AA721E"/>
    <w:rsid w:val="00AA7436"/>
    <w:rsid w:val="00AB0080"/>
    <w:rsid w:val="00AB0CF3"/>
    <w:rsid w:val="00AB1F09"/>
    <w:rsid w:val="00AB4031"/>
    <w:rsid w:val="00AB4C61"/>
    <w:rsid w:val="00AB55EA"/>
    <w:rsid w:val="00AC0269"/>
    <w:rsid w:val="00AC0B8C"/>
    <w:rsid w:val="00AC201A"/>
    <w:rsid w:val="00AC3299"/>
    <w:rsid w:val="00AC33E8"/>
    <w:rsid w:val="00AC65BD"/>
    <w:rsid w:val="00AC6684"/>
    <w:rsid w:val="00AC6DB7"/>
    <w:rsid w:val="00AC7267"/>
    <w:rsid w:val="00AD1762"/>
    <w:rsid w:val="00AD1DC6"/>
    <w:rsid w:val="00AD39A1"/>
    <w:rsid w:val="00AD3F62"/>
    <w:rsid w:val="00AD46D4"/>
    <w:rsid w:val="00AD46D9"/>
    <w:rsid w:val="00AD4859"/>
    <w:rsid w:val="00AD6B1E"/>
    <w:rsid w:val="00AD7D34"/>
    <w:rsid w:val="00AE1276"/>
    <w:rsid w:val="00AE2BC8"/>
    <w:rsid w:val="00AE3879"/>
    <w:rsid w:val="00AE4E63"/>
    <w:rsid w:val="00AE5FE2"/>
    <w:rsid w:val="00AE679B"/>
    <w:rsid w:val="00AE72E5"/>
    <w:rsid w:val="00AE7C59"/>
    <w:rsid w:val="00AF08ED"/>
    <w:rsid w:val="00AF1F03"/>
    <w:rsid w:val="00AF2487"/>
    <w:rsid w:val="00AF3539"/>
    <w:rsid w:val="00AF3EF7"/>
    <w:rsid w:val="00AF6523"/>
    <w:rsid w:val="00AF7004"/>
    <w:rsid w:val="00B0113C"/>
    <w:rsid w:val="00B02F21"/>
    <w:rsid w:val="00B04F0A"/>
    <w:rsid w:val="00B0631D"/>
    <w:rsid w:val="00B070F9"/>
    <w:rsid w:val="00B07402"/>
    <w:rsid w:val="00B1061D"/>
    <w:rsid w:val="00B1080F"/>
    <w:rsid w:val="00B112C5"/>
    <w:rsid w:val="00B13637"/>
    <w:rsid w:val="00B139FD"/>
    <w:rsid w:val="00B13B10"/>
    <w:rsid w:val="00B17674"/>
    <w:rsid w:val="00B1799B"/>
    <w:rsid w:val="00B205EC"/>
    <w:rsid w:val="00B20ABD"/>
    <w:rsid w:val="00B211B8"/>
    <w:rsid w:val="00B2464D"/>
    <w:rsid w:val="00B2500C"/>
    <w:rsid w:val="00B2561A"/>
    <w:rsid w:val="00B26CC4"/>
    <w:rsid w:val="00B26FA2"/>
    <w:rsid w:val="00B309AE"/>
    <w:rsid w:val="00B32192"/>
    <w:rsid w:val="00B323D8"/>
    <w:rsid w:val="00B326BB"/>
    <w:rsid w:val="00B32876"/>
    <w:rsid w:val="00B32B64"/>
    <w:rsid w:val="00B346FD"/>
    <w:rsid w:val="00B349BF"/>
    <w:rsid w:val="00B35982"/>
    <w:rsid w:val="00B3724C"/>
    <w:rsid w:val="00B408FD"/>
    <w:rsid w:val="00B40A62"/>
    <w:rsid w:val="00B41F0D"/>
    <w:rsid w:val="00B42996"/>
    <w:rsid w:val="00B46979"/>
    <w:rsid w:val="00B47762"/>
    <w:rsid w:val="00B5135A"/>
    <w:rsid w:val="00B51A05"/>
    <w:rsid w:val="00B524CE"/>
    <w:rsid w:val="00B60FFC"/>
    <w:rsid w:val="00B611E8"/>
    <w:rsid w:val="00B616D8"/>
    <w:rsid w:val="00B619A1"/>
    <w:rsid w:val="00B64507"/>
    <w:rsid w:val="00B66C4B"/>
    <w:rsid w:val="00B67562"/>
    <w:rsid w:val="00B70DF3"/>
    <w:rsid w:val="00B71613"/>
    <w:rsid w:val="00B72167"/>
    <w:rsid w:val="00B73C1F"/>
    <w:rsid w:val="00B744BB"/>
    <w:rsid w:val="00B761C4"/>
    <w:rsid w:val="00B763DF"/>
    <w:rsid w:val="00B765B2"/>
    <w:rsid w:val="00B77EF1"/>
    <w:rsid w:val="00B8080C"/>
    <w:rsid w:val="00B80E3D"/>
    <w:rsid w:val="00B822BE"/>
    <w:rsid w:val="00B8290E"/>
    <w:rsid w:val="00B84F51"/>
    <w:rsid w:val="00B85445"/>
    <w:rsid w:val="00B86801"/>
    <w:rsid w:val="00B92331"/>
    <w:rsid w:val="00B92A8B"/>
    <w:rsid w:val="00B93759"/>
    <w:rsid w:val="00B94A5D"/>
    <w:rsid w:val="00BA1348"/>
    <w:rsid w:val="00BA2782"/>
    <w:rsid w:val="00BA4A4B"/>
    <w:rsid w:val="00BA5CF4"/>
    <w:rsid w:val="00BA6B20"/>
    <w:rsid w:val="00BA758E"/>
    <w:rsid w:val="00BB1934"/>
    <w:rsid w:val="00BB1FD1"/>
    <w:rsid w:val="00BB2381"/>
    <w:rsid w:val="00BB3578"/>
    <w:rsid w:val="00BB615C"/>
    <w:rsid w:val="00BB759B"/>
    <w:rsid w:val="00BC04F4"/>
    <w:rsid w:val="00BC0CD9"/>
    <w:rsid w:val="00BC3DA7"/>
    <w:rsid w:val="00BC5EB6"/>
    <w:rsid w:val="00BC74CE"/>
    <w:rsid w:val="00BC7EEF"/>
    <w:rsid w:val="00BD0074"/>
    <w:rsid w:val="00BD20B6"/>
    <w:rsid w:val="00BD21AF"/>
    <w:rsid w:val="00BD2EA2"/>
    <w:rsid w:val="00BD3F91"/>
    <w:rsid w:val="00BD4BE3"/>
    <w:rsid w:val="00BD5A01"/>
    <w:rsid w:val="00BD6D27"/>
    <w:rsid w:val="00BD7E55"/>
    <w:rsid w:val="00BE208F"/>
    <w:rsid w:val="00BE2C0E"/>
    <w:rsid w:val="00BE313E"/>
    <w:rsid w:val="00BE31D1"/>
    <w:rsid w:val="00BE37DA"/>
    <w:rsid w:val="00BE45C7"/>
    <w:rsid w:val="00BE615C"/>
    <w:rsid w:val="00BE76F7"/>
    <w:rsid w:val="00BE7760"/>
    <w:rsid w:val="00BE77A0"/>
    <w:rsid w:val="00BE793B"/>
    <w:rsid w:val="00BE7C3C"/>
    <w:rsid w:val="00BF1CE8"/>
    <w:rsid w:val="00BF5112"/>
    <w:rsid w:val="00BF5DEA"/>
    <w:rsid w:val="00BF7286"/>
    <w:rsid w:val="00C00348"/>
    <w:rsid w:val="00C00B37"/>
    <w:rsid w:val="00C027A1"/>
    <w:rsid w:val="00C02F7A"/>
    <w:rsid w:val="00C02F80"/>
    <w:rsid w:val="00C0335C"/>
    <w:rsid w:val="00C0350B"/>
    <w:rsid w:val="00C03D6A"/>
    <w:rsid w:val="00C03E11"/>
    <w:rsid w:val="00C0779D"/>
    <w:rsid w:val="00C11486"/>
    <w:rsid w:val="00C12173"/>
    <w:rsid w:val="00C14730"/>
    <w:rsid w:val="00C1533C"/>
    <w:rsid w:val="00C15373"/>
    <w:rsid w:val="00C1599C"/>
    <w:rsid w:val="00C15F06"/>
    <w:rsid w:val="00C15F84"/>
    <w:rsid w:val="00C16E31"/>
    <w:rsid w:val="00C176C5"/>
    <w:rsid w:val="00C17D4E"/>
    <w:rsid w:val="00C20584"/>
    <w:rsid w:val="00C20AF8"/>
    <w:rsid w:val="00C212BA"/>
    <w:rsid w:val="00C21829"/>
    <w:rsid w:val="00C2194D"/>
    <w:rsid w:val="00C225F2"/>
    <w:rsid w:val="00C22907"/>
    <w:rsid w:val="00C2417F"/>
    <w:rsid w:val="00C25322"/>
    <w:rsid w:val="00C26FB3"/>
    <w:rsid w:val="00C3109B"/>
    <w:rsid w:val="00C32EF1"/>
    <w:rsid w:val="00C347F0"/>
    <w:rsid w:val="00C34CD9"/>
    <w:rsid w:val="00C34F32"/>
    <w:rsid w:val="00C35645"/>
    <w:rsid w:val="00C35849"/>
    <w:rsid w:val="00C35F68"/>
    <w:rsid w:val="00C369DC"/>
    <w:rsid w:val="00C36A9F"/>
    <w:rsid w:val="00C36E4C"/>
    <w:rsid w:val="00C40C02"/>
    <w:rsid w:val="00C40F57"/>
    <w:rsid w:val="00C41A5B"/>
    <w:rsid w:val="00C41FC9"/>
    <w:rsid w:val="00C42341"/>
    <w:rsid w:val="00C46F70"/>
    <w:rsid w:val="00C4729B"/>
    <w:rsid w:val="00C506BD"/>
    <w:rsid w:val="00C50AEF"/>
    <w:rsid w:val="00C50B42"/>
    <w:rsid w:val="00C519A2"/>
    <w:rsid w:val="00C52452"/>
    <w:rsid w:val="00C52F9F"/>
    <w:rsid w:val="00C53A2B"/>
    <w:rsid w:val="00C551BC"/>
    <w:rsid w:val="00C6207E"/>
    <w:rsid w:val="00C623F0"/>
    <w:rsid w:val="00C6248B"/>
    <w:rsid w:val="00C640AF"/>
    <w:rsid w:val="00C64491"/>
    <w:rsid w:val="00C64CC7"/>
    <w:rsid w:val="00C65D18"/>
    <w:rsid w:val="00C66135"/>
    <w:rsid w:val="00C66264"/>
    <w:rsid w:val="00C66857"/>
    <w:rsid w:val="00C71532"/>
    <w:rsid w:val="00C753BD"/>
    <w:rsid w:val="00C75CFC"/>
    <w:rsid w:val="00C75E3A"/>
    <w:rsid w:val="00C760FD"/>
    <w:rsid w:val="00C765EC"/>
    <w:rsid w:val="00C76B98"/>
    <w:rsid w:val="00C77F08"/>
    <w:rsid w:val="00C819BD"/>
    <w:rsid w:val="00C826D7"/>
    <w:rsid w:val="00C82A8C"/>
    <w:rsid w:val="00C86101"/>
    <w:rsid w:val="00C87916"/>
    <w:rsid w:val="00C90C23"/>
    <w:rsid w:val="00C91556"/>
    <w:rsid w:val="00C915EB"/>
    <w:rsid w:val="00C943E0"/>
    <w:rsid w:val="00C961D1"/>
    <w:rsid w:val="00C9714D"/>
    <w:rsid w:val="00CA08D0"/>
    <w:rsid w:val="00CA1518"/>
    <w:rsid w:val="00CA270A"/>
    <w:rsid w:val="00CA2EDD"/>
    <w:rsid w:val="00CA4EFF"/>
    <w:rsid w:val="00CA61E0"/>
    <w:rsid w:val="00CB4F8F"/>
    <w:rsid w:val="00CB54F0"/>
    <w:rsid w:val="00CB6766"/>
    <w:rsid w:val="00CB6847"/>
    <w:rsid w:val="00CC2184"/>
    <w:rsid w:val="00CC2EE4"/>
    <w:rsid w:val="00CC3179"/>
    <w:rsid w:val="00CC673F"/>
    <w:rsid w:val="00CC7428"/>
    <w:rsid w:val="00CD000D"/>
    <w:rsid w:val="00CD0D03"/>
    <w:rsid w:val="00CD0D99"/>
    <w:rsid w:val="00CD0DA3"/>
    <w:rsid w:val="00CD1D69"/>
    <w:rsid w:val="00CD2017"/>
    <w:rsid w:val="00CD25AE"/>
    <w:rsid w:val="00CD2661"/>
    <w:rsid w:val="00CD2AD8"/>
    <w:rsid w:val="00CD341A"/>
    <w:rsid w:val="00CD3D11"/>
    <w:rsid w:val="00CD4F14"/>
    <w:rsid w:val="00CD5197"/>
    <w:rsid w:val="00CD5D67"/>
    <w:rsid w:val="00CD684B"/>
    <w:rsid w:val="00CE0622"/>
    <w:rsid w:val="00CE154B"/>
    <w:rsid w:val="00CE4073"/>
    <w:rsid w:val="00CE5FBA"/>
    <w:rsid w:val="00CE6129"/>
    <w:rsid w:val="00CE6798"/>
    <w:rsid w:val="00CE685F"/>
    <w:rsid w:val="00CE71F5"/>
    <w:rsid w:val="00CF296D"/>
    <w:rsid w:val="00CF3C45"/>
    <w:rsid w:val="00CF5500"/>
    <w:rsid w:val="00CF7778"/>
    <w:rsid w:val="00CF79EC"/>
    <w:rsid w:val="00D01020"/>
    <w:rsid w:val="00D01522"/>
    <w:rsid w:val="00D01BCA"/>
    <w:rsid w:val="00D021C1"/>
    <w:rsid w:val="00D040F6"/>
    <w:rsid w:val="00D05AE8"/>
    <w:rsid w:val="00D07915"/>
    <w:rsid w:val="00D1048E"/>
    <w:rsid w:val="00D10DB0"/>
    <w:rsid w:val="00D10ED4"/>
    <w:rsid w:val="00D11776"/>
    <w:rsid w:val="00D123B7"/>
    <w:rsid w:val="00D13697"/>
    <w:rsid w:val="00D159CE"/>
    <w:rsid w:val="00D15F67"/>
    <w:rsid w:val="00D161BD"/>
    <w:rsid w:val="00D1688D"/>
    <w:rsid w:val="00D201E2"/>
    <w:rsid w:val="00D2020F"/>
    <w:rsid w:val="00D20926"/>
    <w:rsid w:val="00D21BAB"/>
    <w:rsid w:val="00D26944"/>
    <w:rsid w:val="00D30660"/>
    <w:rsid w:val="00D32A2E"/>
    <w:rsid w:val="00D32CA4"/>
    <w:rsid w:val="00D32D1C"/>
    <w:rsid w:val="00D3481E"/>
    <w:rsid w:val="00D353D1"/>
    <w:rsid w:val="00D37E65"/>
    <w:rsid w:val="00D40F53"/>
    <w:rsid w:val="00D4134E"/>
    <w:rsid w:val="00D42720"/>
    <w:rsid w:val="00D42864"/>
    <w:rsid w:val="00D446F3"/>
    <w:rsid w:val="00D4509F"/>
    <w:rsid w:val="00D465A6"/>
    <w:rsid w:val="00D4783C"/>
    <w:rsid w:val="00D47DD9"/>
    <w:rsid w:val="00D47E9C"/>
    <w:rsid w:val="00D515FF"/>
    <w:rsid w:val="00D543BA"/>
    <w:rsid w:val="00D57EC9"/>
    <w:rsid w:val="00D60640"/>
    <w:rsid w:val="00D60D20"/>
    <w:rsid w:val="00D6189F"/>
    <w:rsid w:val="00D6263E"/>
    <w:rsid w:val="00D644FD"/>
    <w:rsid w:val="00D64597"/>
    <w:rsid w:val="00D661C6"/>
    <w:rsid w:val="00D67F4A"/>
    <w:rsid w:val="00D70631"/>
    <w:rsid w:val="00D70DEF"/>
    <w:rsid w:val="00D7389C"/>
    <w:rsid w:val="00D73DB3"/>
    <w:rsid w:val="00D73FDB"/>
    <w:rsid w:val="00D7434F"/>
    <w:rsid w:val="00D7474E"/>
    <w:rsid w:val="00D74FBF"/>
    <w:rsid w:val="00D75153"/>
    <w:rsid w:val="00D77456"/>
    <w:rsid w:val="00D836FD"/>
    <w:rsid w:val="00D85830"/>
    <w:rsid w:val="00D866B1"/>
    <w:rsid w:val="00D908DF"/>
    <w:rsid w:val="00D91BFF"/>
    <w:rsid w:val="00D92E03"/>
    <w:rsid w:val="00D94D9A"/>
    <w:rsid w:val="00D955C8"/>
    <w:rsid w:val="00D95A7C"/>
    <w:rsid w:val="00D97115"/>
    <w:rsid w:val="00DA2374"/>
    <w:rsid w:val="00DA2ABC"/>
    <w:rsid w:val="00DA47D9"/>
    <w:rsid w:val="00DA61DA"/>
    <w:rsid w:val="00DA759D"/>
    <w:rsid w:val="00DB18EA"/>
    <w:rsid w:val="00DB3E61"/>
    <w:rsid w:val="00DB49B6"/>
    <w:rsid w:val="00DB5E58"/>
    <w:rsid w:val="00DB64AC"/>
    <w:rsid w:val="00DB6F70"/>
    <w:rsid w:val="00DB7A53"/>
    <w:rsid w:val="00DC3769"/>
    <w:rsid w:val="00DC45F1"/>
    <w:rsid w:val="00DC6063"/>
    <w:rsid w:val="00DC6EAC"/>
    <w:rsid w:val="00DC78A8"/>
    <w:rsid w:val="00DD0A71"/>
    <w:rsid w:val="00DD2C92"/>
    <w:rsid w:val="00DD439A"/>
    <w:rsid w:val="00DD5E95"/>
    <w:rsid w:val="00DD78E2"/>
    <w:rsid w:val="00DE0848"/>
    <w:rsid w:val="00DE109F"/>
    <w:rsid w:val="00DE393A"/>
    <w:rsid w:val="00DE5432"/>
    <w:rsid w:val="00DE59DD"/>
    <w:rsid w:val="00DE70B4"/>
    <w:rsid w:val="00DF7185"/>
    <w:rsid w:val="00E00CB8"/>
    <w:rsid w:val="00E022A9"/>
    <w:rsid w:val="00E049F1"/>
    <w:rsid w:val="00E06419"/>
    <w:rsid w:val="00E074D3"/>
    <w:rsid w:val="00E07FFC"/>
    <w:rsid w:val="00E10387"/>
    <w:rsid w:val="00E10C77"/>
    <w:rsid w:val="00E13130"/>
    <w:rsid w:val="00E13275"/>
    <w:rsid w:val="00E145F8"/>
    <w:rsid w:val="00E148A6"/>
    <w:rsid w:val="00E17268"/>
    <w:rsid w:val="00E2001C"/>
    <w:rsid w:val="00E20AD6"/>
    <w:rsid w:val="00E20D9F"/>
    <w:rsid w:val="00E2192B"/>
    <w:rsid w:val="00E2229C"/>
    <w:rsid w:val="00E22876"/>
    <w:rsid w:val="00E23F74"/>
    <w:rsid w:val="00E24123"/>
    <w:rsid w:val="00E26E41"/>
    <w:rsid w:val="00E277D6"/>
    <w:rsid w:val="00E30462"/>
    <w:rsid w:val="00E31C6F"/>
    <w:rsid w:val="00E330FE"/>
    <w:rsid w:val="00E3353A"/>
    <w:rsid w:val="00E3421C"/>
    <w:rsid w:val="00E347B0"/>
    <w:rsid w:val="00E351C1"/>
    <w:rsid w:val="00E35A69"/>
    <w:rsid w:val="00E36B64"/>
    <w:rsid w:val="00E37734"/>
    <w:rsid w:val="00E414E5"/>
    <w:rsid w:val="00E42302"/>
    <w:rsid w:val="00E42D36"/>
    <w:rsid w:val="00E433AC"/>
    <w:rsid w:val="00E43425"/>
    <w:rsid w:val="00E537C1"/>
    <w:rsid w:val="00E53F4F"/>
    <w:rsid w:val="00E552BC"/>
    <w:rsid w:val="00E60EF2"/>
    <w:rsid w:val="00E61943"/>
    <w:rsid w:val="00E61CC7"/>
    <w:rsid w:val="00E653A3"/>
    <w:rsid w:val="00E656CD"/>
    <w:rsid w:val="00E65E14"/>
    <w:rsid w:val="00E661C5"/>
    <w:rsid w:val="00E66350"/>
    <w:rsid w:val="00E66369"/>
    <w:rsid w:val="00E6759D"/>
    <w:rsid w:val="00E7017B"/>
    <w:rsid w:val="00E718C2"/>
    <w:rsid w:val="00E718E5"/>
    <w:rsid w:val="00E72E48"/>
    <w:rsid w:val="00E8276C"/>
    <w:rsid w:val="00E82A03"/>
    <w:rsid w:val="00E831CA"/>
    <w:rsid w:val="00E847C5"/>
    <w:rsid w:val="00E856CD"/>
    <w:rsid w:val="00E90C8B"/>
    <w:rsid w:val="00E91DA8"/>
    <w:rsid w:val="00E91F80"/>
    <w:rsid w:val="00E92683"/>
    <w:rsid w:val="00E92F27"/>
    <w:rsid w:val="00E935E3"/>
    <w:rsid w:val="00E943E6"/>
    <w:rsid w:val="00E94B0A"/>
    <w:rsid w:val="00E95A32"/>
    <w:rsid w:val="00E96099"/>
    <w:rsid w:val="00E979A7"/>
    <w:rsid w:val="00E97EF7"/>
    <w:rsid w:val="00EA0507"/>
    <w:rsid w:val="00EA0EC3"/>
    <w:rsid w:val="00EA136A"/>
    <w:rsid w:val="00EA1EB3"/>
    <w:rsid w:val="00EA28F5"/>
    <w:rsid w:val="00EA2C73"/>
    <w:rsid w:val="00EA4E35"/>
    <w:rsid w:val="00EA5103"/>
    <w:rsid w:val="00EA5E23"/>
    <w:rsid w:val="00EA64C9"/>
    <w:rsid w:val="00EA6FE2"/>
    <w:rsid w:val="00EB0467"/>
    <w:rsid w:val="00EB0EEF"/>
    <w:rsid w:val="00EB1535"/>
    <w:rsid w:val="00EB20BE"/>
    <w:rsid w:val="00EB3330"/>
    <w:rsid w:val="00EB3D68"/>
    <w:rsid w:val="00EB63D2"/>
    <w:rsid w:val="00EC258B"/>
    <w:rsid w:val="00EC2669"/>
    <w:rsid w:val="00EC3568"/>
    <w:rsid w:val="00EC3A10"/>
    <w:rsid w:val="00EC425E"/>
    <w:rsid w:val="00EC517A"/>
    <w:rsid w:val="00EC5308"/>
    <w:rsid w:val="00EC7303"/>
    <w:rsid w:val="00EC7A5B"/>
    <w:rsid w:val="00ED0785"/>
    <w:rsid w:val="00ED0B91"/>
    <w:rsid w:val="00ED29EE"/>
    <w:rsid w:val="00ED32C8"/>
    <w:rsid w:val="00ED3AD1"/>
    <w:rsid w:val="00ED4C1C"/>
    <w:rsid w:val="00ED53C6"/>
    <w:rsid w:val="00ED6DDC"/>
    <w:rsid w:val="00EE524C"/>
    <w:rsid w:val="00EE587A"/>
    <w:rsid w:val="00EE5C3B"/>
    <w:rsid w:val="00EE76CE"/>
    <w:rsid w:val="00EE7F59"/>
    <w:rsid w:val="00EF1189"/>
    <w:rsid w:val="00EF217F"/>
    <w:rsid w:val="00EF490C"/>
    <w:rsid w:val="00F00845"/>
    <w:rsid w:val="00F0243E"/>
    <w:rsid w:val="00F040F3"/>
    <w:rsid w:val="00F0418E"/>
    <w:rsid w:val="00F04C15"/>
    <w:rsid w:val="00F10A0C"/>
    <w:rsid w:val="00F12C86"/>
    <w:rsid w:val="00F13026"/>
    <w:rsid w:val="00F1663E"/>
    <w:rsid w:val="00F202C7"/>
    <w:rsid w:val="00F207F5"/>
    <w:rsid w:val="00F21575"/>
    <w:rsid w:val="00F21CDF"/>
    <w:rsid w:val="00F246C5"/>
    <w:rsid w:val="00F24A82"/>
    <w:rsid w:val="00F25520"/>
    <w:rsid w:val="00F25755"/>
    <w:rsid w:val="00F26370"/>
    <w:rsid w:val="00F278E5"/>
    <w:rsid w:val="00F303A6"/>
    <w:rsid w:val="00F307E9"/>
    <w:rsid w:val="00F31895"/>
    <w:rsid w:val="00F3285E"/>
    <w:rsid w:val="00F32E5B"/>
    <w:rsid w:val="00F348AD"/>
    <w:rsid w:val="00F34CF8"/>
    <w:rsid w:val="00F3568E"/>
    <w:rsid w:val="00F368A7"/>
    <w:rsid w:val="00F4060B"/>
    <w:rsid w:val="00F407A8"/>
    <w:rsid w:val="00F4153B"/>
    <w:rsid w:val="00F41E77"/>
    <w:rsid w:val="00F42180"/>
    <w:rsid w:val="00F44D67"/>
    <w:rsid w:val="00F45EB1"/>
    <w:rsid w:val="00F461A7"/>
    <w:rsid w:val="00F46403"/>
    <w:rsid w:val="00F46680"/>
    <w:rsid w:val="00F4783E"/>
    <w:rsid w:val="00F51957"/>
    <w:rsid w:val="00F522F2"/>
    <w:rsid w:val="00F52F8B"/>
    <w:rsid w:val="00F5412D"/>
    <w:rsid w:val="00F54562"/>
    <w:rsid w:val="00F62358"/>
    <w:rsid w:val="00F626DB"/>
    <w:rsid w:val="00F63312"/>
    <w:rsid w:val="00F63AC8"/>
    <w:rsid w:val="00F65557"/>
    <w:rsid w:val="00F6555B"/>
    <w:rsid w:val="00F6624E"/>
    <w:rsid w:val="00F66FAE"/>
    <w:rsid w:val="00F67593"/>
    <w:rsid w:val="00F74381"/>
    <w:rsid w:val="00F75896"/>
    <w:rsid w:val="00F77431"/>
    <w:rsid w:val="00F77C03"/>
    <w:rsid w:val="00F80F67"/>
    <w:rsid w:val="00F812AE"/>
    <w:rsid w:val="00F81D6E"/>
    <w:rsid w:val="00F82064"/>
    <w:rsid w:val="00F820FB"/>
    <w:rsid w:val="00F87D1D"/>
    <w:rsid w:val="00F87FCD"/>
    <w:rsid w:val="00F905EC"/>
    <w:rsid w:val="00F90A90"/>
    <w:rsid w:val="00F91DCB"/>
    <w:rsid w:val="00F924D8"/>
    <w:rsid w:val="00F9442E"/>
    <w:rsid w:val="00F94816"/>
    <w:rsid w:val="00F96980"/>
    <w:rsid w:val="00F97DAF"/>
    <w:rsid w:val="00FA161E"/>
    <w:rsid w:val="00FA2055"/>
    <w:rsid w:val="00FA208E"/>
    <w:rsid w:val="00FA382B"/>
    <w:rsid w:val="00FA4C7E"/>
    <w:rsid w:val="00FA4D80"/>
    <w:rsid w:val="00FA4F03"/>
    <w:rsid w:val="00FA50E8"/>
    <w:rsid w:val="00FA6A9D"/>
    <w:rsid w:val="00FA7236"/>
    <w:rsid w:val="00FA77C8"/>
    <w:rsid w:val="00FA7E01"/>
    <w:rsid w:val="00FB0116"/>
    <w:rsid w:val="00FB03A1"/>
    <w:rsid w:val="00FB2333"/>
    <w:rsid w:val="00FB7C15"/>
    <w:rsid w:val="00FC1C7B"/>
    <w:rsid w:val="00FC20EB"/>
    <w:rsid w:val="00FC3F1B"/>
    <w:rsid w:val="00FC530A"/>
    <w:rsid w:val="00FC5DC4"/>
    <w:rsid w:val="00FC6C54"/>
    <w:rsid w:val="00FD0800"/>
    <w:rsid w:val="00FD0ACD"/>
    <w:rsid w:val="00FD2302"/>
    <w:rsid w:val="00FD31CA"/>
    <w:rsid w:val="00FD364A"/>
    <w:rsid w:val="00FD5205"/>
    <w:rsid w:val="00FD5661"/>
    <w:rsid w:val="00FD58CB"/>
    <w:rsid w:val="00FD5DDC"/>
    <w:rsid w:val="00FD7CCA"/>
    <w:rsid w:val="00FE291A"/>
    <w:rsid w:val="00FE2A9D"/>
    <w:rsid w:val="00FE4FB9"/>
    <w:rsid w:val="00FE5361"/>
    <w:rsid w:val="00FE673C"/>
    <w:rsid w:val="00FF07E3"/>
    <w:rsid w:val="00FF1AC1"/>
    <w:rsid w:val="00FF2450"/>
    <w:rsid w:val="00FF260F"/>
    <w:rsid w:val="00FF2866"/>
    <w:rsid w:val="00FF328E"/>
    <w:rsid w:val="00FF3BCD"/>
    <w:rsid w:val="00FF5B28"/>
    <w:rsid w:val="00FF5EC0"/>
    <w:rsid w:val="00FF7C18"/>
    <w:rsid w:val="01076050"/>
    <w:rsid w:val="010C3DC8"/>
    <w:rsid w:val="011E110B"/>
    <w:rsid w:val="01525212"/>
    <w:rsid w:val="01564054"/>
    <w:rsid w:val="015C0A67"/>
    <w:rsid w:val="01745FBF"/>
    <w:rsid w:val="017E6D95"/>
    <w:rsid w:val="018D0058"/>
    <w:rsid w:val="01976717"/>
    <w:rsid w:val="01A81D9E"/>
    <w:rsid w:val="01D715BE"/>
    <w:rsid w:val="01EB45BC"/>
    <w:rsid w:val="01F04981"/>
    <w:rsid w:val="01F9035B"/>
    <w:rsid w:val="01FA63A5"/>
    <w:rsid w:val="02011C7D"/>
    <w:rsid w:val="02035523"/>
    <w:rsid w:val="021C6E40"/>
    <w:rsid w:val="02222FF2"/>
    <w:rsid w:val="023615AF"/>
    <w:rsid w:val="02384FF4"/>
    <w:rsid w:val="023D0B8F"/>
    <w:rsid w:val="023F67A9"/>
    <w:rsid w:val="0247575A"/>
    <w:rsid w:val="025235B1"/>
    <w:rsid w:val="0262674D"/>
    <w:rsid w:val="02747B01"/>
    <w:rsid w:val="027619AC"/>
    <w:rsid w:val="02890D36"/>
    <w:rsid w:val="02B97DFD"/>
    <w:rsid w:val="02C866AB"/>
    <w:rsid w:val="02CB7F49"/>
    <w:rsid w:val="02D92EF7"/>
    <w:rsid w:val="02DA4665"/>
    <w:rsid w:val="02F40325"/>
    <w:rsid w:val="02FA082F"/>
    <w:rsid w:val="031126C4"/>
    <w:rsid w:val="034733B8"/>
    <w:rsid w:val="03475E56"/>
    <w:rsid w:val="0353518A"/>
    <w:rsid w:val="035E4919"/>
    <w:rsid w:val="03675F31"/>
    <w:rsid w:val="036A009A"/>
    <w:rsid w:val="037A734D"/>
    <w:rsid w:val="03844805"/>
    <w:rsid w:val="03845791"/>
    <w:rsid w:val="03A011E9"/>
    <w:rsid w:val="03AE7F27"/>
    <w:rsid w:val="03BD2BCD"/>
    <w:rsid w:val="03CC058D"/>
    <w:rsid w:val="03E017D2"/>
    <w:rsid w:val="03F447E2"/>
    <w:rsid w:val="03F77068"/>
    <w:rsid w:val="03FB660C"/>
    <w:rsid w:val="042E37DB"/>
    <w:rsid w:val="043D750E"/>
    <w:rsid w:val="04416C20"/>
    <w:rsid w:val="04732647"/>
    <w:rsid w:val="047968B1"/>
    <w:rsid w:val="047A0F78"/>
    <w:rsid w:val="04870542"/>
    <w:rsid w:val="04B30F7A"/>
    <w:rsid w:val="050E236F"/>
    <w:rsid w:val="054C0111"/>
    <w:rsid w:val="05545DD3"/>
    <w:rsid w:val="056E2AD6"/>
    <w:rsid w:val="05720B50"/>
    <w:rsid w:val="05806815"/>
    <w:rsid w:val="058251D3"/>
    <w:rsid w:val="058C28F1"/>
    <w:rsid w:val="05945CCE"/>
    <w:rsid w:val="059D05A4"/>
    <w:rsid w:val="059D5E17"/>
    <w:rsid w:val="059E1E1A"/>
    <w:rsid w:val="05AB0A28"/>
    <w:rsid w:val="05AB0F81"/>
    <w:rsid w:val="05B93D6B"/>
    <w:rsid w:val="05C23EEE"/>
    <w:rsid w:val="05CA273A"/>
    <w:rsid w:val="05CA4074"/>
    <w:rsid w:val="05D53002"/>
    <w:rsid w:val="05D75738"/>
    <w:rsid w:val="05EB110D"/>
    <w:rsid w:val="05EB4481"/>
    <w:rsid w:val="05F17CC7"/>
    <w:rsid w:val="061E7D14"/>
    <w:rsid w:val="06446B44"/>
    <w:rsid w:val="06560AED"/>
    <w:rsid w:val="066469C9"/>
    <w:rsid w:val="066646A1"/>
    <w:rsid w:val="066E164D"/>
    <w:rsid w:val="068E7B23"/>
    <w:rsid w:val="06983B20"/>
    <w:rsid w:val="069A3B66"/>
    <w:rsid w:val="06A869D6"/>
    <w:rsid w:val="06A9264E"/>
    <w:rsid w:val="06B31420"/>
    <w:rsid w:val="06B91765"/>
    <w:rsid w:val="06CA2AD2"/>
    <w:rsid w:val="06CB0D68"/>
    <w:rsid w:val="06CE3071"/>
    <w:rsid w:val="06D33DBA"/>
    <w:rsid w:val="06D73361"/>
    <w:rsid w:val="06E13F9F"/>
    <w:rsid w:val="06FB0AC5"/>
    <w:rsid w:val="06FE7278"/>
    <w:rsid w:val="070D2D5D"/>
    <w:rsid w:val="07104A12"/>
    <w:rsid w:val="07111B8D"/>
    <w:rsid w:val="072916E2"/>
    <w:rsid w:val="072C5514"/>
    <w:rsid w:val="0737768A"/>
    <w:rsid w:val="074A5B92"/>
    <w:rsid w:val="075D0147"/>
    <w:rsid w:val="075E3193"/>
    <w:rsid w:val="078E18EB"/>
    <w:rsid w:val="07AA2823"/>
    <w:rsid w:val="07B02D9F"/>
    <w:rsid w:val="07B10EA5"/>
    <w:rsid w:val="07C510CB"/>
    <w:rsid w:val="07CD6512"/>
    <w:rsid w:val="07CE3FA1"/>
    <w:rsid w:val="07EC2ECB"/>
    <w:rsid w:val="07FE66CB"/>
    <w:rsid w:val="080B4D47"/>
    <w:rsid w:val="081B727D"/>
    <w:rsid w:val="081D2FF5"/>
    <w:rsid w:val="08321601"/>
    <w:rsid w:val="08326375"/>
    <w:rsid w:val="083D5C91"/>
    <w:rsid w:val="0847191F"/>
    <w:rsid w:val="08591DC3"/>
    <w:rsid w:val="085B58CB"/>
    <w:rsid w:val="08646B4D"/>
    <w:rsid w:val="08672793"/>
    <w:rsid w:val="08695E80"/>
    <w:rsid w:val="087C4541"/>
    <w:rsid w:val="087E5595"/>
    <w:rsid w:val="08BC0A60"/>
    <w:rsid w:val="08C52D6F"/>
    <w:rsid w:val="08CC5DF3"/>
    <w:rsid w:val="08E42BE4"/>
    <w:rsid w:val="08EF0201"/>
    <w:rsid w:val="08F41DE8"/>
    <w:rsid w:val="093B5D94"/>
    <w:rsid w:val="093D1475"/>
    <w:rsid w:val="094840A2"/>
    <w:rsid w:val="09644C54"/>
    <w:rsid w:val="096F5AD2"/>
    <w:rsid w:val="09737462"/>
    <w:rsid w:val="099156C3"/>
    <w:rsid w:val="09A33F5B"/>
    <w:rsid w:val="09A53F39"/>
    <w:rsid w:val="09A60E13"/>
    <w:rsid w:val="09A82D92"/>
    <w:rsid w:val="09AB2883"/>
    <w:rsid w:val="09BE25B6"/>
    <w:rsid w:val="09C5316B"/>
    <w:rsid w:val="09CD0A4B"/>
    <w:rsid w:val="09D206F0"/>
    <w:rsid w:val="0A321AC2"/>
    <w:rsid w:val="0A343D4E"/>
    <w:rsid w:val="0A344626"/>
    <w:rsid w:val="0A3E6D2E"/>
    <w:rsid w:val="0A4232E4"/>
    <w:rsid w:val="0A4F145F"/>
    <w:rsid w:val="0A8455AD"/>
    <w:rsid w:val="0A8729A8"/>
    <w:rsid w:val="0AD13A85"/>
    <w:rsid w:val="0AE0655C"/>
    <w:rsid w:val="0B091954"/>
    <w:rsid w:val="0B0C55A3"/>
    <w:rsid w:val="0B195776"/>
    <w:rsid w:val="0B1A7CC0"/>
    <w:rsid w:val="0B34773E"/>
    <w:rsid w:val="0B3B7D65"/>
    <w:rsid w:val="0B434C20"/>
    <w:rsid w:val="0B5F0822"/>
    <w:rsid w:val="0B637D77"/>
    <w:rsid w:val="0B7006C4"/>
    <w:rsid w:val="0B726646"/>
    <w:rsid w:val="0B7606E8"/>
    <w:rsid w:val="0B8B471A"/>
    <w:rsid w:val="0B924545"/>
    <w:rsid w:val="0BAC324F"/>
    <w:rsid w:val="0BB40DF1"/>
    <w:rsid w:val="0BC11EE9"/>
    <w:rsid w:val="0BF16C73"/>
    <w:rsid w:val="0BF72F1E"/>
    <w:rsid w:val="0C0A7D34"/>
    <w:rsid w:val="0C230DF6"/>
    <w:rsid w:val="0C3152C1"/>
    <w:rsid w:val="0C3957A5"/>
    <w:rsid w:val="0C507E2F"/>
    <w:rsid w:val="0C600D66"/>
    <w:rsid w:val="0C626DA7"/>
    <w:rsid w:val="0C6876AE"/>
    <w:rsid w:val="0C71390F"/>
    <w:rsid w:val="0C720EC8"/>
    <w:rsid w:val="0C942042"/>
    <w:rsid w:val="0C9D50DC"/>
    <w:rsid w:val="0CA5271D"/>
    <w:rsid w:val="0CAC4D10"/>
    <w:rsid w:val="0CC53C5B"/>
    <w:rsid w:val="0CC72121"/>
    <w:rsid w:val="0CEE5A21"/>
    <w:rsid w:val="0D05268E"/>
    <w:rsid w:val="0D0646E7"/>
    <w:rsid w:val="0D0C38CA"/>
    <w:rsid w:val="0D206810"/>
    <w:rsid w:val="0D4861FD"/>
    <w:rsid w:val="0D735465"/>
    <w:rsid w:val="0DA47D15"/>
    <w:rsid w:val="0DC577E0"/>
    <w:rsid w:val="0DDC6319"/>
    <w:rsid w:val="0DE1181F"/>
    <w:rsid w:val="0DFA5B87"/>
    <w:rsid w:val="0DFE4F67"/>
    <w:rsid w:val="0E0C0D4C"/>
    <w:rsid w:val="0E115DA1"/>
    <w:rsid w:val="0E1409F6"/>
    <w:rsid w:val="0E162D6D"/>
    <w:rsid w:val="0E460DCC"/>
    <w:rsid w:val="0E541CA2"/>
    <w:rsid w:val="0E594756"/>
    <w:rsid w:val="0E95596D"/>
    <w:rsid w:val="0EAE6205"/>
    <w:rsid w:val="0EAE6579"/>
    <w:rsid w:val="0EAF71BF"/>
    <w:rsid w:val="0ECE6257"/>
    <w:rsid w:val="0EE4129D"/>
    <w:rsid w:val="0F171032"/>
    <w:rsid w:val="0F335E69"/>
    <w:rsid w:val="0F372614"/>
    <w:rsid w:val="0F3D59C9"/>
    <w:rsid w:val="0F516D5A"/>
    <w:rsid w:val="0F565B36"/>
    <w:rsid w:val="0F684933"/>
    <w:rsid w:val="0F6A666F"/>
    <w:rsid w:val="0F6E2388"/>
    <w:rsid w:val="0F821E7D"/>
    <w:rsid w:val="0FC91CB4"/>
    <w:rsid w:val="0FCA42ED"/>
    <w:rsid w:val="0FDB5F4F"/>
    <w:rsid w:val="0FE7592C"/>
    <w:rsid w:val="0FEE34C9"/>
    <w:rsid w:val="0FF07749"/>
    <w:rsid w:val="0FFC17A5"/>
    <w:rsid w:val="0FFD20F0"/>
    <w:rsid w:val="10142F30"/>
    <w:rsid w:val="10352857"/>
    <w:rsid w:val="103E6E57"/>
    <w:rsid w:val="1041497B"/>
    <w:rsid w:val="10425FF6"/>
    <w:rsid w:val="106612B1"/>
    <w:rsid w:val="109010E6"/>
    <w:rsid w:val="10B271F4"/>
    <w:rsid w:val="10B537CC"/>
    <w:rsid w:val="10C61D50"/>
    <w:rsid w:val="10C8275C"/>
    <w:rsid w:val="10C86D3B"/>
    <w:rsid w:val="10E03539"/>
    <w:rsid w:val="10E82D1F"/>
    <w:rsid w:val="10EE5C94"/>
    <w:rsid w:val="10F5757C"/>
    <w:rsid w:val="10F93ED3"/>
    <w:rsid w:val="110E3695"/>
    <w:rsid w:val="111D7BC2"/>
    <w:rsid w:val="11250F40"/>
    <w:rsid w:val="113329E7"/>
    <w:rsid w:val="113F294C"/>
    <w:rsid w:val="11437C85"/>
    <w:rsid w:val="11575085"/>
    <w:rsid w:val="1166372C"/>
    <w:rsid w:val="11700D10"/>
    <w:rsid w:val="1178125A"/>
    <w:rsid w:val="118441E0"/>
    <w:rsid w:val="1196056D"/>
    <w:rsid w:val="11B85B3D"/>
    <w:rsid w:val="11CD20A0"/>
    <w:rsid w:val="11D34654"/>
    <w:rsid w:val="12010480"/>
    <w:rsid w:val="120E707F"/>
    <w:rsid w:val="121D0051"/>
    <w:rsid w:val="12413D84"/>
    <w:rsid w:val="12415B32"/>
    <w:rsid w:val="127A7D1C"/>
    <w:rsid w:val="12836D8B"/>
    <w:rsid w:val="12993BC0"/>
    <w:rsid w:val="12AB0349"/>
    <w:rsid w:val="12B66520"/>
    <w:rsid w:val="12CD57F1"/>
    <w:rsid w:val="12CE5941"/>
    <w:rsid w:val="12CE7AFA"/>
    <w:rsid w:val="12D67466"/>
    <w:rsid w:val="12D76496"/>
    <w:rsid w:val="13036052"/>
    <w:rsid w:val="13272A5D"/>
    <w:rsid w:val="132A2A6A"/>
    <w:rsid w:val="133C40E3"/>
    <w:rsid w:val="133F4BFF"/>
    <w:rsid w:val="13410069"/>
    <w:rsid w:val="13493108"/>
    <w:rsid w:val="134A4EBA"/>
    <w:rsid w:val="13713CFE"/>
    <w:rsid w:val="13733928"/>
    <w:rsid w:val="13741F37"/>
    <w:rsid w:val="13857CA0"/>
    <w:rsid w:val="13920D68"/>
    <w:rsid w:val="139C16C9"/>
    <w:rsid w:val="13A5238E"/>
    <w:rsid w:val="13B63CE1"/>
    <w:rsid w:val="13BC6684"/>
    <w:rsid w:val="13C72B3A"/>
    <w:rsid w:val="13D12EE6"/>
    <w:rsid w:val="13DF575E"/>
    <w:rsid w:val="13E470BD"/>
    <w:rsid w:val="13EE3A98"/>
    <w:rsid w:val="13F3280A"/>
    <w:rsid w:val="142123F7"/>
    <w:rsid w:val="142A11D8"/>
    <w:rsid w:val="144B544C"/>
    <w:rsid w:val="145B7B45"/>
    <w:rsid w:val="14627FE2"/>
    <w:rsid w:val="14717443"/>
    <w:rsid w:val="14825F8A"/>
    <w:rsid w:val="148C70AD"/>
    <w:rsid w:val="148D52E3"/>
    <w:rsid w:val="14992B90"/>
    <w:rsid w:val="149F10C7"/>
    <w:rsid w:val="14AF1856"/>
    <w:rsid w:val="14AF19A3"/>
    <w:rsid w:val="14B22D17"/>
    <w:rsid w:val="14B53957"/>
    <w:rsid w:val="14C53ECE"/>
    <w:rsid w:val="14CF6CB0"/>
    <w:rsid w:val="14D10E8D"/>
    <w:rsid w:val="14DB04C0"/>
    <w:rsid w:val="14DC5FE6"/>
    <w:rsid w:val="14E002E6"/>
    <w:rsid w:val="14FC36BD"/>
    <w:rsid w:val="14FF5EA7"/>
    <w:rsid w:val="15011746"/>
    <w:rsid w:val="15127C5A"/>
    <w:rsid w:val="151E3A0F"/>
    <w:rsid w:val="15204125"/>
    <w:rsid w:val="152534E9"/>
    <w:rsid w:val="153A36AA"/>
    <w:rsid w:val="15477903"/>
    <w:rsid w:val="1557566D"/>
    <w:rsid w:val="156E0971"/>
    <w:rsid w:val="15785B3E"/>
    <w:rsid w:val="15811F1B"/>
    <w:rsid w:val="159C41BD"/>
    <w:rsid w:val="15A30135"/>
    <w:rsid w:val="15A34015"/>
    <w:rsid w:val="15BB487B"/>
    <w:rsid w:val="15CE086D"/>
    <w:rsid w:val="15E2236F"/>
    <w:rsid w:val="16005D04"/>
    <w:rsid w:val="161D09ED"/>
    <w:rsid w:val="162323A3"/>
    <w:rsid w:val="162F30B1"/>
    <w:rsid w:val="16481B85"/>
    <w:rsid w:val="1650762F"/>
    <w:rsid w:val="16510F12"/>
    <w:rsid w:val="166448F9"/>
    <w:rsid w:val="1677211D"/>
    <w:rsid w:val="16774218"/>
    <w:rsid w:val="167954F9"/>
    <w:rsid w:val="169311EC"/>
    <w:rsid w:val="169C5A2D"/>
    <w:rsid w:val="169F7296"/>
    <w:rsid w:val="16A060BA"/>
    <w:rsid w:val="16A57EAF"/>
    <w:rsid w:val="16A918E4"/>
    <w:rsid w:val="16AC6E3F"/>
    <w:rsid w:val="16B56AEF"/>
    <w:rsid w:val="16C872D5"/>
    <w:rsid w:val="16D54FA3"/>
    <w:rsid w:val="16D84D9F"/>
    <w:rsid w:val="16E94D3E"/>
    <w:rsid w:val="170D06E0"/>
    <w:rsid w:val="17233E03"/>
    <w:rsid w:val="17332185"/>
    <w:rsid w:val="17475951"/>
    <w:rsid w:val="175C542D"/>
    <w:rsid w:val="175D0ED4"/>
    <w:rsid w:val="17793FC0"/>
    <w:rsid w:val="179D33A9"/>
    <w:rsid w:val="179F2E61"/>
    <w:rsid w:val="17A06264"/>
    <w:rsid w:val="17BE19D3"/>
    <w:rsid w:val="17C227C0"/>
    <w:rsid w:val="17D66D7C"/>
    <w:rsid w:val="17DE0EDF"/>
    <w:rsid w:val="17EE5BFF"/>
    <w:rsid w:val="18097740"/>
    <w:rsid w:val="18136133"/>
    <w:rsid w:val="182A0E16"/>
    <w:rsid w:val="184055B9"/>
    <w:rsid w:val="184A2082"/>
    <w:rsid w:val="185D3C42"/>
    <w:rsid w:val="185F38AF"/>
    <w:rsid w:val="188F0211"/>
    <w:rsid w:val="18AD1BEB"/>
    <w:rsid w:val="18B3004A"/>
    <w:rsid w:val="18B31B6D"/>
    <w:rsid w:val="18B96080"/>
    <w:rsid w:val="18CE20EA"/>
    <w:rsid w:val="18DB2CD8"/>
    <w:rsid w:val="18F67868"/>
    <w:rsid w:val="190B2D88"/>
    <w:rsid w:val="190B5C5B"/>
    <w:rsid w:val="190E6B63"/>
    <w:rsid w:val="19123928"/>
    <w:rsid w:val="19194264"/>
    <w:rsid w:val="19283048"/>
    <w:rsid w:val="19420786"/>
    <w:rsid w:val="19427EC0"/>
    <w:rsid w:val="195711D7"/>
    <w:rsid w:val="195D2A3F"/>
    <w:rsid w:val="198310E9"/>
    <w:rsid w:val="198D747A"/>
    <w:rsid w:val="19A15638"/>
    <w:rsid w:val="19A74DFE"/>
    <w:rsid w:val="19A753EF"/>
    <w:rsid w:val="1A125525"/>
    <w:rsid w:val="1A5F4342"/>
    <w:rsid w:val="1A616E2C"/>
    <w:rsid w:val="1A715D02"/>
    <w:rsid w:val="1A7840BB"/>
    <w:rsid w:val="1A7F369B"/>
    <w:rsid w:val="1A8C5D82"/>
    <w:rsid w:val="1A994988"/>
    <w:rsid w:val="1A9B546C"/>
    <w:rsid w:val="1A9E141F"/>
    <w:rsid w:val="1AA3511F"/>
    <w:rsid w:val="1AAE3B54"/>
    <w:rsid w:val="1AC10987"/>
    <w:rsid w:val="1AEB6F83"/>
    <w:rsid w:val="1AF423FA"/>
    <w:rsid w:val="1B0C5B32"/>
    <w:rsid w:val="1B0D3E82"/>
    <w:rsid w:val="1B1464DA"/>
    <w:rsid w:val="1B1652AB"/>
    <w:rsid w:val="1B181CD5"/>
    <w:rsid w:val="1B265306"/>
    <w:rsid w:val="1B4346C9"/>
    <w:rsid w:val="1B486183"/>
    <w:rsid w:val="1B4F2450"/>
    <w:rsid w:val="1B50619C"/>
    <w:rsid w:val="1B530868"/>
    <w:rsid w:val="1B6573E8"/>
    <w:rsid w:val="1B6922A5"/>
    <w:rsid w:val="1B721452"/>
    <w:rsid w:val="1B8C18B7"/>
    <w:rsid w:val="1BB73AE1"/>
    <w:rsid w:val="1BDA6D68"/>
    <w:rsid w:val="1BF14125"/>
    <w:rsid w:val="1C002CEE"/>
    <w:rsid w:val="1C4032FE"/>
    <w:rsid w:val="1C555978"/>
    <w:rsid w:val="1C6554A1"/>
    <w:rsid w:val="1C7971B7"/>
    <w:rsid w:val="1C8036FB"/>
    <w:rsid w:val="1C917D91"/>
    <w:rsid w:val="1CAB2820"/>
    <w:rsid w:val="1CC45CDD"/>
    <w:rsid w:val="1CD402EC"/>
    <w:rsid w:val="1CED16EF"/>
    <w:rsid w:val="1CF02333"/>
    <w:rsid w:val="1D047E88"/>
    <w:rsid w:val="1D0C33A2"/>
    <w:rsid w:val="1D0C4F8F"/>
    <w:rsid w:val="1D113E6E"/>
    <w:rsid w:val="1D114E5E"/>
    <w:rsid w:val="1D1F0050"/>
    <w:rsid w:val="1D214EDE"/>
    <w:rsid w:val="1D2222DC"/>
    <w:rsid w:val="1D5144F7"/>
    <w:rsid w:val="1D5B3CDE"/>
    <w:rsid w:val="1D5D0701"/>
    <w:rsid w:val="1D6E2950"/>
    <w:rsid w:val="1D79298C"/>
    <w:rsid w:val="1D98209B"/>
    <w:rsid w:val="1DA23746"/>
    <w:rsid w:val="1DAA14B9"/>
    <w:rsid w:val="1DD04513"/>
    <w:rsid w:val="1DD41786"/>
    <w:rsid w:val="1DD8524D"/>
    <w:rsid w:val="1DDD2BCB"/>
    <w:rsid w:val="1E0345E3"/>
    <w:rsid w:val="1E1B7B7F"/>
    <w:rsid w:val="1E2F53D8"/>
    <w:rsid w:val="1E443370"/>
    <w:rsid w:val="1E5F5CBE"/>
    <w:rsid w:val="1E656063"/>
    <w:rsid w:val="1E6B06A5"/>
    <w:rsid w:val="1E7554E1"/>
    <w:rsid w:val="1E7F7D9E"/>
    <w:rsid w:val="1E840DA4"/>
    <w:rsid w:val="1EA5444C"/>
    <w:rsid w:val="1EA5569B"/>
    <w:rsid w:val="1EB350EF"/>
    <w:rsid w:val="1EC21749"/>
    <w:rsid w:val="1ECD4970"/>
    <w:rsid w:val="1EEB7C4E"/>
    <w:rsid w:val="1F072441"/>
    <w:rsid w:val="1F171B83"/>
    <w:rsid w:val="1F2D4691"/>
    <w:rsid w:val="1F2D491A"/>
    <w:rsid w:val="1F3F789D"/>
    <w:rsid w:val="1F4570D0"/>
    <w:rsid w:val="1F4E5D32"/>
    <w:rsid w:val="1F66355F"/>
    <w:rsid w:val="1F7369C7"/>
    <w:rsid w:val="1F9113A9"/>
    <w:rsid w:val="1F94547B"/>
    <w:rsid w:val="1FA47700"/>
    <w:rsid w:val="1FAF308C"/>
    <w:rsid w:val="1FB64FF9"/>
    <w:rsid w:val="1FC11109"/>
    <w:rsid w:val="1FDA3223"/>
    <w:rsid w:val="1FDE2C12"/>
    <w:rsid w:val="1FEF08C8"/>
    <w:rsid w:val="1FF72E6A"/>
    <w:rsid w:val="1FFB6F12"/>
    <w:rsid w:val="201B3ED4"/>
    <w:rsid w:val="20230F6D"/>
    <w:rsid w:val="20310B02"/>
    <w:rsid w:val="20344F28"/>
    <w:rsid w:val="206F0406"/>
    <w:rsid w:val="207417C9"/>
    <w:rsid w:val="20784063"/>
    <w:rsid w:val="207E346A"/>
    <w:rsid w:val="208E12C3"/>
    <w:rsid w:val="209502A3"/>
    <w:rsid w:val="20EA3839"/>
    <w:rsid w:val="2100305C"/>
    <w:rsid w:val="210F579E"/>
    <w:rsid w:val="21163FF0"/>
    <w:rsid w:val="211B39F2"/>
    <w:rsid w:val="212550B5"/>
    <w:rsid w:val="21592B62"/>
    <w:rsid w:val="2172049B"/>
    <w:rsid w:val="21747CD2"/>
    <w:rsid w:val="219263AA"/>
    <w:rsid w:val="219E5782"/>
    <w:rsid w:val="21A8797C"/>
    <w:rsid w:val="21D10545"/>
    <w:rsid w:val="21E72B0B"/>
    <w:rsid w:val="21E76A4A"/>
    <w:rsid w:val="21EE607E"/>
    <w:rsid w:val="21F66F4C"/>
    <w:rsid w:val="221F2D96"/>
    <w:rsid w:val="22246DB1"/>
    <w:rsid w:val="22440067"/>
    <w:rsid w:val="225A6017"/>
    <w:rsid w:val="22631AF5"/>
    <w:rsid w:val="227A5532"/>
    <w:rsid w:val="22843A03"/>
    <w:rsid w:val="228E5C2C"/>
    <w:rsid w:val="22A338AB"/>
    <w:rsid w:val="22AD37A2"/>
    <w:rsid w:val="22B31E8A"/>
    <w:rsid w:val="22C05285"/>
    <w:rsid w:val="22C735BD"/>
    <w:rsid w:val="22CF0F38"/>
    <w:rsid w:val="22D729A8"/>
    <w:rsid w:val="22F06957"/>
    <w:rsid w:val="22F54EA7"/>
    <w:rsid w:val="23057681"/>
    <w:rsid w:val="23122833"/>
    <w:rsid w:val="231D4917"/>
    <w:rsid w:val="23223458"/>
    <w:rsid w:val="23225D32"/>
    <w:rsid w:val="23357BE6"/>
    <w:rsid w:val="2342574E"/>
    <w:rsid w:val="2355143D"/>
    <w:rsid w:val="236D1BFA"/>
    <w:rsid w:val="236D331D"/>
    <w:rsid w:val="2377331D"/>
    <w:rsid w:val="237D43DE"/>
    <w:rsid w:val="23940114"/>
    <w:rsid w:val="239A1546"/>
    <w:rsid w:val="239A1BA6"/>
    <w:rsid w:val="23B57016"/>
    <w:rsid w:val="23C4797E"/>
    <w:rsid w:val="23CD5478"/>
    <w:rsid w:val="23D4764B"/>
    <w:rsid w:val="23EC3718"/>
    <w:rsid w:val="23EE304F"/>
    <w:rsid w:val="23FD7010"/>
    <w:rsid w:val="240243FC"/>
    <w:rsid w:val="24044EF2"/>
    <w:rsid w:val="2407139D"/>
    <w:rsid w:val="240B04F4"/>
    <w:rsid w:val="240E369A"/>
    <w:rsid w:val="241E2177"/>
    <w:rsid w:val="242A0646"/>
    <w:rsid w:val="2435301D"/>
    <w:rsid w:val="243A0633"/>
    <w:rsid w:val="243D6E1A"/>
    <w:rsid w:val="24453D05"/>
    <w:rsid w:val="244A2F6C"/>
    <w:rsid w:val="24607F91"/>
    <w:rsid w:val="246C581B"/>
    <w:rsid w:val="247C52A2"/>
    <w:rsid w:val="24942917"/>
    <w:rsid w:val="24AE34FB"/>
    <w:rsid w:val="24CC106B"/>
    <w:rsid w:val="24D00598"/>
    <w:rsid w:val="24D725E9"/>
    <w:rsid w:val="24EC31CF"/>
    <w:rsid w:val="25045F70"/>
    <w:rsid w:val="250474F1"/>
    <w:rsid w:val="25056E93"/>
    <w:rsid w:val="25092EBA"/>
    <w:rsid w:val="250E5D48"/>
    <w:rsid w:val="25241020"/>
    <w:rsid w:val="25302410"/>
    <w:rsid w:val="257572C3"/>
    <w:rsid w:val="25790E85"/>
    <w:rsid w:val="258D6E68"/>
    <w:rsid w:val="258E70E1"/>
    <w:rsid w:val="25965D3D"/>
    <w:rsid w:val="25972C60"/>
    <w:rsid w:val="25974C6F"/>
    <w:rsid w:val="259D1676"/>
    <w:rsid w:val="25A353EB"/>
    <w:rsid w:val="25B87B65"/>
    <w:rsid w:val="25CB78C3"/>
    <w:rsid w:val="25D54390"/>
    <w:rsid w:val="25D6438C"/>
    <w:rsid w:val="261879A7"/>
    <w:rsid w:val="261A071C"/>
    <w:rsid w:val="26395046"/>
    <w:rsid w:val="264B0BA4"/>
    <w:rsid w:val="264F4111"/>
    <w:rsid w:val="265E0AEC"/>
    <w:rsid w:val="2661459D"/>
    <w:rsid w:val="268C5256"/>
    <w:rsid w:val="268E455B"/>
    <w:rsid w:val="26912B30"/>
    <w:rsid w:val="269772F0"/>
    <w:rsid w:val="26997893"/>
    <w:rsid w:val="26A30712"/>
    <w:rsid w:val="26AC0C27"/>
    <w:rsid w:val="26C807A6"/>
    <w:rsid w:val="26D1527F"/>
    <w:rsid w:val="26D23F28"/>
    <w:rsid w:val="26DB67BA"/>
    <w:rsid w:val="26DE3298"/>
    <w:rsid w:val="26E311CD"/>
    <w:rsid w:val="26E703A9"/>
    <w:rsid w:val="26EF24ED"/>
    <w:rsid w:val="26F1408A"/>
    <w:rsid w:val="26F86CAF"/>
    <w:rsid w:val="26F96584"/>
    <w:rsid w:val="26FC4FA5"/>
    <w:rsid w:val="27015370"/>
    <w:rsid w:val="270B421F"/>
    <w:rsid w:val="271F6B87"/>
    <w:rsid w:val="274E2228"/>
    <w:rsid w:val="27517A93"/>
    <w:rsid w:val="27565784"/>
    <w:rsid w:val="275E53AF"/>
    <w:rsid w:val="27606603"/>
    <w:rsid w:val="276658E8"/>
    <w:rsid w:val="276F6846"/>
    <w:rsid w:val="277D71B5"/>
    <w:rsid w:val="277E30D2"/>
    <w:rsid w:val="27803F2A"/>
    <w:rsid w:val="278A18D2"/>
    <w:rsid w:val="27983FEE"/>
    <w:rsid w:val="27A34941"/>
    <w:rsid w:val="27A97FAA"/>
    <w:rsid w:val="27EE3A7B"/>
    <w:rsid w:val="27FA25B3"/>
    <w:rsid w:val="28033B5E"/>
    <w:rsid w:val="28100029"/>
    <w:rsid w:val="282B09BF"/>
    <w:rsid w:val="282E4F00"/>
    <w:rsid w:val="283C23DF"/>
    <w:rsid w:val="283D69F1"/>
    <w:rsid w:val="283F090E"/>
    <w:rsid w:val="284C16F5"/>
    <w:rsid w:val="28570AB5"/>
    <w:rsid w:val="285F2CDC"/>
    <w:rsid w:val="28622C36"/>
    <w:rsid w:val="2869172C"/>
    <w:rsid w:val="288C2D07"/>
    <w:rsid w:val="289E7E22"/>
    <w:rsid w:val="28C2534B"/>
    <w:rsid w:val="28C5525A"/>
    <w:rsid w:val="28D14B96"/>
    <w:rsid w:val="29020C46"/>
    <w:rsid w:val="290240C7"/>
    <w:rsid w:val="291713AF"/>
    <w:rsid w:val="29176C82"/>
    <w:rsid w:val="291A2B97"/>
    <w:rsid w:val="29274EE0"/>
    <w:rsid w:val="29361D11"/>
    <w:rsid w:val="294F692F"/>
    <w:rsid w:val="295029E3"/>
    <w:rsid w:val="29543A59"/>
    <w:rsid w:val="29670ED3"/>
    <w:rsid w:val="2969197F"/>
    <w:rsid w:val="29746E87"/>
    <w:rsid w:val="297939AC"/>
    <w:rsid w:val="297C03C2"/>
    <w:rsid w:val="299573AB"/>
    <w:rsid w:val="29B05804"/>
    <w:rsid w:val="29BE5BD0"/>
    <w:rsid w:val="29C01572"/>
    <w:rsid w:val="29C25353"/>
    <w:rsid w:val="29CA4207"/>
    <w:rsid w:val="29D82DC8"/>
    <w:rsid w:val="29DA08EE"/>
    <w:rsid w:val="29DB6414"/>
    <w:rsid w:val="29E74CE2"/>
    <w:rsid w:val="2A133E00"/>
    <w:rsid w:val="2A241B69"/>
    <w:rsid w:val="2A306A36"/>
    <w:rsid w:val="2A457300"/>
    <w:rsid w:val="2A4A7E78"/>
    <w:rsid w:val="2A5372C6"/>
    <w:rsid w:val="2A5A558B"/>
    <w:rsid w:val="2A5B03D8"/>
    <w:rsid w:val="2A6F6D07"/>
    <w:rsid w:val="2A852253"/>
    <w:rsid w:val="2A882500"/>
    <w:rsid w:val="2A9A007E"/>
    <w:rsid w:val="2AA35184"/>
    <w:rsid w:val="2AAB4E76"/>
    <w:rsid w:val="2AB63ABC"/>
    <w:rsid w:val="2AB63D0A"/>
    <w:rsid w:val="2AC31382"/>
    <w:rsid w:val="2AD0584D"/>
    <w:rsid w:val="2AD549F8"/>
    <w:rsid w:val="2AEA74E5"/>
    <w:rsid w:val="2AFB4FC0"/>
    <w:rsid w:val="2B003D00"/>
    <w:rsid w:val="2B074D5E"/>
    <w:rsid w:val="2B0A6991"/>
    <w:rsid w:val="2B100BA9"/>
    <w:rsid w:val="2B1B5825"/>
    <w:rsid w:val="2B1E3AFC"/>
    <w:rsid w:val="2B4A5600"/>
    <w:rsid w:val="2B574FD9"/>
    <w:rsid w:val="2B642979"/>
    <w:rsid w:val="2B681F2A"/>
    <w:rsid w:val="2B8D373E"/>
    <w:rsid w:val="2B8E1990"/>
    <w:rsid w:val="2B9E4F56"/>
    <w:rsid w:val="2BD96984"/>
    <w:rsid w:val="2BDB5A88"/>
    <w:rsid w:val="2BDB6BA0"/>
    <w:rsid w:val="2BE91C37"/>
    <w:rsid w:val="2BEC3F72"/>
    <w:rsid w:val="2C083572"/>
    <w:rsid w:val="2C185F94"/>
    <w:rsid w:val="2C1F1AC4"/>
    <w:rsid w:val="2C2945BA"/>
    <w:rsid w:val="2C2E71FC"/>
    <w:rsid w:val="2C3F3A41"/>
    <w:rsid w:val="2C4431C4"/>
    <w:rsid w:val="2C55747C"/>
    <w:rsid w:val="2C62059F"/>
    <w:rsid w:val="2C6634FA"/>
    <w:rsid w:val="2C7566AC"/>
    <w:rsid w:val="2C7843EE"/>
    <w:rsid w:val="2CA25191"/>
    <w:rsid w:val="2CAC022C"/>
    <w:rsid w:val="2CC11807"/>
    <w:rsid w:val="2CC66CD6"/>
    <w:rsid w:val="2CE327BC"/>
    <w:rsid w:val="2CF16074"/>
    <w:rsid w:val="2CF81D1B"/>
    <w:rsid w:val="2D3F2453"/>
    <w:rsid w:val="2D517119"/>
    <w:rsid w:val="2D6F134E"/>
    <w:rsid w:val="2D835174"/>
    <w:rsid w:val="2D9331F9"/>
    <w:rsid w:val="2DB573A3"/>
    <w:rsid w:val="2DD90B7B"/>
    <w:rsid w:val="2DD92C6B"/>
    <w:rsid w:val="2DDD3FC1"/>
    <w:rsid w:val="2DE107CF"/>
    <w:rsid w:val="2DE531B8"/>
    <w:rsid w:val="2DEA131C"/>
    <w:rsid w:val="2DF701D8"/>
    <w:rsid w:val="2DF970A1"/>
    <w:rsid w:val="2E0665A9"/>
    <w:rsid w:val="2E085834"/>
    <w:rsid w:val="2E1034F8"/>
    <w:rsid w:val="2E112405"/>
    <w:rsid w:val="2E120D8E"/>
    <w:rsid w:val="2E310CF9"/>
    <w:rsid w:val="2E443652"/>
    <w:rsid w:val="2E505773"/>
    <w:rsid w:val="2E5C0A3D"/>
    <w:rsid w:val="2E6C2DE0"/>
    <w:rsid w:val="2E742F70"/>
    <w:rsid w:val="2E9077CD"/>
    <w:rsid w:val="2E9574DA"/>
    <w:rsid w:val="2E9A689E"/>
    <w:rsid w:val="2ED61D9E"/>
    <w:rsid w:val="2EDC2A13"/>
    <w:rsid w:val="2EFD7DB9"/>
    <w:rsid w:val="2F1A081D"/>
    <w:rsid w:val="2F1C72B3"/>
    <w:rsid w:val="2F1E3DC0"/>
    <w:rsid w:val="2F2D326E"/>
    <w:rsid w:val="2F3112DE"/>
    <w:rsid w:val="2F3B6922"/>
    <w:rsid w:val="2F3D7B25"/>
    <w:rsid w:val="2F480119"/>
    <w:rsid w:val="2F506C6D"/>
    <w:rsid w:val="2F512253"/>
    <w:rsid w:val="2F51291F"/>
    <w:rsid w:val="2F55758A"/>
    <w:rsid w:val="2F68074A"/>
    <w:rsid w:val="2F7F15AE"/>
    <w:rsid w:val="2F912594"/>
    <w:rsid w:val="2FA54796"/>
    <w:rsid w:val="2FA674E2"/>
    <w:rsid w:val="2FE15D9D"/>
    <w:rsid w:val="2FEE6EA1"/>
    <w:rsid w:val="2FFE7D49"/>
    <w:rsid w:val="3002294D"/>
    <w:rsid w:val="3011153D"/>
    <w:rsid w:val="30142680"/>
    <w:rsid w:val="302567CF"/>
    <w:rsid w:val="302A11B1"/>
    <w:rsid w:val="302A5C42"/>
    <w:rsid w:val="30340091"/>
    <w:rsid w:val="30662043"/>
    <w:rsid w:val="306D3B35"/>
    <w:rsid w:val="307153DD"/>
    <w:rsid w:val="3083092C"/>
    <w:rsid w:val="30930D2E"/>
    <w:rsid w:val="30B310F4"/>
    <w:rsid w:val="30B8125D"/>
    <w:rsid w:val="30B87D63"/>
    <w:rsid w:val="30BF439A"/>
    <w:rsid w:val="30CF6A37"/>
    <w:rsid w:val="30D250CF"/>
    <w:rsid w:val="30E7260A"/>
    <w:rsid w:val="31002970"/>
    <w:rsid w:val="311016AD"/>
    <w:rsid w:val="31220DA0"/>
    <w:rsid w:val="31253A1B"/>
    <w:rsid w:val="3136622A"/>
    <w:rsid w:val="31393501"/>
    <w:rsid w:val="3139422E"/>
    <w:rsid w:val="31496359"/>
    <w:rsid w:val="314D19A6"/>
    <w:rsid w:val="31580A38"/>
    <w:rsid w:val="316177A4"/>
    <w:rsid w:val="31700E4B"/>
    <w:rsid w:val="3172683C"/>
    <w:rsid w:val="31771119"/>
    <w:rsid w:val="318F773E"/>
    <w:rsid w:val="31A359FC"/>
    <w:rsid w:val="31AD0D61"/>
    <w:rsid w:val="31C42968"/>
    <w:rsid w:val="31CD297B"/>
    <w:rsid w:val="31CD73BD"/>
    <w:rsid w:val="31D66571"/>
    <w:rsid w:val="31DB4220"/>
    <w:rsid w:val="31DC56CD"/>
    <w:rsid w:val="31E63B94"/>
    <w:rsid w:val="31F27AF7"/>
    <w:rsid w:val="31FA74CA"/>
    <w:rsid w:val="32176602"/>
    <w:rsid w:val="322A7699"/>
    <w:rsid w:val="322B25C6"/>
    <w:rsid w:val="32367636"/>
    <w:rsid w:val="32422E70"/>
    <w:rsid w:val="325E56C6"/>
    <w:rsid w:val="32696CB3"/>
    <w:rsid w:val="3275698A"/>
    <w:rsid w:val="327C0679"/>
    <w:rsid w:val="32870EE7"/>
    <w:rsid w:val="32943B86"/>
    <w:rsid w:val="32A93829"/>
    <w:rsid w:val="32B943EC"/>
    <w:rsid w:val="32B9519B"/>
    <w:rsid w:val="32DC63A0"/>
    <w:rsid w:val="32E429C1"/>
    <w:rsid w:val="330503EE"/>
    <w:rsid w:val="33274478"/>
    <w:rsid w:val="334045BE"/>
    <w:rsid w:val="33490893"/>
    <w:rsid w:val="334A3B2A"/>
    <w:rsid w:val="334F1945"/>
    <w:rsid w:val="3365592E"/>
    <w:rsid w:val="336A31F3"/>
    <w:rsid w:val="336F6533"/>
    <w:rsid w:val="337E5E2F"/>
    <w:rsid w:val="3384610D"/>
    <w:rsid w:val="33AA5979"/>
    <w:rsid w:val="33C03E90"/>
    <w:rsid w:val="33C96649"/>
    <w:rsid w:val="33CB0B6D"/>
    <w:rsid w:val="33CC3D88"/>
    <w:rsid w:val="33D939C5"/>
    <w:rsid w:val="33DD0306"/>
    <w:rsid w:val="33FD722F"/>
    <w:rsid w:val="3400362D"/>
    <w:rsid w:val="340B09C5"/>
    <w:rsid w:val="341E4CAB"/>
    <w:rsid w:val="34584EE2"/>
    <w:rsid w:val="347A1C51"/>
    <w:rsid w:val="347D373F"/>
    <w:rsid w:val="34922A93"/>
    <w:rsid w:val="34956481"/>
    <w:rsid w:val="34A35871"/>
    <w:rsid w:val="34C06C9D"/>
    <w:rsid w:val="34DF24AE"/>
    <w:rsid w:val="351C4931"/>
    <w:rsid w:val="351C4EAC"/>
    <w:rsid w:val="351D4C26"/>
    <w:rsid w:val="352B46F4"/>
    <w:rsid w:val="352E7D40"/>
    <w:rsid w:val="35361A77"/>
    <w:rsid w:val="35461A22"/>
    <w:rsid w:val="35483CC9"/>
    <w:rsid w:val="354B08F2"/>
    <w:rsid w:val="35571045"/>
    <w:rsid w:val="35675000"/>
    <w:rsid w:val="356E46AA"/>
    <w:rsid w:val="357235B0"/>
    <w:rsid w:val="3578502D"/>
    <w:rsid w:val="3586192A"/>
    <w:rsid w:val="358625C7"/>
    <w:rsid w:val="35A815CB"/>
    <w:rsid w:val="35A85BD0"/>
    <w:rsid w:val="35AA1B9C"/>
    <w:rsid w:val="35D501BC"/>
    <w:rsid w:val="35DB09A6"/>
    <w:rsid w:val="36080591"/>
    <w:rsid w:val="3609472F"/>
    <w:rsid w:val="36203B2D"/>
    <w:rsid w:val="363E0457"/>
    <w:rsid w:val="365B4B65"/>
    <w:rsid w:val="36730100"/>
    <w:rsid w:val="369B4CF0"/>
    <w:rsid w:val="36D62629"/>
    <w:rsid w:val="36D76172"/>
    <w:rsid w:val="36D84407"/>
    <w:rsid w:val="36E833BB"/>
    <w:rsid w:val="36EB1E1B"/>
    <w:rsid w:val="36F17F0D"/>
    <w:rsid w:val="36FB00F6"/>
    <w:rsid w:val="37103BA1"/>
    <w:rsid w:val="37224581"/>
    <w:rsid w:val="3735197D"/>
    <w:rsid w:val="373756A2"/>
    <w:rsid w:val="374A416C"/>
    <w:rsid w:val="375E0DA6"/>
    <w:rsid w:val="377639AE"/>
    <w:rsid w:val="378142CB"/>
    <w:rsid w:val="378B61A6"/>
    <w:rsid w:val="37B90F0B"/>
    <w:rsid w:val="37CD3F98"/>
    <w:rsid w:val="37DF75BA"/>
    <w:rsid w:val="37E148E2"/>
    <w:rsid w:val="37F848EE"/>
    <w:rsid w:val="37F912FC"/>
    <w:rsid w:val="380D59EE"/>
    <w:rsid w:val="38304889"/>
    <w:rsid w:val="3836588A"/>
    <w:rsid w:val="38382675"/>
    <w:rsid w:val="383B7B0D"/>
    <w:rsid w:val="3848553B"/>
    <w:rsid w:val="3851700B"/>
    <w:rsid w:val="385246B6"/>
    <w:rsid w:val="385E6B8E"/>
    <w:rsid w:val="38613F89"/>
    <w:rsid w:val="3876113B"/>
    <w:rsid w:val="38A53DB7"/>
    <w:rsid w:val="38BF3388"/>
    <w:rsid w:val="38CC268D"/>
    <w:rsid w:val="38DF1FDA"/>
    <w:rsid w:val="38EC2960"/>
    <w:rsid w:val="390069DD"/>
    <w:rsid w:val="39030CF9"/>
    <w:rsid w:val="39091F35"/>
    <w:rsid w:val="392536E2"/>
    <w:rsid w:val="39465F15"/>
    <w:rsid w:val="39505209"/>
    <w:rsid w:val="396453C5"/>
    <w:rsid w:val="39922CCF"/>
    <w:rsid w:val="39A24859"/>
    <w:rsid w:val="39A65327"/>
    <w:rsid w:val="39A65C9B"/>
    <w:rsid w:val="39BC5ED6"/>
    <w:rsid w:val="39D27231"/>
    <w:rsid w:val="39E82BB3"/>
    <w:rsid w:val="39EB39E0"/>
    <w:rsid w:val="39EF02D4"/>
    <w:rsid w:val="3A11342A"/>
    <w:rsid w:val="3A153110"/>
    <w:rsid w:val="3A2149EA"/>
    <w:rsid w:val="3A231E3E"/>
    <w:rsid w:val="3A2507C0"/>
    <w:rsid w:val="3A285AD8"/>
    <w:rsid w:val="3A393FA7"/>
    <w:rsid w:val="3A3A5A22"/>
    <w:rsid w:val="3A524858"/>
    <w:rsid w:val="3A64203E"/>
    <w:rsid w:val="3A663D00"/>
    <w:rsid w:val="3A7428D0"/>
    <w:rsid w:val="3A747EDD"/>
    <w:rsid w:val="3A923AE4"/>
    <w:rsid w:val="3AA50E25"/>
    <w:rsid w:val="3AC566E3"/>
    <w:rsid w:val="3AD6747A"/>
    <w:rsid w:val="3AD95C48"/>
    <w:rsid w:val="3ADF5D0A"/>
    <w:rsid w:val="3B312338"/>
    <w:rsid w:val="3B3C5B77"/>
    <w:rsid w:val="3B3D0FF2"/>
    <w:rsid w:val="3B501351"/>
    <w:rsid w:val="3B521A18"/>
    <w:rsid w:val="3B813A52"/>
    <w:rsid w:val="3B8D2B96"/>
    <w:rsid w:val="3B923660"/>
    <w:rsid w:val="3BCA44BE"/>
    <w:rsid w:val="3C061F3A"/>
    <w:rsid w:val="3C0A04F9"/>
    <w:rsid w:val="3C495480"/>
    <w:rsid w:val="3C4C3A42"/>
    <w:rsid w:val="3C557EA4"/>
    <w:rsid w:val="3C6F0167"/>
    <w:rsid w:val="3C71667B"/>
    <w:rsid w:val="3C7C75E3"/>
    <w:rsid w:val="3C914F3B"/>
    <w:rsid w:val="3CC17F13"/>
    <w:rsid w:val="3CD15B81"/>
    <w:rsid w:val="3CD50B40"/>
    <w:rsid w:val="3CE320A3"/>
    <w:rsid w:val="3CE9196C"/>
    <w:rsid w:val="3CF15105"/>
    <w:rsid w:val="3D0C04B9"/>
    <w:rsid w:val="3D1414C5"/>
    <w:rsid w:val="3D1C763E"/>
    <w:rsid w:val="3D201AA5"/>
    <w:rsid w:val="3D2B37EA"/>
    <w:rsid w:val="3D2F7FF3"/>
    <w:rsid w:val="3D3B56F0"/>
    <w:rsid w:val="3D3D1507"/>
    <w:rsid w:val="3D62085B"/>
    <w:rsid w:val="3D6B12FD"/>
    <w:rsid w:val="3D7B4622"/>
    <w:rsid w:val="3D8E5820"/>
    <w:rsid w:val="3D942E29"/>
    <w:rsid w:val="3DA53531"/>
    <w:rsid w:val="3DB54E0C"/>
    <w:rsid w:val="3DB8289D"/>
    <w:rsid w:val="3DB900C1"/>
    <w:rsid w:val="3DE51866"/>
    <w:rsid w:val="3DE91725"/>
    <w:rsid w:val="3DF159B1"/>
    <w:rsid w:val="3E135D25"/>
    <w:rsid w:val="3E1A106E"/>
    <w:rsid w:val="3E36303B"/>
    <w:rsid w:val="3E526044"/>
    <w:rsid w:val="3E5C591E"/>
    <w:rsid w:val="3E6C2B3A"/>
    <w:rsid w:val="3E8C5311"/>
    <w:rsid w:val="3E8E7E55"/>
    <w:rsid w:val="3EB61473"/>
    <w:rsid w:val="3EC66011"/>
    <w:rsid w:val="3ED25BE0"/>
    <w:rsid w:val="3ED75B7F"/>
    <w:rsid w:val="3EF9316D"/>
    <w:rsid w:val="3F315E6B"/>
    <w:rsid w:val="3F5175E2"/>
    <w:rsid w:val="3F56276A"/>
    <w:rsid w:val="3F6C10E0"/>
    <w:rsid w:val="3F963015"/>
    <w:rsid w:val="3F964D35"/>
    <w:rsid w:val="3FA327ED"/>
    <w:rsid w:val="3FB11738"/>
    <w:rsid w:val="3FB5581B"/>
    <w:rsid w:val="3FC33D05"/>
    <w:rsid w:val="3FC41290"/>
    <w:rsid w:val="3FF46B18"/>
    <w:rsid w:val="3FF74A2E"/>
    <w:rsid w:val="3FFC36E2"/>
    <w:rsid w:val="4005572D"/>
    <w:rsid w:val="402833BA"/>
    <w:rsid w:val="40283C2B"/>
    <w:rsid w:val="40394FD1"/>
    <w:rsid w:val="40425879"/>
    <w:rsid w:val="405C1C05"/>
    <w:rsid w:val="40765D15"/>
    <w:rsid w:val="407B4FC1"/>
    <w:rsid w:val="407F2DE9"/>
    <w:rsid w:val="40866C82"/>
    <w:rsid w:val="40920B61"/>
    <w:rsid w:val="40953369"/>
    <w:rsid w:val="40991379"/>
    <w:rsid w:val="409B3C3D"/>
    <w:rsid w:val="409F1D81"/>
    <w:rsid w:val="40F701DF"/>
    <w:rsid w:val="40FD480A"/>
    <w:rsid w:val="411B59C4"/>
    <w:rsid w:val="41270E47"/>
    <w:rsid w:val="412A32F8"/>
    <w:rsid w:val="417F433E"/>
    <w:rsid w:val="418A1D66"/>
    <w:rsid w:val="419C4043"/>
    <w:rsid w:val="41B7239D"/>
    <w:rsid w:val="41C95079"/>
    <w:rsid w:val="41D852BC"/>
    <w:rsid w:val="41FF3845"/>
    <w:rsid w:val="420E33D3"/>
    <w:rsid w:val="42101488"/>
    <w:rsid w:val="421104A9"/>
    <w:rsid w:val="42143B88"/>
    <w:rsid w:val="42164586"/>
    <w:rsid w:val="422E75D1"/>
    <w:rsid w:val="42475850"/>
    <w:rsid w:val="424C7A58"/>
    <w:rsid w:val="424E1A22"/>
    <w:rsid w:val="425113F6"/>
    <w:rsid w:val="425B5DD1"/>
    <w:rsid w:val="4260300C"/>
    <w:rsid w:val="42755200"/>
    <w:rsid w:val="42772802"/>
    <w:rsid w:val="427C799E"/>
    <w:rsid w:val="427F607F"/>
    <w:rsid w:val="42800B9B"/>
    <w:rsid w:val="4281223D"/>
    <w:rsid w:val="428E62C2"/>
    <w:rsid w:val="42A06B6C"/>
    <w:rsid w:val="42A27996"/>
    <w:rsid w:val="42A45E72"/>
    <w:rsid w:val="42AA04E2"/>
    <w:rsid w:val="42EA5650"/>
    <w:rsid w:val="431408DA"/>
    <w:rsid w:val="431B7C78"/>
    <w:rsid w:val="4331401E"/>
    <w:rsid w:val="43486FC5"/>
    <w:rsid w:val="43591DDA"/>
    <w:rsid w:val="435A0DF2"/>
    <w:rsid w:val="436C42E1"/>
    <w:rsid w:val="437102E7"/>
    <w:rsid w:val="437C210F"/>
    <w:rsid w:val="43847F02"/>
    <w:rsid w:val="438F113C"/>
    <w:rsid w:val="439E7EFB"/>
    <w:rsid w:val="43B1568A"/>
    <w:rsid w:val="43B64E08"/>
    <w:rsid w:val="43BD7F58"/>
    <w:rsid w:val="43D43ECA"/>
    <w:rsid w:val="43DD452F"/>
    <w:rsid w:val="43DE6CD4"/>
    <w:rsid w:val="43E51150"/>
    <w:rsid w:val="43EF28BB"/>
    <w:rsid w:val="43EF56D3"/>
    <w:rsid w:val="43F47D80"/>
    <w:rsid w:val="43F565F9"/>
    <w:rsid w:val="44095C00"/>
    <w:rsid w:val="440A6FD2"/>
    <w:rsid w:val="442A1797"/>
    <w:rsid w:val="44366C11"/>
    <w:rsid w:val="444946CA"/>
    <w:rsid w:val="444B3F54"/>
    <w:rsid w:val="4476661F"/>
    <w:rsid w:val="447E3AC5"/>
    <w:rsid w:val="44805ED4"/>
    <w:rsid w:val="448E5DEE"/>
    <w:rsid w:val="449E4142"/>
    <w:rsid w:val="44A00C9C"/>
    <w:rsid w:val="44A90BAA"/>
    <w:rsid w:val="44B24A20"/>
    <w:rsid w:val="44BC0BEE"/>
    <w:rsid w:val="44BC0EC5"/>
    <w:rsid w:val="44BE3C36"/>
    <w:rsid w:val="44BF6C07"/>
    <w:rsid w:val="44C24001"/>
    <w:rsid w:val="44C55A88"/>
    <w:rsid w:val="44FB1C9C"/>
    <w:rsid w:val="45392A13"/>
    <w:rsid w:val="453B098B"/>
    <w:rsid w:val="453E3FCF"/>
    <w:rsid w:val="454F1836"/>
    <w:rsid w:val="45887B45"/>
    <w:rsid w:val="458B66DF"/>
    <w:rsid w:val="45940F0E"/>
    <w:rsid w:val="459E29AE"/>
    <w:rsid w:val="45AC5DBA"/>
    <w:rsid w:val="45C647AF"/>
    <w:rsid w:val="45DD529D"/>
    <w:rsid w:val="45E57886"/>
    <w:rsid w:val="45E945CC"/>
    <w:rsid w:val="46003076"/>
    <w:rsid w:val="46026F63"/>
    <w:rsid w:val="46113492"/>
    <w:rsid w:val="46177E29"/>
    <w:rsid w:val="46205B7F"/>
    <w:rsid w:val="462A6010"/>
    <w:rsid w:val="465D501C"/>
    <w:rsid w:val="466367DB"/>
    <w:rsid w:val="46686D18"/>
    <w:rsid w:val="466D15DA"/>
    <w:rsid w:val="4673185A"/>
    <w:rsid w:val="46BF7E28"/>
    <w:rsid w:val="46C3037C"/>
    <w:rsid w:val="46EF26BD"/>
    <w:rsid w:val="46FF15E0"/>
    <w:rsid w:val="4700581C"/>
    <w:rsid w:val="4702516A"/>
    <w:rsid w:val="47094169"/>
    <w:rsid w:val="4724600B"/>
    <w:rsid w:val="472E597E"/>
    <w:rsid w:val="474A4B33"/>
    <w:rsid w:val="47665A15"/>
    <w:rsid w:val="47677941"/>
    <w:rsid w:val="477F1660"/>
    <w:rsid w:val="4788232A"/>
    <w:rsid w:val="478B0398"/>
    <w:rsid w:val="478F5D0B"/>
    <w:rsid w:val="479D5A47"/>
    <w:rsid w:val="47A11E6C"/>
    <w:rsid w:val="47A31F5F"/>
    <w:rsid w:val="47A84BA6"/>
    <w:rsid w:val="47B52444"/>
    <w:rsid w:val="47B8724E"/>
    <w:rsid w:val="47ED7BCA"/>
    <w:rsid w:val="48016F34"/>
    <w:rsid w:val="480556DB"/>
    <w:rsid w:val="48185C56"/>
    <w:rsid w:val="48254C34"/>
    <w:rsid w:val="48450F81"/>
    <w:rsid w:val="48455675"/>
    <w:rsid w:val="484E729D"/>
    <w:rsid w:val="48566773"/>
    <w:rsid w:val="485A23C2"/>
    <w:rsid w:val="48623B31"/>
    <w:rsid w:val="48691107"/>
    <w:rsid w:val="48895289"/>
    <w:rsid w:val="48A16B62"/>
    <w:rsid w:val="48AE0D54"/>
    <w:rsid w:val="48BC6222"/>
    <w:rsid w:val="48C245E9"/>
    <w:rsid w:val="48DB312A"/>
    <w:rsid w:val="48DF49D9"/>
    <w:rsid w:val="49042E3A"/>
    <w:rsid w:val="492108CC"/>
    <w:rsid w:val="49413F52"/>
    <w:rsid w:val="494F6304"/>
    <w:rsid w:val="49792B95"/>
    <w:rsid w:val="49F11610"/>
    <w:rsid w:val="4A05334F"/>
    <w:rsid w:val="4A060864"/>
    <w:rsid w:val="4A1403AA"/>
    <w:rsid w:val="4A244932"/>
    <w:rsid w:val="4A2922C8"/>
    <w:rsid w:val="4A4117B2"/>
    <w:rsid w:val="4A4A6F73"/>
    <w:rsid w:val="4A7A4350"/>
    <w:rsid w:val="4A7B1703"/>
    <w:rsid w:val="4A7E2497"/>
    <w:rsid w:val="4A896826"/>
    <w:rsid w:val="4A954692"/>
    <w:rsid w:val="4A9C318A"/>
    <w:rsid w:val="4ABF5E17"/>
    <w:rsid w:val="4ACB00B3"/>
    <w:rsid w:val="4ACF7478"/>
    <w:rsid w:val="4AD52CE0"/>
    <w:rsid w:val="4AE01A66"/>
    <w:rsid w:val="4AE104D6"/>
    <w:rsid w:val="4AE724D1"/>
    <w:rsid w:val="4AE77140"/>
    <w:rsid w:val="4AEA4061"/>
    <w:rsid w:val="4AEB3612"/>
    <w:rsid w:val="4AED707B"/>
    <w:rsid w:val="4AFA2F07"/>
    <w:rsid w:val="4B015D61"/>
    <w:rsid w:val="4B0B7979"/>
    <w:rsid w:val="4B1530DD"/>
    <w:rsid w:val="4B520DF4"/>
    <w:rsid w:val="4B603107"/>
    <w:rsid w:val="4B7A5635"/>
    <w:rsid w:val="4B8E10E1"/>
    <w:rsid w:val="4B9802B0"/>
    <w:rsid w:val="4B9E65BE"/>
    <w:rsid w:val="4B9F33A8"/>
    <w:rsid w:val="4BA80AFD"/>
    <w:rsid w:val="4BB033BA"/>
    <w:rsid w:val="4BB469AD"/>
    <w:rsid w:val="4BC06040"/>
    <w:rsid w:val="4BC66ACD"/>
    <w:rsid w:val="4BCF5981"/>
    <w:rsid w:val="4BD846DB"/>
    <w:rsid w:val="4BF441D2"/>
    <w:rsid w:val="4C1C2A09"/>
    <w:rsid w:val="4C284AD9"/>
    <w:rsid w:val="4C423098"/>
    <w:rsid w:val="4C694192"/>
    <w:rsid w:val="4C7964D9"/>
    <w:rsid w:val="4C8C5620"/>
    <w:rsid w:val="4C9269F6"/>
    <w:rsid w:val="4CB75F07"/>
    <w:rsid w:val="4CC84335"/>
    <w:rsid w:val="4CD22B0F"/>
    <w:rsid w:val="4CDA3E72"/>
    <w:rsid w:val="4CE4545C"/>
    <w:rsid w:val="4CE9350A"/>
    <w:rsid w:val="4D014937"/>
    <w:rsid w:val="4D0B0C3B"/>
    <w:rsid w:val="4D1E2466"/>
    <w:rsid w:val="4D225F85"/>
    <w:rsid w:val="4D297BF3"/>
    <w:rsid w:val="4D2D0EAF"/>
    <w:rsid w:val="4D795A49"/>
    <w:rsid w:val="4D7F0082"/>
    <w:rsid w:val="4D952FD9"/>
    <w:rsid w:val="4D970662"/>
    <w:rsid w:val="4D9A1FBF"/>
    <w:rsid w:val="4D9F40B3"/>
    <w:rsid w:val="4DB33393"/>
    <w:rsid w:val="4DBC3CE3"/>
    <w:rsid w:val="4DCB51C5"/>
    <w:rsid w:val="4DCF1E0D"/>
    <w:rsid w:val="4DD632D9"/>
    <w:rsid w:val="4DE05D9E"/>
    <w:rsid w:val="4DE05DF9"/>
    <w:rsid w:val="4DE44800"/>
    <w:rsid w:val="4DEE0709"/>
    <w:rsid w:val="4DF26A56"/>
    <w:rsid w:val="4DF47921"/>
    <w:rsid w:val="4DFC14EA"/>
    <w:rsid w:val="4DFF6815"/>
    <w:rsid w:val="4E0A3427"/>
    <w:rsid w:val="4E2423AC"/>
    <w:rsid w:val="4E261AA5"/>
    <w:rsid w:val="4E287F63"/>
    <w:rsid w:val="4E304B5D"/>
    <w:rsid w:val="4E3F66C2"/>
    <w:rsid w:val="4E485577"/>
    <w:rsid w:val="4E611B8B"/>
    <w:rsid w:val="4E6279D7"/>
    <w:rsid w:val="4E682F8C"/>
    <w:rsid w:val="4E6A7BB7"/>
    <w:rsid w:val="4E6C5D89"/>
    <w:rsid w:val="4E8B1908"/>
    <w:rsid w:val="4E9133C2"/>
    <w:rsid w:val="4EB23220"/>
    <w:rsid w:val="4EE661F8"/>
    <w:rsid w:val="4EF27A04"/>
    <w:rsid w:val="4F0773B4"/>
    <w:rsid w:val="4F241019"/>
    <w:rsid w:val="4F307BB1"/>
    <w:rsid w:val="4F336227"/>
    <w:rsid w:val="4F3C3EF2"/>
    <w:rsid w:val="4F3D562D"/>
    <w:rsid w:val="4F4C1097"/>
    <w:rsid w:val="4F5C4EE0"/>
    <w:rsid w:val="4F681AF1"/>
    <w:rsid w:val="4F6E1972"/>
    <w:rsid w:val="4F943166"/>
    <w:rsid w:val="4F9C19A5"/>
    <w:rsid w:val="4FBA02A1"/>
    <w:rsid w:val="4FE7106E"/>
    <w:rsid w:val="4FF82FCD"/>
    <w:rsid w:val="50053943"/>
    <w:rsid w:val="501C0736"/>
    <w:rsid w:val="50260569"/>
    <w:rsid w:val="50374A3C"/>
    <w:rsid w:val="50487AB0"/>
    <w:rsid w:val="50550E55"/>
    <w:rsid w:val="50615016"/>
    <w:rsid w:val="50901457"/>
    <w:rsid w:val="509F43E4"/>
    <w:rsid w:val="50A54D3E"/>
    <w:rsid w:val="50B82E88"/>
    <w:rsid w:val="50BB32A7"/>
    <w:rsid w:val="50CC5CB2"/>
    <w:rsid w:val="50F1402B"/>
    <w:rsid w:val="50FD2AD9"/>
    <w:rsid w:val="51081E85"/>
    <w:rsid w:val="51097D9A"/>
    <w:rsid w:val="51237D2E"/>
    <w:rsid w:val="515B06D0"/>
    <w:rsid w:val="515F3C13"/>
    <w:rsid w:val="51764AF1"/>
    <w:rsid w:val="51996737"/>
    <w:rsid w:val="51B408B8"/>
    <w:rsid w:val="51B7353F"/>
    <w:rsid w:val="51B80848"/>
    <w:rsid w:val="51CC0868"/>
    <w:rsid w:val="51D5340F"/>
    <w:rsid w:val="5228116F"/>
    <w:rsid w:val="52287B99"/>
    <w:rsid w:val="52382F2A"/>
    <w:rsid w:val="52386E3D"/>
    <w:rsid w:val="523A7DD1"/>
    <w:rsid w:val="523B7711"/>
    <w:rsid w:val="5271774C"/>
    <w:rsid w:val="527A416D"/>
    <w:rsid w:val="528D7B65"/>
    <w:rsid w:val="52AA11D3"/>
    <w:rsid w:val="52B256B5"/>
    <w:rsid w:val="52C84ED8"/>
    <w:rsid w:val="52DE008D"/>
    <w:rsid w:val="52EE341E"/>
    <w:rsid w:val="52F37FE6"/>
    <w:rsid w:val="52FC1CAF"/>
    <w:rsid w:val="52FE08FA"/>
    <w:rsid w:val="52FF22FE"/>
    <w:rsid w:val="53004672"/>
    <w:rsid w:val="530B071F"/>
    <w:rsid w:val="531A330F"/>
    <w:rsid w:val="532B6CAF"/>
    <w:rsid w:val="53350D91"/>
    <w:rsid w:val="53412644"/>
    <w:rsid w:val="53433903"/>
    <w:rsid w:val="53517A72"/>
    <w:rsid w:val="5361549D"/>
    <w:rsid w:val="536220DA"/>
    <w:rsid w:val="53650637"/>
    <w:rsid w:val="536A5F90"/>
    <w:rsid w:val="536E3CD2"/>
    <w:rsid w:val="537155BE"/>
    <w:rsid w:val="53757C6B"/>
    <w:rsid w:val="537E1075"/>
    <w:rsid w:val="539A4AC7"/>
    <w:rsid w:val="53A44D07"/>
    <w:rsid w:val="53A46AC8"/>
    <w:rsid w:val="53AB7F1F"/>
    <w:rsid w:val="53AC6F7B"/>
    <w:rsid w:val="53C01F4F"/>
    <w:rsid w:val="53EB297B"/>
    <w:rsid w:val="53EC4BF7"/>
    <w:rsid w:val="53F046E7"/>
    <w:rsid w:val="53F671DE"/>
    <w:rsid w:val="53F758A1"/>
    <w:rsid w:val="540D5A7F"/>
    <w:rsid w:val="542E2BC2"/>
    <w:rsid w:val="54352A96"/>
    <w:rsid w:val="54447390"/>
    <w:rsid w:val="544B514D"/>
    <w:rsid w:val="545C2F28"/>
    <w:rsid w:val="545E1D01"/>
    <w:rsid w:val="54674051"/>
    <w:rsid w:val="54935B8F"/>
    <w:rsid w:val="549635BC"/>
    <w:rsid w:val="549D3677"/>
    <w:rsid w:val="54B03E76"/>
    <w:rsid w:val="54BF230B"/>
    <w:rsid w:val="54CC6227"/>
    <w:rsid w:val="54D10F9B"/>
    <w:rsid w:val="54D97871"/>
    <w:rsid w:val="550B5550"/>
    <w:rsid w:val="551760C5"/>
    <w:rsid w:val="551D586C"/>
    <w:rsid w:val="55200298"/>
    <w:rsid w:val="55335E1B"/>
    <w:rsid w:val="5536079B"/>
    <w:rsid w:val="554B7EF0"/>
    <w:rsid w:val="556F3D99"/>
    <w:rsid w:val="55720837"/>
    <w:rsid w:val="55860894"/>
    <w:rsid w:val="558F6181"/>
    <w:rsid w:val="55B02DF1"/>
    <w:rsid w:val="55B8083D"/>
    <w:rsid w:val="55D47A00"/>
    <w:rsid w:val="55D5456D"/>
    <w:rsid w:val="55DC290C"/>
    <w:rsid w:val="55E71B19"/>
    <w:rsid w:val="55EA5D64"/>
    <w:rsid w:val="55F01FA1"/>
    <w:rsid w:val="55FC19B9"/>
    <w:rsid w:val="56130B60"/>
    <w:rsid w:val="56234F28"/>
    <w:rsid w:val="562C1C22"/>
    <w:rsid w:val="56717635"/>
    <w:rsid w:val="56990B7C"/>
    <w:rsid w:val="569E1126"/>
    <w:rsid w:val="56A8690E"/>
    <w:rsid w:val="56B679AB"/>
    <w:rsid w:val="56B80DEB"/>
    <w:rsid w:val="56E0560F"/>
    <w:rsid w:val="56E06E61"/>
    <w:rsid w:val="56EF3C74"/>
    <w:rsid w:val="56F653FE"/>
    <w:rsid w:val="57007337"/>
    <w:rsid w:val="574448FC"/>
    <w:rsid w:val="57561D39"/>
    <w:rsid w:val="575B7AFD"/>
    <w:rsid w:val="57660D3F"/>
    <w:rsid w:val="5785783C"/>
    <w:rsid w:val="578F06BB"/>
    <w:rsid w:val="57CC4BC2"/>
    <w:rsid w:val="57D10760"/>
    <w:rsid w:val="57D1153D"/>
    <w:rsid w:val="57D77297"/>
    <w:rsid w:val="57FA3774"/>
    <w:rsid w:val="58084A3C"/>
    <w:rsid w:val="582772A7"/>
    <w:rsid w:val="5847689F"/>
    <w:rsid w:val="58490869"/>
    <w:rsid w:val="58531B77"/>
    <w:rsid w:val="585D2975"/>
    <w:rsid w:val="585E3492"/>
    <w:rsid w:val="585F64F9"/>
    <w:rsid w:val="587E3341"/>
    <w:rsid w:val="587F428B"/>
    <w:rsid w:val="58843A9C"/>
    <w:rsid w:val="5893668E"/>
    <w:rsid w:val="589917F1"/>
    <w:rsid w:val="58B31855"/>
    <w:rsid w:val="58CF56D8"/>
    <w:rsid w:val="58D31010"/>
    <w:rsid w:val="58D6741E"/>
    <w:rsid w:val="58DB0535"/>
    <w:rsid w:val="58E467E4"/>
    <w:rsid w:val="58E62E0E"/>
    <w:rsid w:val="58EA3D0E"/>
    <w:rsid w:val="58F24A5D"/>
    <w:rsid w:val="58F71269"/>
    <w:rsid w:val="58FE045E"/>
    <w:rsid w:val="58FE78A6"/>
    <w:rsid w:val="59014CEF"/>
    <w:rsid w:val="59017396"/>
    <w:rsid w:val="59561946"/>
    <w:rsid w:val="59670F51"/>
    <w:rsid w:val="596A44F9"/>
    <w:rsid w:val="596C19BB"/>
    <w:rsid w:val="59790BDB"/>
    <w:rsid w:val="597E3F42"/>
    <w:rsid w:val="598653AC"/>
    <w:rsid w:val="59AC3C86"/>
    <w:rsid w:val="59B817D3"/>
    <w:rsid w:val="59C11856"/>
    <w:rsid w:val="59C153AB"/>
    <w:rsid w:val="59D42FDA"/>
    <w:rsid w:val="59D6437F"/>
    <w:rsid w:val="59DA4E01"/>
    <w:rsid w:val="59F64E82"/>
    <w:rsid w:val="5A0A5DD6"/>
    <w:rsid w:val="5A10435C"/>
    <w:rsid w:val="5A2654CC"/>
    <w:rsid w:val="5A323A44"/>
    <w:rsid w:val="5A395E66"/>
    <w:rsid w:val="5A44753A"/>
    <w:rsid w:val="5A476FBE"/>
    <w:rsid w:val="5A484352"/>
    <w:rsid w:val="5A5321A5"/>
    <w:rsid w:val="5A783688"/>
    <w:rsid w:val="5A8734AF"/>
    <w:rsid w:val="5A9D3E45"/>
    <w:rsid w:val="5AA4101D"/>
    <w:rsid w:val="5AB17576"/>
    <w:rsid w:val="5ABA59C8"/>
    <w:rsid w:val="5ABD68E6"/>
    <w:rsid w:val="5ABF73D2"/>
    <w:rsid w:val="5ACB3D8A"/>
    <w:rsid w:val="5ACE32A8"/>
    <w:rsid w:val="5AE12FDB"/>
    <w:rsid w:val="5AE1508F"/>
    <w:rsid w:val="5AF80256"/>
    <w:rsid w:val="5B110CC9"/>
    <w:rsid w:val="5B136165"/>
    <w:rsid w:val="5B1851F5"/>
    <w:rsid w:val="5B1F7B5D"/>
    <w:rsid w:val="5B585171"/>
    <w:rsid w:val="5B585B78"/>
    <w:rsid w:val="5B6D62B9"/>
    <w:rsid w:val="5B746CFA"/>
    <w:rsid w:val="5B94004E"/>
    <w:rsid w:val="5B9A2B59"/>
    <w:rsid w:val="5BA652E6"/>
    <w:rsid w:val="5BC0085A"/>
    <w:rsid w:val="5BD668B8"/>
    <w:rsid w:val="5BE03293"/>
    <w:rsid w:val="5BF03D58"/>
    <w:rsid w:val="5BF20AFB"/>
    <w:rsid w:val="5C036F81"/>
    <w:rsid w:val="5C1A6BB2"/>
    <w:rsid w:val="5C20728C"/>
    <w:rsid w:val="5C306D31"/>
    <w:rsid w:val="5C37233A"/>
    <w:rsid w:val="5C3D6937"/>
    <w:rsid w:val="5C5355FE"/>
    <w:rsid w:val="5C5A49A5"/>
    <w:rsid w:val="5C6519EA"/>
    <w:rsid w:val="5C6715FE"/>
    <w:rsid w:val="5C6F4105"/>
    <w:rsid w:val="5CBB7F6F"/>
    <w:rsid w:val="5CC248CE"/>
    <w:rsid w:val="5D042FB1"/>
    <w:rsid w:val="5D442CB4"/>
    <w:rsid w:val="5D7C3F11"/>
    <w:rsid w:val="5D971C5A"/>
    <w:rsid w:val="5D9D49E0"/>
    <w:rsid w:val="5DA01E9E"/>
    <w:rsid w:val="5DA86032"/>
    <w:rsid w:val="5DAD3649"/>
    <w:rsid w:val="5DC310BE"/>
    <w:rsid w:val="5DDF1821"/>
    <w:rsid w:val="5DE2656A"/>
    <w:rsid w:val="5DEA2F91"/>
    <w:rsid w:val="5DF94AE0"/>
    <w:rsid w:val="5DFA5883"/>
    <w:rsid w:val="5E224037"/>
    <w:rsid w:val="5E3146A3"/>
    <w:rsid w:val="5E442F62"/>
    <w:rsid w:val="5E6C2C5B"/>
    <w:rsid w:val="5E6E2DD8"/>
    <w:rsid w:val="5E7251A2"/>
    <w:rsid w:val="5E7C3591"/>
    <w:rsid w:val="5E9842F9"/>
    <w:rsid w:val="5E9A14A5"/>
    <w:rsid w:val="5E9D0E18"/>
    <w:rsid w:val="5EA26F25"/>
    <w:rsid w:val="5EA341D7"/>
    <w:rsid w:val="5EA755DE"/>
    <w:rsid w:val="5EAE7678"/>
    <w:rsid w:val="5ED35F0E"/>
    <w:rsid w:val="5EDF7832"/>
    <w:rsid w:val="5EFC1390"/>
    <w:rsid w:val="5EFC3EB6"/>
    <w:rsid w:val="5F03335D"/>
    <w:rsid w:val="5F0368C7"/>
    <w:rsid w:val="5F1544E7"/>
    <w:rsid w:val="5F197EE8"/>
    <w:rsid w:val="5F312D8D"/>
    <w:rsid w:val="5F3C4923"/>
    <w:rsid w:val="5F4160B0"/>
    <w:rsid w:val="5F5A7800"/>
    <w:rsid w:val="5F6368E9"/>
    <w:rsid w:val="5F7811D3"/>
    <w:rsid w:val="5F9A65E6"/>
    <w:rsid w:val="5F9B2627"/>
    <w:rsid w:val="5FA66B60"/>
    <w:rsid w:val="5FAC7B1F"/>
    <w:rsid w:val="5FB5266F"/>
    <w:rsid w:val="5FB80E3D"/>
    <w:rsid w:val="5FB831B4"/>
    <w:rsid w:val="5FD40999"/>
    <w:rsid w:val="5FE5522B"/>
    <w:rsid w:val="5FF03F08"/>
    <w:rsid w:val="5FF2548E"/>
    <w:rsid w:val="5FF313D3"/>
    <w:rsid w:val="60065292"/>
    <w:rsid w:val="602610FD"/>
    <w:rsid w:val="602808B2"/>
    <w:rsid w:val="602C2F4B"/>
    <w:rsid w:val="602D0A71"/>
    <w:rsid w:val="60307A2A"/>
    <w:rsid w:val="603814FF"/>
    <w:rsid w:val="604109A8"/>
    <w:rsid w:val="605D2617"/>
    <w:rsid w:val="60616CDC"/>
    <w:rsid w:val="60624E53"/>
    <w:rsid w:val="606319E5"/>
    <w:rsid w:val="607A77D8"/>
    <w:rsid w:val="607B3C50"/>
    <w:rsid w:val="608B6567"/>
    <w:rsid w:val="60902A4E"/>
    <w:rsid w:val="60AA3E6F"/>
    <w:rsid w:val="60DB04CD"/>
    <w:rsid w:val="60FF21D9"/>
    <w:rsid w:val="610C0686"/>
    <w:rsid w:val="611E37D0"/>
    <w:rsid w:val="613021B3"/>
    <w:rsid w:val="61306A6A"/>
    <w:rsid w:val="613253FD"/>
    <w:rsid w:val="61421F29"/>
    <w:rsid w:val="61637D56"/>
    <w:rsid w:val="61712185"/>
    <w:rsid w:val="618B7207"/>
    <w:rsid w:val="61907E69"/>
    <w:rsid w:val="61A90D68"/>
    <w:rsid w:val="61B43A15"/>
    <w:rsid w:val="61DA0425"/>
    <w:rsid w:val="62065A1D"/>
    <w:rsid w:val="6213792C"/>
    <w:rsid w:val="621775E2"/>
    <w:rsid w:val="621C0D9D"/>
    <w:rsid w:val="6229697B"/>
    <w:rsid w:val="622F7552"/>
    <w:rsid w:val="6250406E"/>
    <w:rsid w:val="6267666C"/>
    <w:rsid w:val="627D6831"/>
    <w:rsid w:val="62811B1C"/>
    <w:rsid w:val="62A20409"/>
    <w:rsid w:val="62AF34DE"/>
    <w:rsid w:val="62B54B44"/>
    <w:rsid w:val="62E045DA"/>
    <w:rsid w:val="62E454A1"/>
    <w:rsid w:val="62E95123"/>
    <w:rsid w:val="62EF025F"/>
    <w:rsid w:val="62F36E4C"/>
    <w:rsid w:val="62F47F8F"/>
    <w:rsid w:val="62F7233F"/>
    <w:rsid w:val="63193A22"/>
    <w:rsid w:val="631F3FB4"/>
    <w:rsid w:val="63273E9D"/>
    <w:rsid w:val="63364F75"/>
    <w:rsid w:val="6340438B"/>
    <w:rsid w:val="6353238E"/>
    <w:rsid w:val="63612AB8"/>
    <w:rsid w:val="6379289B"/>
    <w:rsid w:val="637D0978"/>
    <w:rsid w:val="638906B4"/>
    <w:rsid w:val="638968B0"/>
    <w:rsid w:val="638A282C"/>
    <w:rsid w:val="6393508F"/>
    <w:rsid w:val="639A3568"/>
    <w:rsid w:val="63A75341"/>
    <w:rsid w:val="63A85E90"/>
    <w:rsid w:val="63A962DB"/>
    <w:rsid w:val="63AB1A91"/>
    <w:rsid w:val="63AD40A5"/>
    <w:rsid w:val="63B75221"/>
    <w:rsid w:val="63B82D47"/>
    <w:rsid w:val="63C74D38"/>
    <w:rsid w:val="63EA73A4"/>
    <w:rsid w:val="63EE4692"/>
    <w:rsid w:val="63FD622D"/>
    <w:rsid w:val="64177A6E"/>
    <w:rsid w:val="643F32F9"/>
    <w:rsid w:val="6445580E"/>
    <w:rsid w:val="64582686"/>
    <w:rsid w:val="64673C87"/>
    <w:rsid w:val="64877733"/>
    <w:rsid w:val="64925346"/>
    <w:rsid w:val="64A170D2"/>
    <w:rsid w:val="64A251DD"/>
    <w:rsid w:val="64BC182A"/>
    <w:rsid w:val="650242F0"/>
    <w:rsid w:val="65365B2B"/>
    <w:rsid w:val="653F447E"/>
    <w:rsid w:val="65542778"/>
    <w:rsid w:val="655829AF"/>
    <w:rsid w:val="656B70C3"/>
    <w:rsid w:val="658F4798"/>
    <w:rsid w:val="659B1EBA"/>
    <w:rsid w:val="65A11CE5"/>
    <w:rsid w:val="65A83379"/>
    <w:rsid w:val="65B461E9"/>
    <w:rsid w:val="65BE39A8"/>
    <w:rsid w:val="65C23A09"/>
    <w:rsid w:val="65FB3FBE"/>
    <w:rsid w:val="660F30F2"/>
    <w:rsid w:val="66101A71"/>
    <w:rsid w:val="66171FA7"/>
    <w:rsid w:val="66247D11"/>
    <w:rsid w:val="663B3EC9"/>
    <w:rsid w:val="663F32AC"/>
    <w:rsid w:val="665A1E94"/>
    <w:rsid w:val="66736112"/>
    <w:rsid w:val="667F5B5B"/>
    <w:rsid w:val="66901AD8"/>
    <w:rsid w:val="6694262A"/>
    <w:rsid w:val="66990381"/>
    <w:rsid w:val="66B31B01"/>
    <w:rsid w:val="66CE1E80"/>
    <w:rsid w:val="66DF5748"/>
    <w:rsid w:val="66E362F9"/>
    <w:rsid w:val="66E47FD9"/>
    <w:rsid w:val="66E520A5"/>
    <w:rsid w:val="66F04175"/>
    <w:rsid w:val="66F127F8"/>
    <w:rsid w:val="67071922"/>
    <w:rsid w:val="673B73C0"/>
    <w:rsid w:val="674743C8"/>
    <w:rsid w:val="675608B6"/>
    <w:rsid w:val="67754402"/>
    <w:rsid w:val="677D54ED"/>
    <w:rsid w:val="678B726C"/>
    <w:rsid w:val="67B25E27"/>
    <w:rsid w:val="67B4646D"/>
    <w:rsid w:val="67B464CA"/>
    <w:rsid w:val="67C4383B"/>
    <w:rsid w:val="67D35E1A"/>
    <w:rsid w:val="67D839B8"/>
    <w:rsid w:val="67F35317"/>
    <w:rsid w:val="67F73E3E"/>
    <w:rsid w:val="68016A6B"/>
    <w:rsid w:val="680201B7"/>
    <w:rsid w:val="68040309"/>
    <w:rsid w:val="68060525"/>
    <w:rsid w:val="681E4749"/>
    <w:rsid w:val="68362BFB"/>
    <w:rsid w:val="683D085A"/>
    <w:rsid w:val="683F1130"/>
    <w:rsid w:val="684456A1"/>
    <w:rsid w:val="685E1363"/>
    <w:rsid w:val="687731D1"/>
    <w:rsid w:val="6878475E"/>
    <w:rsid w:val="688E1089"/>
    <w:rsid w:val="68993219"/>
    <w:rsid w:val="689E42BA"/>
    <w:rsid w:val="68A026F3"/>
    <w:rsid w:val="68AF6C13"/>
    <w:rsid w:val="68E02B24"/>
    <w:rsid w:val="68F25680"/>
    <w:rsid w:val="69074555"/>
    <w:rsid w:val="690E07C7"/>
    <w:rsid w:val="69140A20"/>
    <w:rsid w:val="69236A65"/>
    <w:rsid w:val="692E469B"/>
    <w:rsid w:val="69315C48"/>
    <w:rsid w:val="694019EC"/>
    <w:rsid w:val="694841AF"/>
    <w:rsid w:val="69584DB4"/>
    <w:rsid w:val="695B5B89"/>
    <w:rsid w:val="696C3D80"/>
    <w:rsid w:val="696D7E94"/>
    <w:rsid w:val="698A5EE4"/>
    <w:rsid w:val="69922882"/>
    <w:rsid w:val="69C811ED"/>
    <w:rsid w:val="69D33070"/>
    <w:rsid w:val="69E97E75"/>
    <w:rsid w:val="69FB5D9E"/>
    <w:rsid w:val="69FF6FDA"/>
    <w:rsid w:val="6A1A3007"/>
    <w:rsid w:val="6A1E645E"/>
    <w:rsid w:val="6A3C6480"/>
    <w:rsid w:val="6A417049"/>
    <w:rsid w:val="6A576E16"/>
    <w:rsid w:val="6A7903E5"/>
    <w:rsid w:val="6A8219B9"/>
    <w:rsid w:val="6A8641F2"/>
    <w:rsid w:val="6A9701A5"/>
    <w:rsid w:val="6AA03032"/>
    <w:rsid w:val="6AA86FEC"/>
    <w:rsid w:val="6ACB20F7"/>
    <w:rsid w:val="6ADA6AC4"/>
    <w:rsid w:val="6ADB11D6"/>
    <w:rsid w:val="6B1A2C3C"/>
    <w:rsid w:val="6B221F4E"/>
    <w:rsid w:val="6B31644D"/>
    <w:rsid w:val="6B486C86"/>
    <w:rsid w:val="6B554C72"/>
    <w:rsid w:val="6B6712DB"/>
    <w:rsid w:val="6B680BAF"/>
    <w:rsid w:val="6B774DF2"/>
    <w:rsid w:val="6B847AD7"/>
    <w:rsid w:val="6B961F07"/>
    <w:rsid w:val="6B9A2DF9"/>
    <w:rsid w:val="6BA56BC7"/>
    <w:rsid w:val="6BAA566B"/>
    <w:rsid w:val="6BAC4619"/>
    <w:rsid w:val="6BB118FD"/>
    <w:rsid w:val="6BC60150"/>
    <w:rsid w:val="6BCD2823"/>
    <w:rsid w:val="6BDD15DD"/>
    <w:rsid w:val="6BDF2966"/>
    <w:rsid w:val="6BE86A5F"/>
    <w:rsid w:val="6C053C7D"/>
    <w:rsid w:val="6C0D357A"/>
    <w:rsid w:val="6C2076DB"/>
    <w:rsid w:val="6C234DED"/>
    <w:rsid w:val="6C29198B"/>
    <w:rsid w:val="6C3A67D1"/>
    <w:rsid w:val="6C3D2D5C"/>
    <w:rsid w:val="6C4800AA"/>
    <w:rsid w:val="6C4D28F8"/>
    <w:rsid w:val="6C573E9C"/>
    <w:rsid w:val="6C5C23DC"/>
    <w:rsid w:val="6C6D1126"/>
    <w:rsid w:val="6C77379F"/>
    <w:rsid w:val="6C986334"/>
    <w:rsid w:val="6CA35B3A"/>
    <w:rsid w:val="6CA41A5D"/>
    <w:rsid w:val="6CA479DF"/>
    <w:rsid w:val="6CAF588C"/>
    <w:rsid w:val="6CB4638E"/>
    <w:rsid w:val="6CBF3C6A"/>
    <w:rsid w:val="6CBF5306"/>
    <w:rsid w:val="6CD930DF"/>
    <w:rsid w:val="6CDC1854"/>
    <w:rsid w:val="6CE70FA1"/>
    <w:rsid w:val="6CEB74F1"/>
    <w:rsid w:val="6CF05300"/>
    <w:rsid w:val="6CF62137"/>
    <w:rsid w:val="6CFA6351"/>
    <w:rsid w:val="6CFC3C40"/>
    <w:rsid w:val="6D2F6F7D"/>
    <w:rsid w:val="6D480984"/>
    <w:rsid w:val="6D5A33D5"/>
    <w:rsid w:val="6D8079F9"/>
    <w:rsid w:val="6DB13E57"/>
    <w:rsid w:val="6DC245A2"/>
    <w:rsid w:val="6DC71662"/>
    <w:rsid w:val="6DCD5126"/>
    <w:rsid w:val="6DDB6CB0"/>
    <w:rsid w:val="6DE21877"/>
    <w:rsid w:val="6DE52ACD"/>
    <w:rsid w:val="6DF36E56"/>
    <w:rsid w:val="6DFC0B44"/>
    <w:rsid w:val="6E0458E7"/>
    <w:rsid w:val="6E212037"/>
    <w:rsid w:val="6E263D90"/>
    <w:rsid w:val="6E3B221B"/>
    <w:rsid w:val="6E475779"/>
    <w:rsid w:val="6E51424D"/>
    <w:rsid w:val="6E663C68"/>
    <w:rsid w:val="6E7764EF"/>
    <w:rsid w:val="6E8403F6"/>
    <w:rsid w:val="6EAD447C"/>
    <w:rsid w:val="6EAE5472"/>
    <w:rsid w:val="6EBC069A"/>
    <w:rsid w:val="6ECD7F59"/>
    <w:rsid w:val="6ECF449B"/>
    <w:rsid w:val="6ED975CA"/>
    <w:rsid w:val="6EED7C80"/>
    <w:rsid w:val="6EF773A4"/>
    <w:rsid w:val="6F1E2E65"/>
    <w:rsid w:val="6F2F2D9E"/>
    <w:rsid w:val="6F4147D9"/>
    <w:rsid w:val="6F581F47"/>
    <w:rsid w:val="6F5B0D5A"/>
    <w:rsid w:val="6F5C35EA"/>
    <w:rsid w:val="6F6B6A15"/>
    <w:rsid w:val="6F947E4B"/>
    <w:rsid w:val="6FA30BDA"/>
    <w:rsid w:val="6FA75B64"/>
    <w:rsid w:val="6FB21D4C"/>
    <w:rsid w:val="6FB602B0"/>
    <w:rsid w:val="6FB80698"/>
    <w:rsid w:val="6FFD5E0F"/>
    <w:rsid w:val="701021F4"/>
    <w:rsid w:val="701C29A6"/>
    <w:rsid w:val="7024611F"/>
    <w:rsid w:val="7038498C"/>
    <w:rsid w:val="70637B96"/>
    <w:rsid w:val="70797317"/>
    <w:rsid w:val="707E201F"/>
    <w:rsid w:val="7099044B"/>
    <w:rsid w:val="709A06E1"/>
    <w:rsid w:val="709D518F"/>
    <w:rsid w:val="70B76860"/>
    <w:rsid w:val="70C759D3"/>
    <w:rsid w:val="70CD7E32"/>
    <w:rsid w:val="70CF2B23"/>
    <w:rsid w:val="70D70CB1"/>
    <w:rsid w:val="70D80585"/>
    <w:rsid w:val="70FA674D"/>
    <w:rsid w:val="710952C1"/>
    <w:rsid w:val="713954C7"/>
    <w:rsid w:val="713F70AB"/>
    <w:rsid w:val="71452CD8"/>
    <w:rsid w:val="71583F2D"/>
    <w:rsid w:val="7158683A"/>
    <w:rsid w:val="715B2F52"/>
    <w:rsid w:val="7167680B"/>
    <w:rsid w:val="71764F23"/>
    <w:rsid w:val="71810C1C"/>
    <w:rsid w:val="71881188"/>
    <w:rsid w:val="71946576"/>
    <w:rsid w:val="71967E84"/>
    <w:rsid w:val="7197629F"/>
    <w:rsid w:val="71A61873"/>
    <w:rsid w:val="71AF4936"/>
    <w:rsid w:val="71B12351"/>
    <w:rsid w:val="71BB4E1E"/>
    <w:rsid w:val="71D07496"/>
    <w:rsid w:val="71D75D0F"/>
    <w:rsid w:val="71F437A4"/>
    <w:rsid w:val="721919B3"/>
    <w:rsid w:val="721A6098"/>
    <w:rsid w:val="721B5CE3"/>
    <w:rsid w:val="721D18D3"/>
    <w:rsid w:val="72310D1A"/>
    <w:rsid w:val="72452668"/>
    <w:rsid w:val="725D6B54"/>
    <w:rsid w:val="72986FA0"/>
    <w:rsid w:val="72A17C99"/>
    <w:rsid w:val="72A2709C"/>
    <w:rsid w:val="72A5093A"/>
    <w:rsid w:val="72AD7197"/>
    <w:rsid w:val="72AF6F7E"/>
    <w:rsid w:val="72BD2C86"/>
    <w:rsid w:val="72CD226C"/>
    <w:rsid w:val="72D27981"/>
    <w:rsid w:val="73047407"/>
    <w:rsid w:val="73047904"/>
    <w:rsid w:val="731A4E85"/>
    <w:rsid w:val="73253EFA"/>
    <w:rsid w:val="732E26DE"/>
    <w:rsid w:val="73353A6C"/>
    <w:rsid w:val="734C1A6A"/>
    <w:rsid w:val="735663B7"/>
    <w:rsid w:val="735C5949"/>
    <w:rsid w:val="73671287"/>
    <w:rsid w:val="73737DA5"/>
    <w:rsid w:val="73740A39"/>
    <w:rsid w:val="73783823"/>
    <w:rsid w:val="73887B3E"/>
    <w:rsid w:val="73892412"/>
    <w:rsid w:val="73927111"/>
    <w:rsid w:val="73AF2114"/>
    <w:rsid w:val="73AF381F"/>
    <w:rsid w:val="73E96BCA"/>
    <w:rsid w:val="73EE4A6E"/>
    <w:rsid w:val="740645F0"/>
    <w:rsid w:val="741048BC"/>
    <w:rsid w:val="742E78D4"/>
    <w:rsid w:val="74317498"/>
    <w:rsid w:val="74335A84"/>
    <w:rsid w:val="743A6A13"/>
    <w:rsid w:val="74582738"/>
    <w:rsid w:val="74676A28"/>
    <w:rsid w:val="747E40B6"/>
    <w:rsid w:val="74AA2238"/>
    <w:rsid w:val="74AC3224"/>
    <w:rsid w:val="74B21065"/>
    <w:rsid w:val="74B40E76"/>
    <w:rsid w:val="74BB2C83"/>
    <w:rsid w:val="74C33758"/>
    <w:rsid w:val="74D476FB"/>
    <w:rsid w:val="74D72451"/>
    <w:rsid w:val="74DE4E5F"/>
    <w:rsid w:val="74EB54AB"/>
    <w:rsid w:val="74F0689A"/>
    <w:rsid w:val="74FF6D43"/>
    <w:rsid w:val="750201A2"/>
    <w:rsid w:val="750E70AC"/>
    <w:rsid w:val="75137DDD"/>
    <w:rsid w:val="751A76AF"/>
    <w:rsid w:val="75241FEA"/>
    <w:rsid w:val="75250574"/>
    <w:rsid w:val="75306BE1"/>
    <w:rsid w:val="753649D0"/>
    <w:rsid w:val="754459E0"/>
    <w:rsid w:val="7550443E"/>
    <w:rsid w:val="755F0BCC"/>
    <w:rsid w:val="7561323F"/>
    <w:rsid w:val="756F17F9"/>
    <w:rsid w:val="757E5B9F"/>
    <w:rsid w:val="75825461"/>
    <w:rsid w:val="758B206A"/>
    <w:rsid w:val="758F1B5A"/>
    <w:rsid w:val="75907680"/>
    <w:rsid w:val="75916599"/>
    <w:rsid w:val="759926FC"/>
    <w:rsid w:val="759C29B9"/>
    <w:rsid w:val="75A24276"/>
    <w:rsid w:val="75AA231D"/>
    <w:rsid w:val="75AD6340"/>
    <w:rsid w:val="75D05B45"/>
    <w:rsid w:val="75DF5F11"/>
    <w:rsid w:val="75E8633A"/>
    <w:rsid w:val="761C0100"/>
    <w:rsid w:val="76360227"/>
    <w:rsid w:val="76393874"/>
    <w:rsid w:val="763F09AA"/>
    <w:rsid w:val="764F3FCC"/>
    <w:rsid w:val="7650339F"/>
    <w:rsid w:val="76603C9A"/>
    <w:rsid w:val="766B00E5"/>
    <w:rsid w:val="76832D41"/>
    <w:rsid w:val="768B2C28"/>
    <w:rsid w:val="76BB1CAB"/>
    <w:rsid w:val="76C04050"/>
    <w:rsid w:val="76D67314"/>
    <w:rsid w:val="76E00193"/>
    <w:rsid w:val="76E65049"/>
    <w:rsid w:val="76F7637A"/>
    <w:rsid w:val="76FA74A7"/>
    <w:rsid w:val="77063A83"/>
    <w:rsid w:val="77076007"/>
    <w:rsid w:val="771A36A5"/>
    <w:rsid w:val="77413F7E"/>
    <w:rsid w:val="77464076"/>
    <w:rsid w:val="7758241F"/>
    <w:rsid w:val="777A7D22"/>
    <w:rsid w:val="777E28EC"/>
    <w:rsid w:val="77835654"/>
    <w:rsid w:val="778D031B"/>
    <w:rsid w:val="7797109C"/>
    <w:rsid w:val="779A2A38"/>
    <w:rsid w:val="77B4450A"/>
    <w:rsid w:val="77B46E73"/>
    <w:rsid w:val="77E37A12"/>
    <w:rsid w:val="77F42148"/>
    <w:rsid w:val="77FE3468"/>
    <w:rsid w:val="78250553"/>
    <w:rsid w:val="783B17B1"/>
    <w:rsid w:val="784E2046"/>
    <w:rsid w:val="78546F0C"/>
    <w:rsid w:val="786778FE"/>
    <w:rsid w:val="789D588A"/>
    <w:rsid w:val="78B65E3A"/>
    <w:rsid w:val="78D930EC"/>
    <w:rsid w:val="78E0091E"/>
    <w:rsid w:val="78EE1C79"/>
    <w:rsid w:val="78F85605"/>
    <w:rsid w:val="78FA66FA"/>
    <w:rsid w:val="79345B6A"/>
    <w:rsid w:val="79424F6E"/>
    <w:rsid w:val="79545FF2"/>
    <w:rsid w:val="795F3706"/>
    <w:rsid w:val="797239CC"/>
    <w:rsid w:val="797F54AB"/>
    <w:rsid w:val="79831473"/>
    <w:rsid w:val="79983E9C"/>
    <w:rsid w:val="7999527A"/>
    <w:rsid w:val="79A96F62"/>
    <w:rsid w:val="79AF76C5"/>
    <w:rsid w:val="79C25EE1"/>
    <w:rsid w:val="79CE2967"/>
    <w:rsid w:val="79E30EE8"/>
    <w:rsid w:val="79E34934"/>
    <w:rsid w:val="79EA664C"/>
    <w:rsid w:val="79F9627A"/>
    <w:rsid w:val="79FF6948"/>
    <w:rsid w:val="7A044199"/>
    <w:rsid w:val="7A0657CF"/>
    <w:rsid w:val="7A2F3BBF"/>
    <w:rsid w:val="7A2F459A"/>
    <w:rsid w:val="7A322A39"/>
    <w:rsid w:val="7A517022"/>
    <w:rsid w:val="7A6F5001"/>
    <w:rsid w:val="7A7720A0"/>
    <w:rsid w:val="7A9635B3"/>
    <w:rsid w:val="7AA2343E"/>
    <w:rsid w:val="7AD60EB8"/>
    <w:rsid w:val="7ADA73A4"/>
    <w:rsid w:val="7AE66B99"/>
    <w:rsid w:val="7AF34646"/>
    <w:rsid w:val="7AFE508C"/>
    <w:rsid w:val="7B0A3BCA"/>
    <w:rsid w:val="7B1C0EF4"/>
    <w:rsid w:val="7B345AA9"/>
    <w:rsid w:val="7B4048C1"/>
    <w:rsid w:val="7B4C5DF7"/>
    <w:rsid w:val="7B73082F"/>
    <w:rsid w:val="7B7B492E"/>
    <w:rsid w:val="7B827A6B"/>
    <w:rsid w:val="7B9A3D1D"/>
    <w:rsid w:val="7BB46FBD"/>
    <w:rsid w:val="7BC62E00"/>
    <w:rsid w:val="7BC73B55"/>
    <w:rsid w:val="7BE35E2A"/>
    <w:rsid w:val="7BF538C2"/>
    <w:rsid w:val="7BF66C24"/>
    <w:rsid w:val="7BFA1CC7"/>
    <w:rsid w:val="7BFB70B3"/>
    <w:rsid w:val="7C0251DA"/>
    <w:rsid w:val="7C0C0E4A"/>
    <w:rsid w:val="7C0E41D1"/>
    <w:rsid w:val="7C1052F2"/>
    <w:rsid w:val="7C21292C"/>
    <w:rsid w:val="7C2668D9"/>
    <w:rsid w:val="7C32497F"/>
    <w:rsid w:val="7C3C69AE"/>
    <w:rsid w:val="7C4A4A2C"/>
    <w:rsid w:val="7C691974"/>
    <w:rsid w:val="7C8A6570"/>
    <w:rsid w:val="7C8B7390"/>
    <w:rsid w:val="7C9B0D0E"/>
    <w:rsid w:val="7CA42B03"/>
    <w:rsid w:val="7CC55E61"/>
    <w:rsid w:val="7CC77961"/>
    <w:rsid w:val="7CCC5441"/>
    <w:rsid w:val="7CD2318A"/>
    <w:rsid w:val="7CD2702A"/>
    <w:rsid w:val="7CD34C42"/>
    <w:rsid w:val="7CD46B29"/>
    <w:rsid w:val="7CDE3FF9"/>
    <w:rsid w:val="7CE26EBF"/>
    <w:rsid w:val="7CEE3130"/>
    <w:rsid w:val="7CFC08E8"/>
    <w:rsid w:val="7CFE1373"/>
    <w:rsid w:val="7D1E1A15"/>
    <w:rsid w:val="7D1F6674"/>
    <w:rsid w:val="7D407BDD"/>
    <w:rsid w:val="7D475E29"/>
    <w:rsid w:val="7D480B34"/>
    <w:rsid w:val="7D777A3E"/>
    <w:rsid w:val="7D9005BC"/>
    <w:rsid w:val="7D9F0AD0"/>
    <w:rsid w:val="7DB22BDF"/>
    <w:rsid w:val="7DD12BB7"/>
    <w:rsid w:val="7DF223A2"/>
    <w:rsid w:val="7DFF0955"/>
    <w:rsid w:val="7E0B750E"/>
    <w:rsid w:val="7E1939E8"/>
    <w:rsid w:val="7E2400E7"/>
    <w:rsid w:val="7E2822EA"/>
    <w:rsid w:val="7E2A20CE"/>
    <w:rsid w:val="7E355A7B"/>
    <w:rsid w:val="7E455322"/>
    <w:rsid w:val="7E682F48"/>
    <w:rsid w:val="7E6E3E85"/>
    <w:rsid w:val="7E991353"/>
    <w:rsid w:val="7E9C184B"/>
    <w:rsid w:val="7EA72948"/>
    <w:rsid w:val="7EB31EDB"/>
    <w:rsid w:val="7ED61132"/>
    <w:rsid w:val="7EE70CC0"/>
    <w:rsid w:val="7EEB48DB"/>
    <w:rsid w:val="7EF27444"/>
    <w:rsid w:val="7F185A04"/>
    <w:rsid w:val="7F1D7072"/>
    <w:rsid w:val="7F265C58"/>
    <w:rsid w:val="7F3B240A"/>
    <w:rsid w:val="7F4C4618"/>
    <w:rsid w:val="7F4D13A6"/>
    <w:rsid w:val="7F582CF2"/>
    <w:rsid w:val="7F951B40"/>
    <w:rsid w:val="7FA501CC"/>
    <w:rsid w:val="7FA820A8"/>
    <w:rsid w:val="7FA91A6A"/>
    <w:rsid w:val="7FAF2DF8"/>
    <w:rsid w:val="7FB90D50"/>
    <w:rsid w:val="7FBE053E"/>
    <w:rsid w:val="7FBF10B0"/>
    <w:rsid w:val="7FD840FD"/>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autoRedefine/>
    <w:qFormat/>
    <w:uiPriority w:val="0"/>
    <w:pPr>
      <w:keepNext/>
      <w:keepLines/>
      <w:spacing w:before="340" w:after="330" w:line="576" w:lineRule="auto"/>
      <w:outlineLvl w:val="0"/>
    </w:pPr>
    <w:rPr>
      <w:b/>
      <w:bCs/>
      <w:kern w:val="44"/>
      <w:sz w:val="44"/>
      <w:szCs w:val="44"/>
    </w:rPr>
  </w:style>
  <w:style w:type="paragraph" w:styleId="2">
    <w:name w:val="heading 2"/>
    <w:basedOn w:val="1"/>
    <w:next w:val="1"/>
    <w:autoRedefine/>
    <w:qFormat/>
    <w:uiPriority w:val="0"/>
    <w:pPr>
      <w:keepNext/>
      <w:keepLines/>
      <w:spacing w:before="260" w:after="260" w:line="416" w:lineRule="auto"/>
      <w:jc w:val="center"/>
      <w:outlineLvl w:val="1"/>
    </w:pPr>
    <w:rPr>
      <w:rFonts w:ascii="Arial" w:hAnsi="Arial" w:eastAsia="黑体"/>
      <w:b/>
      <w:bCs/>
      <w:sz w:val="24"/>
    </w:rPr>
  </w:style>
  <w:style w:type="paragraph" w:styleId="9">
    <w:name w:val="heading 3"/>
    <w:basedOn w:val="1"/>
    <w:next w:val="1"/>
    <w:autoRedefine/>
    <w:qFormat/>
    <w:uiPriority w:val="0"/>
    <w:pPr>
      <w:keepNext/>
      <w:keepLines/>
      <w:spacing w:before="260" w:after="260" w:line="416" w:lineRule="auto"/>
      <w:outlineLvl w:val="2"/>
    </w:pPr>
    <w:rPr>
      <w:b/>
      <w:bCs/>
      <w:sz w:val="32"/>
      <w:szCs w:val="32"/>
    </w:rPr>
  </w:style>
  <w:style w:type="paragraph" w:styleId="10">
    <w:name w:val="heading 4"/>
    <w:basedOn w:val="1"/>
    <w:next w:val="1"/>
    <w:autoRedefine/>
    <w:qFormat/>
    <w:uiPriority w:val="0"/>
    <w:pPr>
      <w:keepNext/>
      <w:keepLines/>
      <w:spacing w:line="360" w:lineRule="auto"/>
      <w:outlineLvl w:val="3"/>
    </w:pPr>
    <w:rPr>
      <w:rFonts w:ascii="Arial" w:hAnsi="Arial"/>
      <w:b/>
      <w:bCs/>
      <w:szCs w:val="28"/>
    </w:rPr>
  </w:style>
  <w:style w:type="paragraph" w:styleId="11">
    <w:name w:val="heading 5"/>
    <w:basedOn w:val="1"/>
    <w:next w:val="1"/>
    <w:autoRedefine/>
    <w:unhideWhenUsed/>
    <w:qFormat/>
    <w:uiPriority w:val="0"/>
    <w:pPr>
      <w:keepNext/>
      <w:keepLines/>
      <w:spacing w:line="372" w:lineRule="auto"/>
      <w:outlineLvl w:val="4"/>
    </w:pPr>
    <w:rPr>
      <w:b/>
      <w:sz w:val="28"/>
    </w:rPr>
  </w:style>
  <w:style w:type="character" w:default="1" w:styleId="36">
    <w:name w:val="Default Paragraph Font"/>
    <w:semiHidden/>
    <w:unhideWhenUsed/>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5"/>
    <w:link w:val="75"/>
    <w:autoRedefine/>
    <w:qFormat/>
    <w:uiPriority w:val="0"/>
  </w:style>
  <w:style w:type="paragraph" w:customStyle="1" w:styleId="5">
    <w:name w:val="Default"/>
    <w:next w:val="6"/>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6">
    <w:name w:val="大标题"/>
    <w:basedOn w:val="1"/>
    <w:next w:val="7"/>
    <w:autoRedefine/>
    <w:qFormat/>
    <w:uiPriority w:val="0"/>
    <w:pPr>
      <w:jc w:val="center"/>
    </w:pPr>
    <w:rPr>
      <w:rFonts w:ascii="Arial" w:hAnsi="Arial"/>
      <w:b/>
      <w:sz w:val="28"/>
    </w:rPr>
  </w:style>
  <w:style w:type="paragraph" w:styleId="7">
    <w:name w:val="Body Text First Indent 2"/>
    <w:basedOn w:val="8"/>
    <w:autoRedefine/>
    <w:qFormat/>
    <w:uiPriority w:val="0"/>
    <w:pPr>
      <w:ind w:firstLine="420" w:firstLineChars="200"/>
    </w:pPr>
  </w:style>
  <w:style w:type="paragraph" w:styleId="8">
    <w:name w:val="Body Text Indent"/>
    <w:basedOn w:val="1"/>
    <w:next w:val="7"/>
    <w:autoRedefine/>
    <w:qFormat/>
    <w:uiPriority w:val="0"/>
    <w:pPr>
      <w:widowControl/>
      <w:spacing w:beforeAutospacing="1" w:afterAutospacing="1"/>
      <w:jc w:val="left"/>
    </w:pPr>
    <w:rPr>
      <w:rFonts w:ascii="宋体" w:hAnsi="宋体" w:cs="宋体"/>
      <w:kern w:val="0"/>
      <w:sz w:val="24"/>
    </w:rPr>
  </w:style>
  <w:style w:type="paragraph" w:styleId="12">
    <w:name w:val="List Number"/>
    <w:basedOn w:val="1"/>
    <w:autoRedefine/>
    <w:qFormat/>
    <w:uiPriority w:val="0"/>
    <w:pPr>
      <w:widowControl/>
      <w:spacing w:beforeAutospacing="1" w:afterAutospacing="1"/>
      <w:jc w:val="left"/>
    </w:pPr>
    <w:rPr>
      <w:rFonts w:ascii="宋体" w:hAnsi="宋体" w:cs="宋体"/>
      <w:kern w:val="0"/>
      <w:sz w:val="24"/>
    </w:rPr>
  </w:style>
  <w:style w:type="paragraph" w:styleId="13">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4">
    <w:name w:val="Document Map"/>
    <w:basedOn w:val="1"/>
    <w:link w:val="77"/>
    <w:autoRedefine/>
    <w:qFormat/>
    <w:uiPriority w:val="0"/>
    <w:rPr>
      <w:rFonts w:ascii="宋体" w:hAnsi="Calibri"/>
      <w:sz w:val="18"/>
      <w:szCs w:val="18"/>
    </w:rPr>
  </w:style>
  <w:style w:type="paragraph" w:styleId="15">
    <w:name w:val="annotation text"/>
    <w:basedOn w:val="1"/>
    <w:autoRedefine/>
    <w:qFormat/>
    <w:uiPriority w:val="0"/>
    <w:pPr>
      <w:jc w:val="left"/>
    </w:pPr>
  </w:style>
  <w:style w:type="paragraph" w:styleId="16">
    <w:name w:val="Body Text 3"/>
    <w:basedOn w:val="1"/>
    <w:autoRedefine/>
    <w:qFormat/>
    <w:uiPriority w:val="0"/>
    <w:rPr>
      <w:sz w:val="16"/>
      <w:szCs w:val="16"/>
    </w:r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autoRedefine/>
    <w:qFormat/>
    <w:uiPriority w:val="0"/>
    <w:pPr>
      <w:widowControl/>
      <w:spacing w:beforeAutospacing="1" w:afterAutospacing="1"/>
      <w:jc w:val="left"/>
    </w:pPr>
    <w:rPr>
      <w:rFonts w:ascii="宋体" w:hAnsi="宋体" w:cs="宋体"/>
      <w:kern w:val="0"/>
      <w:sz w:val="24"/>
    </w:rPr>
  </w:style>
  <w:style w:type="paragraph" w:styleId="21">
    <w:name w:val="Date"/>
    <w:basedOn w:val="1"/>
    <w:next w:val="1"/>
    <w:autoRedefine/>
    <w:qFormat/>
    <w:uiPriority w:val="0"/>
    <w:pPr>
      <w:ind w:left="100" w:leftChars="2500"/>
    </w:pPr>
    <w:rPr>
      <w:rFonts w:ascii="宋体" w:hAnsi="宋体"/>
      <w:sz w:val="28"/>
    </w:rPr>
  </w:style>
  <w:style w:type="paragraph" w:styleId="22">
    <w:name w:val="Body Text Indent 2"/>
    <w:basedOn w:val="1"/>
    <w:autoRedefine/>
    <w:qFormat/>
    <w:uiPriority w:val="0"/>
    <w:pPr>
      <w:spacing w:line="480" w:lineRule="auto"/>
      <w:ind w:left="420" w:leftChars="200"/>
    </w:p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envelope return"/>
    <w:basedOn w:val="1"/>
    <w:autoRedefine/>
    <w:unhideWhenUsed/>
    <w:qFormat/>
    <w:uiPriority w:val="99"/>
    <w:pPr>
      <w:snapToGrid w:val="0"/>
    </w:pPr>
    <w:rPr>
      <w:rFonts w:ascii="Arial" w:hAnsi="Arial"/>
    </w:rPr>
  </w:style>
  <w:style w:type="paragraph" w:styleId="2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qFormat/>
    <w:uiPriority w:val="0"/>
  </w:style>
  <w:style w:type="paragraph" w:styleId="27">
    <w:name w:val="List"/>
    <w:basedOn w:val="1"/>
    <w:autoRedefine/>
    <w:qFormat/>
    <w:uiPriority w:val="0"/>
    <w:pPr>
      <w:ind w:left="200" w:hanging="200" w:hangingChars="200"/>
    </w:pPr>
  </w:style>
  <w:style w:type="paragraph" w:styleId="28">
    <w:name w:val="Body Text 2"/>
    <w:basedOn w:val="1"/>
    <w:next w:val="4"/>
    <w:autoRedefine/>
    <w:qFormat/>
    <w:uiPriority w:val="0"/>
    <w:pPr>
      <w:spacing w:line="480" w:lineRule="auto"/>
    </w:pPr>
  </w:style>
  <w:style w:type="paragraph" w:styleId="29">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rPr>
  </w:style>
  <w:style w:type="paragraph" w:styleId="30">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1">
    <w:name w:val="Normal (Web)"/>
    <w:basedOn w:val="1"/>
    <w:autoRedefine/>
    <w:qFormat/>
    <w:uiPriority w:val="99"/>
    <w:pPr>
      <w:spacing w:before="100" w:beforeAutospacing="1" w:after="100" w:afterAutospacing="1"/>
      <w:jc w:val="left"/>
    </w:pPr>
    <w:rPr>
      <w:kern w:val="0"/>
      <w:sz w:val="24"/>
    </w:rPr>
  </w:style>
  <w:style w:type="paragraph" w:styleId="32">
    <w:name w:val="Title"/>
    <w:basedOn w:val="1"/>
    <w:autoRedefine/>
    <w:qFormat/>
    <w:uiPriority w:val="0"/>
    <w:pPr>
      <w:jc w:val="center"/>
      <w:outlineLvl w:val="0"/>
    </w:pPr>
    <w:rPr>
      <w:rFonts w:ascii="Arial" w:hAnsi="Arial" w:cs="Arial"/>
      <w:b/>
      <w:bCs/>
      <w:sz w:val="32"/>
      <w:szCs w:val="32"/>
    </w:rPr>
  </w:style>
  <w:style w:type="paragraph" w:styleId="33">
    <w:name w:val="Body Text First Indent"/>
    <w:basedOn w:val="4"/>
    <w:next w:val="7"/>
    <w:autoRedefine/>
    <w:qFormat/>
    <w:uiPriority w:val="0"/>
    <w:pPr>
      <w:spacing w:line="360" w:lineRule="auto"/>
      <w:ind w:firstLine="420" w:firstLineChars="100"/>
    </w:pPr>
    <w:rPr>
      <w:szCs w:val="21"/>
    </w:rPr>
  </w:style>
  <w:style w:type="table" w:styleId="35">
    <w:name w:val="Table Grid"/>
    <w:basedOn w:val="34"/>
    <w:autoRedefine/>
    <w:unhideWhenUse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autoRedefine/>
    <w:qFormat/>
    <w:uiPriority w:val="0"/>
    <w:rPr>
      <w:b/>
      <w:bCs/>
      <w:szCs w:val="24"/>
    </w:rPr>
  </w:style>
  <w:style w:type="character" w:styleId="38">
    <w:name w:val="page number"/>
    <w:basedOn w:val="36"/>
    <w:autoRedefine/>
    <w:qFormat/>
    <w:uiPriority w:val="0"/>
  </w:style>
  <w:style w:type="character" w:styleId="39">
    <w:name w:val="FollowedHyperlink"/>
    <w:autoRedefine/>
    <w:qFormat/>
    <w:uiPriority w:val="0"/>
    <w:rPr>
      <w:color w:val="333333"/>
      <w:szCs w:val="24"/>
      <w:u w:val="none"/>
    </w:rPr>
  </w:style>
  <w:style w:type="character" w:styleId="40">
    <w:name w:val="Emphasis"/>
    <w:basedOn w:val="36"/>
    <w:autoRedefine/>
    <w:qFormat/>
    <w:uiPriority w:val="0"/>
  </w:style>
  <w:style w:type="character" w:styleId="41">
    <w:name w:val="HTML Definition"/>
    <w:basedOn w:val="36"/>
    <w:autoRedefine/>
    <w:qFormat/>
    <w:uiPriority w:val="0"/>
  </w:style>
  <w:style w:type="character" w:styleId="42">
    <w:name w:val="HTML Typewriter"/>
    <w:basedOn w:val="36"/>
    <w:autoRedefine/>
    <w:qFormat/>
    <w:uiPriority w:val="0"/>
    <w:rPr>
      <w:rFonts w:hint="default" w:ascii="monospace" w:hAnsi="monospace" w:eastAsia="monospace" w:cs="monospace"/>
      <w:sz w:val="20"/>
    </w:rPr>
  </w:style>
  <w:style w:type="character" w:styleId="43">
    <w:name w:val="HTML Acronym"/>
    <w:basedOn w:val="36"/>
    <w:autoRedefine/>
    <w:qFormat/>
    <w:uiPriority w:val="0"/>
  </w:style>
  <w:style w:type="character" w:styleId="44">
    <w:name w:val="HTML Variable"/>
    <w:basedOn w:val="36"/>
    <w:autoRedefine/>
    <w:qFormat/>
    <w:uiPriority w:val="0"/>
  </w:style>
  <w:style w:type="character" w:styleId="45">
    <w:name w:val="Hyperlink"/>
    <w:basedOn w:val="36"/>
    <w:autoRedefine/>
    <w:qFormat/>
    <w:uiPriority w:val="0"/>
    <w:rPr>
      <w:color w:val="333333"/>
      <w:szCs w:val="24"/>
      <w:u w:val="none"/>
    </w:rPr>
  </w:style>
  <w:style w:type="character" w:styleId="46">
    <w:name w:val="HTML Code"/>
    <w:basedOn w:val="36"/>
    <w:autoRedefine/>
    <w:qFormat/>
    <w:uiPriority w:val="0"/>
    <w:rPr>
      <w:rFonts w:ascii="monospace" w:hAnsi="monospace" w:eastAsia="monospace" w:cs="monospace"/>
      <w:sz w:val="20"/>
    </w:rPr>
  </w:style>
  <w:style w:type="character" w:styleId="47">
    <w:name w:val="HTML Cite"/>
    <w:basedOn w:val="36"/>
    <w:autoRedefine/>
    <w:qFormat/>
    <w:uiPriority w:val="0"/>
  </w:style>
  <w:style w:type="character" w:styleId="48">
    <w:name w:val="HTML Keyboard"/>
    <w:basedOn w:val="36"/>
    <w:autoRedefine/>
    <w:qFormat/>
    <w:uiPriority w:val="0"/>
    <w:rPr>
      <w:rFonts w:hint="default" w:ascii="monospace" w:hAnsi="monospace" w:eastAsia="monospace" w:cs="monospace"/>
      <w:sz w:val="20"/>
    </w:rPr>
  </w:style>
  <w:style w:type="character" w:styleId="49">
    <w:name w:val="HTML Sample"/>
    <w:basedOn w:val="36"/>
    <w:autoRedefine/>
    <w:qFormat/>
    <w:uiPriority w:val="0"/>
    <w:rPr>
      <w:rFonts w:hint="default" w:ascii="monospace" w:hAnsi="monospace" w:eastAsia="monospace" w:cs="monospace"/>
    </w:rPr>
  </w:style>
  <w:style w:type="paragraph" w:customStyle="1" w:styleId="50">
    <w:name w:val="正文文本缩进 21"/>
    <w:basedOn w:val="1"/>
    <w:autoRedefine/>
    <w:qFormat/>
    <w:uiPriority w:val="0"/>
    <w:pPr>
      <w:ind w:firstLine="570"/>
    </w:pPr>
    <w:rPr>
      <w:sz w:val="32"/>
    </w:rPr>
  </w:style>
  <w:style w:type="paragraph" w:customStyle="1" w:styleId="51">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2">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3">
    <w:name w:val="No Spacing1"/>
    <w:basedOn w:val="1"/>
    <w:autoRedefine/>
    <w:qFormat/>
    <w:uiPriority w:val="0"/>
    <w:pPr>
      <w:spacing w:line="400" w:lineRule="exact"/>
    </w:pPr>
    <w:rPr>
      <w:sz w:val="24"/>
    </w:rPr>
  </w:style>
  <w:style w:type="paragraph" w:customStyle="1" w:styleId="54">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5">
    <w:name w:val="Char"/>
    <w:basedOn w:val="1"/>
    <w:autoRedefine/>
    <w:qFormat/>
    <w:uiPriority w:val="0"/>
  </w:style>
  <w:style w:type="paragraph" w:customStyle="1" w:styleId="56">
    <w:name w:val="正文缩进1"/>
    <w:basedOn w:val="1"/>
    <w:autoRedefine/>
    <w:qFormat/>
    <w:uiPriority w:val="0"/>
    <w:pPr>
      <w:widowControl/>
      <w:ind w:firstLine="420"/>
      <w:jc w:val="left"/>
    </w:pPr>
    <w:rPr>
      <w:kern w:val="0"/>
      <w:szCs w:val="20"/>
    </w:rPr>
  </w:style>
  <w:style w:type="paragraph" w:customStyle="1" w:styleId="57">
    <w:name w:val="列出段落2"/>
    <w:basedOn w:val="1"/>
    <w:autoRedefine/>
    <w:qFormat/>
    <w:uiPriority w:val="34"/>
    <w:pPr>
      <w:ind w:firstLine="420" w:firstLineChars="200"/>
    </w:pPr>
  </w:style>
  <w:style w:type="paragraph" w:customStyle="1" w:styleId="58">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9">
    <w:name w:val="1"/>
    <w:basedOn w:val="1"/>
    <w:autoRedefine/>
    <w:qFormat/>
    <w:uiPriority w:val="0"/>
    <w:pPr>
      <w:widowControl/>
      <w:spacing w:beforeAutospacing="1" w:afterAutospacing="1"/>
      <w:jc w:val="left"/>
    </w:pPr>
    <w:rPr>
      <w:rFonts w:ascii="宋体" w:hAnsi="宋体" w:cs="宋体"/>
      <w:kern w:val="0"/>
      <w:sz w:val="24"/>
    </w:rPr>
  </w:style>
  <w:style w:type="paragraph" w:styleId="60">
    <w:name w:val="No Spacing"/>
    <w:autoRedefine/>
    <w:qFormat/>
    <w:uiPriority w:val="1"/>
    <w:rPr>
      <w:rFonts w:ascii="Calibri" w:hAnsi="Calibri" w:eastAsia="宋体" w:cs="Times New Roman"/>
      <w:sz w:val="22"/>
      <w:szCs w:val="22"/>
      <w:lang w:val="en-US" w:eastAsia="zh-CN" w:bidi="ar-SA"/>
    </w:rPr>
  </w:style>
  <w:style w:type="paragraph" w:customStyle="1" w:styleId="61">
    <w:name w:val="_Style 2"/>
    <w:basedOn w:val="1"/>
    <w:autoRedefine/>
    <w:qFormat/>
    <w:uiPriority w:val="34"/>
    <w:pPr>
      <w:ind w:firstLine="420" w:firstLineChars="200"/>
    </w:pPr>
    <w:rPr>
      <w:rFonts w:ascii="Calibri" w:hAnsi="Calibri"/>
    </w:rPr>
  </w:style>
  <w:style w:type="paragraph" w:customStyle="1" w:styleId="62">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3">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4">
    <w:name w:val="Char1"/>
    <w:basedOn w:val="1"/>
    <w:autoRedefine/>
    <w:qFormat/>
    <w:uiPriority w:val="0"/>
  </w:style>
  <w:style w:type="paragraph" w:customStyle="1" w:styleId="65">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
    <w:name w:val="Table Paragraph"/>
    <w:basedOn w:val="1"/>
    <w:autoRedefine/>
    <w:qFormat/>
    <w:uiPriority w:val="1"/>
    <w:pPr>
      <w:jc w:val="left"/>
    </w:pPr>
    <w:rPr>
      <w:rFonts w:ascii="宋体" w:hAnsi="宋体" w:cs="宋体"/>
      <w:kern w:val="0"/>
      <w:sz w:val="22"/>
      <w:szCs w:val="22"/>
      <w:lang w:eastAsia="en-US"/>
    </w:rPr>
  </w:style>
  <w:style w:type="paragraph" w:customStyle="1" w:styleId="67">
    <w:name w:val="无间隔1"/>
    <w:basedOn w:val="1"/>
    <w:autoRedefine/>
    <w:qFormat/>
    <w:uiPriority w:val="1"/>
    <w:pPr>
      <w:spacing w:line="400" w:lineRule="exact"/>
    </w:pPr>
    <w:rPr>
      <w:sz w:val="24"/>
    </w:rPr>
  </w:style>
  <w:style w:type="paragraph" w:customStyle="1" w:styleId="68">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9">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0">
    <w:name w:val="列出段落1"/>
    <w:basedOn w:val="1"/>
    <w:autoRedefine/>
    <w:qFormat/>
    <w:uiPriority w:val="34"/>
    <w:pPr>
      <w:ind w:firstLine="420" w:firstLineChars="200"/>
    </w:pPr>
  </w:style>
  <w:style w:type="paragraph" w:customStyle="1" w:styleId="71">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2">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列出段落11"/>
    <w:basedOn w:val="1"/>
    <w:autoRedefine/>
    <w:qFormat/>
    <w:uiPriority w:val="0"/>
    <w:pPr>
      <w:ind w:firstLine="420" w:firstLineChars="200"/>
    </w:pPr>
    <w:rPr>
      <w:rFonts w:ascii="Calibri" w:hAnsi="Calibri"/>
      <w:szCs w:val="22"/>
    </w:rPr>
  </w:style>
  <w:style w:type="character" w:customStyle="1" w:styleId="75">
    <w:name w:val="正文文本 Char"/>
    <w:basedOn w:val="36"/>
    <w:link w:val="4"/>
    <w:autoRedefine/>
    <w:qFormat/>
    <w:uiPriority w:val="0"/>
  </w:style>
  <w:style w:type="character" w:customStyle="1" w:styleId="76">
    <w:name w:val="apple-converted-space"/>
    <w:basedOn w:val="36"/>
    <w:autoRedefine/>
    <w:qFormat/>
    <w:uiPriority w:val="0"/>
  </w:style>
  <w:style w:type="character" w:customStyle="1" w:styleId="77">
    <w:name w:val="文档结构图 Char"/>
    <w:link w:val="14"/>
    <w:autoRedefine/>
    <w:qFormat/>
    <w:uiPriority w:val="0"/>
    <w:rPr>
      <w:rFonts w:ascii="宋体"/>
      <w:kern w:val="2"/>
      <w:sz w:val="18"/>
      <w:szCs w:val="18"/>
    </w:rPr>
  </w:style>
  <w:style w:type="character" w:customStyle="1" w:styleId="78">
    <w:name w:val="不明显强调1"/>
    <w:autoRedefine/>
    <w:qFormat/>
    <w:uiPriority w:val="19"/>
    <w:rPr>
      <w:i/>
      <w:iCs/>
      <w:color w:val="7F7F7F"/>
      <w:szCs w:val="24"/>
    </w:rPr>
  </w:style>
  <w:style w:type="character" w:customStyle="1" w:styleId="79">
    <w:name w:val="font71"/>
    <w:basedOn w:val="36"/>
    <w:autoRedefine/>
    <w:qFormat/>
    <w:uiPriority w:val="0"/>
    <w:rPr>
      <w:rFonts w:hint="eastAsia" w:ascii="宋体" w:hAnsi="宋体" w:eastAsia="宋体" w:cs="宋体"/>
      <w:color w:val="000000"/>
      <w:sz w:val="28"/>
      <w:szCs w:val="28"/>
      <w:u w:val="none"/>
    </w:rPr>
  </w:style>
  <w:style w:type="character" w:customStyle="1" w:styleId="80">
    <w:name w:val="font21"/>
    <w:autoRedefine/>
    <w:qFormat/>
    <w:uiPriority w:val="0"/>
    <w:rPr>
      <w:rFonts w:hint="default" w:ascii="Calibri" w:hAnsi="Calibri" w:cs="Calibri"/>
      <w:color w:val="000000"/>
      <w:sz w:val="28"/>
      <w:szCs w:val="28"/>
      <w:u w:val="none"/>
    </w:rPr>
  </w:style>
  <w:style w:type="character" w:customStyle="1" w:styleId="81">
    <w:name w:val="17"/>
    <w:autoRedefine/>
    <w:qFormat/>
    <w:uiPriority w:val="0"/>
    <w:rPr>
      <w:rFonts w:hint="eastAsia" w:ascii="宋体" w:hAnsi="宋体" w:eastAsia="宋体"/>
      <w:color w:val="000000"/>
    </w:rPr>
  </w:style>
  <w:style w:type="character" w:customStyle="1" w:styleId="82">
    <w:name w:val="font91"/>
    <w:autoRedefine/>
    <w:qFormat/>
    <w:uiPriority w:val="0"/>
    <w:rPr>
      <w:rFonts w:hint="eastAsia" w:ascii="宋体" w:hAnsi="宋体" w:eastAsia="宋体" w:cs="宋体"/>
      <w:color w:val="FF0000"/>
      <w:sz w:val="28"/>
      <w:szCs w:val="28"/>
      <w:u w:val="none"/>
    </w:rPr>
  </w:style>
  <w:style w:type="paragraph" w:customStyle="1" w:styleId="83">
    <w:name w:val="p"/>
    <w:basedOn w:val="1"/>
    <w:autoRedefine/>
    <w:qFormat/>
    <w:uiPriority w:val="0"/>
    <w:pPr>
      <w:widowControl/>
      <w:spacing w:line="432" w:lineRule="auto"/>
      <w:jc w:val="left"/>
    </w:pPr>
    <w:rPr>
      <w:rFonts w:ascii="宋体" w:hAnsi="宋体" w:cs="宋体"/>
      <w:kern w:val="0"/>
      <w:sz w:val="24"/>
    </w:rPr>
  </w:style>
  <w:style w:type="paragraph" w:customStyle="1" w:styleId="84">
    <w:name w:val="WPSOffice手动目录 1"/>
    <w:autoRedefine/>
    <w:qFormat/>
    <w:uiPriority w:val="0"/>
    <w:rPr>
      <w:rFonts w:ascii="Times New Roman" w:hAnsi="Times New Roman" w:eastAsia="宋体" w:cs="Times New Roman"/>
      <w:lang w:val="en-US" w:eastAsia="zh-CN" w:bidi="ar-SA"/>
    </w:rPr>
  </w:style>
  <w:style w:type="paragraph" w:customStyle="1" w:styleId="85">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6">
    <w:name w:val="表格文字"/>
    <w:basedOn w:val="1"/>
    <w:next w:val="4"/>
    <w:autoRedefine/>
    <w:qFormat/>
    <w:uiPriority w:val="0"/>
    <w:pPr>
      <w:adjustRightInd w:val="0"/>
      <w:spacing w:line="420" w:lineRule="atLeast"/>
      <w:jc w:val="left"/>
      <w:textAlignment w:val="baseline"/>
    </w:pPr>
    <w:rPr>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6"/>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cs="宋体"/>
      <w:sz w:val="45"/>
      <w:szCs w:val="45"/>
      <w:lang w:eastAsia="en-US"/>
    </w:rPr>
  </w:style>
  <w:style w:type="character" w:customStyle="1" w:styleId="93">
    <w:name w:val="font11"/>
    <w:basedOn w:val="36"/>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6"/>
    <w:qFormat/>
    <w:uiPriority w:val="0"/>
    <w:rPr>
      <w:rFonts w:ascii="宋体" w:hAnsi="宋体" w:eastAsia="宋体" w:cs="宋体"/>
      <w:color w:val="000000"/>
      <w:sz w:val="24"/>
      <w:szCs w:val="24"/>
      <w:u w:val="none"/>
    </w:rPr>
  </w:style>
  <w:style w:type="character" w:customStyle="1" w:styleId="96">
    <w:name w:val="font81"/>
    <w:basedOn w:val="36"/>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Info spid="_x0000_s1027"/>
    <customShpInfo spid="_x0000_s2051"/>
    <customShpInfo spid="_x0000_s205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ACD5DB9-11FD-4111-8C98-22DB7C3975AF}">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43</Pages>
  <Words>18071</Words>
  <Characters>19100</Characters>
  <Lines>170</Lines>
  <Paragraphs>47</Paragraphs>
  <TotalTime>6</TotalTime>
  <ScaleCrop>false</ScaleCrop>
  <LinksUpToDate>false</LinksUpToDate>
  <CharactersWithSpaces>19791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2025-12-15T02:25:00Z</dcterms:created>
  <dc:creator>微软用户</dc:creator>
  <cp:lastModifiedBy>潘艳红</cp:lastModifiedBy>
  <cp:lastPrinted>2021-09-30T00:46:00Z</cp:lastPrinted>
  <dcterms:modified xsi:type="dcterms:W3CDTF">2025-12-17T01:19:52Z</dcterms:modified>
  <dc:title>驻马店市政府采购货物项目</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7D455F866AA64FDAA877474EE83DA220_13</vt:lpwstr>
  </property>
  <property fmtid="{D5CDD505-2E9C-101B-9397-08002B2CF9AE}" pid="4" name="KSOTemplateDocerSaveRecord">
    <vt:lpwstr>eyJoZGlkIjoiMzU0MTZjMjFkMjFjOGMwYTIzNWEzZDljNjYxZWI0MmYiLCJ1c2VySWQiOiIxNjg0NTc5MjM2In0=</vt:lpwstr>
  </property>
</Properties>
</file>