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highlight w:val="none"/>
        </w:rPr>
      </w:pPr>
      <w:bookmarkStart w:id="0" w:name="_Toc22804073"/>
      <w:bookmarkEnd w:id="0"/>
      <w:bookmarkStart w:id="1" w:name="_Toc22953395"/>
      <w:bookmarkEnd w:id="1"/>
    </w:p>
    <w:p w14:paraId="42472A67">
      <w:pPr>
        <w:pStyle w:val="20"/>
        <w:spacing w:before="156"/>
        <w:jc w:val="center"/>
        <w:rPr>
          <w:rFonts w:hint="eastAsia" w:eastAsia="宋体"/>
          <w:b/>
          <w:bCs/>
          <w:sz w:val="44"/>
          <w:szCs w:val="44"/>
          <w:highlight w:val="none"/>
          <w:lang w:eastAsia="zh-CN"/>
        </w:rPr>
      </w:pPr>
      <w:r>
        <w:rPr>
          <w:rFonts w:hint="eastAsia"/>
          <w:b/>
          <w:bCs/>
          <w:sz w:val="44"/>
          <w:szCs w:val="44"/>
          <w:highlight w:val="none"/>
        </w:rPr>
        <w:t>驻马店市中心医院</w:t>
      </w:r>
      <w:r>
        <w:rPr>
          <w:rFonts w:hint="eastAsia"/>
          <w:b/>
          <w:bCs/>
          <w:sz w:val="44"/>
          <w:szCs w:val="44"/>
          <w:highlight w:val="none"/>
          <w:lang w:eastAsia="zh-CN"/>
        </w:rPr>
        <w:t>西门子3.0T磁共振液氦及氦气采购项目（</w:t>
      </w:r>
      <w:r>
        <w:rPr>
          <w:rFonts w:hint="eastAsia"/>
          <w:b/>
          <w:bCs/>
          <w:sz w:val="44"/>
          <w:szCs w:val="44"/>
          <w:highlight w:val="none"/>
          <w:lang w:val="en-US" w:eastAsia="zh-CN"/>
        </w:rPr>
        <w:t>三次</w:t>
      </w:r>
      <w:r>
        <w:rPr>
          <w:rFonts w:hint="eastAsia"/>
          <w:b/>
          <w:bCs/>
          <w:sz w:val="44"/>
          <w:szCs w:val="44"/>
          <w:highlight w:val="none"/>
          <w:lang w:eastAsia="zh-CN"/>
        </w:rPr>
        <w:t>）</w:t>
      </w:r>
    </w:p>
    <w:p w14:paraId="3F327681">
      <w:pPr>
        <w:pStyle w:val="20"/>
        <w:spacing w:before="156"/>
        <w:jc w:val="center"/>
        <w:rPr>
          <w:rStyle w:val="45"/>
          <w:rFonts w:hint="eastAsia"/>
          <w:b/>
          <w:bCs/>
          <w:color w:val="auto"/>
          <w:sz w:val="44"/>
          <w:szCs w:val="44"/>
          <w:highlight w:val="none"/>
        </w:rPr>
      </w:pPr>
    </w:p>
    <w:p w14:paraId="0DF8F87A">
      <w:pPr>
        <w:pStyle w:val="20"/>
        <w:spacing w:before="156"/>
        <w:jc w:val="center"/>
        <w:rPr>
          <w:rStyle w:val="45"/>
          <w:rFonts w:hint="eastAsia"/>
          <w:b/>
          <w:bCs/>
          <w:color w:val="auto"/>
          <w:sz w:val="44"/>
          <w:szCs w:val="44"/>
          <w:highlight w:val="none"/>
        </w:rPr>
      </w:pPr>
    </w:p>
    <w:p w14:paraId="236109FC">
      <w:pPr>
        <w:pStyle w:val="20"/>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pacing w:before="156"/>
        <w:rPr>
          <w:b/>
          <w:bCs/>
          <w:highlight w:val="none"/>
        </w:rPr>
      </w:pPr>
    </w:p>
    <w:p w14:paraId="1BD6845F">
      <w:pPr>
        <w:pStyle w:val="22"/>
        <w:spacing w:before="156"/>
        <w:rPr>
          <w:b/>
          <w:bCs/>
          <w:highlight w:val="none"/>
        </w:rPr>
      </w:pPr>
    </w:p>
    <w:p w14:paraId="0FA0F406">
      <w:pPr>
        <w:snapToGrid w:val="0"/>
        <w:spacing w:before="156" w:line="380" w:lineRule="exact"/>
        <w:jc w:val="center"/>
        <w:rPr>
          <w:rFonts w:hint="eastAsia" w:ascii="宋体" w:hAnsi="宋体" w:cs="宋体"/>
          <w:b/>
          <w:bCs/>
          <w:sz w:val="32"/>
          <w:szCs w:val="32"/>
          <w:highlight w:val="none"/>
        </w:rPr>
      </w:pPr>
    </w:p>
    <w:p w14:paraId="2CBE56E8">
      <w:pPr>
        <w:pStyle w:val="33"/>
        <w:spacing w:before="156"/>
        <w:ind w:firstLine="211"/>
        <w:rPr>
          <w:rFonts w:hint="eastAsia" w:ascii="宋体" w:hAnsi="宋体" w:cs="宋体"/>
          <w:b/>
          <w:bCs/>
          <w:highlight w:val="none"/>
        </w:rPr>
      </w:pPr>
    </w:p>
    <w:p w14:paraId="1D18DC1F">
      <w:pPr>
        <w:pStyle w:val="60"/>
        <w:rPr>
          <w:rFonts w:hint="eastAsia" w:ascii="宋体" w:hAnsi="宋体" w:cs="宋体"/>
          <w:b/>
          <w:bCs/>
          <w:sz w:val="2"/>
          <w:szCs w:val="2"/>
          <w:highlight w:val="none"/>
        </w:rPr>
      </w:pPr>
    </w:p>
    <w:p w14:paraId="5DC162EF">
      <w:pPr>
        <w:spacing w:before="156"/>
        <w:rPr>
          <w:rFonts w:hint="eastAsia" w:ascii="宋体" w:hAnsi="宋体" w:cs="宋体"/>
          <w:b/>
          <w:bCs/>
          <w:sz w:val="2"/>
          <w:szCs w:val="2"/>
          <w:highlight w:val="none"/>
        </w:rPr>
      </w:pPr>
    </w:p>
    <w:p w14:paraId="5EFD4436">
      <w:pPr>
        <w:spacing w:before="156" w:line="20" w:lineRule="exact"/>
        <w:rPr>
          <w:rFonts w:hint="eastAsia" w:ascii="宋体" w:hAnsi="宋体" w:cs="宋体"/>
          <w:b/>
          <w:bCs/>
          <w:sz w:val="2"/>
          <w:szCs w:val="2"/>
          <w:highlight w:val="none"/>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highlight w:val="none"/>
        </w:rPr>
      </w:pPr>
    </w:p>
    <w:p w14:paraId="02F73FDF">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 xml:space="preserve">  购  </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人：驻马店市中心医院</w:t>
      </w:r>
    </w:p>
    <w:p w14:paraId="1F171B7B">
      <w:pP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spacing w:val="-10"/>
          <w:sz w:val="34"/>
          <w:szCs w:val="34"/>
          <w:highlight w:val="none"/>
          <w:lang w:eastAsia="zh-CN"/>
        </w:rPr>
      </w:pPr>
      <w:r>
        <w:rPr>
          <w:rFonts w:hint="eastAsia" w:ascii="宋体" w:hAnsi="宋体" w:cs="宋体"/>
          <w:b/>
          <w:bCs/>
          <w:spacing w:val="-10"/>
          <w:sz w:val="34"/>
          <w:szCs w:val="34"/>
          <w:highlight w:val="none"/>
        </w:rPr>
        <w:t>采购代理机构：</w:t>
      </w:r>
      <w:r>
        <w:rPr>
          <w:rFonts w:hint="eastAsia" w:ascii="宋体" w:hAnsi="宋体" w:cs="宋体"/>
          <w:b/>
          <w:bCs/>
          <w:spacing w:val="-10"/>
          <w:sz w:val="34"/>
          <w:szCs w:val="34"/>
          <w:highlight w:val="none"/>
          <w:lang w:eastAsia="zh-CN"/>
        </w:rPr>
        <w:t>河南恒越工程咨询有限公司</w:t>
      </w:r>
    </w:p>
    <w:p w14:paraId="5D967C05">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期：</w:t>
      </w:r>
      <w:r>
        <w:rPr>
          <w:rFonts w:ascii="宋体" w:hAnsi="宋体" w:cs="宋体"/>
          <w:b/>
          <w:bCs/>
          <w:spacing w:val="-10"/>
          <w:sz w:val="34"/>
          <w:szCs w:val="34"/>
          <w:highlight w:val="none"/>
        </w:rPr>
        <w:t>2025</w:t>
      </w:r>
      <w:r>
        <w:rPr>
          <w:rFonts w:hint="eastAsia" w:ascii="宋体" w:hAnsi="宋体" w:cs="宋体"/>
          <w:b/>
          <w:bCs/>
          <w:spacing w:val="-10"/>
          <w:sz w:val="34"/>
          <w:szCs w:val="34"/>
          <w:highlight w:val="none"/>
        </w:rPr>
        <w:t>年1</w:t>
      </w:r>
      <w:r>
        <w:rPr>
          <w:rFonts w:hint="eastAsia" w:ascii="宋体" w:hAnsi="宋体" w:cs="宋体"/>
          <w:b/>
          <w:bCs/>
          <w:spacing w:val="-10"/>
          <w:sz w:val="34"/>
          <w:szCs w:val="34"/>
          <w:highlight w:val="none"/>
          <w:lang w:val="en-US" w:eastAsia="zh-CN"/>
        </w:rPr>
        <w:t>2</w:t>
      </w:r>
      <w:r>
        <w:rPr>
          <w:rFonts w:hint="eastAsia" w:ascii="宋体" w:hAnsi="宋体" w:cs="宋体"/>
          <w:b/>
          <w:bCs/>
          <w:spacing w:val="-10"/>
          <w:sz w:val="34"/>
          <w:szCs w:val="34"/>
          <w:highlight w:val="none"/>
        </w:rPr>
        <w:t>月</w:t>
      </w:r>
    </w:p>
    <w:p w14:paraId="04EED2F2">
      <w:pPr>
        <w:tabs>
          <w:tab w:val="left" w:pos="2700"/>
          <w:tab w:val="left" w:pos="2880"/>
          <w:tab w:val="left" w:pos="3060"/>
          <w:tab w:val="left" w:pos="7560"/>
        </w:tabs>
        <w:snapToGrid w:val="0"/>
        <w:spacing w:line="480" w:lineRule="auto"/>
        <w:ind w:firstLine="1134"/>
        <w:rPr>
          <w:rFonts w:hint="eastAsia" w:ascii="宋体" w:hAnsi="宋体" w:cs="宋体"/>
          <w:b/>
          <w:bCs/>
          <w:spacing w:val="-10"/>
          <w:sz w:val="34"/>
          <w:szCs w:val="34"/>
          <w:highlight w:val="none"/>
        </w:rPr>
      </w:pPr>
    </w:p>
    <w:p w14:paraId="3726393C">
      <w:pPr>
        <w:rPr>
          <w:rFonts w:hint="eastAsia" w:ascii="宋体" w:hAnsi="宋体" w:cs="宋体"/>
          <w:bCs/>
          <w:sz w:val="24"/>
          <w:highlight w:val="none"/>
        </w:rPr>
      </w:pPr>
    </w:p>
    <w:p w14:paraId="198937E4">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031E07F">
      <w:pPr>
        <w:pStyle w:val="54"/>
        <w:rPr>
          <w:rFonts w:hint="eastAsia"/>
          <w:color w:val="auto"/>
          <w:highlight w:val="none"/>
        </w:rPr>
      </w:pPr>
    </w:p>
    <w:p w14:paraId="547E4A97">
      <w:pPr>
        <w:pStyle w:val="26"/>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0C0076A0">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8D37D98">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3485DCC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0E74813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68EAFB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AF6EB6C">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7DB26B11">
      <w:pPr>
        <w:spacing w:line="440" w:lineRule="exact"/>
        <w:rPr>
          <w:rFonts w:hint="eastAsia" w:ascii="宋体" w:hAnsi="宋体" w:cs="宋体"/>
          <w:b/>
          <w:sz w:val="32"/>
          <w:szCs w:val="32"/>
          <w:highlight w:val="none"/>
        </w:rPr>
      </w:pPr>
    </w:p>
    <w:p w14:paraId="40C26D67">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6D4DFF6A">
      <w:pPr>
        <w:widowControl/>
        <w:adjustRightInd w:val="0"/>
        <w:snapToGrid w:val="0"/>
        <w:spacing w:line="324" w:lineRule="auto"/>
        <w:jc w:val="center"/>
        <w:rPr>
          <w:rFonts w:hint="default" w:ascii="宋体" w:hAnsi="宋体" w:cs="宋体"/>
          <w:b/>
          <w:kern w:val="0"/>
          <w:sz w:val="28"/>
          <w:szCs w:val="28"/>
          <w:highlight w:val="none"/>
          <w:lang w:val="en-US" w:eastAsia="zh-CN"/>
        </w:rPr>
      </w:pPr>
      <w:r>
        <w:rPr>
          <w:rFonts w:hint="eastAsia" w:ascii="宋体" w:hAnsi="宋体" w:cs="宋体"/>
          <w:b/>
          <w:kern w:val="0"/>
          <w:sz w:val="28"/>
          <w:szCs w:val="28"/>
          <w:highlight w:val="none"/>
        </w:rPr>
        <w:t>驻马店市中心医院</w:t>
      </w:r>
      <w:r>
        <w:rPr>
          <w:rFonts w:hint="eastAsia" w:ascii="宋体" w:hAnsi="宋体" w:cs="宋体"/>
          <w:b/>
          <w:kern w:val="0"/>
          <w:sz w:val="28"/>
          <w:szCs w:val="28"/>
          <w:highlight w:val="none"/>
          <w:lang w:eastAsia="zh-CN"/>
        </w:rPr>
        <w:t>西门子3.0T磁共振液氦及氦气采购项目（</w:t>
      </w:r>
      <w:r>
        <w:rPr>
          <w:rFonts w:hint="eastAsia" w:ascii="宋体" w:hAnsi="宋体" w:cs="宋体"/>
          <w:b/>
          <w:kern w:val="0"/>
          <w:sz w:val="28"/>
          <w:szCs w:val="28"/>
          <w:highlight w:val="none"/>
          <w:lang w:val="en-US" w:eastAsia="zh-CN"/>
        </w:rPr>
        <w:t>三次</w:t>
      </w:r>
      <w:r>
        <w:rPr>
          <w:rFonts w:hint="eastAsia" w:ascii="宋体" w:hAnsi="宋体" w:cs="宋体"/>
          <w:b/>
          <w:kern w:val="0"/>
          <w:sz w:val="28"/>
          <w:szCs w:val="28"/>
          <w:highlight w:val="none"/>
          <w:lang w:eastAsia="zh-CN"/>
        </w:rPr>
        <w:t>）</w:t>
      </w:r>
    </w:p>
    <w:p w14:paraId="5B9363D2">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406965E7">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w:t>
      </w:r>
      <w:r>
        <w:rPr>
          <w:rFonts w:hint="eastAsia" w:ascii="宋体" w:hAnsi="宋体" w:cs="宋体"/>
          <w:highlight w:val="none"/>
          <w:u w:val="single"/>
          <w:lang w:eastAsia="zh-CN"/>
        </w:rPr>
        <w:t>西门子3.0T磁共振液氦及氦气采购项目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26771700">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w:t>
      </w:r>
      <w:r>
        <w:rPr>
          <w:rFonts w:hint="eastAsia" w:ascii="宋体" w:hAnsi="宋体" w:cs="宋体"/>
          <w:szCs w:val="21"/>
          <w:highlight w:val="none"/>
          <w:shd w:val="clear" w:color="auto" w:fill="FFFFFF"/>
          <w:lang w:eastAsia="zh-CN"/>
        </w:rPr>
        <w:t>西门子3.0T磁共振液氦及氦气采购项目（</w:t>
      </w:r>
      <w:r>
        <w:rPr>
          <w:rFonts w:hint="eastAsia" w:ascii="宋体" w:hAnsi="宋体" w:cs="宋体"/>
          <w:szCs w:val="21"/>
          <w:highlight w:val="none"/>
          <w:shd w:val="clear" w:color="auto" w:fill="FFFFFF"/>
          <w:lang w:val="en-US" w:eastAsia="zh-CN"/>
        </w:rPr>
        <w:t>三次</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w:t>
      </w:r>
      <w:r>
        <w:rPr>
          <w:rFonts w:hint="eastAsia" w:ascii="宋体" w:hAnsi="宋体" w:cs="宋体"/>
          <w:szCs w:val="21"/>
          <w:highlight w:val="none"/>
          <w:shd w:val="clear" w:color="auto" w:fill="FFFFFF"/>
          <w:lang w:val="en-US" w:eastAsia="zh-CN"/>
        </w:rPr>
        <w:t>81000.00</w:t>
      </w:r>
      <w:r>
        <w:rPr>
          <w:rFonts w:hint="eastAsia" w:ascii="宋体" w:hAnsi="宋体" w:cs="宋体"/>
          <w:szCs w:val="21"/>
          <w:highlight w:val="none"/>
          <w:shd w:val="clear" w:color="auto" w:fill="FFFFFF"/>
        </w:rPr>
        <w:t>元；</w:t>
      </w:r>
    </w:p>
    <w:p w14:paraId="3CCA2C7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23626"/>
      <w:bookmarkStart w:id="5" w:name="_Toc18607"/>
      <w:bookmarkStart w:id="6" w:name="_Toc27704"/>
      <w:bookmarkStart w:id="7" w:name="_Toc16639"/>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30971"/>
      <w:bookmarkStart w:id="9" w:name="_Toc9562"/>
      <w:bookmarkStart w:id="10" w:name="_Toc30643"/>
      <w:bookmarkStart w:id="11" w:name="_Toc7823"/>
      <w:bookmarkStart w:id="12" w:name="_Toc23395"/>
      <w:r>
        <w:rPr>
          <w:rFonts w:hint="eastAsia" w:ascii="宋体" w:hAnsi="宋体" w:cs="宋体"/>
          <w:szCs w:val="21"/>
          <w:highlight w:val="none"/>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8.本项目特定资格要求：</w:t>
      </w:r>
    </w:p>
    <w:p w14:paraId="300CB82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供应商须具备有效的危险化学品经营许可证（应包含氦【压缩的或液化的】）。</w:t>
      </w:r>
    </w:p>
    <w:p w14:paraId="730095E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788325B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color w:val="auto"/>
          <w:szCs w:val="21"/>
          <w:highlight w:val="none"/>
        </w:rPr>
      </w:pPr>
      <w:bookmarkStart w:id="13" w:name="_Toc15135"/>
      <w:bookmarkStart w:id="14" w:name="_Toc10738"/>
      <w:bookmarkStart w:id="15" w:name="_Toc15111"/>
      <w:bookmarkStart w:id="16" w:name="_Toc25869"/>
      <w:bookmarkStart w:id="17" w:name="_Toc27480"/>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napToGrid w:val="0"/>
        <w:spacing w:line="324" w:lineRule="auto"/>
        <w:jc w:val="left"/>
        <w:outlineLvl w:val="1"/>
        <w:rPr>
          <w:rFonts w:hint="eastAsia" w:ascii="宋体" w:hAnsi="宋体" w:cs="宋体"/>
          <w:b/>
          <w:bCs/>
          <w:color w:val="auto"/>
          <w:szCs w:val="21"/>
          <w:highlight w:val="none"/>
        </w:rPr>
      </w:pPr>
      <w:bookmarkStart w:id="18" w:name="_Toc6523"/>
      <w:bookmarkStart w:id="19" w:name="_Toc30918"/>
      <w:bookmarkStart w:id="20" w:name="_Toc20287"/>
      <w:bookmarkStart w:id="21" w:name="_Toc29784"/>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795"/>
      <w:bookmarkStart w:id="23" w:name="_Toc35393626"/>
    </w:p>
    <w:bookmarkEnd w:id="22"/>
    <w:bookmarkEnd w:id="23"/>
    <w:p w14:paraId="3A443574">
      <w:pPr>
        <w:widowControl/>
        <w:snapToGrid w:val="0"/>
        <w:spacing w:line="324" w:lineRule="auto"/>
        <w:jc w:val="left"/>
        <w:outlineLvl w:val="1"/>
        <w:rPr>
          <w:rFonts w:hint="eastAsia" w:ascii="宋体" w:hAnsi="宋体" w:cs="宋体"/>
          <w:b/>
          <w:bCs/>
          <w:color w:val="auto"/>
          <w:szCs w:val="21"/>
          <w:highlight w:val="none"/>
        </w:rPr>
      </w:pPr>
      <w:bookmarkStart w:id="24" w:name="_Toc31928"/>
      <w:bookmarkStart w:id="25" w:name="_Toc24274"/>
      <w:bookmarkStart w:id="26" w:name="_Toc27370"/>
      <w:bookmarkStart w:id="27" w:name="_Toc16291"/>
      <w:bookmarkStart w:id="28" w:name="_Toc360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3A3A800C">
      <w:pPr>
        <w:rPr>
          <w:rFonts w:hint="eastAsia" w:ascii="宋体" w:hAnsi="宋体" w:cs="宋体"/>
          <w:b/>
          <w:color w:val="auto"/>
          <w:sz w:val="32"/>
          <w:szCs w:val="32"/>
          <w:highlight w:val="none"/>
        </w:rPr>
      </w:pPr>
      <w:bookmarkStart w:id="29" w:name="_Toc23793"/>
      <w:bookmarkStart w:id="30" w:name="_Toc29890"/>
      <w:r>
        <w:rPr>
          <w:rFonts w:hint="eastAsia" w:ascii="宋体" w:hAnsi="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23610"/>
      <w:bookmarkStart w:id="33" w:name="_Toc31536"/>
      <w:bookmarkStart w:id="34" w:name="_Toc9989"/>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highlight w:val="none"/>
          <w:lang w:eastAsia="zh-CN"/>
        </w:rPr>
      </w:pPr>
      <w:r>
        <w:rPr>
          <w:rFonts w:hint="eastAsia"/>
          <w:b/>
          <w:bCs/>
          <w:iCs/>
          <w:sz w:val="21"/>
          <w:szCs w:val="21"/>
          <w:highlight w:val="none"/>
        </w:rPr>
        <w:t>一、项目名称：</w:t>
      </w:r>
      <w:r>
        <w:rPr>
          <w:rFonts w:hint="eastAsia"/>
          <w:iCs/>
          <w:sz w:val="21"/>
          <w:szCs w:val="21"/>
          <w:highlight w:val="none"/>
        </w:rPr>
        <w:t>驻马店市中心医院</w:t>
      </w:r>
      <w:r>
        <w:rPr>
          <w:rFonts w:hint="eastAsia"/>
          <w:iCs/>
          <w:sz w:val="21"/>
          <w:szCs w:val="21"/>
          <w:highlight w:val="none"/>
          <w:lang w:eastAsia="zh-CN"/>
        </w:rPr>
        <w:t>西门子3.0T磁共振液氦及氦气采购项目（</w:t>
      </w:r>
      <w:r>
        <w:rPr>
          <w:rFonts w:hint="eastAsia"/>
          <w:iCs/>
          <w:sz w:val="21"/>
          <w:szCs w:val="21"/>
          <w:highlight w:val="none"/>
          <w:lang w:val="en-US" w:eastAsia="zh-CN"/>
        </w:rPr>
        <w:t>三次</w:t>
      </w:r>
      <w:r>
        <w:rPr>
          <w:rFonts w:hint="eastAsia"/>
          <w:iCs/>
          <w:sz w:val="21"/>
          <w:szCs w:val="21"/>
          <w:highlight w:val="none"/>
          <w:lang w:eastAsia="zh-CN"/>
        </w:rPr>
        <w:t>）</w:t>
      </w:r>
    </w:p>
    <w:p w14:paraId="56F2B0D9">
      <w:pPr>
        <w:pStyle w:val="7"/>
        <w:snapToGrid w:val="0"/>
        <w:spacing w:beforeAutospacing="0" w:afterAutospacing="0" w:line="360" w:lineRule="auto"/>
        <w:jc w:val="both"/>
        <w:rPr>
          <w:rFonts w:hint="eastAsia"/>
          <w:b/>
          <w:bCs/>
          <w:kern w:val="2"/>
          <w:sz w:val="21"/>
          <w:szCs w:val="21"/>
          <w:highlight w:val="none"/>
        </w:rPr>
      </w:pPr>
      <w:r>
        <w:rPr>
          <w:rFonts w:hint="eastAsia"/>
          <w:b/>
          <w:bCs/>
          <w:kern w:val="2"/>
          <w:sz w:val="21"/>
          <w:szCs w:val="21"/>
          <w:highlight w:val="none"/>
        </w:rPr>
        <w:t>二、采购标的清单：</w:t>
      </w:r>
    </w:p>
    <w:p w14:paraId="52BA7C7E">
      <w:pPr>
        <w:spacing w:line="192" w:lineRule="auto"/>
        <w:rPr>
          <w:rFonts w:hint="eastAsia" w:ascii="宋体" w:hAnsi="宋体" w:cs="宋体"/>
          <w:b/>
          <w:bCs/>
          <w:szCs w:val="21"/>
          <w:highlight w:val="none"/>
        </w:rPr>
      </w:pPr>
    </w:p>
    <w:tbl>
      <w:tblPr>
        <w:tblStyle w:val="3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1335"/>
        <w:gridCol w:w="2140"/>
        <w:gridCol w:w="1560"/>
        <w:gridCol w:w="5"/>
        <w:gridCol w:w="2020"/>
      </w:tblGrid>
      <w:tr w14:paraId="4759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85D38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96FFF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4FFF2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C317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46DD458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w:t>
            </w:r>
          </w:p>
        </w:tc>
      </w:tr>
      <w:tr w14:paraId="132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3C4FD35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825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A1E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500升</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327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150元/升</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09735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7.5万元</w:t>
            </w:r>
          </w:p>
        </w:tc>
      </w:tr>
      <w:tr w14:paraId="47C5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D0275F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283B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氦气</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8FB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3瓶（40L/瓶）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671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2000元/瓶</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AB208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0.6万元</w:t>
            </w:r>
          </w:p>
        </w:tc>
      </w:tr>
      <w:tr w14:paraId="2FB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17EF49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DD9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4DD47F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E8EFCE6">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21E0F5">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8.1万元</w:t>
            </w:r>
          </w:p>
        </w:tc>
      </w:tr>
    </w:tbl>
    <w:p w14:paraId="7B26B123">
      <w:pPr>
        <w:spacing w:line="192" w:lineRule="auto"/>
        <w:rPr>
          <w:rFonts w:hint="eastAsia" w:ascii="宋体" w:hAnsi="宋体" w:cs="宋体"/>
          <w:b/>
          <w:bCs/>
          <w:szCs w:val="21"/>
          <w:highlight w:val="none"/>
        </w:rPr>
      </w:pPr>
    </w:p>
    <w:p w14:paraId="7D201766">
      <w:pPr>
        <w:numPr>
          <w:ilvl w:val="0"/>
          <w:numId w:val="1"/>
        </w:numPr>
        <w:spacing w:line="192" w:lineRule="auto"/>
        <w:rPr>
          <w:rFonts w:hint="eastAsia" w:ascii="宋体" w:hAnsi="宋体" w:cs="宋体"/>
          <w:b/>
          <w:bCs/>
          <w:szCs w:val="21"/>
          <w:highlight w:val="none"/>
        </w:rPr>
      </w:pPr>
      <w:r>
        <w:rPr>
          <w:rFonts w:hint="eastAsia" w:ascii="宋体" w:hAnsi="宋体" w:cs="宋体"/>
          <w:b/>
          <w:bCs/>
          <w:szCs w:val="21"/>
          <w:highlight w:val="none"/>
        </w:rPr>
        <w:t>技术要求</w:t>
      </w:r>
    </w:p>
    <w:p w14:paraId="7D076907">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1)液氦氦气纯度99.999%</w:t>
      </w:r>
    </w:p>
    <w:p w14:paraId="29479F53">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2)完成添加液氦过程中可能出现的励磁、除冰及其它维护工作。</w:t>
      </w:r>
    </w:p>
    <w:p w14:paraId="71287386">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3)液氦添加后确保磁共振正常稳定运行。</w:t>
      </w:r>
    </w:p>
    <w:p w14:paraId="1793130D">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4)在院方规定的时间内完成充装工作，加注过程须符合国家及行业现行标准及规范。加注液氦过程中，如因液添加导致设备故障(含核磁失超)、停机等一切损失由供应商承担。</w:t>
      </w:r>
    </w:p>
    <w:p w14:paraId="4FEAB15B">
      <w:pPr>
        <w:spacing w:line="360" w:lineRule="auto"/>
        <w:ind w:firstLine="643" w:firstLineChars="200"/>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p>
    <w:p w14:paraId="313215B3">
      <w:pPr>
        <w:spacing w:line="360" w:lineRule="auto"/>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color w:val="auto"/>
                <w:sz w:val="21"/>
                <w:szCs w:val="21"/>
                <w:highlight w:val="none"/>
              </w:rPr>
            </w:pPr>
            <w:r>
              <w:rPr>
                <w:rFonts w:hint="eastAsia"/>
                <w:color w:val="auto"/>
                <w:sz w:val="21"/>
                <w:szCs w:val="21"/>
                <w:highlight w:val="none"/>
              </w:rPr>
              <w:t xml:space="preserve">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医院指定地点</w:t>
            </w:r>
            <w:r>
              <w:rPr>
                <w:rFonts w:hint="eastAsia" w:ascii="宋体" w:hAnsi="宋体" w:eastAsia="宋体" w:cs="宋体"/>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highlight w:val="none"/>
              </w:rPr>
            </w:pPr>
            <w:r>
              <w:rPr>
                <w:rFonts w:hint="eastAsia"/>
                <w:sz w:val="21"/>
                <w:szCs w:val="21"/>
                <w:highlight w:val="none"/>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highlight w:val="none"/>
              </w:rPr>
            </w:pPr>
            <w:r>
              <w:rPr>
                <w:rFonts w:hint="eastAsia"/>
                <w:szCs w:val="21"/>
                <w:highlight w:val="none"/>
              </w:rPr>
              <w:t>三个月。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highlight w:val="none"/>
              </w:rPr>
            </w:pPr>
            <w:r>
              <w:rPr>
                <w:rFonts w:hint="eastAsia"/>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highlight w:val="none"/>
              </w:rPr>
            </w:pPr>
            <w:r>
              <w:rPr>
                <w:rFonts w:hint="eastAsia"/>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highlight w:val="none"/>
              </w:rPr>
            </w:pPr>
            <w:r>
              <w:rPr>
                <w:rFonts w:hint="eastAsia"/>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highlight w:val="none"/>
              </w:rPr>
            </w:pPr>
            <w:r>
              <w:rPr>
                <w:rFonts w:hint="eastAsia"/>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jc w:val="center"/>
              <w:rPr>
                <w:rFonts w:hint="eastAsia"/>
                <w:sz w:val="21"/>
                <w:szCs w:val="21"/>
                <w:highlight w:val="none"/>
              </w:rPr>
            </w:pPr>
            <w:r>
              <w:rPr>
                <w:rFonts w:hint="eastAsia"/>
                <w:sz w:val="21"/>
                <w:szCs w:val="21"/>
                <w:highlight w:val="none"/>
              </w:rPr>
              <w:t>运输方式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rPr>
                <w:rFonts w:hint="eastAsia"/>
                <w:sz w:val="21"/>
                <w:szCs w:val="21"/>
                <w:highlight w:val="none"/>
              </w:rPr>
            </w:pPr>
            <w:r>
              <w:rPr>
                <w:rFonts w:hint="eastAsia"/>
                <w:sz w:val="21"/>
                <w:szCs w:val="21"/>
                <w:highlight w:val="none"/>
              </w:rPr>
              <w:t>专车运输，附带加注设备。自行考虑液氦罐体进入设备间的路面防护问题，并承担对院方造成的一切损失和后果。</w:t>
            </w:r>
          </w:p>
        </w:tc>
      </w:tr>
    </w:tbl>
    <w:p w14:paraId="47C2B85B">
      <w:pPr>
        <w:spacing w:line="360" w:lineRule="auto"/>
        <w:ind w:firstLine="602" w:firstLineChars="200"/>
        <w:jc w:val="center"/>
        <w:rPr>
          <w:rFonts w:hint="eastAsia" w:ascii="宋体" w:hAnsi="宋体" w:cs="宋体"/>
          <w:b/>
          <w:bCs/>
          <w:sz w:val="30"/>
          <w:szCs w:val="30"/>
          <w:highlight w:val="none"/>
        </w:rPr>
      </w:pPr>
    </w:p>
    <w:p w14:paraId="0C93DFC1">
      <w:pPr>
        <w:spacing w:line="360" w:lineRule="auto"/>
        <w:ind w:firstLine="602" w:firstLineChars="200"/>
        <w:jc w:val="center"/>
        <w:rPr>
          <w:rFonts w:hint="eastAsia" w:ascii="宋体" w:hAnsi="宋体" w:cs="宋体"/>
          <w:b/>
          <w:bCs/>
          <w:sz w:val="30"/>
          <w:szCs w:val="30"/>
          <w:highlight w:val="none"/>
        </w:rPr>
      </w:pPr>
    </w:p>
    <w:p w14:paraId="46CA4EB9">
      <w:pPr>
        <w:spacing w:line="360" w:lineRule="auto"/>
        <w:ind w:firstLine="602" w:firstLineChars="200"/>
        <w:jc w:val="center"/>
        <w:rPr>
          <w:rFonts w:hint="eastAsia" w:ascii="宋体" w:hAnsi="宋体" w:cs="宋体"/>
          <w:b/>
          <w:bCs/>
          <w:sz w:val="30"/>
          <w:szCs w:val="30"/>
          <w:highlight w:val="none"/>
        </w:rPr>
      </w:pPr>
    </w:p>
    <w:p w14:paraId="55EAF898">
      <w:pPr>
        <w:spacing w:line="360" w:lineRule="auto"/>
        <w:ind w:firstLine="602" w:firstLineChars="200"/>
        <w:jc w:val="center"/>
        <w:rPr>
          <w:rFonts w:ascii="宋体" w:cs="宋体"/>
          <w:b/>
          <w:bCs/>
          <w:sz w:val="30"/>
          <w:szCs w:val="30"/>
          <w:highlight w:val="none"/>
        </w:rPr>
      </w:pPr>
      <w:r>
        <w:rPr>
          <w:rFonts w:hint="eastAsia" w:ascii="宋体" w:hAnsi="宋体" w:cs="宋体"/>
          <w:b/>
          <w:bCs/>
          <w:sz w:val="30"/>
          <w:szCs w:val="30"/>
          <w:highlight w:val="none"/>
        </w:rPr>
        <w:t>采购人对</w:t>
      </w:r>
      <w:r>
        <w:rPr>
          <w:rFonts w:hint="eastAsia" w:ascii="宋体" w:hAnsi="宋体" w:eastAsia="宋体" w:cs="宋体"/>
          <w:b/>
          <w:bCs/>
          <w:sz w:val="32"/>
          <w:szCs w:val="32"/>
          <w:highlight w:val="none"/>
        </w:rPr>
        <w:t>项目</w:t>
      </w:r>
      <w:r>
        <w:rPr>
          <w:rFonts w:hint="eastAsia" w:ascii="宋体" w:hAnsi="宋体" w:cs="宋体"/>
          <w:b/>
          <w:bCs/>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napToGrid w:val="0"/>
              <w:spacing w:line="360" w:lineRule="auto"/>
              <w:ind w:firstLine="422"/>
              <w:jc w:val="center"/>
              <w:rPr>
                <w:rFonts w:asci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napToGrid w:val="0"/>
              <w:spacing w:line="360" w:lineRule="auto"/>
              <w:rPr>
                <w:rFonts w:ascii="宋体" w:cs="宋体"/>
                <w:highlight w:val="none"/>
              </w:rPr>
            </w:pPr>
            <w:r>
              <w:rPr>
                <w:rFonts w:ascii="宋体" w:hAnsi="Times New Roman" w:eastAsia="宋体" w:cs="宋体"/>
                <w:kern w:val="2"/>
                <w:sz w:val="21"/>
                <w:szCs w:val="24"/>
                <w:highlight w:val="none"/>
                <w:lang w:val="en-US" w:eastAsia="zh-CN" w:bidi="ar-SA"/>
              </w:rPr>
              <w:t>1、</w:t>
            </w:r>
            <w:r>
              <w:rPr>
                <w:rFonts w:hint="eastAsia" w:ascii="宋体" w:hAnsi="宋体" w:cs="宋体"/>
                <w:highlight w:val="none"/>
              </w:rPr>
              <w:t>不接受联合体投标，不允许转包和分包。</w:t>
            </w:r>
          </w:p>
          <w:p w14:paraId="4CAF6ECB">
            <w:pPr>
              <w:widowControl/>
              <w:snapToGrid w:val="0"/>
              <w:spacing w:line="360" w:lineRule="auto"/>
              <w:rPr>
                <w:rFonts w:ascii="宋体" w:cs="宋体"/>
                <w:highlight w:val="none"/>
              </w:rPr>
            </w:pPr>
            <w:r>
              <w:rPr>
                <w:rFonts w:ascii="宋体" w:hAnsi="宋体" w:cs="宋体"/>
                <w:highlight w:val="none"/>
              </w:rPr>
              <w:t>2</w:t>
            </w:r>
            <w:r>
              <w:rPr>
                <w:rFonts w:hint="eastAsia" w:ascii="宋体" w:hAnsi="宋体" w:cs="宋体"/>
                <w:highlight w:val="none"/>
              </w:rPr>
              <w:t>、授权磋商小组</w:t>
            </w:r>
            <w:bookmarkStart w:id="101" w:name="_GoBack"/>
            <w:bookmarkEnd w:id="101"/>
            <w:r>
              <w:rPr>
                <w:rFonts w:hint="eastAsia" w:ascii="宋体" w:hAnsi="宋体" w:cs="宋体"/>
                <w:highlight w:val="none"/>
              </w:rPr>
              <w:t>确定一名成交供应商并推荐一名成交候选供应商。</w:t>
            </w:r>
          </w:p>
          <w:p w14:paraId="487EC176">
            <w:pPr>
              <w:widowControl/>
              <w:snapToGrid w:val="0"/>
              <w:spacing w:line="360" w:lineRule="auto"/>
              <w:rPr>
                <w:rFonts w:ascii="宋体" w:cs="宋体"/>
                <w:highlight w:val="none"/>
              </w:rPr>
            </w:pPr>
            <w:r>
              <w:rPr>
                <w:rFonts w:ascii="宋体" w:hAnsi="宋体" w:cs="宋体"/>
                <w:highlight w:val="none"/>
              </w:rPr>
              <w:t>3</w:t>
            </w:r>
            <w:r>
              <w:rPr>
                <w:rFonts w:hint="eastAsia" w:ascii="宋体" w:hAnsi="宋体" w:cs="宋体"/>
                <w:highlight w:val="none"/>
              </w:rPr>
              <w:t>、供应商应根据采购文件的要求提供技术响应部分、商务响应部分等内容以对采购文件作出响应。</w:t>
            </w:r>
          </w:p>
          <w:p w14:paraId="0F8925EF">
            <w:pPr>
              <w:widowControl/>
              <w:snapToGrid w:val="0"/>
              <w:spacing w:line="360" w:lineRule="auto"/>
              <w:rPr>
                <w:rFonts w:hint="eastAsia" w:eastAsia="宋体"/>
                <w:highlight w:val="none"/>
                <w:lang w:val="en-US" w:eastAsia="zh-CN"/>
              </w:rPr>
            </w:pPr>
            <w:r>
              <w:rPr>
                <w:rFonts w:ascii="宋体" w:hAnsi="宋体" w:cs="宋体"/>
                <w:highlight w:val="none"/>
              </w:rPr>
              <w:t>4</w:t>
            </w:r>
            <w:r>
              <w:rPr>
                <w:rFonts w:hint="eastAsia" w:ascii="宋体" w:hAnsi="宋体" w:cs="宋体"/>
                <w:highlight w:val="none"/>
              </w:rPr>
              <w:t>、</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rPr>
          <w:rFonts w:hint="eastAsia" w:ascii="宋体" w:hAnsi="宋体" w:cs="宋体"/>
          <w:szCs w:val="21"/>
          <w:highlight w:val="none"/>
        </w:rPr>
      </w:pPr>
    </w:p>
    <w:p w14:paraId="7B6690DD">
      <w:pPr>
        <w:snapToGrid w:val="0"/>
        <w:spacing w:before="159" w:beforeLines="50" w:line="360" w:lineRule="auto"/>
        <w:rPr>
          <w:rFonts w:hint="eastAsia" w:ascii="宋体" w:hAnsi="宋体" w:cs="宋体"/>
          <w:b/>
          <w:bCs/>
          <w:szCs w:val="21"/>
          <w:highlight w:val="none"/>
        </w:rPr>
        <w:sectPr>
          <w:pgSz w:w="11906" w:h="16838"/>
          <w:pgMar w:top="1417" w:right="1474" w:bottom="1417" w:left="1474" w:header="851" w:footer="624" w:gutter="0"/>
          <w:cols w:space="720" w:num="1"/>
          <w:docGrid w:type="lines" w:linePitch="319" w:charSpace="0"/>
        </w:sectPr>
      </w:pPr>
    </w:p>
    <w:p w14:paraId="5CD23B79">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highlight w:val="none"/>
                <w:lang w:eastAsia="zh-CN"/>
              </w:rPr>
            </w:pPr>
            <w:bookmarkStart w:id="36" w:name="_Toc9566"/>
            <w:bookmarkStart w:id="37" w:name="_Toc27817"/>
            <w:bookmarkStart w:id="38" w:name="_Toc30169"/>
            <w:r>
              <w:rPr>
                <w:rFonts w:hint="eastAsia" w:ascii="宋体" w:hAnsi="宋体" w:cs="宋体"/>
                <w:highlight w:val="none"/>
              </w:rPr>
              <w:t>1.1项目名称：</w:t>
            </w:r>
            <w:bookmarkEnd w:id="36"/>
            <w:bookmarkEnd w:id="37"/>
            <w:bookmarkEnd w:id="38"/>
            <w:bookmarkStart w:id="39" w:name="_Toc29400"/>
            <w:bookmarkStart w:id="40" w:name="_Toc23424"/>
            <w:bookmarkStart w:id="41" w:name="_Toc28320"/>
            <w:r>
              <w:rPr>
                <w:rFonts w:hint="eastAsia" w:ascii="宋体" w:hAnsi="宋体" w:cs="宋体"/>
                <w:highlight w:val="none"/>
              </w:rPr>
              <w:t>驻马店市中心医院</w:t>
            </w:r>
            <w:r>
              <w:rPr>
                <w:rFonts w:hint="eastAsia" w:ascii="宋体" w:hAnsi="宋体" w:cs="宋体"/>
                <w:highlight w:val="none"/>
                <w:lang w:eastAsia="zh-CN"/>
              </w:rPr>
              <w:t>西门子3.0T磁共振液氦及氦气采购项目</w:t>
            </w:r>
          </w:p>
          <w:p w14:paraId="4F4C22CE">
            <w:pPr>
              <w:widowControl/>
              <w:snapToGrid w:val="0"/>
              <w:spacing w:line="440" w:lineRule="exact"/>
              <w:jc w:val="left"/>
              <w:outlineLvl w:val="0"/>
              <w:rPr>
                <w:rFonts w:hint="eastAsia" w:ascii="宋体" w:hAnsi="宋体" w:cs="宋体"/>
                <w:highlight w:val="none"/>
              </w:rPr>
            </w:pPr>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6E01B11">
            <w:pPr>
              <w:widowControl/>
              <w:snapToGrid w:val="0"/>
              <w:spacing w:line="440" w:lineRule="exact"/>
              <w:jc w:val="left"/>
              <w:outlineLvl w:val="0"/>
              <w:rPr>
                <w:rFonts w:hint="eastAsia" w:ascii="宋体" w:hAnsi="宋体" w:cs="宋体"/>
                <w:highlight w:val="none"/>
              </w:rPr>
            </w:pPr>
            <w:bookmarkStart w:id="42" w:name="_Toc3148"/>
            <w:bookmarkStart w:id="43" w:name="_Toc26199"/>
            <w:bookmarkStart w:id="44" w:name="_Toc24541"/>
            <w:r>
              <w:rPr>
                <w:rFonts w:hint="eastAsia" w:ascii="宋体" w:hAnsi="宋体" w:cs="宋体"/>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03F2A3">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采购预算：</w:t>
            </w:r>
            <w:r>
              <w:rPr>
                <w:rFonts w:hint="eastAsia" w:ascii="宋体" w:hAnsi="宋体" w:cs="宋体"/>
                <w:b/>
                <w:bCs/>
                <w:kern w:val="0"/>
                <w:szCs w:val="21"/>
                <w:highlight w:val="none"/>
                <w:lang w:val="en-US" w:eastAsia="zh-CN"/>
              </w:rPr>
              <w:t>81</w:t>
            </w:r>
            <w:r>
              <w:rPr>
                <w:rFonts w:hint="eastAsia" w:ascii="宋体" w:hAnsi="宋体" w:cs="宋体"/>
                <w:b/>
                <w:bCs/>
                <w:highlight w:val="none"/>
              </w:rPr>
              <w:t>000</w:t>
            </w:r>
            <w:r>
              <w:rPr>
                <w:rFonts w:hint="eastAsia" w:ascii="宋体" w:hAnsi="宋体" w:cs="宋体"/>
                <w:b/>
                <w:bCs/>
                <w:kern w:val="0"/>
                <w:szCs w:val="21"/>
                <w:highlight w:val="none"/>
              </w:rPr>
              <w:t>元；</w:t>
            </w:r>
          </w:p>
          <w:p w14:paraId="6270BFF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1A82049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jc w:val="center"/>
                    <w:rPr>
                      <w:rFonts w:hint="eastAsia" w:ascii="宋体" w:hAnsi="宋体" w:cs="宋体"/>
                      <w:b/>
                      <w:bCs/>
                      <w:kern w:val="0"/>
                      <w:szCs w:val="21"/>
                      <w:highlight w:val="none"/>
                    </w:rPr>
                  </w:pPr>
                </w:p>
                <w:p w14:paraId="194F20E4">
                  <w:pPr>
                    <w:widowControl/>
                    <w:snapToGrid w:val="0"/>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服务费率类型</w:t>
                  </w:r>
                </w:p>
                <w:p w14:paraId="760F87B6">
                  <w:pPr>
                    <w:widowControl/>
                    <w:snapToGrid w:val="0"/>
                    <w:spacing w:line="440" w:lineRule="exact"/>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中标金额</w:t>
                  </w:r>
                </w:p>
              </w:tc>
              <w:tc>
                <w:tcPr>
                  <w:tcW w:w="1605" w:type="dxa"/>
                  <w:vAlign w:val="center"/>
                </w:tcPr>
                <w:p w14:paraId="1CA7A76C">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193D46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F494408">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4BC5AEAE">
            <w:pPr>
              <w:widowControl/>
              <w:snapToGrid w:val="0"/>
              <w:spacing w:line="440" w:lineRule="exact"/>
              <w:jc w:val="left"/>
              <w:rPr>
                <w:rFonts w:hint="eastAsia" w:ascii="宋体" w:hAnsi="宋体" w:cs="宋体"/>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0C9AAB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723C1EE4">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w:t>
            </w:r>
            <w:r>
              <w:rPr>
                <w:rFonts w:hint="eastAsia" w:ascii="宋体" w:hAnsi="宋体" w:cs="宋体"/>
                <w:iCs/>
                <w:kern w:val="0"/>
                <w:szCs w:val="21"/>
                <w:highlight w:val="none"/>
              </w:rPr>
              <w:t>自筹</w:t>
            </w:r>
            <w:r>
              <w:rPr>
                <w:rFonts w:hint="eastAsia" w:ascii="宋体" w:hAnsi="宋体" w:cs="宋体"/>
                <w:iCs/>
                <w:kern w:val="0"/>
                <w:szCs w:val="21"/>
                <w:highlight w:val="none"/>
                <w:lang w:val="en-US" w:eastAsia="zh-CN"/>
              </w:rPr>
              <w:t>资金</w:t>
            </w:r>
            <w:r>
              <w:rPr>
                <w:rFonts w:hint="eastAsia" w:ascii="宋体" w:hAnsi="宋体" w:cs="宋体"/>
                <w:kern w:val="0"/>
                <w:szCs w:val="21"/>
                <w:highlight w:val="none"/>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627A410C">
      <w:pPr>
        <w:rPr>
          <w:rFonts w:hint="eastAsia" w:ascii="宋体" w:hAnsi="宋体" w:cs="宋体"/>
          <w:highlight w:val="none"/>
        </w:rPr>
      </w:pPr>
    </w:p>
    <w:p w14:paraId="071E6033">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35D3B2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1AB30A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A1844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eastAsia="宋体" w:cs="宋体"/>
          <w:b/>
          <w:bCs/>
          <w:kern w:val="0"/>
          <w:szCs w:val="21"/>
          <w:highlight w:val="none"/>
        </w:rPr>
      </w:pPr>
      <w:r>
        <w:rPr>
          <w:rFonts w:hint="eastAsia" w:ascii="宋体" w:hAnsi="宋体" w:cs="宋体"/>
          <w:b/>
          <w:bCs/>
          <w:kern w:val="0"/>
          <w:szCs w:val="21"/>
          <w:highlight w:val="none"/>
        </w:rPr>
        <w:t>3.采购</w:t>
      </w:r>
      <w:r>
        <w:rPr>
          <w:rFonts w:hint="eastAsia" w:ascii="宋体" w:hAnsi="宋体" w:eastAsia="宋体" w:cs="宋体"/>
          <w:b/>
          <w:bCs/>
          <w:kern w:val="0"/>
          <w:szCs w:val="21"/>
          <w:highlight w:val="none"/>
        </w:rPr>
        <w:t>预算：</w:t>
      </w:r>
      <w:r>
        <w:rPr>
          <w:rFonts w:hint="eastAsia" w:ascii="宋体" w:hAnsi="宋体" w:eastAsia="宋体" w:cs="宋体"/>
          <w:b/>
          <w:bCs/>
          <w:kern w:val="0"/>
          <w:szCs w:val="21"/>
          <w:highlight w:val="none"/>
          <w:lang w:val="en-US" w:eastAsia="zh-CN"/>
        </w:rPr>
        <w:t>81000.00</w:t>
      </w:r>
      <w:r>
        <w:rPr>
          <w:rFonts w:hint="eastAsia" w:ascii="宋体" w:hAnsi="宋体" w:eastAsia="宋体" w:cs="宋体"/>
          <w:b/>
          <w:bCs/>
          <w:kern w:val="0"/>
          <w:szCs w:val="21"/>
          <w:highlight w:val="none"/>
        </w:rPr>
        <w:t>元。</w:t>
      </w:r>
    </w:p>
    <w:p w14:paraId="7982888F">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25D89DF">
      <w:pPr>
        <w:widowControl/>
        <w:tabs>
          <w:tab w:val="left" w:pos="840"/>
        </w:tabs>
        <w:snapToGrid w:val="0"/>
        <w:spacing w:line="324"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w:t>
      </w:r>
      <w:r>
        <w:rPr>
          <w:rFonts w:hint="eastAsia" w:ascii="宋体" w:hAnsi="宋体" w:eastAsia="宋体" w:cs="宋体"/>
          <w:kern w:val="0"/>
          <w:szCs w:val="21"/>
          <w:highlight w:val="none"/>
          <w:lang w:val="zh-CN"/>
        </w:rPr>
        <w:t>须具备有效的危险化学品经营许可证（应包含氦【压缩的或液化的】）</w:t>
      </w:r>
      <w:r>
        <w:rPr>
          <w:rFonts w:hint="eastAsia" w:ascii="宋体" w:hAnsi="宋体" w:eastAsia="宋体" w:cs="宋体"/>
          <w:kern w:val="0"/>
          <w:szCs w:val="21"/>
          <w:highlight w:val="none"/>
        </w:rPr>
        <w:t>。</w:t>
      </w:r>
    </w:p>
    <w:p w14:paraId="597EDA6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728E33B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07C8E4E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101636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highlight w:val="none"/>
          <w:shd w:val="clear" w:color="auto" w:fill="FFFFFF"/>
        </w:rPr>
        <w:t>（</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r>
        <w:rPr>
          <w:rFonts w:hint="eastAsia" w:ascii="宋体" w:hAnsi="宋体" w:cs="宋体"/>
          <w:kern w:val="0"/>
          <w:szCs w:val="21"/>
          <w:highlight w:val="none"/>
        </w:rPr>
        <w:t>。一经发现，将导致投标同时被拒绝。</w:t>
      </w:r>
    </w:p>
    <w:p w14:paraId="175D934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E9E62D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7D421AE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E2EF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772C6BB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0EC5267">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eastAsia="宋体" w:cs="宋体"/>
          <w:bCs/>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551C50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21E3A70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79138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592B1E9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641A7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7FD2237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BA7D6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30E6CFC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21BDF6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3C3CB3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957C762">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4788E29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764BE02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2DCB24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71F21DB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706A66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3CE523CC">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D9B1D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02BE1FC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52D5F4F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7523F2EF">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7F2BC30A">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CE65F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51C0DF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7DAB80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0200286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025DE3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66DBD7E3">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73FF1D90">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1D1E1A25">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2565502E">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3391A9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2BB61A71">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04213D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A4D297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D3C3F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357478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4B4E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7C011C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736337C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54566A66">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3B103C8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78EFE27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FF5315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2C72AB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47E3B85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D330D08">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A87DF26">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6BCC8511">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2019CAB9">
      <w:pPr>
        <w:snapToGrid w:val="0"/>
        <w:spacing w:line="360" w:lineRule="auto"/>
        <w:ind w:firstLine="420" w:firstLineChars="200"/>
        <w:jc w:val="left"/>
        <w:rPr>
          <w:rFonts w:hint="eastAsia"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1882E4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highlight w:val="none"/>
        </w:rPr>
      </w:pPr>
      <w:bookmarkStart w:id="49" w:name="_Toc31399"/>
      <w:r>
        <w:rPr>
          <w:rFonts w:hint="eastAsia" w:ascii="宋体" w:hAnsi="宋体" w:cs="宋体"/>
          <w:b/>
          <w:bCs/>
          <w:kern w:val="0"/>
          <w:sz w:val="32"/>
          <w:szCs w:val="32"/>
          <w:highlight w:val="none"/>
        </w:rPr>
        <w:br w:type="page"/>
      </w:r>
    </w:p>
    <w:p w14:paraId="464B377D">
      <w:pPr>
        <w:spacing w:line="360" w:lineRule="auto"/>
        <w:jc w:val="center"/>
        <w:outlineLvl w:val="0"/>
        <w:rPr>
          <w:rFonts w:hint="eastAsia" w:ascii="宋体" w:hAnsi="宋体" w:cs="宋体"/>
          <w:kern w:val="0"/>
          <w:sz w:val="24"/>
          <w:highlight w:val="none"/>
        </w:rPr>
      </w:pPr>
      <w:r>
        <w:rPr>
          <w:rFonts w:hint="eastAsia" w:ascii="宋体" w:hAnsi="宋体" w:cs="宋体"/>
          <w:b/>
          <w:bCs/>
          <w:kern w:val="0"/>
          <w:sz w:val="32"/>
          <w:szCs w:val="32"/>
          <w:highlight w:val="none"/>
        </w:rPr>
        <w:t>第四章  评标办法及评分标准</w:t>
      </w:r>
      <w:bookmarkEnd w:id="45"/>
      <w:bookmarkEnd w:id="49"/>
    </w:p>
    <w:p w14:paraId="4E9C9EB6">
      <w:pPr>
        <w:rPr>
          <w:rFonts w:hint="eastAsia" w:ascii="宋体" w:hAnsi="宋体" w:cs="宋体"/>
          <w:highlight w:val="none"/>
        </w:rPr>
      </w:pPr>
    </w:p>
    <w:p w14:paraId="69817FF6">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2816E406">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3723129">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4A35FC6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33EA5C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highlight w:val="none"/>
              </w:rPr>
            </w:pPr>
            <w:bookmarkStart w:id="50" w:name="_Toc11904"/>
            <w:bookmarkStart w:id="51" w:name="_Toc1482"/>
            <w:bookmarkStart w:id="52" w:name="_Toc1947"/>
            <w:bookmarkStart w:id="53" w:name="_Toc326786897"/>
            <w:bookmarkStart w:id="54" w:name="_Toc256519703"/>
            <w:r>
              <w:rPr>
                <w:rFonts w:hint="eastAsia" w:ascii="宋体" w:hAnsi="宋体" w:cs="宋体"/>
                <w:szCs w:val="21"/>
                <w:highlight w:val="none"/>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vAlign w:val="center"/>
          </w:tcPr>
          <w:p w14:paraId="31B6C5A7">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highlight w:val="none"/>
              </w:rPr>
            </w:pPr>
          </w:p>
          <w:p w14:paraId="0770D84B">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8CFE292">
            <w:pPr>
              <w:pStyle w:val="4"/>
              <w:snapToGrid w:val="0"/>
              <w:spacing w:line="360" w:lineRule="exact"/>
              <w:jc w:val="both"/>
              <w:rPr>
                <w:rFonts w:ascii="宋体" w:hAnsi="宋体" w:cs="宋体"/>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0E2637D">
            <w:pPr>
              <w:snapToGrid w:val="0"/>
              <w:spacing w:line="360" w:lineRule="exact"/>
              <w:rPr>
                <w:rFonts w:hint="eastAsia" w:ascii="宋体" w:hAnsi="宋体" w:cs="宋体"/>
                <w:highlight w:val="none"/>
              </w:rPr>
            </w:pPr>
            <w:r>
              <w:rPr>
                <w:rFonts w:hint="eastAsia" w:ascii="宋体" w:hAnsi="宋体" w:cs="宋体"/>
                <w:szCs w:val="21"/>
                <w:highlight w:val="none"/>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三、技术要求”技术参数的响应，所投产品技术参数全部满足磋商文件要求得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5</w:t>
            </w:r>
            <w:r>
              <w:rPr>
                <w:rFonts w:hint="eastAsia" w:ascii="宋体" w:hAnsi="宋体" w:cs="宋体"/>
                <w:szCs w:val="21"/>
                <w:highlight w:val="none"/>
              </w:rPr>
              <w:t xml:space="preserve">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005326BB">
            <w:pPr>
              <w:widowControl/>
              <w:snapToGrid w:val="0"/>
              <w:spacing w:line="360" w:lineRule="exact"/>
              <w:ind w:firstLine="211"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szCs w:val="21"/>
                <w:highlight w:val="none"/>
              </w:rPr>
              <w:t>2）液氦氦气纯度</w:t>
            </w:r>
            <w:r>
              <w:rPr>
                <w:rFonts w:hint="eastAsia" w:ascii="宋体" w:hAnsi="宋体" w:cs="宋体"/>
                <w:b/>
                <w:bCs/>
                <w:szCs w:val="21"/>
                <w:highlight w:val="none"/>
                <w:lang w:eastAsia="zh-CN"/>
              </w:rPr>
              <w:t>需提供相关证明文件</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未提供对应证明材料的，视为不满足该项参数要求，做扣分处理。</w:t>
            </w:r>
          </w:p>
        </w:tc>
      </w:tr>
      <w:tr w14:paraId="1B14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76BF026F">
            <w:pPr>
              <w:snapToGrid w:val="0"/>
              <w:spacing w:line="320" w:lineRule="exact"/>
              <w:jc w:val="center"/>
              <w:rPr>
                <w:rFonts w:hint="eastAsia" w:ascii="宋体" w:hAnsi="宋体" w:cs="宋体"/>
                <w:szCs w:val="21"/>
                <w:highlight w:val="none"/>
              </w:rPr>
            </w:pPr>
          </w:p>
        </w:tc>
        <w:tc>
          <w:tcPr>
            <w:tcW w:w="1473" w:type="dxa"/>
            <w:vMerge w:val="restart"/>
            <w:noWrap/>
            <w:vAlign w:val="center"/>
          </w:tcPr>
          <w:p w14:paraId="5FBA9375">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w:t>
            </w:r>
            <w:r>
              <w:rPr>
                <w:rFonts w:hint="default"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（20分）</w:t>
            </w:r>
          </w:p>
        </w:tc>
        <w:tc>
          <w:tcPr>
            <w:tcW w:w="6770" w:type="dxa"/>
            <w:noWrap/>
            <w:vAlign w:val="center"/>
          </w:tcPr>
          <w:p w14:paraId="506FC6D8">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氦气安装方案</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进行评分，包括但不限于：前期准备工作、安装流程、安装后调试与检测等。</w:t>
            </w:r>
          </w:p>
          <w:p w14:paraId="36376BB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安装</w:t>
            </w: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得7分；安装</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154F97D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417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042B3AA0">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F18AB29">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6231361B">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设备故障预防措施</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进行评分，包括但不限于：常见故障类型分析及应对措施等。</w:t>
            </w:r>
          </w:p>
          <w:p w14:paraId="02253C54">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分析全面、应对措施可操作性强的得7分；分析较全面、应对措施可操作性较强的得4分；内容</w:t>
            </w:r>
            <w:r>
              <w:rPr>
                <w:rFonts w:hint="eastAsia" w:ascii="宋体" w:hAnsi="宋体" w:cs="宋体"/>
                <w:szCs w:val="21"/>
                <w:highlight w:val="none"/>
                <w:lang w:val="en-US" w:eastAsia="zh-CN"/>
              </w:rPr>
              <w:t>分析</w:t>
            </w:r>
            <w:r>
              <w:rPr>
                <w:rFonts w:hint="eastAsia" w:ascii="宋体" w:hAnsi="宋体" w:cs="宋体"/>
                <w:color w:val="000000" w:themeColor="text1"/>
                <w:szCs w:val="21"/>
                <w:highlight w:val="none"/>
                <w:lang w:val="en-US" w:eastAsia="zh-CN"/>
                <w14:textFill>
                  <w14:solidFill>
                    <w14:schemeClr w14:val="tx1"/>
                  </w14:solidFill>
                </w14:textFill>
              </w:rPr>
              <w:t>、应对措施有待完善的得1分；无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156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1391DDDE">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B4D2A61">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38CC86E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w:t>
            </w:r>
            <w:r>
              <w:rPr>
                <w:rFonts w:hint="eastAsia" w:ascii="宋体" w:hAnsi="宋体" w:cs="宋体"/>
                <w:color w:val="000000" w:themeColor="text1"/>
                <w:szCs w:val="21"/>
                <w:highlight w:val="none"/>
                <w:lang w:val="en-US" w:eastAsia="zh-CN"/>
                <w14:textFill>
                  <w14:solidFill>
                    <w14:schemeClr w14:val="tx1"/>
                  </w14:solidFill>
                </w14:textFill>
              </w:rPr>
              <w:t>添加过程中的设备维护方案进行评分，包括但不限于：实时监测要点分析、维护操作执行、异常情况处理等。</w:t>
            </w:r>
          </w:p>
          <w:p w14:paraId="65F70535">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得6分；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较完善、较合理的得3分；</w:t>
            </w:r>
          </w:p>
          <w:p w14:paraId="0BC62489">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0C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6BDBDEA">
            <w:pPr>
              <w:snapToGrid w:val="0"/>
              <w:spacing w:line="320" w:lineRule="exact"/>
              <w:jc w:val="center"/>
              <w:rPr>
                <w:rFonts w:hint="eastAsia" w:ascii="宋体" w:hAnsi="宋体" w:cs="宋体"/>
                <w:szCs w:val="21"/>
                <w:highlight w:val="none"/>
              </w:rPr>
            </w:pPr>
          </w:p>
        </w:tc>
        <w:tc>
          <w:tcPr>
            <w:tcW w:w="1473" w:type="dxa"/>
            <w:noWrap/>
            <w:vAlign w:val="center"/>
          </w:tcPr>
          <w:p w14:paraId="03D6C40E">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配送服务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7分</w:t>
            </w:r>
            <w:r>
              <w:rPr>
                <w:rFonts w:hint="eastAsia" w:ascii="宋体" w:hAnsi="宋体" w:cs="宋体"/>
                <w:color w:val="000000" w:themeColor="text1"/>
                <w:szCs w:val="21"/>
                <w:highlight w:val="none"/>
                <w:lang w:eastAsia="zh-CN"/>
                <w14:textFill>
                  <w14:solidFill>
                    <w14:schemeClr w14:val="tx1"/>
                  </w14:solidFill>
                </w14:textFill>
              </w:rPr>
              <w:t>）</w:t>
            </w:r>
          </w:p>
        </w:tc>
        <w:tc>
          <w:tcPr>
            <w:tcW w:w="6770" w:type="dxa"/>
            <w:noWrap/>
            <w:vAlign w:val="center"/>
          </w:tcPr>
          <w:p w14:paraId="71FF8A5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根据供应商提供的配送方案进行评分，包括但不限于：运输路线、包装防护措施、安全保障措施等。</w:t>
            </w:r>
          </w:p>
          <w:p w14:paraId="34A1E1D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3D15C98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2E9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1444F50">
            <w:pPr>
              <w:snapToGrid w:val="0"/>
              <w:spacing w:line="320" w:lineRule="exact"/>
              <w:jc w:val="center"/>
              <w:rPr>
                <w:rFonts w:hint="eastAsia" w:ascii="宋体" w:hAnsi="宋体" w:cs="宋体"/>
                <w:szCs w:val="21"/>
                <w:highlight w:val="none"/>
              </w:rPr>
            </w:pPr>
          </w:p>
        </w:tc>
        <w:tc>
          <w:tcPr>
            <w:tcW w:w="1473" w:type="dxa"/>
            <w:noWrap/>
            <w:vAlign w:val="center"/>
          </w:tcPr>
          <w:p w14:paraId="6E201B9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应急方案</w:t>
            </w:r>
            <w:r>
              <w:rPr>
                <w:rFonts w:hint="eastAsia" w:ascii="宋体" w:hAnsi="宋体" w:cs="宋体"/>
                <w:color w:val="000000" w:themeColor="text1"/>
                <w:szCs w:val="21"/>
                <w:highlight w:val="none"/>
                <w:lang w:val="en-US" w:eastAsia="zh-CN"/>
                <w14:textFill>
                  <w14:solidFill>
                    <w14:schemeClr w14:val="tx1"/>
                  </w14:solidFill>
                </w14:textFill>
              </w:rPr>
              <w:t>（7分）​</w:t>
            </w:r>
          </w:p>
          <w:p w14:paraId="5E1BFC72">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770" w:type="dxa"/>
            <w:noWrap/>
            <w:vAlign w:val="center"/>
          </w:tcPr>
          <w:p w14:paraId="438298F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供应商制定完善的应急供应预案（如液氦泄漏应急处理方案、设备故障），包括但不限于：应急处理流程；应急保障措施。</w:t>
            </w:r>
          </w:p>
          <w:p w14:paraId="760FC20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应急预案符合项目情形、可操作性强，完全符合采购需求的得7分；</w:t>
            </w:r>
          </w:p>
          <w:p w14:paraId="2945720D">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应急预案基本符合项目情形、可操作性较强，基本符合采购需求的得4分；</w:t>
            </w:r>
          </w:p>
          <w:p w14:paraId="241C766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应急预案有待完善的得1分；未提供不得分。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53358CE">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473" w:type="dxa"/>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C5089F4">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注：提供合同扫描件，未提供不得分。</w:t>
            </w:r>
          </w:p>
        </w:tc>
      </w:tr>
      <w:tr w14:paraId="659D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3E0D8257">
            <w:pPr>
              <w:snapToGrid w:val="0"/>
              <w:spacing w:line="320" w:lineRule="exact"/>
              <w:jc w:val="center"/>
              <w:rPr>
                <w:rFonts w:hint="eastAsia" w:ascii="宋体" w:hAnsi="宋体" w:cs="宋体"/>
                <w:szCs w:val="21"/>
                <w:highlight w:val="none"/>
                <w:lang w:val="en-US" w:eastAsia="zh-CN"/>
              </w:rPr>
            </w:pPr>
          </w:p>
        </w:tc>
        <w:tc>
          <w:tcPr>
            <w:tcW w:w="1473" w:type="dxa"/>
            <w:tcBorders>
              <w:top w:val="single" w:color="auto" w:sz="4" w:space="0"/>
            </w:tcBorders>
            <w:noWrap/>
            <w:vAlign w:val="center"/>
          </w:tcPr>
          <w:p w14:paraId="52DEEA72">
            <w:pPr>
              <w:widowControl/>
              <w:snapToGrid w:val="0"/>
              <w:spacing w:line="360" w:lineRule="exact"/>
              <w:ind w:left="210" w:hanging="210" w:hangingChars="1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2.人员配备（10分）​</w:t>
            </w:r>
          </w:p>
          <w:p w14:paraId="45BB34DE">
            <w:pPr>
              <w:snapToGrid w:val="0"/>
              <w:spacing w:line="360" w:lineRule="exact"/>
              <w:jc w:val="center"/>
              <w:rPr>
                <w:rFonts w:hint="eastAsia" w:ascii="宋体" w:hAnsi="宋体" w:cs="宋体"/>
                <w:szCs w:val="21"/>
                <w:highlight w:val="none"/>
              </w:rPr>
            </w:pPr>
          </w:p>
        </w:tc>
        <w:tc>
          <w:tcPr>
            <w:tcW w:w="6770" w:type="dxa"/>
            <w:noWrap/>
            <w:vAlign w:val="center"/>
          </w:tcPr>
          <w:p w14:paraId="58E3845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根据供应商制定的人员配备方案进行打分，包括但不仅限于：人员配备及职责、人员专业技术、工作经验及相关证书等。</w:t>
            </w:r>
          </w:p>
          <w:p w14:paraId="6C5BEA9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F966A4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B8E72C2">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E13BE43">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47F91C78">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注：提供人员清单及所需证明材料。</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tcPr>
          <w:p w14:paraId="37AF37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5DAE4876">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69E8B998">
      <w:pPr>
        <w:pStyle w:val="8"/>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highlight w:val="none"/>
        </w:rPr>
      </w:pPr>
      <w:r>
        <w:rPr>
          <w:rFonts w:hint="eastAsia" w:ascii="宋体" w:hAnsi="宋体" w:cs="宋体"/>
          <w:sz w:val="28"/>
          <w:szCs w:val="28"/>
          <w:highlight w:val="none"/>
        </w:rPr>
        <w:t>第五章  采购合同</w:t>
      </w:r>
      <w:bookmarkEnd w:id="50"/>
    </w:p>
    <w:p w14:paraId="63ECA88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09097DE3">
      <w:pPr>
        <w:rPr>
          <w:rFonts w:hint="eastAsia" w:ascii="宋体" w:hAnsi="宋体" w:cs="宋体"/>
          <w:sz w:val="32"/>
          <w:szCs w:val="32"/>
          <w:highlight w:val="none"/>
        </w:rPr>
      </w:pPr>
    </w:p>
    <w:p w14:paraId="4C2F2E34">
      <w:pPr>
        <w:rPr>
          <w:rFonts w:hint="eastAsia" w:ascii="宋体" w:hAnsi="宋体" w:cs="宋体"/>
          <w:highlight w:val="none"/>
        </w:rPr>
      </w:pPr>
      <w:r>
        <w:rPr>
          <w:rFonts w:hint="eastAsia" w:ascii="宋体" w:hAnsi="宋体" w:cs="宋体"/>
          <w:highlight w:val="none"/>
        </w:rPr>
        <w:br w:type="page"/>
      </w:r>
    </w:p>
    <w:p w14:paraId="490C5855">
      <w:pPr>
        <w:pStyle w:val="2"/>
        <w:spacing w:before="159"/>
        <w:jc w:val="center"/>
        <w:rPr>
          <w:rFonts w:hint="eastAsia"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79A58DBE">
      <w:pPr>
        <w:spacing w:line="440" w:lineRule="exact"/>
        <w:rPr>
          <w:rFonts w:hint="eastAsia" w:ascii="宋体" w:hAnsi="宋体" w:cs="宋体"/>
          <w:sz w:val="24"/>
          <w:highlight w:val="none"/>
        </w:rPr>
      </w:pPr>
    </w:p>
    <w:p w14:paraId="5F3B9C32">
      <w:pPr>
        <w:jc w:val="center"/>
        <w:rPr>
          <w:rFonts w:hint="eastAsia"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0CE412D8">
      <w:pPr>
        <w:widowControl/>
        <w:wordWrap w:val="0"/>
        <w:spacing w:line="460" w:lineRule="exact"/>
        <w:ind w:firstLine="480" w:firstLineChars="200"/>
        <w:jc w:val="left"/>
        <w:rPr>
          <w:rFonts w:hint="eastAsia" w:ascii="宋体" w:hAnsi="宋体" w:cs="宋体"/>
          <w:kern w:val="0"/>
          <w:sz w:val="24"/>
          <w:highlight w:val="none"/>
        </w:rPr>
      </w:pPr>
    </w:p>
    <w:p w14:paraId="24B3926E">
      <w:pPr>
        <w:snapToGrid w:val="0"/>
        <w:spacing w:line="360" w:lineRule="auto"/>
        <w:ind w:firstLine="480" w:firstLineChars="200"/>
        <w:rPr>
          <w:rFonts w:hint="eastAsia"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18055503">
      <w:pPr>
        <w:snapToGrid w:val="0"/>
        <w:spacing w:line="360" w:lineRule="auto"/>
        <w:ind w:firstLine="480" w:firstLineChars="200"/>
        <w:rPr>
          <w:rFonts w:hint="eastAsia"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F9B1FC5">
      <w:pPr>
        <w:snapToGrid w:val="0"/>
        <w:spacing w:line="360" w:lineRule="auto"/>
        <w:ind w:firstLine="480" w:firstLineChars="200"/>
        <w:rPr>
          <w:rFonts w:hint="eastAsia"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1D1E8D94">
      <w:pPr>
        <w:snapToGrid w:val="0"/>
        <w:spacing w:line="360" w:lineRule="auto"/>
        <w:ind w:firstLine="480" w:firstLineChars="200"/>
        <w:rPr>
          <w:rFonts w:hint="eastAsia"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382A2568">
      <w:pPr>
        <w:snapToGrid w:val="0"/>
        <w:spacing w:line="360" w:lineRule="auto"/>
        <w:ind w:firstLine="480" w:firstLineChars="200"/>
        <w:rPr>
          <w:rFonts w:hint="eastAsia"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43E9DAED">
      <w:pPr>
        <w:snapToGrid w:val="0"/>
        <w:spacing w:line="360" w:lineRule="auto"/>
        <w:ind w:firstLine="480" w:firstLineChars="200"/>
        <w:rPr>
          <w:rFonts w:hint="eastAsia"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7D808F42">
      <w:pPr>
        <w:snapToGrid w:val="0"/>
        <w:spacing w:line="360" w:lineRule="auto"/>
        <w:ind w:firstLine="480" w:firstLineChars="200"/>
        <w:rPr>
          <w:rFonts w:hint="eastAsia"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4804DD06">
      <w:pPr>
        <w:snapToGrid w:val="0"/>
        <w:spacing w:line="360" w:lineRule="auto"/>
        <w:ind w:firstLine="480" w:firstLineChars="200"/>
        <w:rPr>
          <w:rFonts w:hint="eastAsia"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DA0075E">
      <w:pPr>
        <w:snapToGrid w:val="0"/>
        <w:spacing w:line="360" w:lineRule="auto"/>
        <w:ind w:firstLine="480" w:firstLineChars="200"/>
        <w:rPr>
          <w:rFonts w:hint="eastAsia" w:ascii="宋体" w:hAnsi="宋体" w:cs="宋体"/>
          <w:sz w:val="24"/>
          <w:highlight w:val="none"/>
        </w:rPr>
      </w:pPr>
      <w:bookmarkStart w:id="65" w:name="_Toc31857"/>
      <w:r>
        <w:rPr>
          <w:rFonts w:hint="eastAsia" w:ascii="宋体" w:hAnsi="宋体" w:cs="宋体"/>
          <w:sz w:val="24"/>
          <w:highlight w:val="none"/>
        </w:rPr>
        <w:t>附件9 证明文件</w:t>
      </w:r>
      <w:bookmarkEnd w:id="65"/>
    </w:p>
    <w:p w14:paraId="7F479954">
      <w:pPr>
        <w:snapToGrid w:val="0"/>
        <w:spacing w:line="360" w:lineRule="auto"/>
        <w:ind w:firstLine="480" w:firstLineChars="200"/>
        <w:rPr>
          <w:rFonts w:hint="eastAsia"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78D239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33E96C50">
      <w:pPr>
        <w:snapToGrid w:val="0"/>
        <w:spacing w:line="360" w:lineRule="auto"/>
        <w:ind w:firstLine="480" w:firstLineChars="200"/>
        <w:rPr>
          <w:rFonts w:hint="eastAsia" w:ascii="宋体" w:hAnsi="宋体" w:cs="宋体"/>
          <w:sz w:val="24"/>
          <w:highlight w:val="none"/>
        </w:rPr>
      </w:pPr>
    </w:p>
    <w:p w14:paraId="1CED0C9C">
      <w:pPr>
        <w:pStyle w:val="33"/>
        <w:ind w:firstLine="210"/>
        <w:rPr>
          <w:rFonts w:hint="eastAsia" w:ascii="宋体" w:hAnsi="宋体" w:cs="宋体"/>
          <w:highlight w:val="none"/>
        </w:rPr>
      </w:pPr>
    </w:p>
    <w:p w14:paraId="4D09847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12B306F">
      <w:pPr>
        <w:widowControl/>
        <w:wordWrap w:val="0"/>
        <w:snapToGrid w:val="0"/>
        <w:spacing w:line="460" w:lineRule="exact"/>
        <w:ind w:firstLine="482" w:firstLineChars="200"/>
        <w:jc w:val="center"/>
        <w:rPr>
          <w:rFonts w:hint="eastAsia" w:ascii="宋体" w:hAnsi="宋体" w:cs="宋体"/>
          <w:b/>
          <w:bCs/>
          <w:kern w:val="0"/>
          <w:sz w:val="24"/>
          <w:highlight w:val="none"/>
        </w:rPr>
      </w:pPr>
    </w:p>
    <w:p w14:paraId="70EDC11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6C15034A">
      <w:pPr>
        <w:pStyle w:val="3"/>
        <w:rPr>
          <w:rFonts w:hint="eastAsia" w:ascii="宋体" w:hAnsi="宋体" w:cs="宋体"/>
          <w:b/>
          <w:bCs/>
          <w:kern w:val="0"/>
          <w:sz w:val="24"/>
          <w:highlight w:val="none"/>
        </w:rPr>
      </w:pPr>
    </w:p>
    <w:p w14:paraId="7D2C3054">
      <w:pPr>
        <w:pStyle w:val="4"/>
        <w:rPr>
          <w:rFonts w:hint="eastAsia" w:hAnsi="宋体"/>
          <w:b/>
          <w:bCs/>
          <w:color w:val="auto"/>
          <w:highlight w:val="none"/>
        </w:rPr>
      </w:pPr>
    </w:p>
    <w:p w14:paraId="23470FDC">
      <w:pPr>
        <w:pStyle w:val="4"/>
        <w:rPr>
          <w:rFonts w:hint="eastAsia" w:hAnsi="宋体"/>
          <w:b/>
          <w:bCs/>
          <w:color w:val="auto"/>
          <w:highlight w:val="none"/>
        </w:rPr>
      </w:pPr>
    </w:p>
    <w:p w14:paraId="783842CF">
      <w:pPr>
        <w:rPr>
          <w:rFonts w:hint="eastAsia" w:ascii="宋体" w:hAnsi="宋体" w:cs="宋体"/>
          <w:highlight w:val="none"/>
        </w:rPr>
      </w:pPr>
      <w:r>
        <w:rPr>
          <w:rFonts w:hint="eastAsia" w:ascii="宋体" w:hAnsi="宋体" w:cs="宋体"/>
          <w:highlight w:val="none"/>
        </w:rPr>
        <w:br w:type="page"/>
      </w:r>
    </w:p>
    <w:p w14:paraId="216801E0">
      <w:pPr>
        <w:pStyle w:val="28"/>
        <w:rPr>
          <w:rFonts w:hint="eastAsia" w:ascii="宋体" w:hAnsi="宋体" w:cs="宋体"/>
          <w:highlight w:val="none"/>
        </w:rPr>
      </w:pPr>
    </w:p>
    <w:p w14:paraId="2E1CBFD3">
      <w:pPr>
        <w:pStyle w:val="8"/>
        <w:snapToGrid w:val="0"/>
        <w:spacing w:before="159" w:after="20" w:line="360" w:lineRule="auto"/>
        <w:rPr>
          <w:rFonts w:hint="eastAsia" w:ascii="宋体" w:hAnsi="宋体" w:eastAsia="宋体" w:cs="宋体"/>
          <w:sz w:val="28"/>
          <w:szCs w:val="28"/>
          <w:highlight w:val="none"/>
        </w:rPr>
      </w:pPr>
      <w:bookmarkStart w:id="67" w:name="_Toc31798"/>
      <w:bookmarkStart w:id="68" w:name="_Toc24743"/>
      <w:r>
        <w:rPr>
          <w:rFonts w:hint="eastAsia" w:ascii="宋体" w:hAnsi="宋体" w:eastAsia="宋体" w:cs="宋体"/>
          <w:sz w:val="28"/>
          <w:szCs w:val="28"/>
          <w:highlight w:val="none"/>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highlight w:val="none"/>
        </w:rPr>
      </w:pPr>
    </w:p>
    <w:p w14:paraId="7F7907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611A05F6">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63AB46">
      <w:pPr>
        <w:spacing w:line="360" w:lineRule="auto"/>
        <w:rPr>
          <w:rFonts w:hint="eastAsia" w:ascii="宋体" w:hAnsi="宋体" w:cs="宋体"/>
          <w:sz w:val="28"/>
          <w:highlight w:val="none"/>
        </w:rPr>
      </w:pPr>
    </w:p>
    <w:p w14:paraId="10AE6E68">
      <w:pPr>
        <w:pStyle w:val="4"/>
        <w:spacing w:line="360" w:lineRule="auto"/>
        <w:rPr>
          <w:rFonts w:hint="eastAsia" w:hAnsi="宋体"/>
          <w:color w:val="auto"/>
          <w:highlight w:val="none"/>
        </w:rPr>
      </w:pPr>
    </w:p>
    <w:p w14:paraId="0ECE3452">
      <w:pPr>
        <w:pStyle w:val="4"/>
        <w:spacing w:line="360" w:lineRule="auto"/>
        <w:rPr>
          <w:rFonts w:hint="eastAsia" w:hAnsi="宋体"/>
          <w:color w:val="auto"/>
          <w:highlight w:val="none"/>
        </w:rPr>
      </w:pPr>
    </w:p>
    <w:p w14:paraId="528D8DA8">
      <w:pPr>
        <w:spacing w:line="360" w:lineRule="auto"/>
        <w:rPr>
          <w:rFonts w:hint="eastAsia" w:ascii="宋体" w:hAnsi="宋体" w:cs="宋体"/>
          <w:sz w:val="28"/>
          <w:highlight w:val="none"/>
        </w:rPr>
      </w:pPr>
    </w:p>
    <w:p w14:paraId="1B804A4A">
      <w:pPr>
        <w:spacing w:line="360" w:lineRule="auto"/>
        <w:rPr>
          <w:rFonts w:hint="eastAsia" w:ascii="宋体" w:hAnsi="宋体" w:cs="宋体"/>
          <w:sz w:val="28"/>
          <w:highlight w:val="none"/>
        </w:rPr>
      </w:pPr>
    </w:p>
    <w:p w14:paraId="23AEADB6">
      <w:pPr>
        <w:spacing w:line="360" w:lineRule="auto"/>
        <w:rPr>
          <w:rFonts w:hint="eastAsia" w:ascii="宋体" w:hAnsi="宋体" w:cs="宋体"/>
          <w:sz w:val="28"/>
          <w:highlight w:val="none"/>
        </w:rPr>
      </w:pPr>
    </w:p>
    <w:p w14:paraId="7F4AD4C3">
      <w:pPr>
        <w:spacing w:line="360" w:lineRule="auto"/>
        <w:rPr>
          <w:rFonts w:hint="eastAsia" w:ascii="宋体" w:hAnsi="宋体" w:cs="宋体"/>
          <w:sz w:val="28"/>
          <w:highlight w:val="none"/>
        </w:rPr>
      </w:pPr>
    </w:p>
    <w:p w14:paraId="74D13F23">
      <w:pPr>
        <w:spacing w:line="360" w:lineRule="auto"/>
        <w:rPr>
          <w:rFonts w:hint="eastAsia" w:ascii="宋体" w:hAnsi="宋体" w:cs="宋体"/>
          <w:sz w:val="28"/>
          <w:highlight w:val="none"/>
        </w:rPr>
      </w:pPr>
    </w:p>
    <w:p w14:paraId="1A701D20">
      <w:pPr>
        <w:spacing w:line="360" w:lineRule="auto"/>
        <w:rPr>
          <w:rFonts w:hint="eastAsia" w:ascii="宋体" w:hAnsi="宋体" w:cs="宋体"/>
          <w:sz w:val="28"/>
          <w:highlight w:val="none"/>
        </w:rPr>
      </w:pPr>
    </w:p>
    <w:p w14:paraId="5A1A0E65">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4A71441">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08C0DA1B">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697C0523">
      <w:pPr>
        <w:widowControl/>
        <w:wordWrap w:val="0"/>
        <w:spacing w:line="460" w:lineRule="exact"/>
        <w:ind w:firstLine="482" w:firstLineChars="200"/>
        <w:jc w:val="left"/>
        <w:rPr>
          <w:rFonts w:hint="eastAsia" w:ascii="宋体" w:hAnsi="宋体" w:cs="宋体"/>
          <w:b/>
          <w:kern w:val="0"/>
          <w:sz w:val="24"/>
          <w:highlight w:val="none"/>
        </w:rPr>
      </w:pPr>
    </w:p>
    <w:p w14:paraId="55DE0CEB">
      <w:pPr>
        <w:pStyle w:val="3"/>
        <w:rPr>
          <w:rFonts w:hint="eastAsia" w:ascii="宋体" w:hAnsi="宋体" w:cs="宋体"/>
          <w:b/>
          <w:kern w:val="0"/>
          <w:sz w:val="24"/>
          <w:highlight w:val="none"/>
        </w:rPr>
      </w:pPr>
    </w:p>
    <w:p w14:paraId="42A28137">
      <w:pPr>
        <w:rPr>
          <w:rFonts w:hint="eastAsia" w:ascii="宋体" w:hAnsi="宋体" w:cs="宋体"/>
          <w:b/>
          <w:kern w:val="0"/>
          <w:sz w:val="24"/>
          <w:highlight w:val="none"/>
        </w:rPr>
      </w:pPr>
      <w:r>
        <w:rPr>
          <w:rFonts w:hint="eastAsia" w:ascii="宋体" w:hAnsi="宋体" w:cs="宋体"/>
          <w:b/>
          <w:kern w:val="0"/>
          <w:sz w:val="24"/>
          <w:highlight w:val="none"/>
        </w:rPr>
        <w:br w:type="page"/>
      </w:r>
    </w:p>
    <w:p w14:paraId="6F43FFC2">
      <w:pPr>
        <w:pStyle w:val="8"/>
        <w:keepNext w:val="0"/>
        <w:snapToGrid w:val="0"/>
        <w:spacing w:before="159" w:after="20" w:line="360" w:lineRule="auto"/>
        <w:jc w:val="center"/>
        <w:rPr>
          <w:rFonts w:hint="eastAsia"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04C533CC">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60D14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494A8004">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4A1DFB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3、技术响应表。</w:t>
      </w:r>
    </w:p>
    <w:p w14:paraId="7B50274D">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4D00AF6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E55FB2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4208C838">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65F5D506">
      <w:pPr>
        <w:wordWrap w:val="0"/>
        <w:spacing w:line="460" w:lineRule="exact"/>
        <w:ind w:firstLine="420" w:firstLineChars="200"/>
        <w:jc w:val="left"/>
        <w:rPr>
          <w:rFonts w:hint="eastAsia" w:ascii="宋体" w:hAnsi="宋体" w:cs="宋体"/>
          <w:kern w:val="0"/>
          <w:szCs w:val="21"/>
          <w:highlight w:val="none"/>
        </w:rPr>
      </w:pPr>
    </w:p>
    <w:p w14:paraId="22FA285D">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1EB41D0">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（全称并加盖公章）  </w:t>
      </w:r>
    </w:p>
    <w:p w14:paraId="6948B415">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25317CA5">
      <w:pPr>
        <w:widowControl/>
        <w:wordWrap w:val="0"/>
        <w:snapToGrid w:val="0"/>
        <w:spacing w:before="159" w:after="50" w:line="480" w:lineRule="auto"/>
        <w:jc w:val="left"/>
        <w:rPr>
          <w:rFonts w:hint="eastAsia" w:ascii="宋体" w:hAnsi="宋体" w:cs="宋体"/>
          <w:b/>
          <w:kern w:val="0"/>
          <w:sz w:val="24"/>
          <w:highlight w:val="none"/>
        </w:rPr>
      </w:pPr>
    </w:p>
    <w:p w14:paraId="768798CF">
      <w:pPr>
        <w:spacing w:line="500" w:lineRule="exact"/>
        <w:jc w:val="center"/>
        <w:rPr>
          <w:rFonts w:hint="eastAsia" w:ascii="宋体" w:hAnsi="宋体" w:cs="宋体"/>
          <w:b/>
          <w:bCs/>
          <w:sz w:val="24"/>
          <w:highlight w:val="none"/>
        </w:rPr>
      </w:pPr>
    </w:p>
    <w:p w14:paraId="4AFE395B">
      <w:pPr>
        <w:rPr>
          <w:rFonts w:hint="eastAsia" w:ascii="宋体" w:hAnsi="宋体" w:cs="宋体"/>
          <w:sz w:val="28"/>
          <w:szCs w:val="28"/>
          <w:highlight w:val="none"/>
        </w:rPr>
      </w:pPr>
      <w:r>
        <w:rPr>
          <w:rFonts w:hint="eastAsia" w:ascii="宋体" w:hAnsi="宋体" w:cs="宋体"/>
          <w:sz w:val="28"/>
          <w:szCs w:val="28"/>
          <w:highlight w:val="none"/>
        </w:rPr>
        <w:br w:type="page"/>
      </w:r>
    </w:p>
    <w:p w14:paraId="15EB3127">
      <w:pPr>
        <w:rPr>
          <w:rFonts w:hint="eastAsia" w:ascii="宋体" w:hAnsi="宋体" w:cs="宋体"/>
          <w:highlight w:val="none"/>
        </w:rPr>
      </w:pPr>
    </w:p>
    <w:p w14:paraId="7AC95784">
      <w:pPr>
        <w:pStyle w:val="8"/>
        <w:snapToGrid w:val="0"/>
        <w:spacing w:before="159" w:after="20" w:line="360" w:lineRule="auto"/>
        <w:jc w:val="center"/>
        <w:rPr>
          <w:rFonts w:hint="eastAsia"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192F658E">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4A57C324">
      <w:pPr>
        <w:rPr>
          <w:rFonts w:hint="eastAsia"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4B59DBC3">
            <w:pPr>
              <w:rPr>
                <w:rFonts w:hint="eastAsia" w:ascii="宋体" w:hAnsi="宋体" w:cs="宋体"/>
                <w:bCs/>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0CA7F01">
            <w:pPr>
              <w:rPr>
                <w:rFonts w:hint="eastAsia" w:ascii="宋体" w:hAnsi="宋体" w:cs="宋体"/>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9AFF438">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2E38DAEB">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ED0FADA">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highlight w:val="none"/>
              </w:rPr>
            </w:pPr>
            <w:r>
              <w:rPr>
                <w:rFonts w:hint="eastAsia" w:ascii="宋体" w:hAnsi="宋体" w:cs="宋体"/>
                <w:szCs w:val="21"/>
                <w:highlight w:val="none"/>
              </w:rPr>
              <w:t>质保期</w:t>
            </w:r>
          </w:p>
        </w:tc>
        <w:tc>
          <w:tcPr>
            <w:tcW w:w="7708" w:type="dxa"/>
            <w:noWrap/>
            <w:vAlign w:val="center"/>
          </w:tcPr>
          <w:p w14:paraId="3E27F827">
            <w:pPr>
              <w:pStyle w:val="21"/>
              <w:ind w:left="0" w:leftChars="0"/>
              <w:rPr>
                <w:rFonts w:hint="eastAsia" w:cs="宋体"/>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3807639">
            <w:pPr>
              <w:pStyle w:val="21"/>
              <w:ind w:left="0" w:leftChars="0"/>
              <w:rPr>
                <w:rFonts w:hint="eastAsia" w:cs="宋体"/>
                <w:sz w:val="21"/>
                <w:szCs w:val="21"/>
                <w:highlight w:val="none"/>
              </w:rPr>
            </w:pPr>
          </w:p>
        </w:tc>
      </w:tr>
    </w:tbl>
    <w:p w14:paraId="33D8B73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highlight w:val="none"/>
        </w:rPr>
      </w:pPr>
      <w:bookmarkStart w:id="72" w:name="_Toc20877"/>
      <w:bookmarkStart w:id="73" w:name="_Toc11620"/>
    </w:p>
    <w:p w14:paraId="4F8257D2">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bookmarkEnd w:id="72"/>
      <w:bookmarkEnd w:id="73"/>
    </w:p>
    <w:p w14:paraId="566FFA04">
      <w:pPr>
        <w:spacing w:line="360" w:lineRule="auto"/>
        <w:ind w:firstLine="420" w:firstLineChars="200"/>
        <w:jc w:val="center"/>
        <w:rPr>
          <w:rFonts w:hint="eastAsia"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0D7466B">
      <w:pPr>
        <w:jc w:val="center"/>
        <w:rPr>
          <w:rFonts w:hint="eastAsia" w:ascii="宋体" w:hAnsi="宋体" w:cs="宋体"/>
          <w:szCs w:val="21"/>
          <w:highlight w:val="none"/>
        </w:rPr>
      </w:pPr>
    </w:p>
    <w:p w14:paraId="7DB53DF9">
      <w:pPr>
        <w:spacing w:line="360" w:lineRule="auto"/>
        <w:ind w:firstLine="420" w:firstLineChars="200"/>
        <w:jc w:val="center"/>
        <w:rPr>
          <w:rFonts w:hint="eastAsia"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2D17881F">
      <w:pPr>
        <w:rPr>
          <w:rFonts w:hint="eastAsia" w:ascii="宋体" w:hAnsi="宋体" w:cs="宋体"/>
          <w:highlight w:val="none"/>
        </w:rPr>
      </w:pPr>
    </w:p>
    <w:bookmarkEnd w:id="53"/>
    <w:bookmarkEnd w:id="54"/>
    <w:p w14:paraId="7ACDE11A">
      <w:pPr>
        <w:spacing w:before="159" w:after="20"/>
        <w:rPr>
          <w:rFonts w:hint="eastAsia" w:ascii="宋体" w:hAnsi="宋体" w:cs="宋体"/>
          <w:highlight w:val="none"/>
        </w:rPr>
      </w:pPr>
      <w:bookmarkStart w:id="78" w:name="_Toc24984"/>
      <w:bookmarkStart w:id="79" w:name="_Toc22004"/>
    </w:p>
    <w:p w14:paraId="4741AC77">
      <w:pPr>
        <w:rPr>
          <w:rFonts w:hint="eastAsia" w:ascii="宋体" w:hAnsi="宋体" w:cs="宋体"/>
          <w:highlight w:val="none"/>
        </w:rPr>
      </w:pPr>
    </w:p>
    <w:p w14:paraId="3D821B2F">
      <w:pPr>
        <w:rPr>
          <w:rFonts w:hint="eastAsia" w:ascii="宋体" w:hAnsi="宋体" w:cs="宋体"/>
          <w:highlight w:val="none"/>
        </w:rPr>
      </w:pPr>
      <w:r>
        <w:rPr>
          <w:rFonts w:hint="eastAsia" w:ascii="宋体" w:hAnsi="宋体" w:cs="宋体"/>
          <w:highlight w:val="none"/>
        </w:rPr>
        <w:br w:type="page"/>
      </w:r>
    </w:p>
    <w:p w14:paraId="4359BEA1">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64F2F72F">
      <w:pPr>
        <w:jc w:val="right"/>
        <w:rPr>
          <w:highlight w:val="none"/>
        </w:rPr>
      </w:pPr>
      <w:r>
        <w:rPr>
          <w:rFonts w:hint="eastAsia" w:ascii="宋体" w:hAnsi="宋体" w:cs="宋体"/>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highlight w:val="none"/>
              </w:rPr>
            </w:pPr>
            <w:r>
              <w:rPr>
                <w:rFonts w:hint="eastAsia" w:ascii="宋体" w:hAnsi="宋体" w:cs="宋体"/>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highlight w:val="none"/>
              </w:rPr>
            </w:pPr>
            <w:r>
              <w:rPr>
                <w:rFonts w:hint="eastAsia" w:ascii="宋体" w:hAnsi="宋体" w:cs="宋体"/>
                <w:spacing w:val="20"/>
                <w:kern w:val="0"/>
                <w:sz w:val="24"/>
                <w:highlight w:val="none"/>
              </w:rPr>
              <w:t>磋商报价(</w:t>
            </w:r>
            <w:r>
              <w:rPr>
                <w:rFonts w:hint="eastAsia" w:ascii="宋体" w:hAnsi="宋体" w:cs="宋体"/>
                <w:kern w:val="0"/>
                <w:sz w:val="24"/>
                <w:szCs w:val="21"/>
                <w:highlight w:val="none"/>
              </w:rPr>
              <w:t>大写)：</w:t>
            </w:r>
          </w:p>
        </w:tc>
      </w:tr>
    </w:tbl>
    <w:p w14:paraId="3019277F">
      <w:pPr>
        <w:widowControl/>
        <w:snapToGrid w:val="0"/>
        <w:spacing w:line="440" w:lineRule="exact"/>
        <w:jc w:val="left"/>
        <w:rPr>
          <w:rFonts w:hint="eastAsia" w:ascii="宋体" w:hAnsi="宋体" w:cs="宋体"/>
          <w:kern w:val="0"/>
          <w:szCs w:val="21"/>
          <w:highlight w:val="none"/>
        </w:rPr>
      </w:pPr>
    </w:p>
    <w:p w14:paraId="500D045C">
      <w:pPr>
        <w:pStyle w:val="33"/>
        <w:ind w:firstLine="3990" w:firstLineChars="1900"/>
        <w:rPr>
          <w:rFonts w:hint="eastAsia" w:ascii="宋体" w:hAnsi="宋体" w:cs="宋体"/>
          <w:highlight w:val="none"/>
        </w:rPr>
      </w:pPr>
    </w:p>
    <w:p w14:paraId="1E6D135E">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0757C52B">
      <w:pPr>
        <w:widowControl/>
        <w:wordWrap w:val="0"/>
        <w:spacing w:line="460" w:lineRule="exact"/>
        <w:ind w:firstLine="4410" w:firstLineChars="2100"/>
        <w:jc w:val="left"/>
        <w:rPr>
          <w:rFonts w:hint="eastAsia" w:ascii="宋体" w:hAnsi="宋体" w:cs="宋体"/>
          <w:szCs w:val="21"/>
          <w:highlight w:val="none"/>
        </w:rPr>
      </w:pPr>
      <w:r>
        <w:rPr>
          <w:rFonts w:hint="eastAsia" w:ascii="宋体" w:hAnsi="宋体" w:cs="宋体"/>
          <w:kern w:val="0"/>
          <w:szCs w:val="21"/>
          <w:highlight w:val="none"/>
        </w:rPr>
        <w:t>年    月    日</w:t>
      </w:r>
    </w:p>
    <w:p w14:paraId="4D33BD5D">
      <w:pPr>
        <w:widowControl/>
        <w:wordWrap w:val="0"/>
        <w:spacing w:line="460" w:lineRule="exact"/>
        <w:ind w:firstLine="4800" w:firstLineChars="2000"/>
        <w:jc w:val="left"/>
        <w:rPr>
          <w:rFonts w:hint="eastAsia" w:ascii="宋体" w:hAnsi="宋体" w:cs="宋体"/>
          <w:sz w:val="28"/>
          <w:szCs w:val="28"/>
          <w:highlight w:val="none"/>
        </w:rPr>
      </w:pPr>
      <w:r>
        <w:rPr>
          <w:rFonts w:hint="eastAsia" w:ascii="宋体" w:hAnsi="宋体" w:cs="宋体"/>
          <w:kern w:val="0"/>
          <w:sz w:val="24"/>
          <w:highlight w:val="none"/>
        </w:rPr>
        <w:t xml:space="preserve">     </w:t>
      </w:r>
    </w:p>
    <w:p w14:paraId="54F48235">
      <w:pPr>
        <w:pStyle w:val="24"/>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napToGrid w:val="0"/>
        <w:spacing w:before="159" w:after="20" w:line="360" w:lineRule="auto"/>
        <w:jc w:val="center"/>
        <w:rPr>
          <w:rFonts w:hint="eastAsia" w:ascii="宋体" w:hAnsi="宋体" w:eastAsia="宋体" w:cs="宋体"/>
          <w:sz w:val="28"/>
          <w:szCs w:val="28"/>
          <w:highlight w:val="none"/>
        </w:rPr>
      </w:pPr>
      <w:bookmarkStart w:id="80" w:name="_Toc15804"/>
      <w:bookmarkStart w:id="81" w:name="_Toc226"/>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7" w:type="dxa"/>
            <w:vAlign w:val="center"/>
          </w:tcPr>
          <w:p w14:paraId="30D2602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7" w:type="dxa"/>
            <w:vAlign w:val="center"/>
          </w:tcPr>
          <w:p w14:paraId="02045832">
            <w:pPr>
              <w:widowControl/>
              <w:spacing w:line="360" w:lineRule="auto"/>
              <w:jc w:val="center"/>
              <w:textAlignment w:val="baseline"/>
              <w:rPr>
                <w:rFonts w:hint="eastAsia" w:ascii="宋体" w:hAnsi="宋体" w:cs="宋体"/>
                <w:szCs w:val="21"/>
                <w:highlight w:val="none"/>
              </w:rPr>
            </w:pPr>
          </w:p>
        </w:tc>
        <w:tc>
          <w:tcPr>
            <w:tcW w:w="2160" w:type="dxa"/>
            <w:vAlign w:val="center"/>
          </w:tcPr>
          <w:p w14:paraId="7BB8395F">
            <w:pPr>
              <w:widowControl/>
              <w:spacing w:line="360" w:lineRule="auto"/>
              <w:jc w:val="center"/>
              <w:textAlignment w:val="baseline"/>
              <w:rPr>
                <w:rFonts w:hint="eastAsia" w:ascii="宋体" w:hAnsi="宋体" w:cs="宋体"/>
                <w:szCs w:val="21"/>
                <w:highlight w:val="none"/>
              </w:rPr>
            </w:pPr>
          </w:p>
        </w:tc>
        <w:tc>
          <w:tcPr>
            <w:tcW w:w="2205" w:type="dxa"/>
            <w:vAlign w:val="center"/>
          </w:tcPr>
          <w:p w14:paraId="657DEF18">
            <w:pPr>
              <w:widowControl/>
              <w:spacing w:line="360" w:lineRule="auto"/>
              <w:jc w:val="center"/>
              <w:textAlignment w:val="baseline"/>
              <w:rPr>
                <w:rFonts w:hint="eastAsia" w:ascii="宋体" w:hAnsi="宋体" w:cs="宋体"/>
                <w:szCs w:val="21"/>
                <w:highlight w:val="none"/>
              </w:rPr>
            </w:pPr>
          </w:p>
        </w:tc>
        <w:tc>
          <w:tcPr>
            <w:tcW w:w="1425" w:type="dxa"/>
            <w:vAlign w:val="center"/>
          </w:tcPr>
          <w:p w14:paraId="2B4A46C2">
            <w:pPr>
              <w:widowControl/>
              <w:spacing w:line="360" w:lineRule="auto"/>
              <w:jc w:val="center"/>
              <w:textAlignment w:val="baseline"/>
              <w:rPr>
                <w:rFonts w:hint="eastAsia" w:ascii="宋体" w:hAnsi="宋体" w:cs="宋体"/>
                <w:szCs w:val="21"/>
                <w:highlight w:val="none"/>
              </w:rPr>
            </w:pPr>
          </w:p>
        </w:tc>
        <w:tc>
          <w:tcPr>
            <w:tcW w:w="930" w:type="dxa"/>
            <w:vAlign w:val="center"/>
          </w:tcPr>
          <w:p w14:paraId="5B894E8D">
            <w:pPr>
              <w:widowControl/>
              <w:spacing w:line="360" w:lineRule="auto"/>
              <w:jc w:val="center"/>
              <w:textAlignment w:val="baseline"/>
              <w:rPr>
                <w:rFonts w:hint="eastAsia" w:ascii="宋体" w:hAnsi="宋体" w:cs="宋体"/>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7" w:type="dxa"/>
            <w:vAlign w:val="center"/>
          </w:tcPr>
          <w:p w14:paraId="2561175A">
            <w:pPr>
              <w:widowControl/>
              <w:spacing w:line="360" w:lineRule="auto"/>
              <w:jc w:val="center"/>
              <w:textAlignment w:val="baseline"/>
              <w:rPr>
                <w:rFonts w:hint="eastAsia" w:ascii="宋体" w:hAnsi="宋体" w:cs="宋体"/>
                <w:szCs w:val="21"/>
                <w:highlight w:val="none"/>
              </w:rPr>
            </w:pPr>
          </w:p>
        </w:tc>
        <w:tc>
          <w:tcPr>
            <w:tcW w:w="2160" w:type="dxa"/>
            <w:vAlign w:val="center"/>
          </w:tcPr>
          <w:p w14:paraId="18C98CF9">
            <w:pPr>
              <w:widowControl/>
              <w:spacing w:line="360" w:lineRule="auto"/>
              <w:jc w:val="center"/>
              <w:textAlignment w:val="baseline"/>
              <w:rPr>
                <w:rFonts w:hint="eastAsia" w:ascii="宋体" w:hAnsi="宋体" w:cs="宋体"/>
                <w:szCs w:val="21"/>
                <w:highlight w:val="none"/>
              </w:rPr>
            </w:pPr>
          </w:p>
        </w:tc>
        <w:tc>
          <w:tcPr>
            <w:tcW w:w="2205" w:type="dxa"/>
            <w:vAlign w:val="center"/>
          </w:tcPr>
          <w:p w14:paraId="0731E58E">
            <w:pPr>
              <w:widowControl/>
              <w:spacing w:line="360" w:lineRule="auto"/>
              <w:jc w:val="center"/>
              <w:textAlignment w:val="baseline"/>
              <w:rPr>
                <w:rFonts w:hint="eastAsia" w:ascii="宋体" w:hAnsi="宋体" w:cs="宋体"/>
                <w:szCs w:val="21"/>
                <w:highlight w:val="none"/>
              </w:rPr>
            </w:pPr>
          </w:p>
        </w:tc>
        <w:tc>
          <w:tcPr>
            <w:tcW w:w="1425" w:type="dxa"/>
            <w:vAlign w:val="center"/>
          </w:tcPr>
          <w:p w14:paraId="20403BCD">
            <w:pPr>
              <w:widowControl/>
              <w:spacing w:line="360" w:lineRule="auto"/>
              <w:jc w:val="center"/>
              <w:textAlignment w:val="baseline"/>
              <w:rPr>
                <w:rFonts w:hint="eastAsia" w:ascii="宋体" w:hAnsi="宋体" w:cs="宋体"/>
                <w:szCs w:val="21"/>
                <w:highlight w:val="none"/>
              </w:rPr>
            </w:pPr>
          </w:p>
        </w:tc>
        <w:tc>
          <w:tcPr>
            <w:tcW w:w="930" w:type="dxa"/>
            <w:vAlign w:val="center"/>
          </w:tcPr>
          <w:p w14:paraId="5B42D853">
            <w:pPr>
              <w:widowControl/>
              <w:spacing w:line="360" w:lineRule="auto"/>
              <w:jc w:val="center"/>
              <w:textAlignment w:val="baseline"/>
              <w:rPr>
                <w:rFonts w:hint="eastAsia" w:ascii="宋体" w:hAnsi="宋体" w:cs="宋体"/>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7" w:type="dxa"/>
            <w:vAlign w:val="center"/>
          </w:tcPr>
          <w:p w14:paraId="40636340">
            <w:pPr>
              <w:widowControl/>
              <w:spacing w:line="360" w:lineRule="auto"/>
              <w:jc w:val="center"/>
              <w:textAlignment w:val="baseline"/>
              <w:rPr>
                <w:rFonts w:hint="eastAsia" w:ascii="宋体" w:hAnsi="宋体" w:cs="宋体"/>
                <w:szCs w:val="21"/>
                <w:highlight w:val="none"/>
              </w:rPr>
            </w:pPr>
          </w:p>
        </w:tc>
        <w:tc>
          <w:tcPr>
            <w:tcW w:w="2160" w:type="dxa"/>
            <w:vAlign w:val="center"/>
          </w:tcPr>
          <w:p w14:paraId="3FE3622C">
            <w:pPr>
              <w:widowControl/>
              <w:spacing w:line="360" w:lineRule="auto"/>
              <w:jc w:val="center"/>
              <w:textAlignment w:val="baseline"/>
              <w:rPr>
                <w:rFonts w:hint="eastAsia" w:ascii="宋体" w:hAnsi="宋体" w:cs="宋体"/>
                <w:szCs w:val="21"/>
                <w:highlight w:val="none"/>
              </w:rPr>
            </w:pPr>
          </w:p>
        </w:tc>
        <w:tc>
          <w:tcPr>
            <w:tcW w:w="2205" w:type="dxa"/>
            <w:vAlign w:val="center"/>
          </w:tcPr>
          <w:p w14:paraId="1139F63F">
            <w:pPr>
              <w:widowControl/>
              <w:spacing w:line="360" w:lineRule="auto"/>
              <w:jc w:val="center"/>
              <w:textAlignment w:val="baseline"/>
              <w:rPr>
                <w:rFonts w:hint="eastAsia" w:ascii="宋体" w:hAnsi="宋体" w:cs="宋体"/>
                <w:szCs w:val="21"/>
                <w:highlight w:val="none"/>
              </w:rPr>
            </w:pPr>
          </w:p>
        </w:tc>
        <w:tc>
          <w:tcPr>
            <w:tcW w:w="1425" w:type="dxa"/>
            <w:vAlign w:val="center"/>
          </w:tcPr>
          <w:p w14:paraId="77A89491">
            <w:pPr>
              <w:widowControl/>
              <w:spacing w:line="360" w:lineRule="auto"/>
              <w:jc w:val="center"/>
              <w:textAlignment w:val="baseline"/>
              <w:rPr>
                <w:rFonts w:hint="eastAsia" w:ascii="宋体" w:hAnsi="宋体" w:cs="宋体"/>
                <w:szCs w:val="21"/>
                <w:highlight w:val="none"/>
              </w:rPr>
            </w:pPr>
          </w:p>
        </w:tc>
        <w:tc>
          <w:tcPr>
            <w:tcW w:w="930" w:type="dxa"/>
            <w:vAlign w:val="center"/>
          </w:tcPr>
          <w:p w14:paraId="19587C09">
            <w:pPr>
              <w:widowControl/>
              <w:spacing w:line="360" w:lineRule="auto"/>
              <w:jc w:val="center"/>
              <w:textAlignment w:val="baseline"/>
              <w:rPr>
                <w:rFonts w:hint="eastAsia" w:ascii="宋体" w:hAnsi="宋体" w:cs="宋体"/>
                <w:szCs w:val="21"/>
                <w:highlight w:val="none"/>
              </w:rPr>
            </w:pPr>
          </w:p>
        </w:tc>
      </w:tr>
    </w:tbl>
    <w:p w14:paraId="426A708F">
      <w:pPr>
        <w:widowControl/>
        <w:wordWrap w:val="0"/>
        <w:spacing w:line="460" w:lineRule="exact"/>
        <w:ind w:firstLine="422" w:firstLineChars="200"/>
        <w:jc w:val="left"/>
        <w:rPr>
          <w:rFonts w:hint="eastAsia" w:ascii="宋体" w:hAnsi="宋体" w:cs="宋体"/>
          <w:b/>
          <w:kern w:val="0"/>
          <w:szCs w:val="21"/>
          <w:highlight w:val="none"/>
        </w:rPr>
      </w:pPr>
    </w:p>
    <w:p w14:paraId="086D002F">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highlight w:val="none"/>
        </w:rPr>
      </w:pPr>
    </w:p>
    <w:p w14:paraId="76D7903A">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6C4F941">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123EF889">
      <w:pPr>
        <w:widowControl/>
        <w:wordWrap w:val="0"/>
        <w:spacing w:line="460" w:lineRule="exact"/>
        <w:ind w:firstLine="643" w:firstLineChars="200"/>
        <w:jc w:val="left"/>
        <w:rPr>
          <w:rFonts w:hint="eastAsia" w:ascii="宋体" w:hAnsi="宋体" w:cs="宋体"/>
          <w:b/>
          <w:kern w:val="0"/>
          <w:sz w:val="32"/>
          <w:szCs w:val="32"/>
          <w:highlight w:val="none"/>
        </w:rPr>
      </w:pPr>
    </w:p>
    <w:p w14:paraId="14D16C46">
      <w:pPr>
        <w:widowControl/>
        <w:wordWrap w:val="0"/>
        <w:spacing w:line="460" w:lineRule="exact"/>
        <w:ind w:firstLine="643" w:firstLineChars="200"/>
        <w:jc w:val="left"/>
        <w:rPr>
          <w:rFonts w:hint="eastAsia" w:ascii="宋体" w:hAnsi="宋体" w:cs="宋体"/>
          <w:b/>
          <w:kern w:val="0"/>
          <w:sz w:val="32"/>
          <w:szCs w:val="32"/>
          <w:highlight w:val="none"/>
        </w:rPr>
      </w:pPr>
    </w:p>
    <w:p w14:paraId="41337E5D">
      <w:pPr>
        <w:widowControl/>
        <w:wordWrap w:val="0"/>
        <w:spacing w:line="460" w:lineRule="exact"/>
        <w:ind w:firstLine="643" w:firstLineChars="200"/>
        <w:jc w:val="left"/>
        <w:rPr>
          <w:rFonts w:hint="eastAsia" w:ascii="宋体" w:hAnsi="宋体" w:cs="宋体"/>
          <w:b/>
          <w:kern w:val="0"/>
          <w:sz w:val="32"/>
          <w:szCs w:val="32"/>
          <w:highlight w:val="none"/>
        </w:rPr>
      </w:pPr>
    </w:p>
    <w:p w14:paraId="6F8393D1">
      <w:pPr>
        <w:widowControl/>
        <w:wordWrap w:val="0"/>
        <w:spacing w:line="460" w:lineRule="exact"/>
        <w:ind w:firstLine="643" w:firstLineChars="200"/>
        <w:jc w:val="left"/>
        <w:rPr>
          <w:rFonts w:hint="eastAsia" w:ascii="宋体" w:hAnsi="宋体" w:cs="宋体"/>
          <w:b/>
          <w:kern w:val="0"/>
          <w:sz w:val="32"/>
          <w:szCs w:val="32"/>
          <w:highlight w:val="none"/>
        </w:rPr>
      </w:pPr>
    </w:p>
    <w:p w14:paraId="25CAB78E">
      <w:pPr>
        <w:widowControl/>
        <w:wordWrap w:val="0"/>
        <w:spacing w:line="460" w:lineRule="exact"/>
        <w:ind w:firstLine="643" w:firstLineChars="200"/>
        <w:jc w:val="left"/>
        <w:rPr>
          <w:rFonts w:hint="eastAsia" w:ascii="宋体" w:hAnsi="宋体" w:cs="宋体"/>
          <w:b/>
          <w:kern w:val="0"/>
          <w:sz w:val="32"/>
          <w:szCs w:val="32"/>
          <w:highlight w:val="none"/>
        </w:rPr>
      </w:pPr>
    </w:p>
    <w:p w14:paraId="6CF09B86">
      <w:pPr>
        <w:widowControl/>
        <w:wordWrap w:val="0"/>
        <w:snapToGrid w:val="0"/>
        <w:spacing w:before="159" w:after="159" w:afterLines="50"/>
        <w:jc w:val="left"/>
        <w:rPr>
          <w:rFonts w:hint="eastAsia" w:ascii="宋体" w:hAnsi="宋体" w:cs="宋体"/>
          <w:kern w:val="0"/>
          <w:sz w:val="24"/>
          <w:highlight w:val="none"/>
          <w:u w:val="single"/>
        </w:rPr>
      </w:pPr>
    </w:p>
    <w:p w14:paraId="15D88A12">
      <w:pPr>
        <w:rPr>
          <w:rFonts w:hint="eastAsia" w:ascii="宋体" w:hAnsi="宋体" w:cs="宋体"/>
          <w:b/>
          <w:kern w:val="0"/>
          <w:sz w:val="24"/>
          <w:highlight w:val="none"/>
        </w:rPr>
      </w:pPr>
      <w:r>
        <w:rPr>
          <w:rFonts w:hint="eastAsia" w:ascii="宋体" w:hAnsi="宋体" w:eastAsia="宋体" w:cs="宋体"/>
          <w:kern w:val="0"/>
          <w:sz w:val="24"/>
          <w:highlight w:val="none"/>
        </w:rPr>
        <w:br w:type="page"/>
      </w:r>
    </w:p>
    <w:p w14:paraId="2F357F53">
      <w:pPr>
        <w:rPr>
          <w:rFonts w:hint="eastAsia" w:ascii="宋体" w:hAnsi="宋体" w:cs="宋体"/>
          <w:b/>
          <w:kern w:val="0"/>
          <w:sz w:val="24"/>
          <w:highlight w:val="none"/>
        </w:rPr>
      </w:pPr>
    </w:p>
    <w:p w14:paraId="32626221">
      <w:pPr>
        <w:pStyle w:val="8"/>
        <w:snapToGrid w:val="0"/>
        <w:spacing w:before="159" w:after="20" w:line="360" w:lineRule="auto"/>
        <w:jc w:val="center"/>
        <w:rPr>
          <w:rFonts w:hint="eastAsia" w:ascii="宋体" w:hAnsi="宋体" w:eastAsia="宋体" w:cs="宋体"/>
          <w:sz w:val="28"/>
          <w:szCs w:val="28"/>
          <w:highlight w:val="none"/>
        </w:rPr>
      </w:pPr>
      <w:bookmarkStart w:id="82" w:name="_Toc20420"/>
      <w:bookmarkStart w:id="83" w:name="_Toc29960"/>
      <w:bookmarkStart w:id="84" w:name="_Toc24168"/>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2183F0F">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0737F38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088623B1">
            <w:pPr>
              <w:widowControl/>
              <w:spacing w:line="360" w:lineRule="auto"/>
              <w:jc w:val="center"/>
              <w:textAlignment w:val="baseline"/>
              <w:rPr>
                <w:rFonts w:hint="eastAsia" w:ascii="宋体" w:hAnsi="宋体" w:cs="宋体"/>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7064975">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73CF96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938AD79">
            <w:pPr>
              <w:widowControl/>
              <w:spacing w:line="360" w:lineRule="auto"/>
              <w:jc w:val="center"/>
              <w:textAlignment w:val="baseline"/>
              <w:rPr>
                <w:rFonts w:hint="eastAsia" w:ascii="宋体" w:hAnsi="宋体" w:cs="宋体"/>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28B7BDED">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BFE0511">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4B151A18">
            <w:pPr>
              <w:widowControl/>
              <w:spacing w:line="360" w:lineRule="auto"/>
              <w:jc w:val="center"/>
              <w:textAlignment w:val="baseline"/>
              <w:rPr>
                <w:rFonts w:hint="eastAsia" w:ascii="宋体" w:hAnsi="宋体" w:cs="宋体"/>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39C41888">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32EDF1E6">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D65CBE2">
            <w:pPr>
              <w:widowControl/>
              <w:spacing w:line="360" w:lineRule="auto"/>
              <w:jc w:val="center"/>
              <w:textAlignment w:val="baseline"/>
              <w:rPr>
                <w:rFonts w:hint="eastAsia" w:ascii="宋体" w:hAnsi="宋体" w:cs="宋体"/>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6D32FFD9">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88E1095">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5D1EFB92">
            <w:pPr>
              <w:widowControl/>
              <w:spacing w:line="360" w:lineRule="auto"/>
              <w:jc w:val="center"/>
              <w:textAlignment w:val="baseline"/>
              <w:rPr>
                <w:rFonts w:hint="eastAsia" w:ascii="宋体" w:hAnsi="宋体" w:cs="宋体"/>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45B5825C">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F56D69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21735086">
            <w:pPr>
              <w:widowControl/>
              <w:spacing w:line="360" w:lineRule="auto"/>
              <w:jc w:val="center"/>
              <w:textAlignment w:val="baseline"/>
              <w:rPr>
                <w:rFonts w:hint="eastAsia" w:ascii="宋体" w:hAnsi="宋体" w:cs="宋体"/>
                <w:szCs w:val="21"/>
                <w:highlight w:val="none"/>
              </w:rPr>
            </w:pPr>
          </w:p>
        </w:tc>
      </w:tr>
    </w:tbl>
    <w:p w14:paraId="6C6D03DC">
      <w:pPr>
        <w:rPr>
          <w:rFonts w:hint="eastAsia" w:ascii="宋体" w:hAnsi="宋体" w:cs="宋体"/>
          <w:b/>
          <w:kern w:val="0"/>
          <w:szCs w:val="21"/>
          <w:highlight w:val="none"/>
        </w:rPr>
      </w:pPr>
    </w:p>
    <w:p w14:paraId="2D3A078F">
      <w:pPr>
        <w:pStyle w:val="33"/>
        <w:ind w:firstLine="210"/>
        <w:rPr>
          <w:rFonts w:hint="eastAsia" w:ascii="宋体" w:hAnsi="宋体" w:cs="宋体"/>
          <w:highlight w:val="none"/>
        </w:rPr>
      </w:pPr>
    </w:p>
    <w:p w14:paraId="2640BD83">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CB305C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1AF1B688">
      <w:pPr>
        <w:rPr>
          <w:rFonts w:hint="eastAsia" w:ascii="宋体" w:hAnsi="宋体" w:cs="宋体"/>
          <w:highlight w:val="none"/>
        </w:rPr>
      </w:pPr>
    </w:p>
    <w:p w14:paraId="45F42FF6">
      <w:pPr>
        <w:rPr>
          <w:rFonts w:hint="eastAsia" w:ascii="宋体" w:hAnsi="宋体" w:cs="宋体"/>
          <w:highlight w:val="none"/>
        </w:rPr>
      </w:pPr>
    </w:p>
    <w:p w14:paraId="43E0BED1">
      <w:pPr>
        <w:rPr>
          <w:rFonts w:hint="eastAsia" w:ascii="宋体" w:hAnsi="宋体" w:cs="宋体"/>
          <w:highlight w:val="none"/>
        </w:rPr>
      </w:pPr>
    </w:p>
    <w:p w14:paraId="20053896">
      <w:pPr>
        <w:rPr>
          <w:rFonts w:hint="eastAsia" w:ascii="宋体" w:hAnsi="宋体" w:cs="宋体"/>
          <w:highlight w:val="none"/>
        </w:rPr>
      </w:pPr>
    </w:p>
    <w:p w14:paraId="0358921C">
      <w:pPr>
        <w:rPr>
          <w:rFonts w:hint="eastAsia" w:ascii="宋体" w:hAnsi="宋体" w:cs="宋体"/>
          <w:highlight w:val="none"/>
        </w:rPr>
      </w:pPr>
    </w:p>
    <w:p w14:paraId="77E9F7D0">
      <w:pPr>
        <w:rPr>
          <w:rFonts w:hint="eastAsia" w:ascii="宋体" w:hAnsi="宋体" w:cs="宋体"/>
          <w:highlight w:val="none"/>
        </w:rPr>
      </w:pPr>
    </w:p>
    <w:p w14:paraId="65D4D6E1">
      <w:pPr>
        <w:rPr>
          <w:rFonts w:hint="eastAsia" w:ascii="宋体" w:hAnsi="宋体" w:cs="宋体"/>
          <w:highlight w:val="none"/>
        </w:rPr>
      </w:pPr>
    </w:p>
    <w:p w14:paraId="31445A5E">
      <w:pPr>
        <w:rPr>
          <w:rFonts w:hint="eastAsia" w:ascii="宋体" w:hAnsi="宋体" w:cs="宋体"/>
          <w:highlight w:val="none"/>
        </w:rPr>
      </w:pPr>
    </w:p>
    <w:p w14:paraId="264B9FD1">
      <w:pPr>
        <w:rPr>
          <w:rFonts w:hint="eastAsia" w:ascii="宋体" w:hAnsi="宋体" w:cs="宋体"/>
          <w:highlight w:val="none"/>
        </w:rPr>
      </w:pPr>
    </w:p>
    <w:p w14:paraId="3E3EDC55">
      <w:pPr>
        <w:rPr>
          <w:rFonts w:hint="eastAsia" w:ascii="宋体" w:hAnsi="宋体" w:cs="宋体"/>
          <w:highlight w:val="none"/>
        </w:rPr>
      </w:pPr>
    </w:p>
    <w:p w14:paraId="0C9786B1">
      <w:pPr>
        <w:rPr>
          <w:rFonts w:hint="eastAsia" w:ascii="宋体" w:hAnsi="宋体" w:cs="宋体"/>
          <w:highlight w:val="none"/>
        </w:rPr>
      </w:pPr>
    </w:p>
    <w:p w14:paraId="2C16F7AA">
      <w:pPr>
        <w:rPr>
          <w:rFonts w:hint="eastAsia" w:ascii="宋体" w:hAnsi="宋体" w:cs="宋体"/>
          <w:highlight w:val="none"/>
        </w:rPr>
      </w:pPr>
    </w:p>
    <w:p w14:paraId="0827F38D">
      <w:pPr>
        <w:rPr>
          <w:rFonts w:hint="eastAsia" w:ascii="宋体" w:hAnsi="宋体" w:cs="宋体"/>
          <w:highlight w:val="none"/>
        </w:rPr>
      </w:pPr>
    </w:p>
    <w:p w14:paraId="7FB723F0">
      <w:pPr>
        <w:rPr>
          <w:rFonts w:hint="eastAsia" w:ascii="宋体" w:hAnsi="宋体" w:cs="宋体"/>
          <w:highlight w:val="none"/>
        </w:rPr>
      </w:pPr>
    </w:p>
    <w:p w14:paraId="2FEAA57A">
      <w:pPr>
        <w:rPr>
          <w:rFonts w:hint="eastAsia" w:ascii="宋体" w:hAnsi="宋体" w:cs="宋体"/>
          <w:highlight w:val="none"/>
        </w:rPr>
      </w:pPr>
    </w:p>
    <w:p w14:paraId="57DAF363">
      <w:pPr>
        <w:rPr>
          <w:rFonts w:hint="eastAsia"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5B81468">
      <w:pPr>
        <w:pStyle w:val="8"/>
        <w:snapToGrid w:val="0"/>
        <w:spacing w:before="159" w:after="20" w:line="360" w:lineRule="auto"/>
        <w:jc w:val="center"/>
        <w:rPr>
          <w:rFonts w:hint="eastAsia"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highlight w:val="none"/>
        </w:rPr>
      </w:pPr>
    </w:p>
    <w:p w14:paraId="74D2CD6D">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561FBDB8">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92A6E0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3BCCFBCF">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41E4FD2E">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D1A468">
      <w:pPr>
        <w:widowControl/>
        <w:wordWrap w:val="0"/>
        <w:spacing w:line="460" w:lineRule="exact"/>
        <w:jc w:val="left"/>
        <w:rPr>
          <w:rFonts w:hint="eastAsia" w:ascii="宋体" w:hAnsi="宋体" w:cs="宋体"/>
          <w:kern w:val="0"/>
          <w:sz w:val="24"/>
          <w:szCs w:val="20"/>
          <w:highlight w:val="none"/>
        </w:rPr>
      </w:pPr>
    </w:p>
    <w:p w14:paraId="6D9CE35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6C9D42D">
      <w:pPr>
        <w:widowControl/>
        <w:wordWrap w:val="0"/>
        <w:spacing w:line="460" w:lineRule="exact"/>
        <w:jc w:val="left"/>
        <w:rPr>
          <w:rFonts w:hint="eastAsia" w:ascii="宋体" w:hAnsi="宋体" w:cs="宋体"/>
          <w:kern w:val="0"/>
          <w:sz w:val="24"/>
          <w:szCs w:val="20"/>
          <w:highlight w:val="none"/>
        </w:rPr>
      </w:pPr>
    </w:p>
    <w:p w14:paraId="77DD80E9">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AD50E83">
            <w:pPr>
              <w:widowControl/>
              <w:spacing w:line="480" w:lineRule="exact"/>
              <w:jc w:val="left"/>
              <w:rPr>
                <w:rFonts w:hint="eastAsia" w:ascii="宋体" w:hAnsi="宋体" w:cs="宋体"/>
                <w:kern w:val="0"/>
                <w:sz w:val="24"/>
                <w:highlight w:val="none"/>
              </w:rPr>
            </w:pPr>
          </w:p>
          <w:p w14:paraId="1A9A7E7A">
            <w:pPr>
              <w:widowControl/>
              <w:spacing w:line="480" w:lineRule="exact"/>
              <w:jc w:val="left"/>
              <w:rPr>
                <w:rFonts w:hint="eastAsia" w:ascii="宋体" w:hAnsi="宋体" w:cs="宋体"/>
                <w:kern w:val="0"/>
                <w:sz w:val="24"/>
                <w:highlight w:val="none"/>
              </w:rPr>
            </w:pPr>
          </w:p>
        </w:tc>
      </w:tr>
    </w:tbl>
    <w:p w14:paraId="020A4BE8">
      <w:pPr>
        <w:widowControl/>
        <w:wordWrap w:val="0"/>
        <w:spacing w:before="319" w:beforeLines="100" w:after="319" w:afterLines="100" w:line="480" w:lineRule="exact"/>
        <w:jc w:val="center"/>
        <w:rPr>
          <w:rFonts w:hint="eastAsia" w:ascii="宋体" w:hAnsi="宋体" w:cs="宋体"/>
          <w:b/>
          <w:kern w:val="0"/>
          <w:sz w:val="24"/>
          <w:highlight w:val="none"/>
        </w:rPr>
      </w:pPr>
    </w:p>
    <w:p w14:paraId="600EBF7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0D37326">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AF55784">
      <w:pPr>
        <w:widowControl/>
        <w:wordWrap w:val="0"/>
        <w:spacing w:line="480" w:lineRule="exact"/>
        <w:jc w:val="right"/>
        <w:rPr>
          <w:rFonts w:hint="eastAsia" w:ascii="宋体" w:hAnsi="宋体" w:cs="宋体"/>
          <w:kern w:val="0"/>
          <w:sz w:val="24"/>
          <w:highlight w:val="none"/>
        </w:rPr>
      </w:pPr>
    </w:p>
    <w:p w14:paraId="712B2D34">
      <w:pPr>
        <w:widowControl/>
        <w:wordWrap w:val="0"/>
        <w:spacing w:line="480" w:lineRule="exact"/>
        <w:jc w:val="right"/>
        <w:rPr>
          <w:rFonts w:hint="eastAsia" w:ascii="宋体" w:hAnsi="宋体" w:cs="宋体"/>
          <w:kern w:val="0"/>
          <w:sz w:val="24"/>
          <w:highlight w:val="none"/>
        </w:rPr>
      </w:pPr>
    </w:p>
    <w:p w14:paraId="20722452">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44D99922">
      <w:pPr>
        <w:rPr>
          <w:rFonts w:hint="eastAsia" w:ascii="宋体" w:hAnsi="宋体" w:cs="宋体"/>
          <w:highlight w:val="none"/>
        </w:rPr>
      </w:pPr>
    </w:p>
    <w:p w14:paraId="6AD47475">
      <w:pPr>
        <w:rPr>
          <w:rFonts w:hint="eastAsia" w:ascii="宋体" w:hAnsi="宋体" w:cs="宋体"/>
          <w:highlight w:val="none"/>
        </w:rPr>
      </w:pPr>
      <w:r>
        <w:rPr>
          <w:rFonts w:hint="eastAsia" w:ascii="宋体" w:hAnsi="宋体" w:cs="宋体"/>
          <w:highlight w:val="none"/>
        </w:rPr>
        <w:br w:type="page"/>
      </w:r>
    </w:p>
    <w:p w14:paraId="738494CD">
      <w:pPr>
        <w:pStyle w:val="8"/>
        <w:snapToGrid w:val="0"/>
        <w:spacing w:before="159" w:after="20" w:line="360" w:lineRule="auto"/>
        <w:jc w:val="center"/>
        <w:rPr>
          <w:rFonts w:hint="eastAsia" w:ascii="宋体" w:hAnsi="宋体" w:eastAsia="宋体" w:cs="宋体"/>
          <w:sz w:val="28"/>
          <w:szCs w:val="28"/>
          <w:highlight w:val="none"/>
        </w:rPr>
      </w:pPr>
      <w:bookmarkStart w:id="88" w:name="_Toc13976"/>
      <w:bookmarkStart w:id="89" w:name="_Toc12939"/>
      <w:bookmarkStart w:id="90" w:name="_Toc30519"/>
      <w:r>
        <w:rPr>
          <w:rFonts w:hint="eastAsia" w:ascii="宋体" w:hAnsi="宋体" w:eastAsia="宋体" w:cs="宋体"/>
          <w:sz w:val="28"/>
          <w:szCs w:val="28"/>
          <w:highlight w:val="none"/>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76CED4F0">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7CBF25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2C017FD9">
      <w:pPr>
        <w:widowControl/>
        <w:wordWrap w:val="0"/>
        <w:snapToGrid w:val="0"/>
        <w:spacing w:line="460" w:lineRule="exact"/>
        <w:ind w:firstLine="480" w:firstLineChars="200"/>
        <w:jc w:val="left"/>
        <w:rPr>
          <w:rFonts w:hint="eastAsia" w:ascii="宋体" w:hAnsi="宋体" w:cs="宋体"/>
          <w:kern w:val="0"/>
          <w:sz w:val="24"/>
          <w:highlight w:val="none"/>
        </w:rPr>
      </w:pPr>
    </w:p>
    <w:p w14:paraId="50925F81">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64F923FA">
      <w:pPr>
        <w:widowControl/>
        <w:wordWrap w:val="0"/>
        <w:spacing w:line="460" w:lineRule="exact"/>
        <w:ind w:firstLine="4800" w:firstLineChars="2000"/>
        <w:jc w:val="left"/>
        <w:rPr>
          <w:rFonts w:hint="eastAsia" w:ascii="宋体" w:hAnsi="宋体" w:cs="宋体"/>
          <w:kern w:val="0"/>
          <w:sz w:val="24"/>
          <w:highlight w:val="none"/>
        </w:rPr>
      </w:pPr>
    </w:p>
    <w:p w14:paraId="44E60B7B">
      <w:pPr>
        <w:widowControl/>
        <w:wordWrap w:val="0"/>
        <w:spacing w:line="360" w:lineRule="auto"/>
        <w:jc w:val="center"/>
        <w:rPr>
          <w:rFonts w:hint="eastAsia" w:ascii="宋体" w:hAnsi="宋体" w:cs="宋体"/>
          <w:kern w:val="0"/>
          <w:sz w:val="24"/>
          <w:highlight w:val="none"/>
        </w:rPr>
      </w:pPr>
    </w:p>
    <w:p w14:paraId="48534978">
      <w:pPr>
        <w:widowControl/>
        <w:wordWrap w:val="0"/>
        <w:spacing w:line="360" w:lineRule="auto"/>
        <w:jc w:val="right"/>
        <w:rPr>
          <w:rFonts w:hint="eastAsia" w:ascii="宋体" w:hAnsi="宋体" w:cs="宋体"/>
          <w:kern w:val="0"/>
          <w:sz w:val="24"/>
          <w:highlight w:val="none"/>
        </w:rPr>
      </w:pPr>
    </w:p>
    <w:p w14:paraId="3E366DFD">
      <w:pPr>
        <w:widowControl/>
        <w:wordWrap w:val="0"/>
        <w:spacing w:line="360" w:lineRule="auto"/>
        <w:jc w:val="right"/>
        <w:rPr>
          <w:rFonts w:hint="eastAsia" w:ascii="宋体" w:hAnsi="宋体" w:cs="宋体"/>
          <w:kern w:val="0"/>
          <w:sz w:val="24"/>
          <w:highlight w:val="none"/>
        </w:rPr>
      </w:pPr>
    </w:p>
    <w:p w14:paraId="4926643E">
      <w:pPr>
        <w:widowControl/>
        <w:wordWrap w:val="0"/>
        <w:spacing w:line="360" w:lineRule="auto"/>
        <w:jc w:val="right"/>
        <w:rPr>
          <w:rFonts w:hint="eastAsia" w:ascii="宋体" w:hAnsi="宋体" w:cs="宋体"/>
          <w:kern w:val="0"/>
          <w:sz w:val="24"/>
          <w:highlight w:val="none"/>
        </w:rPr>
      </w:pPr>
    </w:p>
    <w:p w14:paraId="60E0767D">
      <w:pPr>
        <w:widowControl/>
        <w:wordWrap w:val="0"/>
        <w:spacing w:line="360" w:lineRule="auto"/>
        <w:jc w:val="right"/>
        <w:rPr>
          <w:rFonts w:hint="eastAsia" w:ascii="宋体" w:hAnsi="宋体" w:cs="宋体"/>
          <w:kern w:val="0"/>
          <w:sz w:val="24"/>
          <w:highlight w:val="none"/>
        </w:rPr>
      </w:pPr>
    </w:p>
    <w:p w14:paraId="1E2E7CB1">
      <w:pPr>
        <w:widowControl/>
        <w:wordWrap w:val="0"/>
        <w:spacing w:line="360" w:lineRule="auto"/>
        <w:jc w:val="right"/>
        <w:rPr>
          <w:rFonts w:hint="eastAsia" w:ascii="宋体" w:hAnsi="宋体" w:cs="宋体"/>
          <w:kern w:val="0"/>
          <w:sz w:val="24"/>
          <w:highlight w:val="none"/>
        </w:rPr>
      </w:pPr>
    </w:p>
    <w:p w14:paraId="78725FA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546EF579">
      <w:pPr>
        <w:widowControl/>
        <w:spacing w:line="360" w:lineRule="auto"/>
        <w:ind w:firstLine="7228" w:firstLineChars="2250"/>
        <w:jc w:val="left"/>
        <w:rPr>
          <w:rFonts w:hint="eastAsia" w:ascii="宋体" w:hAnsi="宋体" w:cs="宋体"/>
          <w:b/>
          <w:kern w:val="0"/>
          <w:sz w:val="32"/>
          <w:szCs w:val="32"/>
          <w:highlight w:val="none"/>
        </w:rPr>
      </w:pPr>
    </w:p>
    <w:p w14:paraId="3FCC0650">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111AFF5C">
      <w:pPr>
        <w:pStyle w:val="8"/>
        <w:snapToGrid w:val="0"/>
        <w:spacing w:before="159" w:after="20" w:line="360" w:lineRule="auto"/>
        <w:jc w:val="center"/>
        <w:rPr>
          <w:rFonts w:hint="eastAsia" w:ascii="宋体" w:hAnsi="宋体" w:eastAsia="宋体" w:cs="宋体"/>
          <w:sz w:val="28"/>
          <w:szCs w:val="28"/>
          <w:highlight w:val="none"/>
        </w:rPr>
      </w:pPr>
      <w:bookmarkStart w:id="91" w:name="_Toc18105"/>
      <w:bookmarkStart w:id="92" w:name="_Toc3342"/>
      <w:bookmarkStart w:id="93" w:name="_Toc24693"/>
      <w:r>
        <w:rPr>
          <w:rFonts w:hint="eastAsia" w:ascii="宋体" w:hAnsi="宋体" w:eastAsia="宋体" w:cs="宋体"/>
          <w:sz w:val="28"/>
          <w:szCs w:val="28"/>
          <w:highlight w:val="none"/>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highlight w:val="none"/>
        </w:rPr>
      </w:pPr>
    </w:p>
    <w:p w14:paraId="01A85557">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31DE9D1C">
      <w:pPr>
        <w:pStyle w:val="13"/>
        <w:spacing w:beforeAutospacing="0" w:afterAutospacing="0" w:line="480" w:lineRule="auto"/>
        <w:ind w:firstLine="470" w:firstLineChars="224"/>
        <w:jc w:val="both"/>
        <w:rPr>
          <w:rFonts w:hint="eastAsia"/>
          <w:bCs/>
          <w:sz w:val="21"/>
          <w:szCs w:val="21"/>
          <w:highlight w:val="none"/>
        </w:rPr>
      </w:pPr>
    </w:p>
    <w:p w14:paraId="443DFEFC">
      <w:pPr>
        <w:pStyle w:val="13"/>
        <w:spacing w:beforeAutospacing="0" w:afterAutospacing="0" w:line="480" w:lineRule="auto"/>
        <w:ind w:firstLine="470" w:firstLineChars="224"/>
        <w:jc w:val="both"/>
        <w:rPr>
          <w:rFonts w:hint="eastAsia"/>
          <w:bCs/>
          <w:sz w:val="21"/>
          <w:szCs w:val="21"/>
          <w:highlight w:val="none"/>
        </w:rPr>
      </w:pPr>
    </w:p>
    <w:p w14:paraId="196BD74A">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4" w:name="_Toc17966"/>
      <w:r>
        <w:rPr>
          <w:rFonts w:hint="eastAsia"/>
          <w:b/>
          <w:sz w:val="21"/>
          <w:szCs w:val="21"/>
          <w:highlight w:val="none"/>
        </w:rPr>
        <w:t>评分标准中需提供的证明材料</w:t>
      </w:r>
    </w:p>
    <w:p w14:paraId="592EE37C">
      <w:pPr>
        <w:pStyle w:val="13"/>
        <w:spacing w:beforeAutospacing="0" w:afterAutospacing="0" w:line="480" w:lineRule="auto"/>
        <w:ind w:firstLine="470" w:firstLineChars="224"/>
        <w:jc w:val="both"/>
        <w:rPr>
          <w:rFonts w:hint="eastAsia"/>
          <w:bCs/>
          <w:sz w:val="21"/>
          <w:szCs w:val="21"/>
          <w:highlight w:val="none"/>
        </w:rPr>
      </w:pPr>
    </w:p>
    <w:p w14:paraId="76D9EF53">
      <w:pPr>
        <w:pStyle w:val="13"/>
        <w:spacing w:beforeAutospacing="0" w:afterAutospacing="0" w:line="480" w:lineRule="auto"/>
        <w:ind w:firstLine="470" w:firstLineChars="224"/>
        <w:jc w:val="both"/>
        <w:rPr>
          <w:rFonts w:hint="eastAsia"/>
          <w:bCs/>
          <w:sz w:val="21"/>
          <w:szCs w:val="21"/>
          <w:highlight w:val="none"/>
        </w:rPr>
      </w:pPr>
    </w:p>
    <w:p w14:paraId="21BF36D8">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供应商认为其他需要提供的证明材料</w:t>
      </w:r>
    </w:p>
    <w:p w14:paraId="3FA7C154">
      <w:pPr>
        <w:pStyle w:val="13"/>
        <w:spacing w:beforeAutospacing="0" w:afterAutospacing="0" w:line="480" w:lineRule="auto"/>
        <w:ind w:firstLine="540" w:firstLineChars="224"/>
        <w:jc w:val="both"/>
        <w:rPr>
          <w:rFonts w:hint="eastAsia"/>
          <w:b/>
          <w:bCs/>
          <w:highlight w:val="none"/>
        </w:rPr>
      </w:pPr>
    </w:p>
    <w:p w14:paraId="21B08A96">
      <w:pPr>
        <w:pStyle w:val="13"/>
        <w:spacing w:beforeAutospacing="0" w:afterAutospacing="0" w:line="480" w:lineRule="auto"/>
        <w:ind w:firstLine="540" w:firstLineChars="224"/>
        <w:jc w:val="both"/>
        <w:rPr>
          <w:rFonts w:hint="eastAsia"/>
          <w:b/>
          <w:bCs/>
          <w:highlight w:val="none"/>
        </w:rPr>
      </w:pPr>
    </w:p>
    <w:p w14:paraId="0CC15285">
      <w:pPr>
        <w:pStyle w:val="13"/>
        <w:spacing w:beforeAutospacing="0" w:afterAutospacing="0" w:line="480" w:lineRule="auto"/>
        <w:ind w:firstLine="540" w:firstLineChars="224"/>
        <w:jc w:val="both"/>
        <w:rPr>
          <w:rFonts w:hint="eastAsia"/>
          <w:b/>
          <w:bCs/>
          <w:highlight w:val="none"/>
        </w:rPr>
      </w:pPr>
    </w:p>
    <w:p w14:paraId="6F876A5E">
      <w:pPr>
        <w:pStyle w:val="13"/>
        <w:spacing w:beforeAutospacing="0" w:afterAutospacing="0" w:line="480" w:lineRule="auto"/>
        <w:ind w:firstLine="540" w:firstLineChars="224"/>
        <w:jc w:val="both"/>
        <w:rPr>
          <w:rFonts w:hint="eastAsia"/>
          <w:b/>
          <w:bCs/>
          <w:highlight w:val="none"/>
        </w:rPr>
      </w:pPr>
    </w:p>
    <w:p w14:paraId="39087EE0">
      <w:pPr>
        <w:pStyle w:val="13"/>
        <w:spacing w:beforeAutospacing="0" w:afterAutospacing="0" w:line="480" w:lineRule="auto"/>
        <w:ind w:firstLine="540" w:firstLineChars="224"/>
        <w:jc w:val="both"/>
        <w:rPr>
          <w:rFonts w:hint="eastAsia"/>
          <w:b/>
          <w:bCs/>
          <w:highlight w:val="none"/>
        </w:rPr>
      </w:pPr>
    </w:p>
    <w:p w14:paraId="15F8326A">
      <w:pPr>
        <w:pStyle w:val="13"/>
        <w:spacing w:beforeAutospacing="0" w:afterAutospacing="0" w:line="480" w:lineRule="auto"/>
        <w:ind w:firstLine="540" w:firstLineChars="224"/>
        <w:jc w:val="both"/>
        <w:rPr>
          <w:rFonts w:hint="eastAsia"/>
          <w:b/>
          <w:bCs/>
          <w:highlight w:val="none"/>
        </w:rPr>
      </w:pPr>
    </w:p>
    <w:p w14:paraId="6DB2DA95">
      <w:pPr>
        <w:pStyle w:val="13"/>
        <w:spacing w:beforeAutospacing="0" w:afterAutospacing="0" w:line="480" w:lineRule="auto"/>
        <w:ind w:firstLine="540" w:firstLineChars="224"/>
        <w:jc w:val="both"/>
        <w:rPr>
          <w:rFonts w:hint="eastAsia"/>
          <w:b/>
          <w:bCs/>
          <w:highlight w:val="none"/>
        </w:rPr>
      </w:pPr>
    </w:p>
    <w:p w14:paraId="01786A50">
      <w:pPr>
        <w:pStyle w:val="13"/>
        <w:spacing w:beforeAutospacing="0" w:afterAutospacing="0" w:line="480" w:lineRule="auto"/>
        <w:ind w:firstLine="540" w:firstLineChars="224"/>
        <w:jc w:val="both"/>
        <w:rPr>
          <w:rFonts w:hint="eastAsia"/>
          <w:b/>
          <w:bCs/>
          <w:highlight w:val="none"/>
        </w:rPr>
      </w:pPr>
    </w:p>
    <w:p w14:paraId="03932CFF">
      <w:pPr>
        <w:pStyle w:val="13"/>
        <w:spacing w:beforeAutospacing="0" w:afterAutospacing="0" w:line="480" w:lineRule="auto"/>
        <w:ind w:firstLine="540" w:firstLineChars="224"/>
        <w:jc w:val="both"/>
        <w:rPr>
          <w:rFonts w:hint="eastAsia"/>
          <w:b/>
          <w:bCs/>
          <w:highlight w:val="none"/>
        </w:rPr>
      </w:pPr>
    </w:p>
    <w:p w14:paraId="4031F360">
      <w:pPr>
        <w:pStyle w:val="13"/>
        <w:spacing w:beforeAutospacing="0" w:afterAutospacing="0" w:line="480" w:lineRule="auto"/>
        <w:ind w:firstLine="540" w:firstLineChars="224"/>
        <w:jc w:val="both"/>
        <w:rPr>
          <w:rFonts w:hint="eastAsia"/>
          <w:b/>
          <w:bCs/>
          <w:highlight w:val="none"/>
        </w:rPr>
      </w:pPr>
    </w:p>
    <w:p w14:paraId="57528CD0">
      <w:pPr>
        <w:pStyle w:val="13"/>
        <w:spacing w:beforeAutospacing="0" w:afterAutospacing="0" w:line="480" w:lineRule="auto"/>
        <w:ind w:firstLine="540" w:firstLineChars="224"/>
        <w:jc w:val="both"/>
        <w:rPr>
          <w:rFonts w:hint="eastAsia"/>
          <w:b/>
          <w:bCs/>
          <w:highlight w:val="none"/>
        </w:rPr>
      </w:pPr>
    </w:p>
    <w:p w14:paraId="14F0E779">
      <w:pPr>
        <w:pStyle w:val="13"/>
        <w:spacing w:beforeAutospacing="0" w:afterAutospacing="0" w:line="480" w:lineRule="auto"/>
        <w:ind w:firstLine="540" w:firstLineChars="224"/>
        <w:jc w:val="both"/>
        <w:rPr>
          <w:rFonts w:hint="eastAsia"/>
          <w:b/>
          <w:bCs/>
          <w:highlight w:val="none"/>
        </w:rPr>
      </w:pPr>
    </w:p>
    <w:p w14:paraId="78ECD39C">
      <w:pPr>
        <w:pStyle w:val="13"/>
        <w:spacing w:beforeAutospacing="0" w:afterAutospacing="0" w:line="480" w:lineRule="auto"/>
        <w:ind w:firstLine="540" w:firstLineChars="224"/>
        <w:jc w:val="both"/>
        <w:rPr>
          <w:rFonts w:hint="eastAsia"/>
          <w:b/>
          <w:bCs/>
          <w:highlight w:val="none"/>
        </w:rPr>
      </w:pPr>
    </w:p>
    <w:p w14:paraId="307F12E4">
      <w:pPr>
        <w:pStyle w:val="8"/>
        <w:snapToGrid w:val="0"/>
        <w:spacing w:before="159" w:after="20" w:line="360" w:lineRule="auto"/>
        <w:jc w:val="center"/>
        <w:rPr>
          <w:rFonts w:hint="eastAsia" w:ascii="宋体" w:hAnsi="宋体" w:eastAsia="宋体" w:cs="宋体"/>
          <w:sz w:val="28"/>
          <w:szCs w:val="28"/>
          <w:highlight w:val="none"/>
        </w:rPr>
      </w:pPr>
      <w:bookmarkStart w:id="95" w:name="_Toc12888"/>
      <w:bookmarkStart w:id="96" w:name="_Toc13726"/>
      <w:bookmarkStart w:id="97" w:name="_Toc16083"/>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16047B30">
      <w:pPr>
        <w:rPr>
          <w:rFonts w:hint="eastAsia" w:ascii="宋体" w:hAnsi="宋体" w:cs="宋体"/>
          <w:highlight w:val="none"/>
        </w:rPr>
      </w:pPr>
    </w:p>
    <w:p w14:paraId="44F6A96B">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我院（以下简称甲方）组织的本次采购，在遵守《招标投标法》、《政府采购法》、《</w:t>
      </w:r>
      <w:r>
        <w:rPr>
          <w:rFonts w:hint="eastAsia" w:ascii="宋体" w:hAnsi="宋体" w:cs="宋体"/>
          <w:szCs w:val="21"/>
          <w:highlight w:val="none"/>
          <w:lang w:val="en-US" w:eastAsia="zh-CN"/>
        </w:rPr>
        <w:t>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73B7A9A3">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highlight w:val="none"/>
        </w:rPr>
      </w:pPr>
    </w:p>
    <w:p w14:paraId="23B059C6">
      <w:pPr>
        <w:snapToGrid w:val="0"/>
        <w:spacing w:line="480" w:lineRule="auto"/>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AB28A">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464EB3F2">
      <w:pPr>
        <w:snapToGrid w:val="0"/>
        <w:spacing w:line="480" w:lineRule="auto"/>
        <w:rPr>
          <w:rFonts w:hint="eastAsia" w:ascii="宋体" w:hAnsi="宋体" w:cs="宋体"/>
          <w:sz w:val="28"/>
          <w:szCs w:val="28"/>
          <w:highlight w:val="none"/>
        </w:rPr>
      </w:pPr>
      <w:r>
        <w:rPr>
          <w:rFonts w:hint="eastAsia" w:ascii="宋体" w:hAnsi="宋体" w:cs="宋体"/>
          <w:szCs w:val="21"/>
          <w:highlight w:val="none"/>
        </w:rPr>
        <w:t xml:space="preserve">      年   月   日</w:t>
      </w:r>
    </w:p>
    <w:p w14:paraId="545A1F22">
      <w:pPr>
        <w:widowControl/>
        <w:spacing w:line="360" w:lineRule="auto"/>
        <w:ind w:firstLine="4305" w:firstLineChars="2050"/>
        <w:jc w:val="left"/>
        <w:rPr>
          <w:rFonts w:hint="eastAsia" w:ascii="宋体" w:hAnsi="宋体" w:cs="宋体"/>
          <w:kern w:val="0"/>
          <w:szCs w:val="21"/>
          <w:highlight w:val="none"/>
        </w:rPr>
      </w:pPr>
    </w:p>
    <w:p w14:paraId="20693B7D">
      <w:pPr>
        <w:pStyle w:val="33"/>
        <w:ind w:firstLine="210"/>
        <w:rPr>
          <w:rFonts w:hint="eastAsia" w:ascii="宋体" w:hAnsi="宋体" w:cs="宋体"/>
          <w:kern w:val="0"/>
          <w:highlight w:val="none"/>
        </w:rPr>
      </w:pPr>
    </w:p>
    <w:p w14:paraId="001BDF9D">
      <w:pPr>
        <w:pStyle w:val="6"/>
        <w:ind w:firstLine="480"/>
        <w:rPr>
          <w:rFonts w:hint="eastAsia"/>
          <w:szCs w:val="21"/>
          <w:highlight w:val="none"/>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6236DE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6E062C1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7DD60A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1764822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5E24DB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5CC31C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5E56F00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4843D38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D15B8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5617D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825FB5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5F08975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highlight w:val="none"/>
        </w:rPr>
      </w:pPr>
    </w:p>
    <w:p w14:paraId="02A5E894">
      <w:pPr>
        <w:snapToGrid w:val="0"/>
        <w:spacing w:line="480" w:lineRule="auto"/>
        <w:ind w:firstLine="630" w:firstLineChars="3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4214C0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2C6F75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AFF577B">
      <w:pPr>
        <w:snapToGrid w:val="0"/>
        <w:spacing w:line="360" w:lineRule="auto"/>
        <w:ind w:firstLine="641"/>
        <w:rPr>
          <w:rFonts w:hint="eastAsia" w:ascii="宋体" w:hAnsi="宋体" w:cs="宋体"/>
          <w:szCs w:val="21"/>
          <w:highlight w:val="none"/>
        </w:rPr>
      </w:pPr>
    </w:p>
    <w:p w14:paraId="40CBEEE9">
      <w:pPr>
        <w:snapToGrid w:val="0"/>
        <w:spacing w:line="360" w:lineRule="auto"/>
        <w:ind w:firstLine="641"/>
        <w:rPr>
          <w:rFonts w:hint="eastAsia" w:ascii="宋体" w:hAnsi="宋体" w:cs="宋体"/>
          <w:szCs w:val="21"/>
          <w:highlight w:val="none"/>
        </w:rPr>
      </w:pPr>
    </w:p>
    <w:p w14:paraId="6A9949B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highlight w:val="none"/>
        </w:rPr>
      </w:pPr>
      <w:bookmarkStart w:id="98" w:name="_Toc23394"/>
      <w:bookmarkStart w:id="99" w:name="_Toc31685"/>
      <w:bookmarkStart w:id="100" w:name="_Toc25094"/>
    </w:p>
    <w:p w14:paraId="3CFFB9D7">
      <w:pPr>
        <w:pStyle w:val="8"/>
        <w:snapToGrid w:val="0"/>
        <w:spacing w:before="159"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rPr>
        <w:rFonts w:hint="eastAsia" w:eastAsia="宋体"/>
        <w:lang w:eastAsia="zh-CN"/>
      </w:rPr>
    </w:pPr>
    <w:r>
      <w:rPr>
        <w:rFonts w:hint="eastAsia" w:ascii="宋体" w:hAnsi="宋体" w:cs="宋体"/>
        <w:szCs w:val="21"/>
        <w:shd w:val="clear" w:color="auto" w:fill="FFFFFF"/>
      </w:rPr>
      <w:t>驻马店市中心医院西门子3.0T磁共振液氦及氦气采购项目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三次</w:t>
    </w:r>
    <w:r>
      <w:rPr>
        <w:rFonts w:hint="eastAsia" w:ascii="宋体" w:hAnsi="宋体" w:cs="宋体"/>
        <w:szCs w:val="21"/>
        <w:shd w:val="clear" w:color="auto" w:fill="FFFFFF"/>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6A41"/>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6D58B6"/>
    <w:rsid w:val="09737462"/>
    <w:rsid w:val="09864BCA"/>
    <w:rsid w:val="099156C3"/>
    <w:rsid w:val="09A33F5B"/>
    <w:rsid w:val="09A53F39"/>
    <w:rsid w:val="09A60E13"/>
    <w:rsid w:val="09A82D92"/>
    <w:rsid w:val="09AB2883"/>
    <w:rsid w:val="09C35E1E"/>
    <w:rsid w:val="09CD0A4B"/>
    <w:rsid w:val="09D206F0"/>
    <w:rsid w:val="0A1A3B9F"/>
    <w:rsid w:val="0A321AC2"/>
    <w:rsid w:val="0A343D4E"/>
    <w:rsid w:val="0A344626"/>
    <w:rsid w:val="0A3E6D2E"/>
    <w:rsid w:val="0A4232E4"/>
    <w:rsid w:val="0A47666A"/>
    <w:rsid w:val="0A4F145F"/>
    <w:rsid w:val="0A8455AD"/>
    <w:rsid w:val="0A8729A8"/>
    <w:rsid w:val="0ABA2D7D"/>
    <w:rsid w:val="0AD13A85"/>
    <w:rsid w:val="0AE0655C"/>
    <w:rsid w:val="0B091954"/>
    <w:rsid w:val="0B195776"/>
    <w:rsid w:val="0B1A7CC0"/>
    <w:rsid w:val="0B281722"/>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A6E3A"/>
    <w:rsid w:val="0CAC4D10"/>
    <w:rsid w:val="0CC53C5B"/>
    <w:rsid w:val="0CC72121"/>
    <w:rsid w:val="0CEE5A21"/>
    <w:rsid w:val="0D05268E"/>
    <w:rsid w:val="0D0646E7"/>
    <w:rsid w:val="0D06669E"/>
    <w:rsid w:val="0D0C38CA"/>
    <w:rsid w:val="0D206810"/>
    <w:rsid w:val="0D240982"/>
    <w:rsid w:val="0D4861FD"/>
    <w:rsid w:val="0D725B91"/>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3F7CF5"/>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45539"/>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B85B3D"/>
    <w:rsid w:val="11CC783A"/>
    <w:rsid w:val="11CD20A0"/>
    <w:rsid w:val="11D34654"/>
    <w:rsid w:val="11D735AD"/>
    <w:rsid w:val="11F50B3F"/>
    <w:rsid w:val="11FF1E6D"/>
    <w:rsid w:val="12010480"/>
    <w:rsid w:val="12040D82"/>
    <w:rsid w:val="120E707F"/>
    <w:rsid w:val="121D0051"/>
    <w:rsid w:val="12413D84"/>
    <w:rsid w:val="127A7D1C"/>
    <w:rsid w:val="12836D8B"/>
    <w:rsid w:val="12993BC0"/>
    <w:rsid w:val="129D5E80"/>
    <w:rsid w:val="12AB0349"/>
    <w:rsid w:val="12B66520"/>
    <w:rsid w:val="12CD57F1"/>
    <w:rsid w:val="12CE5941"/>
    <w:rsid w:val="12CE7AFA"/>
    <w:rsid w:val="12D67466"/>
    <w:rsid w:val="12E3308D"/>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7AC9"/>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130B8"/>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6D719E"/>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D0CED"/>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BD58E0"/>
    <w:rsid w:val="22C05285"/>
    <w:rsid w:val="22C735BD"/>
    <w:rsid w:val="22CF0F38"/>
    <w:rsid w:val="22D729A8"/>
    <w:rsid w:val="22F06957"/>
    <w:rsid w:val="23057681"/>
    <w:rsid w:val="23122833"/>
    <w:rsid w:val="231D4917"/>
    <w:rsid w:val="23223458"/>
    <w:rsid w:val="23225D32"/>
    <w:rsid w:val="233555C9"/>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CF521F"/>
    <w:rsid w:val="24D00598"/>
    <w:rsid w:val="24D725E9"/>
    <w:rsid w:val="24EC31CF"/>
    <w:rsid w:val="25045F70"/>
    <w:rsid w:val="250474F1"/>
    <w:rsid w:val="25056E93"/>
    <w:rsid w:val="25092EBA"/>
    <w:rsid w:val="250E5D48"/>
    <w:rsid w:val="25241020"/>
    <w:rsid w:val="25302410"/>
    <w:rsid w:val="255B6AB3"/>
    <w:rsid w:val="257572C3"/>
    <w:rsid w:val="25790E85"/>
    <w:rsid w:val="257A33DD"/>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150D8"/>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9F4120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B45BB2"/>
    <w:rsid w:val="2ED61D9E"/>
    <w:rsid w:val="2EDC2A13"/>
    <w:rsid w:val="2EF73CF0"/>
    <w:rsid w:val="2EFD7DB9"/>
    <w:rsid w:val="2EFE0BDB"/>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27575"/>
    <w:rsid w:val="2F9B4F5A"/>
    <w:rsid w:val="2FA54796"/>
    <w:rsid w:val="2FA674E2"/>
    <w:rsid w:val="2FEE6EA1"/>
    <w:rsid w:val="2FF975F4"/>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3E5C07"/>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21327"/>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7D1296"/>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BF16F2"/>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42BF3"/>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4C7741"/>
    <w:rsid w:val="3F5175E2"/>
    <w:rsid w:val="3F56276A"/>
    <w:rsid w:val="3F6C10E0"/>
    <w:rsid w:val="3F963015"/>
    <w:rsid w:val="3F964D35"/>
    <w:rsid w:val="3FA327ED"/>
    <w:rsid w:val="3FB11738"/>
    <w:rsid w:val="3FB5581B"/>
    <w:rsid w:val="3FBB6674"/>
    <w:rsid w:val="3FC33D05"/>
    <w:rsid w:val="3FF34060"/>
    <w:rsid w:val="3FF46B18"/>
    <w:rsid w:val="3FF74A2E"/>
    <w:rsid w:val="3FFC36E2"/>
    <w:rsid w:val="4005572D"/>
    <w:rsid w:val="4025758F"/>
    <w:rsid w:val="402833BA"/>
    <w:rsid w:val="40283C2B"/>
    <w:rsid w:val="40324B88"/>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252782"/>
    <w:rsid w:val="4331401E"/>
    <w:rsid w:val="43486FC5"/>
    <w:rsid w:val="43591DDA"/>
    <w:rsid w:val="435A0DF2"/>
    <w:rsid w:val="436C42E1"/>
    <w:rsid w:val="437102E7"/>
    <w:rsid w:val="437C210F"/>
    <w:rsid w:val="43847F02"/>
    <w:rsid w:val="438F113C"/>
    <w:rsid w:val="439E7EFB"/>
    <w:rsid w:val="43B1568A"/>
    <w:rsid w:val="43B64E08"/>
    <w:rsid w:val="43BD7F58"/>
    <w:rsid w:val="43C755E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10046"/>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AC4F69"/>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0842E1"/>
    <w:rsid w:val="492108CC"/>
    <w:rsid w:val="49413F52"/>
    <w:rsid w:val="494F6304"/>
    <w:rsid w:val="49792B95"/>
    <w:rsid w:val="498D2E30"/>
    <w:rsid w:val="49E113CD"/>
    <w:rsid w:val="49F11610"/>
    <w:rsid w:val="4A05334F"/>
    <w:rsid w:val="4A060864"/>
    <w:rsid w:val="4A244932"/>
    <w:rsid w:val="4A2922C8"/>
    <w:rsid w:val="4A4117B2"/>
    <w:rsid w:val="4A4A6F73"/>
    <w:rsid w:val="4A7A4350"/>
    <w:rsid w:val="4A7B1703"/>
    <w:rsid w:val="4A7E2497"/>
    <w:rsid w:val="4A896826"/>
    <w:rsid w:val="4AB746EB"/>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30DFF"/>
    <w:rsid w:val="4CB75F07"/>
    <w:rsid w:val="4CC84335"/>
    <w:rsid w:val="4CD22B0F"/>
    <w:rsid w:val="4CDA3E72"/>
    <w:rsid w:val="4CE4545C"/>
    <w:rsid w:val="4CE9350A"/>
    <w:rsid w:val="4D014937"/>
    <w:rsid w:val="4D136C72"/>
    <w:rsid w:val="4D1E2466"/>
    <w:rsid w:val="4D225F85"/>
    <w:rsid w:val="4D297BF3"/>
    <w:rsid w:val="4D2D0EAF"/>
    <w:rsid w:val="4D75445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4F613CB"/>
    <w:rsid w:val="54F739E7"/>
    <w:rsid w:val="550B5550"/>
    <w:rsid w:val="551408A9"/>
    <w:rsid w:val="551D586C"/>
    <w:rsid w:val="55200298"/>
    <w:rsid w:val="55335E1B"/>
    <w:rsid w:val="5536079B"/>
    <w:rsid w:val="554B7EF0"/>
    <w:rsid w:val="556F3D99"/>
    <w:rsid w:val="55720837"/>
    <w:rsid w:val="55860894"/>
    <w:rsid w:val="558F6181"/>
    <w:rsid w:val="55B02DF1"/>
    <w:rsid w:val="55BC5477"/>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67666C"/>
    <w:rsid w:val="627D6831"/>
    <w:rsid w:val="62811B1C"/>
    <w:rsid w:val="6285768D"/>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1024B3"/>
    <w:rsid w:val="65365B2B"/>
    <w:rsid w:val="653A7EB8"/>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B2536"/>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146C72"/>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C0DB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CA1793"/>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4E426F"/>
    <w:rsid w:val="78546F0C"/>
    <w:rsid w:val="786778FE"/>
    <w:rsid w:val="78970D25"/>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E91D0C"/>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30969"/>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15855</Words>
  <Characters>16637</Characters>
  <Lines>193</Lines>
  <Paragraphs>54</Paragraphs>
  <TotalTime>1</TotalTime>
  <ScaleCrop>false</ScaleCrop>
  <LinksUpToDate>false</LinksUpToDate>
  <CharactersWithSpaces>17695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2025-12-15T06:39:35Z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2B0BF848C02345B2B56CD5EAF17BF1D8_13</vt:lpwstr>
  </property>
  <property fmtid="{D5CDD505-2E9C-101B-9397-08002B2CF9AE}" pid="4" name="KSOTemplateDocerSaveRecord">
    <vt:lpwstr>eyJoZGlkIjoiMzU0MTZjMjFkMjFjOGMwYTIzNWEzZDljNjYxZWI0MmYiLCJ1c2VySWQiOiIxNjg0NTc5MjM2In0=</vt:lpwstr>
  </property>
</Properties>
</file>