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驻马店市中心医院机房及网络设备维保项目</w:t>
      </w:r>
    </w:p>
    <w:p w14:paraId="20826E73">
      <w:pPr>
        <w:pStyle w:val="20"/>
        <w:bidi w:val="0"/>
        <w:jc w:val="center"/>
        <w:rPr>
          <w:rStyle w:val="44"/>
          <w:rFonts w:hint="eastAsia" w:ascii="宋体" w:hAnsi="宋体" w:eastAsia="宋体" w:cs="宋体"/>
          <w:b/>
          <w:bCs/>
          <w:color w:val="auto"/>
          <w:sz w:val="48"/>
          <w:szCs w:val="48"/>
          <w:highlight w:val="none"/>
        </w:rPr>
      </w:pPr>
    </w:p>
    <w:p w14:paraId="7BED1318">
      <w:pPr>
        <w:pStyle w:val="20"/>
        <w:bidi w:val="0"/>
        <w:jc w:val="center"/>
        <w:rPr>
          <w:rStyle w:val="44"/>
          <w:rFonts w:hint="eastAsia" w:ascii="宋体" w:hAnsi="宋体" w:eastAsia="宋体" w:cs="宋体"/>
          <w:b/>
          <w:bCs/>
          <w:color w:val="auto"/>
          <w:sz w:val="48"/>
          <w:szCs w:val="48"/>
          <w:highlight w:val="none"/>
        </w:rPr>
      </w:pPr>
    </w:p>
    <w:p w14:paraId="0E3B3126">
      <w:pPr>
        <w:pStyle w:val="20"/>
        <w:bidi w:val="0"/>
        <w:jc w:val="center"/>
        <w:rPr>
          <w:rStyle w:val="44"/>
          <w:rFonts w:hint="eastAsia" w:ascii="宋体" w:hAnsi="宋体" w:eastAsia="宋体" w:cs="宋体"/>
          <w:b/>
          <w:bCs/>
          <w:color w:val="auto"/>
          <w:sz w:val="48"/>
          <w:szCs w:val="48"/>
          <w:highlight w:val="none"/>
        </w:rPr>
      </w:pPr>
    </w:p>
    <w:p w14:paraId="08348EA2">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 xml:space="preserve"> 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驻马店市中心医院机房及网络设备维保项目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机房及网络设备维保</w:t>
      </w:r>
      <w:r>
        <w:rPr>
          <w:rFonts w:hint="eastAsia" w:ascii="宋体" w:hAnsi="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驻马店市中心医院机房及网络设备维保项目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、预算金额：35万元</w:t>
      </w:r>
      <w:r>
        <w:rPr>
          <w:rFonts w:hint="eastAsia" w:ascii="宋体" w:hAnsi="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4、服务期限</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自合同生效之日起1年</w:t>
      </w:r>
      <w:r>
        <w:rPr>
          <w:rFonts w:hint="eastAsia" w:ascii="宋体" w:hAnsi="宋体" w:cs="宋体"/>
          <w:color w:val="auto"/>
          <w:szCs w:val="21"/>
          <w:highlight w:val="none"/>
          <w:shd w:val="clear" w:color="auto" w:fill="FFFFFF"/>
          <w:lang w:val="en-US"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9562"/>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w:t>
      </w:r>
      <w:bookmarkStart w:id="100" w:name="_GoBack"/>
      <w:bookmarkEnd w:id="100"/>
      <w:r>
        <w:rPr>
          <w:rFonts w:hint="eastAsia" w:ascii="宋体" w:hAnsi="宋体" w:eastAsia="宋体" w:cs="宋体"/>
          <w:color w:val="auto"/>
          <w:szCs w:val="21"/>
          <w:highlight w:val="none"/>
          <w:shd w:val="clear" w:color="auto" w:fill="FFFFFF"/>
          <w:lang w:val="en-US" w:eastAsia="zh-CN"/>
        </w:rPr>
        <w:t>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25869"/>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5382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4708D7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32C245C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3BD3B60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4B25EC9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18E7F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一、项目名称：驻马店市中心医院机房及网络设备维保项目</w:t>
      </w:r>
    </w:p>
    <w:p w14:paraId="10E847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18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90"/>
        <w:gridCol w:w="2139"/>
        <w:gridCol w:w="850"/>
        <w:gridCol w:w="967"/>
        <w:gridCol w:w="1384"/>
        <w:gridCol w:w="1110"/>
        <w:gridCol w:w="1088"/>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55" w:type="dxa"/>
            <w:vAlign w:val="center"/>
          </w:tcPr>
          <w:p w14:paraId="3F52256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vAlign w:val="center"/>
          </w:tcPr>
          <w:p w14:paraId="1C81871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088" w:type="dxa"/>
            <w:vAlign w:val="center"/>
          </w:tcPr>
          <w:p w14:paraId="0D5173F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3FA5EC0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机房及网络设备维保</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年</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自筹</w:t>
            </w:r>
          </w:p>
        </w:tc>
        <w:tc>
          <w:tcPr>
            <w:tcW w:w="1088"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538"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highlight w:val="none"/>
                <w:vertAlign w:val="baseline"/>
                <w:lang w:val="en-US" w:eastAsia="zh-CN"/>
              </w:rPr>
            </w:pPr>
          </w:p>
        </w:tc>
      </w:tr>
    </w:tbl>
    <w:p w14:paraId="028B9CE9">
      <w:pPr>
        <w:spacing w:line="360" w:lineRule="auto"/>
        <w:rPr>
          <w:rFonts w:hint="default"/>
          <w:b/>
          <w:bCs/>
          <w:color w:val="auto"/>
          <w:highlight w:val="none"/>
          <w:lang w:val="en-US" w:eastAsia="zh-CN"/>
        </w:rPr>
      </w:pPr>
      <w:r>
        <w:rPr>
          <w:rFonts w:hint="eastAsia"/>
          <w:b/>
          <w:bCs/>
          <w:color w:val="auto"/>
          <w:highlight w:val="none"/>
          <w:lang w:val="en-US" w:eastAsia="zh-CN"/>
        </w:rPr>
        <w:t>三、技术要求</w:t>
      </w:r>
    </w:p>
    <w:p w14:paraId="45EA3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lang w:val="en-US" w:eastAsia="zh-CN"/>
        </w:rPr>
        <w:t>服务目录</w:t>
      </w:r>
    </w:p>
    <w:p w14:paraId="0B7A6DCA">
      <w:pPr>
        <w:pStyle w:val="16"/>
        <w:keepNext w:val="0"/>
        <w:keepLines w:val="0"/>
        <w:pageBreakBefore w:val="0"/>
        <w:widowControl w:val="0"/>
        <w:kinsoku/>
        <w:wordWrap/>
        <w:overflowPunct/>
        <w:topLinePunct w:val="0"/>
        <w:autoSpaceDE/>
        <w:autoSpaceDN/>
        <w:bidi w:val="0"/>
        <w:adjustRightInd/>
        <w:snapToGrid w:val="0"/>
        <w:spacing w:before="161" w:beforeLines="50" w:beforeAutospacing="0" w:after="161" w:afterLines="50" w:afterAutospacing="0" w:line="240" w:lineRule="auto"/>
        <w:ind w:left="0" w:leftChars="0" w:firstLine="420" w:firstLineChars="200"/>
        <w:textAlignment w:val="auto"/>
        <w:rPr>
          <w:rFonts w:hint="eastAsia"/>
          <w:highlight w:val="none"/>
          <w:lang w:val="en-US" w:eastAsia="zh-CN"/>
        </w:rPr>
      </w:pPr>
      <w:r>
        <w:rPr>
          <w:rFonts w:hint="eastAsia" w:cs="宋体"/>
          <w:b w:val="0"/>
          <w:bCs/>
          <w:sz w:val="21"/>
          <w:szCs w:val="21"/>
          <w:highlight w:val="none"/>
          <w:lang w:val="en-US" w:eastAsia="zh-CN"/>
        </w:rPr>
        <w:t>以下</w:t>
      </w:r>
      <w:r>
        <w:rPr>
          <w:rFonts w:hint="eastAsia" w:ascii="宋体" w:hAnsi="宋体" w:eastAsia="宋体" w:cs="宋体"/>
          <w:sz w:val="21"/>
          <w:szCs w:val="21"/>
          <w:highlight w:val="none"/>
          <w:lang w:val="en-US" w:eastAsia="zh-CN"/>
        </w:rPr>
        <w:t>目录所有项为本次维保服务基础要求</w:t>
      </w:r>
      <w:r>
        <w:rPr>
          <w:rFonts w:hint="eastAsia" w:cs="宋体"/>
          <w:sz w:val="21"/>
          <w:szCs w:val="21"/>
          <w:highlight w:val="none"/>
          <w:lang w:val="en-US" w:eastAsia="zh-CN"/>
        </w:rPr>
        <w:t>：</w:t>
      </w:r>
    </w:p>
    <w:tbl>
      <w:tblPr>
        <w:tblStyle w:val="33"/>
        <w:tblW w:w="4954"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57"/>
        <w:gridCol w:w="857"/>
        <w:gridCol w:w="6901"/>
      </w:tblGrid>
      <w:tr w14:paraId="56B5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16" w:type="pct"/>
            <w:noWrap w:val="0"/>
            <w:vAlign w:val="center"/>
          </w:tcPr>
          <w:p w14:paraId="213D22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416" w:type="pct"/>
            <w:noWrap w:val="0"/>
            <w:vAlign w:val="center"/>
          </w:tcPr>
          <w:p w14:paraId="568D80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服务分类</w:t>
            </w:r>
          </w:p>
        </w:tc>
        <w:tc>
          <w:tcPr>
            <w:tcW w:w="471" w:type="pct"/>
            <w:noWrap w:val="0"/>
            <w:vAlign w:val="center"/>
          </w:tcPr>
          <w:p w14:paraId="7C8DE3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服务项目</w:t>
            </w:r>
          </w:p>
        </w:tc>
        <w:tc>
          <w:tcPr>
            <w:tcW w:w="3796" w:type="pct"/>
            <w:noWrap w:val="0"/>
            <w:vAlign w:val="center"/>
          </w:tcPr>
          <w:p w14:paraId="17346C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服务内容及要求</w:t>
            </w:r>
          </w:p>
        </w:tc>
      </w:tr>
      <w:tr w14:paraId="0602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3B49F1B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6" w:type="pct"/>
            <w:vMerge w:val="restart"/>
            <w:noWrap/>
            <w:vAlign w:val="center"/>
          </w:tcPr>
          <w:p w14:paraId="426A105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例行操作</w:t>
            </w:r>
          </w:p>
        </w:tc>
        <w:tc>
          <w:tcPr>
            <w:tcW w:w="471" w:type="pct"/>
            <w:noWrap/>
            <w:vAlign w:val="center"/>
          </w:tcPr>
          <w:p w14:paraId="42014AC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监控</w:t>
            </w:r>
          </w:p>
        </w:tc>
        <w:tc>
          <w:tcPr>
            <w:tcW w:w="3796" w:type="pct"/>
            <w:noWrap w:val="0"/>
            <w:vAlign w:val="center"/>
          </w:tcPr>
          <w:p w14:paraId="552157C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服务内容：</w:t>
            </w:r>
            <w:r>
              <w:rPr>
                <w:rFonts w:hint="eastAsia" w:ascii="宋体" w:hAnsi="宋体" w:eastAsia="宋体" w:cs="宋体"/>
                <w:color w:val="000000"/>
                <w:kern w:val="0"/>
                <w:sz w:val="21"/>
                <w:szCs w:val="21"/>
                <w:highlight w:val="none"/>
              </w:rPr>
              <w:t>对</w:t>
            </w:r>
            <w:r>
              <w:rPr>
                <w:rFonts w:hint="eastAsia" w:ascii="宋体" w:hAnsi="宋体" w:eastAsia="宋体" w:cs="宋体"/>
                <w:color w:val="auto"/>
                <w:kern w:val="0"/>
                <w:sz w:val="21"/>
                <w:szCs w:val="21"/>
                <w:highlight w:val="none"/>
              </w:rPr>
              <w:t>服务范围内对象</w:t>
            </w:r>
            <w:r>
              <w:rPr>
                <w:rFonts w:hint="eastAsia" w:ascii="宋体" w:hAnsi="宋体" w:eastAsia="宋体" w:cs="宋体"/>
                <w:color w:val="000000"/>
                <w:kern w:val="0"/>
                <w:sz w:val="21"/>
                <w:szCs w:val="21"/>
                <w:highlight w:val="none"/>
              </w:rPr>
              <w:t>的运行指标、状态和趋势等进行监控。</w:t>
            </w:r>
          </w:p>
          <w:p w14:paraId="4FCCE6B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远程。</w:t>
            </w:r>
          </w:p>
          <w:p w14:paraId="365E9EB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7CAB421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服务频次：</w:t>
            </w:r>
            <w:r>
              <w:rPr>
                <w:rFonts w:hint="eastAsia" w:ascii="宋体" w:hAnsi="宋体" w:eastAsia="宋体" w:cs="宋体"/>
                <w:color w:val="000000"/>
                <w:kern w:val="0"/>
                <w:sz w:val="21"/>
                <w:szCs w:val="21"/>
                <w:highlight w:val="none"/>
              </w:rPr>
              <w:t>实时。</w:t>
            </w:r>
          </w:p>
          <w:p w14:paraId="60B0015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服务级别：</w:t>
            </w:r>
            <w:r>
              <w:rPr>
                <w:rFonts w:hint="eastAsia" w:ascii="宋体" w:hAnsi="宋体" w:eastAsia="宋体" w:cs="宋体"/>
                <w:b w:val="0"/>
                <w:bCs w:val="0"/>
                <w:color w:val="000000"/>
                <w:kern w:val="0"/>
                <w:sz w:val="21"/>
                <w:szCs w:val="21"/>
                <w:highlight w:val="none"/>
                <w:lang w:val="en-US" w:eastAsia="zh-CN"/>
              </w:rPr>
              <w:t>无。</w:t>
            </w:r>
          </w:p>
          <w:p w14:paraId="5DDA693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交付成果：</w:t>
            </w:r>
            <w:r>
              <w:rPr>
                <w:rFonts w:hint="eastAsia" w:ascii="宋体" w:hAnsi="宋体" w:eastAsia="宋体" w:cs="宋体"/>
                <w:color w:val="000000"/>
                <w:kern w:val="0"/>
                <w:sz w:val="21"/>
                <w:szCs w:val="21"/>
                <w:highlight w:val="none"/>
              </w:rPr>
              <w:t>《监控记录》。</w:t>
            </w:r>
          </w:p>
        </w:tc>
      </w:tr>
      <w:tr w14:paraId="7F8B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A224B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416" w:type="pct"/>
            <w:vMerge w:val="continue"/>
            <w:noWrap w:val="0"/>
            <w:vAlign w:val="center"/>
          </w:tcPr>
          <w:p w14:paraId="2EF98A5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626BD88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预防性检查</w:t>
            </w:r>
          </w:p>
        </w:tc>
        <w:tc>
          <w:tcPr>
            <w:tcW w:w="3796" w:type="pct"/>
            <w:noWrap w:val="0"/>
            <w:vAlign w:val="center"/>
          </w:tcPr>
          <w:p w14:paraId="68461D0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对服务范围内对象的监控记录、运行条件和运行状态进行巡检，发现其脆弱性，并及时消除或改进。</w:t>
            </w:r>
          </w:p>
          <w:p w14:paraId="2409405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p>
          <w:p w14:paraId="647A265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机房</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巡检每天1次。弱电间</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巡检每月</w:t>
            </w:r>
            <w:r>
              <w:rPr>
                <w:rFonts w:hint="eastAsia" w:ascii="宋体" w:hAnsi="宋体" w:eastAsia="宋体" w:cs="宋体"/>
                <w:color w:val="000000"/>
                <w:kern w:val="0"/>
                <w:sz w:val="21"/>
                <w:szCs w:val="21"/>
                <w:highlight w:val="none"/>
                <w:lang w:val="en-US" w:eastAsia="zh-CN"/>
              </w:rPr>
              <w:t>1次。</w:t>
            </w:r>
            <w:r>
              <w:rPr>
                <w:rFonts w:hint="eastAsia" w:ascii="宋体" w:hAnsi="宋体" w:eastAsia="宋体" w:cs="宋体"/>
                <w:color w:val="000000"/>
                <w:kern w:val="0"/>
                <w:sz w:val="21"/>
                <w:szCs w:val="21"/>
                <w:highlight w:val="none"/>
              </w:rPr>
              <w:t>网络、服务器、存储、安全</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资源</w:t>
            </w:r>
            <w:r>
              <w:rPr>
                <w:rFonts w:hint="eastAsia" w:ascii="宋体" w:hAnsi="宋体" w:eastAsia="宋体" w:cs="宋体"/>
                <w:color w:val="000000"/>
                <w:kern w:val="0"/>
                <w:sz w:val="21"/>
                <w:szCs w:val="21"/>
                <w:highlight w:val="none"/>
                <w:lang w:val="en-US" w:eastAsia="zh-CN"/>
              </w:rPr>
              <w:t>大型</w:t>
            </w:r>
            <w:r>
              <w:rPr>
                <w:rFonts w:hint="eastAsia" w:ascii="宋体" w:hAnsi="宋体" w:eastAsia="宋体" w:cs="宋体"/>
                <w:color w:val="000000"/>
                <w:kern w:val="0"/>
                <w:sz w:val="21"/>
                <w:szCs w:val="21"/>
                <w:highlight w:val="none"/>
              </w:rPr>
              <w:t>巡检每季度1次。</w:t>
            </w:r>
          </w:p>
          <w:p w14:paraId="036CE26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机房</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巡检每天上午完成。弱电间</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巡检每月上旬完成。网络、服务器、存储、安全</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资源</w:t>
            </w:r>
            <w:r>
              <w:rPr>
                <w:rFonts w:hint="eastAsia" w:ascii="宋体" w:hAnsi="宋体" w:eastAsia="宋体" w:cs="宋体"/>
                <w:color w:val="000000"/>
                <w:kern w:val="0"/>
                <w:sz w:val="21"/>
                <w:szCs w:val="21"/>
                <w:highlight w:val="none"/>
                <w:lang w:val="en-US" w:eastAsia="zh-CN"/>
              </w:rPr>
              <w:t>大型</w:t>
            </w:r>
            <w:r>
              <w:rPr>
                <w:rFonts w:hint="eastAsia" w:ascii="宋体" w:hAnsi="宋体" w:eastAsia="宋体" w:cs="宋体"/>
                <w:color w:val="000000"/>
                <w:kern w:val="0"/>
                <w:sz w:val="21"/>
                <w:szCs w:val="21"/>
                <w:highlight w:val="none"/>
              </w:rPr>
              <w:t>巡检每季度第1周完成</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color w:val="000000"/>
                <w:kern w:val="0"/>
                <w:sz w:val="21"/>
                <w:szCs w:val="21"/>
                <w:highlight w:val="none"/>
              </w:rPr>
              <w:t>《巡检记录》。</w:t>
            </w:r>
          </w:p>
        </w:tc>
      </w:tr>
      <w:tr w14:paraId="2DE7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70A341C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416" w:type="pct"/>
            <w:vMerge w:val="continue"/>
            <w:noWrap w:val="0"/>
            <w:vAlign w:val="center"/>
          </w:tcPr>
          <w:p w14:paraId="2F232C1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39CB6A6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常规作业</w:t>
            </w:r>
          </w:p>
        </w:tc>
        <w:tc>
          <w:tcPr>
            <w:tcW w:w="3796" w:type="pct"/>
            <w:noWrap w:val="0"/>
            <w:vAlign w:val="center"/>
          </w:tcPr>
          <w:p w14:paraId="1B94C89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对服务范围内对象进行日常维护，包括资产梳理、定期清洁、线路整理、标签整理、配置变更、定期备份与恢复验证、模板制作与维护、系统重启等。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数据备份</w:t>
            </w:r>
            <w:r>
              <w:rPr>
                <w:rFonts w:hint="eastAsia" w:ascii="宋体" w:hAnsi="宋体" w:eastAsia="宋体" w:cs="宋体"/>
                <w:color w:val="000000"/>
                <w:kern w:val="0"/>
                <w:sz w:val="21"/>
                <w:szCs w:val="21"/>
                <w:highlight w:val="none"/>
                <w:lang w:eastAsia="zh-CN"/>
              </w:rPr>
              <w:t>每日</w:t>
            </w:r>
            <w:r>
              <w:rPr>
                <w:rFonts w:hint="eastAsia" w:ascii="宋体" w:hAnsi="宋体" w:eastAsia="宋体" w:cs="宋体"/>
                <w:color w:val="000000"/>
                <w:kern w:val="0"/>
                <w:sz w:val="21"/>
                <w:szCs w:val="21"/>
                <w:highlight w:val="none"/>
              </w:rPr>
              <w:t>1次。资产梳理、定期清洁、线路整理、标签整理、恢复验证每季度1次。</w:t>
            </w:r>
          </w:p>
          <w:p w14:paraId="13776C9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数据备份</w:t>
            </w:r>
            <w:r>
              <w:rPr>
                <w:rFonts w:hint="eastAsia" w:ascii="宋体" w:hAnsi="宋体" w:eastAsia="宋体" w:cs="宋体"/>
                <w:color w:val="000000"/>
                <w:kern w:val="0"/>
                <w:sz w:val="21"/>
                <w:szCs w:val="21"/>
                <w:highlight w:val="none"/>
                <w:lang w:eastAsia="zh-CN"/>
              </w:rPr>
              <w:t>每日</w:t>
            </w:r>
            <w:r>
              <w:rPr>
                <w:rFonts w:hint="eastAsia" w:ascii="宋体" w:hAnsi="宋体" w:eastAsia="宋体" w:cs="宋体"/>
                <w:color w:val="000000"/>
                <w:kern w:val="0"/>
                <w:sz w:val="21"/>
                <w:szCs w:val="21"/>
                <w:highlight w:val="none"/>
              </w:rPr>
              <w:t>上午完成。资产梳理、定期清洁、线路整理、标签整理、恢复验证每季度第1周完成。</w:t>
            </w:r>
          </w:p>
          <w:p w14:paraId="151B594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资产清单》、《网络拓扑图》、《备份与恢复验证记录》。</w:t>
            </w:r>
          </w:p>
        </w:tc>
      </w:tr>
      <w:tr w14:paraId="5786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4E7ABD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416" w:type="pct"/>
            <w:vMerge w:val="restart"/>
            <w:noWrap/>
            <w:vAlign w:val="center"/>
          </w:tcPr>
          <w:p w14:paraId="260FEC4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响应支持</w:t>
            </w:r>
          </w:p>
        </w:tc>
        <w:tc>
          <w:tcPr>
            <w:tcW w:w="471" w:type="pct"/>
            <w:noWrap/>
            <w:vAlign w:val="center"/>
          </w:tcPr>
          <w:p w14:paraId="3AC202E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事件驱动响应</w:t>
            </w:r>
          </w:p>
        </w:tc>
        <w:tc>
          <w:tcPr>
            <w:tcW w:w="3796" w:type="pct"/>
            <w:noWrap w:val="0"/>
            <w:vAlign w:val="center"/>
          </w:tcPr>
          <w:p w14:paraId="568FA5B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故障进行快速响应、排查和修复，包括</w:t>
            </w:r>
            <w:r>
              <w:rPr>
                <w:rFonts w:hint="eastAsia" w:ascii="宋体" w:hAnsi="宋体" w:eastAsia="宋体" w:cs="宋体"/>
                <w:color w:val="000000"/>
                <w:kern w:val="0"/>
                <w:sz w:val="21"/>
                <w:szCs w:val="21"/>
                <w:highlight w:val="none"/>
                <w:lang w:val="en-US" w:eastAsia="zh-CN"/>
              </w:rPr>
              <w:t>整机或</w:t>
            </w:r>
            <w:r>
              <w:rPr>
                <w:rFonts w:hint="eastAsia" w:ascii="宋体" w:hAnsi="宋体" w:eastAsia="宋体" w:cs="宋体"/>
                <w:color w:val="000000"/>
                <w:kern w:val="0"/>
                <w:sz w:val="21"/>
                <w:szCs w:val="21"/>
                <w:highlight w:val="none"/>
              </w:rPr>
              <w:t>部件更换、配置恢复、数据恢复、应急响应等。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p>
          <w:p w14:paraId="093F146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响应时间10分钟，到场时间3小时，解决时间6小时。</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60A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C9CBBA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416" w:type="pct"/>
            <w:vMerge w:val="continue"/>
            <w:noWrap w:val="0"/>
            <w:vAlign w:val="center"/>
          </w:tcPr>
          <w:p w14:paraId="520D0C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69FF08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服务请求响应</w:t>
            </w:r>
          </w:p>
        </w:tc>
        <w:tc>
          <w:tcPr>
            <w:tcW w:w="3796" w:type="pct"/>
            <w:noWrap w:val="0"/>
            <w:vAlign w:val="center"/>
          </w:tcPr>
          <w:p w14:paraId="7E34BE1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bCs/>
                <w:color w:val="000000"/>
                <w:kern w:val="0"/>
                <w:sz w:val="21"/>
                <w:szCs w:val="21"/>
                <w:highlight w:val="none"/>
              </w:rPr>
              <w:t>根据业务运行需要，对</w:t>
            </w:r>
            <w:r>
              <w:rPr>
                <w:rFonts w:hint="eastAsia" w:ascii="宋体" w:hAnsi="宋体" w:eastAsia="宋体" w:cs="宋体"/>
                <w:color w:val="000000"/>
                <w:kern w:val="0"/>
                <w:sz w:val="21"/>
                <w:szCs w:val="21"/>
                <w:highlight w:val="none"/>
              </w:rPr>
              <w:t>甲方的服务请求进行响应，包括设备安装、设备移机、链路跳线、数据提取、数据处理、配置变更、系统安装、系统迁移、数据迁移、操作培训、应急演练、相关项目实施时给予协助与支持、重要活动期间现场应急值守与保障、网络安全工作配合与支持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p>
          <w:p w14:paraId="7A7AD27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响应时间10分钟，到场时间3小时，解决时间6小时。</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2E1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5E9E7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416" w:type="pct"/>
            <w:vMerge w:val="restart"/>
            <w:noWrap w:val="0"/>
            <w:vAlign w:val="center"/>
          </w:tcPr>
          <w:p w14:paraId="43F5E05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优化改善</w:t>
            </w:r>
          </w:p>
        </w:tc>
        <w:tc>
          <w:tcPr>
            <w:tcW w:w="471" w:type="pct"/>
            <w:noWrap w:val="0"/>
            <w:vAlign w:val="center"/>
          </w:tcPr>
          <w:p w14:paraId="2FA983D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适应性改进</w:t>
            </w:r>
          </w:p>
        </w:tc>
        <w:tc>
          <w:tcPr>
            <w:tcW w:w="3796" w:type="pct"/>
            <w:noWrap w:val="0"/>
            <w:vAlign w:val="center"/>
          </w:tcPr>
          <w:p w14:paraId="6193248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为保持服务范围内对象在新环境中可持续运行而实施的优化改进，包括空调温湿度调整、布线调整、配置变更、新用户新模块上线前初始化数据录入、新设备集成接入、新系统接口对接、新操作系统适配等。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083CA0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5CC6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586D4C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416" w:type="pct"/>
            <w:vMerge w:val="continue"/>
            <w:noWrap w:val="0"/>
            <w:vAlign w:val="center"/>
          </w:tcPr>
          <w:p w14:paraId="570F0BD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0"/>
            <w:vAlign w:val="center"/>
          </w:tcPr>
          <w:p w14:paraId="248BF70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增强性改进</w:t>
            </w:r>
          </w:p>
        </w:tc>
        <w:tc>
          <w:tcPr>
            <w:tcW w:w="3796" w:type="pct"/>
            <w:noWrap w:val="0"/>
            <w:vAlign w:val="center"/>
          </w:tcPr>
          <w:p w14:paraId="5594161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根据服务范围内对象的运行状况采取改进措施，增强服务范围内对象的安全性、可用性和可靠性，包括线缆升级、配置优化、性能优化、架构优化、功能优化、系统升级、规则库升级等。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0D52C0A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p>
          <w:p w14:paraId="1CC9ECD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4568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1613303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416" w:type="pct"/>
            <w:vMerge w:val="continue"/>
            <w:noWrap w:val="0"/>
            <w:vAlign w:val="center"/>
          </w:tcPr>
          <w:p w14:paraId="56D8E8A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0"/>
            <w:vAlign w:val="center"/>
          </w:tcPr>
          <w:p w14:paraId="2924ADF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预防性改进</w:t>
            </w:r>
          </w:p>
        </w:tc>
        <w:tc>
          <w:tcPr>
            <w:tcW w:w="3796" w:type="pct"/>
            <w:noWrap w:val="0"/>
            <w:vAlign w:val="center"/>
          </w:tcPr>
          <w:p w14:paraId="72BB314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检测和纠正服务范围内对象运行过程中潜在的问题或缺陷，包括配置变更、安全优化、漏洞修复、补丁更新等。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1346339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484D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E5D8E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416" w:type="pct"/>
            <w:noWrap w:val="0"/>
            <w:vAlign w:val="center"/>
          </w:tcPr>
          <w:p w14:paraId="39BF676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调研评估</w:t>
            </w:r>
          </w:p>
        </w:tc>
        <w:tc>
          <w:tcPr>
            <w:tcW w:w="471" w:type="pct"/>
            <w:noWrap w:val="0"/>
            <w:vAlign w:val="center"/>
          </w:tcPr>
          <w:p w14:paraId="3A6E7BA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调研评估</w:t>
            </w:r>
          </w:p>
        </w:tc>
        <w:tc>
          <w:tcPr>
            <w:tcW w:w="3796" w:type="pct"/>
            <w:noWrap w:val="0"/>
            <w:vAlign w:val="center"/>
          </w:tcPr>
          <w:p w14:paraId="08C988B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对服务范围内对象的运行状况进行分析和评估，提出方案建议。</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现场。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241037E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评估报告》。</w:t>
            </w:r>
          </w:p>
        </w:tc>
      </w:tr>
    </w:tbl>
    <w:p w14:paraId="61C37F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2" w:firstLineChars="200"/>
        <w:textAlignment w:val="auto"/>
        <w:outlineLvl w:val="1"/>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（二）</w:t>
      </w:r>
      <w:r>
        <w:rPr>
          <w:rFonts w:hint="eastAsia" w:ascii="宋体" w:hAnsi="宋体" w:eastAsia="宋体" w:cs="宋体"/>
          <w:b/>
          <w:sz w:val="21"/>
          <w:szCs w:val="21"/>
          <w:highlight w:val="none"/>
        </w:rPr>
        <w:t>服务范围</w:t>
      </w:r>
    </w:p>
    <w:p w14:paraId="2B6DEF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此次维保基础要求</w:t>
      </w:r>
      <w:r>
        <w:rPr>
          <w:rFonts w:hint="eastAsia" w:ascii="宋体" w:hAnsi="宋体" w:cs="宋体"/>
          <w:b w:val="0"/>
          <w:bCs/>
          <w:sz w:val="21"/>
          <w:szCs w:val="21"/>
          <w:highlight w:val="none"/>
          <w:lang w:val="en-US" w:eastAsia="zh-CN"/>
        </w:rPr>
        <w:t>：</w:t>
      </w:r>
    </w:p>
    <w:p w14:paraId="59A51A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甲方全部数据中心机房基础设施，包括电气系统、通风空调系统、消防系统、智能化系统等。机房数量≥4。</w:t>
      </w:r>
    </w:p>
    <w:p w14:paraId="5F1134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甲方全部弱电间基础设施，包括电气系统、通风空调系统、消防系统、智能化系统等。弱电间数量≥159。</w:t>
      </w:r>
    </w:p>
    <w:p w14:paraId="6C78EB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甲方全部网络资源，包括物理的和虚拟的网络交换机、路由器、基站、天线、AP、无线控制器、通信线路等。网络资源数量≥558。</w:t>
      </w:r>
    </w:p>
    <w:p w14:paraId="398A28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甲方全部服务器资源及其操作系统，包括物理的和虚拟的ARM服务器、X86服务器、小型机等。服务器资源数量≥347。</w:t>
      </w:r>
    </w:p>
    <w:p w14:paraId="74F008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甲方全部存储资源，包括物理的和虚拟的存储交换机、存储控制器、磁盘阵列、磁带库等。存储资源数量≥6。</w:t>
      </w:r>
    </w:p>
    <w:p w14:paraId="259E89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甲方全部网络与数据安全资源，包括物理的和虚拟的防火墙、WAF、入侵检测与防御、上网行为管理、VPN、网闸、网络准入控制系统、防病毒系统、终端安全管理系统、漏扫系统、负载均衡、API监测系统、数据备份与恢复系统、数据库审计系统、堡垒机、日志审计系统、态势感知系统等。网络与数据安全资源数量≥39。</w:t>
      </w:r>
    </w:p>
    <w:p w14:paraId="458B9E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（三）</w:t>
      </w:r>
      <w:r>
        <w:rPr>
          <w:rFonts w:hint="eastAsia" w:ascii="宋体" w:hAnsi="宋体" w:eastAsia="宋体" w:cs="宋体"/>
          <w:b/>
          <w:sz w:val="21"/>
          <w:szCs w:val="21"/>
          <w:highlight w:val="none"/>
          <w:lang w:val="en-US" w:eastAsia="zh-CN"/>
        </w:rPr>
        <w:t>服务能力</w:t>
      </w:r>
    </w:p>
    <w:p w14:paraId="10203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供应商须持有ISO20000或ITSS等信息技术服务认证，提供证书复印件并加盖公章。</w:t>
      </w:r>
    </w:p>
    <w:p w14:paraId="4910E4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 一线驻场工程师须持有H3C或华为网络设备的官方培训认证，提供证书复印件以及该人员上一季度或近3个月内任意1个月的社保缴费证明并加盖公章。</w:t>
      </w:r>
    </w:p>
    <w:p w14:paraId="50722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二线远程工程师须持有浪潮小型机和HPE服务器的官方培训认证，提供证书复印件以及该人员上一季度或近3个月内任意1个月的社保缴费证明并加盖公章。</w:t>
      </w:r>
    </w:p>
    <w:p w14:paraId="364FD3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 二线远程工程师须持有VMware VCP或以上级别的官方培训认证，提供证书复印件以及该人员上一季度或近3个月内任意1个月的社保缴费证明并加盖公章。</w:t>
      </w:r>
    </w:p>
    <w:p w14:paraId="69543B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3.5 二线远程工程师须持有HDS存储的官方培训认证，提供证书复印件以及该人员上一季度或近3个月内任意1个月的社保缴费证明并加盖公章。</w:t>
      </w:r>
    </w:p>
    <w:p w14:paraId="43D055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（四）测试验证</w:t>
      </w:r>
    </w:p>
    <w:p w14:paraId="41737D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成交后，逐一验证供应商所提供各项证明材料原件的真实性，经确认无误后签订合同。对供应商弄虚作假骗取中标的，采购人有权依法取消其成交资格并追究其法律责任。</w:t>
      </w: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8"/>
        <w:gridCol w:w="7518"/>
      </w:tblGrid>
      <w:tr w14:paraId="2C11E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4BC5901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518" w:type="dxa"/>
            <w:tcBorders>
              <w:top w:val="single" w:color="auto" w:sz="4" w:space="0"/>
              <w:left w:val="single" w:color="auto" w:sz="4" w:space="0"/>
              <w:bottom w:val="single" w:color="auto" w:sz="4" w:space="0"/>
              <w:right w:val="single" w:color="auto" w:sz="4" w:space="0"/>
            </w:tcBorders>
            <w:noWrap/>
            <w:vAlign w:val="center"/>
          </w:tcPr>
          <w:p w14:paraId="6A0D04B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518"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B457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1E61BD3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518" w:type="dxa"/>
            <w:tcBorders>
              <w:top w:val="single" w:color="auto" w:sz="4" w:space="0"/>
              <w:left w:val="single" w:color="auto" w:sz="4" w:space="0"/>
              <w:bottom w:val="single" w:color="auto" w:sz="4" w:space="0"/>
              <w:right w:val="single" w:color="auto" w:sz="4" w:space="0"/>
            </w:tcBorders>
            <w:noWrap/>
            <w:vAlign w:val="center"/>
          </w:tcPr>
          <w:p w14:paraId="2F973354">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000000" w:themeColor="text1"/>
                <w:kern w:val="2"/>
                <w:sz w:val="21"/>
                <w:szCs w:val="24"/>
                <w:highlight w:val="none"/>
                <w:lang w:val="en-US" w:eastAsia="zh-CN" w:bidi="ar-SA"/>
                <w14:textFill>
                  <w14:solidFill>
                    <w14:schemeClr w14:val="tx1"/>
                  </w14:solidFill>
                </w14:textFill>
              </w:rPr>
              <w:t>自合同生效之日起1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p>
        </w:tc>
      </w:tr>
      <w:tr w14:paraId="42925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6D2B7532">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518" w:type="dxa"/>
            <w:tcBorders>
              <w:top w:val="single" w:color="auto" w:sz="4" w:space="0"/>
              <w:left w:val="single" w:color="auto" w:sz="4" w:space="0"/>
              <w:bottom w:val="single" w:color="auto" w:sz="4" w:space="0"/>
              <w:right w:val="single" w:color="auto" w:sz="4" w:space="0"/>
            </w:tcBorders>
            <w:noWrap/>
            <w:vAlign w:val="center"/>
          </w:tcPr>
          <w:p w14:paraId="11736EF0">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符合现行国家、省、市地方相关规范和标准，满足磋商文件规定标准</w:t>
            </w:r>
          </w:p>
        </w:tc>
      </w:tr>
      <w:tr w14:paraId="32767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2A6DF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付款方式</w:t>
            </w:r>
          </w:p>
        </w:tc>
        <w:tc>
          <w:tcPr>
            <w:tcW w:w="7518" w:type="dxa"/>
            <w:tcBorders>
              <w:top w:val="single" w:color="auto" w:sz="4" w:space="0"/>
              <w:left w:val="single" w:color="auto" w:sz="4" w:space="0"/>
              <w:bottom w:val="single" w:color="auto" w:sz="4" w:space="0"/>
              <w:right w:val="single" w:color="auto" w:sz="4" w:space="0"/>
            </w:tcBorders>
            <w:noWrap/>
            <w:vAlign w:val="center"/>
          </w:tcPr>
          <w:p w14:paraId="795F9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合同履行 3 个月后，支付总价款的 50% ；合同履行完毕后，支付总价款的 50% 。采购人对供应商服务进行考核，并将考核结果将作为支付服务费用的依据。</w:t>
            </w:r>
          </w:p>
        </w:tc>
      </w:tr>
    </w:tbl>
    <w:p w14:paraId="058339F2">
      <w:pPr>
        <w:jc w:val="center"/>
        <w:rPr>
          <w:rFonts w:hint="eastAsia" w:ascii="宋体" w:hAnsi="宋体" w:eastAsia="宋体" w:cs="宋体"/>
          <w:b/>
          <w:bCs/>
          <w:color w:val="auto"/>
          <w:sz w:val="30"/>
          <w:szCs w:val="30"/>
          <w:highlight w:val="none"/>
        </w:rPr>
      </w:pPr>
    </w:p>
    <w:p w14:paraId="4B0CA787">
      <w:pPr>
        <w:pStyle w:val="3"/>
        <w:rPr>
          <w:rFonts w:hint="eastAsia" w:ascii="宋体" w:hAnsi="宋体" w:eastAsia="宋体" w:cs="宋体"/>
          <w:b/>
          <w:bCs/>
          <w:color w:val="auto"/>
          <w:sz w:val="30"/>
          <w:szCs w:val="30"/>
          <w:highlight w:val="none"/>
        </w:rPr>
      </w:pPr>
    </w:p>
    <w:p w14:paraId="4CC941D5">
      <w:pPr>
        <w:pStyle w:val="4"/>
        <w:rPr>
          <w:rFonts w:hint="eastAsia"/>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25"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驻马店市中心医院机房及网络设备维保项目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17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.4.3 符合性检查。依据</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的规定，</w:t>
      </w:r>
      <w:r>
        <w:rPr>
          <w:rFonts w:hint="eastAsia" w:ascii="宋体" w:hAnsi="宋体" w:eastAsia="宋体" w:cs="宋体"/>
          <w:b/>
          <w:bCs/>
          <w:color w:val="auto"/>
          <w:kern w:val="0"/>
          <w:szCs w:val="21"/>
          <w:highlight w:val="none"/>
          <w:lang w:eastAsia="zh-CN"/>
        </w:rPr>
        <w:t>磋商小组</w:t>
      </w:r>
      <w:r>
        <w:rPr>
          <w:rFonts w:hint="eastAsia" w:ascii="宋体" w:hAnsi="宋体" w:eastAsia="宋体" w:cs="宋体"/>
          <w:b/>
          <w:bCs/>
          <w:color w:val="auto"/>
          <w:kern w:val="0"/>
          <w:szCs w:val="21"/>
          <w:highlight w:val="none"/>
        </w:rPr>
        <w:t>将从</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kern w:val="0"/>
          <w:szCs w:val="21"/>
          <w:highlight w:val="none"/>
        </w:rPr>
        <w:t>的有效性、完整性和对</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的响应程度进行审查，以确定是否符合对</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的实质性要求作出响应。对没有实质性响应的</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文件将不进行评估，其投标被作为无效</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。凡有下列情况之一者，</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文件也将被视为未实质性响应</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（5）未按</w:t>
      </w:r>
      <w:r>
        <w:rPr>
          <w:rFonts w:hint="eastAsia" w:ascii="宋体" w:hAnsi="宋体" w:cs="宋体"/>
          <w:b/>
          <w:bCs/>
          <w:color w:val="auto"/>
          <w:szCs w:val="21"/>
          <w:highlight w:val="none"/>
          <w:lang w:val="en-US" w:eastAsia="zh-CN"/>
        </w:rPr>
        <w:t>竞争性磋商文件</w:t>
      </w:r>
      <w:r>
        <w:rPr>
          <w:rFonts w:hint="eastAsia" w:ascii="宋体" w:hAnsi="宋体" w:eastAsia="宋体" w:cs="宋体"/>
          <w:b/>
          <w:bCs/>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的实质性内容未使用中文表述，或意思表述不明确，或前后矛盾，或使用计量单位不符合</w:t>
      </w:r>
      <w:r>
        <w:rPr>
          <w:rFonts w:hint="eastAsia" w:ascii="宋体" w:hAnsi="宋体" w:cs="宋体"/>
          <w:b/>
          <w:bCs/>
          <w:color w:val="auto"/>
          <w:szCs w:val="21"/>
          <w:highlight w:val="none"/>
          <w:lang w:val="en-US" w:eastAsia="zh-CN"/>
        </w:rPr>
        <w:t>竞争性磋商文件</w:t>
      </w:r>
      <w:r>
        <w:rPr>
          <w:rFonts w:hint="eastAsia" w:ascii="宋体" w:hAnsi="宋体" w:eastAsia="宋体" w:cs="宋体"/>
          <w:b/>
          <w:bCs/>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的关键内容字迹模糊、无法辨认,或</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内容未按</w:t>
      </w:r>
      <w:r>
        <w:rPr>
          <w:rFonts w:hint="eastAsia" w:ascii="宋体" w:hAnsi="宋体" w:cs="宋体"/>
          <w:b/>
          <w:bCs/>
          <w:color w:val="auto"/>
          <w:szCs w:val="21"/>
          <w:highlight w:val="none"/>
          <w:lang w:val="en-US" w:eastAsia="zh-CN"/>
        </w:rPr>
        <w:t>竞争性磋商文件</w:t>
      </w:r>
      <w:r>
        <w:rPr>
          <w:rFonts w:hint="eastAsia" w:ascii="宋体" w:hAnsi="宋体" w:cs="宋体"/>
          <w:b/>
          <w:bCs/>
          <w:color w:val="auto"/>
          <w:sz w:val="21"/>
          <w:szCs w:val="21"/>
          <w:highlight w:val="none"/>
          <w:shd w:val="clear" w:color="auto" w:fill="FFFFFF"/>
          <w:lang w:val="en-US" w:eastAsia="zh-CN"/>
        </w:rPr>
        <w:t>“第二章 采购需求 三、技术要求”进行逐条响应的，或任何一项有负偏离的</w:t>
      </w:r>
      <w:r>
        <w:rPr>
          <w:rFonts w:hint="eastAsia" w:ascii="宋体" w:hAnsi="宋体" w:eastAsia="宋体" w:cs="宋体"/>
          <w:b/>
          <w:bCs/>
          <w:color w:val="auto"/>
          <w:szCs w:val="21"/>
          <w:highlight w:val="none"/>
        </w:rPr>
        <w:t>。</w:t>
      </w:r>
    </w:p>
    <w:p w14:paraId="01BAF513">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（9）不符合</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193B5FC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08A7084">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磋商报价得分=（评标基准价/有效磋商报价）×30分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5960FBB0">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1.重点难点分析及应对措施(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269B2CC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供应商针对医院特色及本项目服务提供的重难点分析、应对措施及相关的合理化建议进行评分。 </w:t>
            </w:r>
          </w:p>
          <w:p w14:paraId="1377886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针对医院实际，对本项目服务有全面透彻的理解和认识、应对措施及建议，完全满足采购需求的得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75C1198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对本项目服务有基本了解和认识、应对措施及建议，基本满足采购需求的得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26D115E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对本项目服务不了解、应对措施及建议，难以满足采购需求的得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1CA8FD7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未提供者不得分。</w:t>
            </w:r>
          </w:p>
        </w:tc>
      </w:tr>
      <w:tr w14:paraId="39EB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98" w:type="dxa"/>
            <w:vMerge w:val="continue"/>
            <w:noWrap w:val="0"/>
            <w:vAlign w:val="center"/>
          </w:tcPr>
          <w:p w14:paraId="4A68E1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1F3181">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2.服务方案(</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7A12BB0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根据供应商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制定的年度服务计划服务方案进行评分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Times New Roman" w:hAnsi="Times New Roman" w:eastAsia="宋体"/>
                <w:color w:val="auto"/>
                <w:sz w:val="21"/>
                <w:szCs w:val="21"/>
                <w:highlight w:val="none"/>
              </w:rPr>
              <w:t>数据中心机房基础设施</w:t>
            </w:r>
            <w:r>
              <w:rPr>
                <w:rFonts w:hint="eastAsia" w:ascii="Times New Roman" w:hAnsi="Times New Roman" w:eastAsia="宋体"/>
                <w:color w:val="auto"/>
                <w:sz w:val="21"/>
                <w:szCs w:val="21"/>
                <w:highlight w:val="none"/>
                <w:lang w:val="en-US" w:eastAsia="zh-CN"/>
              </w:rPr>
              <w:t>维保方案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Times New Roman" w:hAnsi="Times New Roman" w:eastAsia="宋体"/>
                <w:color w:val="auto"/>
                <w:sz w:val="21"/>
                <w:szCs w:val="21"/>
                <w:highlight w:val="none"/>
              </w:rPr>
              <w:t>弱电间基础设施</w:t>
            </w:r>
            <w:r>
              <w:rPr>
                <w:rFonts w:hint="eastAsia" w:ascii="Times New Roman" w:hAnsi="Times New Roman" w:eastAsia="宋体"/>
                <w:color w:val="auto"/>
                <w:sz w:val="21"/>
                <w:szCs w:val="21"/>
                <w:highlight w:val="none"/>
                <w:lang w:val="en-US" w:eastAsia="zh-CN"/>
              </w:rPr>
              <w:t>维保方案；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③现场维修响应时间</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维修</w:t>
            </w:r>
            <w:r>
              <w:rPr>
                <w:rFonts w:hint="eastAsia" w:ascii="宋体" w:hAnsi="宋体" w:cs="宋体"/>
                <w:color w:val="000000" w:themeColor="text1"/>
                <w:sz w:val="21"/>
                <w:szCs w:val="21"/>
                <w:highlight w:val="none"/>
                <w:lang w:val="en-US" w:eastAsia="zh-CN"/>
                <w14:textFill>
                  <w14:solidFill>
                    <w14:schemeClr w14:val="tx1"/>
                  </w14:solidFill>
                </w14:textFill>
              </w:rPr>
              <w:t>记录/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报告</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④服务质量保障措施。</w:t>
            </w:r>
          </w:p>
          <w:p w14:paraId="0B1E08F2">
            <w:pPr>
              <w:pStyle w:val="22"/>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color w:val="auto"/>
                <w:sz w:val="21"/>
                <w:szCs w:val="21"/>
                <w:highlight w:val="none"/>
                <w:u w:val="none"/>
                <w:lang w:val="en-US" w:eastAsia="zh-CN"/>
              </w:rPr>
            </w:pPr>
            <w:r>
              <w:rPr>
                <w:rFonts w:hint="eastAsia"/>
                <w:highlight w:val="none"/>
                <w:lang w:val="en-US" w:eastAsia="zh-CN"/>
              </w:rPr>
              <w:t>以上方案每提供一项得3分，最多得12分。（每项服务方案内容完整、针对性强，完全满足采购需求的3分；每项服务方案较完整、针对性较强，基本满足采购需求的2分；每项服务方案待完善，不满足采购需求的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未提供者不得分。</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22C1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98" w:type="dxa"/>
            <w:vMerge w:val="continue"/>
            <w:noWrap w:val="0"/>
            <w:vAlign w:val="center"/>
          </w:tcPr>
          <w:p w14:paraId="0F82EE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433F9BF">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服务团队</w:t>
            </w:r>
          </w:p>
          <w:p w14:paraId="4954A89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922" w:type="dxa"/>
            <w:noWrap w:val="0"/>
            <w:vAlign w:val="center"/>
          </w:tcPr>
          <w:p w14:paraId="7CF36D42">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w:t>
            </w: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及职责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人员专业技术及工作经验</w:t>
            </w:r>
            <w:r>
              <w:rPr>
                <w:rFonts w:hint="eastAsia" w:ascii="宋体" w:hAnsi="宋体" w:cs="宋体"/>
                <w:color w:val="auto"/>
                <w:szCs w:val="21"/>
                <w:highlight w:val="none"/>
              </w:rPr>
              <w:t>等。</w:t>
            </w:r>
          </w:p>
          <w:p w14:paraId="7E732766">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23BD617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9</w:t>
            </w:r>
            <w:r>
              <w:rPr>
                <w:rFonts w:hint="eastAsia" w:ascii="宋体" w:hAnsi="宋体" w:eastAsia="宋体" w:cs="宋体"/>
                <w:b w:val="0"/>
                <w:bCs w:val="0"/>
                <w:color w:val="auto"/>
                <w:sz w:val="21"/>
                <w:szCs w:val="21"/>
                <w:highlight w:val="none"/>
                <w:u w:val="none"/>
                <w:lang w:val="en-US" w:eastAsia="zh-CN"/>
              </w:rPr>
              <w:t>分；</w:t>
            </w:r>
          </w:p>
          <w:p w14:paraId="104D91F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332C2A59">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缺项得0分。</w:t>
            </w:r>
          </w:p>
          <w:p w14:paraId="494B4799">
            <w:pPr>
              <w:keepNext w:val="0"/>
              <w:keepLines w:val="0"/>
              <w:pageBreakBefore w:val="0"/>
              <w:kinsoku/>
              <w:wordWrap/>
              <w:overflowPunct/>
              <w:topLinePunct w:val="0"/>
              <w:bidi w:val="0"/>
              <w:snapToGrid w:val="0"/>
              <w:spacing w:line="340" w:lineRule="exact"/>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注：提供服务团队人员信息清单。</w:t>
            </w:r>
          </w:p>
        </w:tc>
      </w:tr>
      <w:tr w14:paraId="790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continue"/>
            <w:noWrap w:val="0"/>
            <w:vAlign w:val="center"/>
          </w:tcPr>
          <w:p w14:paraId="7EB6C2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B47BAA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档案管理及交付措施（</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档案管理及交付措施包含不限于以下内容：</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p>
          <w:p w14:paraId="20AFE673">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每项档案管理内容不全面、不具体的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B54E30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367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continue"/>
            <w:noWrap w:val="0"/>
            <w:vAlign w:val="center"/>
          </w:tcPr>
          <w:p w14:paraId="751C5B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260B9E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.设备维保应急响应方案（8分）</w:t>
            </w:r>
          </w:p>
        </w:tc>
        <w:tc>
          <w:tcPr>
            <w:tcW w:w="6922" w:type="dxa"/>
            <w:noWrap w:val="0"/>
            <w:vAlign w:val="center"/>
          </w:tcPr>
          <w:p w14:paraId="694BCEBA">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根据供应商提供的应急响应方案进行评分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包括但不限于故障、停机等</w:t>
            </w:r>
            <w:r>
              <w:rPr>
                <w:rFonts w:hint="eastAsia" w:ascii="宋体" w:hAnsi="宋体" w:cs="宋体"/>
                <w:color w:val="000000" w:themeColor="text1"/>
                <w:sz w:val="21"/>
                <w:szCs w:val="21"/>
                <w:highlight w:val="none"/>
                <w:lang w:val="en-US" w:eastAsia="zh-CN"/>
                <w14:textFill>
                  <w14:solidFill>
                    <w14:schemeClr w14:val="tx1"/>
                  </w14:solidFill>
                </w14:textFill>
              </w:rPr>
              <w:t>应急事件的应急预案、</w:t>
            </w:r>
            <w:r>
              <w:rPr>
                <w:rFonts w:hint="eastAsia" w:ascii="宋体" w:hAnsi="宋体" w:cs="宋体"/>
                <w:color w:val="auto"/>
                <w:szCs w:val="21"/>
                <w:highlight w:val="none"/>
              </w:rPr>
              <w:t>响应时间</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应急保障措施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9A2DA8E">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应急响应方案全面详尽，应急处理流程、处置方法科学合理、可行性强，完全满足采购人需求的得8分；</w:t>
            </w:r>
          </w:p>
          <w:p w14:paraId="7E26D787">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应急响应方案较为详尽，应急处理流程、处置方法基本合理，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基本满足采购人需求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的得5分；</w:t>
            </w:r>
          </w:p>
          <w:p w14:paraId="6B3BBAF3">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应急处理流程、处置方法一般，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不满足采购人需求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的得2分。</w:t>
            </w:r>
          </w:p>
          <w:p w14:paraId="7733FA3D">
            <w:pPr>
              <w:keepNext w:val="0"/>
              <w:keepLines w:val="0"/>
              <w:widowControl/>
              <w:suppressLineNumbers w:val="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98" w:type="dxa"/>
            <w:vMerge w:val="restart"/>
            <w:noWrap w:val="0"/>
            <w:vAlign w:val="center"/>
          </w:tcPr>
          <w:p w14:paraId="366BEE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lang w:val="en-US" w:eastAsia="zh-CN"/>
              </w:rPr>
              <w:t>分</w:t>
            </w:r>
          </w:p>
          <w:p w14:paraId="3A1541D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362" w:type="dxa"/>
            <w:tcBorders>
              <w:top w:val="single" w:color="auto" w:sz="4" w:space="0"/>
            </w:tcBorders>
            <w:noWrap w:val="0"/>
            <w:vAlign w:val="center"/>
          </w:tcPr>
          <w:p w14:paraId="3C018AA2">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922" w:type="dxa"/>
            <w:noWrap w:val="0"/>
            <w:vAlign w:val="center"/>
          </w:tcPr>
          <w:p w14:paraId="12D9C43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供应商2022年01月01日具有的类似服务业绩(以合同文件为准），每提供一份得2分，最多得6分。</w:t>
            </w:r>
          </w:p>
          <w:p w14:paraId="22603D52">
            <w:pPr>
              <w:keepNext w:val="0"/>
              <w:keepLines w:val="0"/>
              <w:pageBreakBefore w:val="0"/>
              <w:widowControl/>
              <w:kinsoku/>
              <w:wordWrap/>
              <w:overflowPunct/>
              <w:topLinePunct w:val="0"/>
              <w:autoSpaceDE/>
              <w:autoSpaceDN/>
              <w:bidi w:val="0"/>
              <w:adjustRightInd/>
              <w:snapToGrid w:val="0"/>
              <w:spacing w:line="320" w:lineRule="exac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注：提供合同证明材料。</w:t>
            </w:r>
          </w:p>
        </w:tc>
      </w:tr>
      <w:tr w14:paraId="107D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8" w:type="dxa"/>
            <w:vMerge w:val="continue"/>
            <w:noWrap w:val="0"/>
            <w:vAlign w:val="center"/>
          </w:tcPr>
          <w:p w14:paraId="2048CA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7DDBBA1">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售后服务方案</w:t>
            </w:r>
          </w:p>
          <w:p w14:paraId="3711E0E8">
            <w:pPr>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noWrap w:val="0"/>
            <w:vAlign w:val="center"/>
          </w:tcPr>
          <w:p w14:paraId="5419D89A">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42C0AEE9">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p w14:paraId="0032306E">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43A3511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cs="宋体"/>
                <w:highlight w:val="none"/>
                <w:lang w:val="en-US" w:eastAsia="zh-CN"/>
              </w:rPr>
              <w:t>专业性不强，难以</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p>
          <w:p w14:paraId="57B99F3D">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未提供不得分。</w:t>
            </w:r>
          </w:p>
        </w:tc>
      </w:tr>
      <w:tr w14:paraId="29FD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8" w:type="dxa"/>
            <w:vMerge w:val="continue"/>
            <w:noWrap w:val="0"/>
            <w:vAlign w:val="center"/>
          </w:tcPr>
          <w:p w14:paraId="0CA6723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9739B5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其他优惠承诺</w:t>
            </w:r>
          </w:p>
          <w:p w14:paraId="16413F7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（4分）</w:t>
            </w:r>
          </w:p>
        </w:tc>
        <w:tc>
          <w:tcPr>
            <w:tcW w:w="6922" w:type="dxa"/>
            <w:noWrap w:val="0"/>
            <w:vAlign w:val="center"/>
          </w:tcPr>
          <w:p w14:paraId="71FB5B1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根据供应商在满足采购文件要求的基础上另外提出的优惠承诺及增值服务进行评比：每提供一项对采购人有利的、切实可行的实质性优惠承诺及增值服务得2分，最多得4分。未提供不得分。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EAA00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42E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9025B2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708" w:type="dxa"/>
            <w:noWrap/>
            <w:vAlign w:val="bottom"/>
          </w:tcPr>
          <w:p w14:paraId="6D65A38D">
            <w:pPr>
              <w:spacing w:line="360" w:lineRule="auto"/>
              <w:ind w:firstLine="1155" w:firstLineChars="550"/>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4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07"/>
        <w:gridCol w:w="2357"/>
        <w:gridCol w:w="1814"/>
        <w:gridCol w:w="1472"/>
        <w:gridCol w:w="1071"/>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07"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57"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14"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72"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071"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7"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07"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07"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0420"/>
      <w:bookmarkStart w:id="83" w:name="_Toc24168"/>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30519"/>
      <w:bookmarkStart w:id="88" w:name="_Toc12939"/>
      <w:bookmarkStart w:id="89" w:name="_Toc13976"/>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证明材料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6083"/>
      <w:bookmarkStart w:id="95" w:name="_Toc13726"/>
      <w:bookmarkStart w:id="96" w:name="_Toc12888"/>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3394"/>
      <w:bookmarkStart w:id="98" w:name="_Toc31685"/>
      <w:bookmarkStart w:id="99"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D8D79B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驻马店市中心医院机房及网络设备维保项目竞争性磋商文件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D4166"/>
    <w:rsid w:val="042E37DB"/>
    <w:rsid w:val="04416C20"/>
    <w:rsid w:val="04732647"/>
    <w:rsid w:val="047968B1"/>
    <w:rsid w:val="04870542"/>
    <w:rsid w:val="04A46CA4"/>
    <w:rsid w:val="04B30F7A"/>
    <w:rsid w:val="04EB3BB5"/>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01D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4A67BB"/>
    <w:rsid w:val="09523172"/>
    <w:rsid w:val="095D0797"/>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B3C0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182768"/>
    <w:rsid w:val="0F335E69"/>
    <w:rsid w:val="0F372614"/>
    <w:rsid w:val="0F3D59C9"/>
    <w:rsid w:val="0F44530B"/>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277B"/>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AD3796"/>
    <w:rsid w:val="16B56AEF"/>
    <w:rsid w:val="16C872D5"/>
    <w:rsid w:val="16D54FA3"/>
    <w:rsid w:val="16D84D9F"/>
    <w:rsid w:val="16E94D3E"/>
    <w:rsid w:val="170D06E0"/>
    <w:rsid w:val="17233E03"/>
    <w:rsid w:val="17332185"/>
    <w:rsid w:val="1735378C"/>
    <w:rsid w:val="17475951"/>
    <w:rsid w:val="17485BB5"/>
    <w:rsid w:val="175C542D"/>
    <w:rsid w:val="175D0ED4"/>
    <w:rsid w:val="17793FC0"/>
    <w:rsid w:val="179D33A9"/>
    <w:rsid w:val="179F2E61"/>
    <w:rsid w:val="17A06264"/>
    <w:rsid w:val="17BE19D3"/>
    <w:rsid w:val="17C227C0"/>
    <w:rsid w:val="17D66D7C"/>
    <w:rsid w:val="17DE0EDF"/>
    <w:rsid w:val="17EE5BFF"/>
    <w:rsid w:val="17F04282"/>
    <w:rsid w:val="18097740"/>
    <w:rsid w:val="18136133"/>
    <w:rsid w:val="18153CE9"/>
    <w:rsid w:val="184055B9"/>
    <w:rsid w:val="184A2082"/>
    <w:rsid w:val="18585AF4"/>
    <w:rsid w:val="185D3C42"/>
    <w:rsid w:val="185F38AF"/>
    <w:rsid w:val="188F0211"/>
    <w:rsid w:val="18AD1BEB"/>
    <w:rsid w:val="18B3004A"/>
    <w:rsid w:val="18B31B6D"/>
    <w:rsid w:val="18B96080"/>
    <w:rsid w:val="18CE20EA"/>
    <w:rsid w:val="18DB2CD8"/>
    <w:rsid w:val="18F02060"/>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104B7"/>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12B02"/>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04762"/>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01150"/>
    <w:rsid w:val="274E2228"/>
    <w:rsid w:val="27517A93"/>
    <w:rsid w:val="27565784"/>
    <w:rsid w:val="275E53AF"/>
    <w:rsid w:val="27606603"/>
    <w:rsid w:val="276658E8"/>
    <w:rsid w:val="276F6846"/>
    <w:rsid w:val="277E30D2"/>
    <w:rsid w:val="27803F2A"/>
    <w:rsid w:val="278A18D2"/>
    <w:rsid w:val="27983FEE"/>
    <w:rsid w:val="27A34941"/>
    <w:rsid w:val="27A97FAA"/>
    <w:rsid w:val="27E40851"/>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1BFE"/>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CE2518"/>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7E6003"/>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618B"/>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F0BFF"/>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194FEF"/>
    <w:rsid w:val="3B312338"/>
    <w:rsid w:val="3B3C5B77"/>
    <w:rsid w:val="3B3D0FF2"/>
    <w:rsid w:val="3B501351"/>
    <w:rsid w:val="3B521A18"/>
    <w:rsid w:val="3B8D2B96"/>
    <w:rsid w:val="3B923660"/>
    <w:rsid w:val="3BCA44BE"/>
    <w:rsid w:val="3BD038FF"/>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0D0E3B"/>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3E3433"/>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CD6DEA"/>
    <w:rsid w:val="42EA5650"/>
    <w:rsid w:val="431408DA"/>
    <w:rsid w:val="43177625"/>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3D7DE3"/>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667651"/>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AA019C"/>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47438"/>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420CF"/>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27F3B"/>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8A272E"/>
    <w:rsid w:val="539A4AC7"/>
    <w:rsid w:val="53A44D07"/>
    <w:rsid w:val="53A46AC8"/>
    <w:rsid w:val="53AB7F1F"/>
    <w:rsid w:val="53AC6F7B"/>
    <w:rsid w:val="53C01F4F"/>
    <w:rsid w:val="53EB297B"/>
    <w:rsid w:val="53EC4BF7"/>
    <w:rsid w:val="53F671DE"/>
    <w:rsid w:val="53F758A1"/>
    <w:rsid w:val="540D5A7F"/>
    <w:rsid w:val="542E2BC2"/>
    <w:rsid w:val="54352A96"/>
    <w:rsid w:val="543F10B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97B78"/>
    <w:rsid w:val="55D47A00"/>
    <w:rsid w:val="55D5456D"/>
    <w:rsid w:val="55DC290C"/>
    <w:rsid w:val="55E71B19"/>
    <w:rsid w:val="55EA5D64"/>
    <w:rsid w:val="55F01FA1"/>
    <w:rsid w:val="55FC19B9"/>
    <w:rsid w:val="56130B60"/>
    <w:rsid w:val="56234F28"/>
    <w:rsid w:val="562C1C22"/>
    <w:rsid w:val="56332FB1"/>
    <w:rsid w:val="56702942"/>
    <w:rsid w:val="56717635"/>
    <w:rsid w:val="56990B7C"/>
    <w:rsid w:val="569E1126"/>
    <w:rsid w:val="56A8690E"/>
    <w:rsid w:val="56AA78C1"/>
    <w:rsid w:val="56B679AB"/>
    <w:rsid w:val="56B80DEB"/>
    <w:rsid w:val="56E0560F"/>
    <w:rsid w:val="56E06E61"/>
    <w:rsid w:val="56EF3C74"/>
    <w:rsid w:val="56F5517D"/>
    <w:rsid w:val="56F653FE"/>
    <w:rsid w:val="57007337"/>
    <w:rsid w:val="574448FC"/>
    <w:rsid w:val="57561D39"/>
    <w:rsid w:val="575B7AFD"/>
    <w:rsid w:val="57660D3F"/>
    <w:rsid w:val="5785783C"/>
    <w:rsid w:val="578F06BB"/>
    <w:rsid w:val="57AC301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0F0C"/>
    <w:rsid w:val="58CF56D8"/>
    <w:rsid w:val="58D31010"/>
    <w:rsid w:val="58D6741E"/>
    <w:rsid w:val="58DB0535"/>
    <w:rsid w:val="58E467E4"/>
    <w:rsid w:val="58E62E0E"/>
    <w:rsid w:val="58EA3D0E"/>
    <w:rsid w:val="58F24A5D"/>
    <w:rsid w:val="58F71269"/>
    <w:rsid w:val="58FE045E"/>
    <w:rsid w:val="58FE78A6"/>
    <w:rsid w:val="59014CEF"/>
    <w:rsid w:val="59017396"/>
    <w:rsid w:val="59505C28"/>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5322F1"/>
    <w:rsid w:val="5A783688"/>
    <w:rsid w:val="5A8734AF"/>
    <w:rsid w:val="5A9D3E45"/>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30A1C"/>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A7F18"/>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369CC"/>
    <w:rsid w:val="6267666C"/>
    <w:rsid w:val="627D6831"/>
    <w:rsid w:val="6280757E"/>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05CB5"/>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83CCB"/>
    <w:rsid w:val="663B3EC9"/>
    <w:rsid w:val="665A1E94"/>
    <w:rsid w:val="66736112"/>
    <w:rsid w:val="667F5B5B"/>
    <w:rsid w:val="668F1B3D"/>
    <w:rsid w:val="6694262A"/>
    <w:rsid w:val="66990381"/>
    <w:rsid w:val="66B31B01"/>
    <w:rsid w:val="66CE1E80"/>
    <w:rsid w:val="66CF4630"/>
    <w:rsid w:val="66D81B97"/>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6D1B7C"/>
    <w:rsid w:val="6A7903E5"/>
    <w:rsid w:val="6A8219B9"/>
    <w:rsid w:val="6A8641F2"/>
    <w:rsid w:val="6A9701A5"/>
    <w:rsid w:val="6AA03032"/>
    <w:rsid w:val="6AA86FEC"/>
    <w:rsid w:val="6ACB20F7"/>
    <w:rsid w:val="6ADA6AC4"/>
    <w:rsid w:val="6ADB11D6"/>
    <w:rsid w:val="6ADF0BB9"/>
    <w:rsid w:val="6B1A2C3C"/>
    <w:rsid w:val="6B221F4E"/>
    <w:rsid w:val="6B2B30F7"/>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274D51"/>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DC5B3C"/>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3E2669"/>
    <w:rsid w:val="725D6B54"/>
    <w:rsid w:val="727644F9"/>
    <w:rsid w:val="72986FA0"/>
    <w:rsid w:val="729D1A86"/>
    <w:rsid w:val="72A17C99"/>
    <w:rsid w:val="72A2709C"/>
    <w:rsid w:val="72A5093A"/>
    <w:rsid w:val="72AD7197"/>
    <w:rsid w:val="72AF6F7E"/>
    <w:rsid w:val="72BD2C86"/>
    <w:rsid w:val="72CD226C"/>
    <w:rsid w:val="72D27981"/>
    <w:rsid w:val="72FE2BF5"/>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0182E"/>
    <w:rsid w:val="73AF2114"/>
    <w:rsid w:val="73AF381F"/>
    <w:rsid w:val="73E159A2"/>
    <w:rsid w:val="73E96BCA"/>
    <w:rsid w:val="73EE4A6E"/>
    <w:rsid w:val="73EF0051"/>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7CC2"/>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C1498"/>
    <w:rsid w:val="7A476B1B"/>
    <w:rsid w:val="7A517022"/>
    <w:rsid w:val="7A542B32"/>
    <w:rsid w:val="7A545120"/>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B87930"/>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40C0B"/>
    <w:rsid w:val="7ED61132"/>
    <w:rsid w:val="7EE70CC0"/>
    <w:rsid w:val="7EEB48DB"/>
    <w:rsid w:val="7EF27444"/>
    <w:rsid w:val="7F185A04"/>
    <w:rsid w:val="7F2257ED"/>
    <w:rsid w:val="7F265C58"/>
    <w:rsid w:val="7F3B240A"/>
    <w:rsid w:val="7F4C4618"/>
    <w:rsid w:val="7F4D13A6"/>
    <w:rsid w:val="7F582CF2"/>
    <w:rsid w:val="7F89586C"/>
    <w:rsid w:val="7F9075B3"/>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16606</Words>
  <Characters>17402</Characters>
  <Lines>50</Lines>
  <Paragraphs>68</Paragraphs>
  <TotalTime>0</TotalTime>
  <ScaleCrop>false</ScaleCrop>
  <LinksUpToDate>false</LinksUpToDate>
  <CharactersWithSpaces>17867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2025-11-27T03:09:53Z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4405A6E724C047DFB2F5502040A8A9BD_13</vt:lpwstr>
  </property>
  <property fmtid="{D5CDD505-2E9C-101B-9397-08002B2CF9AE}" pid="4" name="KSOTemplateDocerSaveRecord">
    <vt:lpwstr>eyJoZGlkIjoiMzU0MTZjMjFkMjFjOGMwYTIzNWEzZDljNjYxZWI0MmYiLCJ1c2VySWQiOiIxNjg0NTc5MjM2In0=</vt:lpwstr>
  </property>
</Properties>
</file>