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0C735D19">
      <w:pPr>
        <w:pStyle w:val="21"/>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95" w:right="-149" w:rightChars="-71" w:hanging="199" w:hangingChars="45"/>
        <w:jc w:val="center"/>
        <w:textAlignment w:val="auto"/>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驻马店市中心医院</w:t>
      </w:r>
      <w:r>
        <w:rPr>
          <w:rFonts w:hint="eastAsia" w:cs="宋体"/>
          <w:b/>
          <w:bCs/>
          <w:color w:val="auto"/>
          <w:sz w:val="44"/>
          <w:szCs w:val="44"/>
          <w:highlight w:val="none"/>
          <w:lang w:val="en-US" w:eastAsia="zh-CN"/>
        </w:rPr>
        <w:t>全自动内镜清洗消毒机、多功能电动床采购项目</w:t>
      </w:r>
    </w:p>
    <w:p w14:paraId="72164425">
      <w:pPr>
        <w:pStyle w:val="21"/>
        <w:bidi w:val="0"/>
        <w:jc w:val="center"/>
        <w:rPr>
          <w:rStyle w:val="46"/>
          <w:rFonts w:hint="eastAsia" w:ascii="宋体" w:hAnsi="宋体" w:eastAsia="宋体" w:cs="宋体"/>
          <w:b/>
          <w:bCs/>
          <w:color w:val="auto"/>
          <w:sz w:val="44"/>
          <w:szCs w:val="44"/>
          <w:highlight w:val="none"/>
        </w:rPr>
      </w:pPr>
    </w:p>
    <w:p w14:paraId="2962C736">
      <w:pPr>
        <w:pStyle w:val="21"/>
        <w:bidi w:val="0"/>
        <w:jc w:val="center"/>
        <w:rPr>
          <w:rStyle w:val="46"/>
          <w:rFonts w:hint="eastAsia" w:ascii="宋体" w:hAnsi="宋体" w:eastAsia="宋体" w:cs="宋体"/>
          <w:b/>
          <w:bCs/>
          <w:color w:val="auto"/>
          <w:sz w:val="44"/>
          <w:szCs w:val="44"/>
          <w:highlight w:val="none"/>
        </w:rPr>
      </w:pPr>
    </w:p>
    <w:p w14:paraId="44E388B3">
      <w:pPr>
        <w:pStyle w:val="21"/>
        <w:bidi w:val="0"/>
        <w:jc w:val="center"/>
        <w:rPr>
          <w:rStyle w:val="46"/>
          <w:rFonts w:hint="eastAsia" w:ascii="宋体" w:hAnsi="宋体" w:eastAsia="宋体" w:cs="宋体"/>
          <w:b/>
          <w:bCs/>
          <w:color w:val="auto"/>
          <w:sz w:val="48"/>
          <w:szCs w:val="48"/>
          <w:highlight w:val="none"/>
        </w:rPr>
      </w:pPr>
    </w:p>
    <w:p w14:paraId="158E927F">
      <w:pPr>
        <w:pStyle w:val="21"/>
        <w:bidi w:val="0"/>
        <w:jc w:val="center"/>
        <w:rPr>
          <w:rStyle w:val="46"/>
          <w:rFonts w:hint="eastAsia" w:ascii="宋体" w:hAnsi="宋体" w:eastAsia="宋体" w:cs="宋体"/>
          <w:b/>
          <w:bCs/>
          <w:color w:val="auto"/>
          <w:sz w:val="48"/>
          <w:szCs w:val="48"/>
          <w:highlight w:val="none"/>
        </w:rPr>
      </w:pPr>
    </w:p>
    <w:p w14:paraId="5ABC8E99">
      <w:pPr>
        <w:pStyle w:val="21"/>
        <w:bidi w:val="0"/>
        <w:jc w:val="center"/>
        <w:rPr>
          <w:rStyle w:val="46"/>
          <w:rFonts w:hint="eastAsia" w:ascii="宋体" w:hAnsi="宋体" w:eastAsia="宋体" w:cs="宋体"/>
          <w:b/>
          <w:bCs/>
          <w:color w:val="auto"/>
          <w:sz w:val="48"/>
          <w:szCs w:val="48"/>
          <w:highlight w:val="none"/>
        </w:rPr>
      </w:pPr>
      <w:r>
        <w:rPr>
          <w:rStyle w:val="46"/>
          <w:rFonts w:hint="eastAsia" w:cs="宋体"/>
          <w:b/>
          <w:bCs/>
          <w:color w:val="auto"/>
          <w:sz w:val="52"/>
          <w:szCs w:val="52"/>
          <w:highlight w:val="none"/>
          <w:lang w:val="en-US" w:eastAsia="zh-CN"/>
        </w:rPr>
        <w:t>竞争性磋商</w:t>
      </w:r>
      <w:r>
        <w:rPr>
          <w:rStyle w:val="46"/>
          <w:rFonts w:hint="eastAsia" w:ascii="宋体" w:hAnsi="宋体" w:eastAsia="宋体" w:cs="宋体"/>
          <w:b/>
          <w:bCs/>
          <w:color w:val="auto"/>
          <w:sz w:val="52"/>
          <w:szCs w:val="52"/>
          <w:highlight w:val="none"/>
        </w:rPr>
        <w:t>文件</w:t>
      </w:r>
    </w:p>
    <w:p w14:paraId="20826E73">
      <w:pPr>
        <w:pStyle w:val="21"/>
        <w:bidi w:val="0"/>
        <w:jc w:val="center"/>
        <w:rPr>
          <w:rStyle w:val="46"/>
          <w:rFonts w:hint="eastAsia" w:ascii="宋体" w:hAnsi="宋体" w:eastAsia="宋体" w:cs="宋体"/>
          <w:b/>
          <w:bCs/>
          <w:color w:val="auto"/>
          <w:sz w:val="48"/>
          <w:szCs w:val="48"/>
          <w:highlight w:val="none"/>
        </w:rPr>
      </w:pPr>
    </w:p>
    <w:p w14:paraId="18181E0E">
      <w:pPr>
        <w:pStyle w:val="21"/>
        <w:bidi w:val="0"/>
        <w:jc w:val="center"/>
        <w:rPr>
          <w:rStyle w:val="46"/>
          <w:rFonts w:hint="eastAsia" w:ascii="宋体" w:hAnsi="宋体" w:eastAsia="宋体" w:cs="宋体"/>
          <w:b/>
          <w:bCs/>
          <w:color w:val="auto"/>
          <w:sz w:val="48"/>
          <w:szCs w:val="48"/>
          <w:highlight w:val="none"/>
        </w:rPr>
      </w:pPr>
    </w:p>
    <w:p w14:paraId="30933B8F">
      <w:pPr>
        <w:snapToGrid w:val="0"/>
        <w:spacing w:line="380" w:lineRule="exact"/>
        <w:jc w:val="center"/>
        <w:rPr>
          <w:rFonts w:hint="eastAsia" w:ascii="宋体" w:hAnsi="宋体" w:eastAsia="宋体" w:cs="宋体"/>
          <w:b/>
          <w:color w:val="auto"/>
          <w:sz w:val="32"/>
          <w:szCs w:val="32"/>
          <w:highlight w:val="none"/>
        </w:rPr>
      </w:pPr>
    </w:p>
    <w:p w14:paraId="1478C157">
      <w:pPr>
        <w:pStyle w:val="63"/>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left="0" w:leftChars="0" w:firstLine="1062" w:firstLineChars="311"/>
        <w:jc w:val="left"/>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left="0" w:leftChars="0" w:firstLine="1062" w:firstLineChars="311"/>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0"/>
          <w:sz w:val="34"/>
          <w:szCs w:val="34"/>
          <w:highlight w:val="none"/>
          <w:lang w:val="en-US" w:eastAsia="zh-CN"/>
        </w:rPr>
        <w:t>采购代理机构：恒信咨询管理有限公司</w:t>
      </w:r>
    </w:p>
    <w:p w14:paraId="4FCBE59C">
      <w:pPr>
        <w:tabs>
          <w:tab w:val="left" w:pos="2700"/>
          <w:tab w:val="left" w:pos="2880"/>
          <w:tab w:val="left" w:pos="3060"/>
          <w:tab w:val="left" w:pos="7560"/>
        </w:tabs>
        <w:snapToGrid w:val="0"/>
        <w:spacing w:line="480" w:lineRule="auto"/>
        <w:ind w:left="0" w:leftChars="0" w:firstLine="1062" w:firstLineChars="311"/>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0"/>
          <w:sz w:val="34"/>
          <w:szCs w:val="34"/>
          <w:highlight w:val="none"/>
          <w:lang w:val="en-US" w:eastAsia="zh-CN"/>
        </w:rPr>
        <w:t>日        期：</w:t>
      </w:r>
      <w:r>
        <w:rPr>
          <w:rFonts w:hint="eastAsia" w:ascii="宋体" w:hAnsi="宋体" w:cs="宋体"/>
          <w:b/>
          <w:bCs/>
          <w:color w:val="auto"/>
          <w:spacing w:val="-10"/>
          <w:sz w:val="34"/>
          <w:szCs w:val="34"/>
          <w:highlight w:val="none"/>
          <w:lang w:val="en-US" w:eastAsia="zh-CN"/>
        </w:rPr>
        <w:t xml:space="preserve"> </w:t>
      </w:r>
      <w:r>
        <w:rPr>
          <w:rFonts w:hint="eastAsia" w:ascii="宋体" w:hAnsi="宋体" w:eastAsia="宋体" w:cs="宋体"/>
          <w:b/>
          <w:bCs/>
          <w:color w:val="auto"/>
          <w:spacing w:val="0"/>
          <w:sz w:val="34"/>
          <w:szCs w:val="34"/>
          <w:highlight w:val="none"/>
          <w:lang w:val="en-US" w:eastAsia="zh-CN"/>
        </w:rPr>
        <w:t>2025</w:t>
      </w:r>
      <w:r>
        <w:rPr>
          <w:rFonts w:hint="eastAsia" w:ascii="宋体" w:hAnsi="宋体" w:cs="宋体"/>
          <w:b/>
          <w:bCs/>
          <w:color w:val="auto"/>
          <w:spacing w:val="0"/>
          <w:sz w:val="34"/>
          <w:szCs w:val="34"/>
          <w:highlight w:val="none"/>
          <w:lang w:val="en-US" w:eastAsia="zh-CN"/>
        </w:rPr>
        <w:t xml:space="preserve"> </w:t>
      </w:r>
      <w:r>
        <w:rPr>
          <w:rFonts w:hint="eastAsia" w:ascii="宋体" w:hAnsi="宋体" w:eastAsia="宋体" w:cs="宋体"/>
          <w:b/>
          <w:bCs/>
          <w:color w:val="auto"/>
          <w:spacing w:val="0"/>
          <w:sz w:val="34"/>
          <w:szCs w:val="34"/>
          <w:highlight w:val="none"/>
          <w:lang w:val="en-US" w:eastAsia="zh-CN"/>
        </w:rPr>
        <w:t>年</w:t>
      </w:r>
      <w:r>
        <w:rPr>
          <w:rFonts w:hint="eastAsia" w:ascii="宋体" w:hAnsi="宋体" w:cs="宋体"/>
          <w:b/>
          <w:bCs/>
          <w:color w:val="auto"/>
          <w:spacing w:val="0"/>
          <w:sz w:val="34"/>
          <w:szCs w:val="34"/>
          <w:highlight w:val="none"/>
          <w:lang w:val="en-US" w:eastAsia="zh-CN"/>
        </w:rPr>
        <w:t xml:space="preserve"> 11 </w:t>
      </w:r>
      <w:r>
        <w:rPr>
          <w:rFonts w:hint="eastAsia" w:ascii="宋体" w:hAnsi="宋体" w:eastAsia="宋体" w:cs="宋体"/>
          <w:b/>
          <w:bCs/>
          <w:color w:val="auto"/>
          <w:spacing w:val="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1276"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7"/>
        <w:rPr>
          <w:rFonts w:hint="eastAsia" w:ascii="宋体" w:hAnsi="宋体" w:eastAsia="宋体" w:cs="宋体"/>
          <w:color w:val="auto"/>
          <w:highlight w:val="none"/>
        </w:rPr>
      </w:pPr>
    </w:p>
    <w:p w14:paraId="5621469A">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7"/>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6"/>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before="161" w:beforeLines="50"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驻马店市中心医院</w:t>
      </w:r>
      <w:r>
        <w:rPr>
          <w:rFonts w:hint="eastAsia" w:ascii="宋体" w:hAnsi="宋体" w:cs="宋体"/>
          <w:b/>
          <w:bCs w:val="0"/>
          <w:color w:val="auto"/>
          <w:kern w:val="0"/>
          <w:sz w:val="28"/>
          <w:szCs w:val="28"/>
          <w:highlight w:val="none"/>
          <w:u w:val="none"/>
          <w:lang w:val="en-US" w:eastAsia="zh-CN"/>
        </w:rPr>
        <w:t>全自动内镜清洗消毒机、多功能电动床采购项目</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 xml:space="preserve"> 全自动内镜清洗消毒机、多功能电动床采购项目 </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w:t>
      </w:r>
      <w:r>
        <w:rPr>
          <w:rFonts w:hint="eastAsia" w:ascii="宋体" w:hAnsi="宋体" w:cs="宋体"/>
          <w:color w:val="auto"/>
          <w:szCs w:val="21"/>
          <w:highlight w:val="none"/>
          <w:shd w:val="clear" w:color="auto" w:fill="FFFFFF"/>
          <w:lang w:val="en-US" w:eastAsia="zh-CN"/>
        </w:rPr>
        <w:t>全自动内镜清洗消毒机、多功能电动床采购项目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46.8万元（包1：7.8万元；包2：24万元；包3：15万元）；</w:t>
      </w:r>
    </w:p>
    <w:p w14:paraId="68B9D61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4、交货期：合同签订后30日内交货</w:t>
      </w:r>
      <w:r>
        <w:rPr>
          <w:rFonts w:hint="eastAsia" w:ascii="宋体" w:hAnsi="宋体" w:eastAsia="宋体" w:cs="宋体"/>
          <w:color w:val="auto"/>
          <w:szCs w:val="21"/>
          <w:highlight w:val="none"/>
          <w:shd w:val="clear" w:color="auto" w:fill="FFFFFF"/>
          <w:lang w:val="en-US" w:eastAsia="zh-CN"/>
        </w:rPr>
        <w:t>；</w:t>
      </w:r>
    </w:p>
    <w:p w14:paraId="77C31AC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szCs w:val="21"/>
          <w:highlight w:val="none"/>
          <w:shd w:val="clear" w:color="auto" w:fill="FFFFFF"/>
          <w:lang w:val="en-US" w:eastAsia="zh-CN"/>
        </w:rPr>
        <w:t>质保期：从产品入库之日起，整机保修三年，出具相关服务承诺书</w:t>
      </w:r>
      <w:r>
        <w:rPr>
          <w:rFonts w:hint="eastAsia" w:ascii="宋体" w:hAnsi="宋体" w:cs="宋体"/>
          <w:color w:val="auto"/>
          <w:szCs w:val="21"/>
          <w:highlight w:val="none"/>
          <w:shd w:val="clear" w:color="auto" w:fill="FFFFFF"/>
          <w:lang w:val="en-US" w:eastAsia="zh-CN"/>
        </w:rPr>
        <w:t>；</w:t>
      </w:r>
    </w:p>
    <w:p w14:paraId="3E64BF7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符合国家质量标准、部颁标准、行业标准，</w:t>
      </w:r>
      <w:r>
        <w:rPr>
          <w:rFonts w:hint="eastAsia" w:ascii="宋体" w:hAnsi="宋体" w:cs="宋体"/>
          <w:color w:val="auto"/>
          <w:szCs w:val="21"/>
          <w:highlight w:val="none"/>
          <w:shd w:val="clear" w:color="auto" w:fill="FFFFFF"/>
          <w:lang w:val="en-US" w:eastAsia="zh-CN"/>
        </w:rPr>
        <w:t>并</w:t>
      </w:r>
      <w:r>
        <w:rPr>
          <w:rFonts w:hint="eastAsia" w:ascii="宋体" w:hAnsi="宋体" w:eastAsia="宋体" w:cs="宋体"/>
          <w:color w:val="auto"/>
          <w:szCs w:val="21"/>
          <w:highlight w:val="none"/>
          <w:shd w:val="clear" w:color="auto" w:fill="FFFFFF"/>
          <w:lang w:val="en-US" w:eastAsia="zh-CN"/>
        </w:rPr>
        <w:t>满足磋商文件要求</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7704"/>
      <w:bookmarkStart w:id="5" w:name="_Toc16639"/>
      <w:bookmarkStart w:id="6" w:name="_Toc18607"/>
      <w:bookmarkStart w:id="7" w:name="_Toc23626"/>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30643"/>
      <w:bookmarkStart w:id="9" w:name="_Toc30971"/>
      <w:bookmarkStart w:id="10" w:name="_Toc9562"/>
      <w:bookmarkStart w:id="11" w:name="_Toc23395"/>
      <w:bookmarkStart w:id="12" w:name="_Toc7823"/>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。须</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w:t>
      </w:r>
    </w:p>
    <w:p w14:paraId="507533C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为代理商（经销商）时，须具有医疗器械经营许可证或医疗器械经营备案凭证（从事第一类医疗器械经营活动的除外）；</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cs="宋体"/>
          <w:color w:val="auto"/>
          <w:szCs w:val="21"/>
          <w:highlight w:val="none"/>
          <w:shd w:val="clear" w:color="auto" w:fill="FFFFFF"/>
          <w:lang w:val="en-US" w:eastAsia="zh-CN"/>
        </w:rPr>
        <w:t>；</w:t>
      </w:r>
    </w:p>
    <w:p w14:paraId="523822F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21</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25</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371793315</w:t>
      </w:r>
      <w:r>
        <w:rPr>
          <w:rFonts w:hint="eastAsia" w:ascii="宋体" w:hAnsi="宋体" w:eastAsia="宋体" w:cs="宋体"/>
          <w:color w:val="auto"/>
          <w:kern w:val="0"/>
          <w:sz w:val="21"/>
          <w:szCs w:val="21"/>
          <w:highlight w:val="none"/>
          <w:shd w:val="clear" w:color="auto" w:fill="FFFFFF"/>
          <w:lang w:val="en-US" w:eastAsia="zh-CN" w:bidi="ar-SA"/>
        </w:rPr>
        <w:t>@qq.com,并标明XX公司XX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7480"/>
      <w:bookmarkStart w:id="14" w:name="_Toc10738"/>
      <w:bookmarkStart w:id="15" w:name="_Toc15111"/>
      <w:bookmarkStart w:id="16" w:name="_Toc15135"/>
      <w:bookmarkStart w:id="17" w:name="_Toc25869"/>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9784"/>
      <w:bookmarkStart w:id="19" w:name="_Toc30918"/>
      <w:bookmarkStart w:id="20" w:name="_Toc20287"/>
      <w:bookmarkStart w:id="21" w:name="_Toc6523"/>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7370"/>
      <w:bookmarkStart w:id="25" w:name="_Toc24274"/>
      <w:bookmarkStart w:id="26" w:name="_Toc3604"/>
      <w:bookmarkStart w:id="27" w:name="_Toc16291"/>
      <w:bookmarkStart w:id="28" w:name="_Toc31928"/>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w:t>
      </w:r>
      <w:bookmarkStart w:id="101" w:name="_GoBack"/>
      <w:bookmarkEnd w:id="101"/>
      <w:r>
        <w:rPr>
          <w:rFonts w:hint="eastAsia" w:ascii="宋体" w:hAnsi="宋体" w:eastAsia="宋体" w:cs="宋体"/>
          <w:color w:val="auto"/>
          <w:kern w:val="0"/>
          <w:sz w:val="21"/>
          <w:szCs w:val="21"/>
          <w:highlight w:val="none"/>
          <w:shd w:val="clear" w:color="auto" w:fill="FFFFFF"/>
          <w:lang w:val="en-US" w:eastAsia="zh-CN" w:bidi="ar-SA"/>
        </w:rPr>
        <w:t>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5FF9272A">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采购代理机构：恒信咨询管理有限公司</w:t>
      </w:r>
    </w:p>
    <w:p w14:paraId="5EA7CFB2">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地址：郑州市电厂路河南省国家大学科技园（东区）16号楼B座6楼</w:t>
      </w:r>
    </w:p>
    <w:p w14:paraId="1587C182">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联系人：杨先生</w:t>
      </w:r>
    </w:p>
    <w:p w14:paraId="04B53D9E">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联系方式：18300706635</w:t>
      </w:r>
    </w:p>
    <w:p w14:paraId="2BB1501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2"/>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11</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20</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23610"/>
      <w:bookmarkStart w:id="34" w:name="_Toc31536"/>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eastAsia="宋体" w:cs="宋体"/>
          <w:b w:val="0"/>
          <w:bCs w:val="0"/>
          <w:i w:val="0"/>
          <w:iCs/>
          <w:color w:val="auto"/>
          <w:sz w:val="21"/>
          <w:szCs w:val="21"/>
          <w:highlight w:val="none"/>
          <w:u w:val="none"/>
          <w:lang w:val="en-US" w:eastAsia="zh-CN"/>
        </w:rPr>
        <w:t>驻马店市中心医院</w:t>
      </w:r>
      <w:r>
        <w:rPr>
          <w:rFonts w:hint="eastAsia" w:ascii="宋体" w:hAnsi="宋体" w:cs="宋体"/>
          <w:b w:val="0"/>
          <w:bCs w:val="0"/>
          <w:i w:val="0"/>
          <w:iCs/>
          <w:color w:val="auto"/>
          <w:sz w:val="21"/>
          <w:szCs w:val="21"/>
          <w:highlight w:val="none"/>
          <w:u w:val="none"/>
          <w:lang w:val="en-US" w:eastAsia="zh-CN"/>
        </w:rPr>
        <w:t>全自动内镜清洗消毒机、多功能电动床采购项目</w:t>
      </w:r>
    </w:p>
    <w:p w14:paraId="774013E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6"/>
        <w:tblW w:w="9399"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770"/>
        <w:gridCol w:w="2589"/>
        <w:gridCol w:w="758"/>
        <w:gridCol w:w="1058"/>
        <w:gridCol w:w="1155"/>
        <w:gridCol w:w="1110"/>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Align w:val="center"/>
          </w:tcPr>
          <w:p w14:paraId="3F52256E">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lang w:val="en-US" w:eastAsia="zh-CN"/>
              </w:rPr>
              <w:t>包号</w:t>
            </w:r>
          </w:p>
        </w:tc>
        <w:tc>
          <w:tcPr>
            <w:tcW w:w="770" w:type="dxa"/>
            <w:vAlign w:val="center"/>
          </w:tcPr>
          <w:p w14:paraId="7BB03108">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rPr>
              <w:t>序号</w:t>
            </w:r>
          </w:p>
        </w:tc>
        <w:tc>
          <w:tcPr>
            <w:tcW w:w="2589" w:type="dxa"/>
            <w:vAlign w:val="center"/>
          </w:tcPr>
          <w:p w14:paraId="1C818719">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rPr>
              <w:t>标的名称</w:t>
            </w:r>
          </w:p>
        </w:tc>
        <w:tc>
          <w:tcPr>
            <w:tcW w:w="758" w:type="dxa"/>
            <w:vAlign w:val="center"/>
          </w:tcPr>
          <w:p w14:paraId="2AF52A7A">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lang w:val="en-US" w:eastAsia="zh-CN"/>
              </w:rPr>
              <w:t>单位</w:t>
            </w:r>
          </w:p>
        </w:tc>
        <w:tc>
          <w:tcPr>
            <w:tcW w:w="1058" w:type="dxa"/>
            <w:vAlign w:val="center"/>
          </w:tcPr>
          <w:p w14:paraId="78A9F1D6">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rPr>
              <w:t>数量</w:t>
            </w:r>
          </w:p>
        </w:tc>
        <w:tc>
          <w:tcPr>
            <w:tcW w:w="1155" w:type="dxa"/>
            <w:vAlign w:val="center"/>
          </w:tcPr>
          <w:p w14:paraId="6B30069A">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资金</w:t>
            </w:r>
          </w:p>
          <w:p w14:paraId="2B0E3D5E">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rPr>
              <w:t>预算</w:t>
            </w:r>
          </w:p>
        </w:tc>
        <w:tc>
          <w:tcPr>
            <w:tcW w:w="1110" w:type="dxa"/>
            <w:vAlign w:val="center"/>
          </w:tcPr>
          <w:p w14:paraId="21D56ED3">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资金</w:t>
            </w:r>
          </w:p>
          <w:p w14:paraId="0614D66D">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lang w:val="en-US" w:eastAsia="zh-CN"/>
              </w:rPr>
              <w:t>性质</w:t>
            </w:r>
          </w:p>
        </w:tc>
        <w:tc>
          <w:tcPr>
            <w:tcW w:w="1245" w:type="dxa"/>
            <w:vAlign w:val="center"/>
          </w:tcPr>
          <w:p w14:paraId="3857CC78">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国产/</w:t>
            </w:r>
          </w:p>
          <w:p w14:paraId="5C5B6DF6">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z w:val="21"/>
                <w:szCs w:val="21"/>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14"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包1</w:t>
            </w:r>
          </w:p>
        </w:tc>
        <w:tc>
          <w:tcPr>
            <w:tcW w:w="77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1</w:t>
            </w:r>
          </w:p>
        </w:tc>
        <w:tc>
          <w:tcPr>
            <w:tcW w:w="2589"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default" w:ascii="宋体" w:hAnsi="宋体" w:eastAsia="宋体" w:cs="宋体"/>
                <w:sz w:val="21"/>
                <w:szCs w:val="21"/>
                <w:u w:val="none"/>
                <w:vertAlign w:val="baseline"/>
                <w:lang w:val="en-US" w:eastAsia="zh-CN"/>
              </w:rPr>
              <w:t>全自动内镜清洗消毒机</w:t>
            </w:r>
          </w:p>
        </w:tc>
        <w:tc>
          <w:tcPr>
            <w:tcW w:w="758"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台</w:t>
            </w:r>
          </w:p>
        </w:tc>
        <w:tc>
          <w:tcPr>
            <w:tcW w:w="1058"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1</w:t>
            </w:r>
          </w:p>
        </w:tc>
        <w:tc>
          <w:tcPr>
            <w:tcW w:w="1155"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7.8万元</w:t>
            </w:r>
          </w:p>
        </w:tc>
        <w:tc>
          <w:tcPr>
            <w:tcW w:w="111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自筹</w:t>
            </w:r>
          </w:p>
        </w:tc>
        <w:tc>
          <w:tcPr>
            <w:tcW w:w="1245"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国产</w:t>
            </w:r>
          </w:p>
        </w:tc>
      </w:tr>
      <w:tr w14:paraId="529F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14" w:type="dxa"/>
            <w:vAlign w:val="center"/>
          </w:tcPr>
          <w:p w14:paraId="2CD53C73">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包2</w:t>
            </w:r>
          </w:p>
        </w:tc>
        <w:tc>
          <w:tcPr>
            <w:tcW w:w="770" w:type="dxa"/>
            <w:shd w:val="clear" w:color="auto" w:fill="auto"/>
            <w:vAlign w:val="center"/>
          </w:tcPr>
          <w:p w14:paraId="4AE55060">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1</w:t>
            </w:r>
          </w:p>
        </w:tc>
        <w:tc>
          <w:tcPr>
            <w:tcW w:w="2589" w:type="dxa"/>
            <w:shd w:val="clear" w:color="auto" w:fill="auto"/>
            <w:vAlign w:val="center"/>
          </w:tcPr>
          <w:p w14:paraId="5EA08D0E">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多功能电动床</w:t>
            </w:r>
          </w:p>
        </w:tc>
        <w:tc>
          <w:tcPr>
            <w:tcW w:w="758" w:type="dxa"/>
            <w:shd w:val="clear" w:color="auto" w:fill="auto"/>
            <w:vAlign w:val="center"/>
          </w:tcPr>
          <w:p w14:paraId="61EFC4D4">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台</w:t>
            </w:r>
          </w:p>
        </w:tc>
        <w:tc>
          <w:tcPr>
            <w:tcW w:w="1058" w:type="dxa"/>
            <w:shd w:val="clear" w:color="auto" w:fill="auto"/>
            <w:vAlign w:val="center"/>
          </w:tcPr>
          <w:p w14:paraId="5ABDA564">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16</w:t>
            </w:r>
          </w:p>
        </w:tc>
        <w:tc>
          <w:tcPr>
            <w:tcW w:w="1155" w:type="dxa"/>
            <w:shd w:val="clear" w:color="auto" w:fill="auto"/>
            <w:vAlign w:val="center"/>
          </w:tcPr>
          <w:p w14:paraId="5D6E99EF">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24万元</w:t>
            </w:r>
          </w:p>
        </w:tc>
        <w:tc>
          <w:tcPr>
            <w:tcW w:w="1110" w:type="dxa"/>
            <w:shd w:val="clear" w:color="auto" w:fill="auto"/>
            <w:vAlign w:val="center"/>
          </w:tcPr>
          <w:p w14:paraId="6CCFD4EE">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自筹</w:t>
            </w:r>
          </w:p>
        </w:tc>
        <w:tc>
          <w:tcPr>
            <w:tcW w:w="1245" w:type="dxa"/>
            <w:shd w:val="clear" w:color="auto" w:fill="auto"/>
            <w:vAlign w:val="center"/>
          </w:tcPr>
          <w:p w14:paraId="4090A136">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国产</w:t>
            </w:r>
          </w:p>
        </w:tc>
      </w:tr>
      <w:tr w14:paraId="4C53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14" w:type="dxa"/>
            <w:vAlign w:val="center"/>
          </w:tcPr>
          <w:p w14:paraId="494DA023">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包3</w:t>
            </w:r>
          </w:p>
        </w:tc>
        <w:tc>
          <w:tcPr>
            <w:tcW w:w="770" w:type="dxa"/>
            <w:shd w:val="clear" w:color="auto" w:fill="auto"/>
            <w:vAlign w:val="center"/>
          </w:tcPr>
          <w:p w14:paraId="24AB2CDB">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1</w:t>
            </w:r>
          </w:p>
        </w:tc>
        <w:tc>
          <w:tcPr>
            <w:tcW w:w="2589" w:type="dxa"/>
            <w:shd w:val="clear" w:color="auto" w:fill="auto"/>
            <w:vAlign w:val="center"/>
          </w:tcPr>
          <w:p w14:paraId="35D03D3F">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亚低温治疗仪</w:t>
            </w:r>
          </w:p>
        </w:tc>
        <w:tc>
          <w:tcPr>
            <w:tcW w:w="758" w:type="dxa"/>
            <w:shd w:val="clear" w:color="auto" w:fill="auto"/>
            <w:vAlign w:val="center"/>
          </w:tcPr>
          <w:p w14:paraId="26D07A60">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台</w:t>
            </w:r>
          </w:p>
        </w:tc>
        <w:tc>
          <w:tcPr>
            <w:tcW w:w="1058" w:type="dxa"/>
            <w:shd w:val="clear" w:color="auto" w:fill="auto"/>
            <w:vAlign w:val="center"/>
          </w:tcPr>
          <w:p w14:paraId="7E424670">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5</w:t>
            </w:r>
          </w:p>
        </w:tc>
        <w:tc>
          <w:tcPr>
            <w:tcW w:w="1155" w:type="dxa"/>
            <w:shd w:val="clear" w:color="auto" w:fill="auto"/>
            <w:vAlign w:val="center"/>
          </w:tcPr>
          <w:p w14:paraId="4F09653A">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15万元</w:t>
            </w:r>
          </w:p>
        </w:tc>
        <w:tc>
          <w:tcPr>
            <w:tcW w:w="1110" w:type="dxa"/>
            <w:shd w:val="clear" w:color="auto" w:fill="auto"/>
            <w:vAlign w:val="center"/>
          </w:tcPr>
          <w:p w14:paraId="694F6CA4">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自筹</w:t>
            </w:r>
          </w:p>
        </w:tc>
        <w:tc>
          <w:tcPr>
            <w:tcW w:w="1245" w:type="dxa"/>
            <w:shd w:val="clear" w:color="auto" w:fill="auto"/>
            <w:vAlign w:val="center"/>
          </w:tcPr>
          <w:p w14:paraId="114200AD">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国产</w:t>
            </w:r>
          </w:p>
        </w:tc>
      </w:tr>
      <w:tr w14:paraId="01F2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4" w:type="dxa"/>
            <w:gridSpan w:val="2"/>
            <w:vAlign w:val="center"/>
          </w:tcPr>
          <w:p w14:paraId="08DCAADF">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b/>
                <w:bCs/>
                <w:sz w:val="21"/>
                <w:szCs w:val="21"/>
                <w:vertAlign w:val="baseline"/>
                <w:lang w:val="en-US" w:eastAsia="zh-CN"/>
              </w:rPr>
              <w:t>合计</w:t>
            </w:r>
          </w:p>
        </w:tc>
        <w:tc>
          <w:tcPr>
            <w:tcW w:w="2589" w:type="dxa"/>
            <w:vAlign w:val="center"/>
          </w:tcPr>
          <w:p w14:paraId="190ACA53">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p>
        </w:tc>
        <w:tc>
          <w:tcPr>
            <w:tcW w:w="758" w:type="dxa"/>
            <w:vAlign w:val="center"/>
          </w:tcPr>
          <w:p w14:paraId="3F44E2F4">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p>
        </w:tc>
        <w:tc>
          <w:tcPr>
            <w:tcW w:w="1058" w:type="dxa"/>
            <w:vAlign w:val="center"/>
          </w:tcPr>
          <w:p w14:paraId="00554BA7">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p>
        </w:tc>
        <w:tc>
          <w:tcPr>
            <w:tcW w:w="1155" w:type="dxa"/>
            <w:vAlign w:val="center"/>
          </w:tcPr>
          <w:p w14:paraId="01417C2D">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46.8万元</w:t>
            </w:r>
          </w:p>
        </w:tc>
        <w:tc>
          <w:tcPr>
            <w:tcW w:w="1110" w:type="dxa"/>
            <w:vAlign w:val="center"/>
          </w:tcPr>
          <w:p w14:paraId="66CDD086">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rPr>
            </w:pPr>
          </w:p>
        </w:tc>
        <w:tc>
          <w:tcPr>
            <w:tcW w:w="1245" w:type="dxa"/>
            <w:vAlign w:val="center"/>
          </w:tcPr>
          <w:p w14:paraId="7609A0BA">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rPr>
            </w:pPr>
          </w:p>
        </w:tc>
      </w:tr>
      <w:tr w14:paraId="4D7D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4" w:type="dxa"/>
            <w:gridSpan w:val="2"/>
            <w:vAlign w:val="center"/>
          </w:tcPr>
          <w:p w14:paraId="0B74D5E0">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b/>
                <w:bCs/>
                <w:sz w:val="21"/>
                <w:szCs w:val="21"/>
                <w:vertAlign w:val="baseline"/>
                <w:lang w:val="en-US" w:eastAsia="zh-CN"/>
              </w:rPr>
              <w:t>备注</w:t>
            </w:r>
          </w:p>
        </w:tc>
        <w:tc>
          <w:tcPr>
            <w:tcW w:w="7915" w:type="dxa"/>
            <w:gridSpan w:val="6"/>
            <w:vAlign w:val="center"/>
          </w:tcPr>
          <w:p w14:paraId="03066326">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both"/>
              <w:textAlignment w:val="auto"/>
              <w:rPr>
                <w:rFonts w:hint="eastAsia" w:ascii="宋体" w:hAnsi="宋体" w:eastAsia="宋体" w:cs="宋体"/>
                <w:sz w:val="21"/>
                <w:szCs w:val="21"/>
              </w:rPr>
            </w:pPr>
          </w:p>
        </w:tc>
      </w:tr>
    </w:tbl>
    <w:p w14:paraId="2B6ADEBC">
      <w:pPr>
        <w:keepNext w:val="0"/>
        <w:keepLines w:val="0"/>
        <w:pageBreakBefore w:val="0"/>
        <w:widowControl w:val="0"/>
        <w:numPr>
          <w:ilvl w:val="0"/>
          <w:numId w:val="0"/>
        </w:numPr>
        <w:kinsoku/>
        <w:wordWrap/>
        <w:overflowPunct/>
        <w:topLinePunct w:val="0"/>
        <w:autoSpaceDE/>
        <w:autoSpaceDN/>
        <w:bidi w:val="0"/>
        <w:adjustRightInd/>
        <w:snapToGrid w:val="0"/>
        <w:spacing w:line="192" w:lineRule="auto"/>
        <w:textAlignment w:val="auto"/>
        <w:rPr>
          <w:rFonts w:hint="eastAsia" w:ascii="宋体" w:hAnsi="宋体" w:eastAsia="宋体" w:cs="宋体"/>
          <w:b/>
          <w:bCs/>
          <w:color w:val="auto"/>
          <w:kern w:val="2"/>
          <w:sz w:val="21"/>
          <w:szCs w:val="24"/>
          <w:highlight w:val="none"/>
          <w:lang w:val="en-US" w:eastAsia="zh-CN" w:bidi="ar-SA"/>
        </w:rPr>
      </w:pPr>
    </w:p>
    <w:p w14:paraId="10E84755">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p w14:paraId="61AF8CC4">
      <w:pPr>
        <w:keepNext w:val="0"/>
        <w:keepLines w:val="0"/>
        <w:pageBreakBefore w:val="0"/>
        <w:widowControl w:val="0"/>
        <w:kinsoku/>
        <w:wordWrap/>
        <w:overflowPunct/>
        <w:topLinePunct w:val="0"/>
        <w:autoSpaceDE/>
        <w:autoSpaceDN/>
        <w:bidi w:val="0"/>
        <w:adjustRightInd/>
        <w:snapToGrid w:val="0"/>
        <w:spacing w:line="480" w:lineRule="auto"/>
        <w:ind w:left="0"/>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包1：</w:t>
      </w:r>
      <w:r>
        <w:rPr>
          <w:rFonts w:hint="eastAsia" w:ascii="宋体" w:hAnsi="宋体" w:eastAsia="宋体" w:cs="宋体"/>
          <w:b/>
          <w:bCs/>
          <w:color w:val="auto"/>
          <w:sz w:val="24"/>
          <w:szCs w:val="24"/>
          <w:highlight w:val="none"/>
        </w:rPr>
        <w:t>全自动内镜清洗消毒机（双筒）</w:t>
      </w:r>
      <w:r>
        <w:rPr>
          <w:rFonts w:hint="eastAsia" w:ascii="宋体" w:hAnsi="宋体" w:eastAsia="宋体" w:cs="宋体"/>
          <w:b/>
          <w:bCs/>
          <w:color w:val="auto"/>
          <w:sz w:val="24"/>
          <w:szCs w:val="24"/>
          <w:highlight w:val="none"/>
          <w:lang w:eastAsia="zh-CN"/>
        </w:rPr>
        <w:t>技术参数</w:t>
      </w:r>
    </w:p>
    <w:p w14:paraId="23EBEEE8">
      <w:pPr>
        <w:keepNext w:val="0"/>
        <w:keepLines w:val="0"/>
        <w:pageBreakBefore w:val="0"/>
        <w:widowControl w:val="0"/>
        <w:kinsoku/>
        <w:wordWrap/>
        <w:overflowPunct/>
        <w:topLinePunct w:val="0"/>
        <w:autoSpaceDE/>
        <w:autoSpaceDN/>
        <w:bidi w:val="0"/>
        <w:adjustRightInd/>
        <w:snapToGrid w:val="0"/>
        <w:spacing w:line="360" w:lineRule="auto"/>
        <w:ind w:lef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 用途：适合于各种品牌、型号内窥镜的清洗和消毒需求，单台可同时处理≥2 条内镜</w:t>
      </w:r>
      <w:r>
        <w:rPr>
          <w:rFonts w:hint="eastAsia" w:ascii="宋体" w:hAnsi="宋体" w:eastAsia="宋体" w:cs="宋体"/>
          <w:color w:val="auto"/>
          <w:sz w:val="21"/>
          <w:szCs w:val="21"/>
          <w:highlight w:val="none"/>
          <w:lang w:eastAsia="zh-CN"/>
        </w:rPr>
        <w:t>。</w:t>
      </w:r>
    </w:p>
    <w:p w14:paraId="63638D6A">
      <w:pPr>
        <w:keepNext w:val="0"/>
        <w:keepLines w:val="0"/>
        <w:pageBreakBefore w:val="0"/>
        <w:widowControl w:val="0"/>
        <w:kinsoku/>
        <w:wordWrap/>
        <w:overflowPunct/>
        <w:topLinePunct w:val="0"/>
        <w:autoSpaceDE/>
        <w:autoSpaceDN/>
        <w:bidi w:val="0"/>
        <w:adjustRightInd/>
        <w:snapToGrid w:val="0"/>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整机嵌入式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底部储液箱容量≥14L，清洗槽容量≥9L。酶液储存箱容量：≥1.5L，酒精储存箱容量：≥1.5L。</w:t>
      </w:r>
    </w:p>
    <w:p w14:paraId="130697AA">
      <w:pPr>
        <w:keepNext w:val="0"/>
        <w:keepLines w:val="0"/>
        <w:pageBreakBefore w:val="0"/>
        <w:widowControl w:val="0"/>
        <w:kinsoku/>
        <w:wordWrap/>
        <w:overflowPunct/>
        <w:topLinePunct w:val="0"/>
        <w:autoSpaceDE/>
        <w:autoSpaceDN/>
        <w:bidi w:val="0"/>
        <w:adjustRightInd/>
        <w:snapToGrid w:val="0"/>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具有全程故障报警功能、清洗酶液不足报警、酒精不足报警、内镜漏气报警、消毒液储液箱液位低报警等。</w:t>
      </w:r>
    </w:p>
    <w:p w14:paraId="7BB802A1">
      <w:pPr>
        <w:keepNext w:val="0"/>
        <w:keepLines w:val="0"/>
        <w:pageBreakBefore w:val="0"/>
        <w:widowControl w:val="0"/>
        <w:kinsoku/>
        <w:wordWrap/>
        <w:overflowPunct/>
        <w:topLinePunct w:val="0"/>
        <w:autoSpaceDE/>
        <w:autoSpaceDN/>
        <w:bidi w:val="0"/>
        <w:adjustRightInd/>
        <w:snapToGrid w:val="0"/>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配备≥7 英寸触摸液晶彩色控制显示屏，中文显示，控制界面与参数设置界面分开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控制系统具有远程升级功能</w:t>
      </w:r>
      <w:r>
        <w:rPr>
          <w:rFonts w:hint="eastAsia" w:ascii="宋体" w:hAnsi="宋体" w:eastAsia="宋体" w:cs="宋体"/>
          <w:color w:val="auto"/>
          <w:sz w:val="21"/>
          <w:szCs w:val="21"/>
          <w:highlight w:val="none"/>
        </w:rPr>
        <w:t>。</w:t>
      </w:r>
    </w:p>
    <w:p w14:paraId="2981CADD">
      <w:pPr>
        <w:keepNext w:val="0"/>
        <w:keepLines w:val="0"/>
        <w:pageBreakBefore w:val="0"/>
        <w:widowControl w:val="0"/>
        <w:kinsoku/>
        <w:wordWrap/>
        <w:overflowPunct/>
        <w:topLinePunct w:val="0"/>
        <w:autoSpaceDE/>
        <w:autoSpaceDN/>
        <w:bidi w:val="0"/>
        <w:adjustRightInd/>
        <w:snapToGrid w:val="0"/>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具备清洗全过程持续测漏监控功能，数字式连续测漏，内镜漏气报警。</w:t>
      </w:r>
    </w:p>
    <w:p w14:paraId="6F467BAE">
      <w:pPr>
        <w:keepNext w:val="0"/>
        <w:keepLines w:val="0"/>
        <w:pageBreakBefore w:val="0"/>
        <w:widowControl w:val="0"/>
        <w:kinsoku/>
        <w:wordWrap/>
        <w:overflowPunct/>
        <w:topLinePunct w:val="0"/>
        <w:autoSpaceDE/>
        <w:autoSpaceDN/>
        <w:bidi w:val="0"/>
        <w:adjustRightInd/>
        <w:snapToGrid w:val="0"/>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具备</w:t>
      </w:r>
      <w:r>
        <w:rPr>
          <w:rFonts w:hint="eastAsia" w:ascii="宋体" w:hAnsi="宋体" w:eastAsia="宋体" w:cs="宋体"/>
          <w:color w:val="auto"/>
          <w:sz w:val="21"/>
          <w:szCs w:val="21"/>
          <w:highlight w:val="none"/>
        </w:rPr>
        <w:t>三通道清洗设计，配备全自动灌流系统。</w:t>
      </w:r>
    </w:p>
    <w:p w14:paraId="3393A9B2">
      <w:pPr>
        <w:keepNext w:val="0"/>
        <w:keepLines w:val="0"/>
        <w:pageBreakBefore w:val="0"/>
        <w:widowControl w:val="0"/>
        <w:kinsoku/>
        <w:wordWrap/>
        <w:overflowPunct/>
        <w:topLinePunct w:val="0"/>
        <w:autoSpaceDE/>
        <w:autoSpaceDN/>
        <w:bidi w:val="0"/>
        <w:adjustRightInd/>
        <w:snapToGrid w:val="0"/>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 具有清洗消毒机自身消毒功能。</w:t>
      </w:r>
    </w:p>
    <w:p w14:paraId="6A45FEE3">
      <w:pPr>
        <w:keepNext w:val="0"/>
        <w:keepLines w:val="0"/>
        <w:pageBreakBefore w:val="0"/>
        <w:widowControl w:val="0"/>
        <w:kinsoku/>
        <w:wordWrap/>
        <w:overflowPunct/>
        <w:topLinePunct w:val="0"/>
        <w:autoSpaceDE/>
        <w:autoSpaceDN/>
        <w:bidi w:val="0"/>
        <w:adjustRightInd/>
        <w:snapToGrid w:val="0"/>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 配备多种工作模式：洗消模式、晨消模式、终末消毒模式、自身消毒模式、标准洗消等。</w:t>
      </w:r>
    </w:p>
    <w:p w14:paraId="15F72183">
      <w:pPr>
        <w:keepNext w:val="0"/>
        <w:keepLines w:val="0"/>
        <w:pageBreakBefore w:val="0"/>
        <w:widowControl w:val="0"/>
        <w:kinsoku/>
        <w:wordWrap/>
        <w:overflowPunct/>
        <w:topLinePunct w:val="0"/>
        <w:autoSpaceDE/>
        <w:autoSpaceDN/>
        <w:bidi w:val="0"/>
        <w:adjustRightInd/>
        <w:snapToGrid w:val="0"/>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 xml:space="preserve"> 具有酶洗功能：可根据酶液要求按比例自动添加，全过程恒温酶洗。</w:t>
      </w:r>
    </w:p>
    <w:p w14:paraId="5AA96C6F">
      <w:pPr>
        <w:keepNext w:val="0"/>
        <w:keepLines w:val="0"/>
        <w:pageBreakBefore w:val="0"/>
        <w:widowControl w:val="0"/>
        <w:kinsoku/>
        <w:wordWrap/>
        <w:overflowPunct/>
        <w:topLinePunct w:val="0"/>
        <w:autoSpaceDE/>
        <w:autoSpaceDN/>
        <w:bidi w:val="0"/>
        <w:adjustRightInd/>
        <w:snapToGrid w:val="0"/>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 xml:space="preserve"> 具有酒精干燥功能：可自动进行酒精消毒并吹干。单次注入时间≤2S，吹干时间≥1s-99min59s，可调节。</w:t>
      </w:r>
    </w:p>
    <w:p w14:paraId="5FCFDF2E">
      <w:pPr>
        <w:keepNext w:val="0"/>
        <w:keepLines w:val="0"/>
        <w:pageBreakBefore w:val="0"/>
        <w:widowControl w:val="0"/>
        <w:kinsoku/>
        <w:wordWrap/>
        <w:overflowPunct/>
        <w:topLinePunct w:val="0"/>
        <w:autoSpaceDE/>
        <w:autoSpaceDN/>
        <w:bidi w:val="0"/>
        <w:adjustRightInd/>
        <w:snapToGrid w:val="0"/>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 消毒灭菌时间可根据消毒液生产商说明书使用要求进行调整。</w:t>
      </w:r>
    </w:p>
    <w:p w14:paraId="157034E4">
      <w:pPr>
        <w:keepNext w:val="0"/>
        <w:keepLines w:val="0"/>
        <w:pageBreakBefore w:val="0"/>
        <w:widowControl w:val="0"/>
        <w:kinsoku/>
        <w:wordWrap/>
        <w:overflowPunct/>
        <w:topLinePunct w:val="0"/>
        <w:autoSpaceDE/>
        <w:autoSpaceDN/>
        <w:bidi w:val="0"/>
        <w:adjustRightInd/>
        <w:snapToGrid w:val="0"/>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具有消毒液循环使用次数记录功能，次数自动记录并可显示。</w:t>
      </w:r>
    </w:p>
    <w:p w14:paraId="55842DAD">
      <w:pPr>
        <w:keepNext w:val="0"/>
        <w:keepLines w:val="0"/>
        <w:pageBreakBefore w:val="0"/>
        <w:widowControl w:val="0"/>
        <w:kinsoku/>
        <w:wordWrap/>
        <w:overflowPunct/>
        <w:topLinePunct w:val="0"/>
        <w:autoSpaceDE/>
        <w:autoSpaceDN/>
        <w:bidi w:val="0"/>
        <w:adjustRightInd/>
        <w:snapToGrid w:val="0"/>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具有打印功能。</w:t>
      </w:r>
    </w:p>
    <w:p w14:paraId="26CD31E6">
      <w:pPr>
        <w:keepNext w:val="0"/>
        <w:keepLines w:val="0"/>
        <w:pageBreakBefore w:val="0"/>
        <w:widowControl w:val="0"/>
        <w:kinsoku/>
        <w:wordWrap/>
        <w:overflowPunct/>
        <w:topLinePunct w:val="0"/>
        <w:autoSpaceDE/>
        <w:autoSpaceDN/>
        <w:bidi w:val="0"/>
        <w:adjustRightInd/>
        <w:snapToGrid w:val="0"/>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配备追溯接口。</w:t>
      </w:r>
    </w:p>
    <w:p w14:paraId="317A8665">
      <w:pPr>
        <w:keepNext w:val="0"/>
        <w:keepLines w:val="0"/>
        <w:pageBreakBefore w:val="0"/>
        <w:widowControl w:val="0"/>
        <w:kinsoku/>
        <w:wordWrap/>
        <w:overflowPunct/>
        <w:topLinePunct w:val="0"/>
        <w:autoSpaceDE/>
        <w:autoSpaceDN/>
        <w:bidi w:val="0"/>
        <w:adjustRightInd/>
        <w:snapToGrid w:val="0"/>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脚踏电动开关，面板控制开关等多种开盖方式，槽盖为透明钢化玻璃材质。</w:t>
      </w:r>
    </w:p>
    <w:p w14:paraId="0934DE35">
      <w:pPr>
        <w:keepNext w:val="0"/>
        <w:keepLines w:val="0"/>
        <w:pageBreakBefore w:val="0"/>
        <w:widowControl w:val="0"/>
        <w:kinsoku/>
        <w:wordWrap/>
        <w:overflowPunct/>
        <w:topLinePunct w:val="0"/>
        <w:autoSpaceDE/>
        <w:autoSpaceDN/>
        <w:bidi w:val="0"/>
        <w:adjustRightInd/>
        <w:snapToGrid w:val="0"/>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配备 1μm 水处理器和 0.2μm 水处理器，菌落总数≤10CFU/100ml。进排水具有增压功能。</w:t>
      </w:r>
    </w:p>
    <w:p w14:paraId="7C852A78">
      <w:pPr>
        <w:keepNext w:val="0"/>
        <w:keepLines w:val="0"/>
        <w:pageBreakBefore w:val="0"/>
        <w:widowControl w:val="0"/>
        <w:kinsoku/>
        <w:wordWrap/>
        <w:overflowPunct/>
        <w:topLinePunct w:val="0"/>
        <w:autoSpaceDE/>
        <w:autoSpaceDN/>
        <w:bidi w:val="0"/>
        <w:adjustRightInd/>
        <w:snapToGrid w:val="0"/>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 初洗、清洗、终末漂洗工作冲洗次数可调，流动水清洗。</w:t>
      </w:r>
    </w:p>
    <w:p w14:paraId="4DED80C1">
      <w:pPr>
        <w:keepNext w:val="0"/>
        <w:keepLines w:val="0"/>
        <w:pageBreakBefore w:val="0"/>
        <w:widowControl w:val="0"/>
        <w:kinsoku/>
        <w:wordWrap/>
        <w:overflowPunct/>
        <w:topLinePunct w:val="0"/>
        <w:autoSpaceDE/>
        <w:autoSpaceDN/>
        <w:bidi w:val="0"/>
        <w:adjustRightInd/>
        <w:snapToGrid w:val="0"/>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 处理过程中所用气体配备空气过滤洁净装置，对≥0.2um 以上颗粒的滤除率≥99.99%。</w:t>
      </w:r>
    </w:p>
    <w:p w14:paraId="493FFA28">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 xml:space="preserve"> 使用过氧乙酸消毒液、邻苯二甲醛、戊二醛消毒液对枯草杆菌黑色变种芽孢的消除对数值≥3.00。</w:t>
      </w:r>
    </w:p>
    <w:p w14:paraId="09E8C8AF">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配置清单</w:t>
      </w:r>
      <w:r>
        <w:rPr>
          <w:rFonts w:hint="eastAsia" w:ascii="宋体" w:hAnsi="宋体" w:eastAsia="宋体" w:cs="宋体"/>
          <w:b/>
          <w:bCs/>
          <w:color w:val="auto"/>
          <w:sz w:val="21"/>
          <w:szCs w:val="21"/>
          <w:highlight w:val="none"/>
          <w:lang w:eastAsia="zh-CN"/>
        </w:rPr>
        <w:t>（包含但不限于）</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4"/>
        <w:gridCol w:w="2292"/>
        <w:gridCol w:w="2294"/>
        <w:gridCol w:w="2294"/>
      </w:tblGrid>
      <w:tr w14:paraId="2EB7F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23" w:type="dxa"/>
            <w:noWrap w:val="0"/>
            <w:vAlign w:val="center"/>
          </w:tcPr>
          <w:p w14:paraId="5C2BBBB6">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配置</w:t>
            </w:r>
          </w:p>
        </w:tc>
        <w:tc>
          <w:tcPr>
            <w:tcW w:w="2323" w:type="dxa"/>
            <w:noWrap w:val="0"/>
            <w:vAlign w:val="center"/>
          </w:tcPr>
          <w:p w14:paraId="3B5BAEBF">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2323" w:type="dxa"/>
            <w:noWrap w:val="0"/>
            <w:vAlign w:val="center"/>
          </w:tcPr>
          <w:p w14:paraId="26825A4D">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配置</w:t>
            </w:r>
          </w:p>
        </w:tc>
        <w:tc>
          <w:tcPr>
            <w:tcW w:w="2324" w:type="dxa"/>
            <w:noWrap w:val="0"/>
            <w:vAlign w:val="center"/>
          </w:tcPr>
          <w:p w14:paraId="0F74128E">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14:paraId="3E9ED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23" w:type="dxa"/>
            <w:noWrap w:val="0"/>
            <w:vAlign w:val="center"/>
          </w:tcPr>
          <w:p w14:paraId="75FFF2DE">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壳体</w:t>
            </w:r>
          </w:p>
        </w:tc>
        <w:tc>
          <w:tcPr>
            <w:tcW w:w="2323" w:type="dxa"/>
            <w:noWrap w:val="0"/>
            <w:vAlign w:val="center"/>
          </w:tcPr>
          <w:p w14:paraId="052C2416">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1套</w:t>
            </w:r>
          </w:p>
        </w:tc>
        <w:tc>
          <w:tcPr>
            <w:tcW w:w="2323" w:type="dxa"/>
            <w:noWrap w:val="0"/>
            <w:vAlign w:val="center"/>
          </w:tcPr>
          <w:p w14:paraId="080A9331">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电动阀</w:t>
            </w:r>
          </w:p>
        </w:tc>
        <w:tc>
          <w:tcPr>
            <w:tcW w:w="2324" w:type="dxa"/>
            <w:noWrap w:val="0"/>
            <w:vAlign w:val="center"/>
          </w:tcPr>
          <w:p w14:paraId="4E29A522">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8个</w:t>
            </w:r>
          </w:p>
        </w:tc>
      </w:tr>
      <w:tr w14:paraId="3B9BA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23" w:type="dxa"/>
            <w:noWrap w:val="0"/>
            <w:vAlign w:val="center"/>
          </w:tcPr>
          <w:p w14:paraId="2F35DAD7">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循环泵</w:t>
            </w:r>
          </w:p>
        </w:tc>
        <w:tc>
          <w:tcPr>
            <w:tcW w:w="2323" w:type="dxa"/>
            <w:noWrap w:val="0"/>
            <w:vAlign w:val="center"/>
          </w:tcPr>
          <w:p w14:paraId="37D66055">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2台</w:t>
            </w:r>
          </w:p>
        </w:tc>
        <w:tc>
          <w:tcPr>
            <w:tcW w:w="2323" w:type="dxa"/>
            <w:noWrap w:val="0"/>
            <w:vAlign w:val="center"/>
          </w:tcPr>
          <w:p w14:paraId="28BD9461">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测漏气泵</w:t>
            </w:r>
          </w:p>
        </w:tc>
        <w:tc>
          <w:tcPr>
            <w:tcW w:w="2324" w:type="dxa"/>
            <w:noWrap w:val="0"/>
            <w:vAlign w:val="center"/>
          </w:tcPr>
          <w:p w14:paraId="6D220B94">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2台</w:t>
            </w:r>
          </w:p>
        </w:tc>
      </w:tr>
      <w:tr w14:paraId="1F0EE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23" w:type="dxa"/>
            <w:noWrap w:val="0"/>
            <w:vAlign w:val="center"/>
          </w:tcPr>
          <w:p w14:paraId="4BE780BC">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注气泵</w:t>
            </w:r>
          </w:p>
        </w:tc>
        <w:tc>
          <w:tcPr>
            <w:tcW w:w="2323" w:type="dxa"/>
            <w:noWrap w:val="0"/>
            <w:vAlign w:val="center"/>
          </w:tcPr>
          <w:p w14:paraId="45723112">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2台</w:t>
            </w:r>
          </w:p>
        </w:tc>
        <w:tc>
          <w:tcPr>
            <w:tcW w:w="2323" w:type="dxa"/>
            <w:noWrap w:val="0"/>
            <w:vAlign w:val="center"/>
          </w:tcPr>
          <w:p w14:paraId="6AD0D5A8">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消毒液储液箱</w:t>
            </w:r>
          </w:p>
        </w:tc>
        <w:tc>
          <w:tcPr>
            <w:tcW w:w="2324" w:type="dxa"/>
            <w:noWrap w:val="0"/>
            <w:vAlign w:val="center"/>
          </w:tcPr>
          <w:p w14:paraId="0F01806F">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2个</w:t>
            </w:r>
          </w:p>
        </w:tc>
      </w:tr>
      <w:tr w14:paraId="30E48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23" w:type="dxa"/>
            <w:noWrap w:val="0"/>
            <w:vAlign w:val="center"/>
          </w:tcPr>
          <w:p w14:paraId="5ACAB1DA">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酶液储液箱</w:t>
            </w:r>
          </w:p>
        </w:tc>
        <w:tc>
          <w:tcPr>
            <w:tcW w:w="2323" w:type="dxa"/>
            <w:noWrap w:val="0"/>
            <w:vAlign w:val="center"/>
          </w:tcPr>
          <w:p w14:paraId="050D87E0">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1个</w:t>
            </w:r>
          </w:p>
        </w:tc>
        <w:tc>
          <w:tcPr>
            <w:tcW w:w="2323" w:type="dxa"/>
            <w:noWrap w:val="0"/>
            <w:vAlign w:val="center"/>
          </w:tcPr>
          <w:p w14:paraId="732F7F39">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酒精储液箱</w:t>
            </w:r>
          </w:p>
        </w:tc>
        <w:tc>
          <w:tcPr>
            <w:tcW w:w="2324" w:type="dxa"/>
            <w:noWrap w:val="0"/>
            <w:vAlign w:val="center"/>
          </w:tcPr>
          <w:p w14:paraId="5ADF07B4">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1个</w:t>
            </w:r>
          </w:p>
        </w:tc>
      </w:tr>
      <w:tr w14:paraId="49293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23" w:type="dxa"/>
            <w:noWrap w:val="0"/>
            <w:vAlign w:val="center"/>
          </w:tcPr>
          <w:p w14:paraId="35F8CAEA">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抽消毒液泵</w:t>
            </w:r>
          </w:p>
        </w:tc>
        <w:tc>
          <w:tcPr>
            <w:tcW w:w="2323" w:type="dxa"/>
            <w:noWrap w:val="0"/>
            <w:vAlign w:val="center"/>
          </w:tcPr>
          <w:p w14:paraId="78C28BC5">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2台</w:t>
            </w:r>
          </w:p>
        </w:tc>
        <w:tc>
          <w:tcPr>
            <w:tcW w:w="2323" w:type="dxa"/>
            <w:noWrap w:val="0"/>
            <w:vAlign w:val="center"/>
          </w:tcPr>
          <w:p w14:paraId="745FECB2">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进水阀</w:t>
            </w:r>
          </w:p>
        </w:tc>
        <w:tc>
          <w:tcPr>
            <w:tcW w:w="2324" w:type="dxa"/>
            <w:noWrap w:val="0"/>
            <w:vAlign w:val="center"/>
          </w:tcPr>
          <w:p w14:paraId="2A6F15C8">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2个</w:t>
            </w:r>
          </w:p>
        </w:tc>
      </w:tr>
      <w:tr w14:paraId="336A0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23" w:type="dxa"/>
            <w:noWrap w:val="0"/>
            <w:vAlign w:val="center"/>
          </w:tcPr>
          <w:p w14:paraId="1F020D5B">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显示屏</w:t>
            </w:r>
          </w:p>
        </w:tc>
        <w:tc>
          <w:tcPr>
            <w:tcW w:w="2323" w:type="dxa"/>
            <w:noWrap w:val="0"/>
            <w:vAlign w:val="center"/>
          </w:tcPr>
          <w:p w14:paraId="593E5DF1">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1台</w:t>
            </w:r>
          </w:p>
        </w:tc>
        <w:tc>
          <w:tcPr>
            <w:tcW w:w="2323" w:type="dxa"/>
            <w:noWrap w:val="0"/>
            <w:vAlign w:val="center"/>
          </w:tcPr>
          <w:p w14:paraId="22163E3D">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控制系统</w:t>
            </w:r>
          </w:p>
        </w:tc>
        <w:tc>
          <w:tcPr>
            <w:tcW w:w="2324" w:type="dxa"/>
            <w:noWrap w:val="0"/>
            <w:vAlign w:val="center"/>
          </w:tcPr>
          <w:p w14:paraId="6077F89A">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1套</w:t>
            </w:r>
          </w:p>
        </w:tc>
      </w:tr>
      <w:tr w14:paraId="7BF47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23" w:type="dxa"/>
            <w:noWrap w:val="0"/>
            <w:vAlign w:val="center"/>
          </w:tcPr>
          <w:p w14:paraId="596D0827">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抽酶液泵</w:t>
            </w:r>
          </w:p>
        </w:tc>
        <w:tc>
          <w:tcPr>
            <w:tcW w:w="2323" w:type="dxa"/>
            <w:noWrap w:val="0"/>
            <w:vAlign w:val="center"/>
          </w:tcPr>
          <w:p w14:paraId="5CB136B5">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2台</w:t>
            </w:r>
          </w:p>
        </w:tc>
        <w:tc>
          <w:tcPr>
            <w:tcW w:w="2323" w:type="dxa"/>
            <w:noWrap w:val="0"/>
            <w:vAlign w:val="center"/>
          </w:tcPr>
          <w:p w14:paraId="769CB6DE">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抽酒精泵</w:t>
            </w:r>
          </w:p>
        </w:tc>
        <w:tc>
          <w:tcPr>
            <w:tcW w:w="2324" w:type="dxa"/>
            <w:noWrap w:val="0"/>
            <w:vAlign w:val="center"/>
          </w:tcPr>
          <w:p w14:paraId="6E21ED4D">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2台</w:t>
            </w:r>
          </w:p>
        </w:tc>
      </w:tr>
      <w:tr w14:paraId="2BC71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23" w:type="dxa"/>
            <w:noWrap w:val="0"/>
            <w:vAlign w:val="center"/>
          </w:tcPr>
          <w:p w14:paraId="09CD9258">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开门推杆</w:t>
            </w:r>
          </w:p>
        </w:tc>
        <w:tc>
          <w:tcPr>
            <w:tcW w:w="2323" w:type="dxa"/>
            <w:noWrap w:val="0"/>
            <w:vAlign w:val="center"/>
          </w:tcPr>
          <w:p w14:paraId="2AB3644A">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2台</w:t>
            </w:r>
          </w:p>
        </w:tc>
        <w:tc>
          <w:tcPr>
            <w:tcW w:w="2323" w:type="dxa"/>
            <w:noWrap w:val="0"/>
            <w:vAlign w:val="center"/>
          </w:tcPr>
          <w:p w14:paraId="7FA5EF7D">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24V电源</w:t>
            </w:r>
          </w:p>
        </w:tc>
        <w:tc>
          <w:tcPr>
            <w:tcW w:w="2324" w:type="dxa"/>
            <w:noWrap w:val="0"/>
            <w:vAlign w:val="center"/>
          </w:tcPr>
          <w:p w14:paraId="75A1E4F5">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1台</w:t>
            </w:r>
          </w:p>
        </w:tc>
      </w:tr>
      <w:tr w14:paraId="02FE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23" w:type="dxa"/>
            <w:noWrap w:val="0"/>
            <w:vAlign w:val="center"/>
          </w:tcPr>
          <w:p w14:paraId="0F16636A">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读卡器</w:t>
            </w:r>
          </w:p>
        </w:tc>
        <w:tc>
          <w:tcPr>
            <w:tcW w:w="2323" w:type="dxa"/>
            <w:noWrap w:val="0"/>
            <w:vAlign w:val="center"/>
          </w:tcPr>
          <w:p w14:paraId="2E2C57C5">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1个</w:t>
            </w:r>
          </w:p>
        </w:tc>
        <w:tc>
          <w:tcPr>
            <w:tcW w:w="2323" w:type="dxa"/>
            <w:noWrap w:val="0"/>
            <w:vAlign w:val="center"/>
          </w:tcPr>
          <w:p w14:paraId="0AF0700B">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打印机</w:t>
            </w:r>
          </w:p>
        </w:tc>
        <w:tc>
          <w:tcPr>
            <w:tcW w:w="2324" w:type="dxa"/>
            <w:noWrap w:val="0"/>
            <w:vAlign w:val="center"/>
          </w:tcPr>
          <w:p w14:paraId="60281906">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1台</w:t>
            </w:r>
          </w:p>
        </w:tc>
      </w:tr>
      <w:tr w14:paraId="77F36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23" w:type="dxa"/>
            <w:noWrap w:val="0"/>
            <w:vAlign w:val="center"/>
          </w:tcPr>
          <w:p w14:paraId="24A22F1B">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高压喷淋头</w:t>
            </w:r>
          </w:p>
        </w:tc>
        <w:tc>
          <w:tcPr>
            <w:tcW w:w="2323" w:type="dxa"/>
            <w:noWrap w:val="0"/>
            <w:vAlign w:val="center"/>
          </w:tcPr>
          <w:p w14:paraId="3E223D01">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2个</w:t>
            </w:r>
          </w:p>
        </w:tc>
        <w:tc>
          <w:tcPr>
            <w:tcW w:w="2323" w:type="dxa"/>
            <w:noWrap w:val="0"/>
            <w:vAlign w:val="center"/>
          </w:tcPr>
          <w:p w14:paraId="700B41C8">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移动轮</w:t>
            </w:r>
          </w:p>
        </w:tc>
        <w:tc>
          <w:tcPr>
            <w:tcW w:w="2324" w:type="dxa"/>
            <w:noWrap w:val="0"/>
            <w:vAlign w:val="center"/>
          </w:tcPr>
          <w:p w14:paraId="5311EEB4">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4个</w:t>
            </w:r>
          </w:p>
        </w:tc>
      </w:tr>
      <w:tr w14:paraId="1A1EA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23" w:type="dxa"/>
            <w:noWrap w:val="0"/>
            <w:vAlign w:val="center"/>
          </w:tcPr>
          <w:p w14:paraId="6C7B6184">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0.2μm水处理器</w:t>
            </w:r>
          </w:p>
        </w:tc>
        <w:tc>
          <w:tcPr>
            <w:tcW w:w="2323" w:type="dxa"/>
            <w:noWrap w:val="0"/>
            <w:vAlign w:val="center"/>
          </w:tcPr>
          <w:p w14:paraId="5D05B86F">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1只</w:t>
            </w:r>
          </w:p>
        </w:tc>
        <w:tc>
          <w:tcPr>
            <w:tcW w:w="2323" w:type="dxa"/>
            <w:noWrap w:val="0"/>
            <w:vAlign w:val="center"/>
          </w:tcPr>
          <w:p w14:paraId="6A38217B">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1μm水处理器</w:t>
            </w:r>
          </w:p>
        </w:tc>
        <w:tc>
          <w:tcPr>
            <w:tcW w:w="2324" w:type="dxa"/>
            <w:noWrap w:val="0"/>
            <w:vAlign w:val="center"/>
          </w:tcPr>
          <w:p w14:paraId="22F47EE4">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1只</w:t>
            </w:r>
          </w:p>
        </w:tc>
      </w:tr>
      <w:tr w14:paraId="74809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23" w:type="dxa"/>
            <w:noWrap w:val="0"/>
            <w:vAlign w:val="center"/>
          </w:tcPr>
          <w:p w14:paraId="71AAC4E3">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快速接头</w:t>
            </w:r>
          </w:p>
        </w:tc>
        <w:tc>
          <w:tcPr>
            <w:tcW w:w="2323" w:type="dxa"/>
            <w:noWrap w:val="0"/>
            <w:vAlign w:val="center"/>
          </w:tcPr>
          <w:p w14:paraId="14BB9E11">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6套</w:t>
            </w:r>
          </w:p>
        </w:tc>
        <w:tc>
          <w:tcPr>
            <w:tcW w:w="2323" w:type="dxa"/>
            <w:noWrap w:val="0"/>
            <w:vAlign w:val="center"/>
          </w:tcPr>
          <w:p w14:paraId="44A05188">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p>
        </w:tc>
        <w:tc>
          <w:tcPr>
            <w:tcW w:w="2324" w:type="dxa"/>
            <w:noWrap w:val="0"/>
            <w:vAlign w:val="center"/>
          </w:tcPr>
          <w:p w14:paraId="3C14CE0B">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hAnsi="宋体" w:eastAsia="宋体" w:cs="宋体"/>
                <w:color w:val="auto"/>
                <w:sz w:val="21"/>
                <w:szCs w:val="21"/>
                <w:highlight w:val="none"/>
              </w:rPr>
            </w:pPr>
          </w:p>
        </w:tc>
      </w:tr>
    </w:tbl>
    <w:p w14:paraId="58D14DFD">
      <w:pPr>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b/>
          <w:bCs/>
          <w:color w:val="auto"/>
          <w:sz w:val="24"/>
          <w:szCs w:val="24"/>
          <w:highlight w:val="none"/>
          <w:lang w:val="en-US" w:eastAsia="zh-CN"/>
        </w:rPr>
      </w:pPr>
    </w:p>
    <w:p w14:paraId="714C7976">
      <w:pPr>
        <w:keepNext w:val="0"/>
        <w:keepLines w:val="0"/>
        <w:pageBreakBefore w:val="0"/>
        <w:widowControl w:val="0"/>
        <w:kinsoku/>
        <w:wordWrap/>
        <w:overflowPunct/>
        <w:topLinePunct w:val="0"/>
        <w:autoSpaceDE/>
        <w:autoSpaceDN/>
        <w:bidi w:val="0"/>
        <w:adjustRightInd/>
        <w:snapToGrid w:val="0"/>
        <w:spacing w:line="480" w:lineRule="auto"/>
        <w:ind w:lef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包2：多功能电动床技术参数</w:t>
      </w:r>
    </w:p>
    <w:p w14:paraId="19409572">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.外形尺寸：长度≥2200mm、宽度≥1000mm。</w:t>
      </w:r>
    </w:p>
    <w:p w14:paraId="339FE366">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.最大承重: ≥250kg</w:t>
      </w:r>
    </w:p>
    <w:p w14:paraId="1AB631E0">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.调节范围: 升降高度，最低≤400mm、最高≥800mm，背部升降≥70°，膝部升降≥35°，特伦德伦伯卧位/反特伦德伦伯卧位≥15°</w:t>
      </w:r>
    </w:p>
    <w:p w14:paraId="412B0CC4">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.具备背板后移及背腿联动功能，预防褥疮发生，方便医护人员照护患者</w:t>
      </w:r>
    </w:p>
    <w:p w14:paraId="48173CD6">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电源：交流电220V/50HZ</w:t>
      </w:r>
    </w:p>
    <w:p w14:paraId="75BEA40B">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电机马达：医用马达，床面、背部、腿部升降、倾斜电动马达≥四组</w:t>
      </w:r>
      <w:r>
        <w:rPr>
          <w:rFonts w:hint="eastAsia" w:ascii="宋体" w:hAnsi="宋体" w:eastAsia="宋体" w:cs="宋体"/>
          <w:color w:val="auto"/>
          <w:sz w:val="21"/>
          <w:szCs w:val="21"/>
          <w:highlight w:val="none"/>
          <w:lang w:eastAsia="zh-CN"/>
        </w:rPr>
        <w:t>。</w:t>
      </w:r>
    </w:p>
    <w:p w14:paraId="2212E8C8">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马达控制器安装于床体下方，</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护罩防护，安全防水，方便维护和维修。</w:t>
      </w:r>
    </w:p>
    <w:p w14:paraId="785AF614">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手控器：可分别放于左右护栏内外侧，配弹簧线方便移动存放。</w:t>
      </w:r>
    </w:p>
    <w:p w14:paraId="4ADFED9C">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蓄电池组：设有不断电自动充电装置，提供推送及停电时紧急操作病床动力。</w:t>
      </w:r>
    </w:p>
    <w:p w14:paraId="361087F5">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5一键</w:t>
      </w:r>
      <w:r>
        <w:rPr>
          <w:rFonts w:hint="eastAsia" w:ascii="宋体" w:hAnsi="宋体" w:eastAsia="宋体" w:cs="宋体"/>
          <w:color w:val="auto"/>
          <w:sz w:val="21"/>
          <w:szCs w:val="21"/>
          <w:highlight w:val="none"/>
        </w:rPr>
        <w:t>CPR（心肺复苏）</w:t>
      </w:r>
      <w:r>
        <w:rPr>
          <w:rFonts w:hint="eastAsia" w:ascii="宋体" w:hAnsi="宋体" w:eastAsia="宋体" w:cs="宋体"/>
          <w:color w:val="auto"/>
          <w:sz w:val="21"/>
          <w:szCs w:val="21"/>
          <w:highlight w:val="none"/>
          <w:lang w:val="en-US" w:eastAsia="zh-CN"/>
        </w:rPr>
        <w:t>功能</w:t>
      </w:r>
      <w:r>
        <w:rPr>
          <w:rFonts w:hint="eastAsia" w:ascii="宋体" w:hAnsi="宋体" w:eastAsia="宋体" w:cs="宋体"/>
          <w:color w:val="auto"/>
          <w:sz w:val="21"/>
          <w:szCs w:val="21"/>
          <w:highlight w:val="none"/>
        </w:rPr>
        <w:t>。</w:t>
      </w:r>
    </w:p>
    <w:p w14:paraId="13D87FFC">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机械式CPR（心肺复苏）功能:遇急救时，单手操作即可使背板快速放平。</w:t>
      </w:r>
    </w:p>
    <w:p w14:paraId="570DEC68">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6.8护士操作器：可锁定手控器的部分功能，提高安全性，并且具备一键式功能配置。</w:t>
      </w:r>
    </w:p>
    <w:p w14:paraId="3C9321E2">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6.9具备急停按键，保证患者安全。</w:t>
      </w:r>
    </w:p>
    <w:p w14:paraId="4399A217">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7.床板:承重性高，耐腐蚀，抗酸碱</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容易清洗、消毒，且床板平整易擦拭。床面具有透气孔，表面平整、无毛边不伤手。床面四角具有床垫止滑拉手，防止床垫左右滑动。</w:t>
      </w:r>
    </w:p>
    <w:p w14:paraId="3A215CB5">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8.护栏: 四片ABS大小护栏,翻转式结构；大护栏长度≥1050mm，小护栏长度≥800mm，护栏离床面高度≥360mm，厚度≥30mm；每片护栏均带有物理角度显示器，实时显示病床角度。</w:t>
      </w:r>
    </w:p>
    <w:p w14:paraId="05140CC0">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9.床头、尾板:ABS原料一体吹塑成型，表面光滑，易擦拭，清洁更方便；床头及床尾架可以拆卸及锁定，床尾板外侧设患者信息卡插槽，且病床推动时无晃动及震动异音。</w:t>
      </w:r>
    </w:p>
    <w:p w14:paraId="55F3B820">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10.防撞轮：床体四角具有防撞轮，共8个</w:t>
      </w:r>
      <w:r>
        <w:rPr>
          <w:rFonts w:hint="eastAsia" w:ascii="宋体" w:hAnsi="宋体" w:eastAsia="宋体" w:cs="宋体"/>
          <w:color w:val="auto"/>
          <w:sz w:val="21"/>
          <w:szCs w:val="21"/>
          <w:highlight w:val="none"/>
          <w:lang w:eastAsia="zh-CN"/>
        </w:rPr>
        <w:t>。</w:t>
      </w:r>
    </w:p>
    <w:p w14:paraId="6CD5A285">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11.脚轮：医用双面脚轮，易推、耐蚀、耐磨、静音。采用中控刹车系统操作，床尾部</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rPr>
        <w:t>设有刹车踩踏板。</w:t>
      </w:r>
    </w:p>
    <w:p w14:paraId="0F6B081C">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整体床架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确保整个床体结实牢固、平稳。</w:t>
      </w:r>
    </w:p>
    <w:p w14:paraId="57282CD9">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床体两侧各装设两个污物袋挂钩，床体四角具有输液架插孔共四个。</w:t>
      </w:r>
    </w:p>
    <w:p w14:paraId="67918DBC">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13.输液架：1支/床，配置不锈钢双段式点滴架，操作灵活。</w:t>
      </w:r>
    </w:p>
    <w:p w14:paraId="6440EA26">
      <w:pPr>
        <w:keepNext w:val="0"/>
        <w:keepLines w:val="0"/>
        <w:pageBreakBefore w:val="0"/>
        <w:widowControl w:val="0"/>
        <w:kinsoku/>
        <w:wordWrap/>
        <w:overflowPunct/>
        <w:topLinePunct w:val="0"/>
        <w:autoSpaceDE/>
        <w:autoSpaceDN/>
        <w:bidi w:val="0"/>
        <w:adjustRightInd/>
        <w:snapToGrid w:val="0"/>
        <w:spacing w:line="360" w:lineRule="auto"/>
        <w:ind w:lef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14.标准医用床垫：1片/床，尺寸和病床完全配套，厚度100mm±5mm。床套材质：防水、阻燃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抗菌</w:t>
      </w:r>
      <w:r>
        <w:rPr>
          <w:rFonts w:hint="eastAsia" w:ascii="宋体" w:hAnsi="宋体" w:eastAsia="宋体" w:cs="宋体"/>
          <w:color w:val="auto"/>
          <w:sz w:val="21"/>
          <w:szCs w:val="21"/>
          <w:highlight w:val="none"/>
          <w:lang w:eastAsia="zh-CN"/>
        </w:rPr>
        <w:t>。</w:t>
      </w:r>
    </w:p>
    <w:p w14:paraId="61BF838E">
      <w:pPr>
        <w:keepNext w:val="0"/>
        <w:keepLines w:val="0"/>
        <w:pageBreakBefore w:val="0"/>
        <w:widowControl w:val="0"/>
        <w:kinsoku/>
        <w:wordWrap/>
        <w:overflowPunct/>
        <w:topLinePunct w:val="0"/>
        <w:autoSpaceDE/>
        <w:autoSpaceDN/>
        <w:bidi w:val="0"/>
        <w:adjustRightInd/>
        <w:snapToGrid w:val="0"/>
        <w:spacing w:line="480" w:lineRule="auto"/>
        <w:ind w:lef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包3：亚低温治疗仪技术参数</w:t>
      </w:r>
    </w:p>
    <w:p w14:paraId="0CE03EC7">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具有降温和升温双重功能。</w:t>
      </w:r>
    </w:p>
    <w:p w14:paraId="6B3D575D">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输出控制方式：2进2出，左右分别控制，毯/帽可同时工作。</w:t>
      </w:r>
    </w:p>
    <w:p w14:paraId="0FA55098">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具有</w:t>
      </w:r>
      <w:r>
        <w:rPr>
          <w:rFonts w:hint="eastAsia" w:ascii="宋体" w:hAnsi="宋体" w:eastAsia="宋体" w:cs="宋体"/>
          <w:color w:val="auto"/>
          <w:sz w:val="21"/>
          <w:szCs w:val="21"/>
          <w:highlight w:val="none"/>
        </w:rPr>
        <w:t>体腔、体表温度测量</w:t>
      </w:r>
      <w:r>
        <w:rPr>
          <w:rFonts w:hint="eastAsia" w:ascii="宋体" w:hAnsi="宋体" w:eastAsia="宋体" w:cs="宋体"/>
          <w:color w:val="auto"/>
          <w:sz w:val="21"/>
          <w:szCs w:val="21"/>
          <w:highlight w:val="none"/>
          <w:lang w:eastAsia="zh-CN"/>
        </w:rPr>
        <w:t>功能。</w:t>
      </w:r>
    </w:p>
    <w:p w14:paraId="13EB1DC8">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体温测量范围：0.1℃-49.9℃，分辨率为0.1℃</w:t>
      </w:r>
    </w:p>
    <w:p w14:paraId="435FD7E2">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体温测量精度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在28.0-43.0℃范围内</w:t>
      </w:r>
      <w:r>
        <w:rPr>
          <w:rFonts w:hint="eastAsia" w:ascii="宋体" w:hAnsi="宋体" w:eastAsia="宋体" w:cs="宋体"/>
          <w:color w:val="auto"/>
          <w:sz w:val="21"/>
          <w:szCs w:val="21"/>
          <w:highlight w:val="none"/>
        </w:rPr>
        <w:t>±0.2℃</w:t>
      </w:r>
    </w:p>
    <w:p w14:paraId="34DDCE57">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水温测量范围：0.1℃-49.9℃，分辨率为0.1℃</w:t>
      </w:r>
    </w:p>
    <w:p w14:paraId="2FD914C1">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水温测量精度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在 28.0-43.0℃范</w:t>
      </w:r>
      <w:r>
        <w:rPr>
          <w:rFonts w:hint="eastAsia" w:ascii="宋体" w:hAnsi="宋体" w:eastAsia="宋体" w:cs="宋体"/>
          <w:color w:val="auto"/>
          <w:kern w:val="0"/>
          <w:sz w:val="21"/>
          <w:szCs w:val="21"/>
          <w:highlight w:val="none"/>
          <w:lang w:val="en-US" w:eastAsia="zh-CN" w:bidi="ar"/>
        </w:rPr>
        <w:t>围内，</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p>
    <w:p w14:paraId="2AB476FD">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水温控制范围：4℃-40.8℃</w:t>
      </w:r>
    </w:p>
    <w:p w14:paraId="77CD6C8D">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水温控制精度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±0.3℃</w:t>
      </w:r>
    </w:p>
    <w:p w14:paraId="294C4882">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具有</w:t>
      </w:r>
      <w:r>
        <w:rPr>
          <w:rFonts w:hint="eastAsia" w:ascii="宋体" w:hAnsi="宋体" w:eastAsia="宋体" w:cs="宋体"/>
          <w:color w:val="auto"/>
          <w:sz w:val="21"/>
          <w:szCs w:val="21"/>
          <w:highlight w:val="none"/>
        </w:rPr>
        <w:t>水温实时动态显示。</w:t>
      </w:r>
    </w:p>
    <w:p w14:paraId="1D686C4B">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有预冷/预热内置双层隔离水箱, 容量≥6L。</w:t>
      </w:r>
    </w:p>
    <w:p w14:paraId="66FA402D">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空载升温速率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循环液体变化区间在 30-38℃时，升温速率应≥6.0℃/min</w:t>
      </w:r>
    </w:p>
    <w:p w14:paraId="60BFD6DC">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空载降温速率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循环液体变化区间在 25-17℃时，降温速率</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℃/min</w:t>
      </w:r>
    </w:p>
    <w:p w14:paraId="2244C1CD">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将水温从20℃加热至37℃，加热时间≤3min。</w:t>
      </w:r>
    </w:p>
    <w:p w14:paraId="7244AE25">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水毯表面均匀性≤1℃。</w:t>
      </w:r>
    </w:p>
    <w:p w14:paraId="5A1D18D0">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固化程序：内置10个常用固化程序, </w:t>
      </w:r>
      <w:r>
        <w:rPr>
          <w:rFonts w:hint="eastAsia" w:ascii="宋体" w:hAnsi="宋体" w:eastAsia="宋体" w:cs="宋体"/>
          <w:color w:val="auto"/>
          <w:sz w:val="21"/>
          <w:szCs w:val="21"/>
          <w:highlight w:val="none"/>
          <w:lang w:val="en-US" w:eastAsia="zh-CN"/>
        </w:rPr>
        <w:t>支持</w:t>
      </w:r>
      <w:r>
        <w:rPr>
          <w:rFonts w:hint="eastAsia" w:ascii="宋体" w:hAnsi="宋体" w:eastAsia="宋体" w:cs="宋体"/>
          <w:color w:val="auto"/>
          <w:sz w:val="21"/>
          <w:szCs w:val="21"/>
          <w:highlight w:val="none"/>
        </w:rPr>
        <w:t>自定义。</w:t>
      </w:r>
    </w:p>
    <w:p w14:paraId="74A79721">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趋势图：具有体温，水温两条曲线实时显示。</w:t>
      </w:r>
    </w:p>
    <w:p w14:paraId="6AA9E387">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≥200小时温度趋势存储与回顾。</w:t>
      </w:r>
    </w:p>
    <w:p w14:paraId="344BA7BB">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≥200条报警事件回顾。</w:t>
      </w:r>
    </w:p>
    <w:p w14:paraId="68BF8775">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英寸LCD液晶显示屏，全中文菜单操作。</w:t>
      </w:r>
    </w:p>
    <w:p w14:paraId="5D0B879F">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具有</w:t>
      </w:r>
      <w:r>
        <w:rPr>
          <w:rFonts w:hint="eastAsia" w:ascii="宋体" w:hAnsi="宋体" w:eastAsia="宋体" w:cs="宋体"/>
          <w:color w:val="auto"/>
          <w:sz w:val="21"/>
          <w:szCs w:val="21"/>
          <w:highlight w:val="none"/>
        </w:rPr>
        <w:t>掉电存储功能。</w:t>
      </w:r>
    </w:p>
    <w:p w14:paraId="305021CD">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具有</w:t>
      </w:r>
      <w:r>
        <w:rPr>
          <w:rFonts w:hint="eastAsia" w:ascii="宋体" w:hAnsi="宋体" w:eastAsia="宋体" w:cs="宋体"/>
          <w:color w:val="auto"/>
          <w:sz w:val="21"/>
          <w:szCs w:val="21"/>
          <w:highlight w:val="none"/>
        </w:rPr>
        <w:t>掉探头脱落报警。</w:t>
      </w:r>
    </w:p>
    <w:p w14:paraId="0D2D8693">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具有四重温度保护功能（2路软件保护，2路硬件保护）。</w:t>
      </w:r>
    </w:p>
    <w:p w14:paraId="117A84C9">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具有</w:t>
      </w:r>
      <w:r>
        <w:rPr>
          <w:rFonts w:hint="eastAsia" w:ascii="宋体" w:hAnsi="宋体" w:eastAsia="宋体" w:cs="宋体"/>
          <w:color w:val="auto"/>
          <w:sz w:val="21"/>
          <w:szCs w:val="21"/>
          <w:highlight w:val="none"/>
        </w:rPr>
        <w:t>内置收纳仓，不占空间，方便毯帽的收纳管理。</w:t>
      </w:r>
    </w:p>
    <w:p w14:paraId="12A2B408">
      <w:pPr>
        <w:pStyle w:val="91"/>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cs="宋体"/>
          <w:b w:val="0"/>
          <w:bCs w:val="0"/>
          <w:color w:val="auto"/>
          <w:kern w:val="2"/>
          <w:sz w:val="21"/>
          <w:szCs w:val="24"/>
          <w:highlight w:val="none"/>
          <w:lang w:val="en-US" w:eastAsia="zh-CN" w:bidi="ar-SA"/>
        </w:rPr>
      </w:pPr>
      <w:r>
        <w:rPr>
          <w:rFonts w:hint="eastAsia" w:ascii="宋体" w:hAnsi="宋体" w:eastAsia="宋体" w:cs="宋体"/>
          <w:color w:val="auto"/>
          <w:sz w:val="21"/>
          <w:szCs w:val="21"/>
          <w:highlight w:val="none"/>
        </w:rPr>
        <w:t>工作噪声≤55dB</w:t>
      </w:r>
    </w:p>
    <w:p w14:paraId="31B22F1B">
      <w:pPr>
        <w:pStyle w:val="91"/>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1"/>
          <w:szCs w:val="21"/>
          <w:highlight w:val="none"/>
        </w:rPr>
      </w:pPr>
    </w:p>
    <w:p w14:paraId="555F8F3E">
      <w:pPr>
        <w:pStyle w:val="91"/>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1"/>
          <w:szCs w:val="21"/>
          <w:highlight w:val="none"/>
        </w:rPr>
      </w:pPr>
    </w:p>
    <w:p w14:paraId="7A97C952">
      <w:pPr>
        <w:pStyle w:val="91"/>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1"/>
          <w:szCs w:val="21"/>
          <w:highlight w:val="none"/>
          <w:lang w:val="en-US" w:eastAsia="zh-CN"/>
        </w:rPr>
        <w:sectPr>
          <w:footerReference r:id="rId5" w:type="default"/>
          <w:pgSz w:w="11906" w:h="16838"/>
          <w:pgMar w:top="1417" w:right="1474" w:bottom="1417" w:left="1474" w:header="851" w:footer="624" w:gutter="0"/>
          <w:pgNumType w:fmt="decimal"/>
          <w:cols w:space="720" w:num="1"/>
          <w:docGrid w:type="lines" w:linePitch="319" w:charSpace="0"/>
        </w:sectPr>
      </w:pPr>
    </w:p>
    <w:p w14:paraId="6D300850">
      <w:pPr>
        <w:pStyle w:val="9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eastAsia" w:ascii="宋体" w:hAnsi="宋体" w:cs="宋体"/>
          <w:b w:val="0"/>
          <w:bCs w:val="0"/>
          <w:color w:val="auto"/>
          <w:kern w:val="2"/>
          <w:sz w:val="21"/>
          <w:szCs w:val="24"/>
          <w:highlight w:val="none"/>
          <w:lang w:val="en-US" w:eastAsia="zh-CN" w:bidi="ar-SA"/>
        </w:rPr>
      </w:pPr>
    </w:p>
    <w:p w14:paraId="37811001">
      <w:pPr>
        <w:keepNext w:val="0"/>
        <w:keepLines w:val="0"/>
        <w:pageBreakBefore w:val="0"/>
        <w:widowControl w:val="0"/>
        <w:kinsoku/>
        <w:wordWrap/>
        <w:overflowPunct/>
        <w:topLinePunct w:val="0"/>
        <w:autoSpaceDE/>
        <w:autoSpaceDN/>
        <w:bidi w:val="0"/>
        <w:adjustRightInd/>
        <w:snapToGrid/>
        <w:spacing w:after="161" w:afterLines="50"/>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5"/>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794944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C66D670">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42EE2C6D">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1A7353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B8CDC79">
            <w:pPr>
              <w:pStyle w:val="7"/>
              <w:ind w:left="0" w:leftChars="0"/>
              <w:jc w:val="center"/>
              <w:rPr>
                <w:rFonts w:hint="eastAsia" w:ascii="宋体" w:hAnsi="宋体" w:eastAsia="宋体" w:cs="宋体"/>
                <w:color w:val="auto"/>
                <w:sz w:val="21"/>
                <w:szCs w:val="21"/>
                <w:highlight w:val="none"/>
                <w:lang w:val="en-US" w:eastAsia="zh-CN"/>
              </w:rPr>
            </w:pPr>
            <w:r>
              <w:rPr>
                <w:rFonts w:hint="eastAsia" w:cs="宋体"/>
                <w:color w:val="000000" w:themeColor="text1"/>
                <w:sz w:val="21"/>
                <w:szCs w:val="21"/>
                <w:highlight w:val="none"/>
                <w:lang w:val="en-US" w:eastAsia="zh-CN"/>
                <w14:textFill>
                  <w14:solidFill>
                    <w14:schemeClr w14:val="tx1"/>
                  </w14:solidFill>
                </w14:textFill>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5BA0FF8B">
            <w:pPr>
              <w:pStyle w:val="7"/>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合同签订后30日内交。</w:t>
            </w:r>
          </w:p>
        </w:tc>
      </w:tr>
      <w:tr w14:paraId="19EF83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D46193">
            <w:pPr>
              <w:pStyle w:val="7"/>
              <w:ind w:left="0" w:lef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交货地点</w:t>
            </w:r>
          </w:p>
        </w:tc>
        <w:tc>
          <w:tcPr>
            <w:tcW w:w="73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29DCAB">
            <w:pPr>
              <w:pStyle w:val="7"/>
              <w:ind w:left="0" w:lef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采购人指定地点。</w:t>
            </w:r>
          </w:p>
        </w:tc>
      </w:tr>
      <w:tr w14:paraId="05997D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21154AF">
            <w:pPr>
              <w:pStyle w:val="7"/>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03B8D1E6">
            <w:pPr>
              <w:pStyle w:val="7"/>
              <w:ind w:left="0" w:leftChars="0"/>
              <w:jc w:val="left"/>
              <w:rPr>
                <w:rFonts w:hint="eastAsia"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从产品入库之日起，整机保修三年，出具相关服务承诺书。</w:t>
            </w:r>
          </w:p>
        </w:tc>
      </w:tr>
      <w:tr w14:paraId="727A74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31936C3">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ACA6B">
            <w:pPr>
              <w:pStyle w:val="7"/>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符合国家质量标准、部颁标准、行业标准，并满足磋商文件要求。</w:t>
            </w:r>
          </w:p>
        </w:tc>
      </w:tr>
      <w:tr w14:paraId="7CE0A4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F0ADAA">
            <w:pPr>
              <w:pStyle w:val="7"/>
              <w:ind w:left="0" w:lef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付款方式</w:t>
            </w:r>
          </w:p>
        </w:tc>
        <w:tc>
          <w:tcPr>
            <w:tcW w:w="73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BA8F64">
            <w:pPr>
              <w:pStyle w:val="7"/>
              <w:ind w:left="0" w:leftChars="0"/>
              <w:jc w:val="left"/>
              <w:rPr>
                <w:rFonts w:hint="eastAsia" w:ascii="宋体" w:hAnsi="宋体" w:eastAsia="宋体" w:cs="宋体"/>
                <w:color w:val="auto"/>
                <w:kern w:val="0"/>
                <w:sz w:val="21"/>
                <w:szCs w:val="21"/>
                <w:highlight w:val="none"/>
                <w:lang w:val="en-US" w:eastAsia="zh-CN" w:bidi="ar-SA"/>
              </w:rPr>
            </w:pPr>
            <w:r>
              <w:rPr>
                <w:rFonts w:hint="eastAsia" w:cs="宋体"/>
                <w:color w:val="000000" w:themeColor="text1"/>
                <w:sz w:val="21"/>
                <w:szCs w:val="21"/>
                <w:highlight w:val="none"/>
                <w:lang w:val="en-US" w:eastAsia="zh-CN"/>
                <w14:textFill>
                  <w14:solidFill>
                    <w14:schemeClr w14:val="tx1"/>
                  </w14:solidFill>
                </w14:textFill>
              </w:rPr>
              <w:t>按合同约定执行</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tc>
      </w:tr>
      <w:tr w14:paraId="4ECF96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1" w:hRule="atLeast"/>
          <w:jc w:val="center"/>
        </w:trPr>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498EC3">
            <w:pPr>
              <w:pStyle w:val="7"/>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售后服务</w:t>
            </w:r>
          </w:p>
        </w:tc>
        <w:tc>
          <w:tcPr>
            <w:tcW w:w="73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ACC2FA">
            <w:pPr>
              <w:pStyle w:val="7"/>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质保期内应当为采购人提供以下技术支持和服务：</w:t>
            </w:r>
          </w:p>
          <w:p w14:paraId="568656A7">
            <w:pPr>
              <w:pStyle w:val="7"/>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a、现场响应：供应商应保证在12小时内对用户提出的问题或故障予以响应及处理。可提供备用设备或核心部件应急使用。</w:t>
            </w:r>
          </w:p>
          <w:p w14:paraId="116393DC">
            <w:pPr>
              <w:pStyle w:val="7"/>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b、</w:t>
            </w:r>
            <w:r>
              <w:rPr>
                <w:rFonts w:hint="eastAsia"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lang w:val="en-US" w:eastAsia="zh-CN"/>
                <w14:textFill>
                  <w14:solidFill>
                    <w14:schemeClr w14:val="tx1"/>
                  </w14:solidFill>
                </w14:textFill>
              </w:rPr>
              <w:t>人应当应每季度对该设备进行保养不少于一次,并出具保养报告，具体保养内容见合同。</w:t>
            </w:r>
          </w:p>
          <w:p w14:paraId="10489095">
            <w:pPr>
              <w:pStyle w:val="7"/>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c、质保期内该设备应保证大于95%（含）的开机率，如达不到要求，每少于一天质保期顺延7天，如造成严重损失需赔偿用户经济损失或换货或退货。</w:t>
            </w:r>
          </w:p>
          <w:p w14:paraId="24115ABB">
            <w:pPr>
              <w:pStyle w:val="7"/>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d、技术升级，如果制造商的产品技术升级，中标人应及时通知采购人，如采购人有相应要求，中标人和制造商应对采购人购买的产品进行免费升级服务。</w:t>
            </w:r>
          </w:p>
          <w:p w14:paraId="4355D54D">
            <w:pPr>
              <w:pStyle w:val="7"/>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e、投标人交付设备时，应按照《国家食品药品监督管理总局》第18号令第17条的要求提供相应的维护手册、维修手册、软件备份、故障代码表、备件清单、零部件、维修密码等维护维修必需的材料和信息。</w:t>
            </w:r>
          </w:p>
          <w:p w14:paraId="5D0D4615">
            <w:pPr>
              <w:pStyle w:val="7"/>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f、除火灾、洪水、地震等天灾外，在保修期内，由于货物故障所产生的所有费用均由供应商负责。</w:t>
            </w:r>
          </w:p>
          <w:p w14:paraId="0D7D9E3A">
            <w:pPr>
              <w:pStyle w:val="7"/>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jc w:val="left"/>
              <w:textAlignment w:val="auto"/>
              <w:rPr>
                <w:rFonts w:hint="default"/>
                <w:highlight w:val="none"/>
                <w:lang w:val="en-US" w:eastAsia="zh-CN"/>
              </w:rPr>
            </w:pPr>
            <w:r>
              <w:rPr>
                <w:rFonts w:hint="eastAsia"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所有设备按照医院实际要求免费开放端口，免费为医院对接院内信息系统。质保期内免费进行软件升级。</w:t>
            </w:r>
          </w:p>
        </w:tc>
      </w:tr>
      <w:tr w14:paraId="7F15CB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E0238B">
            <w:pPr>
              <w:pStyle w:val="7"/>
              <w:ind w:left="0" w:leftChars="0"/>
              <w:jc w:val="center"/>
              <w:rPr>
                <w:rFonts w:hint="default"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培训</w:t>
            </w:r>
          </w:p>
        </w:tc>
        <w:tc>
          <w:tcPr>
            <w:tcW w:w="73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62A691">
            <w:pPr>
              <w:pStyle w:val="7"/>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jc w:val="left"/>
              <w:textAlignment w:val="auto"/>
              <w:rPr>
                <w:rFonts w:hint="eastAsia"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免费提供操作培训和维修培训。</w:t>
            </w:r>
          </w:p>
        </w:tc>
      </w:tr>
      <w:tr w14:paraId="7C3B4C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50891E">
            <w:pPr>
              <w:pStyle w:val="7"/>
              <w:ind w:left="0" w:leftChars="0"/>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其他要求</w:t>
            </w:r>
          </w:p>
        </w:tc>
        <w:tc>
          <w:tcPr>
            <w:tcW w:w="73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BCE3DD">
            <w:pPr>
              <w:pStyle w:val="7"/>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jc w:val="left"/>
              <w:textAlignment w:val="auto"/>
              <w:rPr>
                <w:rFonts w:hint="eastAsia"/>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要求设备为最新出厂设备，出厂日期不得早于招标日期6个月。</w:t>
            </w:r>
          </w:p>
        </w:tc>
      </w:tr>
    </w:tbl>
    <w:p w14:paraId="7E52A9EB">
      <w:pPr>
        <w:pStyle w:val="25"/>
        <w:rPr>
          <w:rFonts w:hint="eastAsia" w:ascii="宋体" w:hAnsi="宋体" w:eastAsia="宋体" w:cs="宋体"/>
          <w:color w:val="auto"/>
          <w:highlight w:val="none"/>
        </w:rPr>
      </w:pPr>
    </w:p>
    <w:p w14:paraId="4EB55776">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sectPr>
          <w:pgSz w:w="11906" w:h="16838"/>
          <w:pgMar w:top="1417" w:right="1474" w:bottom="1417" w:left="1474" w:header="851" w:footer="624" w:gutter="0"/>
          <w:pgNumType w:fmt="decimal"/>
          <w:cols w:space="720" w:num="1"/>
          <w:docGrid w:type="lines" w:linePitch="319" w:charSpace="0"/>
        </w:sectPr>
      </w:pPr>
    </w:p>
    <w:p w14:paraId="27FA5E7E">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5"/>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66A6E4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3EB72B6E">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6E5AB001">
            <w:pPr>
              <w:keepNext w:val="0"/>
              <w:keepLines w:val="0"/>
              <w:pageBreakBefore w:val="0"/>
              <w:widowControl/>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1、</w:t>
            </w:r>
            <w:r>
              <w:rPr>
                <w:rFonts w:hint="eastAsia" w:ascii="宋体" w:hAnsi="宋体" w:eastAsia="宋体" w:cs="宋体"/>
                <w:color w:val="auto"/>
                <w:highlight w:val="none"/>
              </w:rPr>
              <w:t>不接受联合体投标，不允许转包和分包。</w:t>
            </w:r>
          </w:p>
          <w:p w14:paraId="57EC2AE3">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1BC547FD">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cs="Times New Roman"/>
                <w:lang w:val="en-US" w:eastAsia="zh-CN"/>
              </w:rPr>
            </w:pPr>
            <w:r>
              <w:rPr>
                <w:rFonts w:hint="eastAsia" w:ascii="宋体" w:hAnsi="宋体" w:eastAsia="宋体" w:cs="宋体"/>
                <w:color w:val="auto"/>
                <w:highlight w:val="none"/>
                <w:lang w:val="en-US" w:eastAsia="zh-CN"/>
              </w:rPr>
              <w:t>3、</w:t>
            </w:r>
            <w:r>
              <w:rPr>
                <w:rFonts w:hint="eastAsia" w:cs="Times New Roman"/>
                <w:lang w:val="en-US" w:eastAsia="zh-CN"/>
              </w:rPr>
              <w:t>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p w14:paraId="6C623230">
            <w:pPr>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投标人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 </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5"/>
        <w:tblW w:w="9840" w:type="dxa"/>
        <w:jc w:val="center"/>
        <w:tblLayout w:type="fixed"/>
        <w:tblCellMar>
          <w:top w:w="0" w:type="dxa"/>
          <w:left w:w="0" w:type="dxa"/>
          <w:bottom w:w="0" w:type="dxa"/>
          <w:right w:w="0" w:type="dxa"/>
        </w:tblCellMar>
      </w:tblPr>
      <w:tblGrid>
        <w:gridCol w:w="823"/>
        <w:gridCol w:w="9017"/>
      </w:tblGrid>
      <w:tr w14:paraId="7152AC17">
        <w:trPr>
          <w:trHeight w:val="450" w:hRule="atLeast"/>
          <w:jc w:val="center"/>
        </w:trPr>
        <w:tc>
          <w:tcPr>
            <w:tcW w:w="823"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901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27817"/>
            <w:bookmarkStart w:id="37" w:name="_Toc30169"/>
            <w:bookmarkStart w:id="38" w:name="_Toc9566"/>
            <w:r>
              <w:rPr>
                <w:rFonts w:hint="eastAsia" w:ascii="宋体" w:hAnsi="宋体" w:eastAsia="宋体" w:cs="宋体"/>
                <w:color w:val="auto"/>
                <w:highlight w:val="none"/>
              </w:rPr>
              <w:t>1.1项目名称：</w:t>
            </w:r>
            <w:bookmarkEnd w:id="36"/>
            <w:bookmarkEnd w:id="37"/>
            <w:bookmarkEnd w:id="38"/>
            <w:r>
              <w:rPr>
                <w:rFonts w:hint="eastAsia" w:ascii="宋体" w:hAnsi="宋体" w:eastAsia="宋体" w:cs="宋体"/>
                <w:color w:val="auto"/>
                <w:highlight w:val="none"/>
                <w:lang w:val="en-US" w:eastAsia="zh-CN"/>
              </w:rPr>
              <w:t>驻马店市中心医院</w:t>
            </w:r>
            <w:r>
              <w:rPr>
                <w:rFonts w:hint="eastAsia" w:ascii="宋体" w:hAnsi="宋体" w:cs="宋体"/>
                <w:color w:val="auto"/>
                <w:highlight w:val="none"/>
                <w:lang w:val="en-US" w:eastAsia="zh-CN"/>
              </w:rPr>
              <w:t>全自动内镜清洗消毒机、多功能电动床采购项目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3424"/>
            <w:bookmarkStart w:id="40" w:name="_Toc28320"/>
            <w:bookmarkStart w:id="41" w:name="_Toc2940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6199"/>
            <w:bookmarkStart w:id="43" w:name="_Toc3148"/>
            <w:bookmarkStart w:id="44" w:name="_Toc2454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35"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216"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1C7E52A">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宋体" w:hAnsi="宋体" w:cs="宋体"/>
                <w:color w:val="auto"/>
                <w:kern w:val="0"/>
                <w:szCs w:val="21"/>
                <w:highlight w:val="none"/>
                <w:lang w:val="en-US" w:eastAsia="zh-CN"/>
              </w:rPr>
            </w:pPr>
            <w:r>
              <w:rPr>
                <w:rFonts w:hint="default" w:ascii="宋体" w:hAnsi="宋体" w:cs="宋体"/>
                <w:color w:val="auto"/>
                <w:kern w:val="0"/>
                <w:szCs w:val="21"/>
                <w:highlight w:val="none"/>
                <w:lang w:val="en-US" w:eastAsia="zh-CN"/>
              </w:rPr>
              <w:t>采购预算：46.8万元；最高投标限价</w:t>
            </w:r>
            <w:r>
              <w:rPr>
                <w:rFonts w:hint="eastAsia" w:ascii="宋体" w:hAnsi="宋体" w:cs="宋体"/>
                <w:color w:val="auto"/>
                <w:kern w:val="0"/>
                <w:szCs w:val="21"/>
                <w:highlight w:val="none"/>
                <w:lang w:val="en-US" w:eastAsia="zh-CN"/>
              </w:rPr>
              <w:t>：A包：7.8万元；B包：24万元；C包：15万元</w:t>
            </w:r>
            <w:r>
              <w:rPr>
                <w:rFonts w:hint="default" w:ascii="宋体" w:hAnsi="宋体" w:cs="宋体"/>
                <w:color w:val="auto"/>
                <w:kern w:val="0"/>
                <w:szCs w:val="21"/>
                <w:highlight w:val="none"/>
                <w:lang w:val="en-US" w:eastAsia="zh-CN"/>
              </w:rPr>
              <w:t>。</w:t>
            </w:r>
          </w:p>
          <w:p w14:paraId="3C6F0A8D">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宋体" w:hAnsi="宋体" w:cs="宋体"/>
                <w:color w:val="auto"/>
                <w:kern w:val="0"/>
                <w:szCs w:val="21"/>
                <w:highlight w:val="none"/>
                <w:lang w:val="en-US" w:eastAsia="zh-CN"/>
              </w:rPr>
            </w:pPr>
            <w:r>
              <w:rPr>
                <w:rFonts w:hint="default" w:ascii="宋体" w:hAnsi="宋体" w:cs="宋体"/>
                <w:color w:val="auto"/>
                <w:kern w:val="0"/>
                <w:szCs w:val="21"/>
                <w:highlight w:val="none"/>
                <w:lang w:val="en-US" w:eastAsia="zh-CN"/>
              </w:rPr>
              <w:t>3.1 本项目磋商以人民币报价。</w:t>
            </w:r>
          </w:p>
          <w:p w14:paraId="7E764007">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宋体" w:hAnsi="宋体" w:cs="宋体"/>
                <w:color w:val="auto"/>
                <w:kern w:val="0"/>
                <w:szCs w:val="21"/>
                <w:highlight w:val="none"/>
                <w:lang w:val="en-US" w:eastAsia="zh-CN"/>
              </w:rPr>
            </w:pPr>
            <w:r>
              <w:rPr>
                <w:rFonts w:hint="default" w:ascii="宋体" w:hAnsi="宋体" w:cs="宋体"/>
                <w:color w:val="auto"/>
                <w:kern w:val="0"/>
                <w:szCs w:val="21"/>
                <w:highlight w:val="none"/>
                <w:lang w:val="en-US" w:eastAsia="zh-CN"/>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default" w:ascii="宋体" w:hAnsi="宋体" w:cs="宋体"/>
                <w:color w:val="auto"/>
                <w:kern w:val="0"/>
                <w:szCs w:val="21"/>
                <w:highlight w:val="none"/>
                <w:lang w:val="en-US" w:eastAsia="zh-CN"/>
              </w:rPr>
              <w:t xml:space="preserve">3.3 </w:t>
            </w:r>
            <w:r>
              <w:rPr>
                <w:rFonts w:hint="eastAsia" w:ascii="宋体" w:hAnsi="宋体" w:eastAsia="宋体" w:cs="宋体"/>
                <w:color w:val="auto"/>
                <w:kern w:val="0"/>
                <w:szCs w:val="21"/>
                <w:highlight w:val="none"/>
              </w:rPr>
              <w:t>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6"/>
              <w:gridCol w:w="1500"/>
              <w:gridCol w:w="1283"/>
              <w:gridCol w:w="1284"/>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4526"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97790</wp:posOffset>
                            </wp:positionH>
                            <wp:positionV relativeFrom="paragraph">
                              <wp:posOffset>307975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7pt;margin-top:24.25pt;height:22.5pt;width:66.65pt;z-index:251660288;mso-width-relative:page;mso-height-relative:page;" fillcolor="#FFFFFF [3201]" filled="t" stroked="f" coordsize="21600,21600" o:gfxdata="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BR4KPLTAAAA&#10;CAEAAA8AAAAAAAAAAQAgAAAAIgAAAGRycy9kb3ducmV2LnhtbFBLAQIUABQAAAAIAIdO4kDeJiF7&#10;WwIAAJoEAAAOAAAAAAAAAAEAIAAAACIBAABkcnMvZTJvRG9jLnhtbFBLBQYAAAAABgAGAFkBAADv&#10;BQ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629285</wp:posOffset>
                            </wp:positionH>
                            <wp:positionV relativeFrom="paragraph">
                              <wp:posOffset>80645</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55pt;margin-top:6.35pt;height:24.05pt;width:76.4pt;z-index:251659264;mso-width-relative:page;mso-height-relative:page;" fillcolor="#FFFFFF [3201]" filled="t" stroked="f" coordsize="21600,21600" o:gfxdata="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skUxn1AAA&#10;AAgBAAAPAAAAAAAAAAEAIAAAACIAAABkcnMvZG93bnJldi54bWxQSwECFAAUAAAACACHTuJAXy9V&#10;nFsCAACaBAAADgAAAAAAAAABACAAAAAjAQAAZHJzL2Uyb0RvYy54bWxQSwUGAAAAAAYABgBZAQAA&#10;8AU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500"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283"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284"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4526"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500"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283"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284"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57154336">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由采购人代表和</w:t>
            </w:r>
            <w:r>
              <w:rPr>
                <w:rFonts w:hint="eastAsia" w:ascii="宋体" w:hAnsi="宋体" w:eastAsia="宋体" w:cs="宋体"/>
                <w:color w:val="auto"/>
                <w:kern w:val="0"/>
                <w:szCs w:val="21"/>
                <w:highlight w:val="none"/>
                <w:lang w:val="en-US" w:eastAsia="zh-CN"/>
              </w:rPr>
              <w:t>抽取的相关</w:t>
            </w:r>
            <w:r>
              <w:rPr>
                <w:rFonts w:hint="eastAsia" w:ascii="宋体" w:hAnsi="宋体" w:eastAsia="宋体" w:cs="宋体"/>
                <w:color w:val="auto"/>
                <w:kern w:val="0"/>
                <w:szCs w:val="21"/>
                <w:highlight w:val="none"/>
              </w:rPr>
              <w:t>评审专家</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544"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567"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823"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901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3.采购预算：46.8万元；最高投标限价：A包：7.8万元；B包：24万元；C包：15万元。</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须</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w:t>
      </w:r>
    </w:p>
    <w:p w14:paraId="1AC23FF8">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投标人为代理商（经销商）时，须具有医疗器械经营许可证或医疗器械经营备案凭证（从事第一类医疗器械经营活动的除外）；投标人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cs="宋体"/>
          <w:color w:val="auto"/>
          <w:szCs w:val="21"/>
          <w:highlight w:val="none"/>
          <w:shd w:val="clear" w:color="auto" w:fill="FFFFFF"/>
          <w:lang w:val="en-US" w:eastAsia="zh-CN"/>
        </w:rPr>
        <w:t>。</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《政府采购法》第二十二条第五款“参加政府采购活动前三年内，在经营活动中没有重大违法记录”，《政府采购法》实施条例第十九条 “重大违法记录是指供应商因违法经营受到刑事处罚或者责令停产停业、吊销许可证或者执照、较大数额罚款等行政处罚。”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r>
        <w:rPr>
          <w:rFonts w:hint="eastAsia" w:ascii="宋体" w:hAnsi="宋体" w:eastAsia="宋体" w:cs="宋体"/>
          <w:color w:val="auto"/>
          <w:kern w:val="0"/>
          <w:szCs w:val="21"/>
          <w:highlight w:val="none"/>
        </w:rPr>
        <w:t>。</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供货期限</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2"/>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0E3F2A5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038C73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25.6 磋商</w:t>
      </w:r>
    </w:p>
    <w:p w14:paraId="0924E336">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对资格性检查和符合性检查合格的供应商，进入本次磋商程序。</w:t>
      </w:r>
    </w:p>
    <w:p w14:paraId="37A63E64">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25.6.1 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6CB19E5E">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25.6.2 本次竞争性磋商进行 多 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2"/>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3"/>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w:t>
      </w:r>
      <w:r>
        <w:rPr>
          <w:rFonts w:hint="eastAsia" w:ascii="宋体" w:hAnsi="宋体" w:cs="宋体"/>
          <w:color w:val="auto"/>
          <w:szCs w:val="21"/>
          <w:highlight w:val="none"/>
          <w:lang w:val="en-US" w:eastAsia="zh-CN"/>
        </w:rPr>
        <w:t>改</w:t>
      </w:r>
      <w:r>
        <w:rPr>
          <w:rFonts w:hint="eastAsia" w:ascii="宋体" w:hAnsi="宋体" w:eastAsia="宋体" w:cs="宋体"/>
          <w:color w:val="auto"/>
          <w:szCs w:val="21"/>
          <w:highlight w:val="none"/>
        </w:rPr>
        <w:t>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widowControl w:val="0"/>
        <w:numPr>
          <w:ilvl w:val="0"/>
          <w:numId w:val="0"/>
        </w:numPr>
        <w:kinsoku/>
        <w:wordWrap/>
        <w:overflowPunct/>
        <w:topLinePunct w:val="0"/>
        <w:autoSpaceDE/>
        <w:autoSpaceDN/>
        <w:bidi w:val="0"/>
        <w:adjustRightInd/>
        <w:snapToGrid w:val="0"/>
        <w:spacing w:after="161" w:afterLines="50"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5"/>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1239" w:type="dxa"/>
            <w:noWrap w:val="0"/>
            <w:vAlign w:val="center"/>
          </w:tcPr>
          <w:p w14:paraId="30F21E9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6A5BCC6">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C7B52DB">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31C2FD4">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227E9141">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jc w:val="center"/>
        </w:trPr>
        <w:tc>
          <w:tcPr>
            <w:tcW w:w="1239" w:type="dxa"/>
            <w:vMerge w:val="restart"/>
            <w:noWrap w:val="0"/>
            <w:vAlign w:val="center"/>
          </w:tcPr>
          <w:p w14:paraId="7D578B0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50</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D14550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39</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35C5E37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三、技术要求”技术参数、性能及产品功能等的响应，所投产品全部满足磋商文件要求得3</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分，有一项技术参数或要求不满足的扣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分，扣完为止；如得分为0，则磋商无效。 </w:t>
            </w:r>
          </w:p>
          <w:p w14:paraId="321D9D7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0D061BF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提供产品注册检验报告、响应技术参数条款的技术白皮书和彩页等相关文件，并对响应技术参数部分做出明显标注。</w:t>
            </w:r>
          </w:p>
        </w:tc>
      </w:tr>
      <w:tr w14:paraId="0478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1239" w:type="dxa"/>
            <w:vMerge w:val="continue"/>
            <w:noWrap w:val="0"/>
            <w:vAlign w:val="center"/>
          </w:tcPr>
          <w:p w14:paraId="03BE1C6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6547966A">
            <w:pPr>
              <w:widowControl/>
              <w:snapToGrid w:val="0"/>
              <w:spacing w:line="360" w:lineRule="exact"/>
              <w:rPr>
                <w:rFonts w:hint="eastAsia" w:ascii="宋体" w:hAnsi="宋体" w:eastAsia="宋体" w:cs="宋体"/>
                <w:b w:val="0"/>
                <w:bCs w:val="0"/>
                <w:color w:val="auto"/>
                <w:sz w:val="21"/>
                <w:szCs w:val="21"/>
                <w:highlight w:val="none"/>
                <w:lang w:val="en-US" w:eastAsia="zh-CN"/>
              </w:rPr>
            </w:pPr>
            <w:r>
              <w:rPr>
                <w:rFonts w:hint="eastAsia" w:ascii="宋体" w:hAnsi="宋体" w:cs="宋体"/>
                <w:kern w:val="0"/>
                <w:szCs w:val="21"/>
                <w:highlight w:val="none"/>
              </w:rPr>
              <w:t>2.产品综合评议</w:t>
            </w:r>
            <w:r>
              <w:rPr>
                <w:rFonts w:hint="eastAsia" w:ascii="宋体" w:hAnsi="宋体" w:cs="宋体"/>
                <w:szCs w:val="21"/>
                <w:highlight w:val="none"/>
              </w:rPr>
              <w:t>（</w:t>
            </w: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6770" w:type="dxa"/>
            <w:noWrap w:val="0"/>
            <w:vAlign w:val="center"/>
          </w:tcPr>
          <w:p w14:paraId="2972CC49">
            <w:pPr>
              <w:widowControl/>
              <w:snapToGrid w:val="0"/>
              <w:spacing w:line="360" w:lineRule="exact"/>
              <w:rPr>
                <w:rFonts w:hint="eastAsia" w:ascii="宋体" w:hAnsi="宋体" w:eastAsia="宋体" w:cs="宋体"/>
                <w:b w:val="0"/>
                <w:bCs w:val="0"/>
                <w:color w:val="auto"/>
                <w:sz w:val="21"/>
                <w:szCs w:val="21"/>
                <w:highlight w:val="none"/>
                <w:lang w:val="en-US" w:eastAsia="zh-CN"/>
              </w:rPr>
            </w:pPr>
            <w:r>
              <w:rPr>
                <w:rFonts w:hint="eastAsia" w:ascii="宋体" w:hAnsi="宋体" w:cs="宋体"/>
                <w:color w:val="000000" w:themeColor="text1"/>
                <w:szCs w:val="21"/>
                <w:highlight w:val="none"/>
                <w14:textFill>
                  <w14:solidFill>
                    <w14:schemeClr w14:val="tx1"/>
                  </w14:solidFill>
                </w14:textFill>
              </w:rPr>
              <w:t>根据供应商所投产品整体性能量化指标进行评价，产品技术指标能够最大程度满足采购需求，且技术先进、操作安全、运行稳定等产品整体性能优异的得</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分；整体性能一般的得</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分；整体性能较差的得1分。</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4E9F37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37A15399">
            <w:pPr>
              <w:widowControl/>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kern w:val="0"/>
                <w:szCs w:val="21"/>
              </w:rPr>
              <w:t>3.实施方案（6分）</w:t>
            </w:r>
          </w:p>
        </w:tc>
        <w:tc>
          <w:tcPr>
            <w:tcW w:w="6770" w:type="dxa"/>
            <w:noWrap w:val="0"/>
            <w:vAlign w:val="center"/>
          </w:tcPr>
          <w:p w14:paraId="5D647830">
            <w:pPr>
              <w:widowControl/>
              <w:snapToGrid w:val="0"/>
              <w:spacing w:line="360" w:lineRule="exact"/>
              <w:rPr>
                <w:rFonts w:ascii="宋体" w:hAnsi="宋体" w:cs="宋体"/>
                <w:szCs w:val="21"/>
              </w:rPr>
            </w:pPr>
            <w:r>
              <w:rPr>
                <w:rFonts w:hint="eastAsia" w:ascii="宋体" w:hAnsi="宋体" w:cs="宋体"/>
                <w:szCs w:val="21"/>
              </w:rPr>
              <w:t>供应商提供的供货、安装、调试措施包括：①供货时间安排及保障措施；②人员配备及职责分工；③安装、调试服务方案及保障措施。</w:t>
            </w:r>
          </w:p>
          <w:p w14:paraId="7C456DE1">
            <w:pPr>
              <w:widowControl/>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cs="宋体"/>
                <w:szCs w:val="21"/>
              </w:rPr>
              <w:t>措施具体详实、人员及工具配备合理、完全满足采购需求的得3分；有较具体的措施，基本满足采购需求的得2分；措施不完备，不能满足采购需求的得1分；缺项得0分。</w:t>
            </w:r>
          </w:p>
        </w:tc>
      </w:tr>
      <w:tr w14:paraId="3896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119C775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40EFBFC7">
            <w:pPr>
              <w:widowControl/>
              <w:snapToGrid w:val="0"/>
              <w:spacing w:line="360" w:lineRule="exact"/>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722A74D1">
            <w:pPr>
              <w:widowControl/>
              <w:snapToGrid w:val="0"/>
              <w:spacing w:line="360" w:lineRule="exact"/>
              <w:rPr>
                <w:rFonts w:ascii="宋体" w:hAnsi="宋体" w:cs="宋体"/>
                <w:szCs w:val="21"/>
              </w:rPr>
            </w:pPr>
            <w:r>
              <w:rPr>
                <w:rFonts w:hint="eastAsia" w:ascii="宋体" w:hAnsi="宋体" w:cs="宋体"/>
                <w:szCs w:val="21"/>
              </w:rPr>
              <w:t>根据供应商针对突发情况提供应急服务方案及保障措施进行打分，包含（但不限于）以下内容：应急响应流程及响应时间、应急保障措施（人员配备、备品备件等）。</w:t>
            </w:r>
          </w:p>
          <w:p w14:paraId="0987E574">
            <w:pPr>
              <w:widowControl/>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cs="宋体"/>
                <w:szCs w:val="21"/>
              </w:rPr>
              <w:t>应急响应时间极快、应急保障充分的得3分；应急响应时间快、应急保障较充分的得2分；应急响应时间时间长、应急保障不充分的得1分；缺项得0分。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78A2E46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092FFE8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质保期</w:t>
            </w:r>
          </w:p>
          <w:p w14:paraId="076DD506">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770" w:type="dxa"/>
            <w:noWrap w:val="0"/>
            <w:vAlign w:val="top"/>
          </w:tcPr>
          <w:p w14:paraId="430101B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w:t>
            </w:r>
            <w:r>
              <w:rPr>
                <w:rFonts w:hint="eastAsia" w:ascii="宋体" w:hAnsi="宋体" w:cs="宋体"/>
                <w:color w:val="auto"/>
                <w:sz w:val="21"/>
                <w:szCs w:val="21"/>
                <w:highlight w:val="none"/>
                <w:lang w:val="en-US" w:eastAsia="zh-CN"/>
              </w:rPr>
              <w:t>半</w:t>
            </w:r>
            <w:r>
              <w:rPr>
                <w:rFonts w:hint="eastAsia" w:ascii="宋体" w:hAnsi="宋体" w:eastAsia="宋体" w:cs="宋体"/>
                <w:color w:val="auto"/>
                <w:sz w:val="21"/>
                <w:szCs w:val="21"/>
                <w:highlight w:val="none"/>
                <w:lang w:val="en-US" w:eastAsia="zh-CN"/>
              </w:rPr>
              <w:t>年加2分,最多加4分（出具相关服务承诺书）。</w:t>
            </w:r>
          </w:p>
        </w:tc>
      </w:tr>
      <w:tr w14:paraId="7119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1799DEF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955ABB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274336C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自2022年01月01日以来具有的类似项目(以合同文件为准），每提供一份得2分，最多得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tc>
      </w:tr>
      <w:tr w14:paraId="64B8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239" w:type="dxa"/>
            <w:vMerge w:val="continue"/>
            <w:noWrap w:val="0"/>
            <w:vAlign w:val="center"/>
          </w:tcPr>
          <w:p w14:paraId="4EC0596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165ED2E2">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3.优惠承诺（2分）</w:t>
            </w:r>
          </w:p>
        </w:tc>
        <w:tc>
          <w:tcPr>
            <w:tcW w:w="6770" w:type="dxa"/>
            <w:noWrap w:val="0"/>
            <w:vAlign w:val="center"/>
          </w:tcPr>
          <w:p w14:paraId="6A730A71">
            <w:pPr>
              <w:pStyle w:val="53"/>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分，最多得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分。缺项得0分。</w:t>
            </w:r>
          </w:p>
        </w:tc>
      </w:tr>
      <w:tr w14:paraId="5F29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9" w:hRule="atLeast"/>
          <w:jc w:val="center"/>
        </w:trPr>
        <w:tc>
          <w:tcPr>
            <w:tcW w:w="1239" w:type="dxa"/>
            <w:vMerge w:val="continue"/>
            <w:noWrap w:val="0"/>
            <w:vAlign w:val="center"/>
          </w:tcPr>
          <w:p w14:paraId="2D62932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68067DC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.售后服务（</w:t>
            </w:r>
            <w:r>
              <w:rPr>
                <w:rFonts w:hint="eastAsia" w:ascii="宋体" w:hAnsi="宋体" w:cs="宋体"/>
                <w:b w:val="0"/>
                <w:bCs w:val="0"/>
                <w:color w:val="auto"/>
                <w:kern w:val="2"/>
                <w:sz w:val="21"/>
                <w:szCs w:val="21"/>
                <w:highlight w:val="none"/>
                <w:lang w:val="en-US" w:eastAsia="zh-CN"/>
              </w:rPr>
              <w:t>8</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521105F5">
            <w:pPr>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Cs w:val="21"/>
                <w:highlight w:val="none"/>
                <w:lang w:eastAsia="zh-CN"/>
              </w:rPr>
            </w:pPr>
            <w:r>
              <w:rPr>
                <w:rFonts w:hint="eastAsia" w:ascii="宋体" w:hAnsi="宋体" w:cs="宋体"/>
                <w:szCs w:val="21"/>
              </w:rPr>
              <w:t>根据供应商提供的售后服</w:t>
            </w:r>
            <w:r>
              <w:rPr>
                <w:rFonts w:hint="eastAsia" w:ascii="宋体" w:hAnsi="宋体" w:cs="宋体"/>
                <w:szCs w:val="21"/>
                <w:highlight w:val="none"/>
              </w:rPr>
              <w:t>务</w:t>
            </w:r>
            <w:r>
              <w:rPr>
                <w:rFonts w:hint="eastAsia" w:ascii="宋体" w:hAnsi="宋体" w:cs="宋体"/>
                <w:szCs w:val="21"/>
                <w:highlight w:val="none"/>
                <w:lang w:val="en-US" w:eastAsia="zh-CN"/>
              </w:rPr>
              <w:t>及培训方</w:t>
            </w:r>
            <w:r>
              <w:rPr>
                <w:rFonts w:hint="eastAsia" w:ascii="宋体" w:hAnsi="宋体" w:eastAsia="宋体" w:cs="宋体"/>
                <w:szCs w:val="21"/>
                <w:highlight w:val="none"/>
                <w:lang w:val="en-US" w:eastAsia="zh-CN"/>
              </w:rPr>
              <w:t>案进行评分，包括但不限于：</w:t>
            </w:r>
            <w:r>
              <w:rPr>
                <w:rFonts w:hint="default" w:ascii="宋体" w:hAnsi="宋体" w:eastAsia="宋体" w:cs="宋体"/>
                <w:szCs w:val="21"/>
                <w:highlight w:val="none"/>
                <w:lang w:val="en-US" w:eastAsia="zh-CN"/>
              </w:rPr>
              <w:t>①服务站点设立，售后服务团队及其联系方式、技术水平</w:t>
            </w:r>
            <w:r>
              <w:rPr>
                <w:rFonts w:hint="eastAsia" w:ascii="宋体" w:hAnsi="宋体" w:eastAsia="宋体" w:cs="宋体"/>
                <w:szCs w:val="21"/>
                <w:highlight w:val="none"/>
                <w:lang w:val="en-US" w:eastAsia="zh-CN"/>
              </w:rPr>
              <w:t>能力</w:t>
            </w:r>
            <w:r>
              <w:rPr>
                <w:rFonts w:hint="default" w:ascii="宋体" w:hAnsi="宋体" w:eastAsia="宋体" w:cs="宋体"/>
                <w:szCs w:val="21"/>
                <w:highlight w:val="none"/>
                <w:lang w:val="en-US" w:eastAsia="zh-CN"/>
              </w:rPr>
              <w:t>及职责分工</w:t>
            </w:r>
            <w:r>
              <w:rPr>
                <w:rFonts w:hint="eastAsia" w:ascii="宋体" w:hAnsi="宋体" w:eastAsia="宋体" w:cs="宋体"/>
                <w:szCs w:val="21"/>
                <w:highlight w:val="none"/>
                <w:lang w:val="en-US" w:eastAsia="zh-CN"/>
              </w:rPr>
              <w:t>；</w:t>
            </w:r>
            <w:r>
              <w:rPr>
                <w:rFonts w:hint="default" w:ascii="宋体" w:hAnsi="宋体" w:eastAsia="宋体" w:cs="宋体"/>
                <w:szCs w:val="21"/>
                <w:highlight w:val="none"/>
                <w:lang w:val="en-US" w:eastAsia="zh-CN"/>
              </w:rPr>
              <w:t>②</w:t>
            </w:r>
            <w:r>
              <w:rPr>
                <w:rFonts w:hint="eastAsia" w:ascii="宋体" w:hAnsi="宋体" w:eastAsia="宋体" w:cs="宋体"/>
                <w:szCs w:val="21"/>
                <w:highlight w:val="none"/>
              </w:rPr>
              <w:t>日常设备维保方案</w:t>
            </w:r>
            <w:r>
              <w:rPr>
                <w:rFonts w:hint="eastAsia" w:ascii="宋体" w:hAnsi="宋体" w:eastAsia="宋体" w:cs="宋体"/>
                <w:szCs w:val="21"/>
                <w:highlight w:val="none"/>
                <w:lang w:eastAsia="zh-CN"/>
              </w:rPr>
              <w:t>；</w:t>
            </w:r>
            <w:r>
              <w:rPr>
                <w:rFonts w:hint="default" w:ascii="宋体" w:hAnsi="宋体" w:eastAsia="宋体" w:cs="宋体"/>
                <w:szCs w:val="21"/>
                <w:highlight w:val="none"/>
                <w:lang w:val="en-US" w:eastAsia="zh-CN"/>
              </w:rPr>
              <w:t>③</w:t>
            </w:r>
            <w:r>
              <w:rPr>
                <w:rFonts w:hint="eastAsia" w:ascii="宋体" w:hAnsi="宋体" w:eastAsia="宋体" w:cs="宋体"/>
                <w:szCs w:val="21"/>
                <w:highlight w:val="none"/>
              </w:rPr>
              <w:t>故障响应时间</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④</w:t>
            </w:r>
            <w:r>
              <w:rPr>
                <w:rFonts w:hint="eastAsia" w:ascii="宋体" w:hAnsi="宋体" w:eastAsia="宋体" w:cs="宋体"/>
                <w:szCs w:val="21"/>
                <w:highlight w:val="none"/>
              </w:rPr>
              <w:t>应急维修措施预案</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⑤</w:t>
            </w:r>
            <w:r>
              <w:rPr>
                <w:rFonts w:hint="eastAsia" w:ascii="宋体" w:hAnsi="宋体" w:eastAsia="宋体" w:cs="宋体"/>
                <w:szCs w:val="21"/>
                <w:highlight w:val="none"/>
              </w:rPr>
              <w:t>培训方案</w:t>
            </w:r>
            <w:r>
              <w:rPr>
                <w:rFonts w:hint="eastAsia" w:ascii="宋体" w:hAnsi="宋体" w:eastAsia="宋体" w:cs="宋体"/>
                <w:szCs w:val="21"/>
                <w:highlight w:val="none"/>
                <w:lang w:eastAsia="zh-CN"/>
              </w:rPr>
              <w:t>。</w:t>
            </w:r>
          </w:p>
          <w:p w14:paraId="208BCC05">
            <w:pPr>
              <w:snapToGrid w:val="0"/>
              <w:spacing w:line="360" w:lineRule="exact"/>
              <w:rPr>
                <w:rFonts w:ascii="宋体" w:hAnsi="宋体" w:cs="宋体"/>
                <w:szCs w:val="21"/>
              </w:rPr>
            </w:pPr>
            <w:r>
              <w:rPr>
                <w:rFonts w:hint="eastAsia" w:ascii="宋体" w:hAnsi="宋体" w:cs="宋体"/>
                <w:szCs w:val="21"/>
                <w:highlight w:val="none"/>
              </w:rPr>
              <w:t>服务承诺符合本项目特点，措施详尽</w:t>
            </w:r>
            <w:r>
              <w:rPr>
                <w:rFonts w:hint="eastAsia" w:ascii="宋体" w:hAnsi="宋体" w:cs="宋体"/>
                <w:szCs w:val="21"/>
              </w:rPr>
              <w:t>、人员专业性强、故障响应时间极快、日常维保方案及应急维修措施预案合理且可行，有具体的培训方案，得</w:t>
            </w:r>
            <w:r>
              <w:rPr>
                <w:rFonts w:hint="eastAsia" w:ascii="宋体" w:hAnsi="宋体" w:cs="宋体"/>
                <w:szCs w:val="21"/>
                <w:lang w:val="en-US" w:eastAsia="zh-CN"/>
              </w:rPr>
              <w:t>8</w:t>
            </w:r>
            <w:r>
              <w:rPr>
                <w:rFonts w:hint="eastAsia" w:ascii="宋体" w:hAnsi="宋体" w:cs="宋体"/>
                <w:szCs w:val="21"/>
              </w:rPr>
              <w:t>分。</w:t>
            </w:r>
          </w:p>
          <w:p w14:paraId="1C53BF38">
            <w:pPr>
              <w:snapToGrid w:val="0"/>
              <w:spacing w:line="360" w:lineRule="exact"/>
              <w:rPr>
                <w:rFonts w:ascii="宋体" w:hAnsi="宋体" w:cs="宋体"/>
                <w:szCs w:val="21"/>
              </w:rPr>
            </w:pPr>
            <w:r>
              <w:rPr>
                <w:rFonts w:hint="eastAsia" w:ascii="宋体" w:hAnsi="宋体" w:cs="宋体"/>
                <w:szCs w:val="21"/>
              </w:rPr>
              <w:t>服务承诺符合本项目特点，人员专业性较强、故障响应时间快、日常维保方案及应急维修措施预案较合理，有较具体的培训方案的得</w:t>
            </w:r>
            <w:r>
              <w:rPr>
                <w:rFonts w:hint="eastAsia" w:ascii="宋体" w:hAnsi="宋体" w:cs="宋体"/>
                <w:szCs w:val="21"/>
                <w:lang w:val="en-US" w:eastAsia="zh-CN"/>
              </w:rPr>
              <w:t>5</w:t>
            </w:r>
            <w:r>
              <w:rPr>
                <w:rFonts w:hint="eastAsia" w:ascii="宋体" w:hAnsi="宋体" w:cs="宋体"/>
                <w:szCs w:val="21"/>
              </w:rPr>
              <w:t>分；</w:t>
            </w:r>
          </w:p>
          <w:p w14:paraId="15310651">
            <w:pPr>
              <w:snapToGrid w:val="0"/>
              <w:spacing w:line="360" w:lineRule="exact"/>
              <w:rPr>
                <w:rFonts w:ascii="宋体" w:hAnsi="宋体" w:cs="宋体"/>
                <w:szCs w:val="21"/>
              </w:rPr>
            </w:pPr>
            <w:r>
              <w:rPr>
                <w:rFonts w:hint="eastAsia" w:ascii="宋体" w:hAnsi="宋体" w:cs="宋体"/>
                <w:szCs w:val="21"/>
              </w:rPr>
              <w:t>服务承诺符合本项目特点，故障响应时间较长、应急维修措施预案不完备，培训方案不完备的得2 分；</w:t>
            </w:r>
          </w:p>
          <w:p w14:paraId="11D32CE9">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1"/>
                <w:szCs w:val="21"/>
                <w:highlight w:val="none"/>
              </w:rPr>
            </w:pPr>
            <w:r>
              <w:rPr>
                <w:rFonts w:hint="eastAsia" w:ascii="宋体" w:hAnsi="宋体" w:cs="宋体"/>
                <w:szCs w:val="21"/>
              </w:rPr>
              <w:t>缺项得0分。</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2BBE8E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8A897C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28AF90A6">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482"/>
      <w:bookmarkStart w:id="51" w:name="_Toc1947"/>
      <w:bookmarkStart w:id="52" w:name="_Toc256519703"/>
      <w:bookmarkStart w:id="53" w:name="_Toc326786897"/>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4"/>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4"/>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9"/>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31798"/>
      <w:bookmarkStart w:id="68"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default" w:ascii="宋体" w:hAnsi="宋体" w:eastAsia="宋体" w:cs="宋体"/>
          <w:b/>
          <w:color w:val="auto"/>
          <w:spacing w:val="90"/>
          <w:sz w:val="52"/>
          <w:szCs w:val="52"/>
          <w:highlight w:val="none"/>
          <w:lang w:val="en-US"/>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25CF381">
      <w:pPr>
        <w:pStyle w:val="8"/>
        <w:jc w:val="center"/>
        <w:rPr>
          <w:rFonts w:hint="eastAsia" w:ascii="宋体" w:hAnsi="宋体" w:eastAsia="宋体" w:cs="宋体"/>
          <w:color w:val="auto"/>
          <w:sz w:val="28"/>
          <w:highlight w:val="none"/>
          <w:lang w:eastAsia="zh-CN"/>
        </w:rPr>
      </w:pPr>
      <w:r>
        <w:rPr>
          <w:rFonts w:hint="eastAsia" w:ascii="宋体" w:hAnsi="宋体" w:eastAsia="宋体" w:cs="宋体"/>
          <w:b/>
          <w:snapToGrid w:val="0"/>
          <w:color w:val="auto"/>
          <w:spacing w:val="0"/>
          <w:kern w:val="0"/>
          <w:sz w:val="36"/>
          <w:szCs w:val="36"/>
          <w:highlight w:val="none"/>
          <w:u w:val="none"/>
          <w:lang w:val="en-US" w:eastAsia="zh-CN"/>
        </w:rPr>
        <w:t>包号及包名称：</w:t>
      </w:r>
    </w:p>
    <w:p w14:paraId="0F5A85C7">
      <w:pPr>
        <w:snapToGrid w:val="0"/>
        <w:spacing w:line="360" w:lineRule="auto"/>
        <w:jc w:val="center"/>
        <w:rPr>
          <w:rFonts w:hint="eastAsia" w:ascii="宋体" w:hAnsi="宋体" w:eastAsia="宋体" w:cs="宋体"/>
          <w:b/>
          <w:color w:val="auto"/>
          <w:spacing w:val="90"/>
          <w:sz w:val="52"/>
          <w:szCs w:val="52"/>
          <w:highlight w:val="none"/>
          <w:lang w:val="en-US" w:eastAsia="zh-CN"/>
        </w:rPr>
      </w:pP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red"/>
        </w:rPr>
      </w:pPr>
      <w:r>
        <w:rPr>
          <w:rFonts w:hint="eastAsia" w:ascii="宋体" w:hAnsi="宋体" w:cs="宋体"/>
          <w:color w:val="auto"/>
          <w:sz w:val="28"/>
          <w:szCs w:val="28"/>
          <w:highlight w:val="none"/>
          <w:lang w:eastAsia="zh-CN"/>
        </w:rPr>
        <w:t>供应商：</w:t>
      </w:r>
      <w:r>
        <w:rPr>
          <w:rFonts w:hint="eastAsia" w:ascii="宋体" w:hAnsi="宋体" w:cs="宋体"/>
          <w:color w:val="auto"/>
          <w:sz w:val="28"/>
          <w:szCs w:val="28"/>
          <w:highlight w:val="none"/>
          <w:u w:val="single"/>
          <w:lang w:eastAsia="zh-CN"/>
        </w:rPr>
        <w:t xml:space="preserve">                </w:t>
      </w:r>
      <w:r>
        <w:rPr>
          <w:rFonts w:hint="eastAsia" w:ascii="宋体" w:hAnsi="宋体" w:cs="宋体"/>
          <w:color w:val="auto"/>
          <w:sz w:val="28"/>
          <w:szCs w:val="28"/>
          <w:highlight w:val="none"/>
          <w:lang w:eastAsia="zh-CN"/>
        </w:rPr>
        <w:t>（全称并加盖公章）</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8818"/>
      <w:bookmarkStart w:id="70" w:name="_Toc14560"/>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none"/>
          <w:lang w:val="en-US" w:eastAsia="zh-CN"/>
        </w:rPr>
        <w:t>包</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u w:val="single"/>
          <w:lang w:eastAsia="zh-CN"/>
        </w:rPr>
        <w:t xml:space="preserve">                </w:t>
      </w:r>
      <w:r>
        <w:rPr>
          <w:rFonts w:hint="eastAsia" w:ascii="宋体" w:hAnsi="宋体" w:cs="宋体"/>
          <w:color w:val="auto"/>
          <w:kern w:val="0"/>
          <w:szCs w:val="21"/>
          <w:highlight w:val="none"/>
          <w:lang w:eastAsia="zh-CN"/>
        </w:rPr>
        <w:t>（全称并加盖公章）</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w:t>
      </w:r>
      <w:r>
        <w:rPr>
          <w:rFonts w:hint="eastAsia" w:ascii="宋体" w:hAnsi="宋体" w:cs="宋体"/>
          <w:color w:val="auto"/>
          <w:kern w:val="0"/>
          <w:sz w:val="24"/>
          <w:highlight w:val="none"/>
        </w:rPr>
        <w:t>人民币（元）</w:t>
      </w:r>
    </w:p>
    <w:p w14:paraId="7731EC5A">
      <w:pPr>
        <w:rPr>
          <w:rFonts w:hint="eastAsia" w:ascii="宋体" w:hAnsi="宋体" w:eastAsia="宋体" w:cs="宋体"/>
          <w:color w:val="auto"/>
          <w:highlight w:val="none"/>
        </w:rPr>
      </w:pPr>
    </w:p>
    <w:tbl>
      <w:tblPr>
        <w:tblStyle w:val="35"/>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390"/>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90" w:type="dxa"/>
            <w:noWrap/>
            <w:vAlign w:val="center"/>
          </w:tcPr>
          <w:p w14:paraId="29544E6D">
            <w:pPr>
              <w:rPr>
                <w:rFonts w:hint="eastAsia" w:ascii="宋体" w:hAnsi="宋体" w:eastAsia="宋体" w:cs="宋体"/>
                <w:bCs/>
                <w:color w:val="auto"/>
                <w:szCs w:val="21"/>
                <w:highlight w:val="none"/>
              </w:rPr>
            </w:pPr>
          </w:p>
        </w:tc>
      </w:tr>
      <w:tr w14:paraId="35236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742678B">
            <w:pPr>
              <w:widowControl/>
              <w:snapToGrid w:val="0"/>
              <w:spacing w:before="50" w:after="50"/>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包号</w:t>
            </w:r>
          </w:p>
        </w:tc>
        <w:tc>
          <w:tcPr>
            <w:tcW w:w="7390" w:type="dxa"/>
            <w:noWrap/>
            <w:vAlign w:val="center"/>
          </w:tcPr>
          <w:p w14:paraId="53DC4200">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90"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3F2BF03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p w14:paraId="2A3EC86B">
            <w:pPr>
              <w:jc w:val="center"/>
              <w:rPr>
                <w:rFonts w:hint="eastAsia" w:ascii="宋体" w:hAnsi="宋体" w:eastAsia="宋体" w:cs="宋体"/>
                <w:color w:val="auto"/>
                <w:spacing w:val="-20"/>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元</w:t>
            </w:r>
            <w:r>
              <w:rPr>
                <w:rFonts w:hint="eastAsia" w:ascii="宋体" w:hAnsi="宋体" w:cs="宋体"/>
                <w:color w:val="auto"/>
                <w:szCs w:val="21"/>
                <w:highlight w:val="none"/>
                <w:lang w:eastAsia="zh-CN"/>
              </w:rPr>
              <w:t>）</w:t>
            </w:r>
          </w:p>
        </w:tc>
        <w:tc>
          <w:tcPr>
            <w:tcW w:w="7390"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3C81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8" w:type="dxa"/>
            <w:shd w:val="clear" w:color="auto" w:fill="auto"/>
            <w:noWrap/>
            <w:vAlign w:val="center"/>
          </w:tcPr>
          <w:p w14:paraId="5DA42306">
            <w:pPr>
              <w:pStyle w:val="7"/>
              <w:ind w:left="0" w:leftChars="0"/>
              <w:jc w:val="center"/>
              <w:rPr>
                <w:rFonts w:hint="eastAsia" w:ascii="宋体" w:hAnsi="宋体" w:eastAsia="宋体" w:cs="宋体"/>
                <w:color w:val="auto"/>
                <w:kern w:val="2"/>
                <w:sz w:val="21"/>
                <w:szCs w:val="21"/>
                <w:highlight w:val="none"/>
                <w:lang w:val="en-US" w:eastAsia="zh-CN" w:bidi="ar-SA"/>
              </w:rPr>
            </w:pPr>
            <w:r>
              <w:rPr>
                <w:rFonts w:hint="eastAsia" w:cs="宋体"/>
                <w:color w:val="000000" w:themeColor="text1"/>
                <w:sz w:val="21"/>
                <w:szCs w:val="21"/>
                <w:highlight w:val="none"/>
                <w:lang w:val="en-US" w:eastAsia="zh-CN"/>
                <w14:textFill>
                  <w14:solidFill>
                    <w14:schemeClr w14:val="tx1"/>
                  </w14:solidFill>
                </w14:textFill>
              </w:rPr>
              <w:t>交货期</w:t>
            </w:r>
          </w:p>
        </w:tc>
        <w:tc>
          <w:tcPr>
            <w:tcW w:w="7390" w:type="dxa"/>
            <w:noWrap/>
            <w:vAlign w:val="center"/>
          </w:tcPr>
          <w:p w14:paraId="5C9F3231">
            <w:pPr>
              <w:rPr>
                <w:rFonts w:hint="eastAsia" w:ascii="宋体" w:hAnsi="宋体" w:eastAsia="宋体" w:cs="宋体"/>
                <w:color w:val="auto"/>
                <w:szCs w:val="21"/>
                <w:highlight w:val="none"/>
                <w:lang w:val="en-US" w:eastAsia="zh-CN"/>
              </w:rPr>
            </w:pPr>
          </w:p>
        </w:tc>
      </w:tr>
      <w:tr w14:paraId="3F725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8" w:type="dxa"/>
            <w:shd w:val="clear" w:color="auto" w:fill="auto"/>
            <w:noWrap/>
            <w:vAlign w:val="center"/>
          </w:tcPr>
          <w:p w14:paraId="000B824F">
            <w:pPr>
              <w:pStyle w:val="7"/>
              <w:ind w:left="0" w:lef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质保期</w:t>
            </w:r>
          </w:p>
        </w:tc>
        <w:tc>
          <w:tcPr>
            <w:tcW w:w="7390" w:type="dxa"/>
            <w:noWrap/>
            <w:vAlign w:val="center"/>
          </w:tcPr>
          <w:p w14:paraId="36C85844">
            <w:pPr>
              <w:rPr>
                <w:rFonts w:hint="eastAsia" w:ascii="宋体" w:hAnsi="宋体" w:eastAsia="宋体" w:cs="宋体"/>
                <w:color w:val="auto"/>
                <w:szCs w:val="21"/>
                <w:highlight w:val="none"/>
                <w:lang w:val="en-US" w:eastAsia="zh-CN"/>
              </w:rPr>
            </w:pP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90" w:type="dxa"/>
            <w:noWrap/>
            <w:vAlign w:val="center"/>
          </w:tcPr>
          <w:p w14:paraId="1BE2A112">
            <w:pPr>
              <w:pStyle w:val="22"/>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390" w:type="dxa"/>
            <w:noWrap/>
            <w:vAlign w:val="center"/>
          </w:tcPr>
          <w:p w14:paraId="0FDD4FAD">
            <w:pPr>
              <w:pStyle w:val="22"/>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100D7E1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2、以上报价应与“报价明细表”中的报价相一致。</w:t>
      </w:r>
    </w:p>
    <w:p w14:paraId="1749687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按格式填列，不得自行更改。否则引起的不利后果由</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承担。</w:t>
      </w:r>
    </w:p>
    <w:p w14:paraId="7B6C3FAE">
      <w:pPr>
        <w:spacing w:line="360" w:lineRule="auto"/>
        <w:ind w:firstLine="420" w:firstLineChars="200"/>
        <w:rPr>
          <w:rFonts w:hint="eastAsia" w:ascii="宋体" w:hAnsi="宋体" w:eastAsia="宋体" w:cs="宋体"/>
          <w:color w:val="auto"/>
          <w:highlight w:val="none"/>
        </w:rPr>
      </w:pP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11620"/>
      <w:bookmarkStart w:id="73" w:name="_Toc20877"/>
    </w:p>
    <w:bookmarkEnd w:id="72"/>
    <w:bookmarkEnd w:id="73"/>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u w:val="single"/>
          <w:lang w:eastAsia="zh-CN"/>
        </w:rPr>
        <w:t xml:space="preserve">                </w:t>
      </w:r>
      <w:r>
        <w:rPr>
          <w:rFonts w:hint="eastAsia" w:ascii="宋体" w:hAnsi="宋体" w:cs="宋体"/>
          <w:color w:val="auto"/>
          <w:szCs w:val="21"/>
          <w:highlight w:val="none"/>
          <w:lang w:eastAsia="zh-CN"/>
        </w:rPr>
        <w:t>（全称并加盖公章）</w:t>
      </w:r>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4" w:name="_Toc12222"/>
      <w:bookmarkStart w:id="75" w:name="_Toc625"/>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1330"/>
      <w:bookmarkStart w:id="77" w:name="_Toc9950"/>
      <w:r>
        <w:rPr>
          <w:rFonts w:hint="eastAsia" w:ascii="宋体" w:hAnsi="宋体" w:eastAsia="宋体" w:cs="宋体"/>
          <w:color w:val="auto"/>
          <w:szCs w:val="21"/>
          <w:highlight w:val="none"/>
        </w:rPr>
        <w:t>年  月  日</w:t>
      </w:r>
      <w:bookmarkEnd w:id="76"/>
      <w:bookmarkEnd w:id="77"/>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8" w:name="_Toc24984"/>
      <w:bookmarkStart w:id="79"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8"/>
      <w:bookmarkEnd w:id="79"/>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金额单位：人民币（元）</w:t>
      </w:r>
    </w:p>
    <w:tbl>
      <w:tblPr>
        <w:tblStyle w:val="35"/>
        <w:tblpPr w:leftFromText="180" w:rightFromText="180" w:vertAnchor="text" w:horzAnchor="page" w:tblpX="1095" w:tblpY="449"/>
        <w:tblOverlap w:val="never"/>
        <w:tblW w:w="999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171"/>
        <w:gridCol w:w="1926"/>
        <w:gridCol w:w="1424"/>
        <w:gridCol w:w="1424"/>
        <w:gridCol w:w="865"/>
        <w:gridCol w:w="943"/>
        <w:gridCol w:w="871"/>
        <w:gridCol w:w="958"/>
        <w:gridCol w:w="771"/>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r>
              <w:rPr>
                <w:rFonts w:hint="eastAsia" w:ascii="宋体" w:hAnsi="宋体" w:cs="宋体"/>
                <w:color w:val="auto"/>
                <w:kern w:val="0"/>
                <w:sz w:val="21"/>
                <w:szCs w:val="21"/>
                <w:highlight w:val="none"/>
              </w:rPr>
              <w:t>序号</w:t>
            </w:r>
          </w:p>
        </w:tc>
        <w:tc>
          <w:tcPr>
            <w:tcW w:w="2097" w:type="dxa"/>
            <w:gridSpan w:val="2"/>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1"/>
                <w:szCs w:val="21"/>
                <w:highlight w:val="none"/>
                <w:lang w:val="en-US" w:eastAsia="zh-CN" w:bidi="ar-SA"/>
              </w:rPr>
            </w:pPr>
            <w:r>
              <w:rPr>
                <w:rFonts w:hint="eastAsia" w:ascii="宋体" w:hAnsi="宋体" w:cs="宋体"/>
                <w:color w:val="auto"/>
                <w:spacing w:val="20"/>
                <w:kern w:val="0"/>
                <w:sz w:val="21"/>
                <w:szCs w:val="21"/>
                <w:highlight w:val="none"/>
                <w:lang w:val="en-US" w:eastAsia="zh-CN" w:bidi="ar-SA"/>
              </w:rPr>
              <w:t>货物</w:t>
            </w:r>
            <w:r>
              <w:rPr>
                <w:rFonts w:hint="eastAsia" w:ascii="宋体" w:hAnsi="宋体" w:eastAsia="宋体" w:cs="宋体"/>
                <w:color w:val="auto"/>
                <w:spacing w:val="20"/>
                <w:kern w:val="0"/>
                <w:sz w:val="21"/>
                <w:szCs w:val="21"/>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1"/>
                <w:szCs w:val="21"/>
                <w:highlight w:val="none"/>
                <w:lang w:val="en-US" w:eastAsia="zh-CN" w:bidi="ar-SA"/>
              </w:rPr>
            </w:pPr>
            <w:r>
              <w:rPr>
                <w:rFonts w:hint="eastAsia" w:ascii="宋体" w:hAnsi="宋体" w:cs="宋体"/>
                <w:color w:val="auto"/>
                <w:spacing w:val="20"/>
                <w:kern w:val="0"/>
                <w:sz w:val="21"/>
                <w:szCs w:val="21"/>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1"/>
                <w:szCs w:val="21"/>
                <w:highlight w:val="none"/>
                <w:lang w:val="en-US" w:eastAsia="zh-CN" w:bidi="ar-SA"/>
              </w:rPr>
            </w:pPr>
            <w:r>
              <w:rPr>
                <w:rFonts w:hint="eastAsia" w:ascii="宋体" w:hAnsi="宋体" w:cs="宋体"/>
                <w:color w:val="auto"/>
                <w:spacing w:val="20"/>
                <w:kern w:val="0"/>
                <w:sz w:val="21"/>
                <w:szCs w:val="21"/>
                <w:highlight w:val="none"/>
                <w:lang w:val="en-US" w:eastAsia="zh-CN" w:bidi="ar-SA"/>
              </w:rPr>
              <w:t>规格型号</w:t>
            </w:r>
          </w:p>
        </w:tc>
        <w:tc>
          <w:tcPr>
            <w:tcW w:w="865"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产地</w:t>
            </w:r>
          </w:p>
        </w:tc>
        <w:tc>
          <w:tcPr>
            <w:tcW w:w="943"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1"/>
                <w:szCs w:val="21"/>
                <w:highlight w:val="none"/>
                <w:lang w:val="en-US" w:eastAsia="zh-CN" w:bidi="ar-SA"/>
              </w:rPr>
            </w:pPr>
            <w:r>
              <w:rPr>
                <w:rFonts w:hint="eastAsia" w:ascii="宋体" w:hAnsi="宋体" w:cs="宋体"/>
                <w:color w:val="auto"/>
                <w:kern w:val="0"/>
                <w:sz w:val="21"/>
                <w:szCs w:val="21"/>
                <w:highlight w:val="none"/>
              </w:rPr>
              <w:t>数量</w:t>
            </w:r>
          </w:p>
        </w:tc>
        <w:tc>
          <w:tcPr>
            <w:tcW w:w="871"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1"/>
                <w:szCs w:val="21"/>
                <w:highlight w:val="none"/>
                <w:lang w:val="en-US" w:eastAsia="zh-CN" w:bidi="ar-SA"/>
              </w:rPr>
            </w:pPr>
            <w:r>
              <w:rPr>
                <w:rFonts w:hint="eastAsia" w:ascii="宋体" w:hAnsi="宋体" w:cs="宋体"/>
                <w:color w:val="auto"/>
                <w:kern w:val="0"/>
                <w:sz w:val="21"/>
                <w:szCs w:val="21"/>
                <w:highlight w:val="none"/>
              </w:rPr>
              <w:t>单价</w:t>
            </w:r>
            <w:r>
              <w:rPr>
                <w:rFonts w:hint="eastAsia" w:ascii="宋体" w:hAnsi="宋体" w:cs="宋体"/>
                <w:color w:val="auto"/>
                <w:spacing w:val="20"/>
                <w:kern w:val="0"/>
                <w:sz w:val="21"/>
                <w:szCs w:val="21"/>
                <w:highlight w:val="none"/>
                <w:lang w:val="en-US" w:eastAsia="zh-CN"/>
              </w:rPr>
              <w:t>（元）</w:t>
            </w:r>
          </w:p>
        </w:tc>
        <w:tc>
          <w:tcPr>
            <w:tcW w:w="958" w:type="dxa"/>
            <w:tcBorders>
              <w:top w:val="single" w:color="auto" w:sz="4" w:space="0"/>
              <w:left w:val="single" w:color="auto" w:sz="4" w:space="0"/>
              <w:bottom w:val="nil"/>
              <w:right w:val="single" w:color="auto" w:sz="4" w:space="0"/>
            </w:tcBorders>
            <w:vAlign w:val="center"/>
          </w:tcPr>
          <w:p w14:paraId="441604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1"/>
                <w:szCs w:val="21"/>
                <w:highlight w:val="none"/>
                <w:lang w:val="en-US" w:eastAsia="zh-CN"/>
              </w:rPr>
            </w:pPr>
            <w:r>
              <w:rPr>
                <w:rFonts w:hint="eastAsia" w:ascii="宋体" w:hAnsi="宋体" w:cs="宋体"/>
                <w:color w:val="auto"/>
                <w:spacing w:val="20"/>
                <w:kern w:val="0"/>
                <w:sz w:val="21"/>
                <w:szCs w:val="21"/>
                <w:highlight w:val="none"/>
                <w:lang w:val="en-US" w:eastAsia="zh-CN"/>
              </w:rPr>
              <w:t>总价（元）</w:t>
            </w:r>
          </w:p>
        </w:tc>
        <w:tc>
          <w:tcPr>
            <w:tcW w:w="771"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bidi="ar-SA"/>
              </w:rPr>
            </w:pPr>
            <w:r>
              <w:rPr>
                <w:rFonts w:hint="eastAsia" w:ascii="宋体" w:hAnsi="宋体" w:cs="宋体"/>
                <w:color w:val="auto"/>
                <w:spacing w:val="20"/>
                <w:kern w:val="0"/>
                <w:sz w:val="21"/>
                <w:szCs w:val="21"/>
                <w:highlight w:val="none"/>
                <w:lang w:val="en-US" w:eastAsia="zh-CN"/>
              </w:rPr>
              <w:t>备注</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rPr>
            </w:pPr>
            <w:r>
              <w:rPr>
                <w:rFonts w:hint="eastAsia" w:ascii="宋体" w:hAnsi="宋体" w:cs="宋体"/>
                <w:color w:val="auto"/>
                <w:spacing w:val="20"/>
                <w:kern w:val="0"/>
                <w:sz w:val="21"/>
                <w:szCs w:val="21"/>
                <w:highlight w:val="none"/>
                <w:lang w:val="en-US" w:eastAsia="zh-CN"/>
              </w:rPr>
              <w:t>1</w:t>
            </w:r>
          </w:p>
        </w:tc>
        <w:tc>
          <w:tcPr>
            <w:tcW w:w="2097" w:type="dxa"/>
            <w:gridSpan w:val="2"/>
            <w:tcBorders>
              <w:top w:val="single" w:color="auto" w:sz="4" w:space="0"/>
              <w:left w:val="single" w:color="auto" w:sz="4" w:space="0"/>
              <w:bottom w:val="single" w:color="auto" w:sz="4" w:space="0"/>
              <w:right w:val="single" w:color="auto" w:sz="4" w:space="0"/>
            </w:tcBorders>
            <w:vAlign w:val="center"/>
          </w:tcPr>
          <w:p w14:paraId="47691C9D">
            <w:pPr>
              <w:keepNext w:val="0"/>
              <w:keepLines w:val="0"/>
              <w:widowControl/>
              <w:suppressLineNumbers w:val="0"/>
              <w:jc w:val="center"/>
              <w:textAlignment w:val="center"/>
              <w:rPr>
                <w:rFonts w:ascii="宋体" w:hAnsi="宋体" w:cs="宋体"/>
                <w:color w:val="auto"/>
                <w:spacing w:val="20"/>
                <w:kern w:val="0"/>
                <w:sz w:val="21"/>
                <w:szCs w:val="21"/>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865"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943"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rPr>
            </w:pPr>
          </w:p>
        </w:tc>
        <w:tc>
          <w:tcPr>
            <w:tcW w:w="871"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771" w:type="dxa"/>
            <w:tcBorders>
              <w:top w:val="single" w:color="auto" w:sz="4" w:space="0"/>
              <w:left w:val="single" w:color="auto" w:sz="4" w:space="0"/>
              <w:bottom w:val="single" w:color="auto" w:sz="4" w:space="0"/>
              <w:right w:val="single" w:color="auto" w:sz="4" w:space="0"/>
            </w:tcBorders>
          </w:tcPr>
          <w:p w14:paraId="67D811C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rPr>
            </w:pPr>
            <w:r>
              <w:rPr>
                <w:rFonts w:hint="eastAsia" w:ascii="宋体" w:hAnsi="宋体" w:cs="宋体"/>
                <w:color w:val="auto"/>
                <w:spacing w:val="20"/>
                <w:kern w:val="0"/>
                <w:sz w:val="21"/>
                <w:szCs w:val="21"/>
                <w:highlight w:val="none"/>
                <w:lang w:val="en-US" w:eastAsia="zh-CN"/>
              </w:rPr>
              <w:t>2</w:t>
            </w:r>
          </w:p>
        </w:tc>
        <w:tc>
          <w:tcPr>
            <w:tcW w:w="2097" w:type="dxa"/>
            <w:gridSpan w:val="2"/>
            <w:tcBorders>
              <w:top w:val="single" w:color="auto" w:sz="4" w:space="0"/>
              <w:left w:val="single" w:color="auto" w:sz="4" w:space="0"/>
              <w:bottom w:val="single" w:color="auto" w:sz="4" w:space="0"/>
              <w:right w:val="single" w:color="auto" w:sz="4" w:space="0"/>
            </w:tcBorders>
            <w:vAlign w:val="center"/>
          </w:tcPr>
          <w:p w14:paraId="1303570B">
            <w:pPr>
              <w:keepNext w:val="0"/>
              <w:keepLines w:val="0"/>
              <w:widowControl/>
              <w:suppressLineNumbers w:val="0"/>
              <w:jc w:val="center"/>
              <w:textAlignment w:val="center"/>
              <w:rPr>
                <w:rFonts w:ascii="宋体" w:hAnsi="宋体" w:cs="宋体"/>
                <w:color w:val="auto"/>
                <w:spacing w:val="20"/>
                <w:kern w:val="0"/>
                <w:sz w:val="21"/>
                <w:szCs w:val="21"/>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865"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943"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rPr>
            </w:pPr>
          </w:p>
        </w:tc>
        <w:tc>
          <w:tcPr>
            <w:tcW w:w="871"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771" w:type="dxa"/>
            <w:tcBorders>
              <w:top w:val="single" w:color="auto" w:sz="4" w:space="0"/>
              <w:left w:val="single" w:color="auto" w:sz="4" w:space="0"/>
              <w:bottom w:val="single" w:color="auto" w:sz="4" w:space="0"/>
              <w:right w:val="single" w:color="auto" w:sz="4" w:space="0"/>
            </w:tcBorders>
          </w:tcPr>
          <w:p w14:paraId="15086A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r>
      <w:tr w14:paraId="383727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F7596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1"/>
                <w:szCs w:val="21"/>
                <w:highlight w:val="none"/>
                <w:lang w:val="en-US" w:eastAsia="zh-CN"/>
              </w:rPr>
            </w:pPr>
            <w:r>
              <w:rPr>
                <w:rFonts w:hint="eastAsia" w:ascii="宋体" w:hAnsi="宋体" w:cs="宋体"/>
                <w:color w:val="auto"/>
                <w:spacing w:val="20"/>
                <w:kern w:val="0"/>
                <w:sz w:val="21"/>
                <w:szCs w:val="21"/>
                <w:highlight w:val="none"/>
                <w:lang w:val="en-US" w:eastAsia="zh-CN"/>
              </w:rPr>
              <w:t>...</w:t>
            </w:r>
          </w:p>
        </w:tc>
        <w:tc>
          <w:tcPr>
            <w:tcW w:w="2097" w:type="dxa"/>
            <w:gridSpan w:val="2"/>
            <w:tcBorders>
              <w:top w:val="single" w:color="auto" w:sz="4" w:space="0"/>
              <w:left w:val="single" w:color="auto" w:sz="4" w:space="0"/>
              <w:bottom w:val="single" w:color="auto" w:sz="4" w:space="0"/>
              <w:right w:val="single" w:color="auto" w:sz="4" w:space="0"/>
            </w:tcBorders>
            <w:vAlign w:val="center"/>
          </w:tcPr>
          <w:p w14:paraId="60A35B6E">
            <w:pPr>
              <w:keepNext w:val="0"/>
              <w:keepLines w:val="0"/>
              <w:widowControl/>
              <w:suppressLineNumbers w:val="0"/>
              <w:jc w:val="center"/>
              <w:textAlignment w:val="center"/>
              <w:rPr>
                <w:rFonts w:ascii="宋体" w:hAnsi="宋体" w:cs="宋体"/>
                <w:color w:val="auto"/>
                <w:spacing w:val="20"/>
                <w:kern w:val="0"/>
                <w:sz w:val="21"/>
                <w:szCs w:val="21"/>
                <w:highlight w:val="none"/>
              </w:rPr>
            </w:pPr>
          </w:p>
        </w:tc>
        <w:tc>
          <w:tcPr>
            <w:tcW w:w="1424" w:type="dxa"/>
            <w:tcBorders>
              <w:top w:val="single" w:color="auto" w:sz="4" w:space="0"/>
              <w:left w:val="single" w:color="auto" w:sz="4" w:space="0"/>
              <w:bottom w:val="single" w:color="auto" w:sz="4" w:space="0"/>
              <w:right w:val="single" w:color="auto" w:sz="4" w:space="0"/>
            </w:tcBorders>
          </w:tcPr>
          <w:p w14:paraId="1162B6D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1424" w:type="dxa"/>
            <w:tcBorders>
              <w:top w:val="single" w:color="auto" w:sz="4" w:space="0"/>
              <w:left w:val="single" w:color="auto" w:sz="4" w:space="0"/>
              <w:bottom w:val="single" w:color="auto" w:sz="4" w:space="0"/>
              <w:right w:val="single" w:color="auto" w:sz="4" w:space="0"/>
            </w:tcBorders>
          </w:tcPr>
          <w:p w14:paraId="77AE99E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865" w:type="dxa"/>
            <w:tcBorders>
              <w:top w:val="single" w:color="auto" w:sz="4" w:space="0"/>
              <w:left w:val="single" w:color="auto" w:sz="4" w:space="0"/>
              <w:bottom w:val="single" w:color="auto" w:sz="4" w:space="0"/>
              <w:right w:val="single" w:color="auto" w:sz="4" w:space="0"/>
            </w:tcBorders>
          </w:tcPr>
          <w:p w14:paraId="6087254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943" w:type="dxa"/>
            <w:tcBorders>
              <w:top w:val="single" w:color="auto" w:sz="4" w:space="0"/>
              <w:left w:val="single" w:color="auto" w:sz="4" w:space="0"/>
              <w:bottom w:val="single" w:color="auto" w:sz="4" w:space="0"/>
              <w:right w:val="single" w:color="auto" w:sz="4" w:space="0"/>
            </w:tcBorders>
          </w:tcPr>
          <w:p w14:paraId="278B78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1"/>
                <w:szCs w:val="21"/>
                <w:highlight w:val="none"/>
                <w:lang w:val="en-US" w:eastAsia="zh-CN"/>
              </w:rPr>
            </w:pPr>
          </w:p>
        </w:tc>
        <w:tc>
          <w:tcPr>
            <w:tcW w:w="871" w:type="dxa"/>
            <w:tcBorders>
              <w:top w:val="single" w:color="auto" w:sz="4" w:space="0"/>
              <w:left w:val="single" w:color="auto" w:sz="4" w:space="0"/>
              <w:bottom w:val="single" w:color="auto" w:sz="4" w:space="0"/>
              <w:right w:val="single" w:color="auto" w:sz="4" w:space="0"/>
            </w:tcBorders>
          </w:tcPr>
          <w:p w14:paraId="04677AB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27903D1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771" w:type="dxa"/>
            <w:tcBorders>
              <w:top w:val="single" w:color="auto" w:sz="4" w:space="0"/>
              <w:left w:val="single" w:color="auto" w:sz="4" w:space="0"/>
              <w:bottom w:val="single" w:color="auto" w:sz="4" w:space="0"/>
              <w:right w:val="single" w:color="auto" w:sz="4" w:space="0"/>
            </w:tcBorders>
          </w:tcPr>
          <w:p w14:paraId="7BAE2B2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740" w:type="dxa"/>
            <w:gridSpan w:val="3"/>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1"/>
                <w:szCs w:val="21"/>
                <w:highlight w:val="none"/>
                <w:lang w:val="en-US" w:eastAsia="zh-CN"/>
              </w:rPr>
            </w:pPr>
            <w:r>
              <w:rPr>
                <w:rFonts w:hint="eastAsia" w:ascii="宋体" w:hAnsi="宋体" w:cs="宋体"/>
                <w:color w:val="auto"/>
                <w:spacing w:val="20"/>
                <w:kern w:val="0"/>
                <w:sz w:val="21"/>
                <w:szCs w:val="21"/>
                <w:highlight w:val="none"/>
                <w:lang w:val="en-US" w:eastAsia="zh-CN"/>
              </w:rPr>
              <w:t>总计（元）</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865"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943"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871"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c>
          <w:tcPr>
            <w:tcW w:w="771" w:type="dxa"/>
            <w:tcBorders>
              <w:top w:val="single" w:color="auto" w:sz="4" w:space="0"/>
              <w:left w:val="single" w:color="auto" w:sz="4" w:space="0"/>
              <w:bottom w:val="single" w:color="auto" w:sz="4" w:space="0"/>
              <w:right w:val="single" w:color="auto" w:sz="4" w:space="0"/>
            </w:tcBorders>
          </w:tcPr>
          <w:p w14:paraId="58CE7A4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1"/>
                <w:szCs w:val="21"/>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14" w:type="dxa"/>
            <w:gridSpan w:val="2"/>
            <w:tcBorders>
              <w:top w:val="single" w:color="auto" w:sz="4" w:space="0"/>
              <w:left w:val="single" w:color="auto" w:sz="4" w:space="0"/>
              <w:bottom w:val="single" w:color="auto" w:sz="4" w:space="0"/>
              <w:right w:val="single" w:color="auto" w:sz="4" w:space="0"/>
            </w:tcBorders>
            <w:vAlign w:val="top"/>
          </w:tcPr>
          <w:p w14:paraId="6914A46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1"/>
                <w:szCs w:val="21"/>
                <w:highlight w:val="none"/>
                <w:lang w:val="en-US" w:eastAsia="zh-CN"/>
              </w:rPr>
            </w:pPr>
          </w:p>
        </w:tc>
        <w:tc>
          <w:tcPr>
            <w:tcW w:w="9182" w:type="dxa"/>
            <w:gridSpan w:val="8"/>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1"/>
                <w:szCs w:val="21"/>
                <w:highlight w:val="none"/>
                <w:lang w:val="en-US" w:eastAsia="zh-CN"/>
              </w:rPr>
            </w:pPr>
            <w:r>
              <w:rPr>
                <w:rFonts w:hint="eastAsia" w:ascii="宋体" w:hAnsi="宋体" w:cs="宋体"/>
                <w:color w:val="auto"/>
                <w:spacing w:val="20"/>
                <w:kern w:val="0"/>
                <w:sz w:val="21"/>
                <w:szCs w:val="21"/>
                <w:highlight w:val="none"/>
                <w:lang w:val="en-US" w:eastAsia="zh-CN"/>
              </w:rPr>
              <w:t>磋商</w:t>
            </w:r>
            <w:r>
              <w:rPr>
                <w:rFonts w:hint="eastAsia" w:ascii="宋体" w:hAnsi="宋体" w:cs="宋体"/>
                <w:color w:val="auto"/>
                <w:spacing w:val="20"/>
                <w:kern w:val="0"/>
                <w:sz w:val="21"/>
                <w:szCs w:val="21"/>
                <w:highlight w:val="none"/>
              </w:rPr>
              <w:t>报价(</w:t>
            </w:r>
            <w:r>
              <w:rPr>
                <w:rFonts w:hint="eastAsia" w:ascii="宋体" w:hAnsi="宋体" w:cs="宋体"/>
                <w:color w:val="auto"/>
                <w:kern w:val="0"/>
                <w:sz w:val="21"/>
                <w:szCs w:val="21"/>
                <w:highlight w:val="none"/>
              </w:rPr>
              <w:t>大写)：</w:t>
            </w:r>
          </w:p>
        </w:tc>
      </w:tr>
    </w:tbl>
    <w:p w14:paraId="3FDC4607">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w:t>
      </w:r>
    </w:p>
    <w:p w14:paraId="48F290DC">
      <w:pPr>
        <w:pStyle w:val="34"/>
        <w:ind w:firstLine="3990" w:firstLineChars="1900"/>
        <w:rPr>
          <w:rFonts w:hint="eastAsia" w:ascii="宋体" w:hAnsi="宋体" w:eastAsia="宋体" w:cs="宋体"/>
          <w:color w:val="auto"/>
          <w:sz w:val="21"/>
          <w:szCs w:val="21"/>
          <w:highlight w:val="none"/>
          <w:lang w:eastAsia="zh-CN"/>
        </w:rPr>
      </w:pPr>
    </w:p>
    <w:p w14:paraId="3C53A5A9">
      <w:pPr>
        <w:pStyle w:val="34"/>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01EAD59F">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br w:type="page"/>
      </w:r>
    </w:p>
    <w:p w14:paraId="5986FE19">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4.1 产品配置清单一览表</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238"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023"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800"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238" w:type="dxa"/>
            <w:vAlign w:val="center"/>
          </w:tcPr>
          <w:p w14:paraId="25AACED3">
            <w:pPr>
              <w:widowControl w:val="0"/>
              <w:jc w:val="center"/>
              <w:rPr>
                <w:rFonts w:hint="default"/>
                <w:color w:val="auto"/>
                <w:highlight w:val="none"/>
                <w:vertAlign w:val="baseline"/>
                <w:lang w:val="en-US" w:eastAsia="zh-CN"/>
              </w:rPr>
            </w:pPr>
          </w:p>
        </w:tc>
        <w:tc>
          <w:tcPr>
            <w:tcW w:w="1023" w:type="dxa"/>
            <w:vAlign w:val="center"/>
          </w:tcPr>
          <w:p w14:paraId="749D014C">
            <w:pPr>
              <w:widowControl w:val="0"/>
              <w:jc w:val="center"/>
              <w:rPr>
                <w:rFonts w:hint="default"/>
                <w:color w:val="auto"/>
                <w:highlight w:val="none"/>
                <w:vertAlign w:val="baseline"/>
                <w:lang w:val="en-US" w:eastAsia="zh-CN"/>
              </w:rPr>
            </w:pPr>
          </w:p>
        </w:tc>
        <w:tc>
          <w:tcPr>
            <w:tcW w:w="1800"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238" w:type="dxa"/>
            <w:vAlign w:val="center"/>
          </w:tcPr>
          <w:p w14:paraId="439C5F96">
            <w:pPr>
              <w:widowControl w:val="0"/>
              <w:jc w:val="center"/>
              <w:rPr>
                <w:rFonts w:hint="default"/>
                <w:color w:val="auto"/>
                <w:highlight w:val="none"/>
                <w:vertAlign w:val="baseline"/>
                <w:lang w:val="en-US" w:eastAsia="zh-CN"/>
              </w:rPr>
            </w:pPr>
          </w:p>
        </w:tc>
        <w:tc>
          <w:tcPr>
            <w:tcW w:w="1023" w:type="dxa"/>
            <w:vAlign w:val="center"/>
          </w:tcPr>
          <w:p w14:paraId="674CDC80">
            <w:pPr>
              <w:widowControl w:val="0"/>
              <w:jc w:val="center"/>
              <w:rPr>
                <w:rFonts w:hint="default"/>
                <w:color w:val="auto"/>
                <w:highlight w:val="none"/>
                <w:vertAlign w:val="baseline"/>
                <w:lang w:val="en-US" w:eastAsia="zh-CN"/>
              </w:rPr>
            </w:pPr>
          </w:p>
        </w:tc>
        <w:tc>
          <w:tcPr>
            <w:tcW w:w="1800"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238" w:type="dxa"/>
            <w:vAlign w:val="center"/>
          </w:tcPr>
          <w:p w14:paraId="72E86AD5">
            <w:pPr>
              <w:widowControl w:val="0"/>
              <w:jc w:val="center"/>
              <w:rPr>
                <w:rFonts w:hint="default"/>
                <w:color w:val="auto"/>
                <w:highlight w:val="none"/>
                <w:vertAlign w:val="baseline"/>
                <w:lang w:val="en-US" w:eastAsia="zh-CN"/>
              </w:rPr>
            </w:pPr>
          </w:p>
        </w:tc>
        <w:tc>
          <w:tcPr>
            <w:tcW w:w="1023" w:type="dxa"/>
            <w:vAlign w:val="center"/>
          </w:tcPr>
          <w:p w14:paraId="7134BF0D">
            <w:pPr>
              <w:widowControl w:val="0"/>
              <w:jc w:val="center"/>
              <w:rPr>
                <w:rFonts w:hint="default"/>
                <w:color w:val="auto"/>
                <w:highlight w:val="none"/>
                <w:vertAlign w:val="baseline"/>
                <w:lang w:val="en-US" w:eastAsia="zh-CN"/>
              </w:rPr>
            </w:pPr>
          </w:p>
        </w:tc>
        <w:tc>
          <w:tcPr>
            <w:tcW w:w="1800"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238" w:type="dxa"/>
            <w:vAlign w:val="center"/>
          </w:tcPr>
          <w:p w14:paraId="161FB83F">
            <w:pPr>
              <w:widowControl w:val="0"/>
              <w:jc w:val="center"/>
              <w:rPr>
                <w:rFonts w:hint="default"/>
                <w:color w:val="auto"/>
                <w:highlight w:val="none"/>
                <w:vertAlign w:val="baseline"/>
                <w:lang w:val="en-US" w:eastAsia="zh-CN"/>
              </w:rPr>
            </w:pPr>
          </w:p>
        </w:tc>
        <w:tc>
          <w:tcPr>
            <w:tcW w:w="1023" w:type="dxa"/>
            <w:vAlign w:val="center"/>
          </w:tcPr>
          <w:p w14:paraId="77DF5323">
            <w:pPr>
              <w:widowControl w:val="0"/>
              <w:jc w:val="center"/>
              <w:rPr>
                <w:rFonts w:hint="default"/>
                <w:color w:val="auto"/>
                <w:highlight w:val="none"/>
                <w:vertAlign w:val="baseline"/>
                <w:lang w:val="en-US" w:eastAsia="zh-CN"/>
              </w:rPr>
            </w:pPr>
          </w:p>
        </w:tc>
        <w:tc>
          <w:tcPr>
            <w:tcW w:w="1800"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238" w:type="dxa"/>
            <w:vAlign w:val="center"/>
          </w:tcPr>
          <w:p w14:paraId="17137530">
            <w:pPr>
              <w:widowControl w:val="0"/>
              <w:jc w:val="center"/>
              <w:rPr>
                <w:rFonts w:hint="default"/>
                <w:color w:val="auto"/>
                <w:highlight w:val="none"/>
                <w:vertAlign w:val="baseline"/>
                <w:lang w:val="en-US" w:eastAsia="zh-CN"/>
              </w:rPr>
            </w:pPr>
          </w:p>
        </w:tc>
        <w:tc>
          <w:tcPr>
            <w:tcW w:w="1023" w:type="dxa"/>
            <w:vAlign w:val="center"/>
          </w:tcPr>
          <w:p w14:paraId="1138018C">
            <w:pPr>
              <w:widowControl w:val="0"/>
              <w:jc w:val="center"/>
              <w:rPr>
                <w:rFonts w:hint="default"/>
                <w:color w:val="auto"/>
                <w:highlight w:val="none"/>
                <w:vertAlign w:val="baseline"/>
                <w:lang w:val="en-US" w:eastAsia="zh-CN"/>
              </w:rPr>
            </w:pPr>
          </w:p>
        </w:tc>
        <w:tc>
          <w:tcPr>
            <w:tcW w:w="1800"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3F22E3BC">
      <w:pPr>
        <w:keepNext w:val="0"/>
        <w:keepLines w:val="0"/>
        <w:widowControl/>
        <w:suppressLineNumbers w:val="0"/>
        <w:jc w:val="left"/>
        <w:rPr>
          <w:rFonts w:hint="default"/>
          <w:color w:val="auto"/>
          <w:sz w:val="20"/>
          <w:szCs w:val="22"/>
          <w:highlight w:val="none"/>
          <w:lang w:val="en-US" w:eastAsia="zh-CN"/>
        </w:rPr>
      </w:pPr>
      <w:r>
        <w:rPr>
          <w:rFonts w:hint="eastAsia" w:ascii="宋体" w:hAnsi="宋体" w:eastAsia="宋体" w:cs="宋体"/>
          <w:b/>
          <w:bCs/>
          <w:snapToGrid w:val="0"/>
          <w:color w:val="auto"/>
          <w:kern w:val="0"/>
          <w:sz w:val="22"/>
          <w:szCs w:val="22"/>
          <w:highlight w:val="none"/>
          <w:lang w:val="en-US" w:eastAsia="zh-CN" w:bidi="ar"/>
        </w:rPr>
        <w:t>备注：</w:t>
      </w:r>
    </w:p>
    <w:p w14:paraId="671DBB59">
      <w:pPr>
        <w:keepNext w:val="0"/>
        <w:keepLines w:val="0"/>
        <w:widowControl/>
        <w:suppressLineNumbers w:val="0"/>
        <w:jc w:val="left"/>
        <w:rPr>
          <w:color w:val="auto"/>
          <w:sz w:val="20"/>
          <w:szCs w:val="22"/>
          <w:highlight w:val="none"/>
        </w:rPr>
      </w:pPr>
      <w:r>
        <w:rPr>
          <w:rFonts w:hint="eastAsia" w:ascii="宋体" w:hAnsi="宋体" w:eastAsia="宋体" w:cs="宋体"/>
          <w:b/>
          <w:bCs/>
          <w:snapToGrid w:val="0"/>
          <w:color w:val="auto"/>
          <w:kern w:val="0"/>
          <w:sz w:val="22"/>
          <w:szCs w:val="22"/>
          <w:highlight w:val="none"/>
          <w:lang w:val="en-US" w:eastAsia="zh-CN" w:bidi="ar"/>
        </w:rPr>
        <w:t xml:space="preserve">1、若投标产品配置清单中含第三方产品，请填写第三方品牌、型号、产地，以铭牌为准； </w:t>
      </w:r>
    </w:p>
    <w:p w14:paraId="71CBFEA7">
      <w:pPr>
        <w:keepNext w:val="0"/>
        <w:keepLines w:val="0"/>
        <w:widowControl/>
        <w:suppressLineNumbers w:val="0"/>
        <w:jc w:val="left"/>
        <w:rPr>
          <w:color w:val="auto"/>
          <w:sz w:val="20"/>
          <w:szCs w:val="22"/>
          <w:highlight w:val="none"/>
        </w:rPr>
      </w:pPr>
      <w:r>
        <w:rPr>
          <w:rFonts w:hint="eastAsia" w:ascii="宋体" w:hAnsi="宋体" w:eastAsia="宋体" w:cs="宋体"/>
          <w:b/>
          <w:bCs/>
          <w:snapToGrid w:val="0"/>
          <w:color w:val="auto"/>
          <w:kern w:val="0"/>
          <w:sz w:val="22"/>
          <w:szCs w:val="22"/>
          <w:highlight w:val="none"/>
          <w:lang w:val="en-US" w:eastAsia="zh-CN" w:bidi="ar"/>
        </w:rPr>
        <w:t xml:space="preserve">2、所投产品若有注册证，投标开标一览表中规格或型号、产地等信息若与注册证不一致，以投标产品注册证信息为准。 </w:t>
      </w:r>
    </w:p>
    <w:p w14:paraId="708C5B50">
      <w:pPr>
        <w:bidi w:val="0"/>
        <w:rPr>
          <w:rFonts w:hint="default"/>
          <w:color w:val="auto"/>
          <w:highlight w:val="none"/>
          <w:lang w:val="en-US" w:eastAsia="zh-CN"/>
        </w:rPr>
      </w:pPr>
    </w:p>
    <w:p w14:paraId="1EA6A307">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法人代表或委托代理人（签字或盖章）：                 </w:t>
      </w:r>
    </w:p>
    <w:p w14:paraId="3953BDEB">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37ADF8B1">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日期：   </w:t>
      </w:r>
      <w:r>
        <w:rPr>
          <w:rFonts w:hint="eastAsia" w:ascii="宋体" w:hAnsi="宋体" w:eastAsia="宋体" w:cs="宋体"/>
          <w:color w:val="auto"/>
          <w:sz w:val="21"/>
          <w:szCs w:val="21"/>
          <w:highlight w:val="none"/>
        </w:rPr>
        <w:t xml:space="preserve">  年    月    日</w:t>
      </w:r>
    </w:p>
    <w:p w14:paraId="62480310">
      <w:pPr>
        <w:bidi w:val="0"/>
        <w:rPr>
          <w:rFonts w:hint="eastAsia"/>
          <w:color w:val="auto"/>
          <w:highlight w:val="none"/>
          <w:lang w:val="en-US" w:eastAsia="zh-CN"/>
        </w:rPr>
      </w:pP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5"/>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568848E2">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0" w:name="_Toc226"/>
      <w:bookmarkStart w:id="81" w:name="_Toc15804"/>
      <w:r>
        <w:rPr>
          <w:rFonts w:hint="eastAsia" w:ascii="宋体" w:hAnsi="宋体" w:eastAsia="宋体" w:cs="宋体"/>
          <w:color w:val="auto"/>
          <w:sz w:val="28"/>
          <w:szCs w:val="28"/>
          <w:highlight w:val="none"/>
          <w:lang w:val="en-US" w:eastAsia="zh-CN"/>
        </w:rPr>
        <w:t xml:space="preserve">附件5         </w:t>
      </w:r>
      <w:bookmarkEnd w:id="80"/>
      <w:bookmarkEnd w:id="81"/>
      <w:r>
        <w:rPr>
          <w:rFonts w:hint="eastAsia" w:ascii="宋体" w:hAnsi="宋体" w:eastAsia="宋体" w:cs="宋体"/>
          <w:color w:val="auto"/>
          <w:sz w:val="28"/>
          <w:szCs w:val="28"/>
          <w:highlight w:val="none"/>
          <w:lang w:val="en-US" w:eastAsia="zh-CN"/>
        </w:rPr>
        <w:t xml:space="preserve">  技术响应表（格式）</w:t>
      </w:r>
    </w:p>
    <w:tbl>
      <w:tblPr>
        <w:tblStyle w:val="93"/>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01727F8C">
      <w:pPr>
        <w:rPr>
          <w:rFonts w:hint="eastAsia" w:ascii="宋体" w:hAnsi="宋体" w:eastAsia="宋体" w:cs="宋体"/>
          <w:b/>
          <w:color w:val="auto"/>
          <w:kern w:val="0"/>
          <w:sz w:val="24"/>
          <w:highlight w:val="none"/>
        </w:rPr>
      </w:pPr>
    </w:p>
    <w:p w14:paraId="3C754F10">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20420"/>
      <w:bookmarkStart w:id="83" w:name="_Toc29960"/>
      <w:bookmarkStart w:id="84" w:name="_Toc24168"/>
      <w:r>
        <w:rPr>
          <w:rFonts w:hint="eastAsia" w:ascii="宋体" w:hAnsi="宋体" w:eastAsia="宋体" w:cs="宋体"/>
          <w:color w:val="auto"/>
          <w:sz w:val="28"/>
          <w:szCs w:val="28"/>
          <w:highlight w:val="none"/>
          <w:lang w:val="en-US" w:eastAsia="zh-CN"/>
        </w:rPr>
        <w:t>附件6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3"/>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2301" w:type="dxa"/>
            <w:noWrap w:val="0"/>
            <w:vAlign w:val="center"/>
          </w:tcPr>
          <w:p w14:paraId="6DC2849E">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合同签订时间</w:t>
            </w: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301" w:type="dxa"/>
            <w:noWrap w:val="0"/>
            <w:vAlign w:val="center"/>
          </w:tcPr>
          <w:p w14:paraId="0472149B">
            <w:pPr>
              <w:pStyle w:val="7"/>
              <w:ind w:left="0" w:leftChars="0"/>
              <w:jc w:val="center"/>
              <w:rPr>
                <w:rFonts w:hint="eastAsia" w:ascii="宋体" w:hAnsi="宋体" w:eastAsia="宋体" w:cs="宋体"/>
                <w:color w:val="auto"/>
                <w:sz w:val="21"/>
                <w:szCs w:val="21"/>
                <w:highlight w:val="none"/>
                <w:lang w:val="en-US" w:eastAsia="zh-CN"/>
              </w:rPr>
            </w:pPr>
            <w:r>
              <w:rPr>
                <w:rFonts w:hint="eastAsia" w:cs="宋体"/>
                <w:color w:val="000000" w:themeColor="text1"/>
                <w:sz w:val="21"/>
                <w:szCs w:val="21"/>
                <w:highlight w:val="none"/>
                <w:lang w:val="en-US" w:eastAsia="zh-CN"/>
                <w14:textFill>
                  <w14:solidFill>
                    <w14:schemeClr w14:val="tx1"/>
                  </w14:solidFill>
                </w14:textFill>
              </w:rPr>
              <w:t>交货期</w:t>
            </w: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301" w:type="dxa"/>
            <w:noWrap w:val="0"/>
            <w:vAlign w:val="center"/>
          </w:tcPr>
          <w:p w14:paraId="50BB9001">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交货地点</w:t>
            </w: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2301" w:type="dxa"/>
            <w:noWrap w:val="0"/>
            <w:vAlign w:val="center"/>
          </w:tcPr>
          <w:p w14:paraId="6182A3E4">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质保期</w:t>
            </w: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301" w:type="dxa"/>
            <w:noWrap w:val="0"/>
            <w:vAlign w:val="center"/>
          </w:tcPr>
          <w:p w14:paraId="5C43BD33">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质量要求</w:t>
            </w: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2301" w:type="dxa"/>
            <w:noWrap w:val="0"/>
            <w:vAlign w:val="center"/>
          </w:tcPr>
          <w:p w14:paraId="56FFBDC6">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付款方式</w:t>
            </w: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93DA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1CE0B399">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2301" w:type="dxa"/>
            <w:noWrap w:val="0"/>
            <w:vAlign w:val="center"/>
          </w:tcPr>
          <w:p w14:paraId="40134B4C">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售后服务</w:t>
            </w:r>
          </w:p>
        </w:tc>
        <w:tc>
          <w:tcPr>
            <w:tcW w:w="2198" w:type="dxa"/>
            <w:noWrap w:val="0"/>
            <w:vAlign w:val="center"/>
          </w:tcPr>
          <w:p w14:paraId="24EE2A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4B4F9E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230412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469B0F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AA45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423CF42A">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2301" w:type="dxa"/>
            <w:noWrap w:val="0"/>
            <w:vAlign w:val="center"/>
          </w:tcPr>
          <w:p w14:paraId="165019A7">
            <w:pPr>
              <w:pStyle w:val="7"/>
              <w:ind w:left="0" w:leftChars="0"/>
              <w:jc w:val="center"/>
              <w:rPr>
                <w:rFonts w:hint="eastAsia" w:ascii="宋体" w:hAnsi="宋体" w:eastAsia="宋体" w:cs="宋体"/>
                <w:color w:val="auto"/>
                <w:sz w:val="21"/>
                <w:szCs w:val="21"/>
                <w:highlight w:val="none"/>
              </w:rPr>
            </w:pPr>
            <w:r>
              <w:rPr>
                <w:rFonts w:hint="eastAsia" w:cs="宋体"/>
                <w:color w:val="000000" w:themeColor="text1"/>
                <w:sz w:val="21"/>
                <w:szCs w:val="21"/>
                <w:highlight w:val="none"/>
                <w:lang w:val="en-US" w:eastAsia="zh-CN"/>
                <w14:textFill>
                  <w14:solidFill>
                    <w14:schemeClr w14:val="tx1"/>
                  </w14:solidFill>
                </w14:textFill>
              </w:rPr>
              <w:t>培训</w:t>
            </w:r>
          </w:p>
        </w:tc>
        <w:tc>
          <w:tcPr>
            <w:tcW w:w="2198" w:type="dxa"/>
            <w:noWrap w:val="0"/>
            <w:vAlign w:val="center"/>
          </w:tcPr>
          <w:p w14:paraId="63C3B88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EA55C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82B6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2C621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4D60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100D6B2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2301" w:type="dxa"/>
            <w:noWrap w:val="0"/>
            <w:vAlign w:val="center"/>
          </w:tcPr>
          <w:p w14:paraId="2D589460">
            <w:pPr>
              <w:pStyle w:val="7"/>
              <w:ind w:left="0" w:leftChars="0"/>
              <w:jc w:val="center"/>
              <w:rPr>
                <w:rFonts w:hint="eastAsia" w:ascii="宋体" w:hAnsi="宋体" w:eastAsia="宋体" w:cs="宋体"/>
                <w:color w:val="auto"/>
                <w:sz w:val="21"/>
                <w:szCs w:val="21"/>
                <w:highlight w:val="none"/>
              </w:rPr>
            </w:pPr>
            <w:r>
              <w:rPr>
                <w:rFonts w:hint="eastAsia" w:cs="宋体"/>
                <w:color w:val="000000" w:themeColor="text1"/>
                <w:sz w:val="21"/>
                <w:szCs w:val="21"/>
                <w:highlight w:val="none"/>
                <w:lang w:val="en-US" w:eastAsia="zh-CN"/>
                <w14:textFill>
                  <w14:solidFill>
                    <w14:schemeClr w14:val="tx1"/>
                  </w14:solidFill>
                </w14:textFill>
              </w:rPr>
              <w:t>其他要求</w:t>
            </w:r>
          </w:p>
        </w:tc>
        <w:tc>
          <w:tcPr>
            <w:tcW w:w="2198" w:type="dxa"/>
            <w:noWrap w:val="0"/>
            <w:vAlign w:val="center"/>
          </w:tcPr>
          <w:p w14:paraId="2A32B0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43AD8B0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7C7B30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DB70EC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7FDB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4B3A8BC0">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p>
        </w:tc>
        <w:tc>
          <w:tcPr>
            <w:tcW w:w="2301" w:type="dxa"/>
            <w:noWrap w:val="0"/>
            <w:vAlign w:val="center"/>
          </w:tcPr>
          <w:p w14:paraId="2BA4BD4E">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618BC8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43B592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2F5C83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2E103B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6A6D5DC3">
      <w:pPr>
        <w:rPr>
          <w:rFonts w:hint="eastAsia" w:ascii="宋体" w:hAnsi="宋体" w:eastAsia="宋体" w:cs="宋体"/>
          <w:b/>
          <w:color w:val="auto"/>
          <w:kern w:val="0"/>
          <w:sz w:val="21"/>
          <w:szCs w:val="21"/>
          <w:highlight w:val="none"/>
        </w:rPr>
      </w:pPr>
    </w:p>
    <w:p w14:paraId="3FD13902">
      <w:pPr>
        <w:pStyle w:val="34"/>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28621"/>
      <w:bookmarkStart w:id="86" w:name="_Toc31526"/>
      <w:r>
        <w:rPr>
          <w:rFonts w:hint="eastAsia" w:ascii="宋体" w:hAnsi="宋体" w:eastAsia="宋体" w:cs="宋体"/>
          <w:b/>
          <w:color w:val="auto"/>
          <w:sz w:val="28"/>
          <w:highlight w:val="none"/>
        </w:rPr>
        <w:br w:type="page"/>
      </w:r>
    </w:p>
    <w:p w14:paraId="40257B9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附件7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5"/>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13976"/>
      <w:bookmarkStart w:id="89" w:name="_Toc12939"/>
      <w:bookmarkStart w:id="90" w:name="_Toc30519"/>
      <w:r>
        <w:rPr>
          <w:rFonts w:hint="eastAsia" w:ascii="宋体" w:hAnsi="宋体" w:eastAsia="宋体" w:cs="宋体"/>
          <w:color w:val="auto"/>
          <w:sz w:val="28"/>
          <w:szCs w:val="28"/>
          <w:highlight w:val="none"/>
          <w:lang w:val="en-US" w:eastAsia="zh-CN"/>
        </w:rPr>
        <w:t>附件8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5"/>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3342"/>
      <w:bookmarkStart w:id="92" w:name="_Toc24693"/>
      <w:bookmarkStart w:id="93" w:name="_Toc18105"/>
      <w:r>
        <w:rPr>
          <w:rFonts w:hint="eastAsia" w:ascii="宋体" w:hAnsi="宋体" w:eastAsia="宋体" w:cs="宋体"/>
          <w:color w:val="auto"/>
          <w:sz w:val="28"/>
          <w:szCs w:val="28"/>
          <w:highlight w:val="none"/>
          <w:lang w:val="en-US" w:eastAsia="zh-CN"/>
        </w:rPr>
        <w:t>附件9          证明文件</w:t>
      </w:r>
      <w:bookmarkEnd w:id="91"/>
      <w:bookmarkEnd w:id="92"/>
      <w:bookmarkEnd w:id="93"/>
    </w:p>
    <w:p w14:paraId="5EF76FA6">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94" w:name="_Toc17966"/>
      <w:r>
        <w:rPr>
          <w:rFonts w:hint="eastAsia" w:ascii="宋体" w:hAnsi="宋体" w:eastAsia="宋体" w:cs="宋体"/>
          <w:b/>
          <w:bCs w:val="0"/>
          <w:color w:val="auto"/>
          <w:sz w:val="21"/>
          <w:szCs w:val="21"/>
          <w:highlight w:val="none"/>
          <w:lang w:val="en-US" w:eastAsia="zh-CN"/>
        </w:rPr>
        <w:t>评分标准中需提供的证明材料</w:t>
      </w:r>
    </w:p>
    <w:p w14:paraId="5D58AFFF">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5" w:name="_Toc12888"/>
      <w:bookmarkStart w:id="96" w:name="_Toc16083"/>
      <w:bookmarkStart w:id="97" w:name="_Toc13726"/>
      <w:r>
        <w:rPr>
          <w:rFonts w:hint="eastAsia" w:ascii="宋体" w:hAnsi="宋体" w:eastAsia="宋体" w:cs="宋体"/>
          <w:color w:val="auto"/>
          <w:sz w:val="28"/>
          <w:szCs w:val="28"/>
          <w:highlight w:val="none"/>
          <w:lang w:val="en-US" w:eastAsia="zh-CN"/>
        </w:rPr>
        <w:t xml:space="preserve">附件10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（全称并加盖公章）</w:t>
      </w:r>
      <w:r>
        <w:rPr>
          <w:rFonts w:hint="eastAsia" w:ascii="宋体" w:hAnsi="宋体" w:eastAsia="宋体" w:cs="宋体"/>
          <w:color w:val="auto"/>
          <w:sz w:val="21"/>
          <w:szCs w:val="21"/>
          <w:highlight w:val="none"/>
        </w:rPr>
        <w:t xml:space="preserve">               </w:t>
      </w:r>
    </w:p>
    <w:p w14:paraId="46459914">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4"/>
        <w:rPr>
          <w:rFonts w:hint="eastAsia" w:ascii="宋体" w:hAnsi="宋体" w:eastAsia="宋体" w:cs="宋体"/>
          <w:color w:val="auto"/>
          <w:kern w:val="0"/>
          <w:szCs w:val="21"/>
          <w:highlight w:val="none"/>
        </w:rPr>
      </w:pPr>
    </w:p>
    <w:p w14:paraId="7C0BDA51">
      <w:pPr>
        <w:pStyle w:val="6"/>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51C51EE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（全称并加盖公章）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3"/>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31685"/>
      <w:bookmarkStart w:id="99" w:name="_Toc23394"/>
      <w:bookmarkStart w:id="100" w:name="_Toc25094"/>
    </w:p>
    <w:p w14:paraId="24DE6E5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3"/>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4"/>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4"/>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6"/>
      <w:jc w:val="right"/>
      <w:rPr>
        <w:rFonts w:hint="eastAsia"/>
      </w:rPr>
    </w:pPr>
    <w:r>
      <w:rPr>
        <w:rFonts w:hint="eastAsia" w:ascii="宋体" w:hAnsi="宋体" w:cs="宋体"/>
        <w:color w:val="auto"/>
        <w:szCs w:val="21"/>
        <w:highlight w:val="none"/>
        <w:u w:val="none"/>
        <w:shd w:val="clear" w:color="auto" w:fill="FFFFFF"/>
        <w:lang w:val="en-US" w:eastAsia="zh-CN"/>
      </w:rPr>
      <w:t>驻马店市中心医院全自动内镜清洗消毒机、多功能电动床采购项目采购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115A4D51"/>
    <w:multiLevelType w:val="multilevel"/>
    <w:tmpl w:val="115A4D5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9B6410A"/>
    <w:multiLevelType w:val="singleLevel"/>
    <w:tmpl w:val="59B6410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2EAC"/>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7601CC"/>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105BC"/>
    <w:rsid w:val="08672793"/>
    <w:rsid w:val="08695E80"/>
    <w:rsid w:val="087C4541"/>
    <w:rsid w:val="087E5595"/>
    <w:rsid w:val="08B1198F"/>
    <w:rsid w:val="08BC0A60"/>
    <w:rsid w:val="08C52D6F"/>
    <w:rsid w:val="08E42BE4"/>
    <w:rsid w:val="08EF0201"/>
    <w:rsid w:val="08F41DE8"/>
    <w:rsid w:val="093D1475"/>
    <w:rsid w:val="094840A2"/>
    <w:rsid w:val="09644C54"/>
    <w:rsid w:val="09737462"/>
    <w:rsid w:val="097F383C"/>
    <w:rsid w:val="099156C3"/>
    <w:rsid w:val="09A33F5B"/>
    <w:rsid w:val="09A53F39"/>
    <w:rsid w:val="09A60E13"/>
    <w:rsid w:val="09A82D92"/>
    <w:rsid w:val="09AB2883"/>
    <w:rsid w:val="09C35E1E"/>
    <w:rsid w:val="09CD0A4B"/>
    <w:rsid w:val="09D206F0"/>
    <w:rsid w:val="0A217124"/>
    <w:rsid w:val="0A321AC2"/>
    <w:rsid w:val="0A343D4E"/>
    <w:rsid w:val="0A344626"/>
    <w:rsid w:val="0A3E6D2E"/>
    <w:rsid w:val="0A4232E4"/>
    <w:rsid w:val="0A4D56E8"/>
    <w:rsid w:val="0A4F145F"/>
    <w:rsid w:val="0A8455AD"/>
    <w:rsid w:val="0A8729A8"/>
    <w:rsid w:val="0ABA2D7D"/>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D807DD"/>
    <w:rsid w:val="0BF16C73"/>
    <w:rsid w:val="0BF72F1E"/>
    <w:rsid w:val="0C0A7D34"/>
    <w:rsid w:val="0C191EC8"/>
    <w:rsid w:val="0C230DF6"/>
    <w:rsid w:val="0C3152C1"/>
    <w:rsid w:val="0C3957A5"/>
    <w:rsid w:val="0C507E2F"/>
    <w:rsid w:val="0C600D66"/>
    <w:rsid w:val="0C626DA7"/>
    <w:rsid w:val="0C6876AE"/>
    <w:rsid w:val="0C71390F"/>
    <w:rsid w:val="0C720EC8"/>
    <w:rsid w:val="0C942042"/>
    <w:rsid w:val="0C9D50DC"/>
    <w:rsid w:val="0CA5271D"/>
    <w:rsid w:val="0CAC4D10"/>
    <w:rsid w:val="0CBA3508"/>
    <w:rsid w:val="0CC53C5B"/>
    <w:rsid w:val="0CC72121"/>
    <w:rsid w:val="0CEE5A21"/>
    <w:rsid w:val="0D002EE5"/>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66372C"/>
    <w:rsid w:val="11700D10"/>
    <w:rsid w:val="1178125A"/>
    <w:rsid w:val="118441E0"/>
    <w:rsid w:val="1196056D"/>
    <w:rsid w:val="11A402E3"/>
    <w:rsid w:val="11B85B3D"/>
    <w:rsid w:val="11CD20A0"/>
    <w:rsid w:val="11D34654"/>
    <w:rsid w:val="12010480"/>
    <w:rsid w:val="120E707F"/>
    <w:rsid w:val="121D0051"/>
    <w:rsid w:val="12413D84"/>
    <w:rsid w:val="126132D0"/>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6B6FEA"/>
    <w:rsid w:val="13713CFE"/>
    <w:rsid w:val="13733928"/>
    <w:rsid w:val="13741F37"/>
    <w:rsid w:val="13857CA0"/>
    <w:rsid w:val="13920D68"/>
    <w:rsid w:val="139C16C9"/>
    <w:rsid w:val="13A5238E"/>
    <w:rsid w:val="13B63CE1"/>
    <w:rsid w:val="13BC6684"/>
    <w:rsid w:val="13BF7F2D"/>
    <w:rsid w:val="13C22CA3"/>
    <w:rsid w:val="13C72B3A"/>
    <w:rsid w:val="13D12EE6"/>
    <w:rsid w:val="13DF575E"/>
    <w:rsid w:val="13E470BD"/>
    <w:rsid w:val="13EE3A98"/>
    <w:rsid w:val="13F3280A"/>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2A4FA3"/>
    <w:rsid w:val="153A36AA"/>
    <w:rsid w:val="15477903"/>
    <w:rsid w:val="1557566D"/>
    <w:rsid w:val="1565422D"/>
    <w:rsid w:val="156E0971"/>
    <w:rsid w:val="15785B3E"/>
    <w:rsid w:val="15811F1B"/>
    <w:rsid w:val="15A30135"/>
    <w:rsid w:val="15A34015"/>
    <w:rsid w:val="15BB487B"/>
    <w:rsid w:val="15CE086D"/>
    <w:rsid w:val="15E2236F"/>
    <w:rsid w:val="16005D04"/>
    <w:rsid w:val="161D09ED"/>
    <w:rsid w:val="162323A3"/>
    <w:rsid w:val="162F30B1"/>
    <w:rsid w:val="1650762F"/>
    <w:rsid w:val="16510F12"/>
    <w:rsid w:val="16624D7B"/>
    <w:rsid w:val="166448F9"/>
    <w:rsid w:val="1677211D"/>
    <w:rsid w:val="16774218"/>
    <w:rsid w:val="167954F9"/>
    <w:rsid w:val="169311EC"/>
    <w:rsid w:val="169C5A2D"/>
    <w:rsid w:val="169F7296"/>
    <w:rsid w:val="16A060BA"/>
    <w:rsid w:val="16A57EAF"/>
    <w:rsid w:val="16A918E4"/>
    <w:rsid w:val="16AC6E3F"/>
    <w:rsid w:val="16AE652A"/>
    <w:rsid w:val="16B56AEF"/>
    <w:rsid w:val="16BF171B"/>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344900"/>
    <w:rsid w:val="184055B9"/>
    <w:rsid w:val="184A2082"/>
    <w:rsid w:val="185A16FC"/>
    <w:rsid w:val="185D3C42"/>
    <w:rsid w:val="185F38AF"/>
    <w:rsid w:val="188F0211"/>
    <w:rsid w:val="188F4BAC"/>
    <w:rsid w:val="18AD1BEB"/>
    <w:rsid w:val="18B3004A"/>
    <w:rsid w:val="18B31B6D"/>
    <w:rsid w:val="18B83CF9"/>
    <w:rsid w:val="18B96080"/>
    <w:rsid w:val="18CB43A7"/>
    <w:rsid w:val="18CE20EA"/>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27381F"/>
    <w:rsid w:val="1B4346C9"/>
    <w:rsid w:val="1B486183"/>
    <w:rsid w:val="1B4F2450"/>
    <w:rsid w:val="1B50619C"/>
    <w:rsid w:val="1B530868"/>
    <w:rsid w:val="1B6573E8"/>
    <w:rsid w:val="1B6922A5"/>
    <w:rsid w:val="1B721452"/>
    <w:rsid w:val="1B8C18B7"/>
    <w:rsid w:val="1BB73AE1"/>
    <w:rsid w:val="1BDA6D68"/>
    <w:rsid w:val="1BF14125"/>
    <w:rsid w:val="1C002CEE"/>
    <w:rsid w:val="1C4032FE"/>
    <w:rsid w:val="1C4E77C9"/>
    <w:rsid w:val="1C555978"/>
    <w:rsid w:val="1C6554A1"/>
    <w:rsid w:val="1C7971B7"/>
    <w:rsid w:val="1C8036FB"/>
    <w:rsid w:val="1C917D91"/>
    <w:rsid w:val="1CAA5C3A"/>
    <w:rsid w:val="1CAB2820"/>
    <w:rsid w:val="1CD402EC"/>
    <w:rsid w:val="1CED16EF"/>
    <w:rsid w:val="1CF02333"/>
    <w:rsid w:val="1D047E88"/>
    <w:rsid w:val="1D0C33A2"/>
    <w:rsid w:val="1D0C4F8F"/>
    <w:rsid w:val="1D113E6E"/>
    <w:rsid w:val="1D114E5E"/>
    <w:rsid w:val="1D1F0050"/>
    <w:rsid w:val="1D214EDE"/>
    <w:rsid w:val="1D2222DC"/>
    <w:rsid w:val="1D5144F7"/>
    <w:rsid w:val="1D5170BA"/>
    <w:rsid w:val="1D5B3CDE"/>
    <w:rsid w:val="1D5D0701"/>
    <w:rsid w:val="1D6E2950"/>
    <w:rsid w:val="1D79298C"/>
    <w:rsid w:val="1D98209B"/>
    <w:rsid w:val="1DA23746"/>
    <w:rsid w:val="1DAA14B9"/>
    <w:rsid w:val="1DD04513"/>
    <w:rsid w:val="1DD8524D"/>
    <w:rsid w:val="1DDD2BCB"/>
    <w:rsid w:val="1DDF1B3A"/>
    <w:rsid w:val="1E0345E3"/>
    <w:rsid w:val="1E1B7B7F"/>
    <w:rsid w:val="1E443370"/>
    <w:rsid w:val="1E656063"/>
    <w:rsid w:val="1E6B06A5"/>
    <w:rsid w:val="1E7554E1"/>
    <w:rsid w:val="1E7F7D9E"/>
    <w:rsid w:val="1E840DA4"/>
    <w:rsid w:val="1EA5444C"/>
    <w:rsid w:val="1EA5569B"/>
    <w:rsid w:val="1EB350EF"/>
    <w:rsid w:val="1EC21749"/>
    <w:rsid w:val="1EEB7C4E"/>
    <w:rsid w:val="1EF5328C"/>
    <w:rsid w:val="1EF86D03"/>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D10545"/>
    <w:rsid w:val="21E72B0B"/>
    <w:rsid w:val="21E76A4A"/>
    <w:rsid w:val="21EE607E"/>
    <w:rsid w:val="21F229A5"/>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511D6"/>
    <w:rsid w:val="241E2177"/>
    <w:rsid w:val="242A0646"/>
    <w:rsid w:val="2435301D"/>
    <w:rsid w:val="243A0633"/>
    <w:rsid w:val="243D6E1A"/>
    <w:rsid w:val="24453D05"/>
    <w:rsid w:val="244A2F6C"/>
    <w:rsid w:val="24607F91"/>
    <w:rsid w:val="246C581B"/>
    <w:rsid w:val="247C52A2"/>
    <w:rsid w:val="24942439"/>
    <w:rsid w:val="24942917"/>
    <w:rsid w:val="24AE34FB"/>
    <w:rsid w:val="24CC106B"/>
    <w:rsid w:val="24D00598"/>
    <w:rsid w:val="24D725E9"/>
    <w:rsid w:val="24EC31CF"/>
    <w:rsid w:val="25045F70"/>
    <w:rsid w:val="250474F1"/>
    <w:rsid w:val="25056E93"/>
    <w:rsid w:val="25092EBA"/>
    <w:rsid w:val="250E5D48"/>
    <w:rsid w:val="25241020"/>
    <w:rsid w:val="25302410"/>
    <w:rsid w:val="254F010E"/>
    <w:rsid w:val="255B6AB3"/>
    <w:rsid w:val="257572C3"/>
    <w:rsid w:val="25790E85"/>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985582"/>
    <w:rsid w:val="27A34941"/>
    <w:rsid w:val="27A97FAA"/>
    <w:rsid w:val="27EE3A7B"/>
    <w:rsid w:val="27FA25B3"/>
    <w:rsid w:val="28033B5E"/>
    <w:rsid w:val="28072D06"/>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A0362E"/>
    <w:rsid w:val="29B05804"/>
    <w:rsid w:val="29BD1AEA"/>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46E6"/>
    <w:rsid w:val="2CA25191"/>
    <w:rsid w:val="2CAC022C"/>
    <w:rsid w:val="2CC11807"/>
    <w:rsid w:val="2CC657DC"/>
    <w:rsid w:val="2CC66CD6"/>
    <w:rsid w:val="2CE327BC"/>
    <w:rsid w:val="2CF16074"/>
    <w:rsid w:val="2CF81D1B"/>
    <w:rsid w:val="2D3F2453"/>
    <w:rsid w:val="2D5F6A87"/>
    <w:rsid w:val="2D6F134E"/>
    <w:rsid w:val="2D835174"/>
    <w:rsid w:val="2D9331F9"/>
    <w:rsid w:val="2D99461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632EC"/>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274478"/>
    <w:rsid w:val="334045BE"/>
    <w:rsid w:val="334A3B2A"/>
    <w:rsid w:val="3365592E"/>
    <w:rsid w:val="336A31F3"/>
    <w:rsid w:val="336F6533"/>
    <w:rsid w:val="337E5E2F"/>
    <w:rsid w:val="3384610D"/>
    <w:rsid w:val="33886F33"/>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348B8"/>
    <w:rsid w:val="34DF24AE"/>
    <w:rsid w:val="351C4931"/>
    <w:rsid w:val="351C4EAC"/>
    <w:rsid w:val="351D4C26"/>
    <w:rsid w:val="352B46F4"/>
    <w:rsid w:val="352E7D40"/>
    <w:rsid w:val="35361A77"/>
    <w:rsid w:val="353E07CB"/>
    <w:rsid w:val="35461A22"/>
    <w:rsid w:val="35483CC9"/>
    <w:rsid w:val="354B08F2"/>
    <w:rsid w:val="35571045"/>
    <w:rsid w:val="356E46AA"/>
    <w:rsid w:val="357235B0"/>
    <w:rsid w:val="3578502D"/>
    <w:rsid w:val="3586192A"/>
    <w:rsid w:val="358625C7"/>
    <w:rsid w:val="35A815CB"/>
    <w:rsid w:val="35A85BD0"/>
    <w:rsid w:val="35AA1B9C"/>
    <w:rsid w:val="35B71AE4"/>
    <w:rsid w:val="35D501BC"/>
    <w:rsid w:val="35DB09A6"/>
    <w:rsid w:val="35DF5DB4"/>
    <w:rsid w:val="36080591"/>
    <w:rsid w:val="3609472F"/>
    <w:rsid w:val="3619454C"/>
    <w:rsid w:val="36203B2D"/>
    <w:rsid w:val="363E0457"/>
    <w:rsid w:val="365B4B65"/>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910D12"/>
    <w:rsid w:val="38A53DB7"/>
    <w:rsid w:val="38BF3388"/>
    <w:rsid w:val="38CC268D"/>
    <w:rsid w:val="38DF1FDA"/>
    <w:rsid w:val="38EC2960"/>
    <w:rsid w:val="390069DD"/>
    <w:rsid w:val="39030CF9"/>
    <w:rsid w:val="39091F35"/>
    <w:rsid w:val="392536E2"/>
    <w:rsid w:val="39465F15"/>
    <w:rsid w:val="39505209"/>
    <w:rsid w:val="396453C5"/>
    <w:rsid w:val="396C606A"/>
    <w:rsid w:val="39922CCF"/>
    <w:rsid w:val="39A24859"/>
    <w:rsid w:val="39A65327"/>
    <w:rsid w:val="39A65C9B"/>
    <w:rsid w:val="39BC5ED6"/>
    <w:rsid w:val="39D27231"/>
    <w:rsid w:val="39E82BB3"/>
    <w:rsid w:val="39EB39E0"/>
    <w:rsid w:val="39EE7A9E"/>
    <w:rsid w:val="39EF02D4"/>
    <w:rsid w:val="3A11342A"/>
    <w:rsid w:val="3A153110"/>
    <w:rsid w:val="3A2149EA"/>
    <w:rsid w:val="3A2507C0"/>
    <w:rsid w:val="3A285AD8"/>
    <w:rsid w:val="3A393FA7"/>
    <w:rsid w:val="3A3A5A22"/>
    <w:rsid w:val="3A524858"/>
    <w:rsid w:val="3A64203E"/>
    <w:rsid w:val="3A663D00"/>
    <w:rsid w:val="3A7428D0"/>
    <w:rsid w:val="3A747EDD"/>
    <w:rsid w:val="3A8F302F"/>
    <w:rsid w:val="3A923AE4"/>
    <w:rsid w:val="3AA50E25"/>
    <w:rsid w:val="3AC566E3"/>
    <w:rsid w:val="3AD6747A"/>
    <w:rsid w:val="3AD95C48"/>
    <w:rsid w:val="3ADF5D0A"/>
    <w:rsid w:val="3B0F23C2"/>
    <w:rsid w:val="3B312338"/>
    <w:rsid w:val="3B3C5B77"/>
    <w:rsid w:val="3B3D0FF2"/>
    <w:rsid w:val="3B501351"/>
    <w:rsid w:val="3B521A18"/>
    <w:rsid w:val="3B8D2B96"/>
    <w:rsid w:val="3B923660"/>
    <w:rsid w:val="3BCA44BE"/>
    <w:rsid w:val="3C061F3A"/>
    <w:rsid w:val="3C0A04F9"/>
    <w:rsid w:val="3C495480"/>
    <w:rsid w:val="3C4C3A42"/>
    <w:rsid w:val="3C557EA4"/>
    <w:rsid w:val="3C6F0167"/>
    <w:rsid w:val="3C71667B"/>
    <w:rsid w:val="3C7C75E3"/>
    <w:rsid w:val="3C914F3B"/>
    <w:rsid w:val="3CA52FDE"/>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31088"/>
    <w:rsid w:val="3D942E29"/>
    <w:rsid w:val="3DA53531"/>
    <w:rsid w:val="3DB54E0C"/>
    <w:rsid w:val="3DB900C1"/>
    <w:rsid w:val="3DDC2A2F"/>
    <w:rsid w:val="3DE51866"/>
    <w:rsid w:val="3DE704E1"/>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F50C1B"/>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6D393A"/>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F1836"/>
    <w:rsid w:val="45887B45"/>
    <w:rsid w:val="458B66DF"/>
    <w:rsid w:val="458E4E16"/>
    <w:rsid w:val="45940F0E"/>
    <w:rsid w:val="45AC5DBA"/>
    <w:rsid w:val="45C647AF"/>
    <w:rsid w:val="45DD529D"/>
    <w:rsid w:val="45E57886"/>
    <w:rsid w:val="45E945CC"/>
    <w:rsid w:val="46003076"/>
    <w:rsid w:val="46026F63"/>
    <w:rsid w:val="46113492"/>
    <w:rsid w:val="46177E29"/>
    <w:rsid w:val="461C15A4"/>
    <w:rsid w:val="46205B7F"/>
    <w:rsid w:val="462A4554"/>
    <w:rsid w:val="462A6010"/>
    <w:rsid w:val="464949DA"/>
    <w:rsid w:val="465D501C"/>
    <w:rsid w:val="466367DB"/>
    <w:rsid w:val="46686D18"/>
    <w:rsid w:val="466D15DA"/>
    <w:rsid w:val="46BF7E28"/>
    <w:rsid w:val="46C3037C"/>
    <w:rsid w:val="46EF26BD"/>
    <w:rsid w:val="46FF15E0"/>
    <w:rsid w:val="4700581C"/>
    <w:rsid w:val="4702516A"/>
    <w:rsid w:val="4724600B"/>
    <w:rsid w:val="472E597E"/>
    <w:rsid w:val="474A4B33"/>
    <w:rsid w:val="474C34F7"/>
    <w:rsid w:val="47554382"/>
    <w:rsid w:val="47665A15"/>
    <w:rsid w:val="47677941"/>
    <w:rsid w:val="477F1660"/>
    <w:rsid w:val="4788232A"/>
    <w:rsid w:val="478B0398"/>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1F7C74"/>
    <w:rsid w:val="492108CC"/>
    <w:rsid w:val="49413F52"/>
    <w:rsid w:val="494F6304"/>
    <w:rsid w:val="49792B95"/>
    <w:rsid w:val="49F11610"/>
    <w:rsid w:val="4A05334F"/>
    <w:rsid w:val="4A060864"/>
    <w:rsid w:val="4A244932"/>
    <w:rsid w:val="4A2922C8"/>
    <w:rsid w:val="4A4117B2"/>
    <w:rsid w:val="4A4A6F73"/>
    <w:rsid w:val="4A777433"/>
    <w:rsid w:val="4A7A4350"/>
    <w:rsid w:val="4A7B1703"/>
    <w:rsid w:val="4A7E2497"/>
    <w:rsid w:val="4A896826"/>
    <w:rsid w:val="4A93046E"/>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520DF4"/>
    <w:rsid w:val="4B603107"/>
    <w:rsid w:val="4B7A5635"/>
    <w:rsid w:val="4B8E10E1"/>
    <w:rsid w:val="4B9802B0"/>
    <w:rsid w:val="4B9E65BE"/>
    <w:rsid w:val="4B9F33A8"/>
    <w:rsid w:val="4BA80AFD"/>
    <w:rsid w:val="4BB033BA"/>
    <w:rsid w:val="4BB469AD"/>
    <w:rsid w:val="4BC06040"/>
    <w:rsid w:val="4BC66ACD"/>
    <w:rsid w:val="4BCA6CE0"/>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7677FB"/>
    <w:rsid w:val="4D795A49"/>
    <w:rsid w:val="4D7B7443"/>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9F4951"/>
    <w:rsid w:val="4EB23220"/>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260569"/>
    <w:rsid w:val="50374A3C"/>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4229EF"/>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20E5E"/>
    <w:rsid w:val="53F671DE"/>
    <w:rsid w:val="53F758A1"/>
    <w:rsid w:val="540D5A7F"/>
    <w:rsid w:val="542E2BC2"/>
    <w:rsid w:val="54352A96"/>
    <w:rsid w:val="54447390"/>
    <w:rsid w:val="544B514D"/>
    <w:rsid w:val="545E1D01"/>
    <w:rsid w:val="54674051"/>
    <w:rsid w:val="5472334E"/>
    <w:rsid w:val="54935B8F"/>
    <w:rsid w:val="549D3677"/>
    <w:rsid w:val="54B03E76"/>
    <w:rsid w:val="54BF230B"/>
    <w:rsid w:val="54CC6227"/>
    <w:rsid w:val="54D10F9B"/>
    <w:rsid w:val="54D97871"/>
    <w:rsid w:val="54DC4C6B"/>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666B5B"/>
    <w:rsid w:val="56717635"/>
    <w:rsid w:val="567E25C8"/>
    <w:rsid w:val="56990B7C"/>
    <w:rsid w:val="569E1126"/>
    <w:rsid w:val="56A8690E"/>
    <w:rsid w:val="56B679AB"/>
    <w:rsid w:val="56B80DEB"/>
    <w:rsid w:val="56E0560F"/>
    <w:rsid w:val="56E06E61"/>
    <w:rsid w:val="56EF3C74"/>
    <w:rsid w:val="56F24C1A"/>
    <w:rsid w:val="56F653FE"/>
    <w:rsid w:val="57007337"/>
    <w:rsid w:val="57295209"/>
    <w:rsid w:val="574448FC"/>
    <w:rsid w:val="57561D39"/>
    <w:rsid w:val="575B7AFD"/>
    <w:rsid w:val="57660D3F"/>
    <w:rsid w:val="5785783C"/>
    <w:rsid w:val="578F06BB"/>
    <w:rsid w:val="57A469A0"/>
    <w:rsid w:val="57CC4BC2"/>
    <w:rsid w:val="57D10760"/>
    <w:rsid w:val="57D1153D"/>
    <w:rsid w:val="57D77297"/>
    <w:rsid w:val="57FA3774"/>
    <w:rsid w:val="58084A3C"/>
    <w:rsid w:val="582772A7"/>
    <w:rsid w:val="5847689F"/>
    <w:rsid w:val="58531B77"/>
    <w:rsid w:val="585D297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941FB8"/>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4859CC"/>
    <w:rsid w:val="5B585171"/>
    <w:rsid w:val="5B585B78"/>
    <w:rsid w:val="5B6A0B50"/>
    <w:rsid w:val="5B6D62B9"/>
    <w:rsid w:val="5B746CFA"/>
    <w:rsid w:val="5B9A2B59"/>
    <w:rsid w:val="5BA652E6"/>
    <w:rsid w:val="5BC0085A"/>
    <w:rsid w:val="5BE03293"/>
    <w:rsid w:val="5BF03D58"/>
    <w:rsid w:val="5BF20AFB"/>
    <w:rsid w:val="5C1A6BB2"/>
    <w:rsid w:val="5C306D31"/>
    <w:rsid w:val="5C37233A"/>
    <w:rsid w:val="5C5355FE"/>
    <w:rsid w:val="5C5A49A5"/>
    <w:rsid w:val="5C6519EA"/>
    <w:rsid w:val="5C6715FE"/>
    <w:rsid w:val="5C6F4105"/>
    <w:rsid w:val="5CAF45D9"/>
    <w:rsid w:val="5CBB7F6F"/>
    <w:rsid w:val="5CC248CE"/>
    <w:rsid w:val="5CC826A5"/>
    <w:rsid w:val="5CF1327E"/>
    <w:rsid w:val="5D042FB1"/>
    <w:rsid w:val="5D442CB4"/>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082D81"/>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57DFB"/>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C0D9D"/>
    <w:rsid w:val="622F7552"/>
    <w:rsid w:val="6250406E"/>
    <w:rsid w:val="6267666C"/>
    <w:rsid w:val="627D6831"/>
    <w:rsid w:val="62811B1C"/>
    <w:rsid w:val="62A20409"/>
    <w:rsid w:val="62AC0373"/>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C182A"/>
    <w:rsid w:val="650242F0"/>
    <w:rsid w:val="65365B2B"/>
    <w:rsid w:val="653F447E"/>
    <w:rsid w:val="65542778"/>
    <w:rsid w:val="655829AF"/>
    <w:rsid w:val="656B70C3"/>
    <w:rsid w:val="657038D9"/>
    <w:rsid w:val="65711400"/>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CE1E80"/>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6C3D80"/>
    <w:rsid w:val="696D7E94"/>
    <w:rsid w:val="698A5EE4"/>
    <w:rsid w:val="69C811ED"/>
    <w:rsid w:val="69D33070"/>
    <w:rsid w:val="69E97E75"/>
    <w:rsid w:val="69FB5D9E"/>
    <w:rsid w:val="69FF6FDA"/>
    <w:rsid w:val="6A09542B"/>
    <w:rsid w:val="6A1A3007"/>
    <w:rsid w:val="6A1E645E"/>
    <w:rsid w:val="6A3C6480"/>
    <w:rsid w:val="6A417049"/>
    <w:rsid w:val="6A576E16"/>
    <w:rsid w:val="6A7259FE"/>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F6F7D"/>
    <w:rsid w:val="6D480984"/>
    <w:rsid w:val="6D8079F9"/>
    <w:rsid w:val="6DB13E57"/>
    <w:rsid w:val="6DC245A2"/>
    <w:rsid w:val="6DC71662"/>
    <w:rsid w:val="6DCD5126"/>
    <w:rsid w:val="6DDB6CB0"/>
    <w:rsid w:val="6DE21877"/>
    <w:rsid w:val="6DE52ACD"/>
    <w:rsid w:val="6DF36E56"/>
    <w:rsid w:val="6DFC0B44"/>
    <w:rsid w:val="6E0458E7"/>
    <w:rsid w:val="6E212037"/>
    <w:rsid w:val="6E2234B8"/>
    <w:rsid w:val="6E263D90"/>
    <w:rsid w:val="6E3B221B"/>
    <w:rsid w:val="6E475779"/>
    <w:rsid w:val="6E51424D"/>
    <w:rsid w:val="6E663C68"/>
    <w:rsid w:val="6E7764EF"/>
    <w:rsid w:val="6E8403F6"/>
    <w:rsid w:val="6E98530F"/>
    <w:rsid w:val="6EAD447C"/>
    <w:rsid w:val="6EAE5472"/>
    <w:rsid w:val="6EBC069A"/>
    <w:rsid w:val="6ECD7F59"/>
    <w:rsid w:val="6ECF449B"/>
    <w:rsid w:val="6ED975CA"/>
    <w:rsid w:val="6EE13152"/>
    <w:rsid w:val="6EED7C80"/>
    <w:rsid w:val="6EF03395"/>
    <w:rsid w:val="6EF773A4"/>
    <w:rsid w:val="6F174DC6"/>
    <w:rsid w:val="6F1E2E65"/>
    <w:rsid w:val="6F2F2D9E"/>
    <w:rsid w:val="6F4147D9"/>
    <w:rsid w:val="6F561247"/>
    <w:rsid w:val="6F581F47"/>
    <w:rsid w:val="6F5B0D5A"/>
    <w:rsid w:val="6F5C35EA"/>
    <w:rsid w:val="6F63625D"/>
    <w:rsid w:val="6F6B6A15"/>
    <w:rsid w:val="6F947E4B"/>
    <w:rsid w:val="6FA30BDA"/>
    <w:rsid w:val="6FB21D4C"/>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E909E4"/>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310D1A"/>
    <w:rsid w:val="725D6B54"/>
    <w:rsid w:val="72986FA0"/>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663B7"/>
    <w:rsid w:val="735C5949"/>
    <w:rsid w:val="73671287"/>
    <w:rsid w:val="73737DA5"/>
    <w:rsid w:val="73740A39"/>
    <w:rsid w:val="73783823"/>
    <w:rsid w:val="73887B3E"/>
    <w:rsid w:val="73892412"/>
    <w:rsid w:val="73AF2114"/>
    <w:rsid w:val="73AF381F"/>
    <w:rsid w:val="73E96BCA"/>
    <w:rsid w:val="73EE4A6E"/>
    <w:rsid w:val="741048BC"/>
    <w:rsid w:val="74156440"/>
    <w:rsid w:val="742E78D4"/>
    <w:rsid w:val="74317498"/>
    <w:rsid w:val="74335A84"/>
    <w:rsid w:val="743A6A13"/>
    <w:rsid w:val="74676A28"/>
    <w:rsid w:val="747E40B6"/>
    <w:rsid w:val="749018A2"/>
    <w:rsid w:val="74AA2238"/>
    <w:rsid w:val="74AC3224"/>
    <w:rsid w:val="74B21065"/>
    <w:rsid w:val="74B66E2F"/>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413F7E"/>
    <w:rsid w:val="77464076"/>
    <w:rsid w:val="7758241F"/>
    <w:rsid w:val="777A7D22"/>
    <w:rsid w:val="777E28EC"/>
    <w:rsid w:val="77835654"/>
    <w:rsid w:val="7789082B"/>
    <w:rsid w:val="7797109C"/>
    <w:rsid w:val="779A2A38"/>
    <w:rsid w:val="77B4450A"/>
    <w:rsid w:val="77B46E73"/>
    <w:rsid w:val="77E37A12"/>
    <w:rsid w:val="77F42148"/>
    <w:rsid w:val="77FE3468"/>
    <w:rsid w:val="78183C24"/>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212805"/>
    <w:rsid w:val="7B345AA9"/>
    <w:rsid w:val="7B4048C1"/>
    <w:rsid w:val="7B4A2930"/>
    <w:rsid w:val="7B4C5DF7"/>
    <w:rsid w:val="7B73082F"/>
    <w:rsid w:val="7B7B492E"/>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AE5BF0"/>
    <w:rsid w:val="7CC55E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9005BC"/>
    <w:rsid w:val="7D9F0AD0"/>
    <w:rsid w:val="7DB22BDF"/>
    <w:rsid w:val="7DD12BB7"/>
    <w:rsid w:val="7DE06CCB"/>
    <w:rsid w:val="7DF223A2"/>
    <w:rsid w:val="7DFF0955"/>
    <w:rsid w:val="7E0B750E"/>
    <w:rsid w:val="7E1939E8"/>
    <w:rsid w:val="7E2400E7"/>
    <w:rsid w:val="7E2822EA"/>
    <w:rsid w:val="7E2A20CE"/>
    <w:rsid w:val="7E355A7B"/>
    <w:rsid w:val="7E455322"/>
    <w:rsid w:val="7E521976"/>
    <w:rsid w:val="7E682F48"/>
    <w:rsid w:val="7E6E3E85"/>
    <w:rsid w:val="7E991353"/>
    <w:rsid w:val="7E9C184B"/>
    <w:rsid w:val="7EA72948"/>
    <w:rsid w:val="7EB31EDB"/>
    <w:rsid w:val="7ED61132"/>
    <w:rsid w:val="7EE70CC0"/>
    <w:rsid w:val="7EEB3B79"/>
    <w:rsid w:val="7EEB48DB"/>
    <w:rsid w:val="7EF27444"/>
    <w:rsid w:val="7F185A04"/>
    <w:rsid w:val="7F265C58"/>
    <w:rsid w:val="7F3B240A"/>
    <w:rsid w:val="7F4C4618"/>
    <w:rsid w:val="7F4D13A6"/>
    <w:rsid w:val="7F582CF2"/>
    <w:rsid w:val="7F7D6E0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7"/>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79"/>
    <w:autoRedefine/>
    <w:qFormat/>
    <w:uiPriority w:val="0"/>
    <w:rPr>
      <w:rFonts w:ascii="宋体" w:hAnsi="Calibri"/>
      <w:sz w:val="18"/>
      <w:szCs w:val="18"/>
    </w:rPr>
  </w:style>
  <w:style w:type="paragraph" w:styleId="16">
    <w:name w:val="annotation text"/>
    <w:basedOn w:val="1"/>
    <w:autoRedefine/>
    <w:qFormat/>
    <w:uiPriority w:val="0"/>
    <w:pPr>
      <w:jc w:val="left"/>
    </w:pPr>
  </w:style>
  <w:style w:type="paragraph" w:styleId="17">
    <w:name w:val="Body Text 3"/>
    <w:basedOn w:val="1"/>
    <w:autoRedefine/>
    <w:qFormat/>
    <w:uiPriority w:val="0"/>
    <w:rPr>
      <w:sz w:val="16"/>
      <w:szCs w:val="16"/>
    </w:rPr>
  </w:style>
  <w:style w:type="paragraph" w:styleId="18">
    <w:name w:val="List 2"/>
    <w:basedOn w:val="1"/>
    <w:autoRedefine/>
    <w:qFormat/>
    <w:uiPriority w:val="0"/>
    <w:pPr>
      <w:ind w:left="100" w:leftChars="200" w:hanging="200" w:hangingChars="200"/>
    </w:pPr>
  </w:style>
  <w:style w:type="paragraph" w:styleId="19">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20">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1">
    <w:name w:val="Plain Text"/>
    <w:basedOn w:val="1"/>
    <w:autoRedefine/>
    <w:qFormat/>
    <w:uiPriority w:val="0"/>
    <w:pPr>
      <w:widowControl/>
      <w:spacing w:beforeAutospacing="1" w:afterAutospacing="1"/>
      <w:jc w:val="left"/>
    </w:pPr>
    <w:rPr>
      <w:rFonts w:ascii="宋体" w:hAnsi="宋体" w:cs="宋体"/>
      <w:kern w:val="0"/>
      <w:sz w:val="24"/>
    </w:rPr>
  </w:style>
  <w:style w:type="paragraph" w:styleId="22">
    <w:name w:val="Date"/>
    <w:basedOn w:val="1"/>
    <w:next w:val="1"/>
    <w:autoRedefine/>
    <w:qFormat/>
    <w:uiPriority w:val="0"/>
    <w:pPr>
      <w:ind w:left="100" w:leftChars="2500"/>
    </w:pPr>
    <w:rPr>
      <w:rFonts w:ascii="宋体" w:hAnsi="宋体"/>
      <w:sz w:val="28"/>
    </w:rPr>
  </w:style>
  <w:style w:type="paragraph" w:styleId="23">
    <w:name w:val="Body Text Indent 2"/>
    <w:basedOn w:val="1"/>
    <w:autoRedefine/>
    <w:qFormat/>
    <w:uiPriority w:val="0"/>
    <w:pPr>
      <w:spacing w:line="480" w:lineRule="auto"/>
      <w:ind w:left="420" w:leftChars="200"/>
    </w:pPr>
  </w:style>
  <w:style w:type="paragraph" w:styleId="24">
    <w:name w:val="footer"/>
    <w:basedOn w:val="1"/>
    <w:autoRedefine/>
    <w:qFormat/>
    <w:uiPriority w:val="0"/>
    <w:pPr>
      <w:tabs>
        <w:tab w:val="center" w:pos="4153"/>
        <w:tab w:val="right" w:pos="8306"/>
      </w:tabs>
      <w:snapToGrid w:val="0"/>
      <w:jc w:val="left"/>
    </w:pPr>
    <w:rPr>
      <w:sz w:val="18"/>
      <w:szCs w:val="18"/>
    </w:rPr>
  </w:style>
  <w:style w:type="paragraph" w:styleId="25">
    <w:name w:val="envelope return"/>
    <w:basedOn w:val="1"/>
    <w:autoRedefine/>
    <w:unhideWhenUsed/>
    <w:qFormat/>
    <w:uiPriority w:val="99"/>
    <w:pPr>
      <w:snapToGrid w:val="0"/>
    </w:pPr>
    <w:rPr>
      <w:rFonts w:ascii="Arial" w:hAnsi="Arial"/>
    </w:rPr>
  </w:style>
  <w:style w:type="paragraph" w:styleId="2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qFormat/>
    <w:uiPriority w:val="0"/>
  </w:style>
  <w:style w:type="paragraph" w:styleId="28">
    <w:name w:val="List"/>
    <w:basedOn w:val="1"/>
    <w:autoRedefine/>
    <w:qFormat/>
    <w:uiPriority w:val="0"/>
    <w:pPr>
      <w:ind w:left="200" w:hanging="200" w:hangingChars="200"/>
    </w:pPr>
  </w:style>
  <w:style w:type="paragraph" w:styleId="29">
    <w:name w:val="Body Text 2"/>
    <w:basedOn w:val="1"/>
    <w:next w:val="3"/>
    <w:autoRedefine/>
    <w:qFormat/>
    <w:uiPriority w:val="0"/>
    <w:pPr>
      <w:spacing w:line="480" w:lineRule="auto"/>
    </w:pPr>
  </w:style>
  <w:style w:type="paragraph" w:styleId="30">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1">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2">
    <w:name w:val="Normal (Web)"/>
    <w:basedOn w:val="1"/>
    <w:autoRedefine/>
    <w:qFormat/>
    <w:uiPriority w:val="99"/>
    <w:pPr>
      <w:spacing w:before="100" w:beforeAutospacing="1" w:after="100" w:afterAutospacing="1"/>
      <w:jc w:val="left"/>
    </w:pPr>
    <w:rPr>
      <w:kern w:val="0"/>
      <w:sz w:val="24"/>
    </w:rPr>
  </w:style>
  <w:style w:type="paragraph" w:styleId="33">
    <w:name w:val="Title"/>
    <w:basedOn w:val="1"/>
    <w:autoRedefine/>
    <w:qFormat/>
    <w:uiPriority w:val="0"/>
    <w:pPr>
      <w:jc w:val="center"/>
      <w:outlineLvl w:val="0"/>
    </w:pPr>
    <w:rPr>
      <w:rFonts w:ascii="Arial" w:hAnsi="Arial" w:cs="Arial"/>
      <w:b/>
      <w:bCs/>
      <w:sz w:val="32"/>
      <w:szCs w:val="32"/>
    </w:rPr>
  </w:style>
  <w:style w:type="paragraph" w:styleId="34">
    <w:name w:val="Body Text First Indent"/>
    <w:basedOn w:val="3"/>
    <w:next w:val="6"/>
    <w:autoRedefine/>
    <w:qFormat/>
    <w:uiPriority w:val="0"/>
    <w:pPr>
      <w:spacing w:line="360" w:lineRule="auto"/>
      <w:ind w:firstLine="420" w:firstLineChars="100"/>
    </w:pPr>
    <w:rPr>
      <w:szCs w:val="21"/>
    </w:rPr>
  </w:style>
  <w:style w:type="table" w:styleId="36">
    <w:name w:val="Table Grid"/>
    <w:basedOn w:val="35"/>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autoRedefine/>
    <w:qFormat/>
    <w:uiPriority w:val="0"/>
    <w:rPr>
      <w:b/>
      <w:bCs/>
      <w:szCs w:val="24"/>
    </w:rPr>
  </w:style>
  <w:style w:type="character" w:styleId="39">
    <w:name w:val="page number"/>
    <w:basedOn w:val="37"/>
    <w:autoRedefine/>
    <w:qFormat/>
    <w:uiPriority w:val="0"/>
  </w:style>
  <w:style w:type="character" w:styleId="40">
    <w:name w:val="FollowedHyperlink"/>
    <w:autoRedefine/>
    <w:qFormat/>
    <w:uiPriority w:val="0"/>
    <w:rPr>
      <w:color w:val="333333"/>
      <w:szCs w:val="24"/>
      <w:u w:val="none"/>
    </w:rPr>
  </w:style>
  <w:style w:type="character" w:styleId="41">
    <w:name w:val="Emphasis"/>
    <w:basedOn w:val="37"/>
    <w:autoRedefine/>
    <w:qFormat/>
    <w:uiPriority w:val="0"/>
  </w:style>
  <w:style w:type="character" w:styleId="42">
    <w:name w:val="HTML Definition"/>
    <w:basedOn w:val="37"/>
    <w:autoRedefine/>
    <w:qFormat/>
    <w:uiPriority w:val="0"/>
  </w:style>
  <w:style w:type="character" w:styleId="43">
    <w:name w:val="HTML Typewriter"/>
    <w:basedOn w:val="37"/>
    <w:autoRedefine/>
    <w:qFormat/>
    <w:uiPriority w:val="0"/>
    <w:rPr>
      <w:rFonts w:hint="default" w:ascii="monospace" w:hAnsi="monospace" w:eastAsia="monospace" w:cs="monospace"/>
      <w:sz w:val="20"/>
    </w:rPr>
  </w:style>
  <w:style w:type="character" w:styleId="44">
    <w:name w:val="HTML Acronym"/>
    <w:basedOn w:val="37"/>
    <w:autoRedefine/>
    <w:qFormat/>
    <w:uiPriority w:val="0"/>
  </w:style>
  <w:style w:type="character" w:styleId="45">
    <w:name w:val="HTML Variable"/>
    <w:basedOn w:val="37"/>
    <w:autoRedefine/>
    <w:qFormat/>
    <w:uiPriority w:val="0"/>
  </w:style>
  <w:style w:type="character" w:styleId="46">
    <w:name w:val="Hyperlink"/>
    <w:basedOn w:val="37"/>
    <w:autoRedefine/>
    <w:qFormat/>
    <w:uiPriority w:val="0"/>
    <w:rPr>
      <w:color w:val="333333"/>
      <w:szCs w:val="24"/>
      <w:u w:val="none"/>
    </w:rPr>
  </w:style>
  <w:style w:type="character" w:styleId="47">
    <w:name w:val="HTML Code"/>
    <w:basedOn w:val="37"/>
    <w:autoRedefine/>
    <w:qFormat/>
    <w:uiPriority w:val="0"/>
    <w:rPr>
      <w:rFonts w:ascii="monospace" w:hAnsi="monospace" w:eastAsia="monospace" w:cs="monospace"/>
      <w:sz w:val="20"/>
    </w:rPr>
  </w:style>
  <w:style w:type="character" w:styleId="48">
    <w:name w:val="HTML Cite"/>
    <w:basedOn w:val="37"/>
    <w:autoRedefine/>
    <w:qFormat/>
    <w:uiPriority w:val="0"/>
  </w:style>
  <w:style w:type="character" w:styleId="49">
    <w:name w:val="HTML Keyboard"/>
    <w:basedOn w:val="37"/>
    <w:autoRedefine/>
    <w:qFormat/>
    <w:uiPriority w:val="0"/>
    <w:rPr>
      <w:rFonts w:hint="default" w:ascii="monospace" w:hAnsi="monospace" w:eastAsia="monospace" w:cs="monospace"/>
      <w:sz w:val="20"/>
    </w:rPr>
  </w:style>
  <w:style w:type="character" w:styleId="50">
    <w:name w:val="HTML Sample"/>
    <w:basedOn w:val="37"/>
    <w:autoRedefine/>
    <w:qFormat/>
    <w:uiPriority w:val="0"/>
    <w:rPr>
      <w:rFonts w:hint="default" w:ascii="monospace" w:hAnsi="monospace" w:eastAsia="monospace" w:cs="monospace"/>
    </w:rPr>
  </w:style>
  <w:style w:type="paragraph" w:customStyle="1" w:styleId="51">
    <w:name w:val="无间隔1"/>
    <w:basedOn w:val="52"/>
    <w:next w:val="14"/>
    <w:autoRedefine/>
    <w:qFormat/>
    <w:uiPriority w:val="1"/>
    <w:pPr>
      <w:spacing w:line="400" w:lineRule="exact"/>
    </w:pPr>
    <w:rPr>
      <w:sz w:val="24"/>
    </w:rPr>
  </w:style>
  <w:style w:type="paragraph" w:customStyle="1" w:styleId="52">
    <w:name w:val="正文_1"/>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53">
    <w:name w:val="正文文本缩进 21"/>
    <w:basedOn w:val="1"/>
    <w:autoRedefine/>
    <w:qFormat/>
    <w:uiPriority w:val="0"/>
    <w:pPr>
      <w:ind w:firstLine="570"/>
    </w:pPr>
    <w:rPr>
      <w:sz w:val="32"/>
    </w:rPr>
  </w:style>
  <w:style w:type="paragraph" w:customStyle="1" w:styleId="54">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5">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6">
    <w:name w:val="No Spacing1"/>
    <w:basedOn w:val="1"/>
    <w:autoRedefine/>
    <w:qFormat/>
    <w:uiPriority w:val="0"/>
    <w:pPr>
      <w:spacing w:line="400" w:lineRule="exact"/>
    </w:pPr>
    <w:rPr>
      <w:sz w:val="24"/>
    </w:rPr>
  </w:style>
  <w:style w:type="paragraph" w:customStyle="1" w:styleId="57">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8">
    <w:name w:val="Char"/>
    <w:basedOn w:val="1"/>
    <w:autoRedefine/>
    <w:qFormat/>
    <w:uiPriority w:val="0"/>
  </w:style>
  <w:style w:type="paragraph" w:customStyle="1" w:styleId="59">
    <w:name w:val="正文缩进1"/>
    <w:basedOn w:val="1"/>
    <w:autoRedefine/>
    <w:qFormat/>
    <w:uiPriority w:val="0"/>
    <w:pPr>
      <w:widowControl/>
      <w:ind w:firstLine="420"/>
      <w:jc w:val="left"/>
    </w:pPr>
    <w:rPr>
      <w:kern w:val="0"/>
      <w:szCs w:val="20"/>
    </w:rPr>
  </w:style>
  <w:style w:type="paragraph" w:customStyle="1" w:styleId="60">
    <w:name w:val="列出段落2"/>
    <w:basedOn w:val="1"/>
    <w:autoRedefine/>
    <w:qFormat/>
    <w:uiPriority w:val="34"/>
    <w:pPr>
      <w:ind w:firstLine="420" w:firstLineChars="200"/>
    </w:pPr>
  </w:style>
  <w:style w:type="paragraph" w:customStyle="1" w:styleId="61">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1"/>
    <w:basedOn w:val="1"/>
    <w:autoRedefine/>
    <w:qFormat/>
    <w:uiPriority w:val="0"/>
    <w:pPr>
      <w:widowControl/>
      <w:spacing w:beforeAutospacing="1" w:afterAutospacing="1"/>
      <w:jc w:val="left"/>
    </w:pPr>
    <w:rPr>
      <w:rFonts w:ascii="宋体" w:hAnsi="宋体" w:cs="宋体"/>
      <w:kern w:val="0"/>
      <w:sz w:val="24"/>
    </w:rPr>
  </w:style>
  <w:style w:type="paragraph" w:styleId="63">
    <w:name w:val="No Spacing"/>
    <w:autoRedefine/>
    <w:qFormat/>
    <w:uiPriority w:val="1"/>
    <w:rPr>
      <w:rFonts w:ascii="Calibri" w:hAnsi="Calibri" w:eastAsia="宋体" w:cs="Times New Roman"/>
      <w:sz w:val="22"/>
      <w:szCs w:val="22"/>
      <w:lang w:val="en-US" w:eastAsia="zh-CN" w:bidi="ar-SA"/>
    </w:rPr>
  </w:style>
  <w:style w:type="paragraph" w:customStyle="1" w:styleId="64">
    <w:name w:val="_Style 2"/>
    <w:basedOn w:val="1"/>
    <w:autoRedefine/>
    <w:qFormat/>
    <w:uiPriority w:val="34"/>
    <w:pPr>
      <w:ind w:firstLine="420" w:firstLineChars="200"/>
    </w:pPr>
    <w:rPr>
      <w:rFonts w:ascii="Calibri" w:hAnsi="Calibri"/>
    </w:rPr>
  </w:style>
  <w:style w:type="paragraph" w:customStyle="1" w:styleId="65">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6">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7">
    <w:name w:val="Char1"/>
    <w:basedOn w:val="1"/>
    <w:autoRedefine/>
    <w:qFormat/>
    <w:uiPriority w:val="0"/>
  </w:style>
  <w:style w:type="paragraph" w:customStyle="1" w:styleId="68">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9">
    <w:name w:val="Table Paragraph"/>
    <w:basedOn w:val="1"/>
    <w:autoRedefine/>
    <w:qFormat/>
    <w:uiPriority w:val="1"/>
    <w:pPr>
      <w:jc w:val="left"/>
    </w:pPr>
    <w:rPr>
      <w:rFonts w:ascii="宋体" w:hAnsi="宋体" w:cs="宋体"/>
      <w:kern w:val="0"/>
      <w:sz w:val="22"/>
      <w:szCs w:val="22"/>
      <w:lang w:eastAsia="en-US"/>
    </w:rPr>
  </w:style>
  <w:style w:type="paragraph" w:customStyle="1" w:styleId="70">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1">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
    <w:basedOn w:val="1"/>
    <w:autoRedefine/>
    <w:qFormat/>
    <w:uiPriority w:val="34"/>
    <w:pPr>
      <w:ind w:firstLine="420" w:firstLineChars="200"/>
    </w:pPr>
  </w:style>
  <w:style w:type="paragraph" w:customStyle="1" w:styleId="73">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4">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6">
    <w:name w:val="列出段落11"/>
    <w:basedOn w:val="1"/>
    <w:autoRedefine/>
    <w:qFormat/>
    <w:uiPriority w:val="0"/>
    <w:pPr>
      <w:ind w:firstLine="420" w:firstLineChars="200"/>
    </w:pPr>
    <w:rPr>
      <w:rFonts w:ascii="Calibri" w:hAnsi="Calibri"/>
      <w:szCs w:val="22"/>
    </w:rPr>
  </w:style>
  <w:style w:type="character" w:customStyle="1" w:styleId="77">
    <w:name w:val="正文文本 Char"/>
    <w:basedOn w:val="37"/>
    <w:link w:val="3"/>
    <w:autoRedefine/>
    <w:qFormat/>
    <w:uiPriority w:val="0"/>
  </w:style>
  <w:style w:type="character" w:customStyle="1" w:styleId="78">
    <w:name w:val="apple-converted-space"/>
    <w:basedOn w:val="37"/>
    <w:autoRedefine/>
    <w:qFormat/>
    <w:uiPriority w:val="0"/>
  </w:style>
  <w:style w:type="character" w:customStyle="1" w:styleId="79">
    <w:name w:val="文档结构图 Char"/>
    <w:link w:val="15"/>
    <w:autoRedefine/>
    <w:qFormat/>
    <w:uiPriority w:val="0"/>
    <w:rPr>
      <w:rFonts w:ascii="宋体"/>
      <w:kern w:val="2"/>
      <w:sz w:val="18"/>
      <w:szCs w:val="18"/>
    </w:rPr>
  </w:style>
  <w:style w:type="character" w:customStyle="1" w:styleId="80">
    <w:name w:val="不明显强调1"/>
    <w:autoRedefine/>
    <w:qFormat/>
    <w:uiPriority w:val="19"/>
    <w:rPr>
      <w:i/>
      <w:iCs/>
      <w:color w:val="7F7F7F"/>
      <w:szCs w:val="24"/>
    </w:rPr>
  </w:style>
  <w:style w:type="character" w:customStyle="1" w:styleId="81">
    <w:name w:val="font71"/>
    <w:basedOn w:val="37"/>
    <w:autoRedefine/>
    <w:qFormat/>
    <w:uiPriority w:val="0"/>
    <w:rPr>
      <w:rFonts w:hint="eastAsia" w:ascii="宋体" w:hAnsi="宋体" w:eastAsia="宋体" w:cs="宋体"/>
      <w:color w:val="000000"/>
      <w:sz w:val="28"/>
      <w:szCs w:val="28"/>
      <w:u w:val="none"/>
    </w:rPr>
  </w:style>
  <w:style w:type="character" w:customStyle="1" w:styleId="82">
    <w:name w:val="font21"/>
    <w:autoRedefine/>
    <w:qFormat/>
    <w:uiPriority w:val="0"/>
    <w:rPr>
      <w:rFonts w:hint="default" w:ascii="Calibri" w:hAnsi="Calibri" w:cs="Calibri"/>
      <w:color w:val="000000"/>
      <w:sz w:val="28"/>
      <w:szCs w:val="28"/>
      <w:u w:val="none"/>
    </w:rPr>
  </w:style>
  <w:style w:type="character" w:customStyle="1" w:styleId="83">
    <w:name w:val="17"/>
    <w:autoRedefine/>
    <w:qFormat/>
    <w:uiPriority w:val="0"/>
    <w:rPr>
      <w:rFonts w:hint="eastAsia" w:ascii="宋体" w:hAnsi="宋体" w:eastAsia="宋体"/>
      <w:color w:val="000000"/>
    </w:rPr>
  </w:style>
  <w:style w:type="character" w:customStyle="1" w:styleId="84">
    <w:name w:val="font91"/>
    <w:autoRedefine/>
    <w:qFormat/>
    <w:uiPriority w:val="0"/>
    <w:rPr>
      <w:rFonts w:hint="eastAsia" w:ascii="宋体" w:hAnsi="宋体" w:eastAsia="宋体" w:cs="宋体"/>
      <w:color w:val="FF0000"/>
      <w:sz w:val="28"/>
      <w:szCs w:val="28"/>
      <w:u w:val="none"/>
    </w:rPr>
  </w:style>
  <w:style w:type="paragraph" w:customStyle="1" w:styleId="85">
    <w:name w:val="p"/>
    <w:basedOn w:val="1"/>
    <w:autoRedefine/>
    <w:qFormat/>
    <w:uiPriority w:val="0"/>
    <w:pPr>
      <w:widowControl/>
      <w:spacing w:line="432" w:lineRule="auto"/>
      <w:jc w:val="left"/>
    </w:pPr>
    <w:rPr>
      <w:rFonts w:ascii="宋体" w:hAnsi="宋体" w:cs="宋体"/>
      <w:kern w:val="0"/>
      <w:sz w:val="24"/>
    </w:rPr>
  </w:style>
  <w:style w:type="paragraph" w:customStyle="1" w:styleId="86">
    <w:name w:val="WPSOffice手动目录 1"/>
    <w:autoRedefine/>
    <w:qFormat/>
    <w:uiPriority w:val="0"/>
    <w:rPr>
      <w:rFonts w:ascii="Times New Roman" w:hAnsi="Times New Roman" w:eastAsia="宋体" w:cs="Times New Roman"/>
      <w:lang w:val="en-US" w:eastAsia="zh-CN" w:bidi="ar-SA"/>
    </w:rPr>
  </w:style>
  <w:style w:type="paragraph" w:customStyle="1" w:styleId="87">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8">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9">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90">
    <w:name w:val="列表段落1"/>
    <w:basedOn w:val="1"/>
    <w:autoRedefine/>
    <w:qFormat/>
    <w:uiPriority w:val="34"/>
    <w:pPr>
      <w:widowControl/>
      <w:ind w:firstLine="420"/>
      <w:jc w:val="left"/>
    </w:pPr>
    <w:rPr>
      <w:kern w:val="0"/>
    </w:rPr>
  </w:style>
  <w:style w:type="paragraph" w:styleId="91">
    <w:name w:val="List Paragraph"/>
    <w:basedOn w:val="1"/>
    <w:autoRedefine/>
    <w:qFormat/>
    <w:uiPriority w:val="34"/>
    <w:pPr>
      <w:ind w:firstLine="420" w:firstLineChars="200"/>
    </w:pPr>
  </w:style>
  <w:style w:type="character" w:customStyle="1" w:styleId="92">
    <w:name w:val="hover18"/>
    <w:basedOn w:val="37"/>
    <w:autoRedefine/>
    <w:qFormat/>
    <w:uiPriority w:val="0"/>
  </w:style>
  <w:style w:type="table" w:customStyle="1" w:styleId="93">
    <w:name w:val="Table Normal"/>
    <w:autoRedefine/>
    <w:qFormat/>
    <w:uiPriority w:val="0"/>
    <w:tblPr>
      <w:tblCellMar>
        <w:top w:w="0" w:type="dxa"/>
        <w:left w:w="0" w:type="dxa"/>
        <w:bottom w:w="0" w:type="dxa"/>
        <w:right w:w="0" w:type="dxa"/>
      </w:tblCellMar>
    </w:tblPr>
  </w:style>
  <w:style w:type="paragraph" w:customStyle="1" w:styleId="94">
    <w:name w:val="Table Text"/>
    <w:basedOn w:val="1"/>
    <w:autoRedefine/>
    <w:semiHidden/>
    <w:qFormat/>
    <w:uiPriority w:val="0"/>
    <w:rPr>
      <w:rFonts w:ascii="宋体" w:hAnsi="宋体" w:eastAsia="宋体" w:cs="宋体"/>
      <w:sz w:val="45"/>
      <w:szCs w:val="45"/>
      <w:lang w:val="en-US" w:eastAsia="en-US" w:bidi="ar-SA"/>
    </w:rPr>
  </w:style>
  <w:style w:type="character" w:customStyle="1" w:styleId="95">
    <w:name w:val="font11"/>
    <w:basedOn w:val="37"/>
    <w:autoRedefine/>
    <w:qFormat/>
    <w:uiPriority w:val="0"/>
    <w:rPr>
      <w:rFonts w:ascii="Calibri" w:hAnsi="Calibri" w:cs="Calibri"/>
      <w:color w:val="000000"/>
      <w:sz w:val="24"/>
      <w:szCs w:val="24"/>
      <w:u w:val="none"/>
    </w:rPr>
  </w:style>
  <w:style w:type="paragraph" w:customStyle="1" w:styleId="96">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7">
    <w:name w:val="font61"/>
    <w:basedOn w:val="37"/>
    <w:qFormat/>
    <w:uiPriority w:val="0"/>
    <w:rPr>
      <w:rFonts w:ascii="宋体" w:hAnsi="宋体" w:eastAsia="宋体" w:cs="宋体"/>
      <w:color w:val="000000"/>
      <w:sz w:val="24"/>
      <w:szCs w:val="24"/>
      <w:u w:val="none"/>
    </w:rPr>
  </w:style>
  <w:style w:type="character" w:customStyle="1" w:styleId="98">
    <w:name w:val="font81"/>
    <w:basedOn w:val="3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39</Pages>
  <Words>15556</Words>
  <Characters>16503</Characters>
  <Lines>50</Lines>
  <Paragraphs>68</Paragraphs>
  <TotalTime>0</TotalTime>
  <ScaleCrop>false</ScaleCrop>
  <LinksUpToDate>false</LinksUpToDate>
  <CharactersWithSpaces>16761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2025-11-20T06:50:10Z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FF32E2FDD32044EB90BD7CC7C74BAA41_13</vt:lpwstr>
  </property>
  <property fmtid="{D5CDD505-2E9C-101B-9397-08002B2CF9AE}" pid="4" name="KSOTemplateDocerSaveRecord">
    <vt:lpwstr>eyJoZGlkIjoiMzU0MTZjMjFkMjFjOGMwYTIzNWEzZDljNjYxZWI0MmYiLCJ1c2VySWQiOiIxNjg0NTc5MjM2In0=</vt:lpwstr>
  </property>
</Properties>
</file>