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驻马店市中心医院飞利浦3.0T磁共振梯度放大器、冷头、液氦采购项目</w:t>
      </w:r>
    </w:p>
    <w:p w14:paraId="6D1E6F94">
      <w:pPr>
        <w:pStyle w:val="20"/>
        <w:bidi w:val="0"/>
        <w:jc w:val="center"/>
        <w:rPr>
          <w:rStyle w:val="45"/>
          <w:rFonts w:hint="eastAsia" w:cs="宋体"/>
          <w:b/>
          <w:bCs/>
          <w:color w:val="auto"/>
          <w:sz w:val="44"/>
          <w:szCs w:val="44"/>
          <w:highlight w:val="none"/>
          <w:lang w:val="en-US" w:eastAsia="zh-CN"/>
        </w:rPr>
      </w:pPr>
    </w:p>
    <w:p w14:paraId="79C47D7C">
      <w:pPr>
        <w:pStyle w:val="20"/>
        <w:bidi w:val="0"/>
        <w:jc w:val="center"/>
        <w:rPr>
          <w:rStyle w:val="45"/>
          <w:rFonts w:hint="eastAsia" w:cs="宋体"/>
          <w:b/>
          <w:bCs/>
          <w:color w:val="auto"/>
          <w:sz w:val="44"/>
          <w:szCs w:val="44"/>
          <w:highlight w:val="none"/>
          <w:lang w:val="en-US" w:eastAsia="zh-CN"/>
        </w:rPr>
      </w:pPr>
    </w:p>
    <w:p w14:paraId="4986C5B7">
      <w:pPr>
        <w:pStyle w:val="20"/>
        <w:bidi w:val="0"/>
        <w:jc w:val="center"/>
        <w:rPr>
          <w:rStyle w:val="45"/>
          <w:rFonts w:hint="eastAsia" w:cs="宋体"/>
          <w:b/>
          <w:bCs/>
          <w:color w:val="auto"/>
          <w:sz w:val="44"/>
          <w:szCs w:val="44"/>
          <w:highlight w:val="none"/>
          <w:lang w:val="en-US" w:eastAsia="zh-CN"/>
        </w:rPr>
      </w:pPr>
    </w:p>
    <w:p w14:paraId="08BBE135">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驻马店市中心医院飞利浦3.0T磁共振梯度放大器、冷头、液氦采购项目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驻马店市中心医院飞利浦3.0T磁共振梯度放大器、冷头、液氦采购项目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驻马店市中心医院飞利浦3.0T磁共振梯度放大器、冷头、液氦采购项目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0000FF"/>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w:t>
      </w:r>
      <w:r>
        <w:rPr>
          <w:rFonts w:hint="eastAsia" w:ascii="宋体" w:hAnsi="宋体" w:eastAsia="宋体" w:cs="宋体"/>
          <w:color w:val="auto"/>
          <w:szCs w:val="21"/>
          <w:highlight w:val="none"/>
          <w:shd w:val="clear" w:color="auto" w:fill="FFFFFF"/>
          <w:lang w:val="en-US" w:eastAsia="zh-CN"/>
        </w:rPr>
        <w:t>期：按照合同约定执行。</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7823"/>
      <w:bookmarkStart w:id="11" w:name="_Toc9562"/>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99BE6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7480"/>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3604"/>
      <w:bookmarkStart w:id="27" w:name="_Toc16291"/>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1051EF3E">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eastAsia="宋体" w:cs="宋体"/>
          <w:color w:val="auto"/>
          <w:kern w:val="0"/>
          <w:sz w:val="21"/>
          <w:szCs w:val="21"/>
          <w:shd w:val="clear" w:color="auto" w:fill="FFFFFF"/>
          <w:lang w:val="en-US" w:eastAsia="zh-CN" w:bidi="ar-SA"/>
        </w:rPr>
        <w:t>中大宇辰项目管理有限公司</w:t>
      </w:r>
    </w:p>
    <w:p w14:paraId="0177B6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地址：河南省郑州市郑东新区祥盛街10号（聚龙城）4号楼1304室</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联系人：闫先生</w:t>
      </w:r>
    </w:p>
    <w:p w14:paraId="7210EB1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驻马店市中心医院飞利浦3.0T磁共振梯度放大器、冷头、液氦采购项目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498"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508"/>
        <w:gridCol w:w="1650"/>
        <w:gridCol w:w="1102"/>
        <w:gridCol w:w="1425"/>
        <w:gridCol w:w="1140"/>
        <w:gridCol w:w="150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1508"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标的名称</w:t>
            </w:r>
          </w:p>
        </w:tc>
        <w:tc>
          <w:tcPr>
            <w:tcW w:w="16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lang w:val="en-US" w:eastAsia="zh-CN"/>
              </w:rPr>
              <w:t>数量</w:t>
            </w:r>
          </w:p>
        </w:tc>
        <w:tc>
          <w:tcPr>
            <w:tcW w:w="1102"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lang w:val="en-US" w:eastAsia="zh-CN"/>
              </w:rPr>
              <w:t>单价</w:t>
            </w:r>
          </w:p>
        </w:tc>
        <w:tc>
          <w:tcPr>
            <w:tcW w:w="1425" w:type="dxa"/>
            <w:vAlign w:val="center"/>
          </w:tcPr>
          <w:p w14:paraId="398700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rPr>
              <w:t>资金预算</w:t>
            </w:r>
          </w:p>
        </w:tc>
        <w:tc>
          <w:tcPr>
            <w:tcW w:w="1140"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资金性质</w:t>
            </w:r>
          </w:p>
        </w:tc>
        <w:tc>
          <w:tcPr>
            <w:tcW w:w="1500"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是否接受进口产品</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73" w:type="dxa"/>
            <w:shd w:val="clear" w:color="auto" w:fill="auto"/>
            <w:vAlign w:val="center"/>
          </w:tcPr>
          <w:p w14:paraId="7E2267B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508" w:type="dxa"/>
            <w:shd w:val="clear" w:color="auto" w:fill="auto"/>
            <w:vAlign w:val="center"/>
          </w:tcPr>
          <w:p w14:paraId="3275158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梯度放大器</w:t>
            </w:r>
          </w:p>
        </w:tc>
        <w:tc>
          <w:tcPr>
            <w:tcW w:w="1650" w:type="dxa"/>
            <w:shd w:val="clear" w:color="auto" w:fill="auto"/>
            <w:vAlign w:val="center"/>
          </w:tcPr>
          <w:p w14:paraId="2D610A1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2个</w:t>
            </w:r>
          </w:p>
        </w:tc>
        <w:tc>
          <w:tcPr>
            <w:tcW w:w="110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6万元</w:t>
            </w:r>
          </w:p>
        </w:tc>
        <w:tc>
          <w:tcPr>
            <w:tcW w:w="142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12万元</w:t>
            </w:r>
          </w:p>
        </w:tc>
        <w:tc>
          <w:tcPr>
            <w:tcW w:w="1140" w:type="dxa"/>
            <w:shd w:val="clear" w:color="auto" w:fill="auto"/>
            <w:vAlign w:val="center"/>
          </w:tcPr>
          <w:p w14:paraId="18BFE3E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1F5FAC60">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w:t>
            </w:r>
          </w:p>
        </w:tc>
      </w:tr>
      <w:tr w14:paraId="508C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3" w:type="dxa"/>
            <w:shd w:val="clear" w:color="auto" w:fill="auto"/>
            <w:vAlign w:val="center"/>
          </w:tcPr>
          <w:p w14:paraId="4E05B7A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508" w:type="dxa"/>
            <w:shd w:val="clear" w:color="auto" w:fill="auto"/>
            <w:vAlign w:val="center"/>
          </w:tcPr>
          <w:p w14:paraId="2AB8E1B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冷头</w:t>
            </w:r>
          </w:p>
        </w:tc>
        <w:tc>
          <w:tcPr>
            <w:tcW w:w="1650" w:type="dxa"/>
            <w:shd w:val="clear" w:color="auto" w:fill="auto"/>
            <w:vAlign w:val="center"/>
          </w:tcPr>
          <w:p w14:paraId="23A76F5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1个</w:t>
            </w:r>
          </w:p>
        </w:tc>
        <w:tc>
          <w:tcPr>
            <w:tcW w:w="1102" w:type="dxa"/>
            <w:shd w:val="clear" w:color="auto" w:fill="auto"/>
            <w:vAlign w:val="center"/>
          </w:tcPr>
          <w:p w14:paraId="31526B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8.5万元</w:t>
            </w:r>
          </w:p>
        </w:tc>
        <w:tc>
          <w:tcPr>
            <w:tcW w:w="1425" w:type="dxa"/>
            <w:shd w:val="clear" w:color="auto" w:fill="auto"/>
            <w:vAlign w:val="center"/>
          </w:tcPr>
          <w:p w14:paraId="3BF55F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8.50万元</w:t>
            </w:r>
          </w:p>
        </w:tc>
        <w:tc>
          <w:tcPr>
            <w:tcW w:w="1140" w:type="dxa"/>
            <w:shd w:val="clear" w:color="auto" w:fill="auto"/>
            <w:vAlign w:val="center"/>
          </w:tcPr>
          <w:p w14:paraId="3F708A37">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562E9F41">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w:t>
            </w:r>
          </w:p>
        </w:tc>
      </w:tr>
      <w:tr w14:paraId="7A59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73" w:type="dxa"/>
            <w:shd w:val="clear" w:color="auto" w:fill="auto"/>
            <w:vAlign w:val="center"/>
          </w:tcPr>
          <w:p w14:paraId="3E7B0B8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508" w:type="dxa"/>
            <w:shd w:val="clear" w:color="auto" w:fill="auto"/>
            <w:vAlign w:val="center"/>
          </w:tcPr>
          <w:p w14:paraId="185A98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液氦</w:t>
            </w:r>
          </w:p>
        </w:tc>
        <w:tc>
          <w:tcPr>
            <w:tcW w:w="1650" w:type="dxa"/>
            <w:shd w:val="clear" w:color="auto" w:fill="auto"/>
            <w:vAlign w:val="center"/>
          </w:tcPr>
          <w:p w14:paraId="0BCEE9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500升</w:t>
            </w:r>
          </w:p>
        </w:tc>
        <w:tc>
          <w:tcPr>
            <w:tcW w:w="1102" w:type="dxa"/>
            <w:shd w:val="clear" w:color="auto" w:fill="auto"/>
            <w:vAlign w:val="center"/>
          </w:tcPr>
          <w:p w14:paraId="6C9B47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150元/升</w:t>
            </w:r>
          </w:p>
        </w:tc>
        <w:tc>
          <w:tcPr>
            <w:tcW w:w="1425" w:type="dxa"/>
            <w:shd w:val="clear" w:color="auto" w:fill="auto"/>
            <w:vAlign w:val="center"/>
          </w:tcPr>
          <w:p w14:paraId="4675A0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7.50万元</w:t>
            </w:r>
          </w:p>
        </w:tc>
        <w:tc>
          <w:tcPr>
            <w:tcW w:w="1140" w:type="dxa"/>
            <w:shd w:val="clear" w:color="auto" w:fill="auto"/>
            <w:vAlign w:val="center"/>
          </w:tcPr>
          <w:p w14:paraId="4D2C0A50">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自筹</w:t>
            </w:r>
          </w:p>
        </w:tc>
        <w:tc>
          <w:tcPr>
            <w:tcW w:w="1500" w:type="dxa"/>
            <w:shd w:val="clear" w:color="auto" w:fill="auto"/>
            <w:vAlign w:val="center"/>
          </w:tcPr>
          <w:p w14:paraId="3F064A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否</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8325" w:type="dxa"/>
            <w:gridSpan w:val="6"/>
            <w:vAlign w:val="center"/>
          </w:tcPr>
          <w:p w14:paraId="658FFDE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325" w:type="dxa"/>
            <w:gridSpan w:val="6"/>
            <w:vAlign w:val="center"/>
          </w:tcPr>
          <w:p w14:paraId="4F1CEB2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适用设备型号为飞利浦3.0T磁共振</w:t>
            </w:r>
          </w:p>
        </w:tc>
      </w:tr>
    </w:tbl>
    <w:p w14:paraId="3C7AEA2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63820FF6">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8321C9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1、梯度放大器：</w:t>
      </w:r>
    </w:p>
    <w:p w14:paraId="0D246012">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最高输出电压400V，电流850A</w:t>
      </w:r>
    </w:p>
    <w:p w14:paraId="7F2271E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梯度场强40mT/m</w:t>
      </w:r>
    </w:p>
    <w:p w14:paraId="25E352F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梯度线性度1%</w:t>
      </w:r>
    </w:p>
    <w:p w14:paraId="272F9D8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2、冷头：</w:t>
      </w:r>
    </w:p>
    <w:p w14:paraId="77932457">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功率≥1.2W</w:t>
      </w:r>
    </w:p>
    <w:p w14:paraId="45E512B8">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工作压力300-340psi</w:t>
      </w:r>
    </w:p>
    <w:p w14:paraId="79A5088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制冷温度1st≤40K，2nd≤4K</w:t>
      </w:r>
    </w:p>
    <w:p w14:paraId="47EFC2C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3、液氦：</w:t>
      </w:r>
    </w:p>
    <w:p w14:paraId="704857A8">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3.1.向磁共振添加500L液氦;</w:t>
      </w:r>
    </w:p>
    <w:p w14:paraId="7CBA4562">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3.2.完成添加液氦过程中可能出现的励磁、除冰及其它维护工作;</w:t>
      </w:r>
    </w:p>
    <w:p w14:paraId="40045B4B">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3.3.液氦添加后确保 MR 正常稳定运行。</w:t>
      </w:r>
    </w:p>
    <w:p w14:paraId="1B672AF1">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3.4.严格按照以下要求进行液氦供应及服务</w:t>
      </w:r>
    </w:p>
    <w:p w14:paraId="0C844494">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液氦纯度&gt;99.999%</w:t>
      </w:r>
    </w:p>
    <w:p w14:paraId="0709F352">
      <w:pPr>
        <w:spacing w:line="360" w:lineRule="auto"/>
        <w:rPr>
          <w:rFonts w:hint="eastAsia" w:ascii="宋体" w:hAnsi="宋体" w:eastAsia="宋体" w:cs="宋体"/>
          <w:iCs/>
          <w:kern w:val="2"/>
          <w:sz w:val="22"/>
          <w:szCs w:val="22"/>
          <w:lang w:val="en-US" w:eastAsia="zh-CN" w:bidi="ar-SA"/>
        </w:rPr>
      </w:pPr>
    </w:p>
    <w:p w14:paraId="10948DEB">
      <w:pPr>
        <w:spacing w:line="360" w:lineRule="auto"/>
        <w:rPr>
          <w:rFonts w:hint="eastAsia" w:ascii="宋体" w:hAnsi="宋体" w:eastAsia="宋体" w:cs="宋体"/>
          <w:iCs/>
          <w:kern w:val="2"/>
          <w:sz w:val="22"/>
          <w:szCs w:val="22"/>
          <w:lang w:val="en-US" w:eastAsia="zh-CN" w:bidi="ar-SA"/>
        </w:rPr>
      </w:pPr>
    </w:p>
    <w:p w14:paraId="0B9924D6">
      <w:pPr>
        <w:spacing w:line="360" w:lineRule="auto"/>
        <w:rPr>
          <w:rFonts w:hint="eastAsia" w:ascii="宋体" w:hAnsi="宋体" w:eastAsia="宋体" w:cs="宋体"/>
          <w:iCs/>
          <w:kern w:val="2"/>
          <w:sz w:val="22"/>
          <w:szCs w:val="22"/>
          <w:lang w:val="en-US" w:eastAsia="zh-CN" w:bidi="ar-SA"/>
        </w:rPr>
      </w:pPr>
    </w:p>
    <w:p w14:paraId="177C9F5B">
      <w:pPr>
        <w:spacing w:line="360" w:lineRule="auto"/>
        <w:jc w:val="center"/>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纯度标准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0"/>
        <w:gridCol w:w="2872"/>
      </w:tblGrid>
      <w:tr w14:paraId="40C5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870" w:type="dxa"/>
          </w:tcPr>
          <w:p w14:paraId="1104932E">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等级指定</w:t>
            </w:r>
          </w:p>
        </w:tc>
        <w:tc>
          <w:tcPr>
            <w:tcW w:w="2872" w:type="dxa"/>
          </w:tcPr>
          <w:p w14:paraId="7D1B560B">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液氦</w:t>
            </w:r>
          </w:p>
        </w:tc>
      </w:tr>
      <w:tr w14:paraId="61F8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52334E3C">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CGA G9.1P等级</w:t>
            </w:r>
          </w:p>
        </w:tc>
        <w:tc>
          <w:tcPr>
            <w:tcW w:w="2872" w:type="dxa"/>
          </w:tcPr>
          <w:p w14:paraId="0116C0CB">
            <w:pPr>
              <w:spacing w:line="360" w:lineRule="auto"/>
              <w:rPr>
                <w:rFonts w:hint="eastAsia" w:ascii="宋体" w:hAnsi="宋体" w:eastAsia="宋体" w:cs="宋体"/>
                <w:iCs/>
                <w:kern w:val="2"/>
                <w:sz w:val="22"/>
                <w:szCs w:val="22"/>
                <w:lang w:val="en-US" w:eastAsia="zh-CN" w:bidi="ar-SA"/>
              </w:rPr>
            </w:pPr>
          </w:p>
        </w:tc>
      </w:tr>
      <w:tr w14:paraId="7631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3870" w:type="dxa"/>
          </w:tcPr>
          <w:p w14:paraId="7F411361">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氦纯度</w:t>
            </w:r>
          </w:p>
        </w:tc>
        <w:tc>
          <w:tcPr>
            <w:tcW w:w="2872" w:type="dxa"/>
          </w:tcPr>
          <w:p w14:paraId="41FDEC42">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99.999%</w:t>
            </w:r>
          </w:p>
        </w:tc>
      </w:tr>
      <w:tr w14:paraId="533C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0E39E46C">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水</w:t>
            </w:r>
          </w:p>
        </w:tc>
        <w:tc>
          <w:tcPr>
            <w:tcW w:w="2872" w:type="dxa"/>
          </w:tcPr>
          <w:p w14:paraId="4404D46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1.5 ppm</w:t>
            </w:r>
          </w:p>
        </w:tc>
      </w:tr>
      <w:tr w14:paraId="616A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3E758BE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氖</w:t>
            </w:r>
          </w:p>
        </w:tc>
        <w:tc>
          <w:tcPr>
            <w:tcW w:w="2872" w:type="dxa"/>
          </w:tcPr>
          <w:p w14:paraId="48D6CEE1">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2 ppm</w:t>
            </w:r>
          </w:p>
        </w:tc>
      </w:tr>
      <w:tr w14:paraId="3A54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599738AF">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氢</w:t>
            </w:r>
          </w:p>
        </w:tc>
        <w:tc>
          <w:tcPr>
            <w:tcW w:w="2872" w:type="dxa"/>
          </w:tcPr>
          <w:p w14:paraId="0241138A">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 ppm</w:t>
            </w:r>
          </w:p>
        </w:tc>
      </w:tr>
      <w:tr w14:paraId="61ED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1F75EA1B">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一氧化碳和二氧化碳</w:t>
            </w:r>
          </w:p>
        </w:tc>
        <w:tc>
          <w:tcPr>
            <w:tcW w:w="2872" w:type="dxa"/>
          </w:tcPr>
          <w:p w14:paraId="15CA5A5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0.5 ppm</w:t>
            </w:r>
          </w:p>
        </w:tc>
      </w:tr>
      <w:tr w14:paraId="30D7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286261A3">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氧</w:t>
            </w:r>
          </w:p>
        </w:tc>
        <w:tc>
          <w:tcPr>
            <w:tcW w:w="2872" w:type="dxa"/>
          </w:tcPr>
          <w:p w14:paraId="36F09C79">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1 ppm</w:t>
            </w:r>
          </w:p>
        </w:tc>
      </w:tr>
      <w:tr w14:paraId="77B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0" w:type="dxa"/>
          </w:tcPr>
          <w:p w14:paraId="3A53F0B3">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总碳氢化合物(如甲烷)</w:t>
            </w:r>
          </w:p>
        </w:tc>
        <w:tc>
          <w:tcPr>
            <w:tcW w:w="2872" w:type="dxa"/>
          </w:tcPr>
          <w:p w14:paraId="0A86A6E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0.5 ppm</w:t>
            </w:r>
          </w:p>
        </w:tc>
      </w:tr>
      <w:tr w14:paraId="147F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0" w:type="dxa"/>
          </w:tcPr>
          <w:p w14:paraId="4C2B65D4">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氮和氩</w:t>
            </w:r>
          </w:p>
        </w:tc>
        <w:tc>
          <w:tcPr>
            <w:tcW w:w="2872" w:type="dxa"/>
          </w:tcPr>
          <w:p w14:paraId="0DD8E086">
            <w:pPr>
              <w:spacing w:line="360" w:lineRule="auto"/>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&lt;= 5 ppm</w:t>
            </w:r>
          </w:p>
        </w:tc>
      </w:tr>
    </w:tbl>
    <w:p w14:paraId="7D60E81D">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3.5本次所加注的液氦用于飞利浦Achieva TX 3.0T核磁，保证提供的产品质量满足院方设备运行的需要。</w:t>
      </w:r>
    </w:p>
    <w:p w14:paraId="61857BC8">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3.6免费提供液氦充填服务，充液氦所用的高纯氦气免费。</w:t>
      </w:r>
    </w:p>
    <w:p w14:paraId="04931413">
      <w:pPr>
        <w:spacing w:line="360" w:lineRule="auto"/>
        <w:ind w:firstLine="440" w:firstLineChars="200"/>
        <w:rPr>
          <w:rFonts w:hint="eastAsia" w:ascii="宋体" w:hAnsi="宋体" w:eastAsia="宋体" w:cs="宋体"/>
          <w:iCs/>
          <w:kern w:val="2"/>
          <w:sz w:val="22"/>
          <w:szCs w:val="22"/>
          <w:lang w:val="en-US" w:eastAsia="zh-CN" w:bidi="ar-SA"/>
        </w:rPr>
      </w:pPr>
      <w:r>
        <w:rPr>
          <w:rFonts w:hint="eastAsia" w:ascii="宋体" w:hAnsi="宋体" w:eastAsia="宋体" w:cs="宋体"/>
          <w:iCs/>
          <w:kern w:val="2"/>
          <w:sz w:val="22"/>
          <w:szCs w:val="22"/>
          <w:lang w:val="en-US" w:eastAsia="zh-CN" w:bidi="ar-SA"/>
        </w:rPr>
        <w:t>3.7在院方规定的时间内完成充装工作，加注过程须符合国家及行业现行标准及规范。加注液氦过程中，如因液添加导致设备故障(含核磁失超)、停机等一切损失由供应商承担。</w:t>
      </w:r>
    </w:p>
    <w:p w14:paraId="5A757D23">
      <w:pPr>
        <w:spacing w:line="360" w:lineRule="auto"/>
        <w:ind w:firstLine="440" w:firstLineChars="200"/>
        <w:rPr>
          <w:rFonts w:hint="default" w:ascii="宋体" w:hAnsi="宋体" w:eastAsia="宋体" w:cs="宋体"/>
          <w:iCs/>
          <w:kern w:val="2"/>
          <w:sz w:val="22"/>
          <w:szCs w:val="22"/>
          <w:highlight w:val="none"/>
          <w:lang w:val="en-US" w:eastAsia="zh-CN" w:bidi="ar-SA"/>
        </w:rPr>
      </w:pPr>
      <w:r>
        <w:rPr>
          <w:rFonts w:hint="eastAsia" w:ascii="宋体" w:hAnsi="宋体" w:eastAsia="宋体" w:cs="宋体"/>
          <w:iCs/>
          <w:kern w:val="2"/>
          <w:sz w:val="22"/>
          <w:szCs w:val="22"/>
          <w:highlight w:val="none"/>
          <w:lang w:val="en-US" w:eastAsia="zh-CN" w:bidi="ar-SA"/>
        </w:rPr>
        <w:t>3.8中标方承担包装和运输费用。液氦运输方式:专车运输，附带加注设备。自行考虑液氦罐体进入设备间的路面防护问题，并承担对院方造成的一切损失和后果。</w:t>
      </w:r>
    </w:p>
    <w:p w14:paraId="55676EA1">
      <w:pPr>
        <w:pStyle w:val="50"/>
        <w:rPr>
          <w:rFonts w:hint="eastAsia" w:ascii="宋体" w:hAnsi="宋体" w:eastAsia="宋体" w:cs="宋体"/>
          <w:b/>
          <w:bCs/>
          <w:color w:val="auto"/>
          <w:kern w:val="2"/>
          <w:sz w:val="21"/>
          <w:szCs w:val="24"/>
          <w:highlight w:val="none"/>
          <w:lang w:val="en-US" w:eastAsia="zh-CN" w:bidi="ar-SA"/>
        </w:rPr>
      </w:pPr>
    </w:p>
    <w:p w14:paraId="5C70B08A">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A217296">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1"/>
        <w:gridCol w:w="7825"/>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交货期</w:t>
            </w:r>
          </w:p>
        </w:tc>
        <w:tc>
          <w:tcPr>
            <w:tcW w:w="7825"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按照合同约定执行</w:t>
            </w:r>
          </w:p>
        </w:tc>
      </w:tr>
      <w:tr w14:paraId="4B104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1583C8FA">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交货地点</w:t>
            </w:r>
          </w:p>
        </w:tc>
        <w:tc>
          <w:tcPr>
            <w:tcW w:w="7825" w:type="dxa"/>
            <w:tcBorders>
              <w:top w:val="single" w:color="auto" w:sz="4" w:space="0"/>
              <w:left w:val="single" w:color="auto" w:sz="4" w:space="0"/>
              <w:bottom w:val="single" w:color="auto" w:sz="4" w:space="0"/>
              <w:right w:val="single" w:color="auto" w:sz="4" w:space="0"/>
            </w:tcBorders>
            <w:noWrap/>
            <w:vAlign w:val="center"/>
          </w:tcPr>
          <w:p w14:paraId="3A5F09B6">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医院指定地点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质量</w:t>
            </w:r>
            <w:r>
              <w:rPr>
                <w:rFonts w:hint="eastAsia" w:ascii="宋体" w:hAnsi="宋体" w:eastAsia="宋体" w:cs="宋体"/>
                <w:color w:val="auto"/>
                <w:kern w:val="0"/>
                <w:sz w:val="21"/>
                <w:szCs w:val="21"/>
                <w:highlight w:val="none"/>
                <w:lang w:val="en-US" w:eastAsia="zh-CN"/>
              </w:rPr>
              <w:t>要求</w:t>
            </w:r>
          </w:p>
        </w:tc>
        <w:tc>
          <w:tcPr>
            <w:tcW w:w="7825"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符合国家质量标准、部颁标准、行业标准</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满足磋商文件</w:t>
            </w:r>
            <w:r>
              <w:rPr>
                <w:rFonts w:hint="eastAsia" w:ascii="宋体" w:hAnsi="宋体" w:eastAsia="宋体" w:cs="宋体"/>
                <w:color w:val="auto"/>
                <w:kern w:val="0"/>
                <w:sz w:val="21"/>
                <w:szCs w:val="21"/>
                <w:highlight w:val="none"/>
                <w:lang w:val="zh-CN"/>
              </w:rPr>
              <w:t>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质保期</w:t>
            </w:r>
          </w:p>
        </w:tc>
        <w:tc>
          <w:tcPr>
            <w:tcW w:w="7825"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3个月</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1"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付款条件</w:t>
            </w:r>
          </w:p>
        </w:tc>
        <w:tc>
          <w:tcPr>
            <w:tcW w:w="7825" w:type="dxa"/>
            <w:tcBorders>
              <w:top w:val="single" w:color="auto" w:sz="4" w:space="0"/>
              <w:left w:val="single" w:color="auto" w:sz="4" w:space="0"/>
              <w:bottom w:val="single" w:color="auto" w:sz="4" w:space="0"/>
              <w:right w:val="single" w:color="auto" w:sz="4" w:space="0"/>
            </w:tcBorders>
            <w:noWrap/>
            <w:vAlign w:val="center"/>
          </w:tcPr>
          <w:p w14:paraId="0FBA75BC">
            <w:pPr>
              <w:pStyle w:val="7"/>
              <w:ind w:left="0"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安装验收完成后付款90%，合同结束后付款10%。</w:t>
            </w:r>
          </w:p>
        </w:tc>
      </w:tr>
    </w:tbl>
    <w:p w14:paraId="603C8368">
      <w:pPr>
        <w:pStyle w:val="24"/>
        <w:rPr>
          <w:rFonts w:hint="eastAsia" w:ascii="宋体" w:hAnsi="宋体" w:eastAsia="宋体" w:cs="宋体"/>
          <w:color w:val="auto"/>
          <w:highlight w:val="none"/>
        </w:rPr>
      </w:pPr>
    </w:p>
    <w:p w14:paraId="5782FD67">
      <w:pPr>
        <w:pStyle w:val="24"/>
        <w:rPr>
          <w:rFonts w:hint="eastAsia" w:ascii="宋体" w:hAnsi="宋体" w:eastAsia="宋体" w:cs="宋体"/>
          <w:color w:val="auto"/>
          <w:highlight w:val="none"/>
        </w:rPr>
      </w:pPr>
    </w:p>
    <w:p w14:paraId="5AD99A35">
      <w:pPr>
        <w:pStyle w:val="24"/>
        <w:rPr>
          <w:rFonts w:hint="eastAsia" w:ascii="宋体" w:hAnsi="宋体" w:eastAsia="宋体" w:cs="宋体"/>
          <w:color w:val="auto"/>
          <w:highlight w:val="none"/>
        </w:rPr>
      </w:pPr>
    </w:p>
    <w:p w14:paraId="5ABDE2A9">
      <w:pPr>
        <w:pStyle w:val="24"/>
        <w:rPr>
          <w:rFonts w:hint="eastAsia" w:ascii="宋体" w:hAnsi="宋体" w:eastAsia="宋体" w:cs="宋体"/>
          <w:color w:val="auto"/>
          <w:highlight w:val="none"/>
        </w:rPr>
      </w:pPr>
    </w:p>
    <w:p w14:paraId="327FA3B0">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驻马店市中心医院飞利浦3.0T磁共振梯度放大器、冷头、液氦采购项目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28万元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2C2914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E3F22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33C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3DA1534B">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1A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868D92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605CD6B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4ABC782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43FC4D0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A152B0D">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1CD1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1BB4F73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4F8B70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1DD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分，有一项不满足的扣5分，扣完为止；如得分为0，则磋商无效。 </w:t>
            </w:r>
          </w:p>
          <w:p w14:paraId="4E3F2FD9">
            <w:pPr>
              <w:keepNext w:val="0"/>
              <w:keepLines w:val="0"/>
              <w:pageBreakBefore w:val="0"/>
              <w:widowControl/>
              <w:numPr>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FF"/>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供应商需如实填写技术偏离表，并标注偏离情况。</w:t>
            </w:r>
            <w:bookmarkStart w:id="101" w:name="_GoBack"/>
            <w:bookmarkEnd w:id="101"/>
          </w:p>
        </w:tc>
      </w:tr>
      <w:tr w14:paraId="11BC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598F9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0F2F87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26E9BAE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301A91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投标产品制造工艺、稳定性好、安全性高的得4分；投标产品制造工艺、稳定性较好、安全性较高的得 2 分；投标产品制造工艺、稳定性、安全性一般的得 1 分。</w:t>
            </w:r>
          </w:p>
        </w:tc>
      </w:tr>
      <w:tr w14:paraId="40D4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756A64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630378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E431E2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133236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2D1F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639EC2F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8971AA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13</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06418D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w:t>
            </w:r>
            <w:r>
              <w:rPr>
                <w:rFonts w:hint="eastAsia" w:ascii="宋体" w:hAnsi="宋体" w:cs="宋体"/>
                <w:color w:val="auto"/>
                <w:sz w:val="21"/>
                <w:szCs w:val="21"/>
                <w:highlight w:val="none"/>
                <w:lang w:val="en-US" w:eastAsia="zh-CN"/>
              </w:rPr>
              <w:t>保障措施及安装调试方案</w:t>
            </w:r>
            <w:r>
              <w:rPr>
                <w:rFonts w:hint="eastAsia" w:ascii="宋体" w:hAnsi="宋体" w:eastAsia="宋体" w:cs="宋体"/>
                <w:color w:val="auto"/>
                <w:sz w:val="21"/>
                <w:szCs w:val="21"/>
                <w:highlight w:val="none"/>
                <w:lang w:val="en-US" w:eastAsia="zh-CN"/>
              </w:rPr>
              <w:t>，包括货源保障措施、质量管控措施、交货期保证措施</w:t>
            </w:r>
            <w:r>
              <w:rPr>
                <w:rFonts w:hint="eastAsia" w:ascii="宋体" w:hAnsi="宋体" w:cs="宋体"/>
                <w:color w:val="auto"/>
                <w:sz w:val="21"/>
                <w:szCs w:val="21"/>
                <w:highlight w:val="none"/>
                <w:lang w:val="en-US" w:eastAsia="zh-CN"/>
              </w:rPr>
              <w:t>、安装调试方案</w:t>
            </w:r>
            <w:r>
              <w:rPr>
                <w:rFonts w:hint="eastAsia" w:ascii="宋体" w:hAnsi="宋体" w:eastAsia="宋体" w:cs="宋体"/>
                <w:color w:val="auto"/>
                <w:sz w:val="21"/>
                <w:szCs w:val="21"/>
                <w:highlight w:val="none"/>
                <w:lang w:val="en-US" w:eastAsia="zh-CN"/>
              </w:rPr>
              <w:t>等进行打分。</w:t>
            </w:r>
          </w:p>
          <w:p w14:paraId="29C9CF2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lang w:val="en-US" w:eastAsia="zh-CN"/>
              </w:rPr>
              <w:t>方案内容具体详实、完全满足采购需求的得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分；方案内容较详实，基本满足项目需求的得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分；方案不完备，不能满足需求的得1分，缺项得0分。</w:t>
            </w:r>
          </w:p>
        </w:tc>
      </w:tr>
      <w:tr w14:paraId="0899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81F06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97EF0B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9495232">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液氦加注服务方案（运输车辆的安排</w:t>
            </w:r>
            <w:r>
              <w:rPr>
                <w:rFonts w:hint="eastAsia" w:ascii="宋体" w:hAnsi="宋体" w:cs="宋体"/>
                <w:color w:val="auto"/>
                <w:sz w:val="21"/>
                <w:szCs w:val="21"/>
                <w:highlight w:val="none"/>
                <w:lang w:val="en-US" w:eastAsia="zh-CN"/>
              </w:rPr>
              <w:t>及安全保障措施</w:t>
            </w:r>
            <w:r>
              <w:rPr>
                <w:rFonts w:hint="eastAsia" w:ascii="宋体" w:hAnsi="宋体" w:eastAsia="宋体" w:cs="宋体"/>
                <w:color w:val="auto"/>
                <w:sz w:val="21"/>
                <w:szCs w:val="21"/>
                <w:highlight w:val="none"/>
                <w:lang w:val="en-US" w:eastAsia="zh-CN"/>
              </w:rPr>
              <w:t>、专业操作人员的配备、液氦及加注设备的运输方案、加注作业</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lang w:val="en-US" w:eastAsia="zh-CN"/>
              </w:rPr>
              <w:t>）等进行打分。</w:t>
            </w:r>
          </w:p>
          <w:p w14:paraId="79D432A5">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Chars="0"/>
              <w:jc w:val="both"/>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highlight w:val="none"/>
                <w:lang w:val="en-US" w:eastAsia="zh-CN"/>
              </w:rPr>
              <w:t>方案内容具体详实、完全满足采购需求的得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分；方案内容较详实，基本满足项目需求的得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分；方案不完备，不能满足需求的得1分，缺项得0分。</w:t>
            </w:r>
          </w:p>
        </w:tc>
      </w:tr>
      <w:tr w14:paraId="23F6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F7A3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3EB0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53552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根据供应商针对突发情况提供应急服务方案及保障措施进行打分，包含（但不限于）以下内容：应急响应流程及响应时间、应急保障措施等。</w:t>
            </w:r>
          </w:p>
          <w:p w14:paraId="154163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301E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8A327A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0D4EE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874476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610B05B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29EBDF0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三个月</w:t>
            </w:r>
            <w:r>
              <w:rPr>
                <w:rFonts w:hint="eastAsia" w:ascii="宋体" w:hAnsi="宋体" w:eastAsia="宋体" w:cs="宋体"/>
                <w:color w:val="auto"/>
                <w:sz w:val="21"/>
                <w:szCs w:val="21"/>
                <w:highlight w:val="none"/>
                <w:lang w:val="en-US" w:eastAsia="zh-CN"/>
              </w:rPr>
              <w:t>加2分,最多加4分（出具相关服务承诺书）。</w:t>
            </w:r>
          </w:p>
        </w:tc>
      </w:tr>
      <w:tr w14:paraId="0012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E94090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56AA64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5E99F3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13FD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39" w:type="dxa"/>
            <w:vMerge w:val="continue"/>
            <w:noWrap w:val="0"/>
            <w:vAlign w:val="center"/>
          </w:tcPr>
          <w:p w14:paraId="3510A9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3D21B25">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7A360D34">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701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1A35B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4821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314970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CAFEE7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7A1A58F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2D1C355E">
      <w:pPr>
        <w:pageBreakBefore w:val="0"/>
        <w:widowControl/>
        <w:wordWrap/>
        <w:overflowPunct/>
        <w:topLinePunct w:val="0"/>
        <w:bidi w:val="0"/>
        <w:spacing w:line="360" w:lineRule="auto"/>
        <w:ind w:firstLine="2940" w:firstLineChars="14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6DE512C9">
      <w:pPr>
        <w:pStyle w:val="24"/>
        <w:rPr>
          <w:rFonts w:hint="default" w:ascii="宋体" w:hAnsi="宋体" w:cs="宋体"/>
          <w:color w:val="auto"/>
          <w:kern w:val="0"/>
          <w:sz w:val="24"/>
          <w:highlight w:val="none"/>
          <w:lang w:val="en-US" w:eastAsia="zh-CN"/>
        </w:rPr>
      </w:pPr>
      <w:bookmarkStart w:id="80" w:name="_Toc15804"/>
      <w:bookmarkStart w:id="81" w:name="_Toc226"/>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195705F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0DD4F0B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单位名称（自然人姓名）：</w:t>
      </w:r>
      <w:r>
        <w:rPr>
          <w:rFonts w:hint="eastAsia" w:ascii="宋体" w:hAnsi="宋体" w:cs="宋体"/>
          <w:color w:val="auto"/>
          <w:sz w:val="21"/>
          <w:szCs w:val="21"/>
          <w:highlight w:val="none"/>
          <w:lang w:val="en-US" w:eastAsia="zh-CN"/>
        </w:rPr>
        <w:tab/>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驻马店市中心医院飞利浦3.0T磁共振梯度放大器、冷头、液氦采购项目采购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B643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D4D8E"/>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1713F"/>
    <w:rsid w:val="03BD2BCD"/>
    <w:rsid w:val="03CC058D"/>
    <w:rsid w:val="03E017D2"/>
    <w:rsid w:val="03F447E2"/>
    <w:rsid w:val="03F77068"/>
    <w:rsid w:val="03FB660C"/>
    <w:rsid w:val="042E37DB"/>
    <w:rsid w:val="04416C20"/>
    <w:rsid w:val="04732647"/>
    <w:rsid w:val="047968B1"/>
    <w:rsid w:val="04870542"/>
    <w:rsid w:val="04AD3DAA"/>
    <w:rsid w:val="04B30F7A"/>
    <w:rsid w:val="04EB042F"/>
    <w:rsid w:val="050E236F"/>
    <w:rsid w:val="054C0111"/>
    <w:rsid w:val="05545DD3"/>
    <w:rsid w:val="056337F9"/>
    <w:rsid w:val="056E2AD6"/>
    <w:rsid w:val="056F4631"/>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608E3"/>
    <w:rsid w:val="078E18EB"/>
    <w:rsid w:val="07AA2823"/>
    <w:rsid w:val="07B02D9F"/>
    <w:rsid w:val="07B10EA5"/>
    <w:rsid w:val="07C510CB"/>
    <w:rsid w:val="07CD6512"/>
    <w:rsid w:val="07CE3FA1"/>
    <w:rsid w:val="07EC2ECB"/>
    <w:rsid w:val="07FE66CB"/>
    <w:rsid w:val="080B4D47"/>
    <w:rsid w:val="081B727D"/>
    <w:rsid w:val="081D2FF5"/>
    <w:rsid w:val="082F6069"/>
    <w:rsid w:val="08321601"/>
    <w:rsid w:val="08326375"/>
    <w:rsid w:val="083D5C91"/>
    <w:rsid w:val="0847191F"/>
    <w:rsid w:val="08591DC3"/>
    <w:rsid w:val="085B58CB"/>
    <w:rsid w:val="08672793"/>
    <w:rsid w:val="08695E80"/>
    <w:rsid w:val="087C4541"/>
    <w:rsid w:val="087E5595"/>
    <w:rsid w:val="08BC0A60"/>
    <w:rsid w:val="08C52D6F"/>
    <w:rsid w:val="08C6543B"/>
    <w:rsid w:val="08E42BE4"/>
    <w:rsid w:val="08EF0201"/>
    <w:rsid w:val="08F41DE8"/>
    <w:rsid w:val="093D1475"/>
    <w:rsid w:val="093F28FF"/>
    <w:rsid w:val="094840A2"/>
    <w:rsid w:val="09644C54"/>
    <w:rsid w:val="096B5FE2"/>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E2B10"/>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EFD76DC"/>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C5BE6"/>
    <w:rsid w:val="0FFD20F0"/>
    <w:rsid w:val="10142F30"/>
    <w:rsid w:val="10352857"/>
    <w:rsid w:val="103E6E57"/>
    <w:rsid w:val="1041497B"/>
    <w:rsid w:val="10425FF6"/>
    <w:rsid w:val="106612B1"/>
    <w:rsid w:val="109010E6"/>
    <w:rsid w:val="10B1077E"/>
    <w:rsid w:val="10B271F4"/>
    <w:rsid w:val="10B537CC"/>
    <w:rsid w:val="10C61D50"/>
    <w:rsid w:val="10C8275C"/>
    <w:rsid w:val="10C86D3B"/>
    <w:rsid w:val="10E03539"/>
    <w:rsid w:val="10E82D1F"/>
    <w:rsid w:val="10EE5C94"/>
    <w:rsid w:val="10F5757C"/>
    <w:rsid w:val="10F93ED3"/>
    <w:rsid w:val="11037F2B"/>
    <w:rsid w:val="111D7BC2"/>
    <w:rsid w:val="11250F40"/>
    <w:rsid w:val="113329E7"/>
    <w:rsid w:val="113F294C"/>
    <w:rsid w:val="11437C85"/>
    <w:rsid w:val="11575085"/>
    <w:rsid w:val="116220E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8819B3"/>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56560D"/>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57918"/>
    <w:rsid w:val="144B544C"/>
    <w:rsid w:val="145B7B45"/>
    <w:rsid w:val="14627FE2"/>
    <w:rsid w:val="14717443"/>
    <w:rsid w:val="14825F8A"/>
    <w:rsid w:val="148C70AD"/>
    <w:rsid w:val="148D52E3"/>
    <w:rsid w:val="14992B90"/>
    <w:rsid w:val="149A76B9"/>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51D46"/>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583293"/>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2C5003"/>
    <w:rsid w:val="17332185"/>
    <w:rsid w:val="17475951"/>
    <w:rsid w:val="175207E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AE7C99"/>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D50B4"/>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972C67"/>
    <w:rsid w:val="1BB73AE1"/>
    <w:rsid w:val="1BDA6D68"/>
    <w:rsid w:val="1BF14125"/>
    <w:rsid w:val="1C002CEE"/>
    <w:rsid w:val="1C4032FE"/>
    <w:rsid w:val="1C490100"/>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B092E"/>
    <w:rsid w:val="1FEF08C8"/>
    <w:rsid w:val="1FF72E6A"/>
    <w:rsid w:val="1FFB6F12"/>
    <w:rsid w:val="201B3ED4"/>
    <w:rsid w:val="20230F6D"/>
    <w:rsid w:val="20310B02"/>
    <w:rsid w:val="20344F28"/>
    <w:rsid w:val="204038CD"/>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37180"/>
    <w:rsid w:val="21E604A4"/>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825FAA"/>
    <w:rsid w:val="23940114"/>
    <w:rsid w:val="239A1546"/>
    <w:rsid w:val="23B57016"/>
    <w:rsid w:val="23C4797E"/>
    <w:rsid w:val="23CD5478"/>
    <w:rsid w:val="23D4764B"/>
    <w:rsid w:val="23DA5DE6"/>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B3BC4"/>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5FD1F8B"/>
    <w:rsid w:val="261879A7"/>
    <w:rsid w:val="261A071C"/>
    <w:rsid w:val="26395046"/>
    <w:rsid w:val="264B0BA4"/>
    <w:rsid w:val="264F4111"/>
    <w:rsid w:val="26555BF8"/>
    <w:rsid w:val="265E0AEC"/>
    <w:rsid w:val="265F25D3"/>
    <w:rsid w:val="2661459D"/>
    <w:rsid w:val="268C5256"/>
    <w:rsid w:val="268E455B"/>
    <w:rsid w:val="26912B30"/>
    <w:rsid w:val="269772F0"/>
    <w:rsid w:val="26997893"/>
    <w:rsid w:val="26A30712"/>
    <w:rsid w:val="26A5448A"/>
    <w:rsid w:val="26AC0C27"/>
    <w:rsid w:val="26C807A6"/>
    <w:rsid w:val="26D1527F"/>
    <w:rsid w:val="26D23F28"/>
    <w:rsid w:val="26DB67BA"/>
    <w:rsid w:val="26DE3298"/>
    <w:rsid w:val="26E311CD"/>
    <w:rsid w:val="26EC030B"/>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4731D"/>
    <w:rsid w:val="29CA4207"/>
    <w:rsid w:val="29D82DC8"/>
    <w:rsid w:val="29DA08EE"/>
    <w:rsid w:val="29DB6414"/>
    <w:rsid w:val="29E74CE2"/>
    <w:rsid w:val="2A133E00"/>
    <w:rsid w:val="2A241B69"/>
    <w:rsid w:val="2A306A36"/>
    <w:rsid w:val="2A457300"/>
    <w:rsid w:val="2A5372C6"/>
    <w:rsid w:val="2A5A558B"/>
    <w:rsid w:val="2A5B03D8"/>
    <w:rsid w:val="2A6F6D07"/>
    <w:rsid w:val="2A82464A"/>
    <w:rsid w:val="2A852253"/>
    <w:rsid w:val="2A882500"/>
    <w:rsid w:val="2AA35184"/>
    <w:rsid w:val="2AAB4E76"/>
    <w:rsid w:val="2AB63ABC"/>
    <w:rsid w:val="2AB63D0A"/>
    <w:rsid w:val="2AC31382"/>
    <w:rsid w:val="2AD0584D"/>
    <w:rsid w:val="2AD549F8"/>
    <w:rsid w:val="2AEA74E5"/>
    <w:rsid w:val="2AFB4FC0"/>
    <w:rsid w:val="2AFC478B"/>
    <w:rsid w:val="2B003D00"/>
    <w:rsid w:val="2B074D5E"/>
    <w:rsid w:val="2B0A6991"/>
    <w:rsid w:val="2B100BA9"/>
    <w:rsid w:val="2B1B5825"/>
    <w:rsid w:val="2B1E3AFC"/>
    <w:rsid w:val="2B3446DA"/>
    <w:rsid w:val="2B4A5600"/>
    <w:rsid w:val="2B574FD9"/>
    <w:rsid w:val="2B642979"/>
    <w:rsid w:val="2B681F2A"/>
    <w:rsid w:val="2B8D373E"/>
    <w:rsid w:val="2B9E4F56"/>
    <w:rsid w:val="2BAA42F0"/>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BD0053"/>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A4738B"/>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5F03248"/>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192D6D"/>
    <w:rsid w:val="3A2149EA"/>
    <w:rsid w:val="3A2507C0"/>
    <w:rsid w:val="3A285AD8"/>
    <w:rsid w:val="3A393FA7"/>
    <w:rsid w:val="3A3A5A22"/>
    <w:rsid w:val="3A524858"/>
    <w:rsid w:val="3A64203E"/>
    <w:rsid w:val="3A663D00"/>
    <w:rsid w:val="3A7428D0"/>
    <w:rsid w:val="3A747EDD"/>
    <w:rsid w:val="3A8F302F"/>
    <w:rsid w:val="3A923AE4"/>
    <w:rsid w:val="3AA50E25"/>
    <w:rsid w:val="3AC151B3"/>
    <w:rsid w:val="3AC566E3"/>
    <w:rsid w:val="3ACA050B"/>
    <w:rsid w:val="3AD6747A"/>
    <w:rsid w:val="3AD95C48"/>
    <w:rsid w:val="3ADF5D0A"/>
    <w:rsid w:val="3B312338"/>
    <w:rsid w:val="3B3C5B77"/>
    <w:rsid w:val="3B3D0FF2"/>
    <w:rsid w:val="3B501351"/>
    <w:rsid w:val="3B521A18"/>
    <w:rsid w:val="3B620744"/>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0B37"/>
    <w:rsid w:val="3D6B12FD"/>
    <w:rsid w:val="3D7B4622"/>
    <w:rsid w:val="3D8E5820"/>
    <w:rsid w:val="3D931088"/>
    <w:rsid w:val="3D942E29"/>
    <w:rsid w:val="3DA53531"/>
    <w:rsid w:val="3DB54E0C"/>
    <w:rsid w:val="3DB900C1"/>
    <w:rsid w:val="3DE51866"/>
    <w:rsid w:val="3DE91725"/>
    <w:rsid w:val="3DF159B1"/>
    <w:rsid w:val="3E135D25"/>
    <w:rsid w:val="3E183FFB"/>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73E67"/>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DE6DD5"/>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851D6"/>
    <w:rsid w:val="449E4142"/>
    <w:rsid w:val="44A90BAA"/>
    <w:rsid w:val="44B24A20"/>
    <w:rsid w:val="44BC0BEE"/>
    <w:rsid w:val="44BF6C07"/>
    <w:rsid w:val="44C24001"/>
    <w:rsid w:val="44C55A88"/>
    <w:rsid w:val="44FB1C9C"/>
    <w:rsid w:val="45392A13"/>
    <w:rsid w:val="453E3FCF"/>
    <w:rsid w:val="453E7B2C"/>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3859"/>
    <w:rsid w:val="47F46BC7"/>
    <w:rsid w:val="48016F34"/>
    <w:rsid w:val="480556DB"/>
    <w:rsid w:val="48185C56"/>
    <w:rsid w:val="48254C34"/>
    <w:rsid w:val="48450F81"/>
    <w:rsid w:val="48455675"/>
    <w:rsid w:val="484D62D8"/>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9F66C27"/>
    <w:rsid w:val="4A05334F"/>
    <w:rsid w:val="4A060864"/>
    <w:rsid w:val="4A244932"/>
    <w:rsid w:val="4A2922C8"/>
    <w:rsid w:val="4A4117B2"/>
    <w:rsid w:val="4A4A6F73"/>
    <w:rsid w:val="4A5B1180"/>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B2731"/>
    <w:rsid w:val="4C1C2A09"/>
    <w:rsid w:val="4C284AD9"/>
    <w:rsid w:val="4C423098"/>
    <w:rsid w:val="4C694192"/>
    <w:rsid w:val="4C7964D9"/>
    <w:rsid w:val="4C8C5620"/>
    <w:rsid w:val="4C9269F6"/>
    <w:rsid w:val="4CB61B9C"/>
    <w:rsid w:val="4CB75F07"/>
    <w:rsid w:val="4CC84335"/>
    <w:rsid w:val="4CD22B0F"/>
    <w:rsid w:val="4CDA3E72"/>
    <w:rsid w:val="4CE4545C"/>
    <w:rsid w:val="4CE9350A"/>
    <w:rsid w:val="4D014937"/>
    <w:rsid w:val="4D0E4287"/>
    <w:rsid w:val="4D1E2466"/>
    <w:rsid w:val="4D225F85"/>
    <w:rsid w:val="4D297BF3"/>
    <w:rsid w:val="4D2D0EAF"/>
    <w:rsid w:val="4D5C1497"/>
    <w:rsid w:val="4D795A49"/>
    <w:rsid w:val="4D7F0082"/>
    <w:rsid w:val="4D952FD9"/>
    <w:rsid w:val="4D970662"/>
    <w:rsid w:val="4D9A1FBF"/>
    <w:rsid w:val="4D9F40B3"/>
    <w:rsid w:val="4DB33393"/>
    <w:rsid w:val="4DB90B8C"/>
    <w:rsid w:val="4DBC3CE3"/>
    <w:rsid w:val="4DC31516"/>
    <w:rsid w:val="4DCB51C5"/>
    <w:rsid w:val="4DCF1E0D"/>
    <w:rsid w:val="4DD632D9"/>
    <w:rsid w:val="4DE05D9E"/>
    <w:rsid w:val="4DE05DF9"/>
    <w:rsid w:val="4DE44800"/>
    <w:rsid w:val="4DEE0709"/>
    <w:rsid w:val="4DF26A56"/>
    <w:rsid w:val="4DF47921"/>
    <w:rsid w:val="4DFC14EA"/>
    <w:rsid w:val="4DFF6815"/>
    <w:rsid w:val="4E0A3427"/>
    <w:rsid w:val="4E21623C"/>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AD2009"/>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4601D9"/>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3C1422"/>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3D2C57"/>
    <w:rsid w:val="554B7EF0"/>
    <w:rsid w:val="556F3D99"/>
    <w:rsid w:val="55720837"/>
    <w:rsid w:val="55823A64"/>
    <w:rsid w:val="55860894"/>
    <w:rsid w:val="558F6181"/>
    <w:rsid w:val="55B02DF1"/>
    <w:rsid w:val="55C776C9"/>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C0CFC"/>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B95475"/>
    <w:rsid w:val="59BE0DE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E042E"/>
    <w:rsid w:val="5B585171"/>
    <w:rsid w:val="5B585B78"/>
    <w:rsid w:val="5B6D62B9"/>
    <w:rsid w:val="5B746CFA"/>
    <w:rsid w:val="5B9A2B59"/>
    <w:rsid w:val="5BA652E6"/>
    <w:rsid w:val="5BC0085A"/>
    <w:rsid w:val="5BE03293"/>
    <w:rsid w:val="5BF03D58"/>
    <w:rsid w:val="5BF20AFB"/>
    <w:rsid w:val="5BF957D6"/>
    <w:rsid w:val="5C1A6BB2"/>
    <w:rsid w:val="5C306D31"/>
    <w:rsid w:val="5C37233A"/>
    <w:rsid w:val="5C5355FE"/>
    <w:rsid w:val="5C5A49A5"/>
    <w:rsid w:val="5C6519EA"/>
    <w:rsid w:val="5C6715FE"/>
    <w:rsid w:val="5C6F4105"/>
    <w:rsid w:val="5CBB7F6F"/>
    <w:rsid w:val="5CC248CE"/>
    <w:rsid w:val="5CC826A5"/>
    <w:rsid w:val="5CF1327E"/>
    <w:rsid w:val="5D042FB1"/>
    <w:rsid w:val="5D2D075A"/>
    <w:rsid w:val="5D442CB4"/>
    <w:rsid w:val="5D763E3E"/>
    <w:rsid w:val="5D7C3F11"/>
    <w:rsid w:val="5D971C5A"/>
    <w:rsid w:val="5D9D49E0"/>
    <w:rsid w:val="5DA01E9E"/>
    <w:rsid w:val="5DAD3649"/>
    <w:rsid w:val="5DC310BE"/>
    <w:rsid w:val="5DC32E6C"/>
    <w:rsid w:val="5DDF1821"/>
    <w:rsid w:val="5DE2656A"/>
    <w:rsid w:val="5DEA2F91"/>
    <w:rsid w:val="5DF94AE0"/>
    <w:rsid w:val="5DFA5883"/>
    <w:rsid w:val="5E1E33B9"/>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ED36B3"/>
    <w:rsid w:val="5EFC1390"/>
    <w:rsid w:val="5EFC3EB6"/>
    <w:rsid w:val="5F03335D"/>
    <w:rsid w:val="5F0368C7"/>
    <w:rsid w:val="5F1544E7"/>
    <w:rsid w:val="5F197EE8"/>
    <w:rsid w:val="5F312D8D"/>
    <w:rsid w:val="5F3C4923"/>
    <w:rsid w:val="5F4160B0"/>
    <w:rsid w:val="5F5A7800"/>
    <w:rsid w:val="5F6368E9"/>
    <w:rsid w:val="5F7811D3"/>
    <w:rsid w:val="5F8E1258"/>
    <w:rsid w:val="5F9A65E6"/>
    <w:rsid w:val="5F9B2627"/>
    <w:rsid w:val="5FA66B60"/>
    <w:rsid w:val="5FAC7B1F"/>
    <w:rsid w:val="5FB5266F"/>
    <w:rsid w:val="5FB80E3D"/>
    <w:rsid w:val="5FB831B4"/>
    <w:rsid w:val="5FC8476A"/>
    <w:rsid w:val="5FD40999"/>
    <w:rsid w:val="5FDE2001"/>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646714"/>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636F9A"/>
    <w:rsid w:val="66736112"/>
    <w:rsid w:val="667F5B5B"/>
    <w:rsid w:val="6694262A"/>
    <w:rsid w:val="66990381"/>
    <w:rsid w:val="66B31B01"/>
    <w:rsid w:val="66C15269"/>
    <w:rsid w:val="66CE1E80"/>
    <w:rsid w:val="66E362F9"/>
    <w:rsid w:val="66E47FD9"/>
    <w:rsid w:val="66E520A5"/>
    <w:rsid w:val="66F04175"/>
    <w:rsid w:val="66F127F8"/>
    <w:rsid w:val="66F77C0F"/>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390486"/>
    <w:rsid w:val="694019EC"/>
    <w:rsid w:val="694841AF"/>
    <w:rsid w:val="69584DB4"/>
    <w:rsid w:val="695B5B89"/>
    <w:rsid w:val="696C3D80"/>
    <w:rsid w:val="696D7E94"/>
    <w:rsid w:val="698A5EE4"/>
    <w:rsid w:val="69A753F0"/>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C664D5"/>
    <w:rsid w:val="6CD7423E"/>
    <w:rsid w:val="6CD930DF"/>
    <w:rsid w:val="6CDC1854"/>
    <w:rsid w:val="6CE70FA1"/>
    <w:rsid w:val="6CF05300"/>
    <w:rsid w:val="6CFA6351"/>
    <w:rsid w:val="6CFC3C40"/>
    <w:rsid w:val="6D0668D1"/>
    <w:rsid w:val="6D2F6F7D"/>
    <w:rsid w:val="6D4111A0"/>
    <w:rsid w:val="6D480984"/>
    <w:rsid w:val="6D8079F9"/>
    <w:rsid w:val="6D9143ED"/>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7F5EEB"/>
    <w:rsid w:val="6E8403F6"/>
    <w:rsid w:val="6EAD447C"/>
    <w:rsid w:val="6EAE5472"/>
    <w:rsid w:val="6EBC069A"/>
    <w:rsid w:val="6ECD7F59"/>
    <w:rsid w:val="6ECF449B"/>
    <w:rsid w:val="6ED975CA"/>
    <w:rsid w:val="6EED7C80"/>
    <w:rsid w:val="6EF03395"/>
    <w:rsid w:val="6EF773A4"/>
    <w:rsid w:val="6F174DC6"/>
    <w:rsid w:val="6F1E2E65"/>
    <w:rsid w:val="6F2F2D9E"/>
    <w:rsid w:val="6F411E43"/>
    <w:rsid w:val="6F4147D9"/>
    <w:rsid w:val="6F581F47"/>
    <w:rsid w:val="6F5B0D5A"/>
    <w:rsid w:val="6F5C35EA"/>
    <w:rsid w:val="6F63625D"/>
    <w:rsid w:val="6F6B6A15"/>
    <w:rsid w:val="6F7C10CD"/>
    <w:rsid w:val="6F92269E"/>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B07597"/>
    <w:rsid w:val="73C92407"/>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1C7734"/>
    <w:rsid w:val="7A2F3BBF"/>
    <w:rsid w:val="7A2F459A"/>
    <w:rsid w:val="7A322A39"/>
    <w:rsid w:val="7A517022"/>
    <w:rsid w:val="7A6F5001"/>
    <w:rsid w:val="7A7720A0"/>
    <w:rsid w:val="7A9635B3"/>
    <w:rsid w:val="7A990D85"/>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077"/>
    <w:rsid w:val="7C1052F2"/>
    <w:rsid w:val="7C21292C"/>
    <w:rsid w:val="7C2668D9"/>
    <w:rsid w:val="7C32497F"/>
    <w:rsid w:val="7C3C69AE"/>
    <w:rsid w:val="7C5D5E65"/>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5576E"/>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44741"/>
    <w:rsid w:val="7F3B240A"/>
    <w:rsid w:val="7F4C4618"/>
    <w:rsid w:val="7F4D13A6"/>
    <w:rsid w:val="7F5259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first-child"/>
    <w:basedOn w:val="36"/>
    <w:qFormat/>
    <w:uiPriority w:val="0"/>
  </w:style>
  <w:style w:type="character" w:customStyle="1" w:styleId="98">
    <w:name w:val="hover19"/>
    <w:basedOn w:val="36"/>
    <w:qFormat/>
    <w:uiPriority w:val="0"/>
    <w:rPr>
      <w:color w:val="FFFFFF"/>
    </w:rPr>
  </w:style>
  <w:style w:type="character" w:customStyle="1" w:styleId="99">
    <w:name w:val="hover20"/>
    <w:basedOn w:val="36"/>
    <w:qFormat/>
    <w:uiPriority w:val="0"/>
    <w:rPr>
      <w:color w:val="5FB878"/>
    </w:rPr>
  </w:style>
  <w:style w:type="character" w:customStyle="1" w:styleId="100">
    <w:name w:val="hover21"/>
    <w:basedOn w:val="36"/>
    <w:qFormat/>
    <w:uiPriority w:val="0"/>
    <w:rPr>
      <w:color w:val="5FB878"/>
    </w:rPr>
  </w:style>
  <w:style w:type="character" w:customStyle="1" w:styleId="101">
    <w:name w:val="layui-this4"/>
    <w:basedOn w:val="36"/>
    <w:qFormat/>
    <w:uiPriority w:val="0"/>
    <w:rPr>
      <w:bdr w:val="single" w:color="EEEEEE" w:sz="6" w:space="0"/>
      <w:shd w:val="clear" w:fill="FFFFFF"/>
    </w:rPr>
  </w:style>
  <w:style w:type="character" w:customStyle="1" w:styleId="102">
    <w:name w:val="layui-laypage-curr"/>
    <w:basedOn w:val="36"/>
    <w:qFormat/>
    <w:uiPriority w:val="0"/>
  </w:style>
  <w:style w:type="character" w:customStyle="1" w:styleId="103">
    <w:name w:val="layui-this"/>
    <w:basedOn w:val="3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15238</Words>
  <Characters>16091</Characters>
  <Lines>50</Lines>
  <Paragraphs>68</Paragraphs>
  <TotalTime>1</TotalTime>
  <ScaleCrop>false</ScaleCrop>
  <LinksUpToDate>false</LinksUpToDate>
  <CharactersWithSpaces>17063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2025-10-17T07:43:00Z</cp:lastPrinted>
  <dcterms:modified xsi:type="dcterms:W3CDTF">2025-11-05T08:58:45Z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C31A1CF94C9947BD8311BF36FB203B32_13</vt:lpwstr>
  </property>
  <property fmtid="{D5CDD505-2E9C-101B-9397-08002B2CF9AE}" pid="4" name="KSOTemplateDocerSaveRecord">
    <vt:lpwstr>eyJoZGlkIjoiMzU0MTZjMjFkMjFjOGMwYTIzNWEzZDljNjYxZWI0MmYiLCJ1c2VySWQiOiIxNjg0NTc5MjM2In0=</vt:lpwstr>
  </property>
</Properties>
</file>