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804073"/>
      <w:bookmarkEnd w:id="0"/>
      <w:bookmarkStart w:id="1" w:name="_Toc22953395"/>
      <w:bookmarkEnd w:id="1"/>
    </w:p>
    <w:p w14:paraId="5E42937E">
      <w:pPr>
        <w:pStyle w:val="20"/>
        <w:jc w:val="center"/>
        <w:rPr>
          <w:rStyle w:val="44"/>
          <w:rFonts w:hint="eastAsia"/>
          <w:b/>
          <w:bCs/>
          <w:color w:val="auto"/>
          <w:sz w:val="48"/>
          <w:szCs w:val="48"/>
        </w:rPr>
      </w:pPr>
      <w:r>
        <w:rPr>
          <w:rFonts w:hint="eastAsia"/>
          <w:b/>
          <w:bCs/>
          <w:sz w:val="44"/>
          <w:szCs w:val="44"/>
        </w:rPr>
        <w:t>驻马店市中心医院病房改造提升项目初步设计</w:t>
      </w:r>
    </w:p>
    <w:p w14:paraId="3B211FC4">
      <w:pPr>
        <w:pStyle w:val="20"/>
        <w:jc w:val="center"/>
        <w:rPr>
          <w:rStyle w:val="44"/>
          <w:rFonts w:hint="eastAsia"/>
          <w:b/>
          <w:bCs/>
          <w:color w:val="auto"/>
          <w:sz w:val="48"/>
          <w:szCs w:val="48"/>
        </w:rPr>
      </w:pPr>
    </w:p>
    <w:p w14:paraId="00CC77A0">
      <w:pPr>
        <w:pStyle w:val="20"/>
        <w:jc w:val="center"/>
        <w:rPr>
          <w:rStyle w:val="44"/>
          <w:rFonts w:hint="eastAsia"/>
          <w:b/>
          <w:bCs/>
          <w:color w:val="auto"/>
          <w:sz w:val="44"/>
          <w:szCs w:val="44"/>
        </w:rPr>
      </w:pPr>
      <w:r>
        <w:rPr>
          <w:rStyle w:val="44"/>
          <w:rFonts w:hint="eastAsia"/>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6"/>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1"/>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期：2025年1</w:t>
      </w:r>
      <w:r>
        <w:rPr>
          <w:rFonts w:hint="eastAsia" w:ascii="宋体" w:hAnsi="宋体" w:cs="宋体"/>
          <w:b/>
          <w:bCs/>
          <w:spacing w:val="-10"/>
          <w:sz w:val="34"/>
          <w:szCs w:val="34"/>
          <w:lang w:val="en-US" w:eastAsia="zh-CN"/>
        </w:rPr>
        <w:t>1</w:t>
      </w:r>
      <w:r>
        <w:rPr>
          <w:rFonts w:hint="eastAsia" w:ascii="宋体" w:hAnsi="宋体" w:cs="宋体"/>
          <w:b/>
          <w:bCs/>
          <w:spacing w:val="-10"/>
          <w:sz w:val="34"/>
          <w:szCs w:val="34"/>
        </w:rPr>
        <w:t>月</w:t>
      </w:r>
    </w:p>
    <w:p w14:paraId="3B69E879">
      <w:pPr>
        <w:pStyle w:val="6"/>
        <w:spacing w:before="0" w:after="0" w:line="240" w:lineRule="auto"/>
        <w:ind w:firstLine="2891" w:firstLineChars="800"/>
        <w:rPr>
          <w:rFonts w:hint="eastAsia" w:ascii="宋体" w:hAnsi="宋体" w:eastAsia="宋体" w:cs="宋体"/>
          <w:sz w:val="36"/>
          <w:szCs w:val="36"/>
        </w:rPr>
      </w:pPr>
    </w:p>
    <w:p w14:paraId="69084238">
      <w:pPr>
        <w:sectPr>
          <w:pgSz w:w="11923" w:h="16838"/>
          <w:pgMar w:top="1440" w:right="1080" w:bottom="1440" w:left="1080" w:header="720" w:footer="720" w:gutter="0"/>
          <w:pgNumType w:start="1"/>
          <w:cols w:space="720" w:num="1"/>
          <w:docGrid w:type="lines" w:linePitch="312" w:charSpace="0"/>
        </w:sectPr>
      </w:pPr>
    </w:p>
    <w:p w14:paraId="7CE15D7E">
      <w:pPr>
        <w:rPr>
          <w:rFonts w:hint="eastAsia" w:ascii="宋体" w:hAnsi="宋体" w:cs="宋体"/>
          <w:bCs/>
          <w:sz w:val="24"/>
        </w:rPr>
      </w:pP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042F5A55">
      <w:pPr>
        <w:pStyle w:val="56"/>
        <w:rPr>
          <w:rFonts w:hint="eastAsia"/>
          <w:color w:val="auto"/>
        </w:rPr>
      </w:pPr>
    </w:p>
    <w:p w14:paraId="27A91193">
      <w:pPr>
        <w:pStyle w:val="24"/>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1C13EBB4">
      <w:pPr>
        <w:pStyle w:val="24"/>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3460DD1">
      <w:pPr>
        <w:pStyle w:val="24"/>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14:paraId="718CD1F5">
      <w:pPr>
        <w:pStyle w:val="24"/>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425F8556">
      <w:pPr>
        <w:pStyle w:val="24"/>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658B0C48">
      <w:pPr>
        <w:pStyle w:val="24"/>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26528"/>
      <w:r>
        <w:rPr>
          <w:rFonts w:hint="eastAsia" w:ascii="宋体" w:hAnsi="宋体" w:cs="宋体"/>
          <w:b/>
          <w:sz w:val="32"/>
          <w:szCs w:val="32"/>
        </w:rPr>
        <w:t>第一章  竞争性磋商公告</w:t>
      </w:r>
      <w:bookmarkEnd w:id="2"/>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驻马店市中心医院病房改造提升项目初步设计竞争性磋商公告</w:t>
      </w:r>
    </w:p>
    <w:p w14:paraId="14CF7498">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rPr>
        <w:t>驻马店市中心医院病房改造提升项目初步设计</w:t>
      </w:r>
      <w:r>
        <w:rPr>
          <w:rFonts w:hint="eastAsia" w:ascii="宋体" w:hAnsi="宋体" w:cs="宋体"/>
        </w:rPr>
        <w:t>进行院内竞争性磋商，欢迎符合资格条件的供应商前来报名并</w:t>
      </w:r>
      <w:r>
        <w:rPr>
          <w:rFonts w:hint="eastAsia" w:ascii="宋体" w:hAnsi="宋体" w:cs="宋体"/>
          <w:szCs w:val="21"/>
        </w:rPr>
        <w:t>获取竞争性磋商文件。</w:t>
      </w:r>
    </w:p>
    <w:p w14:paraId="75B899F9">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1、项目名称：驻马店市中心医院病房改造提升项目初步设计；</w:t>
      </w:r>
    </w:p>
    <w:p w14:paraId="4E6C819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、预算金额：48万元；</w:t>
      </w:r>
    </w:p>
    <w:p w14:paraId="2FD8E5A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4、服务期限：30天</w:t>
      </w:r>
    </w:p>
    <w:p w14:paraId="2EEF70E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5、服务质量：符合现行国家、省、市地方相关规范和标准，满足磋商文件规定标准</w:t>
      </w:r>
    </w:p>
    <w:p w14:paraId="32CAB545">
      <w:pPr>
        <w:widowControl/>
        <w:snapToGrid w:val="0"/>
        <w:spacing w:line="324" w:lineRule="auto"/>
        <w:jc w:val="left"/>
        <w:outlineLvl w:val="1"/>
        <w:rPr>
          <w:rFonts w:hint="eastAsia" w:ascii="宋体" w:hAnsi="宋体" w:cs="宋体"/>
          <w:b/>
          <w:bCs/>
          <w:szCs w:val="21"/>
          <w:shd w:val="clear" w:color="auto" w:fill="FFFFFF"/>
        </w:rPr>
      </w:pPr>
      <w:bookmarkStart w:id="4" w:name="_Toc27704"/>
      <w:bookmarkStart w:id="5" w:name="_Toc23626"/>
      <w:bookmarkStart w:id="6" w:name="_Toc16639"/>
      <w:bookmarkStart w:id="7" w:name="_Toc18607"/>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9562"/>
      <w:bookmarkStart w:id="9" w:name="_Toc7823"/>
      <w:bookmarkStart w:id="10" w:name="_Toc30643"/>
      <w:bookmarkStart w:id="11" w:name="_Toc23395"/>
      <w:bookmarkStart w:id="12" w:name="_Toc30971"/>
      <w:r>
        <w:rPr>
          <w:rFonts w:hint="eastAsia" w:ascii="宋体" w:hAnsi="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7、单位负责人为同一人或</w:t>
      </w:r>
      <w:r>
        <w:rPr>
          <w:rFonts w:hint="eastAsia" w:ascii="宋体" w:hAnsi="宋体" w:cs="宋体"/>
          <w:color w:val="auto"/>
          <w:szCs w:val="21"/>
          <w:shd w:val="clear" w:color="auto" w:fill="FFFFFF"/>
        </w:rPr>
        <w:t>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cs="宋体"/>
          <w:color w:val="auto"/>
          <w:szCs w:val="21"/>
          <w:shd w:val="clear" w:color="auto" w:fill="FFFFFF"/>
        </w:rPr>
        <w:t>）。一经发现，将导致投标同时被拒绝。</w:t>
      </w:r>
    </w:p>
    <w:p w14:paraId="2F50DA5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8、本项目特定资格要求：</w:t>
      </w:r>
    </w:p>
    <w:p w14:paraId="4BD577F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bookmarkStart w:id="13" w:name="OLE_LINK7"/>
      <w:r>
        <w:rPr>
          <w:rFonts w:hint="eastAsia" w:ascii="宋体" w:hAnsi="宋体" w:cs="宋体"/>
          <w:color w:val="auto"/>
          <w:szCs w:val="21"/>
          <w:shd w:val="clear" w:color="auto" w:fill="FFFFFF"/>
        </w:rPr>
        <w:t>供应商须具有建设行政主管部门颁发工程设计综合资质甲级或建筑行业(建筑工程)设计甲级资质，并在人员、设备、资金等方面应具有相应的设计能力；拟派项目负责人须具有一级注册建筑师执业资格。</w:t>
      </w:r>
    </w:p>
    <w:bookmarkEnd w:id="13"/>
    <w:p w14:paraId="57687E05">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9、不接受联合体磋商。</w:t>
      </w:r>
    </w:p>
    <w:p w14:paraId="5EB77B9A">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w:t>
      </w:r>
      <w:bookmarkEnd w:id="8"/>
      <w:bookmarkEnd w:id="9"/>
      <w:bookmarkEnd w:id="10"/>
      <w:bookmarkEnd w:id="11"/>
      <w:bookmarkEnd w:id="12"/>
      <w:r>
        <w:rPr>
          <w:rFonts w:hint="eastAsia" w:ascii="宋体" w:hAnsi="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日-2025年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7</w:t>
      </w:r>
      <w:r>
        <w:rPr>
          <w:rFonts w:hint="eastAsia" w:ascii="宋体" w:hAnsi="宋体" w:cs="宋体"/>
          <w:color w:val="auto"/>
          <w:szCs w:val="21"/>
          <w:shd w:val="clear" w:color="auto" w:fill="FFFFFF"/>
        </w:rPr>
        <w:t>日，上午08：00-下午17:30（北京时间，法定节假日除外）。</w:t>
      </w:r>
    </w:p>
    <w:p w14:paraId="685DF8F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凡报名成功的供应商无故不来参与投标的，列入我院黑名单，一年内不得参与我院任何采购活动。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竞争性磋商文件获取方式：供应商须把填写完整的报名登记表及本磋商公告第二项供应商资格要求中需提供加盖单位公章的相关资料扫描件按序排版为PDF格式文件，发送至以下邮箱：</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kern w:val="0"/>
          <w:szCs w:val="21"/>
          <w:shd w:val="clear" w:color="auto" w:fill="FFFFFF"/>
        </w:rPr>
        <w:t>1132414313@qq.com,并标明XX公司</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XX项目报名资料。</w:t>
      </w:r>
    </w:p>
    <w:p w14:paraId="6CDFCB7D">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608E5FA3">
      <w:pPr>
        <w:widowControl/>
        <w:snapToGrid w:val="0"/>
        <w:spacing w:line="324" w:lineRule="auto"/>
        <w:jc w:val="left"/>
        <w:outlineLvl w:val="1"/>
        <w:rPr>
          <w:rFonts w:hint="eastAsia" w:ascii="宋体" w:hAnsi="宋体" w:cs="宋体"/>
          <w:b/>
          <w:bCs/>
          <w:color w:val="auto"/>
          <w:szCs w:val="21"/>
        </w:rPr>
      </w:pPr>
      <w:bookmarkStart w:id="14" w:name="_Toc15111"/>
      <w:bookmarkStart w:id="15" w:name="_Toc27480"/>
      <w:bookmarkStart w:id="16" w:name="_Toc15135"/>
      <w:bookmarkStart w:id="17" w:name="_Toc10738"/>
      <w:bookmarkStart w:id="18" w:name="_Toc25869"/>
      <w:r>
        <w:rPr>
          <w:rFonts w:hint="eastAsia" w:ascii="宋体" w:hAnsi="宋体" w:cs="宋体"/>
          <w:b/>
          <w:bCs/>
          <w:color w:val="auto"/>
          <w:szCs w:val="21"/>
          <w:shd w:val="clear" w:color="auto" w:fill="FFFFFF"/>
        </w:rPr>
        <w:t>四、磋商截止时间及地点</w:t>
      </w:r>
      <w:bookmarkEnd w:id="14"/>
      <w:bookmarkEnd w:id="15"/>
      <w:bookmarkEnd w:id="16"/>
      <w:bookmarkEnd w:id="17"/>
      <w:bookmarkEnd w:id="18"/>
    </w:p>
    <w:p w14:paraId="50F7D95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F59B26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F1CE990">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5339073D">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DD7856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60259CE1">
      <w:pPr>
        <w:widowControl/>
        <w:snapToGrid w:val="0"/>
        <w:spacing w:line="324" w:lineRule="auto"/>
        <w:jc w:val="left"/>
        <w:outlineLvl w:val="1"/>
        <w:rPr>
          <w:rFonts w:hint="eastAsia" w:ascii="宋体" w:hAnsi="宋体" w:cs="宋体"/>
          <w:b/>
          <w:bCs/>
          <w:color w:val="auto"/>
          <w:szCs w:val="21"/>
        </w:rPr>
      </w:pPr>
      <w:bookmarkStart w:id="19" w:name="_Toc20287"/>
      <w:bookmarkStart w:id="20" w:name="_Toc6523"/>
      <w:bookmarkStart w:id="21" w:name="_Toc30918"/>
      <w:bookmarkStart w:id="22" w:name="_Toc29784"/>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9"/>
      <w:bookmarkEnd w:id="20"/>
      <w:bookmarkEnd w:id="21"/>
      <w:bookmarkEnd w:id="22"/>
    </w:p>
    <w:p w14:paraId="1E0043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3" w:name="_Toc35393795"/>
      <w:bookmarkStart w:id="24" w:name="_Toc35393626"/>
    </w:p>
    <w:bookmarkEnd w:id="23"/>
    <w:bookmarkEnd w:id="24"/>
    <w:p w14:paraId="0B1BDEDF">
      <w:pPr>
        <w:widowControl/>
        <w:snapToGrid w:val="0"/>
        <w:spacing w:line="324" w:lineRule="auto"/>
        <w:jc w:val="left"/>
        <w:outlineLvl w:val="1"/>
        <w:rPr>
          <w:rFonts w:hint="eastAsia" w:ascii="宋体" w:hAnsi="宋体" w:cs="宋体"/>
          <w:b/>
          <w:bCs/>
          <w:color w:val="auto"/>
          <w:szCs w:val="21"/>
        </w:rPr>
      </w:pPr>
      <w:bookmarkStart w:id="25" w:name="_Toc3604"/>
      <w:bookmarkStart w:id="26" w:name="_Toc31928"/>
      <w:bookmarkStart w:id="27" w:name="_Toc27370"/>
      <w:bookmarkStart w:id="28" w:name="_Toc24274"/>
      <w:bookmarkStart w:id="29" w:name="_Toc16291"/>
      <w:r>
        <w:rPr>
          <w:rFonts w:hint="eastAsia" w:ascii="宋体" w:hAnsi="宋体" w:cs="宋体"/>
          <w:b/>
          <w:bCs/>
          <w:color w:val="auto"/>
          <w:szCs w:val="21"/>
          <w:shd w:val="clear" w:color="auto" w:fill="FFFFFF"/>
        </w:rPr>
        <w:t>七、</w:t>
      </w:r>
      <w:bookmarkEnd w:id="25"/>
      <w:bookmarkEnd w:id="26"/>
      <w:bookmarkEnd w:id="27"/>
      <w:bookmarkEnd w:id="28"/>
      <w:bookmarkEnd w:id="29"/>
      <w:r>
        <w:rPr>
          <w:rFonts w:hint="eastAsia" w:ascii="宋体" w:hAnsi="宋体" w:cs="宋体"/>
          <w:b/>
          <w:bCs/>
          <w:color w:val="auto"/>
          <w:szCs w:val="21"/>
          <w:shd w:val="clear" w:color="auto" w:fill="FFFFFF"/>
        </w:rPr>
        <w:t>凡对本次招标提出询问，请按照以下方式联系</w:t>
      </w:r>
    </w:p>
    <w:p w14:paraId="4741C5F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41553E7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7E4B61D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2CF4FE1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4DC4D721">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137DE2D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5F74CB8A">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1EB161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15E7C2F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7730773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195A7D3B">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3F830AD6">
      <w:pPr>
        <w:pStyle w:val="29"/>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2025年11月</w:t>
      </w:r>
      <w:r>
        <w:rPr>
          <w:rFonts w:hint="eastAsia" w:ascii="宋体" w:hAnsi="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rPr>
        <w:t>日</w:t>
      </w:r>
    </w:p>
    <w:p w14:paraId="21439BBF">
      <w:pPr>
        <w:rPr>
          <w:rFonts w:hint="eastAsia" w:ascii="宋体" w:hAnsi="宋体" w:cs="宋体"/>
          <w:b/>
          <w:color w:val="auto"/>
          <w:sz w:val="32"/>
          <w:szCs w:val="32"/>
        </w:rPr>
      </w:pPr>
      <w:bookmarkStart w:id="30" w:name="_Toc23793"/>
      <w:bookmarkStart w:id="31" w:name="_Toc29890"/>
      <w:r>
        <w:rPr>
          <w:rFonts w:hint="eastAsia" w:ascii="宋体" w:hAnsi="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2" w:name="_Toc19124"/>
      <w:r>
        <w:rPr>
          <w:rFonts w:hint="eastAsia" w:ascii="宋体" w:hAnsi="宋体" w:cs="宋体"/>
          <w:b/>
          <w:sz w:val="32"/>
          <w:szCs w:val="32"/>
        </w:rPr>
        <w:t>第二章  采购需求</w:t>
      </w:r>
      <w:bookmarkEnd w:id="32"/>
      <w:bookmarkStart w:id="33" w:name="_Toc9989"/>
      <w:bookmarkStart w:id="34" w:name="_Toc31536"/>
      <w:bookmarkStart w:id="35" w:name="_Toc23610"/>
    </w:p>
    <w:bookmarkEnd w:id="30"/>
    <w:bookmarkEnd w:id="31"/>
    <w:bookmarkEnd w:id="33"/>
    <w:bookmarkEnd w:id="34"/>
    <w:bookmarkEnd w:id="35"/>
    <w:p w14:paraId="488CE532">
      <w:pPr>
        <w:rPr>
          <w:rFonts w:hint="eastAsia" w:ascii="宋体" w:hAnsi="宋体" w:cs="宋体"/>
          <w:szCs w:val="21"/>
          <w:shd w:val="clear" w:color="auto" w:fill="FFFFFF"/>
        </w:rPr>
      </w:pPr>
      <w:r>
        <w:rPr>
          <w:rFonts w:hint="eastAsia" w:ascii="宋体" w:hAnsi="宋体" w:cs="宋体"/>
          <w:b/>
          <w:bCs/>
          <w:iCs/>
          <w:szCs w:val="21"/>
        </w:rPr>
        <w:t>一、项目名称：</w:t>
      </w:r>
      <w:r>
        <w:rPr>
          <w:rFonts w:hint="eastAsia" w:ascii="宋体" w:hAnsi="宋体" w:cs="宋体"/>
          <w:szCs w:val="21"/>
          <w:shd w:val="clear" w:color="auto" w:fill="FFFFFF"/>
        </w:rPr>
        <w:t>驻马店市中心医院病房改造提升项目初步设计</w:t>
      </w:r>
    </w:p>
    <w:p w14:paraId="60419DD5">
      <w:pPr>
        <w:rPr>
          <w:rFonts w:hint="eastAsia" w:ascii="宋体" w:hAnsi="宋体" w:cs="宋体"/>
          <w:szCs w:val="21"/>
          <w:shd w:val="clear" w:color="auto" w:fill="FFFFFF"/>
        </w:rPr>
      </w:pPr>
      <w:r>
        <w:rPr>
          <w:rFonts w:hint="eastAsia" w:ascii="宋体" w:hAnsi="宋体" w:cs="宋体"/>
          <w:b/>
          <w:bCs/>
          <w:szCs w:val="21"/>
          <w:shd w:val="clear" w:color="auto" w:fill="FFFFFF"/>
        </w:rPr>
        <w:t>二、项目概况：</w:t>
      </w:r>
      <w:r>
        <w:rPr>
          <w:rFonts w:hint="eastAsia" w:ascii="宋体" w:hAnsi="宋体" w:cs="宋体"/>
          <w:kern w:val="0"/>
          <w:sz w:val="22"/>
          <w:szCs w:val="22"/>
        </w:rPr>
        <w:t>根据驻发改审批〔2024〕72号文件批复内容，驻马店市中心医院病房改造提升项目总投资估算约为8681万元，建设内容主要包括二号病房楼的消防设施改造和整体环境改造，门诊楼、急诊楼的电梯改造和中央空调主机改造，四号病房楼的污水处理站改造和电梯改造，五号病房楼的消防设施改造和整体环境改造，三号病房楼改造，康复分院病房楼改造和采暖系统改造等。</w:t>
      </w:r>
    </w:p>
    <w:p w14:paraId="5050D915">
      <w:pPr>
        <w:rPr>
          <w:rFonts w:hint="eastAsia" w:ascii="宋体" w:hAnsi="宋体" w:cs="宋体"/>
          <w:b/>
          <w:bCs/>
          <w:szCs w:val="21"/>
          <w:shd w:val="clear" w:color="auto" w:fill="FFFFFF"/>
        </w:rPr>
      </w:pPr>
      <w:r>
        <w:rPr>
          <w:rFonts w:hint="eastAsia" w:ascii="宋体" w:hAnsi="宋体" w:cs="宋体"/>
          <w:b/>
          <w:bCs/>
          <w:szCs w:val="21"/>
          <w:shd w:val="clear" w:color="auto" w:fill="FFFFFF"/>
        </w:rPr>
        <w:t>三、采购标的清单：</w:t>
      </w:r>
    </w:p>
    <w:tbl>
      <w:tblPr>
        <w:tblStyle w:val="34"/>
        <w:tblW w:w="881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171"/>
        <w:gridCol w:w="759"/>
        <w:gridCol w:w="1096"/>
        <w:gridCol w:w="1573"/>
        <w:gridCol w:w="1125"/>
        <w:gridCol w:w="1436"/>
      </w:tblGrid>
      <w:tr w14:paraId="7CF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8A4D943">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序号</w:t>
            </w:r>
          </w:p>
        </w:tc>
        <w:tc>
          <w:tcPr>
            <w:tcW w:w="2171" w:type="dxa"/>
            <w:vAlign w:val="center"/>
          </w:tcPr>
          <w:p w14:paraId="772FC8FC">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标的名称</w:t>
            </w:r>
          </w:p>
        </w:tc>
        <w:tc>
          <w:tcPr>
            <w:tcW w:w="759" w:type="dxa"/>
            <w:vAlign w:val="center"/>
          </w:tcPr>
          <w:p w14:paraId="7F3E7017">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单位</w:t>
            </w:r>
          </w:p>
        </w:tc>
        <w:tc>
          <w:tcPr>
            <w:tcW w:w="1096" w:type="dxa"/>
            <w:vAlign w:val="center"/>
          </w:tcPr>
          <w:p w14:paraId="195F2F0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数量</w:t>
            </w:r>
          </w:p>
        </w:tc>
        <w:tc>
          <w:tcPr>
            <w:tcW w:w="1573" w:type="dxa"/>
            <w:vAlign w:val="center"/>
          </w:tcPr>
          <w:p w14:paraId="739AC43A">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资金预算</w:t>
            </w:r>
          </w:p>
        </w:tc>
        <w:tc>
          <w:tcPr>
            <w:tcW w:w="1125" w:type="dxa"/>
            <w:vAlign w:val="center"/>
          </w:tcPr>
          <w:p w14:paraId="1366CBE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资金</w:t>
            </w:r>
          </w:p>
          <w:p w14:paraId="69A80BF1">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性质</w:t>
            </w:r>
          </w:p>
        </w:tc>
        <w:tc>
          <w:tcPr>
            <w:tcW w:w="1436" w:type="dxa"/>
            <w:vAlign w:val="center"/>
          </w:tcPr>
          <w:p w14:paraId="6EDF05E6">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国产/进口</w:t>
            </w:r>
          </w:p>
        </w:tc>
      </w:tr>
      <w:tr w14:paraId="244A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1" w:type="dxa"/>
            <w:vAlign w:val="center"/>
          </w:tcPr>
          <w:p w14:paraId="725774D4">
            <w:pPr>
              <w:jc w:val="center"/>
              <w:rPr>
                <w:rFonts w:hint="eastAsia" w:ascii="宋体" w:hAnsi="宋体" w:cs="宋体"/>
                <w:szCs w:val="21"/>
                <w:shd w:val="clear" w:color="auto" w:fill="FFFFFF"/>
              </w:rPr>
            </w:pPr>
            <w:r>
              <w:rPr>
                <w:rFonts w:hint="eastAsia" w:ascii="宋体" w:hAnsi="宋体" w:cs="宋体"/>
                <w:szCs w:val="21"/>
                <w:shd w:val="clear" w:color="auto" w:fill="FFFFFF"/>
              </w:rPr>
              <w:t>1</w:t>
            </w:r>
          </w:p>
        </w:tc>
        <w:tc>
          <w:tcPr>
            <w:tcW w:w="2171" w:type="dxa"/>
            <w:vAlign w:val="center"/>
          </w:tcPr>
          <w:p w14:paraId="2029E579">
            <w:pPr>
              <w:jc w:val="center"/>
              <w:rPr>
                <w:rFonts w:hint="eastAsia" w:ascii="宋体" w:hAnsi="宋体" w:cs="宋体"/>
                <w:szCs w:val="21"/>
                <w:shd w:val="clear" w:color="auto" w:fill="FFFFFF"/>
              </w:rPr>
            </w:pPr>
            <w:r>
              <w:rPr>
                <w:rFonts w:hint="eastAsia" w:ascii="宋体" w:hAnsi="宋体" w:cs="宋体"/>
                <w:szCs w:val="21"/>
                <w:shd w:val="clear" w:color="auto" w:fill="FFFFFF"/>
              </w:rPr>
              <w:t>病房改造提升项目初步设计</w:t>
            </w:r>
          </w:p>
        </w:tc>
        <w:tc>
          <w:tcPr>
            <w:tcW w:w="759" w:type="dxa"/>
            <w:vAlign w:val="center"/>
          </w:tcPr>
          <w:p w14:paraId="02552190">
            <w:pPr>
              <w:jc w:val="center"/>
              <w:rPr>
                <w:rFonts w:hint="eastAsia" w:ascii="宋体" w:hAnsi="宋体" w:cs="宋体"/>
                <w:szCs w:val="21"/>
                <w:shd w:val="clear" w:color="auto" w:fill="FFFFFF"/>
              </w:rPr>
            </w:pPr>
            <w:r>
              <w:rPr>
                <w:rFonts w:hint="eastAsia" w:ascii="宋体" w:hAnsi="宋体" w:cs="宋体"/>
                <w:szCs w:val="21"/>
                <w:shd w:val="clear" w:color="auto" w:fill="FFFFFF"/>
              </w:rPr>
              <w:t>项</w:t>
            </w:r>
          </w:p>
        </w:tc>
        <w:tc>
          <w:tcPr>
            <w:tcW w:w="1096" w:type="dxa"/>
            <w:vAlign w:val="center"/>
          </w:tcPr>
          <w:p w14:paraId="16F5332F">
            <w:pPr>
              <w:jc w:val="center"/>
              <w:rPr>
                <w:rFonts w:hint="eastAsia" w:ascii="宋体" w:hAnsi="宋体" w:cs="宋体"/>
                <w:szCs w:val="21"/>
                <w:shd w:val="clear" w:color="auto" w:fill="FFFFFF"/>
              </w:rPr>
            </w:pPr>
            <w:r>
              <w:rPr>
                <w:rFonts w:hint="eastAsia" w:ascii="宋体" w:hAnsi="宋体" w:cs="宋体"/>
                <w:szCs w:val="21"/>
                <w:shd w:val="clear" w:color="auto" w:fill="FFFFFF"/>
              </w:rPr>
              <w:t>1</w:t>
            </w:r>
          </w:p>
        </w:tc>
        <w:tc>
          <w:tcPr>
            <w:tcW w:w="1573" w:type="dxa"/>
            <w:vAlign w:val="center"/>
          </w:tcPr>
          <w:p w14:paraId="57B94973">
            <w:pPr>
              <w:ind w:firstLine="210" w:firstLineChars="100"/>
              <w:jc w:val="center"/>
              <w:rPr>
                <w:rFonts w:hint="eastAsia" w:ascii="宋体" w:hAnsi="宋体" w:cs="宋体"/>
                <w:szCs w:val="21"/>
                <w:shd w:val="clear" w:color="auto" w:fill="FFFFFF"/>
              </w:rPr>
            </w:pPr>
            <w:r>
              <w:rPr>
                <w:rFonts w:hint="eastAsia" w:ascii="宋体" w:hAnsi="宋体" w:cs="宋体"/>
                <w:szCs w:val="21"/>
                <w:shd w:val="clear" w:color="auto" w:fill="FFFFFF"/>
              </w:rPr>
              <w:t>48万元</w:t>
            </w:r>
          </w:p>
        </w:tc>
        <w:tc>
          <w:tcPr>
            <w:tcW w:w="1125" w:type="dxa"/>
            <w:vAlign w:val="center"/>
          </w:tcPr>
          <w:p w14:paraId="7A43942B">
            <w:pPr>
              <w:ind w:firstLine="210" w:firstLineChars="100"/>
              <w:jc w:val="center"/>
              <w:rPr>
                <w:rFonts w:hint="eastAsia" w:ascii="宋体" w:hAnsi="宋体" w:cs="宋体"/>
                <w:szCs w:val="21"/>
                <w:shd w:val="clear" w:color="auto" w:fill="FFFFFF"/>
              </w:rPr>
            </w:pPr>
            <w:r>
              <w:rPr>
                <w:rFonts w:hint="eastAsia" w:ascii="宋体" w:hAnsi="宋体" w:cs="宋体"/>
                <w:szCs w:val="21"/>
                <w:shd w:val="clear" w:color="auto" w:fill="FFFFFF"/>
              </w:rPr>
              <w:t>自筹</w:t>
            </w:r>
          </w:p>
        </w:tc>
        <w:tc>
          <w:tcPr>
            <w:tcW w:w="1436" w:type="dxa"/>
            <w:vAlign w:val="center"/>
          </w:tcPr>
          <w:p w14:paraId="0D983C32">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w:t>
            </w:r>
          </w:p>
        </w:tc>
      </w:tr>
      <w:tr w14:paraId="1F3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1" w:type="dxa"/>
            <w:vAlign w:val="center"/>
          </w:tcPr>
          <w:p w14:paraId="46E1BF4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合计</w:t>
            </w:r>
          </w:p>
        </w:tc>
        <w:tc>
          <w:tcPr>
            <w:tcW w:w="2166" w:type="dxa"/>
            <w:vAlign w:val="center"/>
          </w:tcPr>
          <w:p w14:paraId="5D72C1F4">
            <w:pPr>
              <w:jc w:val="center"/>
              <w:rPr>
                <w:rFonts w:hint="eastAsia" w:ascii="宋体" w:hAnsi="宋体" w:cs="宋体"/>
                <w:b/>
                <w:bCs/>
                <w:szCs w:val="21"/>
                <w:shd w:val="clear" w:color="auto" w:fill="FFFFFF"/>
              </w:rPr>
            </w:pPr>
          </w:p>
        </w:tc>
        <w:tc>
          <w:tcPr>
            <w:tcW w:w="759" w:type="dxa"/>
            <w:vAlign w:val="center"/>
          </w:tcPr>
          <w:p w14:paraId="1687A754">
            <w:pPr>
              <w:jc w:val="center"/>
              <w:rPr>
                <w:rFonts w:hint="eastAsia" w:ascii="宋体" w:hAnsi="宋体" w:cs="宋体"/>
                <w:b/>
                <w:bCs/>
                <w:szCs w:val="21"/>
                <w:shd w:val="clear" w:color="auto" w:fill="FFFFFF"/>
              </w:rPr>
            </w:pPr>
          </w:p>
        </w:tc>
        <w:tc>
          <w:tcPr>
            <w:tcW w:w="1096" w:type="dxa"/>
            <w:vAlign w:val="center"/>
          </w:tcPr>
          <w:p w14:paraId="6D2AF464">
            <w:pPr>
              <w:jc w:val="center"/>
              <w:rPr>
                <w:rFonts w:hint="eastAsia" w:ascii="宋体" w:hAnsi="宋体" w:cs="宋体"/>
                <w:b/>
                <w:bCs/>
                <w:szCs w:val="21"/>
                <w:shd w:val="clear" w:color="auto" w:fill="FFFFFF"/>
              </w:rPr>
            </w:pPr>
          </w:p>
        </w:tc>
        <w:tc>
          <w:tcPr>
            <w:tcW w:w="1573" w:type="dxa"/>
            <w:vAlign w:val="center"/>
          </w:tcPr>
          <w:p w14:paraId="23EE86FB">
            <w:pPr>
              <w:ind w:firstLine="420" w:firstLineChars="200"/>
              <w:rPr>
                <w:rFonts w:hint="eastAsia" w:ascii="宋体" w:hAnsi="宋体" w:cs="宋体"/>
                <w:b/>
                <w:bCs/>
                <w:szCs w:val="21"/>
                <w:shd w:val="clear" w:color="auto" w:fill="FFFFFF"/>
              </w:rPr>
            </w:pPr>
            <w:r>
              <w:rPr>
                <w:rFonts w:hint="eastAsia" w:ascii="宋体" w:hAnsi="宋体" w:cs="宋体"/>
                <w:szCs w:val="21"/>
                <w:shd w:val="clear" w:color="auto" w:fill="FFFFFF"/>
              </w:rPr>
              <w:t>48万元</w:t>
            </w:r>
          </w:p>
        </w:tc>
        <w:tc>
          <w:tcPr>
            <w:tcW w:w="1125" w:type="dxa"/>
            <w:vAlign w:val="center"/>
          </w:tcPr>
          <w:p w14:paraId="10BD1F55">
            <w:pPr>
              <w:rPr>
                <w:rFonts w:hint="eastAsia" w:ascii="宋体" w:hAnsi="宋体" w:cs="宋体"/>
                <w:b/>
                <w:bCs/>
                <w:szCs w:val="21"/>
                <w:shd w:val="clear" w:color="auto" w:fill="FFFFFF"/>
              </w:rPr>
            </w:pPr>
          </w:p>
        </w:tc>
        <w:tc>
          <w:tcPr>
            <w:tcW w:w="1436" w:type="dxa"/>
            <w:vAlign w:val="center"/>
          </w:tcPr>
          <w:p w14:paraId="4267B2AE">
            <w:pPr>
              <w:rPr>
                <w:rFonts w:hint="eastAsia" w:ascii="宋体" w:hAnsi="宋体" w:cs="宋体"/>
                <w:b/>
                <w:bCs/>
                <w:szCs w:val="21"/>
                <w:shd w:val="clear" w:color="auto" w:fill="FFFFFF"/>
              </w:rPr>
            </w:pPr>
          </w:p>
        </w:tc>
      </w:tr>
    </w:tbl>
    <w:p w14:paraId="4015D54F">
      <w:pPr>
        <w:rPr>
          <w:b/>
          <w:bCs/>
        </w:rPr>
      </w:pPr>
    </w:p>
    <w:p w14:paraId="20A5028E">
      <w:pPr>
        <w:rPr>
          <w:b/>
          <w:bCs/>
        </w:rPr>
      </w:pPr>
      <w:r>
        <w:rPr>
          <w:rFonts w:hint="eastAsia"/>
          <w:b/>
          <w:bCs/>
        </w:rPr>
        <w:t xml:space="preserve">四、技术要求 </w:t>
      </w:r>
    </w:p>
    <w:p w14:paraId="755FC6AB">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1.设计范围包括初步设计方案及初步设计概算。</w:t>
      </w:r>
    </w:p>
    <w:p w14:paraId="76557A17">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2.应当按照国家、行业和地方现行法律、法规、规章制度、规范及标准要求进行设计。设计成果应当满足采购人要求，同时需要通过相关职能部门的审批专业机构的审查。</w:t>
      </w:r>
    </w:p>
    <w:p w14:paraId="4839BAD1">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3.应当满足采购人提出的各项合理要求。成果要求:最终提交初步设计方案纸质文件6套(加盖供应商出图章),初步设计概算纸质文件2套(加盖供应商出图章)，电子文件光盘2套。</w:t>
      </w:r>
    </w:p>
    <w:p w14:paraId="69C0C482">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4.保密要求:本项目设计过程中所涉及的所有信息资料及所产生的成果的所有权归采购人所有，未经采购人书面允许不得将信息资料透露给第三方，否则采购人有权追究其法律责任。</w:t>
      </w:r>
    </w:p>
    <w:p w14:paraId="233F8E3D">
      <w:pPr>
        <w:widowControl/>
        <w:snapToGrid w:val="0"/>
        <w:spacing w:line="360" w:lineRule="auto"/>
        <w:ind w:firstLine="440" w:firstLineChars="200"/>
        <w:rPr>
          <w:rFonts w:hint="eastAsia" w:ascii="宋体" w:hAnsi="宋体" w:cs="宋体"/>
          <w:sz w:val="22"/>
          <w:szCs w:val="28"/>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 w:val="22"/>
          <w:szCs w:val="28"/>
        </w:rPr>
        <w:t>5.服务过程中保证安全生产，如有安全事故，其造成的伤害事故及一切经济损失，由中标方承担全责。</w:t>
      </w:r>
    </w:p>
    <w:p w14:paraId="584079EC">
      <w:pPr>
        <w:widowControl/>
        <w:snapToGrid w:val="0"/>
        <w:spacing w:line="360" w:lineRule="auto"/>
        <w:ind w:firstLine="440" w:firstLineChars="200"/>
        <w:rPr>
          <w:rFonts w:hint="eastAsia" w:ascii="宋体" w:hAnsi="宋体" w:cs="宋体"/>
          <w:sz w:val="22"/>
          <w:szCs w:val="28"/>
        </w:rPr>
      </w:pPr>
    </w:p>
    <w:p w14:paraId="3C9242AE">
      <w:pPr>
        <w:ind w:firstLine="420"/>
        <w:jc w:val="center"/>
        <w:rPr>
          <w:rFonts w:hint="eastAsia" w:ascii="宋体" w:hAnsi="宋体" w:cs="宋体"/>
          <w:b/>
          <w:bCs/>
          <w:sz w:val="30"/>
          <w:szCs w:val="30"/>
        </w:rPr>
      </w:pPr>
      <w:r>
        <w:rPr>
          <w:rFonts w:hint="eastAsia" w:ascii="宋体" w:hAnsi="宋体" w:cs="宋体"/>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7871"/>
      </w:tblGrid>
      <w:tr w14:paraId="25F4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214CEEC">
            <w:pPr>
              <w:widowControl/>
              <w:spacing w:line="360" w:lineRule="exact"/>
              <w:jc w:val="center"/>
              <w:rPr>
                <w:rFonts w:hint="eastAsia" w:ascii="宋体" w:hAnsi="宋体" w:cs="宋体"/>
                <w:kern w:val="0"/>
                <w:szCs w:val="21"/>
              </w:rPr>
            </w:pPr>
            <w:r>
              <w:rPr>
                <w:rFonts w:hint="eastAsia" w:ascii="宋体" w:hAnsi="宋体" w:cs="宋体"/>
                <w:kern w:val="0"/>
                <w:szCs w:val="21"/>
              </w:rPr>
              <w:t>服务质量</w:t>
            </w:r>
          </w:p>
        </w:tc>
        <w:tc>
          <w:tcPr>
            <w:tcW w:w="7871" w:type="dxa"/>
            <w:tcBorders>
              <w:top w:val="single" w:color="auto" w:sz="4" w:space="0"/>
              <w:left w:val="single" w:color="auto" w:sz="4" w:space="0"/>
              <w:bottom w:val="single" w:color="auto" w:sz="4" w:space="0"/>
              <w:right w:val="single" w:color="auto" w:sz="4" w:space="0"/>
            </w:tcBorders>
            <w:noWrap/>
            <w:vAlign w:val="center"/>
          </w:tcPr>
          <w:p w14:paraId="0353190B">
            <w:pPr>
              <w:widowControl/>
              <w:spacing w:line="360" w:lineRule="exact"/>
              <w:rPr>
                <w:rFonts w:hint="eastAsia" w:ascii="宋体" w:hAnsi="宋体" w:cs="宋体"/>
                <w:kern w:val="0"/>
                <w:szCs w:val="21"/>
              </w:rPr>
            </w:pPr>
            <w:r>
              <w:rPr>
                <w:rFonts w:hint="eastAsia" w:ascii="宋体" w:hAnsi="宋体" w:cs="宋体"/>
                <w:kern w:val="0"/>
                <w:szCs w:val="21"/>
              </w:rPr>
              <w:t>符合现行国家、省、市地方相关规范和标准，满足磋商文件规定标准</w:t>
            </w:r>
          </w:p>
        </w:tc>
      </w:tr>
      <w:tr w14:paraId="7F0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AD20591">
            <w:pPr>
              <w:widowControl/>
              <w:spacing w:line="360" w:lineRule="exact"/>
              <w:jc w:val="center"/>
              <w:rPr>
                <w:rFonts w:hint="eastAsia" w:ascii="宋体" w:hAnsi="宋体" w:cs="宋体"/>
                <w:kern w:val="0"/>
                <w:szCs w:val="21"/>
              </w:rPr>
            </w:pPr>
            <w:r>
              <w:rPr>
                <w:rFonts w:hint="eastAsia" w:ascii="宋体" w:hAnsi="宋体" w:cs="宋体"/>
                <w:kern w:val="0"/>
                <w:szCs w:val="21"/>
              </w:rPr>
              <w:t>服务期限</w:t>
            </w:r>
          </w:p>
        </w:tc>
        <w:tc>
          <w:tcPr>
            <w:tcW w:w="7871" w:type="dxa"/>
            <w:tcBorders>
              <w:top w:val="single" w:color="auto" w:sz="4" w:space="0"/>
              <w:left w:val="single" w:color="auto" w:sz="4" w:space="0"/>
              <w:bottom w:val="single" w:color="auto" w:sz="4" w:space="0"/>
              <w:right w:val="single" w:color="auto" w:sz="4" w:space="0"/>
            </w:tcBorders>
            <w:noWrap/>
            <w:vAlign w:val="center"/>
          </w:tcPr>
          <w:p w14:paraId="562C5D7F">
            <w:pPr>
              <w:widowControl/>
              <w:spacing w:line="360" w:lineRule="exact"/>
              <w:rPr>
                <w:rFonts w:hint="eastAsia" w:ascii="宋体" w:hAnsi="宋体" w:cs="宋体"/>
                <w:kern w:val="0"/>
                <w:szCs w:val="21"/>
              </w:rPr>
            </w:pPr>
            <w:r>
              <w:rPr>
                <w:rFonts w:hint="eastAsia" w:ascii="宋体" w:hAnsi="宋体" w:cs="宋体"/>
                <w:szCs w:val="21"/>
                <w:shd w:val="clear" w:color="auto" w:fill="FFFFFF"/>
              </w:rPr>
              <w:t>服务期限要求30天，响应院方服务期限要求，若承诺的期限内不能按时完成，按合同约定进行处罚。</w:t>
            </w:r>
          </w:p>
        </w:tc>
      </w:tr>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7FB07336">
            <w:pPr>
              <w:pStyle w:val="15"/>
              <w:jc w:val="center"/>
              <w:rPr>
                <w:rFonts w:hint="eastAsia"/>
                <w:sz w:val="21"/>
                <w:szCs w:val="21"/>
              </w:rPr>
            </w:pPr>
            <w:r>
              <w:rPr>
                <w:rFonts w:hint="eastAsia"/>
                <w:sz w:val="21"/>
                <w:szCs w:val="21"/>
              </w:rPr>
              <w:t>支付方式</w:t>
            </w:r>
          </w:p>
        </w:tc>
        <w:tc>
          <w:tcPr>
            <w:tcW w:w="7871" w:type="dxa"/>
            <w:tcBorders>
              <w:top w:val="single" w:color="auto" w:sz="4" w:space="0"/>
              <w:left w:val="single" w:color="auto" w:sz="4" w:space="0"/>
              <w:bottom w:val="single" w:color="auto" w:sz="4" w:space="0"/>
              <w:right w:val="single" w:color="auto" w:sz="4" w:space="0"/>
            </w:tcBorders>
            <w:noWrap/>
            <w:vAlign w:val="center"/>
          </w:tcPr>
          <w:p w14:paraId="2F40D1A2">
            <w:pPr>
              <w:pStyle w:val="15"/>
              <w:rPr>
                <w:rFonts w:hint="eastAsia"/>
                <w:szCs w:val="21"/>
                <w:shd w:val="clear" w:color="auto" w:fill="FFFFFF"/>
              </w:rPr>
            </w:pPr>
            <w:r>
              <w:rPr>
                <w:rFonts w:hint="eastAsia"/>
                <w:sz w:val="21"/>
                <w:szCs w:val="21"/>
              </w:rPr>
              <w:t>以合同约定为准。</w:t>
            </w:r>
          </w:p>
        </w:tc>
      </w:tr>
      <w:tr w14:paraId="35E8F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C8C9CDF">
            <w:pPr>
              <w:pStyle w:val="15"/>
              <w:jc w:val="center"/>
              <w:rPr>
                <w:rFonts w:hint="eastAsia"/>
                <w:sz w:val="21"/>
                <w:szCs w:val="21"/>
              </w:rPr>
            </w:pPr>
            <w:r>
              <w:rPr>
                <w:rFonts w:hint="eastAsia"/>
                <w:sz w:val="21"/>
                <w:szCs w:val="21"/>
              </w:rPr>
              <w:t>服务地点</w:t>
            </w:r>
          </w:p>
        </w:tc>
        <w:tc>
          <w:tcPr>
            <w:tcW w:w="7871" w:type="dxa"/>
            <w:tcBorders>
              <w:top w:val="single" w:color="auto" w:sz="4" w:space="0"/>
              <w:left w:val="single" w:color="auto" w:sz="4" w:space="0"/>
              <w:bottom w:val="single" w:color="auto" w:sz="4" w:space="0"/>
              <w:right w:val="single" w:color="auto" w:sz="4" w:space="0"/>
            </w:tcBorders>
            <w:noWrap/>
            <w:vAlign w:val="center"/>
          </w:tcPr>
          <w:p w14:paraId="196AEBE8">
            <w:pPr>
              <w:pStyle w:val="15"/>
              <w:rPr>
                <w:rFonts w:hint="eastAsia"/>
                <w:sz w:val="21"/>
                <w:szCs w:val="21"/>
              </w:rPr>
            </w:pPr>
            <w:r>
              <w:rPr>
                <w:rFonts w:hint="eastAsia"/>
                <w:sz w:val="21"/>
                <w:szCs w:val="21"/>
              </w:rPr>
              <w:t>采购人指点地点（驻马店市中心医院）。</w:t>
            </w:r>
          </w:p>
        </w:tc>
      </w:tr>
    </w:tbl>
    <w:p w14:paraId="451B4D41">
      <w:pPr>
        <w:snapToGrid w:val="0"/>
        <w:spacing w:before="159" w:beforeLines="50" w:line="360" w:lineRule="auto"/>
        <w:jc w:val="center"/>
        <w:rPr>
          <w:rFonts w:hint="eastAsia" w:ascii="宋体" w:hAnsi="宋体" w:cs="宋体"/>
          <w:b/>
          <w:bCs/>
          <w:sz w:val="30"/>
          <w:szCs w:val="30"/>
        </w:rPr>
      </w:pPr>
    </w:p>
    <w:p w14:paraId="436F927A">
      <w:pPr>
        <w:snapToGrid w:val="0"/>
        <w:spacing w:before="159" w:beforeLines="50" w:line="360" w:lineRule="auto"/>
        <w:jc w:val="center"/>
        <w:rPr>
          <w:rFonts w:hint="eastAsia" w:ascii="宋体" w:hAnsi="宋体" w:cs="宋体"/>
          <w:b/>
          <w:bCs/>
          <w:sz w:val="30"/>
          <w:szCs w:val="30"/>
        </w:rPr>
      </w:pPr>
    </w:p>
    <w:p w14:paraId="2A532053">
      <w:pPr>
        <w:snapToGrid w:val="0"/>
        <w:spacing w:before="159" w:beforeLines="50" w:line="360" w:lineRule="auto"/>
        <w:jc w:val="center"/>
        <w:rPr>
          <w:rFonts w:hint="eastAsia" w:ascii="宋体" w:hAnsi="宋体" w:cs="宋体"/>
          <w:b/>
          <w:bCs/>
          <w:sz w:val="30"/>
          <w:szCs w:val="30"/>
        </w:rPr>
      </w:pPr>
      <w:r>
        <w:rPr>
          <w:rFonts w:hint="eastAsia" w:ascii="宋体" w:hAnsi="宋体" w:cs="宋体"/>
          <w:b/>
          <w:bCs/>
          <w:sz w:val="30"/>
          <w:szCs w:val="30"/>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854E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20BC70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8DE2358">
            <w:pPr>
              <w:widowControl/>
              <w:numPr>
                <w:ilvl w:val="0"/>
                <w:numId w:val="1"/>
              </w:numPr>
              <w:snapToGrid w:val="0"/>
              <w:spacing w:line="360" w:lineRule="auto"/>
              <w:rPr>
                <w:rFonts w:hint="eastAsia" w:ascii="宋体" w:hAnsi="宋体" w:cs="宋体"/>
              </w:rPr>
            </w:pPr>
            <w:r>
              <w:rPr>
                <w:rFonts w:hint="eastAsia" w:ascii="宋体" w:hAnsi="宋体" w:cs="宋体"/>
              </w:rPr>
              <w:t>不接受联合体投标，不允许转包和分包。</w:t>
            </w:r>
          </w:p>
          <w:p w14:paraId="6CFEA05D">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7F5AEEDE">
            <w:pPr>
              <w:widowControl/>
              <w:snapToGrid w:val="0"/>
              <w:spacing w:line="360" w:lineRule="auto"/>
              <w:rPr>
                <w:rFonts w:hint="eastAsia" w:ascii="宋体" w:hAnsi="宋体" w:cs="宋体"/>
              </w:rPr>
            </w:pPr>
            <w:r>
              <w:rPr>
                <w:rFonts w:hint="eastAsia" w:ascii="宋体" w:hAnsi="宋体" w:cs="宋体"/>
              </w:rPr>
              <w:t>3、供应商应根据竞争性磋商文件的要求提供技术响应部分、商务响应部分等内容以对竞争性磋商文件作出响应。</w:t>
            </w:r>
          </w:p>
          <w:p w14:paraId="5E8AA7D1">
            <w:pPr>
              <w:widowControl/>
              <w:snapToGrid w:val="0"/>
              <w:spacing w:line="360" w:lineRule="auto"/>
              <w:rPr>
                <w:rFonts w:hint="eastAsia" w:ascii="宋体" w:hAnsi="宋体" w:cs="宋体"/>
              </w:rPr>
            </w:pPr>
            <w:r>
              <w:rPr>
                <w:rFonts w:hint="eastAsia" w:ascii="宋体" w:hAnsi="宋体" w:cs="宋体"/>
              </w:rPr>
              <w:t>4、</w:t>
            </w:r>
            <w:r>
              <w:rPr>
                <w:rFonts w:hint="eastAsia"/>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D8003AE">
      <w:pPr>
        <w:rPr>
          <w:rFonts w:hint="eastAsia" w:ascii="宋体" w:hAnsi="宋体" w:cs="宋体"/>
        </w:rPr>
      </w:pPr>
    </w:p>
    <w:p w14:paraId="731A083E">
      <w:pPr>
        <w:jc w:val="center"/>
        <w:outlineLvl w:val="0"/>
        <w:rPr>
          <w:rFonts w:hint="eastAsia" w:ascii="宋体" w:hAnsi="宋体" w:cs="宋体"/>
          <w:b/>
          <w:bCs/>
          <w:sz w:val="32"/>
          <w:szCs w:val="32"/>
        </w:rPr>
      </w:pPr>
      <w:bookmarkStart w:id="36" w:name="_Toc8501"/>
    </w:p>
    <w:p w14:paraId="48BB3127">
      <w:pPr>
        <w:jc w:val="center"/>
        <w:outlineLvl w:val="0"/>
        <w:rPr>
          <w:rFonts w:hint="eastAsia" w:ascii="宋体" w:hAnsi="宋体" w:cs="宋体"/>
          <w:b/>
          <w:bCs/>
          <w:sz w:val="32"/>
          <w:szCs w:val="32"/>
        </w:rPr>
      </w:pPr>
    </w:p>
    <w:p w14:paraId="50597E1B">
      <w:pPr>
        <w:jc w:val="center"/>
        <w:outlineLvl w:val="0"/>
        <w:rPr>
          <w:rFonts w:hint="eastAsia" w:ascii="宋体" w:hAnsi="宋体" w:cs="宋体"/>
          <w:b/>
          <w:bCs/>
          <w:sz w:val="32"/>
          <w:szCs w:val="32"/>
        </w:rPr>
      </w:pPr>
    </w:p>
    <w:p w14:paraId="1447C2F4">
      <w:pPr>
        <w:jc w:val="center"/>
        <w:outlineLvl w:val="0"/>
        <w:rPr>
          <w:rFonts w:hint="eastAsia" w:ascii="宋体" w:hAnsi="宋体" w:cs="宋体"/>
          <w:b/>
          <w:bCs/>
          <w:sz w:val="32"/>
          <w:szCs w:val="32"/>
        </w:rPr>
      </w:pPr>
    </w:p>
    <w:p w14:paraId="200EC8C2">
      <w:pPr>
        <w:jc w:val="center"/>
        <w:outlineLvl w:val="0"/>
        <w:rPr>
          <w:rFonts w:hint="eastAsia" w:ascii="宋体" w:hAnsi="宋体" w:cs="宋体"/>
          <w:b/>
          <w:bCs/>
          <w:sz w:val="32"/>
          <w:szCs w:val="32"/>
        </w:rPr>
      </w:pPr>
    </w:p>
    <w:p w14:paraId="72388434">
      <w:pPr>
        <w:jc w:val="center"/>
        <w:outlineLvl w:val="0"/>
        <w:rPr>
          <w:rFonts w:hint="eastAsia" w:ascii="宋体" w:hAnsi="宋体" w:cs="宋体"/>
          <w:b/>
          <w:bCs/>
          <w:sz w:val="32"/>
          <w:szCs w:val="32"/>
        </w:rPr>
      </w:pPr>
    </w:p>
    <w:p w14:paraId="7D34B4E6">
      <w:pPr>
        <w:jc w:val="center"/>
        <w:outlineLvl w:val="0"/>
        <w:rPr>
          <w:rFonts w:hint="eastAsia" w:ascii="宋体" w:hAnsi="宋体" w:cs="宋体"/>
          <w:b/>
          <w:bCs/>
          <w:sz w:val="32"/>
          <w:szCs w:val="32"/>
        </w:rPr>
      </w:pPr>
    </w:p>
    <w:p w14:paraId="6A0CDF0D">
      <w:pPr>
        <w:jc w:val="center"/>
        <w:outlineLvl w:val="0"/>
        <w:rPr>
          <w:rFonts w:hint="eastAsia" w:ascii="宋体" w:hAnsi="宋体" w:cs="宋体"/>
          <w:b/>
          <w:bCs/>
          <w:sz w:val="32"/>
          <w:szCs w:val="32"/>
        </w:rPr>
      </w:pPr>
      <w:r>
        <w:rPr>
          <w:rFonts w:hint="eastAsia" w:ascii="宋体" w:hAnsi="宋体" w:cs="宋体"/>
          <w:b/>
          <w:bCs/>
          <w:sz w:val="32"/>
          <w:szCs w:val="32"/>
        </w:rPr>
        <w:t>第三章  供应商须知</w:t>
      </w:r>
      <w:bookmarkEnd w:id="36"/>
    </w:p>
    <w:p w14:paraId="0AD5ED89">
      <w:pPr>
        <w:snapToGrid w:val="0"/>
        <w:spacing w:before="159" w:beforeLines="5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1701A8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066541">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74934">
            <w:pPr>
              <w:widowControl/>
              <w:jc w:val="center"/>
              <w:rPr>
                <w:rFonts w:hint="eastAsia" w:ascii="宋体" w:hAnsi="宋体" w:cs="宋体"/>
                <w:kern w:val="0"/>
                <w:szCs w:val="21"/>
              </w:rPr>
            </w:pPr>
            <w:r>
              <w:rPr>
                <w:rFonts w:hint="eastAsia" w:ascii="宋体" w:hAnsi="宋体" w:cs="宋体"/>
                <w:kern w:val="0"/>
                <w:szCs w:val="21"/>
              </w:rPr>
              <w:t>内容、要求</w:t>
            </w:r>
          </w:p>
        </w:tc>
      </w:tr>
      <w:tr w14:paraId="4FDADD1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B636DD">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cs="宋体"/>
                <w:szCs w:val="21"/>
                <w:shd w:val="clear" w:color="auto" w:fill="FFFFFF"/>
              </w:rPr>
            </w:pPr>
            <w:bookmarkStart w:id="37" w:name="_Toc27817"/>
            <w:bookmarkStart w:id="38" w:name="_Toc30169"/>
            <w:bookmarkStart w:id="39" w:name="_Toc9566"/>
            <w:r>
              <w:rPr>
                <w:rFonts w:hint="eastAsia" w:ascii="宋体" w:hAnsi="宋体" w:cs="宋体"/>
              </w:rPr>
              <w:t>1.1项目名称：</w:t>
            </w:r>
            <w:bookmarkEnd w:id="37"/>
            <w:bookmarkEnd w:id="38"/>
            <w:bookmarkEnd w:id="39"/>
            <w:bookmarkStart w:id="40" w:name="_Toc29400"/>
            <w:bookmarkStart w:id="41" w:name="_Toc23424"/>
            <w:bookmarkStart w:id="42" w:name="_Toc28320"/>
            <w:r>
              <w:rPr>
                <w:rFonts w:hint="eastAsia" w:ascii="宋体" w:hAnsi="宋体" w:cs="宋体"/>
                <w:szCs w:val="21"/>
                <w:shd w:val="clear" w:color="auto" w:fill="FFFFFF"/>
              </w:rPr>
              <w:t>驻马店市中心医院病房改造提升项目初步设计</w:t>
            </w:r>
          </w:p>
          <w:p w14:paraId="59958B17">
            <w:pPr>
              <w:widowControl/>
              <w:snapToGrid w:val="0"/>
              <w:spacing w:line="440" w:lineRule="exact"/>
              <w:jc w:val="left"/>
              <w:outlineLvl w:val="0"/>
              <w:rPr>
                <w:rFonts w:hint="eastAsia" w:ascii="宋体" w:hAnsi="宋体" w:cs="宋体"/>
              </w:rPr>
            </w:pPr>
            <w:r>
              <w:rPr>
                <w:rFonts w:hint="eastAsia" w:ascii="宋体" w:hAnsi="宋体" w:cs="宋体"/>
              </w:rPr>
              <w:t>1.2采购人名称：</w:t>
            </w:r>
            <w:bookmarkEnd w:id="40"/>
            <w:bookmarkEnd w:id="41"/>
            <w:bookmarkEnd w:id="42"/>
            <w:r>
              <w:rPr>
                <w:rFonts w:hint="eastAsia" w:ascii="宋体" w:hAnsi="宋体" w:cs="宋体"/>
              </w:rPr>
              <w:t>驻马店市中心医院</w:t>
            </w:r>
          </w:p>
          <w:p w14:paraId="5905D575">
            <w:pPr>
              <w:widowControl/>
              <w:snapToGrid w:val="0"/>
              <w:spacing w:line="440" w:lineRule="exact"/>
              <w:jc w:val="left"/>
              <w:outlineLvl w:val="0"/>
              <w:rPr>
                <w:rFonts w:hint="eastAsia" w:ascii="宋体" w:hAnsi="宋体" w:cs="宋体"/>
              </w:rPr>
            </w:pPr>
            <w:bookmarkStart w:id="43" w:name="_Toc3148"/>
            <w:bookmarkStart w:id="44" w:name="_Toc24541"/>
            <w:bookmarkStart w:id="45" w:name="_Toc26199"/>
            <w:r>
              <w:rPr>
                <w:rFonts w:hint="eastAsia" w:ascii="宋体" w:hAnsi="宋体" w:cs="宋体"/>
              </w:rPr>
              <w:t>1.3采购范围：详见第二章采购需求</w:t>
            </w:r>
            <w:bookmarkEnd w:id="43"/>
            <w:bookmarkEnd w:id="44"/>
            <w:bookmarkEnd w:id="45"/>
          </w:p>
        </w:tc>
      </w:tr>
      <w:tr w14:paraId="5E2392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61AC28">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162F5B">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25317FCB">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7987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rPr>
              <w:t>48万元；</w:t>
            </w:r>
          </w:p>
          <w:p w14:paraId="3781D0F9">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本项目以人民币报价。</w:t>
            </w:r>
          </w:p>
          <w:p w14:paraId="0A3AB92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3E0EBA30">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934085</wp:posOffset>
                            </wp:positionH>
                            <wp:positionV relativeFrom="paragraph">
                              <wp:posOffset>80010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5pt;margin-top:6.3pt;height:24.05pt;width:76.4pt;z-index:251659264;mso-width-relative:page;mso-height-relative:page;" fillcolor="#FFFFFF [3201]" filled="t" stroked="f" coordsize="21600,21600" o:gfxdata="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ywJkdQA&#10;AAAJAQAADwAAAAAAAAABACAAAAAiAAAAZHJzL2Rvd25yZXYueG1sUEsBAhQAFAAAAAgAh07iQNxN&#10;EuRcAgAAmgQAAA4AAAAAAAAAAQAgAAAAIwEAAGRycy9lMm9Eb2MueG1sUEsFBgAAAAAGAAYAWQEA&#10;APEFA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rPr>
                                    <w:t>中标金额</w:t>
                                  </w:r>
                                </w:p>
                              </w:txbxContent>
                            </v:textbox>
                          </v:shape>
                        </w:pict>
                      </mc:Fallback>
                    </mc:AlternateContent>
                  </w:r>
                </w:p>
              </w:tc>
              <w:tc>
                <w:tcPr>
                  <w:tcW w:w="1605" w:type="dxa"/>
                  <w:vAlign w:val="center"/>
                </w:tcPr>
                <w:p w14:paraId="474E5C36">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243451C5">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0631B75B">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75249740">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605" w:type="dxa"/>
                  <w:vAlign w:val="center"/>
                </w:tcPr>
                <w:p w14:paraId="17CB70A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72ADA0F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0A06007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35374A7D">
            <w:pPr>
              <w:widowControl/>
              <w:snapToGrid w:val="0"/>
              <w:spacing w:line="440" w:lineRule="exact"/>
              <w:jc w:val="left"/>
              <w:rPr>
                <w:rFonts w:hint="eastAsia" w:ascii="宋体" w:hAnsi="宋体" w:cs="宋体"/>
                <w:kern w:val="0"/>
                <w:szCs w:val="21"/>
              </w:rPr>
            </w:pPr>
          </w:p>
        </w:tc>
      </w:tr>
      <w:tr w14:paraId="770A470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0552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D095A8">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455B4F0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5431E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A90A2">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70D8C9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620A">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060B0C0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8699B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ACBB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508AD065">
            <w:pPr>
              <w:widowControl/>
              <w:spacing w:line="460" w:lineRule="atLeast"/>
              <w:rPr>
                <w:rFonts w:hint="eastAsia" w:ascii="宋体" w:hAnsi="宋体" w:cs="宋体"/>
                <w:kern w:val="0"/>
                <w:szCs w:val="21"/>
              </w:rPr>
            </w:pPr>
            <w:r>
              <w:rPr>
                <w:rFonts w:hint="eastAsia" w:ascii="宋体" w:hAnsi="宋体" w:cs="宋体"/>
                <w:szCs w:val="21"/>
              </w:rPr>
              <w:t>专家确定</w:t>
            </w:r>
            <w:r>
              <w:rPr>
                <w:rFonts w:hint="eastAsia" w:ascii="宋体" w:hAnsi="宋体" w:cs="宋体"/>
                <w:kern w:val="0"/>
                <w:szCs w:val="21"/>
              </w:rPr>
              <w:t>方式：由评审专家、采购人代表组成</w:t>
            </w:r>
          </w:p>
        </w:tc>
      </w:tr>
      <w:tr w14:paraId="745683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85B4F5">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7BD991">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15AC0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F4B244">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67BA1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2F00E2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88EC">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E08952">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194627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FD903A">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92F176">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0009FF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61F3E8">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D6D72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F786908">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AE658E">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7AA77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1E464B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621A85">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A02626">
            <w:pPr>
              <w:pStyle w:val="15"/>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CC941D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94D7A">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1DF83E">
            <w:pPr>
              <w:spacing w:line="360" w:lineRule="auto"/>
              <w:rPr>
                <w:rFonts w:hint="eastAsia" w:ascii="宋体" w:hAnsi="宋体" w:cs="宋体"/>
                <w:kern w:val="0"/>
                <w:szCs w:val="21"/>
              </w:rPr>
            </w:pPr>
            <w:r>
              <w:rPr>
                <w:rFonts w:hint="eastAsia" w:ascii="宋体" w:hAnsi="宋体" w:cs="宋体"/>
                <w:bCs/>
                <w:kern w:val="0"/>
                <w:szCs w:val="21"/>
              </w:rPr>
              <w:t>质疑和投诉：供应商认为竞争性磋商文件使自己的合法权益受到损害的，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626C79A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F7B04">
            <w:pPr>
              <w:widowControl/>
              <w:spacing w:line="460" w:lineRule="atLeast"/>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cs="宋体"/>
              </w:rPr>
            </w:pPr>
            <w:r>
              <w:rPr>
                <w:rFonts w:hint="eastAsia" w:ascii="宋体" w:hAnsi="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691EECBA">
            <w:pPr>
              <w:widowControl/>
              <w:spacing w:line="360" w:lineRule="auto"/>
              <w:jc w:val="left"/>
              <w:textAlignment w:val="bottom"/>
              <w:rPr>
                <w:rFonts w:hint="eastAsia" w:ascii="宋体" w:hAnsi="宋体" w:cs="宋体"/>
                <w:kern w:val="0"/>
                <w:szCs w:val="21"/>
              </w:rPr>
            </w:pPr>
            <w:r>
              <w:rPr>
                <w:rFonts w:hint="eastAsia" w:ascii="宋体" w:hAnsi="宋体" w:cs="宋体"/>
              </w:rPr>
              <w:t>2、本竞争性磋商文件解释权归采购人。</w:t>
            </w:r>
          </w:p>
        </w:tc>
      </w:tr>
    </w:tbl>
    <w:p w14:paraId="7684E771">
      <w:pPr>
        <w:rPr>
          <w:rFonts w:hint="eastAsia" w:ascii="宋体" w:hAnsi="宋体" w:cs="宋体"/>
        </w:rPr>
      </w:pPr>
    </w:p>
    <w:p w14:paraId="63AFD515">
      <w:pPr>
        <w:snapToGrid w:val="0"/>
        <w:spacing w:line="360" w:lineRule="auto"/>
        <w:jc w:val="center"/>
        <w:outlineLvl w:val="1"/>
        <w:rPr>
          <w:rFonts w:hint="eastAsia" w:ascii="宋体" w:hAnsi="宋体" w:cs="宋体"/>
          <w:kern w:val="0"/>
          <w:sz w:val="24"/>
        </w:rPr>
      </w:pPr>
      <w:bookmarkStart w:id="46" w:name="_Toc4700"/>
      <w:bookmarkStart w:id="47" w:name="_Toc16669"/>
      <w:r>
        <w:rPr>
          <w:rFonts w:hint="eastAsia" w:ascii="宋体" w:hAnsi="宋体" w:cs="宋体"/>
          <w:b/>
          <w:bCs/>
          <w:kern w:val="0"/>
          <w:sz w:val="28"/>
          <w:szCs w:val="28"/>
        </w:rPr>
        <w:t>一 、说 明</w:t>
      </w:r>
    </w:p>
    <w:p w14:paraId="6B8E6A5B">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51931C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本竞争性磋商文件仅适用于采购公告中所叙述项目的服务采购。</w:t>
      </w:r>
    </w:p>
    <w:p w14:paraId="13AD7CD0">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0199F8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2.1“采购人”系指驻马店市中心医院。</w:t>
      </w:r>
    </w:p>
    <w:p w14:paraId="0ADD392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2.2“供应商”系指领取了本竞争性磋商文件，且已经提交本次响应文件的供应商。</w:t>
      </w:r>
    </w:p>
    <w:p w14:paraId="63E6842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1D68C29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2.4“服务”系指供应商按竞争性磋商文件规定向采购人提供的一切工作内容。</w:t>
      </w:r>
    </w:p>
    <w:p w14:paraId="56FE0B19">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3.采购预算：48万元。</w:t>
      </w:r>
    </w:p>
    <w:p w14:paraId="6AFC9BAA">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7ECC3F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125BFB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30383D6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993AB0">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296D65B4">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4E3764B">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53DF52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4F2FE89">
      <w:pPr>
        <w:widowControl/>
        <w:tabs>
          <w:tab w:val="left" w:pos="840"/>
        </w:tabs>
        <w:snapToGrid w:val="0"/>
        <w:spacing w:line="324" w:lineRule="auto"/>
        <w:ind w:firstLine="420" w:firstLineChars="200"/>
        <w:jc w:val="left"/>
      </w:pPr>
      <w:r>
        <w:rPr>
          <w:rFonts w:hint="eastAsia" w:ascii="宋体" w:hAnsi="宋体" w:cs="宋体"/>
          <w:szCs w:val="21"/>
          <w:shd w:val="clear" w:color="auto" w:fill="FFFFFF"/>
        </w:rPr>
        <w:t>4.8、供应商须具有建设行政主管部门颁发工程设计综合资质甲级或建筑行业(建筑工程)设计甲级资质，并在人员、设备、资金等方面应具有相应的设计能力；拟派项目负责人须具有一级注册建筑师执业资格。</w:t>
      </w:r>
    </w:p>
    <w:p w14:paraId="691BA309">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5.投标费用</w:t>
      </w:r>
    </w:p>
    <w:p w14:paraId="644A853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不论投标结果如何，供应商均应自行承担所有与投标有关的全部费用。</w:t>
      </w:r>
    </w:p>
    <w:p w14:paraId="19E6170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6.联合体投标：本项目不接受联合体投标。</w:t>
      </w:r>
    </w:p>
    <w:p w14:paraId="2B0E454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7.关联企业投标</w:t>
      </w:r>
    </w:p>
    <w:p w14:paraId="5D84978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42B6BF2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7CF5D0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6931DC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38F40BF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057AF2B9">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58BE525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186990C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24E2D19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供应商代表只能接受一个供应商的委托参加投标。</w:t>
      </w:r>
    </w:p>
    <w:p w14:paraId="2C90794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88B12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40019071">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70F2661">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B401D39">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5ADE03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1A7F3C8E">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供应商没有按照竞争性磋商文件要求提供全部资料，或者供应商没有对竞争性磋商文件在各方面都作出实质性响应是供应商的风险，并可能导致其投标被拒绝。</w:t>
      </w:r>
    </w:p>
    <w:p w14:paraId="1E42CB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二、竞争性磋商文件</w:t>
      </w:r>
    </w:p>
    <w:p w14:paraId="037C7B3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12.竞争性磋商文件的构成。本竞争性磋商文件由以下部分组成：</w:t>
      </w:r>
    </w:p>
    <w:p w14:paraId="5990D25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23E12A4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101F5F6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1E9CA19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9EF81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7446456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6E1BA2A">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13.竞争性磋商文件的澄清与修改</w:t>
      </w:r>
    </w:p>
    <w:p w14:paraId="5CAFC22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采购人对已发出的竞争性磋商文件进行必要澄清、修改或补充的，应当在竞争性磋商文件要求提交响应文件截止时间3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前，在原采购公告发布相关媒体上发布更正公告或变更公告。竞争性磋商文件公示期间对竞争性磋商文件进行的澄清、修改或补充不受上述限制。</w:t>
      </w:r>
    </w:p>
    <w:p w14:paraId="5DB9789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竞争性磋商文件澄清、修改或补充的内容为竞争性磋商文件的组成部分。</w:t>
      </w:r>
    </w:p>
    <w:p w14:paraId="2F54FC5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竞争性磋商文件的澄清、修改或补充都应以法定形式发布。采购人未对竞争性磋商文件进行的澄清、修改或补充无效，评标时不予认可。</w:t>
      </w:r>
    </w:p>
    <w:p w14:paraId="6A60B518">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可以视采购具体情况延长磋商截止时间和磋商时间，但至少应当在竞争性磋商文件要求提交响应文件的截止时间3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1B105BB9">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D9B814D">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31BC508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206AE2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供应商应完整签署响应文件格式附件中《竞争性磋商响应书》和《抵制商业贿赂承诺》，不得增减或修改内容。否则视为对竞争性磋商文件未作出实质性响应。</w:t>
      </w:r>
    </w:p>
    <w:p w14:paraId="3F6FDD3A">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4186CA3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6B0993F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697F97E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F3FCFE">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513D885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w:t>
      </w:r>
    </w:p>
    <w:p w14:paraId="40A388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w:t>
      </w:r>
    </w:p>
    <w:p w14:paraId="5CC336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  技术响应表</w:t>
      </w:r>
    </w:p>
    <w:p w14:paraId="47FE53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16.4、技术要求证明材料</w:t>
      </w:r>
    </w:p>
    <w:p w14:paraId="02D3D60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16.5、商务响应表</w:t>
      </w:r>
    </w:p>
    <w:p w14:paraId="13C71C1F">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16.6、法定代表人身份证明</w:t>
      </w:r>
    </w:p>
    <w:p w14:paraId="588E869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16.7、法定代表人授权书</w:t>
      </w:r>
    </w:p>
    <w:p w14:paraId="6ECF0C1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16.8、证明文件</w:t>
      </w:r>
    </w:p>
    <w:p w14:paraId="18101DD6">
      <w:pPr>
        <w:snapToGrid w:val="0"/>
        <w:spacing w:line="360" w:lineRule="auto"/>
        <w:ind w:firstLine="420"/>
        <w:rPr>
          <w:rFonts w:hint="eastAsia" w:ascii="宋体" w:hAnsi="宋体" w:cs="宋体"/>
          <w:kern w:val="0"/>
          <w:szCs w:val="21"/>
        </w:rPr>
      </w:pPr>
      <w:r>
        <w:rPr>
          <w:rFonts w:hint="eastAsia" w:ascii="宋体" w:hAnsi="宋体" w:cs="宋体"/>
          <w:kern w:val="0"/>
          <w:szCs w:val="21"/>
        </w:rPr>
        <w:t>16.9、供应商承诺书</w:t>
      </w:r>
    </w:p>
    <w:p w14:paraId="3D554CDF">
      <w:pPr>
        <w:pStyle w:val="32"/>
        <w:widowControl w:val="0"/>
        <w:snapToGrid w:val="0"/>
        <w:spacing w:beforeAutospacing="0" w:afterAutospacing="0" w:line="360" w:lineRule="auto"/>
        <w:rPr>
          <w:rFonts w:hint="eastAsia"/>
          <w:sz w:val="21"/>
          <w:szCs w:val="21"/>
        </w:rPr>
      </w:pPr>
      <w:r>
        <w:rPr>
          <w:rFonts w:hint="eastAsia"/>
          <w:sz w:val="21"/>
          <w:szCs w:val="21"/>
        </w:rPr>
        <w:t>16.10、供应商信用承诺函</w:t>
      </w:r>
    </w:p>
    <w:p w14:paraId="0C72CE5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2B62DCD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0ABDDF0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1228DC7">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18.投标报价</w:t>
      </w:r>
    </w:p>
    <w:p w14:paraId="15A5CA8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磋商报价均以人民币元为计算单位。</w:t>
      </w:r>
    </w:p>
    <w:p w14:paraId="1457A8F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1F8B76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3DA00D4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初次报价一览表中标明的价格在政采购合同执行过程中是固定不变的，供应商不得以任何理由予以变更。以可调整的价格提交的投标将被作为无效投标处理。</w:t>
      </w:r>
    </w:p>
    <w:p w14:paraId="402A65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35835CB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0B880A0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7CF5A7E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773812D3">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3D371FDD">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响应文件应当对竞争性磋商文件有关服务期限、响应文件有效期、服务质量等实质性内容作出响应。</w:t>
      </w:r>
    </w:p>
    <w:p w14:paraId="06CE3AD4">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38CD1">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32DF16F">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4494226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01F9165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4BDB2601">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14DCDC2">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0DB4A58">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7BFD4A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254DFD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3C0FB53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41A6BFFD">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52026AD">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D78858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03A84FBD">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6B07AD25">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08A5A1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76AE91F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223D09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305C22A">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EF69D87">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25.1对所有供应商的评估，都采用相同的程序和标准。评标过程将严格按照竞争性磋商文件的要求和条件进行。</w:t>
      </w:r>
    </w:p>
    <w:p w14:paraId="7605F6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DCD3CC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25A24AD5">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E1D965C">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301E1E1D">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E761E72">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47AC21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474116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03CC15E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4770F9F6">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资格性检查。依据法规政策和竞争性磋商文件的规定，在对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5432314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249A362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符合性检查。依据竞争性磋商文件的规定，磋商小组将从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4B1B840D">
      <w:pPr>
        <w:tabs>
          <w:tab w:val="left" w:pos="0"/>
        </w:tabs>
        <w:snapToGrid w:val="0"/>
        <w:spacing w:line="360" w:lineRule="auto"/>
        <w:ind w:firstLine="420" w:firstLineChars="200"/>
        <w:contextualSpacing/>
        <w:jc w:val="left"/>
        <w:rPr>
          <w:rFonts w:hint="eastAsia" w:ascii="宋体" w:hAnsi="宋体" w:cs="宋体"/>
          <w:szCs w:val="21"/>
        </w:rPr>
      </w:pPr>
      <w:bookmarkStart w:id="48" w:name="_Hlk212647502"/>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9A5CE6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68ECEE0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647593C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（4）响应文件有效期、服务期限等不满足竞争性磋商文件要求的。</w:t>
      </w:r>
    </w:p>
    <w:p w14:paraId="0DB353C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（5）未响应或不满足竞争性磋商文件中技术要求与商务要求的。</w:t>
      </w:r>
    </w:p>
    <w:p w14:paraId="33A2816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（6）未按竞争性磋商文件提供的格式填列、项目不齐全或内容虚假的。</w:t>
      </w:r>
    </w:p>
    <w:p w14:paraId="7C4BA435">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的实质性内容未使用中文表述，或意思表述不明确，或前后矛盾，或使用计量单位不符合竞争性磋商文件要求的。</w:t>
      </w:r>
    </w:p>
    <w:p w14:paraId="7CE78A40">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59AFA2F9">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（9）</w:t>
      </w:r>
      <w:r>
        <w:rPr>
          <w:rFonts w:hint="eastAsia" w:ascii="宋体" w:hAnsi="宋体" w:cs="宋体"/>
          <w:szCs w:val="21"/>
          <w:shd w:val="clear" w:color="auto" w:fill="FFFFFF"/>
        </w:rPr>
        <w:t>响应文件</w:t>
      </w:r>
      <w:r>
        <w:rPr>
          <w:rFonts w:hint="eastAsia" w:ascii="宋体" w:hAnsi="宋体" w:cs="宋体"/>
          <w:szCs w:val="21"/>
        </w:rPr>
        <w:t>内容未按竞争性磋商文件响应的。</w:t>
      </w:r>
    </w:p>
    <w:p w14:paraId="420C0FAF">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（10）不符合竞争性磋商文件中规定的其它实质性条款。</w:t>
      </w:r>
    </w:p>
    <w:bookmarkEnd w:id="48"/>
    <w:p w14:paraId="63C2959F">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3AF2E7E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13B84FE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20DE44D6">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0A03792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424B4B2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5D8EA7F3">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w:t>
      </w:r>
    </w:p>
    <w:p w14:paraId="44CE097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F4EF60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25.5.6不同供应商的磋商保证金从同一单位或者个人的账户转出（若收取）。</w:t>
      </w:r>
    </w:p>
    <w:p w14:paraId="03420AF2">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17AA9E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磋商小组认定的其他串通投标情形。</w:t>
      </w:r>
    </w:p>
    <w:p w14:paraId="0791BA15">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7C9C71D8">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18C870D8">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C9DCE3B">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2CFD9D61">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88B53F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4207695">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5C71FBC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磋商小组将按本竞争性磋商文件规定的评标方法与标准，对资格性检查和符合性检查合格的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1BD516B4">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27.2对漏（缺）报项的处理：竞争性磋商文件中要求列入报价的费用，漏（缺）报的视同已含在投标总价中。</w:t>
      </w:r>
    </w:p>
    <w:p w14:paraId="58D4B235">
      <w:pPr>
        <w:pStyle w:val="29"/>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72C58BA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1F8B24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3802B5E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B0871F9">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6E09333F">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71FFF7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03BDBD74">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2119C536">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74AF79B0">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确定实质上响应竞争性磋商文件且满足下列条件的为成交候选供应商（或成交供应商）</w:t>
      </w:r>
    </w:p>
    <w:p w14:paraId="0ADC434F">
      <w:pPr>
        <w:snapToGrid w:val="0"/>
        <w:spacing w:line="360" w:lineRule="auto"/>
        <w:ind w:firstLine="420" w:firstLineChars="200"/>
        <w:rPr>
          <w:rFonts w:hint="eastAsia" w:ascii="宋体" w:hAnsi="宋体" w:cs="宋体"/>
          <w:szCs w:val="21"/>
        </w:rPr>
      </w:pPr>
      <w:bookmarkStart w:id="49" w:name="_Toc32200"/>
      <w:r>
        <w:rPr>
          <w:rFonts w:hint="eastAsia" w:ascii="宋体" w:hAnsi="宋体" w:cs="宋体"/>
          <w:bCs/>
          <w:kern w:val="0"/>
          <w:szCs w:val="21"/>
        </w:rPr>
        <w:t>30.2.1</w:t>
      </w:r>
      <w:bookmarkEnd w:id="49"/>
      <w:r>
        <w:rPr>
          <w:rFonts w:hint="eastAsia" w:ascii="宋体" w:hAnsi="宋体" w:cs="宋体"/>
          <w:bCs/>
          <w:kern w:val="0"/>
          <w:szCs w:val="21"/>
        </w:rPr>
        <w:t>本次评标采用</w:t>
      </w:r>
      <w:r>
        <w:rPr>
          <w:rFonts w:hint="eastAsia" w:ascii="宋体" w:hAnsi="宋体" w:cs="宋体"/>
          <w:szCs w:val="21"/>
        </w:rPr>
        <w:t>综合评分法，是指响应文件满足竞争性磋商文件全部实质性要求，且按照评审因素的量化指标评审得分最高的供应商为成交供应商的评标方法。</w:t>
      </w:r>
    </w:p>
    <w:p w14:paraId="3F0EF69B">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C176808">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8FEDEEF">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14BB6379">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73E3DAF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075436E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4CB41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4A8B91B">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17D213E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71526F9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290CD0E">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08173E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7ECC02E2">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39783FC">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6AF6132">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竞争性磋商文件存在不合理条款或者招标程序不符合规定的，采购人正后依法重新招标；　</w:t>
      </w:r>
    </w:p>
    <w:p w14:paraId="61307E5F">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（2）竞争性磋商文件没有不合理条款、招标程序符合规定，需要采用其他采购方式采购的，采购人应当依法报财政部门批准。</w:t>
      </w:r>
    </w:p>
    <w:p w14:paraId="1C6D0018">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1CA95CAE">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28554F63">
      <w:pPr>
        <w:snapToGrid w:val="0"/>
        <w:spacing w:line="360" w:lineRule="auto"/>
        <w:ind w:firstLine="420" w:firstLineChars="200"/>
        <w:jc w:val="left"/>
        <w:rPr>
          <w:rFonts w:hint="eastAsia" w:ascii="宋体" w:hAnsi="宋体" w:cs="宋体"/>
          <w:kern w:val="0"/>
          <w:szCs w:val="21"/>
          <w:u w:val="single"/>
        </w:rPr>
      </w:pPr>
      <w:bookmarkStart w:id="50" w:name="_Toc8594"/>
      <w:r>
        <w:rPr>
          <w:rFonts w:hint="eastAsia" w:ascii="宋体" w:hAnsi="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签订合同。双方所签订的合同不得对竞争性磋商文件和成交供应商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6BD34A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竞争性磋商文件、竞争性磋商文件的修改文件、成交供应商的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23CDB53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0"/>
    <w:p w14:paraId="25ACB6B3">
      <w:pPr>
        <w:rPr>
          <w:rFonts w:hint="eastAsia" w:ascii="宋体" w:hAnsi="宋体" w:cs="宋体"/>
        </w:rPr>
      </w:pPr>
      <w:r>
        <w:rPr>
          <w:rFonts w:hint="eastAsia" w:ascii="宋体" w:hAnsi="宋体" w:cs="宋体"/>
        </w:rPr>
        <w:br w:type="page"/>
      </w:r>
    </w:p>
    <w:p w14:paraId="6DE9B6B5">
      <w:pPr>
        <w:widowControl/>
        <w:snapToGrid w:val="0"/>
        <w:jc w:val="center"/>
        <w:outlineLvl w:val="0"/>
        <w:rPr>
          <w:rFonts w:hint="eastAsia" w:ascii="宋体" w:hAnsi="宋体" w:cs="宋体"/>
          <w:kern w:val="0"/>
          <w:sz w:val="24"/>
        </w:rPr>
      </w:pPr>
      <w:bookmarkStart w:id="51" w:name="_Toc31399"/>
      <w:r>
        <w:rPr>
          <w:rFonts w:hint="eastAsia" w:ascii="宋体" w:hAnsi="宋体" w:cs="宋体"/>
          <w:b/>
          <w:bCs/>
          <w:kern w:val="0"/>
          <w:sz w:val="32"/>
          <w:szCs w:val="32"/>
        </w:rPr>
        <w:t>第四章  评标办法及评分标准</w:t>
      </w:r>
      <w:bookmarkEnd w:id="46"/>
      <w:bookmarkEnd w:id="51"/>
    </w:p>
    <w:p w14:paraId="3A133B1C">
      <w:pPr>
        <w:rPr>
          <w:rFonts w:hint="eastAsia" w:ascii="宋体" w:hAnsi="宋体" w:cs="宋体"/>
        </w:rPr>
      </w:pPr>
    </w:p>
    <w:p w14:paraId="0ECF76AB">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48083B4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按照“公平、公正”的原则对待所有供应商，按照竞争性磋商文件的相关规定进行评标、定标。</w:t>
      </w:r>
    </w:p>
    <w:p w14:paraId="7ED65B91">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083CEE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5BA525E5">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2．磋商小组按照竞争性磋商文件中规定的评标方法和标准，对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69ABA1F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7870D1D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文件满足竞争性磋商文件全部实质性要求，且评审得分最高的供应商为成交供应商。</w:t>
      </w:r>
    </w:p>
    <w:p w14:paraId="1B2E70BC">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5FA7911F">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Cs w:val="21"/>
              </w:rPr>
            </w:pPr>
            <w:r>
              <w:rPr>
                <w:rFonts w:hint="eastAsia" w:ascii="宋体" w:hAnsi="宋体" w:cs="宋体"/>
                <w:szCs w:val="21"/>
              </w:rPr>
              <w:t>评审内容</w:t>
            </w:r>
          </w:p>
        </w:tc>
      </w:tr>
      <w:tr w14:paraId="241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20555E1F">
            <w:pPr>
              <w:snapToGrid w:val="0"/>
              <w:spacing w:line="340" w:lineRule="exact"/>
              <w:jc w:val="left"/>
              <w:rPr>
                <w:rFonts w:hint="eastAsia" w:ascii="宋体" w:hAnsi="宋体" w:cs="宋体"/>
                <w:szCs w:val="21"/>
              </w:rPr>
            </w:pPr>
            <w:r>
              <w:rPr>
                <w:rFonts w:hint="eastAsia" w:ascii="宋体" w:hAnsi="宋体" w:cs="宋体"/>
                <w:szCs w:val="21"/>
              </w:rPr>
              <w:t>价格标部分(20分)</w:t>
            </w:r>
          </w:p>
        </w:tc>
        <w:tc>
          <w:tcPr>
            <w:tcW w:w="8284" w:type="dxa"/>
            <w:gridSpan w:val="2"/>
            <w:vAlign w:val="center"/>
          </w:tcPr>
          <w:p w14:paraId="06087DFE">
            <w:pPr>
              <w:pStyle w:val="4"/>
              <w:snapToGrid w:val="0"/>
              <w:spacing w:line="320" w:lineRule="exact"/>
              <w:jc w:val="both"/>
              <w:rPr>
                <w:rFonts w:hint="eastAsia" w:hAnsi="宋体"/>
                <w:color w:val="auto"/>
                <w:sz w:val="21"/>
                <w:szCs w:val="21"/>
              </w:rPr>
            </w:pPr>
            <w:r>
              <w:rPr>
                <w:rFonts w:hint="eastAsia" w:hAnsi="宋体"/>
                <w:color w:val="auto"/>
                <w:sz w:val="21"/>
                <w:szCs w:val="21"/>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0ED62BA1">
            <w:pPr>
              <w:pStyle w:val="4"/>
              <w:snapToGrid w:val="0"/>
              <w:spacing w:line="320" w:lineRule="exact"/>
              <w:jc w:val="both"/>
              <w:rPr>
                <w:rFonts w:hint="eastAsia" w:hAnsi="宋体"/>
                <w:color w:val="auto"/>
                <w:sz w:val="21"/>
                <w:szCs w:val="21"/>
              </w:rPr>
            </w:pPr>
            <w:r>
              <w:rPr>
                <w:rFonts w:hint="eastAsia" w:hAnsi="宋体"/>
                <w:color w:val="auto"/>
                <w:sz w:val="21"/>
                <w:szCs w:val="21"/>
              </w:rPr>
              <w:t>有效投标报价：投标报价不高于采购预算价的为有效投标报价。</w:t>
            </w:r>
          </w:p>
          <w:p w14:paraId="4954755D">
            <w:pPr>
              <w:pStyle w:val="4"/>
              <w:snapToGrid w:val="0"/>
              <w:spacing w:line="320" w:lineRule="exact"/>
              <w:jc w:val="both"/>
              <w:rPr>
                <w:rFonts w:hint="eastAsia" w:hAnsi="宋体"/>
                <w:color w:val="auto"/>
                <w:sz w:val="21"/>
                <w:szCs w:val="21"/>
              </w:rPr>
            </w:pPr>
            <w:r>
              <w:rPr>
                <w:rFonts w:hint="eastAsia" w:hAnsi="宋体"/>
                <w:color w:val="auto"/>
                <w:sz w:val="21"/>
                <w:szCs w:val="21"/>
              </w:rPr>
              <w:t>评标基准值的确定：满足采购文件要求且投标价格最低的有效投标报价为评标基准价。</w:t>
            </w:r>
          </w:p>
          <w:p w14:paraId="48273B44">
            <w:pPr>
              <w:rPr>
                <w:rFonts w:hint="eastAsia" w:ascii="宋体" w:hAnsi="宋体" w:cs="宋体"/>
                <w:szCs w:val="21"/>
              </w:rPr>
            </w:pPr>
            <w:r>
              <w:rPr>
                <w:rFonts w:hint="eastAsia" w:ascii="宋体" w:hAnsi="宋体" w:cs="宋体"/>
                <w:color w:val="000000" w:themeColor="text1"/>
                <w14:textFill>
                  <w14:solidFill>
                    <w14:schemeClr w14:val="tx1"/>
                  </w14:solidFill>
                </w14:textFill>
              </w:rPr>
              <w:t>投标报价得分=（评标基准价/有效投标报价）×20分</w:t>
            </w:r>
          </w:p>
        </w:tc>
      </w:tr>
      <w:tr w14:paraId="4B94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98" w:type="dxa"/>
            <w:vMerge w:val="restart"/>
            <w:vAlign w:val="center"/>
          </w:tcPr>
          <w:p w14:paraId="7DC378E9">
            <w:pPr>
              <w:snapToGrid w:val="0"/>
              <w:spacing w:line="320" w:lineRule="exact"/>
              <w:jc w:val="center"/>
              <w:rPr>
                <w:rFonts w:hint="eastAsia" w:ascii="宋体" w:hAnsi="宋体" w:cs="宋体"/>
                <w:szCs w:val="21"/>
              </w:rPr>
            </w:pPr>
            <w:r>
              <w:rPr>
                <w:rFonts w:hint="eastAsia" w:ascii="宋体" w:hAnsi="宋体" w:cs="宋体"/>
                <w:szCs w:val="21"/>
              </w:rPr>
              <w:t>技术部分</w:t>
            </w:r>
          </w:p>
          <w:p w14:paraId="4F027728">
            <w:pPr>
              <w:snapToGrid w:val="0"/>
              <w:spacing w:line="320" w:lineRule="exact"/>
              <w:jc w:val="center"/>
              <w:rPr>
                <w:rFonts w:hint="eastAsia" w:ascii="宋体" w:hAnsi="宋体" w:cs="宋体"/>
                <w:szCs w:val="21"/>
              </w:rPr>
            </w:pPr>
            <w:r>
              <w:rPr>
                <w:rFonts w:hint="eastAsia" w:ascii="宋体" w:hAnsi="宋体" w:cs="宋体"/>
                <w:szCs w:val="21"/>
              </w:rPr>
              <w:t>（52分）</w:t>
            </w:r>
          </w:p>
        </w:tc>
        <w:tc>
          <w:tcPr>
            <w:tcW w:w="1362" w:type="dxa"/>
            <w:vAlign w:val="center"/>
          </w:tcPr>
          <w:p w14:paraId="2CA224C1">
            <w:pPr>
              <w:snapToGrid w:val="0"/>
              <w:spacing w:line="320" w:lineRule="exact"/>
              <w:jc w:val="center"/>
              <w:rPr>
                <w:rFonts w:hint="eastAsia" w:ascii="宋体" w:hAnsi="宋体" w:cs="宋体"/>
                <w:szCs w:val="21"/>
              </w:rPr>
            </w:pPr>
            <w:r>
              <w:rPr>
                <w:rFonts w:hint="eastAsia" w:ascii="宋体" w:hAnsi="宋体" w:cs="宋体"/>
                <w:szCs w:val="21"/>
              </w:rPr>
              <w:t>1.项目概况</w:t>
            </w:r>
          </w:p>
          <w:p w14:paraId="6368D72E">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4813DC19">
            <w:pPr>
              <w:pStyle w:val="4"/>
              <w:snapToGrid w:val="0"/>
              <w:spacing w:line="320" w:lineRule="exact"/>
              <w:jc w:val="both"/>
              <w:rPr>
                <w:rFonts w:hint="eastAsia" w:hAnsi="宋体"/>
                <w:color w:val="auto"/>
                <w:sz w:val="21"/>
                <w:szCs w:val="21"/>
              </w:rPr>
            </w:pPr>
            <w:r>
              <w:rPr>
                <w:rFonts w:hint="eastAsia" w:hAnsi="宋体"/>
                <w:color w:val="auto"/>
                <w:sz w:val="21"/>
                <w:szCs w:val="21"/>
              </w:rPr>
              <w:t>深刻理解设计意图，对项目情况的了解和充分分析准确性、全面性。</w:t>
            </w:r>
          </w:p>
          <w:p w14:paraId="3CEF837F">
            <w:pPr>
              <w:pStyle w:val="4"/>
              <w:snapToGrid w:val="0"/>
              <w:spacing w:line="320" w:lineRule="exact"/>
              <w:jc w:val="both"/>
              <w:rPr>
                <w:rFonts w:hint="eastAsia" w:hAnsi="宋体"/>
                <w:color w:val="auto"/>
                <w:sz w:val="21"/>
                <w:szCs w:val="21"/>
              </w:rPr>
            </w:pPr>
            <w:r>
              <w:rPr>
                <w:rFonts w:hint="eastAsia" w:hAnsi="宋体"/>
                <w:color w:val="auto"/>
                <w:sz w:val="21"/>
                <w:szCs w:val="21"/>
              </w:rPr>
              <w:t>了解全面、分析准确全面的得5分；了解较为全面、分析较为准确基本合理的得3分；了解分析不够全面、不够合理的得1分；缺项不得分。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98" w:type="dxa"/>
            <w:vMerge w:val="continue"/>
            <w:vAlign w:val="center"/>
          </w:tcPr>
          <w:p w14:paraId="1BE04A40">
            <w:pPr>
              <w:snapToGrid w:val="0"/>
              <w:spacing w:line="320" w:lineRule="exact"/>
              <w:jc w:val="center"/>
              <w:rPr>
                <w:rFonts w:hint="eastAsia" w:ascii="宋体" w:hAnsi="宋体" w:cs="宋体"/>
                <w:szCs w:val="21"/>
              </w:rPr>
            </w:pPr>
          </w:p>
        </w:tc>
        <w:tc>
          <w:tcPr>
            <w:tcW w:w="1362" w:type="dxa"/>
            <w:vAlign w:val="center"/>
          </w:tcPr>
          <w:p w14:paraId="068D405C">
            <w:pPr>
              <w:snapToGrid w:val="0"/>
              <w:spacing w:line="32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总体设计思路（6分）</w:t>
            </w:r>
          </w:p>
        </w:tc>
        <w:tc>
          <w:tcPr>
            <w:tcW w:w="6922" w:type="dxa"/>
            <w:vAlign w:val="center"/>
          </w:tcPr>
          <w:p w14:paraId="73EACB5B">
            <w:pPr>
              <w:widowControl/>
              <w:snapToGrid w:val="0"/>
              <w:spacing w:line="320" w:lineRule="exact"/>
              <w:rPr>
                <w:rFonts w:hint="eastAsia" w:ascii="宋体" w:hAnsi="宋体" w:cs="宋体"/>
                <w:szCs w:val="21"/>
              </w:rPr>
            </w:pPr>
            <w:r>
              <w:rPr>
                <w:rFonts w:hint="eastAsia" w:ascii="宋体" w:hAnsi="宋体" w:cs="宋体"/>
                <w:szCs w:val="21"/>
              </w:rPr>
              <w:t>总体设计思路清晰、完整，有必要的图纸及说明文字，符合该项目建设需求的。</w:t>
            </w:r>
          </w:p>
          <w:p w14:paraId="11885C45">
            <w:pPr>
              <w:widowControl/>
              <w:snapToGrid w:val="0"/>
              <w:spacing w:line="320" w:lineRule="exact"/>
              <w:rPr>
                <w:rFonts w:hint="eastAsia" w:ascii="宋体" w:hAnsi="宋体" w:cs="宋体"/>
                <w:szCs w:val="21"/>
              </w:rPr>
            </w:pPr>
            <w:r>
              <w:rPr>
                <w:rFonts w:hint="eastAsia" w:ascii="宋体" w:hAnsi="宋体" w:cs="宋体"/>
                <w:szCs w:val="21"/>
              </w:rPr>
              <w:t>内容完整、思路清晰具备可行性的得6分；内容较为完整全面、基本合理的得4分；内容不够完整不够全面的得2分；缺项不得分</w:t>
            </w:r>
          </w:p>
        </w:tc>
      </w:tr>
      <w:tr w14:paraId="62F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98" w:type="dxa"/>
            <w:vMerge w:val="continue"/>
            <w:vAlign w:val="center"/>
          </w:tcPr>
          <w:p w14:paraId="7373F318">
            <w:pPr>
              <w:snapToGrid w:val="0"/>
              <w:spacing w:line="320" w:lineRule="exact"/>
              <w:jc w:val="center"/>
              <w:rPr>
                <w:rFonts w:hint="eastAsia" w:ascii="宋体" w:hAnsi="宋体" w:cs="宋体"/>
                <w:szCs w:val="21"/>
              </w:rPr>
            </w:pPr>
          </w:p>
        </w:tc>
        <w:tc>
          <w:tcPr>
            <w:tcW w:w="1362" w:type="dxa"/>
            <w:vAlign w:val="center"/>
          </w:tcPr>
          <w:p w14:paraId="4241D894">
            <w:pPr>
              <w:snapToGrid w:val="0"/>
              <w:spacing w:line="32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设计方案（12分）</w:t>
            </w:r>
          </w:p>
        </w:tc>
        <w:tc>
          <w:tcPr>
            <w:tcW w:w="6922" w:type="dxa"/>
            <w:vAlign w:val="center"/>
          </w:tcPr>
          <w:p w14:paraId="731E7F27">
            <w:pPr>
              <w:widowControl/>
              <w:snapToGrid w:val="0"/>
              <w:spacing w:line="320" w:lineRule="exact"/>
              <w:rPr>
                <w:rFonts w:hint="eastAsia" w:ascii="宋体" w:hAnsi="宋体" w:cs="宋体"/>
                <w:szCs w:val="21"/>
              </w:rPr>
            </w:pPr>
            <w:r>
              <w:rPr>
                <w:rFonts w:hint="eastAsia" w:ascii="宋体" w:hAnsi="宋体" w:cs="宋体"/>
                <w:szCs w:val="21"/>
              </w:rPr>
              <w:t>编制内容、深度及其重点在遵循国家政策导向和医院实际为前提，充分考虑医院设计特点、准确把握项目定位，对设计内容和实施有全面周到的考虑和安排，符合相关规范标准；设计内容设置合理，专业设计依据充分，引用规范合法、有效。</w:t>
            </w:r>
          </w:p>
          <w:p w14:paraId="7400EFC1">
            <w:pPr>
              <w:widowControl/>
              <w:snapToGrid w:val="0"/>
              <w:spacing w:line="320" w:lineRule="exact"/>
              <w:rPr>
                <w:rFonts w:hint="eastAsia" w:ascii="宋体" w:hAnsi="宋体" w:cs="宋体"/>
                <w:szCs w:val="21"/>
              </w:rPr>
            </w:pPr>
            <w:r>
              <w:rPr>
                <w:rFonts w:hint="eastAsia" w:ascii="宋体" w:hAnsi="宋体" w:cs="宋体"/>
                <w:szCs w:val="21"/>
              </w:rPr>
              <w:t>设计方案全面可行、设计内容设置合理的得12分；设计方案较为全面，能满足项目基本需求的得8分；设计方案不够全面，有明显缺陷或缺乏可行性的得4分；缺项不得分。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Cs w:val="21"/>
              </w:rPr>
            </w:pPr>
          </w:p>
        </w:tc>
        <w:tc>
          <w:tcPr>
            <w:tcW w:w="1362" w:type="dxa"/>
            <w:vAlign w:val="center"/>
          </w:tcPr>
          <w:p w14:paraId="02AFACE7">
            <w:pPr>
              <w:snapToGrid w:val="0"/>
              <w:spacing w:line="320" w:lineRule="exact"/>
              <w:jc w:val="center"/>
              <w:rPr>
                <w:rFonts w:hint="eastAsia" w:ascii="宋体" w:hAnsi="宋体" w:cs="宋体"/>
                <w:szCs w:val="21"/>
              </w:rPr>
            </w:pPr>
            <w:r>
              <w:rPr>
                <w:rFonts w:hint="eastAsia" w:ascii="宋体" w:hAnsi="宋体" w:cs="宋体"/>
                <w:szCs w:val="21"/>
              </w:rPr>
              <w:t>4.</w:t>
            </w:r>
            <w:r>
              <w:rPr>
                <w:rFonts w:ascii="宋体" w:hAnsi="宋体" w:cs="宋体"/>
                <w:szCs w:val="21"/>
              </w:rPr>
              <w:t>设计的经济性（</w:t>
            </w:r>
            <w:r>
              <w:rPr>
                <w:rFonts w:hint="eastAsia" w:ascii="宋体" w:hAnsi="宋体" w:cs="宋体"/>
                <w:szCs w:val="21"/>
              </w:rPr>
              <w:t>5</w:t>
            </w:r>
            <w:r>
              <w:rPr>
                <w:rFonts w:ascii="宋体" w:hAnsi="宋体" w:cs="宋体"/>
                <w:szCs w:val="21"/>
              </w:rPr>
              <w:t>分）</w:t>
            </w:r>
          </w:p>
        </w:tc>
        <w:tc>
          <w:tcPr>
            <w:tcW w:w="6922" w:type="dxa"/>
            <w:vAlign w:val="center"/>
          </w:tcPr>
          <w:p w14:paraId="2888C3F4">
            <w:pPr>
              <w:widowControl/>
              <w:snapToGrid w:val="0"/>
              <w:spacing w:line="320" w:lineRule="exact"/>
              <w:rPr>
                <w:rFonts w:hint="eastAsia" w:ascii="宋体" w:hAnsi="宋体" w:cs="宋体"/>
                <w:szCs w:val="21"/>
              </w:rPr>
            </w:pPr>
            <w:r>
              <w:rPr>
                <w:rFonts w:hint="eastAsia" w:ascii="宋体" w:hAnsi="宋体" w:cs="宋体"/>
                <w:szCs w:val="21"/>
              </w:rPr>
              <w:t>设计内容经济，具有全面、完善、合理的工程造价的投资分析及降低造价的措施。</w:t>
            </w:r>
          </w:p>
          <w:p w14:paraId="21D23DAA">
            <w:pPr>
              <w:widowControl/>
              <w:snapToGrid w:val="0"/>
              <w:spacing w:line="320" w:lineRule="exact"/>
              <w:rPr>
                <w:rFonts w:hint="eastAsia" w:ascii="宋体" w:hAnsi="宋体" w:cs="宋体"/>
                <w:szCs w:val="21"/>
              </w:rPr>
            </w:pPr>
            <w:r>
              <w:rPr>
                <w:rFonts w:hint="eastAsia" w:ascii="宋体" w:hAnsi="宋体" w:cs="宋体"/>
                <w:szCs w:val="21"/>
              </w:rPr>
              <w:t>措施全面合理、内容完整具备可行性的得5分；内容较为全面基本合理的得3分；内容不够全面的的得1分；缺项不得分。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Cs w:val="21"/>
              </w:rPr>
            </w:pPr>
          </w:p>
        </w:tc>
        <w:tc>
          <w:tcPr>
            <w:tcW w:w="1362" w:type="dxa"/>
            <w:vAlign w:val="center"/>
          </w:tcPr>
          <w:p w14:paraId="150E9D19">
            <w:pPr>
              <w:snapToGrid w:val="0"/>
              <w:spacing w:line="32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设计的环保性（</w:t>
            </w:r>
            <w:r>
              <w:rPr>
                <w:rFonts w:hint="eastAsia" w:ascii="宋体" w:hAnsi="宋体" w:cs="宋体"/>
                <w:szCs w:val="21"/>
              </w:rPr>
              <w:t>6</w:t>
            </w:r>
            <w:r>
              <w:rPr>
                <w:rFonts w:ascii="宋体" w:hAnsi="宋体" w:cs="宋体"/>
                <w:szCs w:val="21"/>
              </w:rPr>
              <w:t>分）</w:t>
            </w:r>
          </w:p>
        </w:tc>
        <w:tc>
          <w:tcPr>
            <w:tcW w:w="6922" w:type="dxa"/>
            <w:vAlign w:val="center"/>
          </w:tcPr>
          <w:p w14:paraId="6CAD878B">
            <w:pPr>
              <w:widowControl/>
              <w:snapToGrid w:val="0"/>
              <w:spacing w:line="320" w:lineRule="exact"/>
              <w:rPr>
                <w:rFonts w:hint="eastAsia" w:ascii="宋体" w:hAnsi="宋体" w:cs="宋体"/>
                <w:szCs w:val="21"/>
              </w:rPr>
            </w:pPr>
            <w:r>
              <w:rPr>
                <w:rFonts w:hint="eastAsia" w:ascii="宋体" w:hAnsi="宋体" w:cs="宋体"/>
                <w:szCs w:val="21"/>
              </w:rPr>
              <w:t>设计实施方案将环保融入设计，涵盖节能、绿色建材与室内空气质量、人性化设计、废弃物管理等内容。</w:t>
            </w:r>
          </w:p>
          <w:p w14:paraId="5835D9EE">
            <w:pPr>
              <w:widowControl/>
              <w:snapToGrid w:val="0"/>
              <w:spacing w:line="320" w:lineRule="exact"/>
              <w:rPr>
                <w:rFonts w:hint="eastAsia" w:ascii="宋体" w:hAnsi="宋体" w:cs="宋体"/>
                <w:szCs w:val="21"/>
              </w:rPr>
            </w:pPr>
            <w:r>
              <w:rPr>
                <w:rFonts w:hint="eastAsia" w:ascii="宋体" w:hAnsi="宋体" w:cs="宋体"/>
                <w:szCs w:val="21"/>
              </w:rPr>
              <w:t>规划合理、内容齐全，符合规定的得6分；内容较为齐全的得4分；内容不够齐全的得2分，缺项或不合理者不得分。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Cs w:val="21"/>
              </w:rPr>
            </w:pPr>
          </w:p>
        </w:tc>
        <w:tc>
          <w:tcPr>
            <w:tcW w:w="1362" w:type="dxa"/>
            <w:vAlign w:val="center"/>
          </w:tcPr>
          <w:p w14:paraId="49202644">
            <w:pPr>
              <w:snapToGrid w:val="0"/>
              <w:spacing w:line="32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质量的技术组织措施</w:t>
            </w:r>
          </w:p>
          <w:p w14:paraId="7168CDD3">
            <w:pPr>
              <w:snapToGrid w:val="0"/>
              <w:spacing w:line="320" w:lineRule="exact"/>
              <w:jc w:val="center"/>
              <w:rPr>
                <w:rFonts w:hint="eastAsia" w:ascii="宋体" w:hAnsi="宋体" w:cs="宋体"/>
                <w:szCs w:val="21"/>
              </w:rPr>
            </w:pPr>
            <w:r>
              <w:rPr>
                <w:rFonts w:ascii="宋体" w:hAnsi="宋体" w:cs="宋体"/>
                <w:szCs w:val="21"/>
              </w:rPr>
              <w:t>（</w:t>
            </w:r>
            <w:r>
              <w:rPr>
                <w:rFonts w:hint="eastAsia" w:ascii="宋体" w:hAnsi="宋体" w:cs="宋体"/>
                <w:szCs w:val="21"/>
              </w:rPr>
              <w:t>6</w:t>
            </w:r>
            <w:r>
              <w:rPr>
                <w:rFonts w:ascii="宋体" w:hAnsi="宋体" w:cs="宋体"/>
                <w:szCs w:val="21"/>
              </w:rPr>
              <w:t>分）</w:t>
            </w:r>
          </w:p>
        </w:tc>
        <w:tc>
          <w:tcPr>
            <w:tcW w:w="6922" w:type="dxa"/>
            <w:vAlign w:val="center"/>
          </w:tcPr>
          <w:p w14:paraId="5CAD10A9">
            <w:pPr>
              <w:widowControl/>
              <w:snapToGrid w:val="0"/>
              <w:spacing w:line="320" w:lineRule="exact"/>
              <w:rPr>
                <w:rFonts w:hint="eastAsia" w:ascii="宋体" w:hAnsi="宋体" w:cs="宋体"/>
                <w:szCs w:val="21"/>
              </w:rPr>
            </w:pPr>
            <w:r>
              <w:rPr>
                <w:rFonts w:hint="eastAsia" w:ascii="宋体" w:hAnsi="宋体" w:cs="宋体"/>
                <w:szCs w:val="21"/>
              </w:rPr>
              <w:t>确保设计质量的技术组织措施内容全面、减少设计变更等措施方法可行。措施全面合理、内容完整具备可行性的得6分；内容较为全面基本合理的得4分；内容不够全面的得2分；缺项不得分。</w:t>
            </w:r>
          </w:p>
        </w:tc>
      </w:tr>
      <w:tr w14:paraId="1E0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1D592131">
            <w:pPr>
              <w:snapToGrid w:val="0"/>
              <w:spacing w:line="320" w:lineRule="exact"/>
              <w:jc w:val="center"/>
              <w:rPr>
                <w:rFonts w:hint="eastAsia" w:ascii="宋体" w:hAnsi="宋体" w:cs="宋体"/>
                <w:szCs w:val="21"/>
              </w:rPr>
            </w:pPr>
          </w:p>
        </w:tc>
        <w:tc>
          <w:tcPr>
            <w:tcW w:w="1362" w:type="dxa"/>
            <w:vAlign w:val="center"/>
          </w:tcPr>
          <w:p w14:paraId="7F5B2173">
            <w:pPr>
              <w:snapToGrid w:val="0"/>
              <w:spacing w:line="320" w:lineRule="exact"/>
              <w:jc w:val="center"/>
              <w:rPr>
                <w:rFonts w:hint="eastAsia" w:ascii="宋体" w:hAnsi="宋体" w:cs="宋体"/>
                <w:szCs w:val="21"/>
              </w:rPr>
            </w:pPr>
            <w:r>
              <w:rPr>
                <w:rFonts w:hint="eastAsia" w:ascii="宋体" w:hAnsi="宋体" w:cs="宋体"/>
                <w:szCs w:val="21"/>
              </w:rPr>
              <w:t>7.进度措施</w:t>
            </w:r>
          </w:p>
          <w:p w14:paraId="661F3202">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55CE7308">
            <w:pPr>
              <w:widowControl/>
              <w:snapToGrid w:val="0"/>
              <w:spacing w:line="320" w:lineRule="exact"/>
              <w:rPr>
                <w:rFonts w:hint="eastAsia" w:ascii="宋体" w:hAnsi="宋体" w:cs="宋体"/>
                <w:szCs w:val="21"/>
              </w:rPr>
            </w:pPr>
            <w:r>
              <w:rPr>
                <w:rFonts w:hint="eastAsia" w:ascii="宋体" w:hAnsi="宋体" w:cs="宋体"/>
                <w:szCs w:val="21"/>
              </w:rPr>
              <w:t>针对本项目特点及设计周期安排设计进度计划，项目设计进度计划表编制科学合理，有确保进度的技术组织措施切实可行。</w:t>
            </w:r>
          </w:p>
          <w:p w14:paraId="6C1FE0DB">
            <w:pPr>
              <w:widowControl/>
              <w:snapToGrid w:val="0"/>
              <w:spacing w:line="320" w:lineRule="exact"/>
              <w:rPr>
                <w:rFonts w:hint="eastAsia" w:ascii="宋体" w:hAnsi="宋体" w:cs="宋体"/>
                <w:szCs w:val="21"/>
              </w:rPr>
            </w:pPr>
            <w:r>
              <w:rPr>
                <w:rFonts w:hint="eastAsia" w:ascii="宋体" w:hAnsi="宋体" w:cs="宋体"/>
                <w:szCs w:val="21"/>
              </w:rPr>
              <w:t>措施全面合理、内容完整具备可行性得5分；内容较为全面基本合理得3分；内容不够全面的得1分；缺项不得分。</w:t>
            </w:r>
          </w:p>
        </w:tc>
      </w:tr>
      <w:tr w14:paraId="19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8" w:type="dxa"/>
            <w:vMerge w:val="continue"/>
            <w:vAlign w:val="center"/>
          </w:tcPr>
          <w:p w14:paraId="52C933C7">
            <w:pPr>
              <w:snapToGrid w:val="0"/>
              <w:spacing w:line="320" w:lineRule="exact"/>
              <w:jc w:val="center"/>
              <w:rPr>
                <w:rFonts w:hint="eastAsia" w:ascii="宋体" w:hAnsi="宋体" w:cs="宋体"/>
                <w:szCs w:val="21"/>
              </w:rPr>
            </w:pPr>
          </w:p>
        </w:tc>
        <w:tc>
          <w:tcPr>
            <w:tcW w:w="1362" w:type="dxa"/>
            <w:vAlign w:val="center"/>
          </w:tcPr>
          <w:p w14:paraId="0BD449B0">
            <w:pPr>
              <w:snapToGrid w:val="0"/>
              <w:spacing w:line="320" w:lineRule="exact"/>
              <w:jc w:val="center"/>
              <w:rPr>
                <w:rFonts w:hint="eastAsia" w:ascii="宋体" w:hAnsi="宋体" w:cs="宋体"/>
                <w:szCs w:val="21"/>
              </w:rPr>
            </w:pPr>
            <w:r>
              <w:rPr>
                <w:rFonts w:hint="eastAsia" w:ascii="宋体" w:hAnsi="宋体" w:cs="宋体"/>
                <w:szCs w:val="21"/>
              </w:rPr>
              <w:t>8.工作重点、难点分析</w:t>
            </w:r>
          </w:p>
          <w:p w14:paraId="6A1BAA18">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42594DA9">
            <w:pPr>
              <w:widowControl/>
              <w:snapToGrid w:val="0"/>
              <w:spacing w:line="320" w:lineRule="exact"/>
              <w:rPr>
                <w:rFonts w:hint="eastAsia" w:ascii="宋体" w:hAnsi="宋体" w:cs="宋体"/>
                <w:szCs w:val="21"/>
              </w:rPr>
            </w:pPr>
            <w:r>
              <w:rPr>
                <w:rFonts w:hint="eastAsia" w:ascii="宋体" w:hAnsi="宋体" w:cs="宋体"/>
                <w:szCs w:val="21"/>
              </w:rPr>
              <w:t>设计工作重点、难点分析和解决方案。</w:t>
            </w:r>
          </w:p>
          <w:p w14:paraId="7705184B">
            <w:pPr>
              <w:widowControl/>
              <w:snapToGrid w:val="0"/>
              <w:spacing w:line="320" w:lineRule="exact"/>
              <w:rPr>
                <w:rFonts w:hint="eastAsia" w:ascii="宋体" w:hAnsi="宋体" w:cs="宋体"/>
                <w:szCs w:val="21"/>
              </w:rPr>
            </w:pPr>
            <w:r>
              <w:rPr>
                <w:rFonts w:hint="eastAsia" w:ascii="宋体" w:hAnsi="宋体" w:cs="宋体"/>
                <w:szCs w:val="21"/>
              </w:rPr>
              <w:t>重难点分析全面，解决措施可行的得5分；重难点分析较为全面，解决措施较为可行的得3分；重难点分析不够全面，解决措施基本可行的得1分；缺项或不合理者不得分。</w:t>
            </w:r>
          </w:p>
        </w:tc>
      </w:tr>
      <w:tr w14:paraId="3A7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98" w:type="dxa"/>
            <w:vMerge w:val="continue"/>
            <w:vAlign w:val="center"/>
          </w:tcPr>
          <w:p w14:paraId="29B4EE52">
            <w:pPr>
              <w:snapToGrid w:val="0"/>
              <w:spacing w:line="320" w:lineRule="exact"/>
              <w:jc w:val="center"/>
              <w:rPr>
                <w:rFonts w:hint="eastAsia" w:ascii="宋体" w:hAnsi="宋体" w:cs="宋体"/>
                <w:szCs w:val="21"/>
              </w:rPr>
            </w:pPr>
          </w:p>
        </w:tc>
        <w:tc>
          <w:tcPr>
            <w:tcW w:w="1362" w:type="dxa"/>
            <w:vAlign w:val="center"/>
          </w:tcPr>
          <w:p w14:paraId="1D27950F">
            <w:pPr>
              <w:snapToGrid w:val="0"/>
              <w:spacing w:line="320" w:lineRule="exact"/>
              <w:jc w:val="center"/>
              <w:rPr>
                <w:rFonts w:hint="eastAsia" w:ascii="宋体" w:hAnsi="宋体" w:cs="宋体"/>
                <w:szCs w:val="21"/>
              </w:rPr>
            </w:pPr>
            <w:r>
              <w:rPr>
                <w:rFonts w:hint="eastAsia" w:ascii="宋体" w:hAnsi="宋体" w:cs="宋体"/>
                <w:szCs w:val="21"/>
              </w:rPr>
              <w:t>9.服务承诺</w:t>
            </w:r>
          </w:p>
          <w:p w14:paraId="128E2F0D">
            <w:pPr>
              <w:snapToGrid w:val="0"/>
              <w:spacing w:line="320" w:lineRule="exact"/>
              <w:jc w:val="center"/>
              <w:rPr>
                <w:rFonts w:hint="eastAsia" w:ascii="宋体" w:hAnsi="宋体" w:cs="宋体"/>
                <w:szCs w:val="21"/>
              </w:rPr>
            </w:pPr>
            <w:r>
              <w:rPr>
                <w:rFonts w:hint="eastAsia" w:ascii="宋体" w:hAnsi="宋体" w:cs="宋体"/>
                <w:szCs w:val="21"/>
              </w:rPr>
              <w:t>（2分）</w:t>
            </w:r>
          </w:p>
        </w:tc>
        <w:tc>
          <w:tcPr>
            <w:tcW w:w="6922" w:type="dxa"/>
            <w:vAlign w:val="center"/>
          </w:tcPr>
          <w:p w14:paraId="73AFCDF3">
            <w:pPr>
              <w:widowControl/>
              <w:snapToGrid w:val="0"/>
              <w:spacing w:line="320" w:lineRule="exact"/>
              <w:rPr>
                <w:rFonts w:hint="eastAsia" w:ascii="宋体" w:hAnsi="宋体" w:cs="宋体"/>
                <w:szCs w:val="21"/>
              </w:rPr>
            </w:pPr>
            <w:r>
              <w:rPr>
                <w:rFonts w:hint="eastAsia" w:ascii="宋体" w:hAnsi="宋体" w:cs="宋体"/>
                <w:szCs w:val="21"/>
              </w:rPr>
              <w:t>供应商针对该项目施工阶段，安排不少于1名参与并熟悉该项目的主要设计人员，须明确驻场人员，并承诺驻场人员能够随时响应招标人要求，需要提供现场服务的，2小时内到达现场，有违约愿接受处罚措施。提供相关承诺得2分，没有的不得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Cs w:val="21"/>
              </w:rPr>
            </w:pPr>
            <w:r>
              <w:rPr>
                <w:rFonts w:hint="eastAsia" w:ascii="宋体" w:hAnsi="宋体" w:cs="宋体"/>
                <w:szCs w:val="21"/>
              </w:rPr>
              <w:t>商务评价</w:t>
            </w:r>
          </w:p>
          <w:p w14:paraId="7BEA59A1">
            <w:pPr>
              <w:snapToGrid w:val="0"/>
              <w:spacing w:line="320" w:lineRule="exact"/>
              <w:jc w:val="center"/>
              <w:rPr>
                <w:rFonts w:hint="eastAsia" w:ascii="宋体" w:hAnsi="宋体" w:cs="宋体"/>
                <w:szCs w:val="21"/>
              </w:rPr>
            </w:pPr>
            <w:r>
              <w:rPr>
                <w:rFonts w:hint="eastAsia" w:ascii="宋体" w:hAnsi="宋体" w:cs="宋体"/>
                <w:szCs w:val="21"/>
              </w:rPr>
              <w:t>(28分)</w:t>
            </w:r>
          </w:p>
        </w:tc>
        <w:tc>
          <w:tcPr>
            <w:tcW w:w="1362" w:type="dxa"/>
            <w:vMerge w:val="restart"/>
            <w:tcBorders>
              <w:top w:val="single" w:color="auto" w:sz="4" w:space="0"/>
            </w:tcBorders>
            <w:vAlign w:val="center"/>
          </w:tcPr>
          <w:p w14:paraId="687D796F">
            <w:pPr>
              <w:snapToGrid w:val="0"/>
              <w:spacing w:line="320" w:lineRule="exact"/>
              <w:jc w:val="center"/>
              <w:rPr>
                <w:rFonts w:hint="eastAsia" w:ascii="宋体" w:hAnsi="宋体" w:cs="宋体"/>
                <w:szCs w:val="21"/>
              </w:rPr>
            </w:pPr>
            <w:r>
              <w:rPr>
                <w:rFonts w:hint="eastAsia" w:ascii="宋体" w:hAnsi="宋体" w:cs="宋体"/>
                <w:szCs w:val="21"/>
              </w:rPr>
              <w:t>1.服务团队</w:t>
            </w:r>
          </w:p>
          <w:p w14:paraId="30A89295">
            <w:pPr>
              <w:snapToGrid w:val="0"/>
              <w:spacing w:line="320" w:lineRule="exact"/>
              <w:jc w:val="center"/>
              <w:rPr>
                <w:rFonts w:hint="eastAsia" w:ascii="宋体" w:hAnsi="宋体" w:cs="宋体"/>
                <w:szCs w:val="21"/>
              </w:rPr>
            </w:pPr>
            <w:r>
              <w:rPr>
                <w:rFonts w:hint="eastAsia" w:ascii="宋体" w:hAnsi="宋体" w:cs="宋体"/>
                <w:szCs w:val="21"/>
              </w:rPr>
              <w:t>（20分）</w:t>
            </w:r>
          </w:p>
        </w:tc>
        <w:tc>
          <w:tcPr>
            <w:tcW w:w="6922" w:type="dxa"/>
            <w:vAlign w:val="center"/>
          </w:tcPr>
          <w:p w14:paraId="4E0C3040">
            <w:pPr>
              <w:widowControl/>
              <w:snapToGrid w:val="0"/>
              <w:spacing w:line="320" w:lineRule="exact"/>
              <w:rPr>
                <w:rFonts w:hint="eastAsia" w:ascii="宋体" w:hAnsi="宋体" w:cs="宋体"/>
                <w:szCs w:val="21"/>
              </w:rPr>
            </w:pPr>
            <w:r>
              <w:rPr>
                <w:rFonts w:hint="eastAsia" w:ascii="宋体" w:hAnsi="宋体" w:cs="宋体"/>
                <w:szCs w:val="21"/>
              </w:rPr>
              <w:t>为确保设计质量、进度、安全拟配备人员齐全满足项目需要，岗位配备合理。机构设置完善、岗位配备齐全的得4分，机构设置较为完善、岗位</w:t>
            </w:r>
          </w:p>
          <w:p w14:paraId="44A3E416">
            <w:pPr>
              <w:widowControl/>
              <w:snapToGrid w:val="0"/>
              <w:spacing w:line="320" w:lineRule="exact"/>
              <w:rPr>
                <w:rFonts w:hint="eastAsia" w:ascii="宋体" w:hAnsi="宋体" w:cs="宋体"/>
                <w:szCs w:val="21"/>
              </w:rPr>
            </w:pPr>
            <w:r>
              <w:rPr>
                <w:rFonts w:hint="eastAsia" w:ascii="宋体" w:hAnsi="宋体" w:cs="宋体"/>
                <w:szCs w:val="21"/>
              </w:rPr>
              <w:t>配备较为齐全的得</w:t>
            </w:r>
            <w:bookmarkStart w:id="104" w:name="_GoBack"/>
            <w:bookmarkEnd w:id="104"/>
            <w:r>
              <w:rPr>
                <w:rFonts w:hint="eastAsia" w:ascii="宋体" w:hAnsi="宋体" w:cs="宋体"/>
                <w:szCs w:val="21"/>
              </w:rPr>
              <w:t>2分，岗位配备不够齐全的得1分，缺项或不合理者不得分。</w:t>
            </w:r>
          </w:p>
          <w:p w14:paraId="5E71FBDA">
            <w:pPr>
              <w:widowControl/>
              <w:snapToGrid w:val="0"/>
              <w:spacing w:line="320" w:lineRule="exact"/>
            </w:pPr>
            <w:r>
              <w:rPr>
                <w:rFonts w:hint="eastAsia" w:ascii="宋体" w:hAnsi="宋体" w:cs="宋体"/>
                <w:szCs w:val="21"/>
              </w:rPr>
              <w:t>注：提供组织结构图或配备机构说明；配备人员的清单及职责、分工。</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Cs w:val="21"/>
              </w:rPr>
            </w:pPr>
          </w:p>
        </w:tc>
        <w:tc>
          <w:tcPr>
            <w:tcW w:w="1362" w:type="dxa"/>
            <w:vMerge w:val="continue"/>
            <w:tcBorders>
              <w:top w:val="single" w:color="auto" w:sz="4" w:space="0"/>
            </w:tcBorders>
            <w:vAlign w:val="center"/>
          </w:tcPr>
          <w:p w14:paraId="7930FA3B">
            <w:pPr>
              <w:snapToGrid w:val="0"/>
              <w:spacing w:line="320" w:lineRule="exact"/>
              <w:jc w:val="center"/>
              <w:rPr>
                <w:rFonts w:hint="eastAsia" w:ascii="宋体" w:hAnsi="宋体" w:cs="宋体"/>
                <w:szCs w:val="21"/>
              </w:rPr>
            </w:pPr>
          </w:p>
        </w:tc>
        <w:tc>
          <w:tcPr>
            <w:tcW w:w="6922" w:type="dxa"/>
            <w:vAlign w:val="center"/>
          </w:tcPr>
          <w:p w14:paraId="66FCAF8E">
            <w:pPr>
              <w:widowControl/>
              <w:snapToGrid w:val="0"/>
              <w:spacing w:line="320" w:lineRule="exact"/>
              <w:rPr>
                <w:highlight w:val="none"/>
              </w:rPr>
            </w:pPr>
            <w:r>
              <w:rPr>
                <w:highlight w:val="none"/>
              </w:rPr>
              <w:t>根据</w:t>
            </w:r>
            <w:r>
              <w:rPr>
                <w:rFonts w:hint="eastAsia"/>
                <w:highlight w:val="none"/>
              </w:rPr>
              <w:t>供应商</w:t>
            </w:r>
            <w:r>
              <w:rPr>
                <w:highlight w:val="none"/>
              </w:rPr>
              <w:t>拟派入本项目的人员情况</w:t>
            </w:r>
            <w:r>
              <w:rPr>
                <w:rFonts w:hint="eastAsia"/>
                <w:highlight w:val="none"/>
              </w:rPr>
              <w:t>：</w:t>
            </w:r>
          </w:p>
          <w:p w14:paraId="06E7B9D3">
            <w:pPr>
              <w:widowControl/>
              <w:snapToGrid w:val="0"/>
              <w:spacing w:line="320" w:lineRule="exact"/>
              <w:rPr>
                <w:highlight w:val="none"/>
              </w:rPr>
            </w:pPr>
            <w:r>
              <w:rPr>
                <w:rFonts w:hint="eastAsia"/>
                <w:highlight w:val="none"/>
              </w:rPr>
              <w:t>1.</w:t>
            </w:r>
            <w:r>
              <w:rPr>
                <w:highlight w:val="none"/>
              </w:rPr>
              <w:t>具有</w:t>
            </w:r>
            <w:r>
              <w:rPr>
                <w:rFonts w:hint="eastAsia"/>
                <w:highlight w:val="none"/>
              </w:rPr>
              <w:t>一名</w:t>
            </w:r>
            <w:r>
              <w:rPr>
                <w:highlight w:val="none"/>
              </w:rPr>
              <w:t>设计类高级职称的加</w:t>
            </w:r>
            <w:r>
              <w:rPr>
                <w:rFonts w:hint="eastAsia"/>
                <w:highlight w:val="none"/>
              </w:rPr>
              <w:t>4</w:t>
            </w:r>
            <w:r>
              <w:rPr>
                <w:highlight w:val="none"/>
              </w:rPr>
              <w:t>分；本项最多得</w:t>
            </w:r>
            <w:r>
              <w:rPr>
                <w:rFonts w:hint="eastAsia"/>
                <w:highlight w:val="none"/>
              </w:rPr>
              <w:t>4</w:t>
            </w:r>
            <w:r>
              <w:rPr>
                <w:highlight w:val="none"/>
              </w:rPr>
              <w:t>分</w:t>
            </w:r>
            <w:r>
              <w:rPr>
                <w:rFonts w:hint="eastAsia"/>
                <w:highlight w:val="none"/>
              </w:rPr>
              <w:t>；</w:t>
            </w:r>
          </w:p>
          <w:p w14:paraId="02D081F6">
            <w:pPr>
              <w:widowControl/>
              <w:snapToGrid w:val="0"/>
              <w:spacing w:line="320" w:lineRule="exact"/>
              <w:rPr>
                <w:highlight w:val="none"/>
              </w:rPr>
            </w:pPr>
            <w:r>
              <w:rPr>
                <w:highlight w:val="none"/>
              </w:rPr>
              <w:t>2.拟投入项目成员具备建筑、结构、给排水、暖通、电气、造价等专业，具有国家注册证书或高级及职称</w:t>
            </w:r>
            <w:r>
              <w:rPr>
                <w:rFonts w:hint="eastAsia"/>
                <w:highlight w:val="none"/>
              </w:rPr>
              <w:t>的</w:t>
            </w:r>
            <w:r>
              <w:rPr>
                <w:highlight w:val="none"/>
              </w:rPr>
              <w:t>，各专业齐全得</w:t>
            </w:r>
            <w:r>
              <w:rPr>
                <w:rFonts w:hint="eastAsia"/>
                <w:highlight w:val="none"/>
              </w:rPr>
              <w:t>12</w:t>
            </w:r>
            <w:r>
              <w:rPr>
                <w:highlight w:val="none"/>
              </w:rPr>
              <w:t>分，缺少1个专业扣</w:t>
            </w:r>
            <w:r>
              <w:rPr>
                <w:rFonts w:hint="eastAsia"/>
                <w:highlight w:val="none"/>
              </w:rPr>
              <w:t>2</w:t>
            </w:r>
            <w:r>
              <w:rPr>
                <w:highlight w:val="none"/>
              </w:rPr>
              <w:t>分，扣完为止。</w:t>
            </w:r>
          </w:p>
          <w:p w14:paraId="14167796">
            <w:pPr>
              <w:widowControl/>
              <w:snapToGrid w:val="0"/>
              <w:spacing w:line="320" w:lineRule="exact"/>
              <w:jc w:val="left"/>
              <w:rPr>
                <w:rFonts w:hint="eastAsia" w:ascii="宋体" w:hAnsi="宋体" w:cs="宋体"/>
                <w:szCs w:val="21"/>
                <w:highlight w:val="none"/>
              </w:rPr>
            </w:pPr>
            <w:r>
              <w:rPr>
                <w:highlight w:val="none"/>
              </w:rPr>
              <w:t>注：</w:t>
            </w:r>
            <w:r>
              <w:rPr>
                <w:rFonts w:hint="eastAsia"/>
                <w:highlight w:val="none"/>
              </w:rPr>
              <w:t>以上人员满足资格条件外，</w:t>
            </w:r>
            <w:r>
              <w:rPr>
                <w:highlight w:val="none"/>
              </w:rPr>
              <w:t>人员不重复得分；需提供相应证明材料并加盖供应商公章。</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6732041">
            <w:pPr>
              <w:snapToGrid w:val="0"/>
              <w:spacing w:line="320" w:lineRule="exact"/>
              <w:jc w:val="center"/>
              <w:rPr>
                <w:rFonts w:hint="eastAsia" w:ascii="宋体" w:hAnsi="宋体" w:cs="宋体"/>
                <w:szCs w:val="21"/>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Cs w:val="21"/>
              </w:rPr>
            </w:pPr>
            <w:r>
              <w:rPr>
                <w:rFonts w:hint="eastAsia" w:ascii="宋体" w:hAnsi="宋体" w:cs="宋体"/>
                <w:szCs w:val="21"/>
              </w:rPr>
              <w:t>2.类似业绩</w:t>
            </w:r>
          </w:p>
          <w:p w14:paraId="0FF43E73">
            <w:pPr>
              <w:snapToGrid w:val="0"/>
              <w:spacing w:line="320" w:lineRule="exact"/>
              <w:jc w:val="center"/>
              <w:rPr>
                <w:rFonts w:hint="eastAsia" w:ascii="宋体" w:hAnsi="宋体" w:cs="宋体"/>
                <w:szCs w:val="21"/>
              </w:rPr>
            </w:pPr>
            <w:r>
              <w:rPr>
                <w:rFonts w:hint="eastAsia" w:ascii="宋体" w:hAnsi="宋体" w:cs="宋体"/>
                <w:szCs w:val="21"/>
              </w:rPr>
              <w:t>(8分)</w:t>
            </w:r>
          </w:p>
        </w:tc>
        <w:tc>
          <w:tcPr>
            <w:tcW w:w="6922" w:type="dxa"/>
            <w:vAlign w:val="center"/>
          </w:tcPr>
          <w:p w14:paraId="280C6E10">
            <w:pPr>
              <w:widowControl/>
              <w:snapToGrid w:val="0"/>
              <w:spacing w:line="320" w:lineRule="exact"/>
              <w:jc w:val="left"/>
              <w:rPr>
                <w:rFonts w:hint="eastAsia" w:ascii="宋体" w:hAnsi="宋体" w:cs="宋体"/>
              </w:rPr>
            </w:pPr>
            <w:r>
              <w:rPr>
                <w:rFonts w:hint="eastAsia" w:ascii="宋体" w:hAnsi="宋体" w:cs="宋体"/>
              </w:rPr>
              <w:t>供应商自2022年1月1日以来供应商承担过的类似设计类项目；</w:t>
            </w:r>
            <w:r>
              <w:rPr>
                <w:rFonts w:hint="eastAsia" w:ascii="宋体" w:hAnsi="宋体" w:cs="宋体"/>
                <w:szCs w:val="21"/>
              </w:rPr>
              <w:t>每提供一份得2分</w:t>
            </w:r>
            <w:r>
              <w:rPr>
                <w:rFonts w:hint="eastAsia" w:ascii="宋体" w:hAnsi="宋体" w:cs="宋体"/>
              </w:rPr>
              <w:t>，本项最多得8分。</w:t>
            </w:r>
          </w:p>
          <w:p w14:paraId="7FE71CB2">
            <w:pPr>
              <w:widowControl/>
              <w:snapToGrid w:val="0"/>
              <w:spacing w:line="320" w:lineRule="exact"/>
              <w:jc w:val="left"/>
              <w:rPr>
                <w:rFonts w:hint="eastAsia" w:ascii="宋体" w:hAnsi="宋体" w:cs="宋体"/>
              </w:rPr>
            </w:pPr>
            <w:r>
              <w:rPr>
                <w:rFonts w:hint="eastAsia" w:ascii="宋体" w:hAnsi="宋体" w:cs="宋体"/>
              </w:rPr>
              <w:t>注：提供合同</w:t>
            </w:r>
            <w:r>
              <w:rPr>
                <w:rFonts w:hint="eastAsia" w:ascii="宋体" w:hAnsi="宋体" w:cs="宋体"/>
                <w:lang w:val="en-US" w:eastAsia="zh-CN"/>
              </w:rPr>
              <w:t>复印件</w:t>
            </w:r>
            <w:r>
              <w:rPr>
                <w:rFonts w:hint="eastAsia" w:ascii="宋体" w:hAnsi="宋体" w:cs="宋体"/>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DFB3A7A">
            <w:pPr>
              <w:snapToGrid w:val="0"/>
              <w:spacing w:line="340" w:lineRule="exact"/>
              <w:jc w:val="center"/>
              <w:rPr>
                <w:rFonts w:hint="eastAsia" w:ascii="宋体" w:hAnsi="宋体" w:cs="宋体"/>
                <w:szCs w:val="21"/>
              </w:rPr>
            </w:pPr>
            <w:r>
              <w:rPr>
                <w:rFonts w:hint="eastAsia" w:ascii="宋体" w:hAnsi="宋体" w:cs="宋体"/>
                <w:szCs w:val="21"/>
              </w:rPr>
              <w:t>得分的计算</w:t>
            </w:r>
          </w:p>
        </w:tc>
        <w:tc>
          <w:tcPr>
            <w:tcW w:w="8284" w:type="dxa"/>
            <w:gridSpan w:val="2"/>
            <w:vAlign w:val="center"/>
          </w:tcPr>
          <w:p w14:paraId="39FF4C36">
            <w:pPr>
              <w:snapToGrid w:val="0"/>
              <w:spacing w:line="340" w:lineRule="exact"/>
              <w:rPr>
                <w:rFonts w:hint="eastAsia" w:ascii="宋体" w:hAnsi="宋体" w:cs="宋体"/>
                <w:szCs w:val="21"/>
              </w:rPr>
            </w:pPr>
            <w:r>
              <w:rPr>
                <w:rFonts w:hint="eastAsia" w:ascii="宋体" w:hAnsi="宋体" w:cs="宋体"/>
                <w:szCs w:val="21"/>
              </w:rPr>
              <w:t>磋商小组成员评分=各项评分因素的汇总得分。</w:t>
            </w:r>
          </w:p>
          <w:p w14:paraId="121B910E">
            <w:pPr>
              <w:snapToGrid w:val="0"/>
              <w:spacing w:line="34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6564D97D">
      <w:pPr>
        <w:snapToGrid w:val="0"/>
        <w:rPr>
          <w:rFonts w:hint="eastAsia" w:ascii="宋体" w:hAnsi="宋体" w:cs="宋体"/>
          <w:kern w:val="0"/>
          <w:szCs w:val="21"/>
        </w:rPr>
      </w:pPr>
    </w:p>
    <w:p w14:paraId="68F8709E">
      <w:pPr>
        <w:rPr>
          <w:rFonts w:hint="eastAsia" w:ascii="宋体" w:hAnsi="宋体" w:cs="宋体"/>
          <w:b/>
        </w:rPr>
      </w:pPr>
      <w:r>
        <w:rPr>
          <w:rFonts w:hint="eastAsia" w:ascii="宋体" w:hAnsi="宋体" w:cs="宋体"/>
          <w:b/>
        </w:rPr>
        <w:br w:type="page"/>
      </w:r>
    </w:p>
    <w:bookmarkEnd w:id="47"/>
    <w:p w14:paraId="1E053FEE">
      <w:pPr>
        <w:rPr>
          <w:rFonts w:hint="eastAsia" w:ascii="宋体" w:hAnsi="宋体" w:cs="宋体"/>
        </w:rPr>
      </w:pPr>
      <w:bookmarkStart w:id="52" w:name="_Toc1482"/>
      <w:bookmarkStart w:id="53" w:name="_Toc1947"/>
      <w:bookmarkStart w:id="54" w:name="_Toc326786897"/>
      <w:bookmarkStart w:id="55" w:name="_Toc256519703"/>
    </w:p>
    <w:p w14:paraId="4A7261D4">
      <w:pPr>
        <w:pStyle w:val="2"/>
        <w:snapToGrid w:val="0"/>
        <w:spacing w:before="0" w:after="0" w:line="480" w:lineRule="auto"/>
        <w:jc w:val="center"/>
        <w:rPr>
          <w:rFonts w:hint="eastAsia" w:ascii="宋体" w:hAnsi="宋体" w:cs="宋体"/>
          <w:sz w:val="28"/>
          <w:szCs w:val="28"/>
        </w:rPr>
      </w:pPr>
      <w:bookmarkStart w:id="56" w:name="_Toc11904"/>
      <w:r>
        <w:rPr>
          <w:rFonts w:hint="eastAsia" w:ascii="宋体" w:hAnsi="宋体" w:cs="宋体"/>
          <w:sz w:val="28"/>
          <w:szCs w:val="28"/>
        </w:rPr>
        <w:t>第五章  采购合同</w:t>
      </w:r>
      <w:bookmarkEnd w:id="56"/>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p w14:paraId="538D35A0">
      <w:pPr>
        <w:pStyle w:val="31"/>
        <w:ind w:firstLine="210"/>
        <w:rPr>
          <w:rFonts w:hint="eastAsia" w:ascii="宋体" w:hAnsi="宋体" w:cs="宋体"/>
        </w:rPr>
      </w:pPr>
    </w:p>
    <w:p w14:paraId="6B4F0F44">
      <w:pPr>
        <w:pStyle w:val="2"/>
        <w:jc w:val="center"/>
        <w:rPr>
          <w:rFonts w:hint="eastAsia" w:ascii="宋体" w:hAnsi="宋体" w:cs="宋体"/>
          <w:kern w:val="0"/>
        </w:rPr>
      </w:pPr>
      <w:bookmarkStart w:id="57" w:name="_Toc18702"/>
      <w:r>
        <w:rPr>
          <w:rFonts w:hint="eastAsia" w:ascii="宋体" w:hAnsi="宋体" w:cs="宋体"/>
          <w:sz w:val="32"/>
          <w:szCs w:val="32"/>
        </w:rPr>
        <w:t>第六章  响应文件格式</w:t>
      </w:r>
      <w:bookmarkEnd w:id="52"/>
      <w:bookmarkEnd w:id="53"/>
      <w:bookmarkEnd w:id="57"/>
    </w:p>
    <w:p w14:paraId="5309A33B">
      <w:pPr>
        <w:spacing w:line="440" w:lineRule="exact"/>
        <w:rPr>
          <w:rFonts w:hint="eastAsia" w:ascii="宋体" w:hAnsi="宋体" w:cs="宋体"/>
          <w:sz w:val="24"/>
        </w:rPr>
      </w:pPr>
    </w:p>
    <w:p w14:paraId="33C7EE45">
      <w:pPr>
        <w:jc w:val="center"/>
        <w:rPr>
          <w:rFonts w:hint="eastAsia" w:ascii="宋体" w:hAnsi="宋体" w:cs="宋体"/>
          <w:b/>
          <w:bCs/>
          <w:sz w:val="32"/>
          <w:szCs w:val="32"/>
        </w:rPr>
      </w:pPr>
      <w:bookmarkStart w:id="58" w:name="_Toc13604"/>
      <w:r>
        <w:rPr>
          <w:rFonts w:hint="eastAsia" w:ascii="宋体" w:hAnsi="宋体" w:cs="宋体"/>
          <w:b/>
          <w:bCs/>
          <w:sz w:val="32"/>
          <w:szCs w:val="32"/>
        </w:rPr>
        <w:t>目    录</w:t>
      </w:r>
      <w:bookmarkEnd w:id="58"/>
    </w:p>
    <w:p w14:paraId="180C8CC2">
      <w:pPr>
        <w:widowControl/>
        <w:wordWrap w:val="0"/>
        <w:spacing w:line="460" w:lineRule="exact"/>
        <w:ind w:firstLine="480" w:firstLineChars="200"/>
        <w:jc w:val="left"/>
        <w:rPr>
          <w:rFonts w:hint="eastAsia" w:ascii="宋体" w:hAnsi="宋体" w:cs="宋体"/>
          <w:kern w:val="0"/>
          <w:sz w:val="24"/>
        </w:rPr>
      </w:pPr>
    </w:p>
    <w:p w14:paraId="3480B117">
      <w:pPr>
        <w:widowControl/>
        <w:wordWrap w:val="0"/>
        <w:spacing w:line="460" w:lineRule="exact"/>
        <w:ind w:firstLine="480" w:firstLineChars="200"/>
        <w:jc w:val="left"/>
        <w:rPr>
          <w:rFonts w:hint="eastAsia" w:ascii="宋体" w:hAnsi="宋体" w:cs="宋体"/>
          <w:kern w:val="0"/>
          <w:sz w:val="24"/>
        </w:rPr>
      </w:pPr>
    </w:p>
    <w:p w14:paraId="48168530">
      <w:pPr>
        <w:snapToGrid w:val="0"/>
        <w:spacing w:line="360" w:lineRule="auto"/>
        <w:ind w:firstLine="480" w:firstLineChars="200"/>
        <w:rPr>
          <w:rFonts w:hint="eastAsia" w:ascii="宋体" w:hAnsi="宋体" w:cs="宋体"/>
          <w:sz w:val="24"/>
        </w:rPr>
      </w:pPr>
      <w:bookmarkStart w:id="59" w:name="_Toc11308"/>
      <w:r>
        <w:rPr>
          <w:rFonts w:hint="eastAsia" w:ascii="宋体" w:hAnsi="宋体" w:cs="宋体"/>
          <w:sz w:val="24"/>
        </w:rPr>
        <w:t>附件1 响应文件封面（格式）</w:t>
      </w:r>
      <w:bookmarkEnd w:id="59"/>
    </w:p>
    <w:p w14:paraId="2300675E">
      <w:pPr>
        <w:snapToGrid w:val="0"/>
        <w:spacing w:line="360" w:lineRule="auto"/>
        <w:ind w:firstLine="480" w:firstLineChars="200"/>
        <w:rPr>
          <w:rFonts w:hint="eastAsia" w:ascii="宋体" w:hAnsi="宋体" w:cs="宋体"/>
          <w:sz w:val="24"/>
        </w:rPr>
      </w:pPr>
      <w:bookmarkStart w:id="60" w:name="_Toc25345"/>
      <w:r>
        <w:rPr>
          <w:rFonts w:hint="eastAsia" w:ascii="宋体" w:hAnsi="宋体" w:cs="宋体"/>
          <w:sz w:val="24"/>
        </w:rPr>
        <w:t>附件2 竞争性磋商响应书（格式）</w:t>
      </w:r>
      <w:bookmarkEnd w:id="60"/>
    </w:p>
    <w:p w14:paraId="618A4E53">
      <w:pPr>
        <w:snapToGrid w:val="0"/>
        <w:spacing w:line="360" w:lineRule="auto"/>
        <w:ind w:firstLine="480" w:firstLineChars="200"/>
        <w:rPr>
          <w:rFonts w:hint="eastAsia" w:ascii="宋体" w:hAnsi="宋体" w:cs="宋体"/>
          <w:sz w:val="24"/>
        </w:rPr>
      </w:pPr>
      <w:bookmarkStart w:id="61" w:name="_Toc10217"/>
      <w:r>
        <w:rPr>
          <w:rFonts w:hint="eastAsia" w:ascii="宋体" w:hAnsi="宋体" w:cs="宋体"/>
          <w:sz w:val="24"/>
        </w:rPr>
        <w:t>附件3 初次报价一览表（格式）</w:t>
      </w:r>
      <w:bookmarkEnd w:id="61"/>
    </w:p>
    <w:p w14:paraId="11EBA371">
      <w:pPr>
        <w:snapToGrid w:val="0"/>
        <w:spacing w:line="360" w:lineRule="auto"/>
        <w:ind w:firstLine="480" w:firstLineChars="200"/>
        <w:rPr>
          <w:rFonts w:hint="eastAsia" w:ascii="宋体" w:hAnsi="宋体" w:cs="宋体"/>
          <w:sz w:val="24"/>
        </w:rPr>
      </w:pPr>
      <w:bookmarkStart w:id="62" w:name="_Toc9579"/>
      <w:r>
        <w:rPr>
          <w:rFonts w:hint="eastAsia" w:ascii="宋体" w:hAnsi="宋体" w:cs="宋体"/>
          <w:sz w:val="24"/>
        </w:rPr>
        <w:t xml:space="preserve">附件4 </w:t>
      </w:r>
      <w:bookmarkEnd w:id="62"/>
      <w:r>
        <w:rPr>
          <w:rFonts w:hint="eastAsia" w:ascii="宋体" w:hAnsi="宋体" w:cs="宋体"/>
          <w:sz w:val="24"/>
        </w:rPr>
        <w:t>技术响应表（格式）</w:t>
      </w:r>
    </w:p>
    <w:p w14:paraId="17E9DF00">
      <w:pPr>
        <w:snapToGrid w:val="0"/>
        <w:spacing w:line="360" w:lineRule="auto"/>
        <w:ind w:firstLine="480" w:firstLineChars="200"/>
        <w:rPr>
          <w:rFonts w:hint="eastAsia" w:ascii="宋体" w:hAnsi="宋体" w:cs="宋体"/>
          <w:sz w:val="24"/>
        </w:rPr>
      </w:pPr>
      <w:bookmarkStart w:id="63" w:name="_Toc28392"/>
      <w:r>
        <w:rPr>
          <w:rFonts w:hint="eastAsia" w:ascii="宋体" w:hAnsi="宋体" w:cs="宋体"/>
          <w:sz w:val="24"/>
        </w:rPr>
        <w:t>附件5</w:t>
      </w:r>
      <w:bookmarkEnd w:id="63"/>
      <w:r>
        <w:rPr>
          <w:rFonts w:hint="eastAsia" w:ascii="宋体" w:hAnsi="宋体" w:cs="宋体"/>
          <w:sz w:val="24"/>
        </w:rPr>
        <w:t>技术要求证明材料（格式）</w:t>
      </w:r>
    </w:p>
    <w:p w14:paraId="021CB847">
      <w:pPr>
        <w:snapToGrid w:val="0"/>
        <w:spacing w:line="360" w:lineRule="auto"/>
        <w:ind w:firstLine="480" w:firstLineChars="200"/>
        <w:rPr>
          <w:rFonts w:hint="eastAsia" w:ascii="宋体" w:hAnsi="宋体" w:cs="宋体"/>
          <w:sz w:val="24"/>
        </w:rPr>
      </w:pPr>
      <w:bookmarkStart w:id="64" w:name="_Toc6234"/>
      <w:r>
        <w:rPr>
          <w:rFonts w:hint="eastAsia" w:ascii="宋体" w:hAnsi="宋体" w:cs="宋体"/>
          <w:sz w:val="24"/>
        </w:rPr>
        <w:t>附件6 商务</w:t>
      </w:r>
      <w:bookmarkEnd w:id="64"/>
      <w:r>
        <w:rPr>
          <w:rFonts w:hint="eastAsia" w:ascii="宋体" w:hAnsi="宋体" w:cs="宋体"/>
          <w:sz w:val="24"/>
        </w:rPr>
        <w:t>响应表（格式）</w:t>
      </w:r>
    </w:p>
    <w:p w14:paraId="22D634E4">
      <w:pPr>
        <w:snapToGrid w:val="0"/>
        <w:spacing w:line="360" w:lineRule="auto"/>
        <w:ind w:firstLine="480" w:firstLineChars="200"/>
        <w:rPr>
          <w:rFonts w:hint="eastAsia" w:ascii="宋体" w:hAnsi="宋体" w:cs="宋体"/>
          <w:sz w:val="24"/>
        </w:rPr>
      </w:pPr>
      <w:bookmarkStart w:id="65" w:name="_Toc26231"/>
      <w:r>
        <w:rPr>
          <w:rFonts w:hint="eastAsia" w:ascii="宋体" w:hAnsi="宋体" w:cs="宋体"/>
          <w:sz w:val="24"/>
        </w:rPr>
        <w:t>附件7 法定代表人身份证明（格式）</w:t>
      </w:r>
      <w:bookmarkEnd w:id="65"/>
    </w:p>
    <w:p w14:paraId="0EB7D20B">
      <w:pPr>
        <w:snapToGrid w:val="0"/>
        <w:spacing w:line="360" w:lineRule="auto"/>
        <w:ind w:firstLine="480" w:firstLineChars="200"/>
        <w:rPr>
          <w:rFonts w:hint="eastAsia" w:ascii="宋体" w:hAnsi="宋体" w:cs="宋体"/>
          <w:sz w:val="24"/>
        </w:rPr>
      </w:pPr>
      <w:bookmarkStart w:id="66" w:name="_Toc18484"/>
      <w:r>
        <w:rPr>
          <w:rFonts w:hint="eastAsia" w:ascii="宋体" w:hAnsi="宋体" w:cs="宋体"/>
          <w:sz w:val="24"/>
        </w:rPr>
        <w:t>附件8 法定代表人授权书（格式）</w:t>
      </w:r>
      <w:bookmarkEnd w:id="66"/>
    </w:p>
    <w:p w14:paraId="3D01B7DA">
      <w:pPr>
        <w:snapToGrid w:val="0"/>
        <w:spacing w:line="360" w:lineRule="auto"/>
        <w:ind w:firstLine="480" w:firstLineChars="200"/>
        <w:rPr>
          <w:rFonts w:hint="eastAsia" w:ascii="宋体" w:hAnsi="宋体" w:cs="宋体"/>
          <w:sz w:val="24"/>
        </w:rPr>
      </w:pPr>
      <w:bookmarkStart w:id="67" w:name="_Toc31857"/>
      <w:r>
        <w:rPr>
          <w:rFonts w:hint="eastAsia" w:ascii="宋体" w:hAnsi="宋体" w:cs="宋体"/>
          <w:sz w:val="24"/>
        </w:rPr>
        <w:t>附件9 证明文件</w:t>
      </w:r>
      <w:bookmarkEnd w:id="67"/>
    </w:p>
    <w:p w14:paraId="05F70775">
      <w:pPr>
        <w:snapToGrid w:val="0"/>
        <w:spacing w:line="360" w:lineRule="auto"/>
        <w:ind w:firstLine="480" w:firstLineChars="200"/>
        <w:rPr>
          <w:rFonts w:hint="eastAsia" w:ascii="宋体" w:hAnsi="宋体" w:cs="宋体"/>
          <w:sz w:val="24"/>
        </w:rPr>
      </w:pPr>
      <w:bookmarkStart w:id="68" w:name="_Toc23116"/>
      <w:r>
        <w:rPr>
          <w:rFonts w:hint="eastAsia" w:ascii="宋体" w:hAnsi="宋体" w:cs="宋体"/>
          <w:sz w:val="24"/>
        </w:rPr>
        <w:t>附件10 供应商承诺书（格式）</w:t>
      </w:r>
      <w:bookmarkEnd w:id="68"/>
    </w:p>
    <w:p w14:paraId="70E5BE23">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38BC2C1E">
      <w:pPr>
        <w:snapToGrid w:val="0"/>
        <w:spacing w:line="360" w:lineRule="auto"/>
        <w:ind w:firstLine="480" w:firstLineChars="200"/>
        <w:rPr>
          <w:rFonts w:hint="eastAsia" w:ascii="宋体" w:hAnsi="宋体" w:cs="宋体"/>
          <w:sz w:val="24"/>
        </w:rPr>
      </w:pPr>
    </w:p>
    <w:p w14:paraId="25F547DA">
      <w:pPr>
        <w:pStyle w:val="31"/>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3"/>
        <w:rPr>
          <w:rFonts w:hint="eastAsia" w:ascii="宋体" w:hAnsi="宋体" w:cs="宋体"/>
          <w:b/>
          <w:bCs/>
          <w:kern w:val="0"/>
          <w:sz w:val="24"/>
        </w:rPr>
      </w:pPr>
    </w:p>
    <w:p w14:paraId="1C774012">
      <w:pPr>
        <w:pStyle w:val="4"/>
        <w:rPr>
          <w:rFonts w:hint="eastAsia" w:hAnsi="宋体"/>
          <w:b/>
          <w:bCs/>
          <w:color w:val="auto"/>
        </w:rPr>
      </w:pPr>
    </w:p>
    <w:p w14:paraId="25E1C423">
      <w:pPr>
        <w:pStyle w:val="4"/>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471F2210">
      <w:pPr>
        <w:pStyle w:val="26"/>
        <w:rPr>
          <w:rFonts w:hint="eastAsia" w:ascii="宋体" w:hAnsi="宋体" w:cs="宋体"/>
        </w:rPr>
      </w:pPr>
    </w:p>
    <w:p w14:paraId="106A8B32">
      <w:pPr>
        <w:pStyle w:val="6"/>
        <w:snapToGrid w:val="0"/>
        <w:spacing w:before="20" w:after="20" w:line="360" w:lineRule="auto"/>
        <w:rPr>
          <w:rFonts w:hint="eastAsia" w:ascii="宋体" w:hAnsi="宋体" w:eastAsia="宋体" w:cs="宋体"/>
          <w:sz w:val="28"/>
          <w:szCs w:val="28"/>
        </w:rPr>
      </w:pPr>
      <w:bookmarkStart w:id="69" w:name="_Toc31798"/>
      <w:bookmarkStart w:id="70" w:name="_Toc24743"/>
      <w:r>
        <w:rPr>
          <w:rFonts w:hint="eastAsia" w:ascii="宋体" w:hAnsi="宋体" w:eastAsia="宋体" w:cs="宋体"/>
          <w:sz w:val="28"/>
          <w:szCs w:val="28"/>
        </w:rPr>
        <w:t>附件1               响应文件封面（格式）</w:t>
      </w:r>
      <w:bookmarkEnd w:id="69"/>
      <w:bookmarkEnd w:id="70"/>
    </w:p>
    <w:p w14:paraId="626AA64C">
      <w:pPr>
        <w:widowControl/>
        <w:wordWrap w:val="0"/>
        <w:spacing w:line="460" w:lineRule="exact"/>
        <w:ind w:firstLine="482" w:firstLineChars="200"/>
        <w:jc w:val="center"/>
        <w:rPr>
          <w:rFonts w:hint="eastAsia" w:ascii="宋体" w:hAnsi="宋体" w:cs="宋体"/>
          <w:b/>
          <w:kern w:val="0"/>
          <w:sz w:val="24"/>
        </w:rPr>
      </w:pPr>
    </w:p>
    <w:p w14:paraId="307AA719">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C693CB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1C4B92D3">
      <w:pPr>
        <w:spacing w:line="360" w:lineRule="auto"/>
        <w:rPr>
          <w:rFonts w:hint="eastAsia" w:ascii="宋体" w:hAnsi="宋体" w:cs="宋体"/>
          <w:sz w:val="28"/>
        </w:rPr>
      </w:pPr>
    </w:p>
    <w:p w14:paraId="1A4C67D2">
      <w:pPr>
        <w:pStyle w:val="4"/>
        <w:spacing w:line="360" w:lineRule="auto"/>
        <w:rPr>
          <w:rFonts w:hint="eastAsia" w:hAnsi="宋体"/>
          <w:color w:val="auto"/>
        </w:rPr>
      </w:pPr>
    </w:p>
    <w:p w14:paraId="00379B7D">
      <w:pPr>
        <w:pStyle w:val="4"/>
        <w:spacing w:line="360" w:lineRule="auto"/>
        <w:rPr>
          <w:rFonts w:hint="eastAsia" w:hAnsi="宋体"/>
          <w:color w:val="auto"/>
        </w:rPr>
      </w:pPr>
    </w:p>
    <w:p w14:paraId="7054C6BA">
      <w:pPr>
        <w:spacing w:line="360" w:lineRule="auto"/>
        <w:rPr>
          <w:rFonts w:hint="eastAsia" w:ascii="宋体" w:hAnsi="宋体" w:cs="宋体"/>
          <w:sz w:val="28"/>
        </w:rPr>
      </w:pPr>
    </w:p>
    <w:p w14:paraId="7F58AFE0">
      <w:pPr>
        <w:spacing w:line="360" w:lineRule="auto"/>
        <w:rPr>
          <w:rFonts w:hint="eastAsia" w:ascii="宋体" w:hAnsi="宋体" w:cs="宋体"/>
          <w:sz w:val="28"/>
        </w:rPr>
      </w:pPr>
    </w:p>
    <w:p w14:paraId="08601898">
      <w:pPr>
        <w:spacing w:line="360" w:lineRule="auto"/>
        <w:rPr>
          <w:rFonts w:hint="eastAsia" w:ascii="宋体" w:hAnsi="宋体" w:cs="宋体"/>
          <w:sz w:val="28"/>
        </w:rPr>
      </w:pPr>
    </w:p>
    <w:p w14:paraId="699C2834">
      <w:pPr>
        <w:spacing w:line="360" w:lineRule="auto"/>
        <w:rPr>
          <w:rFonts w:hint="eastAsia" w:ascii="宋体" w:hAnsi="宋体" w:cs="宋体"/>
          <w:sz w:val="28"/>
        </w:rPr>
      </w:pPr>
    </w:p>
    <w:p w14:paraId="26BF3A72">
      <w:pPr>
        <w:spacing w:line="360" w:lineRule="auto"/>
        <w:rPr>
          <w:rFonts w:hint="eastAsia" w:ascii="宋体" w:hAnsi="宋体" w:cs="宋体"/>
          <w:sz w:val="28"/>
        </w:rPr>
      </w:pPr>
    </w:p>
    <w:p w14:paraId="1131DBF1">
      <w:pPr>
        <w:pStyle w:val="22"/>
        <w:rPr>
          <w:rFonts w:hint="eastAsia" w:ascii="宋体" w:hAnsi="宋体" w:cs="宋体"/>
          <w:sz w:val="28"/>
        </w:rPr>
      </w:pPr>
    </w:p>
    <w:p w14:paraId="40CF6CB1">
      <w:pPr>
        <w:pStyle w:val="22"/>
        <w:rPr>
          <w:rFonts w:hint="eastAsia" w:ascii="宋体" w:hAnsi="宋体" w:cs="宋体"/>
          <w:sz w:val="28"/>
        </w:rPr>
      </w:pPr>
    </w:p>
    <w:p w14:paraId="7089885B">
      <w:pPr>
        <w:pStyle w:val="22"/>
        <w:rPr>
          <w:rFonts w:hint="eastAsia" w:ascii="宋体" w:hAnsi="宋体" w:cs="宋体"/>
          <w:sz w:val="28"/>
        </w:rPr>
      </w:pPr>
    </w:p>
    <w:p w14:paraId="674104E4">
      <w:pPr>
        <w:spacing w:line="360" w:lineRule="auto"/>
        <w:rPr>
          <w:rFonts w:hint="eastAsia" w:ascii="宋体" w:hAnsi="宋体" w:cs="宋体"/>
          <w:sz w:val="28"/>
        </w:rPr>
      </w:pPr>
    </w:p>
    <w:p w14:paraId="44658627">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5D87285">
      <w:pPr>
        <w:widowControl/>
        <w:wordWrap w:val="0"/>
        <w:spacing w:line="460" w:lineRule="exact"/>
        <w:jc w:val="center"/>
        <w:rPr>
          <w:rFonts w:hint="eastAsia" w:ascii="宋体" w:hAnsi="宋体" w:cs="宋体"/>
          <w:sz w:val="28"/>
          <w:szCs w:val="28"/>
          <w:u w:val="single"/>
        </w:rPr>
      </w:pPr>
      <w:r>
        <w:rPr>
          <w:rFonts w:hint="eastAsia" w:ascii="宋体" w:hAnsi="宋体" w:cs="宋体"/>
          <w:sz w:val="28"/>
          <w:szCs w:val="28"/>
        </w:rPr>
        <w:t>法定代表人或委托代理人（签字或盖章）：</w:t>
      </w:r>
      <w:r>
        <w:rPr>
          <w:rFonts w:hint="eastAsia" w:ascii="宋体" w:hAnsi="宋体" w:cs="宋体"/>
          <w:sz w:val="28"/>
          <w:szCs w:val="28"/>
          <w:u w:val="single"/>
        </w:rPr>
        <w:t xml:space="preserve">       </w:t>
      </w:r>
    </w:p>
    <w:p w14:paraId="5BADFE74">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3D079370">
      <w:pPr>
        <w:widowControl/>
        <w:wordWrap w:val="0"/>
        <w:spacing w:line="460" w:lineRule="exact"/>
        <w:ind w:firstLine="482" w:firstLineChars="200"/>
        <w:jc w:val="left"/>
        <w:rPr>
          <w:rFonts w:hint="eastAsia" w:ascii="宋体" w:hAnsi="宋体" w:cs="宋体"/>
          <w:b/>
          <w:kern w:val="0"/>
          <w:sz w:val="24"/>
        </w:rPr>
      </w:pPr>
    </w:p>
    <w:p w14:paraId="66B00DB8">
      <w:pPr>
        <w:pStyle w:val="3"/>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p w14:paraId="4B34DCBF">
      <w:pPr>
        <w:pStyle w:val="6"/>
        <w:keepNext w:val="0"/>
        <w:snapToGrid w:val="0"/>
        <w:spacing w:before="20" w:after="20" w:line="360" w:lineRule="auto"/>
        <w:jc w:val="center"/>
        <w:rPr>
          <w:rFonts w:hint="eastAsia" w:ascii="宋体" w:hAnsi="宋体" w:eastAsia="宋体" w:cs="宋体"/>
          <w:sz w:val="28"/>
          <w:szCs w:val="28"/>
        </w:rPr>
      </w:pPr>
      <w:bookmarkStart w:id="71" w:name="_Toc8818"/>
      <w:bookmarkStart w:id="72" w:name="_Toc14560"/>
      <w:r>
        <w:rPr>
          <w:rFonts w:hint="eastAsia" w:ascii="宋体" w:hAnsi="宋体" w:eastAsia="宋体" w:cs="宋体"/>
          <w:sz w:val="28"/>
          <w:szCs w:val="28"/>
        </w:rPr>
        <w:t>附件2      竞争性磋商响应书（格式）</w:t>
      </w:r>
      <w:bookmarkEnd w:id="71"/>
      <w:bookmarkEnd w:id="72"/>
    </w:p>
    <w:p w14:paraId="46056E97">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9708393">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4C748DB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2E6EAF1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2、技术响应表。</w:t>
      </w:r>
    </w:p>
    <w:p w14:paraId="673F722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3、商务响应表。</w:t>
      </w:r>
    </w:p>
    <w:p w14:paraId="080BEF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4、证明文件。</w:t>
      </w:r>
    </w:p>
    <w:p w14:paraId="4CDCDE37">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为便于贵方公正、择优地确定成交供应商，我方就本次投标有关事项郑重声明并宣布同意如下：</w:t>
      </w:r>
    </w:p>
    <w:p w14:paraId="5045D08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竞争性磋商文件中规定的参加政府采购活动的供应商应当具备的条件。我方愿意向贵方提供任何与本采购项目投标有关的数据、情况和技术资料，并根据需要提供一切承诺的证明材料，并保证其真实、合法、有效。</w:t>
      </w:r>
    </w:p>
    <w:p w14:paraId="215E92A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42C096C">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872536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4、我方已详细审查全部竞争性磋商文件，包括修改文件（如有的话）和有关附件，将自行承担因对全部竞争性磋商文件理解不正确或误解而产生的相应后果。</w:t>
      </w:r>
    </w:p>
    <w:p w14:paraId="04F6176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6FEC3F07">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6、我方理解并遵守竞争性磋商文件的全部规定，接受竞争性磋商文件中政府采购合同的全部条款且无任何异议。</w:t>
      </w:r>
    </w:p>
    <w:p w14:paraId="553AD85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D8B6C7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78CD9ED2">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0352CCF6">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A8DB7C9">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49D05943">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12、如果被确定为成交供应商，我方同意按竞争性磋商文件的规定领取成交通知书并缴纳服务费。否则，视为我方成交后自动放弃成交资格，承担由此引起的一切后果。</w:t>
      </w:r>
    </w:p>
    <w:p w14:paraId="58FD358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日内，按照竞争性磋商文件的规定与采购人签订采购合同。否则，视为我方成交后无正当理由不与采购人签订合同并承担相应法律责任。</w:t>
      </w:r>
    </w:p>
    <w:p w14:paraId="04FA91B9">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1BB5235A">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0F19EF9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578DE2C">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w:t>
      </w:r>
    </w:p>
    <w:p w14:paraId="68F0363E">
      <w:pPr>
        <w:wordWrap w:val="0"/>
        <w:spacing w:line="460" w:lineRule="exact"/>
        <w:ind w:firstLine="420" w:firstLineChars="200"/>
        <w:jc w:val="left"/>
        <w:rPr>
          <w:rFonts w:hint="eastAsia" w:ascii="宋体" w:hAnsi="宋体" w:cs="宋体"/>
          <w:kern w:val="0"/>
          <w:szCs w:val="21"/>
        </w:rPr>
      </w:pPr>
    </w:p>
    <w:p w14:paraId="625DD6D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w:t>
      </w:r>
      <w:r>
        <w:rPr>
          <w:rFonts w:hint="eastAsia" w:ascii="宋体" w:hAnsi="宋体" w:cs="宋体"/>
          <w:szCs w:val="21"/>
          <w:u w:val="single"/>
        </w:rPr>
        <w:t xml:space="preserve">             </w:t>
      </w:r>
    </w:p>
    <w:p w14:paraId="4506F827">
      <w:pPr>
        <w:wordWrap w:val="0"/>
        <w:spacing w:line="460" w:lineRule="exact"/>
        <w:ind w:firstLine="735" w:firstLineChars="350"/>
        <w:jc w:val="left"/>
        <w:rPr>
          <w:rFonts w:hint="eastAsia" w:ascii="宋体" w:hAnsi="宋体" w:cs="宋体"/>
          <w:szCs w:val="21"/>
        </w:rPr>
      </w:pP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76ABD0C">
      <w:pPr>
        <w:wordWrap w:val="0"/>
        <w:spacing w:line="460" w:lineRule="exact"/>
        <w:ind w:firstLine="420" w:firstLineChars="200"/>
        <w:jc w:val="left"/>
        <w:rPr>
          <w:rFonts w:hint="eastAsia" w:ascii="宋体" w:hAnsi="宋体" w:cs="宋体"/>
          <w:kern w:val="0"/>
          <w:szCs w:val="21"/>
        </w:rPr>
      </w:pPr>
    </w:p>
    <w:p w14:paraId="14E336C6">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4C587D92">
      <w:pPr>
        <w:rPr>
          <w:rFonts w:hint="eastAsia" w:ascii="宋体" w:hAnsi="宋体" w:cs="宋体"/>
          <w:sz w:val="28"/>
          <w:szCs w:val="28"/>
        </w:rPr>
      </w:pPr>
      <w:r>
        <w:rPr>
          <w:rFonts w:hint="eastAsia" w:ascii="宋体" w:hAnsi="宋体" w:cs="宋体"/>
          <w:sz w:val="28"/>
          <w:szCs w:val="28"/>
        </w:rPr>
        <w:br w:type="page"/>
      </w:r>
    </w:p>
    <w:p w14:paraId="79D619E9">
      <w:pPr>
        <w:rPr>
          <w:rFonts w:hint="eastAsia" w:ascii="宋体" w:hAnsi="宋体" w:cs="宋体"/>
        </w:rPr>
      </w:pPr>
    </w:p>
    <w:p w14:paraId="25ACF19D">
      <w:pPr>
        <w:pStyle w:val="6"/>
        <w:snapToGrid w:val="0"/>
        <w:spacing w:before="20" w:after="20" w:line="360" w:lineRule="auto"/>
        <w:jc w:val="center"/>
        <w:rPr>
          <w:rFonts w:hint="eastAsia" w:ascii="宋体" w:hAnsi="宋体" w:eastAsia="宋体" w:cs="宋体"/>
          <w:sz w:val="28"/>
          <w:szCs w:val="28"/>
        </w:rPr>
      </w:pPr>
      <w:bookmarkStart w:id="73" w:name="_Toc7838"/>
      <w:r>
        <w:rPr>
          <w:rFonts w:hint="eastAsia" w:ascii="宋体" w:hAnsi="宋体" w:eastAsia="宋体" w:cs="宋体"/>
          <w:sz w:val="28"/>
          <w:szCs w:val="28"/>
        </w:rPr>
        <w:t>附件3        初次报价一览表</w:t>
      </w:r>
      <w:bookmarkEnd w:id="73"/>
      <w:r>
        <w:rPr>
          <w:rFonts w:hint="eastAsia" w:ascii="宋体" w:hAnsi="宋体" w:eastAsia="宋体" w:cs="宋体"/>
          <w:sz w:val="28"/>
          <w:szCs w:val="28"/>
        </w:rPr>
        <w:t>（格式）</w:t>
      </w:r>
    </w:p>
    <w:p w14:paraId="76BDD226">
      <w:pPr>
        <w:spacing w:line="239" w:lineRule="auto"/>
        <w:jc w:val="right"/>
        <w:rPr>
          <w:rFonts w:hint="eastAsia" w:ascii="宋体" w:hAnsi="宋体" w:cs="宋体"/>
          <w:sz w:val="24"/>
        </w:rPr>
      </w:pPr>
      <w:r>
        <w:rPr>
          <w:rFonts w:hint="eastAsia" w:ascii="宋体" w:hAnsi="宋体" w:cs="宋体"/>
          <w:sz w:val="24"/>
        </w:rPr>
        <w:t>单位：人民币（元）</w:t>
      </w:r>
    </w:p>
    <w:p w14:paraId="6B33EBE5">
      <w:pPr>
        <w:rPr>
          <w:rFonts w:hint="eastAsia"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EDA63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550DF607">
            <w:pPr>
              <w:rPr>
                <w:rFonts w:hint="eastAsia" w:ascii="宋体" w:hAnsi="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E9B63E4">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4A53DA2D">
            <w:pPr>
              <w:rPr>
                <w:rFonts w:hint="eastAsia" w:ascii="宋体" w:hAnsi="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1348002">
            <w:pPr>
              <w:jc w:val="center"/>
              <w:rPr>
                <w:rFonts w:hint="eastAsia" w:ascii="宋体" w:hAnsi="宋体" w:cs="宋体"/>
                <w:spacing w:val="-20"/>
                <w:szCs w:val="21"/>
              </w:rPr>
            </w:pPr>
            <w:r>
              <w:rPr>
                <w:rFonts w:hint="eastAsia" w:ascii="宋体" w:hAnsi="宋体" w:cs="宋体"/>
                <w:szCs w:val="21"/>
              </w:rPr>
              <w:t>磋商报价</w:t>
            </w:r>
          </w:p>
        </w:tc>
        <w:tc>
          <w:tcPr>
            <w:tcW w:w="7708" w:type="dxa"/>
            <w:noWrap/>
            <w:vAlign w:val="center"/>
          </w:tcPr>
          <w:p w14:paraId="161FB34E">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p>
          <w:p w14:paraId="592E845C">
            <w:pPr>
              <w:rPr>
                <w:rFonts w:hint="eastAsia" w:ascii="宋体" w:hAnsi="宋体" w:cs="宋体"/>
                <w:szCs w:val="21"/>
              </w:rPr>
            </w:pP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w:t>
            </w:r>
          </w:p>
        </w:tc>
      </w:tr>
      <w:tr w14:paraId="327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1D06E7">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059EA6CF">
            <w:pPr>
              <w:pStyle w:val="21"/>
              <w:ind w:left="0" w:leftChars="0"/>
              <w:rPr>
                <w:rFonts w:hint="eastAsia" w:cs="宋体"/>
                <w:szCs w:val="21"/>
                <w:u w:val="single"/>
              </w:rPr>
            </w:pPr>
            <w:r>
              <w:rPr>
                <w:rFonts w:hint="eastAsia" w:cs="宋体"/>
                <w:kern w:val="0"/>
                <w:sz w:val="21"/>
                <w:szCs w:val="21"/>
              </w:rPr>
              <w:t>响应文件递交截止期结束后60日。</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48D86B3A">
            <w:pPr>
              <w:pStyle w:val="21"/>
              <w:ind w:left="0" w:leftChars="0"/>
              <w:rPr>
                <w:rFonts w:hint="eastAsia" w:cs="宋体"/>
                <w:sz w:val="21"/>
                <w:szCs w:val="21"/>
              </w:rPr>
            </w:pPr>
          </w:p>
        </w:tc>
      </w:tr>
    </w:tbl>
    <w:p w14:paraId="74698A4B">
      <w:pPr>
        <w:spacing w:line="360" w:lineRule="auto"/>
        <w:ind w:firstLine="420" w:firstLineChars="200"/>
        <w:rPr>
          <w:rFonts w:hint="eastAsia" w:ascii="宋体" w:hAnsi="宋体" w:cs="宋体"/>
          <w:szCs w:val="21"/>
        </w:rPr>
      </w:pPr>
      <w:r>
        <w:rPr>
          <w:rFonts w:hint="eastAsia" w:ascii="宋体" w:hAnsi="宋体" w:cs="宋体"/>
          <w:kern w:val="0"/>
          <w:szCs w:val="21"/>
        </w:rPr>
        <w:t>注:</w:t>
      </w:r>
      <w:bookmarkStart w:id="74" w:name="_Toc20877"/>
      <w:bookmarkStart w:id="75" w:name="_Toc11620"/>
      <w:r>
        <w:rPr>
          <w:rFonts w:hint="eastAsia" w:ascii="宋体" w:hAnsi="宋体" w:cs="宋体"/>
          <w:szCs w:val="21"/>
        </w:rPr>
        <w:t>1、报价一经涂改，应在涂改处加盖单位公章或投标人代表签字或盖章，否则其投标作无效标处理。</w:t>
      </w:r>
    </w:p>
    <w:p w14:paraId="0FEB5A5B">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bookmarkStart w:id="76" w:name="_Toc2747"/>
      <w:r>
        <w:rPr>
          <w:rFonts w:hint="eastAsia" w:ascii="宋体" w:hAnsi="宋体" w:cs="宋体"/>
          <w:szCs w:val="21"/>
        </w:rPr>
        <w:t>2、以上报价应与“投标报价明细表”中的报价相一致。</w:t>
      </w:r>
      <w:bookmarkEnd w:id="76"/>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3、投标人按格式填列，不得自行更改。否则引起的不利后果由投标人承担。</w:t>
      </w:r>
    </w:p>
    <w:p w14:paraId="46362479">
      <w:pPr>
        <w:spacing w:line="360" w:lineRule="auto"/>
        <w:ind w:firstLine="420" w:firstLineChars="200"/>
        <w:jc w:val="center"/>
        <w:rPr>
          <w:rFonts w:hint="eastAsia" w:ascii="宋体" w:hAnsi="宋体" w:cs="宋体"/>
          <w:szCs w:val="21"/>
        </w:rPr>
      </w:pPr>
    </w:p>
    <w:bookmarkEnd w:id="74"/>
    <w:bookmarkEnd w:id="75"/>
    <w:p w14:paraId="26220CF3">
      <w:pPr>
        <w:widowControl/>
        <w:spacing w:line="360" w:lineRule="auto"/>
        <w:ind w:firstLine="2730" w:firstLineChars="1300"/>
        <w:textAlignment w:val="baseline"/>
        <w:rPr>
          <w:rFonts w:hint="eastAsia" w:ascii="宋体" w:hAnsi="宋体" w:cs="宋体"/>
          <w:szCs w:val="21"/>
        </w:rPr>
      </w:pPr>
      <w:bookmarkStart w:id="77" w:name="_Toc12222"/>
      <w:bookmarkStart w:id="78" w:name="_Toc625"/>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3579BB3">
      <w:pPr>
        <w:spacing w:line="360" w:lineRule="auto"/>
        <w:ind w:firstLine="420" w:firstLineChars="200"/>
        <w:jc w:val="center"/>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7"/>
      <w:bookmarkEnd w:id="78"/>
      <w:r>
        <w:rPr>
          <w:rFonts w:hint="eastAsia" w:ascii="宋体" w:hAnsi="宋体" w:cs="宋体"/>
          <w:szCs w:val="21"/>
          <w:u w:val="single"/>
        </w:rPr>
        <w:t xml:space="preserve">      </w:t>
      </w:r>
    </w:p>
    <w:p w14:paraId="52FCD833">
      <w:pPr>
        <w:jc w:val="center"/>
        <w:rPr>
          <w:rFonts w:hint="eastAsia" w:ascii="宋体" w:hAnsi="宋体" w:cs="宋体"/>
          <w:szCs w:val="21"/>
        </w:rPr>
      </w:pPr>
    </w:p>
    <w:p w14:paraId="48FF02E1">
      <w:pPr>
        <w:spacing w:line="360" w:lineRule="auto"/>
        <w:ind w:firstLine="420" w:firstLineChars="200"/>
        <w:jc w:val="center"/>
        <w:rPr>
          <w:rFonts w:hint="eastAsia" w:ascii="宋体" w:hAnsi="宋体" w:cs="宋体"/>
        </w:rPr>
      </w:pPr>
      <w:bookmarkStart w:id="79" w:name="_Toc1330"/>
      <w:bookmarkStart w:id="80" w:name="_Toc9950"/>
      <w:r>
        <w:rPr>
          <w:rFonts w:hint="eastAsia" w:ascii="宋体" w:hAnsi="宋体" w:cs="宋体"/>
          <w:szCs w:val="21"/>
        </w:rPr>
        <w:t>年  月  日</w:t>
      </w:r>
      <w:bookmarkEnd w:id="79"/>
      <w:bookmarkEnd w:id="80"/>
    </w:p>
    <w:p w14:paraId="7A1E5038">
      <w:pPr>
        <w:rPr>
          <w:rFonts w:hint="eastAsia" w:ascii="宋体" w:hAnsi="宋体" w:cs="宋体"/>
        </w:rPr>
      </w:pPr>
    </w:p>
    <w:bookmarkEnd w:id="54"/>
    <w:bookmarkEnd w:id="55"/>
    <w:p w14:paraId="77F8766B">
      <w:pPr>
        <w:spacing w:before="20" w:after="20"/>
        <w:rPr>
          <w:rFonts w:hint="eastAsia" w:ascii="宋体" w:hAnsi="宋体" w:cs="宋体"/>
        </w:rPr>
      </w:pPr>
      <w:bookmarkStart w:id="81" w:name="_Toc22004"/>
      <w:bookmarkStart w:id="82" w:name="_Toc24984"/>
    </w:p>
    <w:p w14:paraId="11E3CD4D">
      <w:pPr>
        <w:rPr>
          <w:rFonts w:hint="eastAsia" w:ascii="宋体" w:hAnsi="宋体" w:cs="宋体"/>
        </w:rPr>
      </w:pPr>
    </w:p>
    <w:p w14:paraId="6B47C223">
      <w:pPr>
        <w:rPr>
          <w:rFonts w:hint="eastAsia" w:ascii="宋体" w:hAnsi="宋体" w:cs="宋体"/>
        </w:rPr>
      </w:pPr>
      <w:r>
        <w:rPr>
          <w:rFonts w:hint="eastAsia" w:ascii="宋体" w:hAnsi="宋体" w:cs="宋体"/>
        </w:rPr>
        <w:br w:type="page"/>
      </w:r>
    </w:p>
    <w:bookmarkEnd w:id="81"/>
    <w:bookmarkEnd w:id="82"/>
    <w:p w14:paraId="3AEF9746">
      <w:pPr>
        <w:pStyle w:val="6"/>
        <w:snapToGrid w:val="0"/>
        <w:spacing w:before="20" w:after="20" w:line="360" w:lineRule="auto"/>
        <w:ind w:firstLine="1124" w:firstLineChars="400"/>
        <w:rPr>
          <w:rFonts w:hint="eastAsia" w:ascii="宋体" w:hAnsi="宋体" w:eastAsia="宋体" w:cs="宋体"/>
          <w:sz w:val="28"/>
          <w:szCs w:val="28"/>
        </w:rPr>
      </w:pPr>
      <w:bookmarkStart w:id="83" w:name="_Toc15804"/>
      <w:bookmarkStart w:id="84" w:name="_Toc226"/>
      <w:r>
        <w:rPr>
          <w:rFonts w:hint="eastAsia" w:ascii="宋体" w:hAnsi="宋体" w:eastAsia="宋体" w:cs="宋体"/>
          <w:sz w:val="28"/>
          <w:szCs w:val="28"/>
        </w:rPr>
        <w:t xml:space="preserve">附件4 </w:t>
      </w:r>
      <w:bookmarkEnd w:id="83"/>
      <w:bookmarkEnd w:id="84"/>
      <w:r>
        <w:rPr>
          <w:rFonts w:hint="eastAsia" w:ascii="宋体" w:hAnsi="宋体" w:eastAsia="宋体" w:cs="宋体"/>
          <w:sz w:val="28"/>
          <w:szCs w:val="28"/>
        </w:rPr>
        <w:t xml:space="preserve">           技术响应表（格式）</w:t>
      </w:r>
    </w:p>
    <w:p w14:paraId="148B3B43"/>
    <w:p w14:paraId="3C6D4338"/>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468"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202"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468" w:type="dxa"/>
            <w:vAlign w:val="center"/>
          </w:tcPr>
          <w:p w14:paraId="79DC5201">
            <w:pPr>
              <w:widowControl/>
              <w:spacing w:line="360" w:lineRule="auto"/>
              <w:jc w:val="center"/>
              <w:textAlignment w:val="baseline"/>
              <w:rPr>
                <w:rFonts w:hint="eastAsia" w:ascii="宋体" w:hAnsi="宋体" w:cs="宋体"/>
                <w:szCs w:val="21"/>
              </w:rPr>
            </w:pPr>
          </w:p>
        </w:tc>
        <w:tc>
          <w:tcPr>
            <w:tcW w:w="1202"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468" w:type="dxa"/>
            <w:vAlign w:val="center"/>
          </w:tcPr>
          <w:p w14:paraId="3B9C0A2D">
            <w:pPr>
              <w:widowControl/>
              <w:spacing w:line="360" w:lineRule="auto"/>
              <w:jc w:val="center"/>
              <w:textAlignment w:val="baseline"/>
              <w:rPr>
                <w:rFonts w:hint="eastAsia" w:ascii="宋体" w:hAnsi="宋体" w:cs="宋体"/>
                <w:szCs w:val="21"/>
              </w:rPr>
            </w:pPr>
          </w:p>
        </w:tc>
        <w:tc>
          <w:tcPr>
            <w:tcW w:w="1202"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468" w:type="dxa"/>
            <w:vAlign w:val="center"/>
          </w:tcPr>
          <w:p w14:paraId="38EE5D06">
            <w:pPr>
              <w:widowControl/>
              <w:spacing w:line="360" w:lineRule="auto"/>
              <w:jc w:val="center"/>
              <w:textAlignment w:val="baseline"/>
              <w:rPr>
                <w:rFonts w:hint="eastAsia" w:ascii="宋体" w:hAnsi="宋体" w:cs="宋体"/>
                <w:szCs w:val="21"/>
              </w:rPr>
            </w:pPr>
          </w:p>
        </w:tc>
        <w:tc>
          <w:tcPr>
            <w:tcW w:w="1202"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44185BFB">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73F551B9">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254D158D">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940991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cols w:space="720" w:num="1"/>
          <w:docGrid w:type="lines" w:linePitch="319" w:charSpace="0"/>
        </w:sectPr>
      </w:pPr>
    </w:p>
    <w:p w14:paraId="5E3CE8A8">
      <w:pPr>
        <w:pStyle w:val="6"/>
        <w:snapToGrid w:val="0"/>
        <w:spacing w:before="20" w:after="20" w:line="360" w:lineRule="auto"/>
        <w:ind w:firstLine="1124" w:firstLineChars="400"/>
        <w:rPr>
          <w:rFonts w:hint="eastAsia" w:ascii="宋体" w:hAnsi="宋体" w:eastAsia="宋体" w:cs="宋体"/>
          <w:sz w:val="28"/>
          <w:szCs w:val="28"/>
        </w:rPr>
      </w:pPr>
      <w:r>
        <w:rPr>
          <w:rFonts w:hint="eastAsia" w:ascii="宋体" w:hAnsi="宋体" w:eastAsia="宋体" w:cs="宋体"/>
          <w:sz w:val="28"/>
          <w:szCs w:val="28"/>
        </w:rPr>
        <w:t>附件5              技术要求证明材料</w:t>
      </w:r>
    </w:p>
    <w:p w14:paraId="61B659CF"/>
    <w:p w14:paraId="2BA03FCE"/>
    <w:p w14:paraId="3DBC8100"/>
    <w:p w14:paraId="03ADBB90">
      <w:r>
        <w:rPr>
          <w:rFonts w:hint="eastAsia"/>
        </w:rPr>
        <w:t>按照磋商文件“第二章 采购需求 三、技术要求”提供证明文件或承诺</w:t>
      </w:r>
    </w:p>
    <w:p w14:paraId="3B013FA1">
      <w:pPr>
        <w:widowControl/>
        <w:wordWrap w:val="0"/>
        <w:spacing w:line="460" w:lineRule="exact"/>
        <w:ind w:firstLine="643" w:firstLineChars="200"/>
        <w:jc w:val="left"/>
        <w:rPr>
          <w:rFonts w:hint="eastAsia" w:ascii="宋体" w:hAnsi="宋体" w:cs="宋体"/>
          <w:b/>
          <w:kern w:val="0"/>
          <w:sz w:val="32"/>
          <w:szCs w:val="32"/>
        </w:rPr>
      </w:pPr>
    </w:p>
    <w:p w14:paraId="39F2E5CB">
      <w:pPr>
        <w:widowControl/>
        <w:wordWrap w:val="0"/>
        <w:spacing w:line="460" w:lineRule="exact"/>
        <w:ind w:firstLine="643" w:firstLineChars="200"/>
        <w:jc w:val="left"/>
        <w:rPr>
          <w:rFonts w:hint="eastAsia" w:ascii="宋体" w:hAnsi="宋体" w:cs="宋体"/>
          <w:b/>
          <w:kern w:val="0"/>
          <w:sz w:val="32"/>
          <w:szCs w:val="32"/>
        </w:rPr>
      </w:pPr>
    </w:p>
    <w:p w14:paraId="36668293">
      <w:pPr>
        <w:widowControl/>
        <w:wordWrap w:val="0"/>
        <w:spacing w:line="460" w:lineRule="exact"/>
        <w:ind w:firstLine="643" w:firstLineChars="200"/>
        <w:jc w:val="left"/>
        <w:rPr>
          <w:rFonts w:hint="eastAsia" w:ascii="宋体" w:hAnsi="宋体" w:cs="宋体"/>
          <w:b/>
          <w:kern w:val="0"/>
          <w:sz w:val="32"/>
          <w:szCs w:val="32"/>
        </w:rPr>
      </w:pPr>
    </w:p>
    <w:p w14:paraId="15AC157A">
      <w:pPr>
        <w:widowControl/>
        <w:wordWrap w:val="0"/>
        <w:spacing w:line="460" w:lineRule="exact"/>
        <w:ind w:firstLine="643" w:firstLineChars="200"/>
        <w:jc w:val="left"/>
        <w:rPr>
          <w:rFonts w:hint="eastAsia" w:ascii="宋体" w:hAnsi="宋体" w:cs="宋体"/>
          <w:b/>
          <w:kern w:val="0"/>
          <w:sz w:val="32"/>
          <w:szCs w:val="32"/>
        </w:rPr>
      </w:pPr>
    </w:p>
    <w:p w14:paraId="05C09528">
      <w:pPr>
        <w:widowControl/>
        <w:wordWrap w:val="0"/>
        <w:snapToGrid w:val="0"/>
        <w:spacing w:before="50" w:after="159" w:afterLines="50"/>
        <w:jc w:val="left"/>
        <w:rPr>
          <w:rFonts w:hint="eastAsia" w:ascii="宋体" w:hAnsi="宋体" w:cs="宋体"/>
          <w:kern w:val="0"/>
          <w:sz w:val="24"/>
          <w:u w:val="single"/>
        </w:rPr>
      </w:pPr>
    </w:p>
    <w:p w14:paraId="4826DCF9">
      <w:pPr>
        <w:rPr>
          <w:rFonts w:hint="eastAsia" w:ascii="宋体" w:hAnsi="宋体" w:cs="宋体"/>
          <w:b/>
          <w:kern w:val="0"/>
          <w:sz w:val="24"/>
        </w:rPr>
      </w:pPr>
      <w:r>
        <w:rPr>
          <w:rFonts w:hint="eastAsia" w:ascii="宋体" w:hAnsi="宋体" w:cs="宋体"/>
          <w:b/>
          <w:kern w:val="0"/>
          <w:sz w:val="24"/>
        </w:rPr>
        <w:br w:type="page"/>
      </w:r>
    </w:p>
    <w:p w14:paraId="15F81433">
      <w:pPr>
        <w:pStyle w:val="6"/>
        <w:snapToGrid w:val="0"/>
        <w:spacing w:before="20" w:after="20" w:line="360" w:lineRule="auto"/>
        <w:jc w:val="center"/>
        <w:rPr>
          <w:rFonts w:hint="eastAsia" w:ascii="宋体" w:hAnsi="宋体" w:eastAsia="宋体" w:cs="宋体"/>
          <w:sz w:val="28"/>
          <w:szCs w:val="28"/>
        </w:rPr>
      </w:pPr>
      <w:bookmarkStart w:id="85" w:name="_Toc29960"/>
      <w:bookmarkStart w:id="86" w:name="_Toc24168"/>
      <w:bookmarkStart w:id="87" w:name="_Toc20420"/>
      <w:r>
        <w:rPr>
          <w:rFonts w:hint="eastAsia" w:ascii="宋体" w:hAnsi="宋体" w:eastAsia="宋体" w:cs="宋体"/>
          <w:sz w:val="28"/>
          <w:szCs w:val="28"/>
        </w:rPr>
        <w:t>附件6            商务响应</w:t>
      </w:r>
      <w:bookmarkEnd w:id="85"/>
      <w:bookmarkEnd w:id="86"/>
      <w:bookmarkEnd w:id="87"/>
      <w:r>
        <w:rPr>
          <w:rFonts w:hint="eastAsia" w:ascii="宋体" w:hAnsi="宋体" w:eastAsia="宋体" w:cs="宋体"/>
          <w:sz w:val="28"/>
          <w:szCs w:val="28"/>
        </w:rPr>
        <w:t>表（格式）</w:t>
      </w:r>
    </w:p>
    <w:p w14:paraId="692BB6E6">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p w14:paraId="4D14959B">
      <w:pPr>
        <w:widowControl/>
        <w:wordWrap w:val="0"/>
        <w:spacing w:line="460" w:lineRule="exact"/>
        <w:jc w:val="left"/>
        <w:rPr>
          <w:rFonts w:hint="eastAsia" w:ascii="宋体" w:hAnsi="宋体" w:cs="宋体"/>
          <w:b/>
          <w:kern w:val="0"/>
          <w:sz w:val="32"/>
          <w:szCs w:val="32"/>
        </w:rPr>
      </w:pP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1FE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29BC4569">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301" w:type="dxa"/>
            <w:vAlign w:val="center"/>
          </w:tcPr>
          <w:p w14:paraId="36BF886A">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198" w:type="dxa"/>
            <w:vAlign w:val="center"/>
          </w:tcPr>
          <w:p w14:paraId="6CE117FB">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038" w:type="dxa"/>
            <w:vAlign w:val="center"/>
          </w:tcPr>
          <w:p w14:paraId="1261F159">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响应文件响应</w:t>
            </w:r>
          </w:p>
        </w:tc>
        <w:tc>
          <w:tcPr>
            <w:tcW w:w="1349" w:type="dxa"/>
            <w:vAlign w:val="center"/>
          </w:tcPr>
          <w:p w14:paraId="52748BDE">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偏离情况</w:t>
            </w:r>
          </w:p>
        </w:tc>
        <w:tc>
          <w:tcPr>
            <w:tcW w:w="1349" w:type="dxa"/>
            <w:vAlign w:val="center"/>
          </w:tcPr>
          <w:p w14:paraId="5C26A7C0">
            <w:pPr>
              <w:widowControl/>
              <w:snapToGrid w:val="0"/>
              <w:spacing w:before="159" w:beforeLines="50" w:line="360" w:lineRule="auto"/>
              <w:jc w:val="center"/>
              <w:rPr>
                <w:rFonts w:hint="eastAsia" w:ascii="仿宋_GB2312" w:hAnsi="宋体" w:cs="宋体"/>
                <w:kern w:val="0"/>
                <w:sz w:val="24"/>
              </w:rPr>
            </w:pPr>
            <w:r>
              <w:rPr>
                <w:rFonts w:hint="eastAsia" w:ascii="仿宋_GB2312" w:hAnsi="宋体" w:cs="宋体"/>
                <w:kern w:val="0"/>
                <w:sz w:val="24"/>
              </w:rPr>
              <w:t>备注</w:t>
            </w:r>
          </w:p>
        </w:tc>
      </w:tr>
      <w:tr w14:paraId="6461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75D280B">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301" w:type="dxa"/>
            <w:vAlign w:val="center"/>
          </w:tcPr>
          <w:p w14:paraId="3BD5E2D2">
            <w:pPr>
              <w:pStyle w:val="15"/>
              <w:jc w:val="center"/>
              <w:rPr>
                <w:rFonts w:hint="eastAsia"/>
                <w:sz w:val="21"/>
                <w:szCs w:val="21"/>
              </w:rPr>
            </w:pPr>
            <w:r>
              <w:rPr>
                <w:rFonts w:hint="eastAsia"/>
                <w:sz w:val="21"/>
                <w:szCs w:val="21"/>
              </w:rPr>
              <w:t>服务质量</w:t>
            </w:r>
          </w:p>
        </w:tc>
        <w:tc>
          <w:tcPr>
            <w:tcW w:w="2198" w:type="dxa"/>
            <w:vAlign w:val="center"/>
          </w:tcPr>
          <w:p w14:paraId="176B6E4E">
            <w:pPr>
              <w:widowControl/>
              <w:spacing w:line="360" w:lineRule="auto"/>
              <w:jc w:val="center"/>
              <w:textAlignment w:val="baseline"/>
              <w:rPr>
                <w:rFonts w:hint="eastAsia" w:ascii="宋体" w:hAnsi="宋体" w:cs="宋体"/>
                <w:szCs w:val="21"/>
              </w:rPr>
            </w:pPr>
          </w:p>
        </w:tc>
        <w:tc>
          <w:tcPr>
            <w:tcW w:w="2038" w:type="dxa"/>
            <w:vAlign w:val="center"/>
          </w:tcPr>
          <w:p w14:paraId="0F735BEA">
            <w:pPr>
              <w:widowControl/>
              <w:spacing w:line="360" w:lineRule="auto"/>
              <w:jc w:val="center"/>
              <w:textAlignment w:val="baseline"/>
              <w:rPr>
                <w:rFonts w:hint="eastAsia" w:ascii="宋体" w:hAnsi="宋体" w:cs="宋体"/>
                <w:szCs w:val="21"/>
              </w:rPr>
            </w:pPr>
          </w:p>
        </w:tc>
        <w:tc>
          <w:tcPr>
            <w:tcW w:w="1349" w:type="dxa"/>
            <w:vAlign w:val="center"/>
          </w:tcPr>
          <w:p w14:paraId="5799CE9D">
            <w:pPr>
              <w:widowControl/>
              <w:spacing w:line="360" w:lineRule="auto"/>
              <w:jc w:val="center"/>
              <w:textAlignment w:val="baseline"/>
              <w:rPr>
                <w:rFonts w:hint="eastAsia" w:ascii="宋体" w:hAnsi="宋体" w:cs="宋体"/>
                <w:szCs w:val="21"/>
              </w:rPr>
            </w:pPr>
          </w:p>
        </w:tc>
        <w:tc>
          <w:tcPr>
            <w:tcW w:w="1349" w:type="dxa"/>
            <w:vAlign w:val="center"/>
          </w:tcPr>
          <w:p w14:paraId="42983620">
            <w:pPr>
              <w:widowControl/>
              <w:spacing w:line="360" w:lineRule="auto"/>
              <w:jc w:val="center"/>
              <w:textAlignment w:val="baseline"/>
              <w:rPr>
                <w:rFonts w:hint="eastAsia" w:ascii="宋体" w:hAnsi="宋体" w:cs="宋体"/>
                <w:szCs w:val="21"/>
              </w:rPr>
            </w:pPr>
          </w:p>
        </w:tc>
      </w:tr>
      <w:tr w14:paraId="72D5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3ADFD9">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301" w:type="dxa"/>
            <w:vAlign w:val="center"/>
          </w:tcPr>
          <w:p w14:paraId="27AA2BF3">
            <w:pPr>
              <w:pStyle w:val="15"/>
              <w:jc w:val="center"/>
              <w:rPr>
                <w:rFonts w:hint="eastAsia"/>
                <w:sz w:val="21"/>
                <w:szCs w:val="21"/>
              </w:rPr>
            </w:pPr>
            <w:r>
              <w:rPr>
                <w:rFonts w:hint="eastAsia"/>
                <w:sz w:val="21"/>
                <w:szCs w:val="21"/>
              </w:rPr>
              <w:t>服务期限</w:t>
            </w:r>
          </w:p>
        </w:tc>
        <w:tc>
          <w:tcPr>
            <w:tcW w:w="2198" w:type="dxa"/>
            <w:vAlign w:val="center"/>
          </w:tcPr>
          <w:p w14:paraId="4664D1E3">
            <w:pPr>
              <w:widowControl/>
              <w:spacing w:line="360" w:lineRule="auto"/>
              <w:jc w:val="center"/>
              <w:textAlignment w:val="baseline"/>
              <w:rPr>
                <w:rFonts w:hint="eastAsia" w:ascii="宋体" w:hAnsi="宋体" w:cs="宋体"/>
                <w:szCs w:val="21"/>
              </w:rPr>
            </w:pPr>
          </w:p>
        </w:tc>
        <w:tc>
          <w:tcPr>
            <w:tcW w:w="2038" w:type="dxa"/>
            <w:vAlign w:val="center"/>
          </w:tcPr>
          <w:p w14:paraId="24D4BC52">
            <w:pPr>
              <w:widowControl/>
              <w:spacing w:line="360" w:lineRule="auto"/>
              <w:jc w:val="center"/>
              <w:textAlignment w:val="baseline"/>
              <w:rPr>
                <w:rFonts w:hint="eastAsia" w:ascii="宋体" w:hAnsi="宋体" w:cs="宋体"/>
                <w:szCs w:val="21"/>
              </w:rPr>
            </w:pPr>
          </w:p>
        </w:tc>
        <w:tc>
          <w:tcPr>
            <w:tcW w:w="1349" w:type="dxa"/>
            <w:vAlign w:val="center"/>
          </w:tcPr>
          <w:p w14:paraId="10495AE0">
            <w:pPr>
              <w:widowControl/>
              <w:spacing w:line="360" w:lineRule="auto"/>
              <w:jc w:val="center"/>
              <w:textAlignment w:val="baseline"/>
              <w:rPr>
                <w:rFonts w:hint="eastAsia" w:ascii="宋体" w:hAnsi="宋体" w:cs="宋体"/>
                <w:szCs w:val="21"/>
              </w:rPr>
            </w:pPr>
          </w:p>
        </w:tc>
        <w:tc>
          <w:tcPr>
            <w:tcW w:w="1349" w:type="dxa"/>
            <w:vAlign w:val="center"/>
          </w:tcPr>
          <w:p w14:paraId="693008FB">
            <w:pPr>
              <w:widowControl/>
              <w:spacing w:line="360" w:lineRule="auto"/>
              <w:jc w:val="center"/>
              <w:textAlignment w:val="baseline"/>
              <w:rPr>
                <w:rFonts w:hint="eastAsia" w:ascii="宋体" w:hAnsi="宋体" w:cs="宋体"/>
                <w:szCs w:val="21"/>
              </w:rPr>
            </w:pPr>
          </w:p>
        </w:tc>
      </w:tr>
      <w:tr w14:paraId="0A0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F26995">
            <w:pPr>
              <w:widowControl/>
              <w:spacing w:line="360" w:lineRule="auto"/>
              <w:jc w:val="center"/>
              <w:textAlignment w:val="baseline"/>
              <w:rPr>
                <w:rFonts w:hint="eastAsia" w:ascii="宋体" w:hAnsi="宋体" w:cs="宋体"/>
                <w:szCs w:val="21"/>
              </w:rPr>
            </w:pPr>
            <w:r>
              <w:rPr>
                <w:rFonts w:hint="eastAsia" w:ascii="宋体" w:hAnsi="宋体" w:cs="宋体"/>
                <w:szCs w:val="21"/>
              </w:rPr>
              <w:t>3</w:t>
            </w:r>
          </w:p>
        </w:tc>
        <w:tc>
          <w:tcPr>
            <w:tcW w:w="2301" w:type="dxa"/>
            <w:vAlign w:val="center"/>
          </w:tcPr>
          <w:p w14:paraId="28C92F01">
            <w:pPr>
              <w:pStyle w:val="15"/>
              <w:jc w:val="center"/>
              <w:rPr>
                <w:rFonts w:hint="eastAsia"/>
                <w:sz w:val="21"/>
                <w:szCs w:val="21"/>
              </w:rPr>
            </w:pPr>
            <w:r>
              <w:rPr>
                <w:rFonts w:hint="eastAsia"/>
                <w:sz w:val="21"/>
                <w:szCs w:val="21"/>
              </w:rPr>
              <w:t>支付方式</w:t>
            </w:r>
          </w:p>
        </w:tc>
        <w:tc>
          <w:tcPr>
            <w:tcW w:w="2198" w:type="dxa"/>
            <w:vAlign w:val="center"/>
          </w:tcPr>
          <w:p w14:paraId="491D03D8">
            <w:pPr>
              <w:widowControl/>
              <w:spacing w:line="360" w:lineRule="auto"/>
              <w:jc w:val="center"/>
              <w:textAlignment w:val="baseline"/>
              <w:rPr>
                <w:rFonts w:hint="eastAsia" w:ascii="宋体" w:hAnsi="宋体" w:cs="宋体"/>
                <w:szCs w:val="21"/>
              </w:rPr>
            </w:pPr>
          </w:p>
        </w:tc>
        <w:tc>
          <w:tcPr>
            <w:tcW w:w="2038" w:type="dxa"/>
            <w:vAlign w:val="center"/>
          </w:tcPr>
          <w:p w14:paraId="79295513">
            <w:pPr>
              <w:widowControl/>
              <w:spacing w:line="360" w:lineRule="auto"/>
              <w:jc w:val="center"/>
              <w:textAlignment w:val="baseline"/>
              <w:rPr>
                <w:rFonts w:hint="eastAsia" w:ascii="宋体" w:hAnsi="宋体" w:cs="宋体"/>
                <w:szCs w:val="21"/>
              </w:rPr>
            </w:pPr>
          </w:p>
        </w:tc>
        <w:tc>
          <w:tcPr>
            <w:tcW w:w="1349" w:type="dxa"/>
            <w:vAlign w:val="center"/>
          </w:tcPr>
          <w:p w14:paraId="41B1B16A">
            <w:pPr>
              <w:widowControl/>
              <w:spacing w:line="360" w:lineRule="auto"/>
              <w:jc w:val="center"/>
              <w:textAlignment w:val="baseline"/>
              <w:rPr>
                <w:rFonts w:hint="eastAsia" w:ascii="宋体" w:hAnsi="宋体" w:cs="宋体"/>
                <w:szCs w:val="21"/>
              </w:rPr>
            </w:pPr>
          </w:p>
        </w:tc>
        <w:tc>
          <w:tcPr>
            <w:tcW w:w="1349" w:type="dxa"/>
            <w:vAlign w:val="center"/>
          </w:tcPr>
          <w:p w14:paraId="58EFFE8E">
            <w:pPr>
              <w:widowControl/>
              <w:spacing w:line="360" w:lineRule="auto"/>
              <w:jc w:val="center"/>
              <w:textAlignment w:val="baseline"/>
              <w:rPr>
                <w:rFonts w:hint="eastAsia" w:ascii="宋体" w:hAnsi="宋体" w:cs="宋体"/>
                <w:szCs w:val="21"/>
              </w:rPr>
            </w:pPr>
          </w:p>
        </w:tc>
      </w:tr>
      <w:tr w14:paraId="37937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FFE0880">
            <w:pPr>
              <w:widowControl/>
              <w:spacing w:line="360" w:lineRule="auto"/>
              <w:jc w:val="center"/>
              <w:textAlignment w:val="baseline"/>
              <w:rPr>
                <w:rFonts w:hint="eastAsia" w:ascii="宋体" w:hAnsi="宋体" w:cs="宋体"/>
                <w:szCs w:val="21"/>
              </w:rPr>
            </w:pPr>
            <w:r>
              <w:rPr>
                <w:rFonts w:hint="eastAsia" w:ascii="宋体" w:hAnsi="宋体" w:cs="宋体"/>
                <w:szCs w:val="21"/>
              </w:rPr>
              <w:t>4</w:t>
            </w:r>
          </w:p>
        </w:tc>
        <w:tc>
          <w:tcPr>
            <w:tcW w:w="2301" w:type="dxa"/>
            <w:vAlign w:val="center"/>
          </w:tcPr>
          <w:p w14:paraId="1F98D524">
            <w:pPr>
              <w:pStyle w:val="15"/>
              <w:jc w:val="center"/>
              <w:rPr>
                <w:rFonts w:hint="eastAsia"/>
                <w:sz w:val="21"/>
                <w:szCs w:val="21"/>
              </w:rPr>
            </w:pPr>
            <w:r>
              <w:rPr>
                <w:rFonts w:hint="eastAsia"/>
                <w:sz w:val="21"/>
                <w:szCs w:val="21"/>
              </w:rPr>
              <w:t>服务地点</w:t>
            </w:r>
          </w:p>
        </w:tc>
        <w:tc>
          <w:tcPr>
            <w:tcW w:w="2198" w:type="dxa"/>
            <w:vAlign w:val="center"/>
          </w:tcPr>
          <w:p w14:paraId="45359A39">
            <w:pPr>
              <w:widowControl/>
              <w:spacing w:line="360" w:lineRule="auto"/>
              <w:jc w:val="center"/>
              <w:textAlignment w:val="baseline"/>
              <w:rPr>
                <w:rFonts w:hint="eastAsia" w:ascii="宋体" w:hAnsi="宋体" w:cs="宋体"/>
                <w:szCs w:val="21"/>
              </w:rPr>
            </w:pPr>
          </w:p>
        </w:tc>
        <w:tc>
          <w:tcPr>
            <w:tcW w:w="2038" w:type="dxa"/>
            <w:vAlign w:val="center"/>
          </w:tcPr>
          <w:p w14:paraId="346A55DF">
            <w:pPr>
              <w:widowControl/>
              <w:spacing w:line="360" w:lineRule="auto"/>
              <w:jc w:val="center"/>
              <w:textAlignment w:val="baseline"/>
              <w:rPr>
                <w:rFonts w:hint="eastAsia" w:ascii="宋体" w:hAnsi="宋体" w:cs="宋体"/>
                <w:szCs w:val="21"/>
              </w:rPr>
            </w:pPr>
          </w:p>
        </w:tc>
        <w:tc>
          <w:tcPr>
            <w:tcW w:w="1349" w:type="dxa"/>
            <w:vAlign w:val="center"/>
          </w:tcPr>
          <w:p w14:paraId="6E6D2BB1">
            <w:pPr>
              <w:widowControl/>
              <w:spacing w:line="360" w:lineRule="auto"/>
              <w:jc w:val="center"/>
              <w:textAlignment w:val="baseline"/>
              <w:rPr>
                <w:rFonts w:hint="eastAsia" w:ascii="宋体" w:hAnsi="宋体" w:cs="宋体"/>
                <w:szCs w:val="21"/>
              </w:rPr>
            </w:pPr>
          </w:p>
        </w:tc>
        <w:tc>
          <w:tcPr>
            <w:tcW w:w="1349" w:type="dxa"/>
            <w:vAlign w:val="center"/>
          </w:tcPr>
          <w:p w14:paraId="6D3223C7">
            <w:pPr>
              <w:widowControl/>
              <w:spacing w:line="360" w:lineRule="auto"/>
              <w:jc w:val="center"/>
              <w:textAlignment w:val="baseline"/>
              <w:rPr>
                <w:rFonts w:hint="eastAsia" w:ascii="宋体" w:hAnsi="宋体" w:cs="宋体"/>
                <w:szCs w:val="21"/>
              </w:rPr>
            </w:pPr>
          </w:p>
        </w:tc>
      </w:tr>
      <w:tr w14:paraId="5DCE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FCFB8C0">
            <w:pPr>
              <w:widowControl/>
              <w:spacing w:line="360" w:lineRule="auto"/>
              <w:jc w:val="center"/>
              <w:textAlignment w:val="baseline"/>
              <w:rPr>
                <w:rFonts w:hint="eastAsia" w:ascii="宋体" w:hAnsi="宋体" w:cs="宋体"/>
                <w:szCs w:val="21"/>
              </w:rPr>
            </w:pPr>
            <w:r>
              <w:rPr>
                <w:rFonts w:hint="eastAsia" w:ascii="宋体" w:hAnsi="宋体" w:cs="宋体"/>
                <w:szCs w:val="21"/>
              </w:rPr>
              <w:t>5</w:t>
            </w:r>
          </w:p>
        </w:tc>
        <w:tc>
          <w:tcPr>
            <w:tcW w:w="2301" w:type="dxa"/>
            <w:vAlign w:val="center"/>
          </w:tcPr>
          <w:p w14:paraId="4EEF6A53">
            <w:pPr>
              <w:pStyle w:val="15"/>
              <w:jc w:val="center"/>
              <w:rPr>
                <w:rFonts w:hint="eastAsia"/>
                <w:sz w:val="21"/>
                <w:szCs w:val="21"/>
              </w:rPr>
            </w:pPr>
            <w:r>
              <w:rPr>
                <w:rFonts w:hint="eastAsia"/>
                <w:sz w:val="21"/>
                <w:szCs w:val="21"/>
              </w:rPr>
              <w:t>安全要求</w:t>
            </w:r>
          </w:p>
        </w:tc>
        <w:tc>
          <w:tcPr>
            <w:tcW w:w="2198" w:type="dxa"/>
            <w:vAlign w:val="center"/>
          </w:tcPr>
          <w:p w14:paraId="51CEE46B">
            <w:pPr>
              <w:widowControl/>
              <w:spacing w:line="360" w:lineRule="auto"/>
              <w:jc w:val="center"/>
              <w:textAlignment w:val="baseline"/>
              <w:rPr>
                <w:rFonts w:hint="eastAsia" w:ascii="宋体" w:hAnsi="宋体" w:cs="宋体"/>
                <w:szCs w:val="21"/>
              </w:rPr>
            </w:pPr>
          </w:p>
        </w:tc>
        <w:tc>
          <w:tcPr>
            <w:tcW w:w="2038" w:type="dxa"/>
            <w:vAlign w:val="center"/>
          </w:tcPr>
          <w:p w14:paraId="091DB6CA">
            <w:pPr>
              <w:widowControl/>
              <w:spacing w:line="360" w:lineRule="auto"/>
              <w:jc w:val="center"/>
              <w:textAlignment w:val="baseline"/>
              <w:rPr>
                <w:rFonts w:hint="eastAsia" w:ascii="宋体" w:hAnsi="宋体" w:cs="宋体"/>
                <w:szCs w:val="21"/>
              </w:rPr>
            </w:pPr>
          </w:p>
        </w:tc>
        <w:tc>
          <w:tcPr>
            <w:tcW w:w="1349" w:type="dxa"/>
            <w:vAlign w:val="center"/>
          </w:tcPr>
          <w:p w14:paraId="53FA15A9">
            <w:pPr>
              <w:widowControl/>
              <w:spacing w:line="360" w:lineRule="auto"/>
              <w:jc w:val="center"/>
              <w:textAlignment w:val="baseline"/>
              <w:rPr>
                <w:rFonts w:hint="eastAsia" w:ascii="宋体" w:hAnsi="宋体" w:cs="宋体"/>
                <w:szCs w:val="21"/>
              </w:rPr>
            </w:pPr>
          </w:p>
        </w:tc>
        <w:tc>
          <w:tcPr>
            <w:tcW w:w="1349" w:type="dxa"/>
            <w:vAlign w:val="center"/>
          </w:tcPr>
          <w:p w14:paraId="3C1DC9AA">
            <w:pPr>
              <w:widowControl/>
              <w:spacing w:line="360" w:lineRule="auto"/>
              <w:jc w:val="center"/>
              <w:textAlignment w:val="baseline"/>
              <w:rPr>
                <w:rFonts w:hint="eastAsia" w:ascii="宋体" w:hAnsi="宋体" w:cs="宋体"/>
                <w:szCs w:val="21"/>
              </w:rPr>
            </w:pPr>
          </w:p>
        </w:tc>
      </w:tr>
      <w:tr w14:paraId="0B85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4E7A8AA7">
            <w:pPr>
              <w:widowControl/>
              <w:spacing w:line="360" w:lineRule="auto"/>
              <w:jc w:val="center"/>
              <w:textAlignment w:val="baseline"/>
              <w:rPr>
                <w:rFonts w:hint="eastAsia" w:ascii="宋体" w:hAnsi="宋体" w:cs="宋体"/>
                <w:szCs w:val="21"/>
              </w:rPr>
            </w:pPr>
          </w:p>
        </w:tc>
        <w:tc>
          <w:tcPr>
            <w:tcW w:w="2301" w:type="dxa"/>
          </w:tcPr>
          <w:p w14:paraId="4E260667">
            <w:pPr>
              <w:pStyle w:val="15"/>
              <w:jc w:val="center"/>
              <w:rPr>
                <w:rFonts w:hint="eastAsia"/>
                <w:sz w:val="21"/>
                <w:szCs w:val="21"/>
              </w:rPr>
            </w:pPr>
            <w:r>
              <w:rPr>
                <w:sz w:val="21"/>
                <w:szCs w:val="21"/>
              </w:rPr>
              <w:t>…</w:t>
            </w:r>
          </w:p>
        </w:tc>
        <w:tc>
          <w:tcPr>
            <w:tcW w:w="2198" w:type="dxa"/>
            <w:vAlign w:val="center"/>
          </w:tcPr>
          <w:p w14:paraId="23D0802D">
            <w:pPr>
              <w:widowControl/>
              <w:spacing w:line="360" w:lineRule="auto"/>
              <w:jc w:val="center"/>
              <w:textAlignment w:val="baseline"/>
              <w:rPr>
                <w:rFonts w:hint="eastAsia" w:ascii="宋体" w:hAnsi="宋体" w:cs="宋体"/>
                <w:szCs w:val="21"/>
              </w:rPr>
            </w:pPr>
          </w:p>
        </w:tc>
        <w:tc>
          <w:tcPr>
            <w:tcW w:w="2038" w:type="dxa"/>
            <w:vAlign w:val="center"/>
          </w:tcPr>
          <w:p w14:paraId="10D20143">
            <w:pPr>
              <w:widowControl/>
              <w:spacing w:line="360" w:lineRule="auto"/>
              <w:jc w:val="center"/>
              <w:textAlignment w:val="baseline"/>
              <w:rPr>
                <w:rFonts w:hint="eastAsia" w:ascii="宋体" w:hAnsi="宋体" w:cs="宋体"/>
                <w:szCs w:val="21"/>
              </w:rPr>
            </w:pPr>
          </w:p>
        </w:tc>
        <w:tc>
          <w:tcPr>
            <w:tcW w:w="1349" w:type="dxa"/>
            <w:vAlign w:val="center"/>
          </w:tcPr>
          <w:p w14:paraId="638722AE">
            <w:pPr>
              <w:widowControl/>
              <w:spacing w:line="360" w:lineRule="auto"/>
              <w:jc w:val="center"/>
              <w:textAlignment w:val="baseline"/>
              <w:rPr>
                <w:rFonts w:hint="eastAsia" w:ascii="宋体" w:hAnsi="宋体" w:cs="宋体"/>
                <w:szCs w:val="21"/>
              </w:rPr>
            </w:pPr>
          </w:p>
        </w:tc>
        <w:tc>
          <w:tcPr>
            <w:tcW w:w="1349" w:type="dxa"/>
            <w:vAlign w:val="center"/>
          </w:tcPr>
          <w:p w14:paraId="524A6805">
            <w:pPr>
              <w:widowControl/>
              <w:spacing w:line="360" w:lineRule="auto"/>
              <w:jc w:val="center"/>
              <w:textAlignment w:val="baseline"/>
              <w:rPr>
                <w:rFonts w:hint="eastAsia" w:ascii="宋体" w:hAnsi="宋体" w:cs="宋体"/>
                <w:szCs w:val="21"/>
              </w:rPr>
            </w:pPr>
          </w:p>
        </w:tc>
      </w:tr>
    </w:tbl>
    <w:p w14:paraId="1553EEFA">
      <w:pPr>
        <w:rPr>
          <w:rFonts w:hint="eastAsia" w:ascii="宋体" w:hAnsi="宋体" w:cs="宋体"/>
          <w:b/>
          <w:kern w:val="0"/>
          <w:szCs w:val="21"/>
        </w:rPr>
      </w:pPr>
    </w:p>
    <w:p w14:paraId="5003A012">
      <w:pPr>
        <w:pStyle w:val="31"/>
        <w:ind w:firstLine="210"/>
        <w:rPr>
          <w:rFonts w:hint="eastAsia" w:ascii="宋体" w:hAnsi="宋体" w:cs="宋体"/>
        </w:rPr>
      </w:pPr>
    </w:p>
    <w:p w14:paraId="3620B5AC">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FE646E0">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6039CC79">
      <w:pPr>
        <w:rPr>
          <w:rFonts w:hint="eastAsia" w:ascii="宋体" w:hAnsi="宋体" w:cs="宋体"/>
        </w:rPr>
      </w:pPr>
    </w:p>
    <w:p w14:paraId="24663AA4">
      <w:pPr>
        <w:rPr>
          <w:rFonts w:hint="eastAsia" w:ascii="宋体" w:hAnsi="宋体" w:cs="宋体"/>
        </w:rPr>
      </w:pPr>
    </w:p>
    <w:p w14:paraId="00E462A6">
      <w:pPr>
        <w:rPr>
          <w:rFonts w:hint="eastAsia" w:ascii="宋体" w:hAnsi="宋体" w:cs="宋体"/>
        </w:rPr>
      </w:pPr>
    </w:p>
    <w:p w14:paraId="54A92F34">
      <w:pPr>
        <w:rPr>
          <w:rFonts w:hint="eastAsia" w:ascii="宋体" w:hAnsi="宋体" w:cs="宋体"/>
        </w:rPr>
      </w:pPr>
    </w:p>
    <w:p w14:paraId="7984C0DE">
      <w:pPr>
        <w:rPr>
          <w:rFonts w:hint="eastAsia" w:ascii="宋体" w:hAnsi="宋体" w:cs="宋体"/>
        </w:rPr>
      </w:pPr>
    </w:p>
    <w:p w14:paraId="74E80E4A">
      <w:pPr>
        <w:rPr>
          <w:rFonts w:hint="eastAsia" w:ascii="宋体" w:hAnsi="宋体" w:cs="宋体"/>
        </w:rPr>
      </w:pPr>
    </w:p>
    <w:p w14:paraId="057920A7">
      <w:pPr>
        <w:rPr>
          <w:rFonts w:hint="eastAsia" w:ascii="宋体" w:hAnsi="宋体" w:cs="宋体"/>
        </w:rPr>
      </w:pPr>
    </w:p>
    <w:p w14:paraId="12E64C36">
      <w:pPr>
        <w:rPr>
          <w:rFonts w:hint="eastAsia" w:ascii="宋体" w:hAnsi="宋体" w:cs="宋体"/>
        </w:rPr>
      </w:pPr>
    </w:p>
    <w:p w14:paraId="2806672B">
      <w:pPr>
        <w:rPr>
          <w:rFonts w:hint="eastAsia" w:ascii="宋体" w:hAnsi="宋体" w:cs="宋体"/>
        </w:rPr>
      </w:pPr>
    </w:p>
    <w:p w14:paraId="18B0B544">
      <w:pPr>
        <w:rPr>
          <w:rFonts w:hint="eastAsia" w:ascii="宋体" w:hAnsi="宋体" w:cs="宋体"/>
        </w:rPr>
      </w:pPr>
    </w:p>
    <w:p w14:paraId="4E26A09C">
      <w:pPr>
        <w:rPr>
          <w:rFonts w:hint="eastAsia" w:ascii="宋体" w:hAnsi="宋体" w:cs="宋体"/>
        </w:rPr>
      </w:pPr>
    </w:p>
    <w:p w14:paraId="3AEC4F46">
      <w:pPr>
        <w:rPr>
          <w:rFonts w:hint="eastAsia" w:ascii="宋体" w:hAnsi="宋体" w:cs="宋体"/>
        </w:rPr>
      </w:pPr>
    </w:p>
    <w:p w14:paraId="16A9F8AA">
      <w:pPr>
        <w:rPr>
          <w:rFonts w:hint="eastAsia" w:ascii="宋体" w:hAnsi="宋体" w:cs="宋体"/>
        </w:rPr>
      </w:pPr>
    </w:p>
    <w:p w14:paraId="11B54922">
      <w:pPr>
        <w:rPr>
          <w:rFonts w:hint="eastAsia" w:ascii="宋体" w:hAnsi="宋体" w:cs="宋体"/>
        </w:rPr>
      </w:pPr>
    </w:p>
    <w:p w14:paraId="72C359BE">
      <w:pPr>
        <w:rPr>
          <w:rFonts w:hint="eastAsia" w:ascii="宋体" w:hAnsi="宋体" w:cs="宋体"/>
        </w:rPr>
      </w:pPr>
    </w:p>
    <w:p w14:paraId="4B56B74C">
      <w:pPr>
        <w:rPr>
          <w:rFonts w:hint="eastAsia" w:ascii="宋体" w:hAnsi="宋体" w:cs="宋体"/>
          <w:b/>
          <w:sz w:val="28"/>
        </w:rPr>
      </w:pPr>
      <w:bookmarkStart w:id="88" w:name="_Toc28621"/>
      <w:bookmarkStart w:id="89" w:name="_Toc31526"/>
      <w:r>
        <w:rPr>
          <w:rFonts w:hint="eastAsia" w:ascii="宋体" w:hAnsi="宋体" w:cs="宋体"/>
          <w:b/>
          <w:sz w:val="28"/>
        </w:rPr>
        <w:br w:type="page"/>
      </w:r>
    </w:p>
    <w:p w14:paraId="58C2C064">
      <w:pPr>
        <w:pStyle w:val="6"/>
        <w:snapToGrid w:val="0"/>
        <w:spacing w:before="20" w:after="20" w:line="360" w:lineRule="auto"/>
        <w:jc w:val="center"/>
        <w:rPr>
          <w:rFonts w:hint="eastAsia" w:ascii="宋体" w:hAnsi="宋体" w:eastAsia="宋体" w:cs="宋体"/>
          <w:sz w:val="28"/>
          <w:szCs w:val="28"/>
        </w:rPr>
      </w:pPr>
      <w:bookmarkStart w:id="90" w:name="_Toc29406"/>
      <w:r>
        <w:rPr>
          <w:rFonts w:hint="eastAsia" w:ascii="宋体" w:hAnsi="宋体" w:eastAsia="宋体" w:cs="宋体"/>
          <w:sz w:val="28"/>
          <w:szCs w:val="28"/>
        </w:rPr>
        <w:t>附件7         法定代表人身份证明（格式）</w:t>
      </w:r>
      <w:bookmarkEnd w:id="88"/>
      <w:bookmarkEnd w:id="89"/>
      <w:bookmarkEnd w:id="90"/>
    </w:p>
    <w:p w14:paraId="425B97BE">
      <w:pPr>
        <w:widowControl/>
        <w:wordWrap w:val="0"/>
        <w:spacing w:line="460" w:lineRule="exact"/>
        <w:jc w:val="left"/>
        <w:rPr>
          <w:rFonts w:hint="eastAsia" w:ascii="宋体" w:hAnsi="宋体" w:cs="宋体"/>
          <w:kern w:val="0"/>
          <w:sz w:val="24"/>
        </w:rPr>
      </w:pPr>
    </w:p>
    <w:p w14:paraId="4ED91E9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7A76E3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3DFC56B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496DFA1">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7B0DEBB7">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018CF94">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2E04399">
      <w:pPr>
        <w:widowControl/>
        <w:wordWrap w:val="0"/>
        <w:spacing w:line="460" w:lineRule="exact"/>
        <w:jc w:val="left"/>
        <w:rPr>
          <w:rFonts w:hint="eastAsia" w:ascii="宋体" w:hAnsi="宋体" w:cs="宋体"/>
          <w:kern w:val="0"/>
          <w:sz w:val="24"/>
          <w:szCs w:val="20"/>
        </w:rPr>
      </w:pPr>
    </w:p>
    <w:p w14:paraId="608E0E76">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44CDA274">
      <w:pPr>
        <w:widowControl/>
        <w:wordWrap w:val="0"/>
        <w:spacing w:line="460" w:lineRule="exact"/>
        <w:jc w:val="left"/>
        <w:rPr>
          <w:rFonts w:hint="eastAsia" w:ascii="宋体" w:hAnsi="宋体" w:cs="宋体"/>
          <w:kern w:val="0"/>
          <w:sz w:val="24"/>
          <w:szCs w:val="20"/>
        </w:rPr>
      </w:pPr>
    </w:p>
    <w:p w14:paraId="1FDE10F6">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843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53D7886">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2456746">
            <w:pPr>
              <w:widowControl/>
              <w:spacing w:line="480" w:lineRule="exact"/>
              <w:jc w:val="left"/>
              <w:rPr>
                <w:rFonts w:hint="eastAsia" w:ascii="宋体" w:hAnsi="宋体" w:cs="宋体"/>
                <w:kern w:val="0"/>
                <w:sz w:val="24"/>
              </w:rPr>
            </w:pPr>
          </w:p>
          <w:p w14:paraId="7B97C3EA">
            <w:pPr>
              <w:widowControl/>
              <w:spacing w:line="480" w:lineRule="exact"/>
              <w:jc w:val="left"/>
              <w:rPr>
                <w:rFonts w:hint="eastAsia" w:ascii="宋体" w:hAnsi="宋体" w:cs="宋体"/>
                <w:kern w:val="0"/>
                <w:sz w:val="24"/>
              </w:rPr>
            </w:pPr>
          </w:p>
        </w:tc>
      </w:tr>
    </w:tbl>
    <w:p w14:paraId="2EF11FA5">
      <w:pPr>
        <w:widowControl/>
        <w:wordWrap w:val="0"/>
        <w:spacing w:before="319" w:beforeLines="100" w:after="319" w:afterLines="100" w:line="480" w:lineRule="exact"/>
        <w:jc w:val="center"/>
        <w:rPr>
          <w:rFonts w:hint="eastAsia" w:ascii="宋体" w:hAnsi="宋体" w:cs="宋体"/>
          <w:b/>
          <w:kern w:val="0"/>
          <w:sz w:val="24"/>
        </w:rPr>
      </w:pPr>
    </w:p>
    <w:p w14:paraId="7357D368">
      <w:pPr>
        <w:widowControl/>
        <w:wordWrap w:val="0"/>
        <w:spacing w:before="319" w:beforeLines="100" w:after="319" w:afterLines="100" w:line="480" w:lineRule="exact"/>
        <w:jc w:val="center"/>
        <w:rPr>
          <w:rFonts w:hint="eastAsia" w:ascii="宋体" w:hAnsi="宋体" w:cs="宋体"/>
          <w:b/>
          <w:kern w:val="0"/>
          <w:sz w:val="36"/>
          <w:szCs w:val="36"/>
        </w:rPr>
      </w:pPr>
    </w:p>
    <w:p w14:paraId="0B562E27">
      <w:pPr>
        <w:widowControl/>
        <w:wordWrap w:val="0"/>
        <w:spacing w:before="319" w:beforeLines="100" w:after="319" w:afterLines="100" w:line="480" w:lineRule="exact"/>
        <w:jc w:val="center"/>
        <w:rPr>
          <w:rFonts w:hint="eastAsia" w:ascii="宋体" w:hAnsi="宋体" w:cs="宋体"/>
          <w:b/>
          <w:kern w:val="0"/>
          <w:sz w:val="36"/>
          <w:szCs w:val="36"/>
        </w:rPr>
      </w:pPr>
    </w:p>
    <w:p w14:paraId="04353AE7">
      <w:pPr>
        <w:widowControl/>
        <w:wordWrap w:val="0"/>
        <w:spacing w:line="480" w:lineRule="exact"/>
        <w:jc w:val="right"/>
        <w:rPr>
          <w:rFonts w:hint="eastAsia" w:ascii="宋体" w:hAnsi="宋体" w:cs="宋体"/>
          <w:kern w:val="0"/>
          <w:sz w:val="24"/>
        </w:rPr>
      </w:pPr>
    </w:p>
    <w:p w14:paraId="09217442">
      <w:pPr>
        <w:widowControl/>
        <w:wordWrap w:val="0"/>
        <w:spacing w:line="480" w:lineRule="exact"/>
        <w:jc w:val="right"/>
        <w:rPr>
          <w:rFonts w:hint="eastAsia" w:ascii="宋体" w:hAnsi="宋体" w:cs="宋体"/>
          <w:kern w:val="0"/>
          <w:sz w:val="24"/>
        </w:rPr>
      </w:pPr>
    </w:p>
    <w:p w14:paraId="6375AE43">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34AB3993">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27CC9232">
      <w:pPr>
        <w:rPr>
          <w:rFonts w:hint="eastAsia" w:ascii="宋体" w:hAnsi="宋体" w:cs="宋体"/>
        </w:rPr>
      </w:pPr>
    </w:p>
    <w:p w14:paraId="6E11612D">
      <w:pPr>
        <w:rPr>
          <w:rFonts w:hint="eastAsia" w:ascii="宋体" w:hAnsi="宋体" w:cs="宋体"/>
        </w:rPr>
      </w:pPr>
      <w:r>
        <w:rPr>
          <w:rFonts w:hint="eastAsia" w:ascii="宋体" w:hAnsi="宋体" w:cs="宋体"/>
        </w:rPr>
        <w:br w:type="page"/>
      </w:r>
    </w:p>
    <w:p w14:paraId="2BC9F376">
      <w:pPr>
        <w:pStyle w:val="6"/>
        <w:snapToGrid w:val="0"/>
        <w:spacing w:before="20" w:after="20" w:line="360" w:lineRule="auto"/>
        <w:jc w:val="center"/>
        <w:rPr>
          <w:rFonts w:hint="eastAsia" w:ascii="宋体" w:hAnsi="宋体" w:eastAsia="宋体" w:cs="宋体"/>
          <w:sz w:val="28"/>
          <w:szCs w:val="28"/>
        </w:rPr>
      </w:pPr>
      <w:bookmarkStart w:id="91" w:name="_Toc30519"/>
      <w:bookmarkStart w:id="92" w:name="_Toc13976"/>
      <w:bookmarkStart w:id="93" w:name="_Toc12939"/>
      <w:r>
        <w:rPr>
          <w:rFonts w:hint="eastAsia" w:ascii="宋体" w:hAnsi="宋体" w:eastAsia="宋体" w:cs="宋体"/>
          <w:sz w:val="28"/>
          <w:szCs w:val="28"/>
        </w:rPr>
        <w:t>附件8         法定代表人授权书（格式）</w:t>
      </w:r>
      <w:bookmarkEnd w:id="91"/>
      <w:bookmarkEnd w:id="92"/>
      <w:bookmarkEnd w:id="93"/>
    </w:p>
    <w:p w14:paraId="7D8DAFEF">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FA35B43">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1CB4B73B">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BE612CC">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246BF713">
      <w:pPr>
        <w:widowControl/>
        <w:spacing w:line="360" w:lineRule="auto"/>
        <w:ind w:firstLine="7228" w:firstLineChars="2250"/>
        <w:jc w:val="left"/>
        <w:rPr>
          <w:rFonts w:hint="eastAsia" w:ascii="宋体" w:hAnsi="宋体" w:cs="宋体"/>
          <w:b/>
          <w:kern w:val="0"/>
          <w:sz w:val="32"/>
          <w:szCs w:val="32"/>
        </w:rPr>
      </w:pPr>
    </w:p>
    <w:p w14:paraId="5CF25B02">
      <w:pPr>
        <w:rPr>
          <w:rFonts w:hint="eastAsia" w:ascii="宋体" w:hAnsi="宋体" w:cs="宋体"/>
          <w:b/>
          <w:kern w:val="0"/>
          <w:sz w:val="32"/>
          <w:szCs w:val="32"/>
        </w:rPr>
      </w:pPr>
      <w:r>
        <w:rPr>
          <w:rFonts w:hint="eastAsia" w:ascii="宋体" w:hAnsi="宋体" w:cs="宋体"/>
          <w:b/>
          <w:kern w:val="0"/>
          <w:sz w:val="32"/>
          <w:szCs w:val="32"/>
        </w:rPr>
        <w:br w:type="page"/>
      </w:r>
    </w:p>
    <w:p w14:paraId="589A4407">
      <w:pPr>
        <w:pStyle w:val="6"/>
        <w:snapToGrid w:val="0"/>
        <w:spacing w:before="20" w:after="20" w:line="360" w:lineRule="auto"/>
        <w:jc w:val="center"/>
        <w:rPr>
          <w:rFonts w:hint="eastAsia" w:ascii="宋体" w:hAnsi="宋体" w:eastAsia="宋体" w:cs="宋体"/>
          <w:sz w:val="28"/>
          <w:szCs w:val="28"/>
        </w:rPr>
      </w:pPr>
      <w:bookmarkStart w:id="94" w:name="_Toc24693"/>
      <w:bookmarkStart w:id="95" w:name="_Toc18105"/>
      <w:bookmarkStart w:id="96" w:name="_Toc3342"/>
      <w:r>
        <w:rPr>
          <w:rFonts w:hint="eastAsia" w:ascii="宋体" w:hAnsi="宋体" w:eastAsia="宋体" w:cs="宋体"/>
          <w:sz w:val="28"/>
          <w:szCs w:val="28"/>
        </w:rPr>
        <w:t>附件9          证明文件</w:t>
      </w:r>
      <w:bookmarkEnd w:id="94"/>
      <w:bookmarkEnd w:id="95"/>
      <w:bookmarkEnd w:id="96"/>
    </w:p>
    <w:p w14:paraId="31309464">
      <w:pPr>
        <w:pStyle w:val="11"/>
        <w:spacing w:beforeAutospacing="0" w:afterAutospacing="0" w:line="480" w:lineRule="auto"/>
        <w:ind w:firstLine="470" w:firstLineChars="224"/>
        <w:jc w:val="both"/>
        <w:rPr>
          <w:rFonts w:hint="eastAsia"/>
          <w:bCs/>
          <w:sz w:val="21"/>
          <w:szCs w:val="21"/>
        </w:rPr>
      </w:pPr>
    </w:p>
    <w:p w14:paraId="2FB97D9F">
      <w:pPr>
        <w:pStyle w:val="11"/>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7A150690">
      <w:pPr>
        <w:pStyle w:val="11"/>
        <w:spacing w:beforeAutospacing="0" w:afterAutospacing="0" w:line="480" w:lineRule="auto"/>
        <w:ind w:firstLine="470" w:firstLineChars="224"/>
        <w:jc w:val="both"/>
        <w:rPr>
          <w:rFonts w:hint="eastAsia"/>
          <w:bCs/>
          <w:sz w:val="21"/>
          <w:szCs w:val="21"/>
        </w:rPr>
      </w:pPr>
    </w:p>
    <w:p w14:paraId="13A9BF4C">
      <w:pPr>
        <w:pStyle w:val="11"/>
        <w:spacing w:beforeAutospacing="0" w:afterAutospacing="0" w:line="480" w:lineRule="auto"/>
        <w:ind w:firstLine="470" w:firstLineChars="224"/>
        <w:jc w:val="both"/>
        <w:rPr>
          <w:rFonts w:hint="eastAsia"/>
          <w:bCs/>
          <w:sz w:val="21"/>
          <w:szCs w:val="21"/>
        </w:rPr>
      </w:pPr>
    </w:p>
    <w:p w14:paraId="721C792F">
      <w:pPr>
        <w:pStyle w:val="11"/>
        <w:spacing w:beforeAutospacing="0" w:afterAutospacing="0" w:line="480" w:lineRule="auto"/>
        <w:ind w:firstLine="472" w:firstLineChars="224"/>
        <w:jc w:val="both"/>
        <w:rPr>
          <w:rFonts w:hint="eastAsia"/>
          <w:b/>
          <w:sz w:val="21"/>
          <w:szCs w:val="21"/>
        </w:rPr>
      </w:pPr>
      <w:r>
        <w:rPr>
          <w:rFonts w:hint="eastAsia"/>
          <w:b/>
          <w:sz w:val="21"/>
          <w:szCs w:val="21"/>
        </w:rPr>
        <w:t>9.2</w:t>
      </w:r>
      <w:bookmarkStart w:id="97" w:name="_Toc17966"/>
      <w:r>
        <w:rPr>
          <w:rFonts w:hint="eastAsia"/>
          <w:b/>
          <w:sz w:val="21"/>
          <w:szCs w:val="21"/>
        </w:rPr>
        <w:t>评分标准中需提供的相关材料、业绩等（除技术要求证明材料外）</w:t>
      </w:r>
    </w:p>
    <w:p w14:paraId="4961F137">
      <w:pPr>
        <w:pStyle w:val="11"/>
        <w:spacing w:beforeAutospacing="0" w:afterAutospacing="0" w:line="480" w:lineRule="auto"/>
        <w:ind w:firstLine="470" w:firstLineChars="224"/>
        <w:jc w:val="both"/>
        <w:rPr>
          <w:rFonts w:hint="eastAsia"/>
          <w:bCs/>
          <w:sz w:val="21"/>
          <w:szCs w:val="21"/>
        </w:rPr>
      </w:pPr>
    </w:p>
    <w:p w14:paraId="4D6FAF9C">
      <w:pPr>
        <w:pStyle w:val="11"/>
        <w:spacing w:beforeAutospacing="0" w:afterAutospacing="0" w:line="480" w:lineRule="auto"/>
        <w:ind w:firstLine="470" w:firstLineChars="224"/>
        <w:jc w:val="both"/>
        <w:rPr>
          <w:rFonts w:hint="eastAsia"/>
          <w:bCs/>
          <w:sz w:val="21"/>
          <w:szCs w:val="21"/>
        </w:rPr>
      </w:pPr>
    </w:p>
    <w:p w14:paraId="50B0CB56">
      <w:pPr>
        <w:pStyle w:val="11"/>
        <w:spacing w:beforeAutospacing="0" w:afterAutospacing="0" w:line="480" w:lineRule="auto"/>
        <w:ind w:firstLine="472" w:firstLineChars="224"/>
        <w:jc w:val="both"/>
        <w:rPr>
          <w:rFonts w:hint="eastAsia"/>
          <w:b/>
          <w:sz w:val="21"/>
          <w:szCs w:val="21"/>
        </w:rPr>
      </w:pPr>
      <w:r>
        <w:rPr>
          <w:rFonts w:hint="eastAsia"/>
          <w:b/>
          <w:sz w:val="21"/>
          <w:szCs w:val="21"/>
        </w:rPr>
        <w:t>9.3供应商认为其他需要提供的证明材料。</w:t>
      </w:r>
    </w:p>
    <w:p w14:paraId="29759004">
      <w:pPr>
        <w:pStyle w:val="11"/>
        <w:spacing w:beforeAutospacing="0" w:afterAutospacing="0" w:line="480" w:lineRule="auto"/>
        <w:ind w:firstLine="540" w:firstLineChars="224"/>
        <w:jc w:val="both"/>
        <w:rPr>
          <w:rFonts w:hint="eastAsia"/>
          <w:b/>
          <w:bCs/>
        </w:rPr>
      </w:pPr>
    </w:p>
    <w:p w14:paraId="1E22A0E7">
      <w:pPr>
        <w:pStyle w:val="11"/>
        <w:spacing w:beforeAutospacing="0" w:afterAutospacing="0" w:line="480" w:lineRule="auto"/>
        <w:ind w:firstLine="540" w:firstLineChars="224"/>
        <w:jc w:val="both"/>
        <w:rPr>
          <w:rFonts w:hint="eastAsia"/>
          <w:b/>
          <w:bCs/>
        </w:rPr>
      </w:pPr>
    </w:p>
    <w:p w14:paraId="31838148">
      <w:pPr>
        <w:pStyle w:val="11"/>
        <w:spacing w:beforeAutospacing="0" w:afterAutospacing="0" w:line="480" w:lineRule="auto"/>
        <w:ind w:firstLine="540" w:firstLineChars="224"/>
        <w:jc w:val="both"/>
        <w:rPr>
          <w:rFonts w:hint="eastAsia"/>
          <w:b/>
          <w:bCs/>
        </w:rPr>
      </w:pPr>
    </w:p>
    <w:p w14:paraId="1D0365F3">
      <w:pPr>
        <w:pStyle w:val="11"/>
        <w:spacing w:beforeAutospacing="0" w:afterAutospacing="0" w:line="480" w:lineRule="auto"/>
        <w:ind w:firstLine="540" w:firstLineChars="224"/>
        <w:jc w:val="both"/>
        <w:rPr>
          <w:rFonts w:hint="eastAsia"/>
          <w:b/>
          <w:bCs/>
        </w:rPr>
      </w:pPr>
    </w:p>
    <w:p w14:paraId="266AD6FF">
      <w:pPr>
        <w:pStyle w:val="11"/>
        <w:spacing w:beforeAutospacing="0" w:afterAutospacing="0" w:line="480" w:lineRule="auto"/>
        <w:ind w:firstLine="540" w:firstLineChars="224"/>
        <w:jc w:val="both"/>
        <w:rPr>
          <w:rFonts w:hint="eastAsia"/>
          <w:b/>
          <w:bCs/>
        </w:rPr>
      </w:pPr>
    </w:p>
    <w:p w14:paraId="6BC6C58F">
      <w:pPr>
        <w:pStyle w:val="11"/>
        <w:spacing w:beforeAutospacing="0" w:afterAutospacing="0" w:line="480" w:lineRule="auto"/>
        <w:ind w:firstLine="540" w:firstLineChars="224"/>
        <w:jc w:val="both"/>
        <w:rPr>
          <w:rFonts w:hint="eastAsia"/>
          <w:b/>
          <w:bCs/>
        </w:rPr>
      </w:pPr>
    </w:p>
    <w:p w14:paraId="4395DF62">
      <w:pPr>
        <w:pStyle w:val="11"/>
        <w:spacing w:beforeAutospacing="0" w:afterAutospacing="0" w:line="480" w:lineRule="auto"/>
        <w:ind w:firstLine="540" w:firstLineChars="224"/>
        <w:jc w:val="both"/>
        <w:rPr>
          <w:rFonts w:hint="eastAsia"/>
          <w:b/>
          <w:bCs/>
        </w:rPr>
      </w:pPr>
    </w:p>
    <w:p w14:paraId="67A783BF">
      <w:pPr>
        <w:pStyle w:val="11"/>
        <w:spacing w:beforeAutospacing="0" w:afterAutospacing="0" w:line="480" w:lineRule="auto"/>
        <w:ind w:firstLine="540" w:firstLineChars="224"/>
        <w:jc w:val="both"/>
        <w:rPr>
          <w:rFonts w:hint="eastAsia"/>
          <w:b/>
          <w:bCs/>
        </w:rPr>
      </w:pPr>
    </w:p>
    <w:p w14:paraId="20762BBA">
      <w:pPr>
        <w:pStyle w:val="11"/>
        <w:spacing w:beforeAutospacing="0" w:afterAutospacing="0" w:line="480" w:lineRule="auto"/>
        <w:ind w:firstLine="540" w:firstLineChars="224"/>
        <w:jc w:val="both"/>
        <w:rPr>
          <w:rFonts w:hint="eastAsia"/>
          <w:b/>
          <w:bCs/>
        </w:rPr>
      </w:pPr>
    </w:p>
    <w:p w14:paraId="70784347">
      <w:pPr>
        <w:pStyle w:val="11"/>
        <w:spacing w:beforeAutospacing="0" w:afterAutospacing="0" w:line="480" w:lineRule="auto"/>
        <w:ind w:firstLine="540" w:firstLineChars="224"/>
        <w:jc w:val="both"/>
        <w:rPr>
          <w:rFonts w:hint="eastAsia"/>
          <w:b/>
          <w:bCs/>
        </w:rPr>
      </w:pPr>
    </w:p>
    <w:p w14:paraId="50B9EA49">
      <w:pPr>
        <w:rPr>
          <w:rFonts w:hint="eastAsia" w:ascii="宋体" w:hAnsi="宋体" w:cs="宋体"/>
          <w:sz w:val="28"/>
          <w:szCs w:val="28"/>
        </w:rPr>
      </w:pPr>
      <w:bookmarkStart w:id="98" w:name="_Toc12888"/>
      <w:bookmarkStart w:id="99" w:name="_Toc16083"/>
      <w:bookmarkStart w:id="100" w:name="_Toc13726"/>
      <w:r>
        <w:rPr>
          <w:rFonts w:hint="eastAsia" w:ascii="宋体" w:hAnsi="宋体" w:cs="宋体"/>
          <w:sz w:val="28"/>
          <w:szCs w:val="28"/>
        </w:rPr>
        <w:br w:type="page"/>
      </w:r>
    </w:p>
    <w:p w14:paraId="075DD727">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附件10      </w:t>
      </w:r>
      <w:bookmarkEnd w:id="97"/>
      <w:r>
        <w:rPr>
          <w:rFonts w:hint="eastAsia" w:ascii="宋体" w:hAnsi="宋体" w:eastAsia="宋体" w:cs="宋体"/>
          <w:sz w:val="28"/>
          <w:szCs w:val="28"/>
        </w:rPr>
        <w:t>供 应 商 承 诺 书 （格式）</w:t>
      </w:r>
      <w:bookmarkEnd w:id="98"/>
      <w:bookmarkEnd w:id="99"/>
      <w:bookmarkEnd w:id="100"/>
    </w:p>
    <w:p w14:paraId="3613A479">
      <w:pPr>
        <w:rPr>
          <w:rFonts w:hint="eastAsia" w:ascii="宋体" w:hAnsi="宋体" w:cs="宋体"/>
        </w:rPr>
      </w:pPr>
    </w:p>
    <w:p w14:paraId="2A997D5E">
      <w:pPr>
        <w:snapToGrid w:val="0"/>
        <w:spacing w:line="460" w:lineRule="exact"/>
        <w:ind w:firstLine="641"/>
        <w:rPr>
          <w:rFonts w:hint="eastAsia" w:ascii="宋体" w:hAnsi="宋体" w:cs="宋体"/>
          <w:szCs w:val="21"/>
        </w:rPr>
      </w:pPr>
      <w:r>
        <w:rPr>
          <w:rFonts w:hint="eastAsia" w:ascii="宋体" w:hAnsi="宋体" w:cs="宋体"/>
          <w:szCs w:val="21"/>
        </w:rPr>
        <w:t>我院（以下简称甲方）组织的本次采购，在遵守《政府采购法》、《</w:t>
      </w:r>
      <w:r>
        <w:rPr>
          <w:rFonts w:hint="eastAsia" w:ascii="宋体" w:hAnsi="宋体"/>
          <w:kern w:val="0"/>
          <w:szCs w:val="21"/>
        </w:rPr>
        <w:t>中华人民共和国民法典</w:t>
      </w:r>
      <w:r>
        <w:rPr>
          <w:rFonts w:hint="eastAsia" w:ascii="宋体" w:hAnsi="宋体" w:cs="宋体"/>
          <w:szCs w:val="21"/>
        </w:rPr>
        <w:t>》、《反不正当竞争法》和《关于推进招投标监督领域诚信建设的意见》等法律法规的基础上，要求贵方（以下简称乙方）做出如下承诺：</w:t>
      </w:r>
    </w:p>
    <w:p w14:paraId="5D6B3698">
      <w:pPr>
        <w:snapToGrid w:val="0"/>
        <w:spacing w:line="460" w:lineRule="exact"/>
        <w:ind w:firstLine="641"/>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751A4EF1">
      <w:pPr>
        <w:snapToGrid w:val="0"/>
        <w:spacing w:line="460" w:lineRule="exact"/>
        <w:ind w:firstLine="641"/>
        <w:rPr>
          <w:rFonts w:hint="eastAsia" w:ascii="宋体" w:hAnsi="宋体" w:cs="宋体"/>
          <w:szCs w:val="21"/>
        </w:rPr>
      </w:pPr>
      <w:r>
        <w:rPr>
          <w:rFonts w:hint="eastAsia" w:ascii="宋体" w:hAnsi="宋体" w:cs="宋体"/>
          <w:szCs w:val="21"/>
        </w:rPr>
        <w:t>2、遵守甲方采购纪律，诚实守信地为甲方提供安全可靠的服务及相关技术，保证服务质量并主动做好售后服务工作。</w:t>
      </w:r>
    </w:p>
    <w:p w14:paraId="0D5358B5">
      <w:pPr>
        <w:snapToGrid w:val="0"/>
        <w:spacing w:line="460" w:lineRule="exact"/>
        <w:ind w:firstLine="641"/>
        <w:rPr>
          <w:rFonts w:hint="eastAsia" w:ascii="宋体" w:hAnsi="宋体" w:cs="宋体"/>
          <w:szCs w:val="21"/>
        </w:rPr>
      </w:pPr>
      <w:r>
        <w:rPr>
          <w:rFonts w:hint="eastAsia" w:ascii="宋体" w:hAnsi="宋体" w:cs="宋体"/>
          <w:szCs w:val="21"/>
        </w:rPr>
        <w:t>3、杜绝利用提供财物或给予其他不正当利益谋取中标的不良行为。</w:t>
      </w:r>
    </w:p>
    <w:p w14:paraId="517ED39F">
      <w:pPr>
        <w:snapToGrid w:val="0"/>
        <w:spacing w:line="460" w:lineRule="exact"/>
        <w:ind w:firstLine="641"/>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098959A0">
      <w:pPr>
        <w:snapToGrid w:val="0"/>
        <w:spacing w:line="460" w:lineRule="exact"/>
        <w:ind w:firstLine="641"/>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754000F3">
      <w:pPr>
        <w:snapToGrid w:val="0"/>
        <w:spacing w:line="460" w:lineRule="exact"/>
        <w:ind w:firstLine="641"/>
        <w:rPr>
          <w:rFonts w:hint="eastAsia" w:ascii="宋体" w:hAnsi="宋体" w:cs="宋体"/>
          <w:szCs w:val="21"/>
        </w:rPr>
      </w:pPr>
      <w:r>
        <w:rPr>
          <w:rFonts w:hint="eastAsia" w:ascii="宋体" w:hAnsi="宋体" w:cs="宋体"/>
          <w:szCs w:val="21"/>
        </w:rPr>
        <w:t>6、响应时，杜绝擅自修改竞争性磋商文件或技术标准（包括差异表）技术配置的行为。</w:t>
      </w:r>
    </w:p>
    <w:p w14:paraId="33716277">
      <w:pPr>
        <w:snapToGrid w:val="0"/>
        <w:spacing w:line="460" w:lineRule="exact"/>
        <w:ind w:firstLine="641"/>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1FDB3032">
      <w:pPr>
        <w:snapToGrid w:val="0"/>
        <w:spacing w:line="480" w:lineRule="auto"/>
        <w:rPr>
          <w:rFonts w:hint="eastAsia" w:ascii="宋体" w:hAnsi="宋体" w:cs="宋体"/>
          <w:szCs w:val="21"/>
        </w:rPr>
      </w:pPr>
    </w:p>
    <w:p w14:paraId="36D4B426">
      <w:pPr>
        <w:widowControl/>
        <w:spacing w:line="48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90FE24F">
      <w:pPr>
        <w:snapToGrid w:val="0"/>
        <w:spacing w:line="480" w:lineRule="auto"/>
        <w:ind w:firstLine="2730" w:firstLineChars="1300"/>
        <w:rPr>
          <w:rFonts w:hint="eastAsia" w:ascii="宋体" w:hAnsi="宋体" w:cs="宋体"/>
          <w:szCs w:val="21"/>
        </w:rPr>
      </w:pPr>
      <w:r>
        <w:rPr>
          <w:rFonts w:hint="eastAsia" w:ascii="宋体" w:hAnsi="宋体" w:cs="宋体"/>
          <w:szCs w:val="21"/>
        </w:rPr>
        <w:t>法定代表人或委托人（签字或盖章）：</w:t>
      </w:r>
      <w:r>
        <w:rPr>
          <w:rFonts w:hint="eastAsia" w:ascii="宋体" w:hAnsi="宋体" w:cs="宋体"/>
          <w:szCs w:val="21"/>
          <w:u w:val="single"/>
        </w:rPr>
        <w:t xml:space="preserve">            </w:t>
      </w:r>
      <w:r>
        <w:rPr>
          <w:rFonts w:hint="eastAsia" w:ascii="宋体" w:hAnsi="宋体" w:cs="宋体"/>
          <w:szCs w:val="21"/>
        </w:rPr>
        <w:t xml:space="preserve">           </w:t>
      </w:r>
    </w:p>
    <w:p w14:paraId="1169B5A3">
      <w:pPr>
        <w:snapToGrid w:val="0"/>
        <w:spacing w:line="480" w:lineRule="auto"/>
        <w:ind w:firstLine="210" w:firstLineChars="100"/>
        <w:rPr>
          <w:rFonts w:hint="eastAsia" w:ascii="宋体" w:hAnsi="宋体" w:cs="宋体"/>
          <w:szCs w:val="21"/>
        </w:rPr>
      </w:pPr>
      <w:r>
        <w:rPr>
          <w:rFonts w:hint="eastAsia" w:ascii="宋体" w:hAnsi="宋体" w:cs="宋体"/>
          <w:szCs w:val="21"/>
        </w:rPr>
        <w:t xml:space="preserve">                                    年   月   日</w:t>
      </w:r>
    </w:p>
    <w:p w14:paraId="1F69E5E4">
      <w:pPr>
        <w:widowControl/>
        <w:spacing w:line="360" w:lineRule="auto"/>
        <w:ind w:firstLine="4305" w:firstLineChars="2050"/>
        <w:jc w:val="left"/>
        <w:rPr>
          <w:rFonts w:hint="eastAsia" w:ascii="宋体" w:hAnsi="宋体" w:cs="宋体"/>
          <w:kern w:val="0"/>
          <w:szCs w:val="21"/>
        </w:rPr>
      </w:pPr>
    </w:p>
    <w:p w14:paraId="3CA50DBB">
      <w:pPr>
        <w:pStyle w:val="31"/>
        <w:ind w:firstLine="210"/>
        <w:rPr>
          <w:rFonts w:hint="eastAsia" w:ascii="宋体" w:hAnsi="宋体" w:cs="宋体"/>
          <w:kern w:val="0"/>
        </w:rPr>
        <w:sectPr>
          <w:pgSz w:w="11906" w:h="16838"/>
          <w:pgMar w:top="1417" w:right="1474" w:bottom="1417" w:left="1474" w:header="851" w:footer="624" w:gutter="0"/>
          <w:cols w:space="720" w:num="1"/>
          <w:docGrid w:type="lines" w:linePitch="319" w:charSpace="0"/>
        </w:sectPr>
      </w:pPr>
    </w:p>
    <w:p w14:paraId="230C97BA">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3525776A">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7962E3DD">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61CC84A0">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7E08EB54">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3738E35D">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1C77255A">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1E0BAE0">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456DDA4C">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225C74EC">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4FFE3702">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6691272F">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69991FA5">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325FFA86">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271AAAA4">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51125C0">
      <w:pPr>
        <w:snapToGrid w:val="0"/>
        <w:spacing w:line="360" w:lineRule="auto"/>
        <w:ind w:firstLine="641"/>
        <w:rPr>
          <w:rFonts w:hint="eastAsia" w:ascii="宋体" w:hAnsi="宋体" w:cs="宋体"/>
          <w:szCs w:val="21"/>
        </w:rPr>
      </w:pPr>
    </w:p>
    <w:p w14:paraId="3DE21E3A">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26AE6AF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0C4B5689">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41438B74">
      <w:pPr>
        <w:snapToGrid w:val="0"/>
        <w:spacing w:line="360" w:lineRule="auto"/>
        <w:ind w:firstLine="641"/>
        <w:rPr>
          <w:rFonts w:hint="eastAsia" w:ascii="宋体" w:hAnsi="宋体" w:cs="宋体"/>
          <w:szCs w:val="21"/>
        </w:rPr>
      </w:pPr>
    </w:p>
    <w:p w14:paraId="5749B822">
      <w:pPr>
        <w:snapToGrid w:val="0"/>
        <w:spacing w:line="360" w:lineRule="auto"/>
        <w:ind w:firstLine="641"/>
        <w:rPr>
          <w:rFonts w:hint="eastAsia" w:ascii="宋体" w:hAnsi="宋体" w:cs="宋体"/>
          <w:szCs w:val="21"/>
        </w:rPr>
      </w:pPr>
    </w:p>
    <w:p w14:paraId="4229C5C5">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794F31A">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083F12CD">
      <w:pPr>
        <w:pStyle w:val="11"/>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76C0FA97">
      <w:pPr>
        <w:rPr>
          <w:rFonts w:hint="eastAsia" w:ascii="宋体" w:hAnsi="宋体" w:cs="宋体"/>
        </w:rPr>
      </w:pPr>
      <w:bookmarkStart w:id="101" w:name="_Toc23394"/>
      <w:bookmarkStart w:id="102" w:name="_Toc25094"/>
      <w:bookmarkStart w:id="103" w:name="_Toc31685"/>
    </w:p>
    <w:p w14:paraId="645A74EE">
      <w:pPr>
        <w:pStyle w:val="6"/>
        <w:snapToGrid w:val="0"/>
        <w:spacing w:before="20"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101"/>
      <w:bookmarkEnd w:id="102"/>
      <w:bookmarkEnd w:id="103"/>
    </w:p>
    <w:p w14:paraId="7D44B4E2">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竞争性磋商文件中有关废标条款和评审标准，提供供应商认为应当附加的其它内容，以充分证明其投标符合竞争性磋商文件规定，并为评审提供充分依据。如果供应商未能提供相关证明文件，将有可能导致废标或者无法得分。</w:t>
      </w:r>
    </w:p>
    <w:p w14:paraId="4FDC4DEB">
      <w:pPr>
        <w:pStyle w:val="11"/>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DF4FB3">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7DF4FB3">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5"/>
      <w:jc w:val="right"/>
    </w:pPr>
    <w:r>
      <w:rPr>
        <w:rFonts w:hint="eastAsia" w:ascii="宋体" w:hAnsi="宋体" w:cs="宋体"/>
        <w:szCs w:val="21"/>
        <w:shd w:val="clear" w:color="auto" w:fill="FFFFFF"/>
      </w:rPr>
      <w:t>驻马店市中心医院病房改造提升项目初步设计竞争性磋商文件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E84657"/>
    <w:rsid w:val="02F40325"/>
    <w:rsid w:val="02F70D3E"/>
    <w:rsid w:val="02FA082F"/>
    <w:rsid w:val="031126C4"/>
    <w:rsid w:val="033124A2"/>
    <w:rsid w:val="034733B8"/>
    <w:rsid w:val="03475E56"/>
    <w:rsid w:val="034877EC"/>
    <w:rsid w:val="034C5AA2"/>
    <w:rsid w:val="0353518A"/>
    <w:rsid w:val="035E4919"/>
    <w:rsid w:val="03675F31"/>
    <w:rsid w:val="036A009A"/>
    <w:rsid w:val="037A734D"/>
    <w:rsid w:val="03844805"/>
    <w:rsid w:val="03845791"/>
    <w:rsid w:val="03A011E9"/>
    <w:rsid w:val="03AE7F27"/>
    <w:rsid w:val="03BD2BCD"/>
    <w:rsid w:val="03C30C20"/>
    <w:rsid w:val="03CC058D"/>
    <w:rsid w:val="03E017D2"/>
    <w:rsid w:val="03F447E2"/>
    <w:rsid w:val="03F77068"/>
    <w:rsid w:val="03FB660C"/>
    <w:rsid w:val="042E37DB"/>
    <w:rsid w:val="04416C20"/>
    <w:rsid w:val="044F28FA"/>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3430F"/>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957A5"/>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206810"/>
    <w:rsid w:val="0D444B80"/>
    <w:rsid w:val="0D4861FD"/>
    <w:rsid w:val="0D735465"/>
    <w:rsid w:val="0DAD6BC9"/>
    <w:rsid w:val="0DB066B9"/>
    <w:rsid w:val="0DC577E0"/>
    <w:rsid w:val="0DDC6319"/>
    <w:rsid w:val="0DE1181F"/>
    <w:rsid w:val="0DE95727"/>
    <w:rsid w:val="0DED5D54"/>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72614"/>
    <w:rsid w:val="0F3D59C9"/>
    <w:rsid w:val="0F44530B"/>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E82452"/>
    <w:rsid w:val="13036052"/>
    <w:rsid w:val="131E7C21"/>
    <w:rsid w:val="13272A5D"/>
    <w:rsid w:val="132A2A6A"/>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1B23B3"/>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E0EDF"/>
    <w:rsid w:val="17EE5BFF"/>
    <w:rsid w:val="18097740"/>
    <w:rsid w:val="18136133"/>
    <w:rsid w:val="184055B9"/>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B0C48"/>
    <w:rsid w:val="190B2D88"/>
    <w:rsid w:val="190E6B63"/>
    <w:rsid w:val="19123928"/>
    <w:rsid w:val="19194264"/>
    <w:rsid w:val="19283048"/>
    <w:rsid w:val="19410B0E"/>
    <w:rsid w:val="19420786"/>
    <w:rsid w:val="19427EC0"/>
    <w:rsid w:val="195711D7"/>
    <w:rsid w:val="195D2A3F"/>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23AE5"/>
    <w:rsid w:val="1BB73AE1"/>
    <w:rsid w:val="1BDA6D68"/>
    <w:rsid w:val="1BF14125"/>
    <w:rsid w:val="1BF22F1A"/>
    <w:rsid w:val="1C002CEE"/>
    <w:rsid w:val="1C057BD0"/>
    <w:rsid w:val="1C157783"/>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4EDE"/>
    <w:rsid w:val="1D2222DC"/>
    <w:rsid w:val="1D4209B0"/>
    <w:rsid w:val="1D5144F7"/>
    <w:rsid w:val="1D5B3CDE"/>
    <w:rsid w:val="1D5D0701"/>
    <w:rsid w:val="1D6E2950"/>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F308C"/>
    <w:rsid w:val="1FB64FF9"/>
    <w:rsid w:val="1FC11109"/>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0F3093F"/>
    <w:rsid w:val="2100305C"/>
    <w:rsid w:val="210F579E"/>
    <w:rsid w:val="21163FF0"/>
    <w:rsid w:val="211B39F2"/>
    <w:rsid w:val="212550B5"/>
    <w:rsid w:val="212B632B"/>
    <w:rsid w:val="21556F04"/>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45EB0"/>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43EC1"/>
    <w:rsid w:val="28100029"/>
    <w:rsid w:val="28125B4F"/>
    <w:rsid w:val="282B09BF"/>
    <w:rsid w:val="282E4F00"/>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9AC"/>
    <w:rsid w:val="297C03C2"/>
    <w:rsid w:val="299573AB"/>
    <w:rsid w:val="29B05804"/>
    <w:rsid w:val="29B82726"/>
    <w:rsid w:val="29BE5BD0"/>
    <w:rsid w:val="29C01572"/>
    <w:rsid w:val="29C25353"/>
    <w:rsid w:val="29CA4207"/>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A5600"/>
    <w:rsid w:val="2B574FD9"/>
    <w:rsid w:val="2B642979"/>
    <w:rsid w:val="2B654BED"/>
    <w:rsid w:val="2B681F2A"/>
    <w:rsid w:val="2B8D373E"/>
    <w:rsid w:val="2B9E4F56"/>
    <w:rsid w:val="2BD96984"/>
    <w:rsid w:val="2BDB5A88"/>
    <w:rsid w:val="2BDB6BA0"/>
    <w:rsid w:val="2BE91C37"/>
    <w:rsid w:val="2BEC3F72"/>
    <w:rsid w:val="2BF35C97"/>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F134E"/>
    <w:rsid w:val="2D835174"/>
    <w:rsid w:val="2D9331F9"/>
    <w:rsid w:val="2DD90B7B"/>
    <w:rsid w:val="2DD92C6B"/>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F6D21"/>
    <w:rsid w:val="2E742F70"/>
    <w:rsid w:val="2E8E7EF9"/>
    <w:rsid w:val="2E9077CD"/>
    <w:rsid w:val="2E9574DA"/>
    <w:rsid w:val="2E9A689E"/>
    <w:rsid w:val="2ECF360C"/>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912594"/>
    <w:rsid w:val="2FA07EE4"/>
    <w:rsid w:val="2FA54796"/>
    <w:rsid w:val="2FA674E2"/>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16A06"/>
    <w:rsid w:val="30E7260A"/>
    <w:rsid w:val="30EA0C38"/>
    <w:rsid w:val="31002970"/>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62CAE"/>
    <w:rsid w:val="36183AA2"/>
    <w:rsid w:val="36203B2D"/>
    <w:rsid w:val="36257395"/>
    <w:rsid w:val="363275A8"/>
    <w:rsid w:val="363E0457"/>
    <w:rsid w:val="365B4B65"/>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639AE"/>
    <w:rsid w:val="378142CB"/>
    <w:rsid w:val="378B61A6"/>
    <w:rsid w:val="379522F8"/>
    <w:rsid w:val="379A790F"/>
    <w:rsid w:val="37A10C9D"/>
    <w:rsid w:val="37B90F0B"/>
    <w:rsid w:val="37C60C33"/>
    <w:rsid w:val="37CD3F98"/>
    <w:rsid w:val="37DE77FC"/>
    <w:rsid w:val="37DF75BA"/>
    <w:rsid w:val="37E148E2"/>
    <w:rsid w:val="37F848EE"/>
    <w:rsid w:val="37F912FC"/>
    <w:rsid w:val="380D59EE"/>
    <w:rsid w:val="38304889"/>
    <w:rsid w:val="3836588A"/>
    <w:rsid w:val="38382675"/>
    <w:rsid w:val="383B7B0D"/>
    <w:rsid w:val="3848553B"/>
    <w:rsid w:val="384855BD"/>
    <w:rsid w:val="3851700B"/>
    <w:rsid w:val="385246B6"/>
    <w:rsid w:val="385E6B8E"/>
    <w:rsid w:val="38740160"/>
    <w:rsid w:val="3876113B"/>
    <w:rsid w:val="38883C0B"/>
    <w:rsid w:val="38A53DB7"/>
    <w:rsid w:val="38B7004D"/>
    <w:rsid w:val="38BF3388"/>
    <w:rsid w:val="38CC268D"/>
    <w:rsid w:val="38DF1FDA"/>
    <w:rsid w:val="38EC2960"/>
    <w:rsid w:val="390069DD"/>
    <w:rsid w:val="39030CF9"/>
    <w:rsid w:val="39091F35"/>
    <w:rsid w:val="390A63CE"/>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312338"/>
    <w:rsid w:val="3B3C5B77"/>
    <w:rsid w:val="3B3D0FF2"/>
    <w:rsid w:val="3B445340"/>
    <w:rsid w:val="3B501351"/>
    <w:rsid w:val="3B521A18"/>
    <w:rsid w:val="3B8D2B96"/>
    <w:rsid w:val="3B923660"/>
    <w:rsid w:val="3BA448B8"/>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46C23"/>
    <w:rsid w:val="3E8C5311"/>
    <w:rsid w:val="3E8E7E55"/>
    <w:rsid w:val="3EB61473"/>
    <w:rsid w:val="3EC66011"/>
    <w:rsid w:val="3ED25BE0"/>
    <w:rsid w:val="3ED75B7F"/>
    <w:rsid w:val="3EF9316D"/>
    <w:rsid w:val="3F1E4982"/>
    <w:rsid w:val="3F315E6B"/>
    <w:rsid w:val="3F5175E2"/>
    <w:rsid w:val="3F56276A"/>
    <w:rsid w:val="3F6A7BC7"/>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B59C4"/>
    <w:rsid w:val="412A32F8"/>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75260"/>
    <w:rsid w:val="447E3AC5"/>
    <w:rsid w:val="44805ED4"/>
    <w:rsid w:val="448E5DEE"/>
    <w:rsid w:val="449E4142"/>
    <w:rsid w:val="44A90BAA"/>
    <w:rsid w:val="44B24A20"/>
    <w:rsid w:val="44BC0BEE"/>
    <w:rsid w:val="44BF6C07"/>
    <w:rsid w:val="44C24001"/>
    <w:rsid w:val="44C55A88"/>
    <w:rsid w:val="44FB1C9C"/>
    <w:rsid w:val="450327A3"/>
    <w:rsid w:val="45392A13"/>
    <w:rsid w:val="453E3FCF"/>
    <w:rsid w:val="454F1836"/>
    <w:rsid w:val="45566A25"/>
    <w:rsid w:val="45790B64"/>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0647F"/>
    <w:rsid w:val="47665A15"/>
    <w:rsid w:val="47677941"/>
    <w:rsid w:val="477F1660"/>
    <w:rsid w:val="4788232A"/>
    <w:rsid w:val="478B0398"/>
    <w:rsid w:val="478F5D0B"/>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55444"/>
    <w:rsid w:val="49792B95"/>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3387D"/>
    <w:rsid w:val="4C080E93"/>
    <w:rsid w:val="4C1C2A09"/>
    <w:rsid w:val="4C284AD9"/>
    <w:rsid w:val="4C423098"/>
    <w:rsid w:val="4C612351"/>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7106E"/>
    <w:rsid w:val="4FF82FCD"/>
    <w:rsid w:val="50053943"/>
    <w:rsid w:val="50260569"/>
    <w:rsid w:val="50374A3C"/>
    <w:rsid w:val="50487AB0"/>
    <w:rsid w:val="50550E55"/>
    <w:rsid w:val="506B379F"/>
    <w:rsid w:val="507E7F6A"/>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171E30"/>
    <w:rsid w:val="52287B99"/>
    <w:rsid w:val="522E717A"/>
    <w:rsid w:val="52382F2A"/>
    <w:rsid w:val="52386E3D"/>
    <w:rsid w:val="523A7DD1"/>
    <w:rsid w:val="523B7711"/>
    <w:rsid w:val="523E560F"/>
    <w:rsid w:val="52495D62"/>
    <w:rsid w:val="5271774C"/>
    <w:rsid w:val="527A416D"/>
    <w:rsid w:val="528D7B65"/>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5A51E8"/>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8690E"/>
    <w:rsid w:val="56AB7A29"/>
    <w:rsid w:val="56B679AB"/>
    <w:rsid w:val="56B80DEB"/>
    <w:rsid w:val="56E0560F"/>
    <w:rsid w:val="56E06E61"/>
    <w:rsid w:val="56EF3C74"/>
    <w:rsid w:val="56F653FE"/>
    <w:rsid w:val="56FA762A"/>
    <w:rsid w:val="57007337"/>
    <w:rsid w:val="574448FC"/>
    <w:rsid w:val="57561D39"/>
    <w:rsid w:val="575B7AF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953AAF"/>
    <w:rsid w:val="58B31855"/>
    <w:rsid w:val="58CF56D8"/>
    <w:rsid w:val="58D31010"/>
    <w:rsid w:val="58D6741E"/>
    <w:rsid w:val="58DB0535"/>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585171"/>
    <w:rsid w:val="5B585B78"/>
    <w:rsid w:val="5B6D62B9"/>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936557"/>
    <w:rsid w:val="5CB309A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27A"/>
    <w:rsid w:val="5E3146A3"/>
    <w:rsid w:val="5E442F62"/>
    <w:rsid w:val="5E6C2C5B"/>
    <w:rsid w:val="5E6E2DD8"/>
    <w:rsid w:val="5E7251A2"/>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2065A1D"/>
    <w:rsid w:val="6213792C"/>
    <w:rsid w:val="621775E2"/>
    <w:rsid w:val="621C0D9D"/>
    <w:rsid w:val="622F7552"/>
    <w:rsid w:val="6250406E"/>
    <w:rsid w:val="6267666C"/>
    <w:rsid w:val="62724E61"/>
    <w:rsid w:val="627D6831"/>
    <w:rsid w:val="62811B1C"/>
    <w:rsid w:val="628C7CD0"/>
    <w:rsid w:val="6299063F"/>
    <w:rsid w:val="629B7F14"/>
    <w:rsid w:val="62A20409"/>
    <w:rsid w:val="62A56FE4"/>
    <w:rsid w:val="62B54B44"/>
    <w:rsid w:val="62B92A90"/>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B31A18"/>
    <w:rsid w:val="65B461E9"/>
    <w:rsid w:val="65BE39A8"/>
    <w:rsid w:val="65C23A09"/>
    <w:rsid w:val="65FB3FBE"/>
    <w:rsid w:val="66101A71"/>
    <w:rsid w:val="66171FA7"/>
    <w:rsid w:val="66247D11"/>
    <w:rsid w:val="663B3EC9"/>
    <w:rsid w:val="665A1E94"/>
    <w:rsid w:val="66736112"/>
    <w:rsid w:val="667F5B5B"/>
    <w:rsid w:val="668F1B3D"/>
    <w:rsid w:val="66911D59"/>
    <w:rsid w:val="6694262A"/>
    <w:rsid w:val="66990381"/>
    <w:rsid w:val="66996E60"/>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521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C1EF3"/>
    <w:rsid w:val="685E1363"/>
    <w:rsid w:val="687731D1"/>
    <w:rsid w:val="6878475E"/>
    <w:rsid w:val="688E1089"/>
    <w:rsid w:val="68993219"/>
    <w:rsid w:val="689E42BA"/>
    <w:rsid w:val="68A026F3"/>
    <w:rsid w:val="68AD6BF3"/>
    <w:rsid w:val="68AF6C13"/>
    <w:rsid w:val="68C77CB4"/>
    <w:rsid w:val="68D73C6F"/>
    <w:rsid w:val="68F25680"/>
    <w:rsid w:val="69074555"/>
    <w:rsid w:val="690E07C7"/>
    <w:rsid w:val="69140A20"/>
    <w:rsid w:val="69236A65"/>
    <w:rsid w:val="692E469B"/>
    <w:rsid w:val="69315C48"/>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B1A2C3C"/>
    <w:rsid w:val="6B1B42E7"/>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11B2C"/>
    <w:rsid w:val="6C4800AA"/>
    <w:rsid w:val="6C4D28F8"/>
    <w:rsid w:val="6C573E9C"/>
    <w:rsid w:val="6C5C23DC"/>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DE269F"/>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6211A"/>
    <w:rsid w:val="6EAD447C"/>
    <w:rsid w:val="6EAE5472"/>
    <w:rsid w:val="6EBC069A"/>
    <w:rsid w:val="6EBE7228"/>
    <w:rsid w:val="6ECD7F59"/>
    <w:rsid w:val="6ECF449B"/>
    <w:rsid w:val="6ED36C87"/>
    <w:rsid w:val="6ED975CA"/>
    <w:rsid w:val="6EED7C80"/>
    <w:rsid w:val="6EF773A4"/>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D40F09"/>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A674D"/>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7644F9"/>
    <w:rsid w:val="727918F3"/>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B00E5"/>
    <w:rsid w:val="76733229"/>
    <w:rsid w:val="76760624"/>
    <w:rsid w:val="76832D41"/>
    <w:rsid w:val="768B2C28"/>
    <w:rsid w:val="76960CC6"/>
    <w:rsid w:val="76AA29C3"/>
    <w:rsid w:val="76B850E0"/>
    <w:rsid w:val="76BB1CAB"/>
    <w:rsid w:val="76C04050"/>
    <w:rsid w:val="76C23869"/>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26A72"/>
    <w:rsid w:val="781E71C5"/>
    <w:rsid w:val="78250553"/>
    <w:rsid w:val="782642CC"/>
    <w:rsid w:val="782D11B6"/>
    <w:rsid w:val="78373BF3"/>
    <w:rsid w:val="783B17B1"/>
    <w:rsid w:val="784E2046"/>
    <w:rsid w:val="78546F0C"/>
    <w:rsid w:val="786778FE"/>
    <w:rsid w:val="78830961"/>
    <w:rsid w:val="789D588A"/>
    <w:rsid w:val="78A43B6E"/>
    <w:rsid w:val="78B65E3A"/>
    <w:rsid w:val="78E0091E"/>
    <w:rsid w:val="78EE1C79"/>
    <w:rsid w:val="78F85605"/>
    <w:rsid w:val="78FA66FA"/>
    <w:rsid w:val="79053EE1"/>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45DA7"/>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16727</Words>
  <Characters>17456</Characters>
  <Lines>139</Lines>
  <Paragraphs>39</Paragraphs>
  <TotalTime>46</TotalTime>
  <ScaleCrop>false</ScaleCrop>
  <LinksUpToDate>false</LinksUpToDate>
  <CharactersWithSpaces>18446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2025-11-04T08:14:22Z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75D1E9E630BE40DA8E176CE584DABCFD_13</vt:lpwstr>
  </property>
  <property fmtid="{D5CDD505-2E9C-101B-9397-08002B2CF9AE}" pid="4" name="KSOTemplateDocerSaveRecord">
    <vt:lpwstr>eyJoZGlkIjoiMzU0MTZjMjFkMjFjOGMwYTIzNWEzZDljNjYxZWI0MmYiLCJ1c2VySWQiOiIxNjg0NTc5MjM2In0=</vt:lpwstr>
  </property>
</Properties>
</file>