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驻马店市中心医院飞利浦3.0T磁共振梯度放大器、冷头、液氦采购项目</w:t>
      </w:r>
    </w:p>
    <w:p w14:paraId="6D1E6F94">
      <w:pPr>
        <w:pStyle w:val="20"/>
        <w:bidi w:val="0"/>
        <w:jc w:val="center"/>
        <w:rPr>
          <w:rStyle w:val="45"/>
          <w:rFonts w:hint="eastAsia" w:cs="宋体"/>
          <w:b/>
          <w:bCs/>
          <w:color w:val="auto"/>
          <w:sz w:val="44"/>
          <w:szCs w:val="44"/>
          <w:highlight w:val="none"/>
          <w:lang w:val="en-US" w:eastAsia="zh-CN"/>
        </w:rPr>
      </w:pPr>
    </w:p>
    <w:p w14:paraId="79C47D7C">
      <w:pPr>
        <w:pStyle w:val="20"/>
        <w:bidi w:val="0"/>
        <w:jc w:val="center"/>
        <w:rPr>
          <w:rStyle w:val="45"/>
          <w:rFonts w:hint="eastAsia" w:cs="宋体"/>
          <w:b/>
          <w:bCs/>
          <w:color w:val="auto"/>
          <w:sz w:val="44"/>
          <w:szCs w:val="44"/>
          <w:highlight w:val="none"/>
          <w:lang w:val="en-US" w:eastAsia="zh-CN"/>
        </w:rPr>
      </w:pPr>
    </w:p>
    <w:p w14:paraId="4986C5B7">
      <w:pPr>
        <w:pStyle w:val="20"/>
        <w:bidi w:val="0"/>
        <w:jc w:val="center"/>
        <w:rPr>
          <w:rStyle w:val="45"/>
          <w:rFonts w:hint="eastAsia" w:cs="宋体"/>
          <w:b/>
          <w:bCs/>
          <w:color w:val="auto"/>
          <w:sz w:val="44"/>
          <w:szCs w:val="44"/>
          <w:highlight w:val="none"/>
          <w:lang w:val="en-US" w:eastAsia="zh-CN"/>
        </w:rPr>
      </w:pPr>
    </w:p>
    <w:p w14:paraId="08BBE135">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采购代理机构：中大宇辰项目管理有限公司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驻马店市中心医院飞利浦3.0T磁共振梯度放大器、冷头、液氦采购项目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驻马店市中心医院飞利浦3.0T磁共振梯度放大器、冷头、液氦采购项目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驻马店市中心医院飞利浦3.0T磁共振梯度放大器、冷头、液氦采购项目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28万元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0000FF"/>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w:t>
      </w:r>
      <w:r>
        <w:rPr>
          <w:rFonts w:hint="eastAsia" w:ascii="宋体" w:hAnsi="宋体" w:eastAsia="宋体" w:cs="宋体"/>
          <w:color w:val="auto"/>
          <w:szCs w:val="21"/>
          <w:highlight w:val="none"/>
          <w:shd w:val="clear" w:color="auto" w:fill="FFFFFF"/>
          <w:lang w:val="en-US" w:eastAsia="zh-CN"/>
        </w:rPr>
        <w:t>期：按照合同约定执行。</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16639"/>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7823"/>
      <w:bookmarkStart w:id="10" w:name="_Toc23395"/>
      <w:bookmarkStart w:id="11" w:name="_Toc30643"/>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99BE60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w:t>
      </w:r>
      <w:bookmarkStart w:id="101" w:name="_GoBack"/>
      <w:bookmarkEnd w:id="101"/>
      <w:r>
        <w:rPr>
          <w:rFonts w:hint="eastAsia" w:ascii="宋体" w:hAnsi="宋体" w:eastAsia="宋体" w:cs="宋体"/>
          <w:color w:val="auto"/>
          <w:szCs w:val="21"/>
          <w:highlight w:val="none"/>
          <w:shd w:val="clear" w:color="auto" w:fill="FFFFFF"/>
          <w:lang w:val="en-US" w:eastAsia="zh-CN"/>
        </w:rPr>
        <w:t>合医疗器械监督管理条例规定的经营条件。</w:t>
      </w:r>
    </w:p>
    <w:p w14:paraId="523822F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31</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2131538583@qq.com,并标明XX公司XX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0738"/>
      <w:bookmarkStart w:id="15" w:name="_Toc15111"/>
      <w:bookmarkStart w:id="16" w:name="_Toc25869"/>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6523"/>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604"/>
      <w:bookmarkStart w:id="26" w:name="_Toc31928"/>
      <w:bookmarkStart w:id="27" w:name="_Toc27370"/>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1051EF3E">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eastAsia="宋体" w:cs="宋体"/>
          <w:color w:val="auto"/>
          <w:kern w:val="0"/>
          <w:sz w:val="21"/>
          <w:szCs w:val="21"/>
          <w:shd w:val="clear" w:color="auto" w:fill="FFFFFF"/>
          <w:lang w:val="en-US" w:eastAsia="zh-CN" w:bidi="ar-SA"/>
        </w:rPr>
        <w:t>中大宇辰项目管理有限公司</w:t>
      </w:r>
    </w:p>
    <w:p w14:paraId="0177B6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地址：河南省郑州市郑东新区祥盛街10号（聚龙城）4号楼1304室</w:t>
      </w:r>
    </w:p>
    <w:p w14:paraId="54B861F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联系人：闫先生</w:t>
      </w:r>
    </w:p>
    <w:p w14:paraId="7210EB1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联系方式：19139690398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30</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驻马店市中心医院飞利浦3.0T磁共振梯度放大器、冷头、液氦采购项目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498"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1508"/>
        <w:gridCol w:w="1650"/>
        <w:gridCol w:w="1102"/>
        <w:gridCol w:w="1425"/>
        <w:gridCol w:w="1140"/>
        <w:gridCol w:w="150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1508"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标的名称</w:t>
            </w:r>
          </w:p>
        </w:tc>
        <w:tc>
          <w:tcPr>
            <w:tcW w:w="16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lang w:val="en-US" w:eastAsia="zh-CN"/>
              </w:rPr>
              <w:t>数量</w:t>
            </w:r>
          </w:p>
        </w:tc>
        <w:tc>
          <w:tcPr>
            <w:tcW w:w="1102"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lang w:val="en-US" w:eastAsia="zh-CN"/>
              </w:rPr>
              <w:t>单价</w:t>
            </w:r>
          </w:p>
        </w:tc>
        <w:tc>
          <w:tcPr>
            <w:tcW w:w="1425" w:type="dxa"/>
            <w:vAlign w:val="center"/>
          </w:tcPr>
          <w:p w14:paraId="398700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rPr>
              <w:t>资金预算</w:t>
            </w:r>
          </w:p>
        </w:tc>
        <w:tc>
          <w:tcPr>
            <w:tcW w:w="1140"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资金性质</w:t>
            </w:r>
          </w:p>
        </w:tc>
        <w:tc>
          <w:tcPr>
            <w:tcW w:w="1500"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是否接受进口产品</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3" w:type="dxa"/>
            <w:shd w:val="clear" w:color="auto" w:fill="auto"/>
            <w:vAlign w:val="center"/>
          </w:tcPr>
          <w:p w14:paraId="7E2267B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508" w:type="dxa"/>
            <w:shd w:val="clear" w:color="auto" w:fill="auto"/>
            <w:vAlign w:val="center"/>
          </w:tcPr>
          <w:p w14:paraId="3275158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梯度放大器</w:t>
            </w:r>
          </w:p>
        </w:tc>
        <w:tc>
          <w:tcPr>
            <w:tcW w:w="1650" w:type="dxa"/>
            <w:shd w:val="clear" w:color="auto" w:fill="auto"/>
            <w:vAlign w:val="center"/>
          </w:tcPr>
          <w:p w14:paraId="2D610A1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2个</w:t>
            </w:r>
          </w:p>
        </w:tc>
        <w:tc>
          <w:tcPr>
            <w:tcW w:w="1102"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6万元</w:t>
            </w:r>
          </w:p>
        </w:tc>
        <w:tc>
          <w:tcPr>
            <w:tcW w:w="142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12万元</w:t>
            </w:r>
          </w:p>
        </w:tc>
        <w:tc>
          <w:tcPr>
            <w:tcW w:w="1140" w:type="dxa"/>
            <w:shd w:val="clear" w:color="auto" w:fill="auto"/>
            <w:vAlign w:val="center"/>
          </w:tcPr>
          <w:p w14:paraId="18BFE3E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自筹</w:t>
            </w:r>
          </w:p>
        </w:tc>
        <w:tc>
          <w:tcPr>
            <w:tcW w:w="1500" w:type="dxa"/>
            <w:shd w:val="clear" w:color="auto" w:fill="auto"/>
            <w:vAlign w:val="center"/>
          </w:tcPr>
          <w:p w14:paraId="1F5FAC60">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w:t>
            </w:r>
          </w:p>
        </w:tc>
      </w:tr>
      <w:tr w14:paraId="508C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73" w:type="dxa"/>
            <w:shd w:val="clear" w:color="auto" w:fill="auto"/>
            <w:vAlign w:val="center"/>
          </w:tcPr>
          <w:p w14:paraId="4E05B7A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1508" w:type="dxa"/>
            <w:shd w:val="clear" w:color="auto" w:fill="auto"/>
            <w:vAlign w:val="center"/>
          </w:tcPr>
          <w:p w14:paraId="2AB8E1B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冷头</w:t>
            </w:r>
          </w:p>
        </w:tc>
        <w:tc>
          <w:tcPr>
            <w:tcW w:w="1650" w:type="dxa"/>
            <w:shd w:val="clear" w:color="auto" w:fill="auto"/>
            <w:vAlign w:val="center"/>
          </w:tcPr>
          <w:p w14:paraId="23A76F5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1个</w:t>
            </w:r>
          </w:p>
        </w:tc>
        <w:tc>
          <w:tcPr>
            <w:tcW w:w="1102" w:type="dxa"/>
            <w:shd w:val="clear" w:color="auto" w:fill="auto"/>
            <w:vAlign w:val="center"/>
          </w:tcPr>
          <w:p w14:paraId="31526BC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8.5万元</w:t>
            </w:r>
          </w:p>
        </w:tc>
        <w:tc>
          <w:tcPr>
            <w:tcW w:w="1425" w:type="dxa"/>
            <w:shd w:val="clear" w:color="auto" w:fill="auto"/>
            <w:vAlign w:val="center"/>
          </w:tcPr>
          <w:p w14:paraId="3BF55F3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8.50万元</w:t>
            </w:r>
          </w:p>
        </w:tc>
        <w:tc>
          <w:tcPr>
            <w:tcW w:w="1140" w:type="dxa"/>
            <w:shd w:val="clear" w:color="auto" w:fill="auto"/>
            <w:vAlign w:val="center"/>
          </w:tcPr>
          <w:p w14:paraId="3F708A37">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自筹</w:t>
            </w:r>
          </w:p>
        </w:tc>
        <w:tc>
          <w:tcPr>
            <w:tcW w:w="1500" w:type="dxa"/>
            <w:shd w:val="clear" w:color="auto" w:fill="auto"/>
            <w:vAlign w:val="center"/>
          </w:tcPr>
          <w:p w14:paraId="562E9F41">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w:t>
            </w:r>
          </w:p>
        </w:tc>
      </w:tr>
      <w:tr w14:paraId="7A59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73" w:type="dxa"/>
            <w:shd w:val="clear" w:color="auto" w:fill="auto"/>
            <w:vAlign w:val="center"/>
          </w:tcPr>
          <w:p w14:paraId="3E7B0B8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508" w:type="dxa"/>
            <w:shd w:val="clear" w:color="auto" w:fill="auto"/>
            <w:vAlign w:val="center"/>
          </w:tcPr>
          <w:p w14:paraId="185A98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液氦</w:t>
            </w:r>
          </w:p>
        </w:tc>
        <w:tc>
          <w:tcPr>
            <w:tcW w:w="1650" w:type="dxa"/>
            <w:shd w:val="clear" w:color="auto" w:fill="auto"/>
            <w:vAlign w:val="center"/>
          </w:tcPr>
          <w:p w14:paraId="0BCEE9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500升</w:t>
            </w:r>
          </w:p>
        </w:tc>
        <w:tc>
          <w:tcPr>
            <w:tcW w:w="1102" w:type="dxa"/>
            <w:shd w:val="clear" w:color="auto" w:fill="auto"/>
            <w:vAlign w:val="center"/>
          </w:tcPr>
          <w:p w14:paraId="6C9B47F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150元/升</w:t>
            </w:r>
          </w:p>
        </w:tc>
        <w:tc>
          <w:tcPr>
            <w:tcW w:w="1425" w:type="dxa"/>
            <w:shd w:val="clear" w:color="auto" w:fill="auto"/>
            <w:vAlign w:val="center"/>
          </w:tcPr>
          <w:p w14:paraId="4675A0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7.50万元</w:t>
            </w:r>
          </w:p>
        </w:tc>
        <w:tc>
          <w:tcPr>
            <w:tcW w:w="1140" w:type="dxa"/>
            <w:shd w:val="clear" w:color="auto" w:fill="auto"/>
            <w:vAlign w:val="center"/>
          </w:tcPr>
          <w:p w14:paraId="4D2C0A50">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自筹</w:t>
            </w:r>
          </w:p>
        </w:tc>
        <w:tc>
          <w:tcPr>
            <w:tcW w:w="1500" w:type="dxa"/>
            <w:shd w:val="clear" w:color="auto" w:fill="auto"/>
            <w:vAlign w:val="center"/>
          </w:tcPr>
          <w:p w14:paraId="3F064AE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否</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8325" w:type="dxa"/>
            <w:gridSpan w:val="6"/>
            <w:vAlign w:val="center"/>
          </w:tcPr>
          <w:p w14:paraId="658FFDE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8325" w:type="dxa"/>
            <w:gridSpan w:val="6"/>
            <w:vAlign w:val="center"/>
          </w:tcPr>
          <w:p w14:paraId="4F1CEB2D">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适用设备型号为飞利浦3.0T磁共振</w:t>
            </w:r>
          </w:p>
        </w:tc>
      </w:tr>
    </w:tbl>
    <w:p w14:paraId="3C7AEA28">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63820FF6">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8321C9F">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1、梯度放大器：</w:t>
      </w:r>
    </w:p>
    <w:p w14:paraId="0D246012">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最高输出电压400V，电流850A</w:t>
      </w:r>
    </w:p>
    <w:p w14:paraId="7F2271E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梯度场强40mT/m</w:t>
      </w:r>
    </w:p>
    <w:p w14:paraId="25E352F4">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梯度线性度1%</w:t>
      </w:r>
    </w:p>
    <w:p w14:paraId="272F9D8E">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2、冷头：</w:t>
      </w:r>
    </w:p>
    <w:p w14:paraId="77932457">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功率≥1.2W</w:t>
      </w:r>
    </w:p>
    <w:p w14:paraId="45E512B8">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工作压力300-340psi</w:t>
      </w:r>
    </w:p>
    <w:p w14:paraId="79A5088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制冷温度1st≤40K，2nd≤4K</w:t>
      </w:r>
    </w:p>
    <w:p w14:paraId="47EFC2CE">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3、液氦：</w:t>
      </w:r>
    </w:p>
    <w:p w14:paraId="704857A8">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3.1.向磁共振添加500L液氦;</w:t>
      </w:r>
    </w:p>
    <w:p w14:paraId="7CBA4562">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3.2.完成添加液氦过程中可能出现的励磁、除冰及其它维护工作;</w:t>
      </w:r>
    </w:p>
    <w:p w14:paraId="40045B4B">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3.3.液氦添加后确保 MR 正常稳定运行。</w:t>
      </w:r>
    </w:p>
    <w:p w14:paraId="1B672AF1">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3.4.严格按照以下要求进行液氦供应及服务</w:t>
      </w:r>
    </w:p>
    <w:p w14:paraId="0C844494">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液氦纯度&gt;99.999%</w:t>
      </w:r>
    </w:p>
    <w:p w14:paraId="0709F352">
      <w:pPr>
        <w:spacing w:line="360" w:lineRule="auto"/>
        <w:rPr>
          <w:rFonts w:hint="eastAsia" w:ascii="宋体" w:hAnsi="宋体" w:eastAsia="宋体" w:cs="宋体"/>
          <w:iCs/>
          <w:kern w:val="2"/>
          <w:sz w:val="22"/>
          <w:szCs w:val="22"/>
          <w:lang w:val="en-US" w:eastAsia="zh-CN" w:bidi="ar-SA"/>
        </w:rPr>
      </w:pPr>
    </w:p>
    <w:p w14:paraId="10948DEB">
      <w:pPr>
        <w:spacing w:line="360" w:lineRule="auto"/>
        <w:rPr>
          <w:rFonts w:hint="eastAsia" w:ascii="宋体" w:hAnsi="宋体" w:eastAsia="宋体" w:cs="宋体"/>
          <w:iCs/>
          <w:kern w:val="2"/>
          <w:sz w:val="22"/>
          <w:szCs w:val="22"/>
          <w:lang w:val="en-US" w:eastAsia="zh-CN" w:bidi="ar-SA"/>
        </w:rPr>
      </w:pPr>
    </w:p>
    <w:p w14:paraId="0B9924D6">
      <w:pPr>
        <w:spacing w:line="360" w:lineRule="auto"/>
        <w:rPr>
          <w:rFonts w:hint="eastAsia" w:ascii="宋体" w:hAnsi="宋体" w:eastAsia="宋体" w:cs="宋体"/>
          <w:iCs/>
          <w:kern w:val="2"/>
          <w:sz w:val="22"/>
          <w:szCs w:val="22"/>
          <w:lang w:val="en-US" w:eastAsia="zh-CN" w:bidi="ar-SA"/>
        </w:rPr>
      </w:pPr>
    </w:p>
    <w:p w14:paraId="177C9F5B">
      <w:pPr>
        <w:spacing w:line="360" w:lineRule="auto"/>
        <w:jc w:val="center"/>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纯度标准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0"/>
        <w:gridCol w:w="2872"/>
      </w:tblGrid>
      <w:tr w14:paraId="40C5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870" w:type="dxa"/>
          </w:tcPr>
          <w:p w14:paraId="1104932E">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等级指定</w:t>
            </w:r>
          </w:p>
        </w:tc>
        <w:tc>
          <w:tcPr>
            <w:tcW w:w="2872" w:type="dxa"/>
          </w:tcPr>
          <w:p w14:paraId="7D1B560B">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液氦</w:t>
            </w:r>
          </w:p>
        </w:tc>
      </w:tr>
      <w:tr w14:paraId="61F8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52334E3C">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CGA G9.1P等级</w:t>
            </w:r>
          </w:p>
        </w:tc>
        <w:tc>
          <w:tcPr>
            <w:tcW w:w="2872" w:type="dxa"/>
          </w:tcPr>
          <w:p w14:paraId="0116C0CB">
            <w:pPr>
              <w:spacing w:line="360" w:lineRule="auto"/>
              <w:rPr>
                <w:rFonts w:hint="eastAsia" w:ascii="宋体" w:hAnsi="宋体" w:eastAsia="宋体" w:cs="宋体"/>
                <w:iCs/>
                <w:kern w:val="2"/>
                <w:sz w:val="22"/>
                <w:szCs w:val="22"/>
                <w:lang w:val="en-US" w:eastAsia="zh-CN" w:bidi="ar-SA"/>
              </w:rPr>
            </w:pPr>
          </w:p>
        </w:tc>
      </w:tr>
      <w:tr w14:paraId="7631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7F411361">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氦纯度</w:t>
            </w:r>
          </w:p>
        </w:tc>
        <w:tc>
          <w:tcPr>
            <w:tcW w:w="2872" w:type="dxa"/>
          </w:tcPr>
          <w:p w14:paraId="41FDEC42">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99.999%</w:t>
            </w:r>
          </w:p>
        </w:tc>
      </w:tr>
      <w:tr w14:paraId="533C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0E39E46C">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水</w:t>
            </w:r>
          </w:p>
        </w:tc>
        <w:tc>
          <w:tcPr>
            <w:tcW w:w="2872" w:type="dxa"/>
          </w:tcPr>
          <w:p w14:paraId="4404D46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1.5 ppm</w:t>
            </w:r>
          </w:p>
        </w:tc>
      </w:tr>
      <w:tr w14:paraId="616A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3E758BEF">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氖</w:t>
            </w:r>
          </w:p>
        </w:tc>
        <w:tc>
          <w:tcPr>
            <w:tcW w:w="2872" w:type="dxa"/>
          </w:tcPr>
          <w:p w14:paraId="48D6CEE1">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2 ppm</w:t>
            </w:r>
          </w:p>
        </w:tc>
      </w:tr>
      <w:tr w14:paraId="3A54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599738AF">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氢</w:t>
            </w:r>
          </w:p>
        </w:tc>
        <w:tc>
          <w:tcPr>
            <w:tcW w:w="2872" w:type="dxa"/>
          </w:tcPr>
          <w:p w14:paraId="0241138A">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1 ppm</w:t>
            </w:r>
          </w:p>
        </w:tc>
      </w:tr>
      <w:tr w14:paraId="61ED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1F75EA1B">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一氧化碳和二氧化碳</w:t>
            </w:r>
          </w:p>
        </w:tc>
        <w:tc>
          <w:tcPr>
            <w:tcW w:w="2872" w:type="dxa"/>
          </w:tcPr>
          <w:p w14:paraId="15CA5A54">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0.5 ppm</w:t>
            </w:r>
          </w:p>
        </w:tc>
      </w:tr>
      <w:tr w14:paraId="30D7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286261A3">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氧</w:t>
            </w:r>
          </w:p>
        </w:tc>
        <w:tc>
          <w:tcPr>
            <w:tcW w:w="2872" w:type="dxa"/>
          </w:tcPr>
          <w:p w14:paraId="36F09C79">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1 ppm</w:t>
            </w:r>
          </w:p>
        </w:tc>
      </w:tr>
      <w:tr w14:paraId="77BD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3A53F0B3">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总碳氢化合物(如甲烷)</w:t>
            </w:r>
          </w:p>
        </w:tc>
        <w:tc>
          <w:tcPr>
            <w:tcW w:w="2872" w:type="dxa"/>
          </w:tcPr>
          <w:p w14:paraId="0A86A6E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0.5 ppm</w:t>
            </w:r>
          </w:p>
        </w:tc>
      </w:tr>
      <w:tr w14:paraId="147F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0" w:type="dxa"/>
          </w:tcPr>
          <w:p w14:paraId="4C2B65D4">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氮和氩</w:t>
            </w:r>
          </w:p>
        </w:tc>
        <w:tc>
          <w:tcPr>
            <w:tcW w:w="2872" w:type="dxa"/>
          </w:tcPr>
          <w:p w14:paraId="0DD8E08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5 ppm</w:t>
            </w:r>
          </w:p>
        </w:tc>
      </w:tr>
    </w:tbl>
    <w:p w14:paraId="7D60E81D">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3.5本次所加注的液氦用于飞利浦Achieva TX 3.0T核磁，保证提供的产品质量满足院方设备运行的需要。</w:t>
      </w:r>
    </w:p>
    <w:p w14:paraId="61857BC8">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3.6免费提供液氦充填服务，充液氦所用的高纯氦气免费。</w:t>
      </w:r>
    </w:p>
    <w:p w14:paraId="04931413">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3.7在院方规定的时间内完成充装工作，加注过程须符合国家及行业现行标准及规范。加注液氦过程中，如因液添加导致设备故障(含核磁失超)、停机等一切损失由供应商承担。</w:t>
      </w:r>
    </w:p>
    <w:p w14:paraId="5A757D23">
      <w:pPr>
        <w:spacing w:line="360" w:lineRule="auto"/>
        <w:ind w:firstLine="440" w:firstLineChars="200"/>
        <w:rPr>
          <w:rFonts w:hint="default" w:ascii="宋体" w:hAnsi="宋体" w:eastAsia="宋体" w:cs="宋体"/>
          <w:iCs/>
          <w:kern w:val="2"/>
          <w:sz w:val="22"/>
          <w:szCs w:val="22"/>
          <w:highlight w:val="none"/>
          <w:lang w:val="en-US" w:eastAsia="zh-CN" w:bidi="ar-SA"/>
        </w:rPr>
      </w:pPr>
      <w:r>
        <w:rPr>
          <w:rFonts w:hint="eastAsia" w:ascii="宋体" w:hAnsi="宋体" w:eastAsia="宋体" w:cs="宋体"/>
          <w:iCs/>
          <w:kern w:val="2"/>
          <w:sz w:val="22"/>
          <w:szCs w:val="22"/>
          <w:highlight w:val="none"/>
          <w:lang w:val="en-US" w:eastAsia="zh-CN" w:bidi="ar-SA"/>
        </w:rPr>
        <w:t>3.8中标方承担包装和运输费用。液氦运输方式:专车运输，附带加注设备。自行考虑液氦罐体进入设备间的路面防护问题，并承担对院方造成的一切损失和后果。</w:t>
      </w:r>
    </w:p>
    <w:p w14:paraId="55676EA1">
      <w:pPr>
        <w:pStyle w:val="50"/>
        <w:rPr>
          <w:rFonts w:hint="eastAsia" w:ascii="宋体" w:hAnsi="宋体" w:eastAsia="宋体" w:cs="宋体"/>
          <w:b/>
          <w:bCs/>
          <w:color w:val="auto"/>
          <w:kern w:val="2"/>
          <w:sz w:val="21"/>
          <w:szCs w:val="24"/>
          <w:highlight w:val="none"/>
          <w:lang w:val="en-US" w:eastAsia="zh-CN" w:bidi="ar-SA"/>
        </w:rPr>
      </w:pPr>
    </w:p>
    <w:p w14:paraId="5C70B08A">
      <w:pPr>
        <w:jc w:val="center"/>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A217296">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1"/>
        <w:gridCol w:w="7825"/>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交货期</w:t>
            </w:r>
          </w:p>
        </w:tc>
        <w:tc>
          <w:tcPr>
            <w:tcW w:w="7825"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按照合同约定执行</w:t>
            </w:r>
          </w:p>
        </w:tc>
      </w:tr>
      <w:tr w14:paraId="4B104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1583C8FA">
            <w:pPr>
              <w:pStyle w:val="7"/>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交货地点</w:t>
            </w:r>
          </w:p>
        </w:tc>
        <w:tc>
          <w:tcPr>
            <w:tcW w:w="7825" w:type="dxa"/>
            <w:tcBorders>
              <w:top w:val="single" w:color="auto" w:sz="4" w:space="0"/>
              <w:left w:val="single" w:color="auto" w:sz="4" w:space="0"/>
              <w:bottom w:val="single" w:color="auto" w:sz="4" w:space="0"/>
              <w:right w:val="single" w:color="auto" w:sz="4" w:space="0"/>
            </w:tcBorders>
            <w:noWrap/>
            <w:vAlign w:val="center"/>
          </w:tcPr>
          <w:p w14:paraId="3A5F09B6">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医院指定地点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质量</w:t>
            </w:r>
            <w:r>
              <w:rPr>
                <w:rFonts w:hint="eastAsia" w:ascii="宋体" w:hAnsi="宋体" w:eastAsia="宋体" w:cs="宋体"/>
                <w:color w:val="auto"/>
                <w:kern w:val="0"/>
                <w:sz w:val="21"/>
                <w:szCs w:val="21"/>
                <w:highlight w:val="none"/>
                <w:lang w:val="en-US" w:eastAsia="zh-CN"/>
              </w:rPr>
              <w:t>要求</w:t>
            </w:r>
          </w:p>
        </w:tc>
        <w:tc>
          <w:tcPr>
            <w:tcW w:w="7825"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符合国家质量标准、部颁标准、行业标准</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满足磋商文件</w:t>
            </w:r>
            <w:r>
              <w:rPr>
                <w:rFonts w:hint="eastAsia" w:ascii="宋体" w:hAnsi="宋体" w:eastAsia="宋体" w:cs="宋体"/>
                <w:color w:val="auto"/>
                <w:kern w:val="0"/>
                <w:sz w:val="21"/>
                <w:szCs w:val="21"/>
                <w:highlight w:val="none"/>
                <w:lang w:val="zh-CN"/>
              </w:rPr>
              <w:t>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质保期</w:t>
            </w:r>
          </w:p>
        </w:tc>
        <w:tc>
          <w:tcPr>
            <w:tcW w:w="7825"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3个月</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付款条件</w:t>
            </w:r>
          </w:p>
        </w:tc>
        <w:tc>
          <w:tcPr>
            <w:tcW w:w="7825" w:type="dxa"/>
            <w:tcBorders>
              <w:top w:val="single" w:color="auto" w:sz="4" w:space="0"/>
              <w:left w:val="single" w:color="auto" w:sz="4" w:space="0"/>
              <w:bottom w:val="single" w:color="auto" w:sz="4" w:space="0"/>
              <w:right w:val="single" w:color="auto" w:sz="4" w:space="0"/>
            </w:tcBorders>
            <w:noWrap/>
            <w:vAlign w:val="center"/>
          </w:tcPr>
          <w:p w14:paraId="0FBA75BC">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安装验收完成后付款90%，合同结束后付款10%。</w:t>
            </w:r>
          </w:p>
        </w:tc>
      </w:tr>
    </w:tbl>
    <w:p w14:paraId="603C8368">
      <w:pPr>
        <w:pStyle w:val="24"/>
        <w:rPr>
          <w:rFonts w:hint="eastAsia" w:ascii="宋体" w:hAnsi="宋体" w:eastAsia="宋体" w:cs="宋体"/>
          <w:color w:val="auto"/>
          <w:highlight w:val="none"/>
        </w:rPr>
      </w:pPr>
    </w:p>
    <w:p w14:paraId="5782FD67">
      <w:pPr>
        <w:pStyle w:val="24"/>
        <w:rPr>
          <w:rFonts w:hint="eastAsia" w:ascii="宋体" w:hAnsi="宋体" w:eastAsia="宋体" w:cs="宋体"/>
          <w:color w:val="auto"/>
          <w:highlight w:val="none"/>
        </w:rPr>
      </w:pPr>
    </w:p>
    <w:p w14:paraId="5AD99A35">
      <w:pPr>
        <w:pStyle w:val="24"/>
        <w:rPr>
          <w:rFonts w:hint="eastAsia" w:ascii="宋体" w:hAnsi="宋体" w:eastAsia="宋体" w:cs="宋体"/>
          <w:color w:val="auto"/>
          <w:highlight w:val="none"/>
        </w:rPr>
      </w:pPr>
    </w:p>
    <w:p w14:paraId="5ABDE2A9">
      <w:pPr>
        <w:pStyle w:val="24"/>
        <w:rPr>
          <w:rFonts w:hint="eastAsia" w:ascii="宋体" w:hAnsi="宋体" w:eastAsia="宋体" w:cs="宋体"/>
          <w:color w:val="auto"/>
          <w:highlight w:val="none"/>
        </w:rPr>
      </w:pPr>
    </w:p>
    <w:p w14:paraId="327FA3B0">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驻马店市中心医院飞利浦3.0T磁共振梯度放大器、冷头、液氦采购项目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28万元</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28万元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:28万元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2C29147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E3F22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33C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3DA1534B">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01A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868D92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605CD6B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4ABC782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43FC4D0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A152B0D">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1CD1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1BB4F73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4F8B709">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FE1DD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分，有一项不满足的扣5分，扣完为止；如得分为0，则磋商无效。 </w:t>
            </w:r>
          </w:p>
          <w:p w14:paraId="08473C51">
            <w:pPr>
              <w:keepNext w:val="0"/>
              <w:keepLines w:val="0"/>
              <w:pageBreakBefore w:val="0"/>
              <w:widowControl/>
              <w:numPr>
                <w:ilvl w:val="0"/>
                <w:numId w:val="4"/>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供应商需如实填写技术偏离表，并标注偏离情况。</w:t>
            </w:r>
          </w:p>
          <w:p w14:paraId="51F78E41">
            <w:pPr>
              <w:keepNext w:val="0"/>
              <w:keepLines w:val="0"/>
              <w:pageBreakBefore w:val="0"/>
              <w:widowControl/>
              <w:numPr>
                <w:ilvl w:val="0"/>
                <w:numId w:val="4"/>
              </w:numPr>
              <w:kinsoku/>
              <w:wordWrap/>
              <w:overflowPunct/>
              <w:topLinePunct w:val="0"/>
              <w:autoSpaceDE/>
              <w:autoSpaceDN/>
              <w:bidi w:val="0"/>
              <w:adjustRightInd/>
              <w:snapToGrid w:val="0"/>
              <w:spacing w:line="360" w:lineRule="exact"/>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供应商所投产品需提供医疗器械注册证【含附件：产品技术要求（如有）】或医疗器械备案凭证，如未按要求提供，则投标无效。</w:t>
            </w:r>
          </w:p>
          <w:p w14:paraId="4E3F2FD9">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Chars="0"/>
              <w:jc w:val="both"/>
              <w:textAlignment w:val="auto"/>
              <w:rPr>
                <w:rFonts w:hint="eastAsia" w:ascii="宋体" w:hAnsi="宋体" w:eastAsia="宋体" w:cs="宋体"/>
                <w:color w:val="0000FF"/>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提供产品注册检验报告、响应技术参数条款的技术白皮书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彩页等相关文件。</w:t>
            </w:r>
            <w:r>
              <w:rPr>
                <w:rFonts w:hint="eastAsia" w:ascii="宋体" w:hAnsi="宋体" w:eastAsia="宋体" w:cs="宋体"/>
                <w:color w:val="auto"/>
                <w:sz w:val="21"/>
                <w:szCs w:val="21"/>
                <w:highlight w:val="none"/>
                <w:lang w:val="en-US" w:eastAsia="zh-CN"/>
              </w:rPr>
              <w:t>未提供对应证明材料的，视为</w:t>
            </w:r>
            <w:r>
              <w:rPr>
                <w:rFonts w:hint="eastAsia" w:ascii="宋体" w:hAnsi="宋体" w:cs="宋体"/>
                <w:color w:val="auto"/>
                <w:sz w:val="21"/>
                <w:szCs w:val="21"/>
                <w:highlight w:val="none"/>
                <w:lang w:val="en-US" w:eastAsia="zh-CN"/>
              </w:rPr>
              <w:t>不满足</w:t>
            </w:r>
            <w:r>
              <w:rPr>
                <w:rFonts w:hint="eastAsia" w:ascii="宋体" w:hAnsi="宋体" w:eastAsia="宋体" w:cs="宋体"/>
                <w:color w:val="auto"/>
                <w:sz w:val="21"/>
                <w:szCs w:val="21"/>
                <w:highlight w:val="none"/>
                <w:lang w:val="en-US" w:eastAsia="zh-CN"/>
              </w:rPr>
              <w:t>该项技术要求，做扣分处理。</w:t>
            </w:r>
          </w:p>
        </w:tc>
      </w:tr>
      <w:tr w14:paraId="11BC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598F9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0F2F87B">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26E9BAE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301A91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投标产品制造工艺、稳定性好、安全性高的得4分；投标产品制造工艺、稳定性较好、安全性较高的得 2 分；投标产品制造工艺、稳定性、安全性一般的得 1 分。</w:t>
            </w:r>
          </w:p>
        </w:tc>
      </w:tr>
      <w:tr w14:paraId="40D4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39" w:type="dxa"/>
            <w:vMerge w:val="continue"/>
            <w:noWrap w:val="0"/>
            <w:vAlign w:val="center"/>
          </w:tcPr>
          <w:p w14:paraId="756A64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630378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E431E2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1332367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2D1F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639EC2F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8971AA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13</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606418D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w:t>
            </w:r>
            <w:r>
              <w:rPr>
                <w:rFonts w:hint="eastAsia" w:ascii="宋体" w:hAnsi="宋体" w:cs="宋体"/>
                <w:color w:val="auto"/>
                <w:sz w:val="21"/>
                <w:szCs w:val="21"/>
                <w:highlight w:val="none"/>
                <w:lang w:val="en-US" w:eastAsia="zh-CN"/>
              </w:rPr>
              <w:t>保障措施及安装调试方案</w:t>
            </w:r>
            <w:r>
              <w:rPr>
                <w:rFonts w:hint="eastAsia" w:ascii="宋体" w:hAnsi="宋体" w:eastAsia="宋体" w:cs="宋体"/>
                <w:color w:val="auto"/>
                <w:sz w:val="21"/>
                <w:szCs w:val="21"/>
                <w:highlight w:val="none"/>
                <w:lang w:val="en-US" w:eastAsia="zh-CN"/>
              </w:rPr>
              <w:t>，包括货源保障措施、质量管控措施、交货期保证措施</w:t>
            </w:r>
            <w:r>
              <w:rPr>
                <w:rFonts w:hint="eastAsia" w:ascii="宋体" w:hAnsi="宋体" w:cs="宋体"/>
                <w:color w:val="auto"/>
                <w:sz w:val="21"/>
                <w:szCs w:val="21"/>
                <w:highlight w:val="none"/>
                <w:lang w:val="en-US" w:eastAsia="zh-CN"/>
              </w:rPr>
              <w:t>、安装调试方案</w:t>
            </w:r>
            <w:r>
              <w:rPr>
                <w:rFonts w:hint="eastAsia" w:ascii="宋体" w:hAnsi="宋体" w:eastAsia="宋体" w:cs="宋体"/>
                <w:color w:val="auto"/>
                <w:sz w:val="21"/>
                <w:szCs w:val="21"/>
                <w:highlight w:val="none"/>
                <w:lang w:val="en-US" w:eastAsia="zh-CN"/>
              </w:rPr>
              <w:t>等进行打分。</w:t>
            </w:r>
          </w:p>
          <w:p w14:paraId="29C9CF2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green"/>
                <w:lang w:val="en-US" w:eastAsia="zh-CN"/>
              </w:rPr>
            </w:pPr>
            <w:r>
              <w:rPr>
                <w:rFonts w:hint="eastAsia" w:ascii="宋体" w:hAnsi="宋体" w:eastAsia="宋体" w:cs="宋体"/>
                <w:color w:val="auto"/>
                <w:sz w:val="21"/>
                <w:szCs w:val="21"/>
                <w:highlight w:val="none"/>
                <w:lang w:val="en-US" w:eastAsia="zh-CN"/>
              </w:rPr>
              <w:t>方案内容具体详实、完全满足采购需求的得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分；方案内容较详实，基本满足项目需求的得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分；方案不完备，不能满足需求的得1分，缺项得0分。</w:t>
            </w:r>
          </w:p>
        </w:tc>
      </w:tr>
      <w:tr w14:paraId="0899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F81F06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97EF0B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39495232">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液氦加注服务方案（运输车辆的安排</w:t>
            </w:r>
            <w:r>
              <w:rPr>
                <w:rFonts w:hint="eastAsia" w:ascii="宋体" w:hAnsi="宋体" w:cs="宋体"/>
                <w:color w:val="auto"/>
                <w:sz w:val="21"/>
                <w:szCs w:val="21"/>
                <w:highlight w:val="none"/>
                <w:lang w:val="en-US" w:eastAsia="zh-CN"/>
              </w:rPr>
              <w:t>及安全保障措施</w:t>
            </w:r>
            <w:r>
              <w:rPr>
                <w:rFonts w:hint="eastAsia" w:ascii="宋体" w:hAnsi="宋体" w:eastAsia="宋体" w:cs="宋体"/>
                <w:color w:val="auto"/>
                <w:sz w:val="21"/>
                <w:szCs w:val="21"/>
                <w:highlight w:val="none"/>
                <w:lang w:val="en-US" w:eastAsia="zh-CN"/>
              </w:rPr>
              <w:t>、专业操作人员的配备、液氦及加注设备的运输方案、加注作业</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lang w:val="en-US" w:eastAsia="zh-CN"/>
              </w:rPr>
              <w:t>）等进行打分。</w:t>
            </w:r>
          </w:p>
          <w:p w14:paraId="79D432A5">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Chars="0"/>
              <w:jc w:val="both"/>
              <w:textAlignment w:val="auto"/>
              <w:rPr>
                <w:rFonts w:hint="eastAsia" w:ascii="宋体" w:hAnsi="宋体" w:eastAsia="宋体" w:cs="宋体"/>
                <w:color w:val="auto"/>
                <w:sz w:val="21"/>
                <w:szCs w:val="21"/>
                <w:highlight w:val="green"/>
                <w:lang w:val="en-US" w:eastAsia="zh-CN"/>
              </w:rPr>
            </w:pPr>
            <w:r>
              <w:rPr>
                <w:rFonts w:hint="eastAsia" w:ascii="宋体" w:hAnsi="宋体" w:eastAsia="宋体" w:cs="宋体"/>
                <w:color w:val="auto"/>
                <w:sz w:val="21"/>
                <w:szCs w:val="21"/>
                <w:highlight w:val="none"/>
                <w:lang w:val="en-US" w:eastAsia="zh-CN"/>
              </w:rPr>
              <w:t>方案内容具体详实、完全满足采购需求的得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分；方案内容较详实，基本满足项目需求的得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分；方案不完备，不能满足需求的得1分，缺项得0分。</w:t>
            </w:r>
          </w:p>
        </w:tc>
      </w:tr>
      <w:tr w14:paraId="23F6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6F7A3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3EB0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535525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根据供应商针对突发情况提供应急服务方案及保障措施进行打分，包含（但不限于）以下内容：应急响应流程及响应时间、应急保障措施等。</w:t>
            </w:r>
          </w:p>
          <w:p w14:paraId="1541636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301E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8A327A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0D4EE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874476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610B05B9">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29EBDF0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三个月</w:t>
            </w:r>
            <w:r>
              <w:rPr>
                <w:rFonts w:hint="eastAsia" w:ascii="宋体" w:hAnsi="宋体" w:eastAsia="宋体" w:cs="宋体"/>
                <w:color w:val="auto"/>
                <w:sz w:val="21"/>
                <w:szCs w:val="21"/>
                <w:highlight w:val="none"/>
                <w:lang w:val="en-US" w:eastAsia="zh-CN"/>
              </w:rPr>
              <w:t>加2分,最多加4分（出具相关服务承诺书）。</w:t>
            </w:r>
          </w:p>
        </w:tc>
      </w:tr>
      <w:tr w14:paraId="0012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5E94090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56AA64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75E99F3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13FD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239" w:type="dxa"/>
            <w:vMerge w:val="continue"/>
            <w:noWrap w:val="0"/>
            <w:vAlign w:val="center"/>
          </w:tcPr>
          <w:p w14:paraId="3510A9D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43D21B25">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3.优惠承诺（4分）</w:t>
            </w:r>
          </w:p>
        </w:tc>
        <w:tc>
          <w:tcPr>
            <w:tcW w:w="6770" w:type="dxa"/>
            <w:noWrap w:val="0"/>
            <w:vAlign w:val="center"/>
          </w:tcPr>
          <w:p w14:paraId="7A360D34">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分。缺项得0分。</w:t>
            </w:r>
          </w:p>
        </w:tc>
      </w:tr>
      <w:tr w14:paraId="7015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1A35B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04821D3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314970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CAFEE7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7A1A58F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3"/>
        <w:ind w:firstLine="3990" w:firstLineChars="1900"/>
        <w:rPr>
          <w:rFonts w:hint="eastAsia" w:ascii="宋体" w:hAnsi="宋体" w:eastAsia="宋体" w:cs="宋体"/>
          <w:color w:val="auto"/>
          <w:sz w:val="21"/>
          <w:szCs w:val="21"/>
          <w:highlight w:val="none"/>
          <w:lang w:eastAsia="zh-CN"/>
        </w:rPr>
      </w:pPr>
    </w:p>
    <w:p w14:paraId="2D1C355E">
      <w:pPr>
        <w:pageBreakBefore w:val="0"/>
        <w:widowControl/>
        <w:wordWrap/>
        <w:overflowPunct/>
        <w:topLinePunct w:val="0"/>
        <w:bidi w:val="0"/>
        <w:spacing w:line="360" w:lineRule="auto"/>
        <w:ind w:firstLine="2940" w:firstLineChars="14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6DE512C9">
      <w:pPr>
        <w:pStyle w:val="24"/>
        <w:rPr>
          <w:rFonts w:hint="default" w:ascii="宋体" w:hAnsi="宋体" w:cs="宋体"/>
          <w:color w:val="auto"/>
          <w:kern w:val="0"/>
          <w:sz w:val="24"/>
          <w:highlight w:val="none"/>
          <w:lang w:val="en-US" w:eastAsia="zh-CN"/>
        </w:rPr>
      </w:pPr>
      <w:bookmarkStart w:id="80" w:name="_Toc15804"/>
      <w:bookmarkStart w:id="81" w:name="_Toc226"/>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3976"/>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24693"/>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2888"/>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195705F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1849E89">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（全称并加盖公章）             </w:t>
      </w:r>
    </w:p>
    <w:p w14:paraId="68DEA186">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069F43D">
      <w:pPr>
        <w:keepNext w:val="0"/>
        <w:keepLines w:val="0"/>
        <w:pageBreakBefore w:val="0"/>
        <w:widowControl w:val="0"/>
        <w:kinsoku/>
        <w:wordWrap/>
        <w:overflowPunct/>
        <w:topLinePunct w:val="0"/>
        <w:autoSpaceDE/>
        <w:autoSpaceDN/>
        <w:bidi w:val="0"/>
        <w:adjustRightInd/>
        <w:snapToGrid w:val="0"/>
        <w:spacing w:line="480" w:lineRule="auto"/>
        <w:ind w:firstLine="4200" w:firstLineChars="20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0DD4F0B5">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单位名称（自然人姓名）：</w:t>
      </w:r>
      <w:r>
        <w:rPr>
          <w:rFonts w:hint="eastAsia" w:ascii="宋体" w:hAnsi="宋体" w:cs="宋体"/>
          <w:color w:val="auto"/>
          <w:sz w:val="21"/>
          <w:szCs w:val="21"/>
          <w:highlight w:val="none"/>
          <w:lang w:val="en-US" w:eastAsia="zh-CN"/>
        </w:rPr>
        <w:tab/>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3394"/>
      <w:bookmarkStart w:id="99" w:name="_Toc25094"/>
      <w:bookmarkStart w:id="100" w:name="_Toc31685"/>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驻马店市中心医院飞利浦3.0T磁共振梯度放大器、冷头、液氦采购项目采购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5A86BB45"/>
    <w:multiLevelType w:val="singleLevel"/>
    <w:tmpl w:val="5A86BB45"/>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B643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5D4D8E"/>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1713F"/>
    <w:rsid w:val="03BD2BCD"/>
    <w:rsid w:val="03CC058D"/>
    <w:rsid w:val="03E017D2"/>
    <w:rsid w:val="03F447E2"/>
    <w:rsid w:val="03F77068"/>
    <w:rsid w:val="03FB660C"/>
    <w:rsid w:val="042E37DB"/>
    <w:rsid w:val="04416C20"/>
    <w:rsid w:val="04732647"/>
    <w:rsid w:val="047968B1"/>
    <w:rsid w:val="04870542"/>
    <w:rsid w:val="04AD3DAA"/>
    <w:rsid w:val="04B30F7A"/>
    <w:rsid w:val="04EB042F"/>
    <w:rsid w:val="050E236F"/>
    <w:rsid w:val="054C0111"/>
    <w:rsid w:val="05545DD3"/>
    <w:rsid w:val="056337F9"/>
    <w:rsid w:val="056E2AD6"/>
    <w:rsid w:val="056F4631"/>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608E3"/>
    <w:rsid w:val="078E18EB"/>
    <w:rsid w:val="07AA2823"/>
    <w:rsid w:val="07B02D9F"/>
    <w:rsid w:val="07B10EA5"/>
    <w:rsid w:val="07C510CB"/>
    <w:rsid w:val="07CD6512"/>
    <w:rsid w:val="07CE3FA1"/>
    <w:rsid w:val="07EC2ECB"/>
    <w:rsid w:val="07FE66CB"/>
    <w:rsid w:val="080B4D47"/>
    <w:rsid w:val="081B727D"/>
    <w:rsid w:val="081D2FF5"/>
    <w:rsid w:val="082F6069"/>
    <w:rsid w:val="08321601"/>
    <w:rsid w:val="08326375"/>
    <w:rsid w:val="083D5C91"/>
    <w:rsid w:val="0847191F"/>
    <w:rsid w:val="08591DC3"/>
    <w:rsid w:val="085B58CB"/>
    <w:rsid w:val="08672793"/>
    <w:rsid w:val="08695E80"/>
    <w:rsid w:val="087C4541"/>
    <w:rsid w:val="087E5595"/>
    <w:rsid w:val="08BC0A60"/>
    <w:rsid w:val="08C52D6F"/>
    <w:rsid w:val="08C6543B"/>
    <w:rsid w:val="08E42BE4"/>
    <w:rsid w:val="08EF0201"/>
    <w:rsid w:val="08F41DE8"/>
    <w:rsid w:val="093D1475"/>
    <w:rsid w:val="093F28FF"/>
    <w:rsid w:val="094840A2"/>
    <w:rsid w:val="09644C54"/>
    <w:rsid w:val="096B5FE2"/>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E2B10"/>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EFD76DC"/>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C5BE6"/>
    <w:rsid w:val="0FFD20F0"/>
    <w:rsid w:val="10142F30"/>
    <w:rsid w:val="10352857"/>
    <w:rsid w:val="103E6E57"/>
    <w:rsid w:val="1041497B"/>
    <w:rsid w:val="10425FF6"/>
    <w:rsid w:val="106612B1"/>
    <w:rsid w:val="109010E6"/>
    <w:rsid w:val="10B1077E"/>
    <w:rsid w:val="10B271F4"/>
    <w:rsid w:val="10B537CC"/>
    <w:rsid w:val="10C61D50"/>
    <w:rsid w:val="10C8275C"/>
    <w:rsid w:val="10C86D3B"/>
    <w:rsid w:val="10E03539"/>
    <w:rsid w:val="10E82D1F"/>
    <w:rsid w:val="10EE5C94"/>
    <w:rsid w:val="10F5757C"/>
    <w:rsid w:val="10F93ED3"/>
    <w:rsid w:val="11037F2B"/>
    <w:rsid w:val="111D7BC2"/>
    <w:rsid w:val="11250F40"/>
    <w:rsid w:val="113329E7"/>
    <w:rsid w:val="113F294C"/>
    <w:rsid w:val="11437C85"/>
    <w:rsid w:val="11575085"/>
    <w:rsid w:val="116220E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8819B3"/>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56560D"/>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357918"/>
    <w:rsid w:val="144B544C"/>
    <w:rsid w:val="145B7B45"/>
    <w:rsid w:val="14627FE2"/>
    <w:rsid w:val="14717443"/>
    <w:rsid w:val="14825F8A"/>
    <w:rsid w:val="148C70AD"/>
    <w:rsid w:val="148D52E3"/>
    <w:rsid w:val="14992B90"/>
    <w:rsid w:val="149A76B9"/>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51D46"/>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583293"/>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2C5003"/>
    <w:rsid w:val="17332185"/>
    <w:rsid w:val="17475951"/>
    <w:rsid w:val="175207E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AE7C99"/>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D50B4"/>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972C67"/>
    <w:rsid w:val="1BB73AE1"/>
    <w:rsid w:val="1BDA6D68"/>
    <w:rsid w:val="1BF14125"/>
    <w:rsid w:val="1C002CEE"/>
    <w:rsid w:val="1C4032FE"/>
    <w:rsid w:val="1C490100"/>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B092E"/>
    <w:rsid w:val="1FEF08C8"/>
    <w:rsid w:val="1FF72E6A"/>
    <w:rsid w:val="1FFB6F12"/>
    <w:rsid w:val="201B3ED4"/>
    <w:rsid w:val="20230F6D"/>
    <w:rsid w:val="20310B02"/>
    <w:rsid w:val="20344F28"/>
    <w:rsid w:val="204038CD"/>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37180"/>
    <w:rsid w:val="21E604A4"/>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825FAA"/>
    <w:rsid w:val="23940114"/>
    <w:rsid w:val="239A1546"/>
    <w:rsid w:val="23B57016"/>
    <w:rsid w:val="23C4797E"/>
    <w:rsid w:val="23CD5478"/>
    <w:rsid w:val="23D4764B"/>
    <w:rsid w:val="23DA5DE6"/>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DB3BC4"/>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5FD1F8B"/>
    <w:rsid w:val="261879A7"/>
    <w:rsid w:val="261A071C"/>
    <w:rsid w:val="26395046"/>
    <w:rsid w:val="264B0BA4"/>
    <w:rsid w:val="264F4111"/>
    <w:rsid w:val="26555BF8"/>
    <w:rsid w:val="265E0AEC"/>
    <w:rsid w:val="265F25D3"/>
    <w:rsid w:val="2661459D"/>
    <w:rsid w:val="268C5256"/>
    <w:rsid w:val="268E455B"/>
    <w:rsid w:val="26912B30"/>
    <w:rsid w:val="269772F0"/>
    <w:rsid w:val="26997893"/>
    <w:rsid w:val="26A30712"/>
    <w:rsid w:val="26A5448A"/>
    <w:rsid w:val="26AC0C27"/>
    <w:rsid w:val="26C807A6"/>
    <w:rsid w:val="26D1527F"/>
    <w:rsid w:val="26D23F28"/>
    <w:rsid w:val="26DB67BA"/>
    <w:rsid w:val="26DE3298"/>
    <w:rsid w:val="26E311CD"/>
    <w:rsid w:val="26EC030B"/>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4731D"/>
    <w:rsid w:val="29CA4207"/>
    <w:rsid w:val="29D82DC8"/>
    <w:rsid w:val="29DA08EE"/>
    <w:rsid w:val="29DB6414"/>
    <w:rsid w:val="29E74CE2"/>
    <w:rsid w:val="2A133E00"/>
    <w:rsid w:val="2A241B69"/>
    <w:rsid w:val="2A306A36"/>
    <w:rsid w:val="2A457300"/>
    <w:rsid w:val="2A5372C6"/>
    <w:rsid w:val="2A5A558B"/>
    <w:rsid w:val="2A5B03D8"/>
    <w:rsid w:val="2A6F6D07"/>
    <w:rsid w:val="2A82464A"/>
    <w:rsid w:val="2A852253"/>
    <w:rsid w:val="2A882500"/>
    <w:rsid w:val="2AA35184"/>
    <w:rsid w:val="2AAB4E76"/>
    <w:rsid w:val="2AB63ABC"/>
    <w:rsid w:val="2AB63D0A"/>
    <w:rsid w:val="2AC31382"/>
    <w:rsid w:val="2AD0584D"/>
    <w:rsid w:val="2AD549F8"/>
    <w:rsid w:val="2AEA74E5"/>
    <w:rsid w:val="2AFB4FC0"/>
    <w:rsid w:val="2AFC478B"/>
    <w:rsid w:val="2B003D00"/>
    <w:rsid w:val="2B074D5E"/>
    <w:rsid w:val="2B0A6991"/>
    <w:rsid w:val="2B100BA9"/>
    <w:rsid w:val="2B1B5825"/>
    <w:rsid w:val="2B1E3AFC"/>
    <w:rsid w:val="2B3446DA"/>
    <w:rsid w:val="2B4A5600"/>
    <w:rsid w:val="2B574FD9"/>
    <w:rsid w:val="2B642979"/>
    <w:rsid w:val="2B681F2A"/>
    <w:rsid w:val="2B8D373E"/>
    <w:rsid w:val="2B9E4F56"/>
    <w:rsid w:val="2BAA42F0"/>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BD0053"/>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A4738B"/>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5F03248"/>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E7A9E"/>
    <w:rsid w:val="39EF02D4"/>
    <w:rsid w:val="3A11342A"/>
    <w:rsid w:val="3A153110"/>
    <w:rsid w:val="3A192D6D"/>
    <w:rsid w:val="3A2149EA"/>
    <w:rsid w:val="3A2507C0"/>
    <w:rsid w:val="3A285AD8"/>
    <w:rsid w:val="3A393FA7"/>
    <w:rsid w:val="3A3A5A22"/>
    <w:rsid w:val="3A524858"/>
    <w:rsid w:val="3A64203E"/>
    <w:rsid w:val="3A663D00"/>
    <w:rsid w:val="3A7428D0"/>
    <w:rsid w:val="3A747EDD"/>
    <w:rsid w:val="3A8F302F"/>
    <w:rsid w:val="3A923AE4"/>
    <w:rsid w:val="3AA50E25"/>
    <w:rsid w:val="3AC151B3"/>
    <w:rsid w:val="3AC566E3"/>
    <w:rsid w:val="3ACA050B"/>
    <w:rsid w:val="3AD6747A"/>
    <w:rsid w:val="3AD95C48"/>
    <w:rsid w:val="3ADF5D0A"/>
    <w:rsid w:val="3B312338"/>
    <w:rsid w:val="3B3C5B77"/>
    <w:rsid w:val="3B3D0FF2"/>
    <w:rsid w:val="3B501351"/>
    <w:rsid w:val="3B521A18"/>
    <w:rsid w:val="3B620744"/>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20B37"/>
    <w:rsid w:val="3D6B12FD"/>
    <w:rsid w:val="3D7B4622"/>
    <w:rsid w:val="3D8E5820"/>
    <w:rsid w:val="3D931088"/>
    <w:rsid w:val="3D942E29"/>
    <w:rsid w:val="3DA53531"/>
    <w:rsid w:val="3DB54E0C"/>
    <w:rsid w:val="3DB900C1"/>
    <w:rsid w:val="3DE51866"/>
    <w:rsid w:val="3DE91725"/>
    <w:rsid w:val="3DF159B1"/>
    <w:rsid w:val="3E135D25"/>
    <w:rsid w:val="3E183FFB"/>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2F73E67"/>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DE6DD5"/>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851D6"/>
    <w:rsid w:val="449E4142"/>
    <w:rsid w:val="44A90BAA"/>
    <w:rsid w:val="44B24A20"/>
    <w:rsid w:val="44BC0BEE"/>
    <w:rsid w:val="44BF6C07"/>
    <w:rsid w:val="44C24001"/>
    <w:rsid w:val="44C55A88"/>
    <w:rsid w:val="44FB1C9C"/>
    <w:rsid w:val="45392A13"/>
    <w:rsid w:val="453E3FCF"/>
    <w:rsid w:val="453E7B2C"/>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23859"/>
    <w:rsid w:val="47F46BC7"/>
    <w:rsid w:val="48016F34"/>
    <w:rsid w:val="480556DB"/>
    <w:rsid w:val="48185C56"/>
    <w:rsid w:val="48254C34"/>
    <w:rsid w:val="48450F81"/>
    <w:rsid w:val="48455675"/>
    <w:rsid w:val="484D62D8"/>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9F66C27"/>
    <w:rsid w:val="4A05334F"/>
    <w:rsid w:val="4A060864"/>
    <w:rsid w:val="4A244932"/>
    <w:rsid w:val="4A2922C8"/>
    <w:rsid w:val="4A4117B2"/>
    <w:rsid w:val="4A4A6F73"/>
    <w:rsid w:val="4A5B1180"/>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B2731"/>
    <w:rsid w:val="4C1C2A09"/>
    <w:rsid w:val="4C284AD9"/>
    <w:rsid w:val="4C423098"/>
    <w:rsid w:val="4C694192"/>
    <w:rsid w:val="4C7964D9"/>
    <w:rsid w:val="4C8C5620"/>
    <w:rsid w:val="4C9269F6"/>
    <w:rsid w:val="4CB61B9C"/>
    <w:rsid w:val="4CB75F07"/>
    <w:rsid w:val="4CC84335"/>
    <w:rsid w:val="4CD22B0F"/>
    <w:rsid w:val="4CDA3E72"/>
    <w:rsid w:val="4CE4545C"/>
    <w:rsid w:val="4CE9350A"/>
    <w:rsid w:val="4D014937"/>
    <w:rsid w:val="4D0E4287"/>
    <w:rsid w:val="4D1E2466"/>
    <w:rsid w:val="4D225F85"/>
    <w:rsid w:val="4D297BF3"/>
    <w:rsid w:val="4D2D0EAF"/>
    <w:rsid w:val="4D5C1497"/>
    <w:rsid w:val="4D795A49"/>
    <w:rsid w:val="4D7F0082"/>
    <w:rsid w:val="4D952FD9"/>
    <w:rsid w:val="4D970662"/>
    <w:rsid w:val="4D9A1FBF"/>
    <w:rsid w:val="4D9F40B3"/>
    <w:rsid w:val="4DB33393"/>
    <w:rsid w:val="4DB90B8C"/>
    <w:rsid w:val="4DBC3CE3"/>
    <w:rsid w:val="4DC31516"/>
    <w:rsid w:val="4DCB51C5"/>
    <w:rsid w:val="4DCF1E0D"/>
    <w:rsid w:val="4DD632D9"/>
    <w:rsid w:val="4DE05D9E"/>
    <w:rsid w:val="4DE05DF9"/>
    <w:rsid w:val="4DE44800"/>
    <w:rsid w:val="4DEE0709"/>
    <w:rsid w:val="4DF26A56"/>
    <w:rsid w:val="4DF47921"/>
    <w:rsid w:val="4DFC14EA"/>
    <w:rsid w:val="4DFF6815"/>
    <w:rsid w:val="4E0A3427"/>
    <w:rsid w:val="4E21623C"/>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AD2009"/>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4601D9"/>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3C1422"/>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3D2C57"/>
    <w:rsid w:val="554B7EF0"/>
    <w:rsid w:val="556F3D99"/>
    <w:rsid w:val="55720837"/>
    <w:rsid w:val="55823A64"/>
    <w:rsid w:val="55860894"/>
    <w:rsid w:val="558F6181"/>
    <w:rsid w:val="55B02DF1"/>
    <w:rsid w:val="55C776C9"/>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C0CFC"/>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B95475"/>
    <w:rsid w:val="59BE0DE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E042E"/>
    <w:rsid w:val="5B585171"/>
    <w:rsid w:val="5B585B78"/>
    <w:rsid w:val="5B6D62B9"/>
    <w:rsid w:val="5B746CFA"/>
    <w:rsid w:val="5B9A2B59"/>
    <w:rsid w:val="5BA652E6"/>
    <w:rsid w:val="5BC0085A"/>
    <w:rsid w:val="5BE03293"/>
    <w:rsid w:val="5BF03D58"/>
    <w:rsid w:val="5BF20AFB"/>
    <w:rsid w:val="5BF957D6"/>
    <w:rsid w:val="5C1A6BB2"/>
    <w:rsid w:val="5C306D31"/>
    <w:rsid w:val="5C37233A"/>
    <w:rsid w:val="5C5355FE"/>
    <w:rsid w:val="5C5A49A5"/>
    <w:rsid w:val="5C6519EA"/>
    <w:rsid w:val="5C6715FE"/>
    <w:rsid w:val="5C6F4105"/>
    <w:rsid w:val="5CBB7F6F"/>
    <w:rsid w:val="5CC248CE"/>
    <w:rsid w:val="5CC826A5"/>
    <w:rsid w:val="5CF1327E"/>
    <w:rsid w:val="5D042FB1"/>
    <w:rsid w:val="5D2D075A"/>
    <w:rsid w:val="5D442CB4"/>
    <w:rsid w:val="5D763E3E"/>
    <w:rsid w:val="5D7C3F11"/>
    <w:rsid w:val="5D971C5A"/>
    <w:rsid w:val="5D9D49E0"/>
    <w:rsid w:val="5DA01E9E"/>
    <w:rsid w:val="5DAD3649"/>
    <w:rsid w:val="5DC310BE"/>
    <w:rsid w:val="5DC32E6C"/>
    <w:rsid w:val="5DDF1821"/>
    <w:rsid w:val="5DE2656A"/>
    <w:rsid w:val="5DEA2F91"/>
    <w:rsid w:val="5DF94AE0"/>
    <w:rsid w:val="5DFA5883"/>
    <w:rsid w:val="5E1E33B9"/>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8E1258"/>
    <w:rsid w:val="5F9A65E6"/>
    <w:rsid w:val="5F9B2627"/>
    <w:rsid w:val="5FA66B60"/>
    <w:rsid w:val="5FAC7B1F"/>
    <w:rsid w:val="5FB5266F"/>
    <w:rsid w:val="5FB80E3D"/>
    <w:rsid w:val="5FB831B4"/>
    <w:rsid w:val="5FC8476A"/>
    <w:rsid w:val="5FD40999"/>
    <w:rsid w:val="5FDE2001"/>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646714"/>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636F9A"/>
    <w:rsid w:val="66736112"/>
    <w:rsid w:val="667F5B5B"/>
    <w:rsid w:val="6694262A"/>
    <w:rsid w:val="66990381"/>
    <w:rsid w:val="66B31B01"/>
    <w:rsid w:val="66C15269"/>
    <w:rsid w:val="66CE1E80"/>
    <w:rsid w:val="66E362F9"/>
    <w:rsid w:val="66E47FD9"/>
    <w:rsid w:val="66E520A5"/>
    <w:rsid w:val="66F04175"/>
    <w:rsid w:val="66F127F8"/>
    <w:rsid w:val="66F77C0F"/>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390486"/>
    <w:rsid w:val="694019EC"/>
    <w:rsid w:val="694841AF"/>
    <w:rsid w:val="69584DB4"/>
    <w:rsid w:val="695B5B89"/>
    <w:rsid w:val="696C3D80"/>
    <w:rsid w:val="696D7E94"/>
    <w:rsid w:val="698A5EE4"/>
    <w:rsid w:val="69A753F0"/>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C664D5"/>
    <w:rsid w:val="6CD7423E"/>
    <w:rsid w:val="6CD930DF"/>
    <w:rsid w:val="6CDC1854"/>
    <w:rsid w:val="6CE70FA1"/>
    <w:rsid w:val="6CF05300"/>
    <w:rsid w:val="6CFA6351"/>
    <w:rsid w:val="6CFC3C40"/>
    <w:rsid w:val="6D0668D1"/>
    <w:rsid w:val="6D2F6F7D"/>
    <w:rsid w:val="6D4111A0"/>
    <w:rsid w:val="6D480984"/>
    <w:rsid w:val="6D8079F9"/>
    <w:rsid w:val="6D9143ED"/>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7F5EEB"/>
    <w:rsid w:val="6E8403F6"/>
    <w:rsid w:val="6EAD447C"/>
    <w:rsid w:val="6EAE5472"/>
    <w:rsid w:val="6EBC069A"/>
    <w:rsid w:val="6ECD7F59"/>
    <w:rsid w:val="6ECF449B"/>
    <w:rsid w:val="6ED975CA"/>
    <w:rsid w:val="6EED7C80"/>
    <w:rsid w:val="6EF03395"/>
    <w:rsid w:val="6EF773A4"/>
    <w:rsid w:val="6F174DC6"/>
    <w:rsid w:val="6F1E2E65"/>
    <w:rsid w:val="6F2F2D9E"/>
    <w:rsid w:val="6F411E43"/>
    <w:rsid w:val="6F4147D9"/>
    <w:rsid w:val="6F581F47"/>
    <w:rsid w:val="6F5B0D5A"/>
    <w:rsid w:val="6F5C35EA"/>
    <w:rsid w:val="6F63625D"/>
    <w:rsid w:val="6F6B6A15"/>
    <w:rsid w:val="6F7C10CD"/>
    <w:rsid w:val="6F92269E"/>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B07597"/>
    <w:rsid w:val="73C92407"/>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1C7734"/>
    <w:rsid w:val="7A2F3BBF"/>
    <w:rsid w:val="7A2F459A"/>
    <w:rsid w:val="7A322A39"/>
    <w:rsid w:val="7A517022"/>
    <w:rsid w:val="7A6F5001"/>
    <w:rsid w:val="7A7720A0"/>
    <w:rsid w:val="7A9635B3"/>
    <w:rsid w:val="7A990D85"/>
    <w:rsid w:val="7AA2343E"/>
    <w:rsid w:val="7AD60EB8"/>
    <w:rsid w:val="7ADA73A4"/>
    <w:rsid w:val="7AE66B99"/>
    <w:rsid w:val="7AF34646"/>
    <w:rsid w:val="7AFE508C"/>
    <w:rsid w:val="7B0A3BCA"/>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077"/>
    <w:rsid w:val="7C1052F2"/>
    <w:rsid w:val="7C21292C"/>
    <w:rsid w:val="7C2668D9"/>
    <w:rsid w:val="7C32497F"/>
    <w:rsid w:val="7C3C69AE"/>
    <w:rsid w:val="7C5D5E65"/>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5576E"/>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44741"/>
    <w:rsid w:val="7F3B240A"/>
    <w:rsid w:val="7F4C4618"/>
    <w:rsid w:val="7F4D13A6"/>
    <w:rsid w:val="7F5259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first-child"/>
    <w:basedOn w:val="36"/>
    <w:qFormat/>
    <w:uiPriority w:val="0"/>
  </w:style>
  <w:style w:type="character" w:customStyle="1" w:styleId="98">
    <w:name w:val="hover19"/>
    <w:basedOn w:val="36"/>
    <w:qFormat/>
    <w:uiPriority w:val="0"/>
    <w:rPr>
      <w:color w:val="FFFFFF"/>
    </w:rPr>
  </w:style>
  <w:style w:type="character" w:customStyle="1" w:styleId="99">
    <w:name w:val="hover20"/>
    <w:basedOn w:val="36"/>
    <w:qFormat/>
    <w:uiPriority w:val="0"/>
    <w:rPr>
      <w:color w:val="5FB878"/>
    </w:rPr>
  </w:style>
  <w:style w:type="character" w:customStyle="1" w:styleId="100">
    <w:name w:val="hover21"/>
    <w:basedOn w:val="36"/>
    <w:qFormat/>
    <w:uiPriority w:val="0"/>
    <w:rPr>
      <w:color w:val="5FB878"/>
    </w:rPr>
  </w:style>
  <w:style w:type="character" w:customStyle="1" w:styleId="101">
    <w:name w:val="layui-this4"/>
    <w:basedOn w:val="36"/>
    <w:qFormat/>
    <w:uiPriority w:val="0"/>
    <w:rPr>
      <w:bdr w:val="single" w:color="EEEEEE" w:sz="6" w:space="0"/>
      <w:shd w:val="clear" w:fill="FFFFFF"/>
    </w:rPr>
  </w:style>
  <w:style w:type="character" w:customStyle="1" w:styleId="102">
    <w:name w:val="layui-laypage-curr"/>
    <w:basedOn w:val="36"/>
    <w:qFormat/>
    <w:uiPriority w:val="0"/>
  </w:style>
  <w:style w:type="character" w:customStyle="1" w:styleId="103">
    <w:name w:val="layui-this"/>
    <w:basedOn w:val="36"/>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14818</Words>
  <Characters>15666</Characters>
  <Lines>50</Lines>
  <Paragraphs>68</Paragraphs>
  <TotalTime>1</TotalTime>
  <ScaleCrop>false</ScaleCrop>
  <LinksUpToDate>false</LinksUpToDate>
  <CharactersWithSpaces>16314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2025-10-17T07:43:00Z</cp:lastPrinted>
  <dcterms:modified xsi:type="dcterms:W3CDTF">2025-10-30T00:30:13Z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C31A1CF94C9947BD8311BF36FB203B32_13</vt:lpwstr>
  </property>
  <property fmtid="{D5CDD505-2E9C-101B-9397-08002B2CF9AE}" pid="4" name="KSOTemplateDocerSaveRecord">
    <vt:lpwstr>eyJoZGlkIjoiMzU0MTZjMjFkMjFjOGMwYTIzNWEzZDljNjYxZWI0MmYiLCJ1c2VySWQiOiIxNjg0NTc5MjM2In0=</vt:lpwstr>
  </property>
</Properties>
</file>