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驻马店市中心医院中心院区水电工等第三方人员服务</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5"/>
        <w:rPr>
          <w:rFonts w:hint="eastAsia" w:ascii="宋体" w:hAnsi="宋体" w:eastAsia="宋体" w:cs="宋体"/>
          <w:b/>
          <w:bCs/>
          <w:color w:val="auto"/>
          <w:spacing w:val="-10"/>
          <w:sz w:val="34"/>
          <w:szCs w:val="34"/>
          <w:highlight w:val="none"/>
          <w:lang w:val="en-US" w:eastAsia="zh-CN"/>
        </w:rPr>
      </w:pPr>
    </w:p>
    <w:p w14:paraId="0522B408">
      <w:pPr>
        <w:rPr>
          <w:rFonts w:hint="eastAsia" w:ascii="宋体" w:hAnsi="宋体" w:eastAsia="宋体" w:cs="宋体"/>
          <w:b/>
          <w:bCs/>
          <w:color w:val="auto"/>
          <w:spacing w:val="-10"/>
          <w:sz w:val="34"/>
          <w:szCs w:val="34"/>
          <w:highlight w:val="none"/>
          <w:lang w:val="en-US" w:eastAsia="zh-CN"/>
        </w:rPr>
      </w:pPr>
    </w:p>
    <w:p w14:paraId="1A28CBD8">
      <w:pPr>
        <w:rPr>
          <w:rFonts w:hint="eastAsia" w:ascii="宋体" w:hAnsi="宋体" w:eastAsia="宋体" w:cs="宋体"/>
          <w:b/>
          <w:bCs/>
          <w:color w:val="auto"/>
          <w:spacing w:val="-10"/>
          <w:sz w:val="34"/>
          <w:szCs w:val="34"/>
          <w:highlight w:val="none"/>
          <w:lang w:val="en-US" w:eastAsia="zh-CN"/>
        </w:rPr>
      </w:pPr>
    </w:p>
    <w:p w14:paraId="0CAA07D9">
      <w:pPr>
        <w:rPr>
          <w:rFonts w:hint="eastAsia" w:ascii="宋体" w:hAnsi="宋体" w:eastAsia="宋体" w:cs="宋体"/>
          <w:b/>
          <w:bCs/>
          <w:color w:val="auto"/>
          <w:spacing w:val="-10"/>
          <w:sz w:val="34"/>
          <w:szCs w:val="34"/>
          <w:highlight w:val="none"/>
          <w:lang w:val="en-US" w:eastAsia="zh-CN"/>
        </w:rPr>
      </w:pPr>
    </w:p>
    <w:p w14:paraId="63EC1F84">
      <w:pPr>
        <w:rPr>
          <w:rFonts w:hint="eastAsia" w:ascii="宋体" w:hAnsi="宋体" w:eastAsia="宋体" w:cs="宋体"/>
          <w:b/>
          <w:bCs/>
          <w:color w:val="auto"/>
          <w:spacing w:val="-10"/>
          <w:sz w:val="34"/>
          <w:szCs w:val="34"/>
          <w:highlight w:val="none"/>
          <w:lang w:val="en-US" w:eastAsia="zh-CN"/>
        </w:rPr>
      </w:pPr>
    </w:p>
    <w:p w14:paraId="08426F8D">
      <w:pPr>
        <w:rPr>
          <w:rFonts w:hint="eastAsia"/>
          <w:color w:val="auto"/>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1"/>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采购代理机构：中大宇辰项目管理有限公司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10</w:t>
      </w:r>
      <w:r>
        <w:rPr>
          <w:rFonts w:hint="eastAsia" w:ascii="宋体" w:hAnsi="宋体" w:eastAsia="宋体" w:cs="宋体"/>
          <w:b/>
          <w:bCs/>
          <w:color w:val="auto"/>
          <w:spacing w:val="-10"/>
          <w:sz w:val="34"/>
          <w:szCs w:val="34"/>
          <w:highlight w:val="none"/>
          <w:lang w:val="en-US" w:eastAsia="zh-CN"/>
        </w:rPr>
        <w:t>月</w:t>
      </w:r>
    </w:p>
    <w:p w14:paraId="11E7A050">
      <w:pPr>
        <w:pStyle w:val="5"/>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驻马店市中心医院中心院区水电工等第三方人员服务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驻马店市中心医院中心院区水电工等第三方人员服务项目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驻马店市中心医院中心院区水电工等第三方人员服务</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38.08万元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个月</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3626"/>
      <w:bookmarkStart w:id="6" w:name="_Toc27704"/>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23395"/>
      <w:bookmarkStart w:id="10" w:name="_Toc30971"/>
      <w:bookmarkStart w:id="11" w:name="_Toc9562"/>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 xml:space="preserve">10 </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17</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0738"/>
      <w:bookmarkStart w:id="15" w:name="_Toc25869"/>
      <w:bookmarkStart w:id="16" w:name="_Toc15135"/>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24274"/>
      <w:bookmarkStart w:id="27" w:name="_Toc360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12C0CE8">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联系人：闫先生</w:t>
      </w:r>
    </w:p>
    <w:p w14:paraId="3FB89495">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联系方式：19139690398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29"/>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14</w:t>
      </w:r>
      <w:bookmarkStart w:id="102" w:name="_GoBack"/>
      <w:bookmarkEnd w:id="102"/>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一、项目名称：驻马店市中心医院中心院区水电工等第三方人员服务项目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56"/>
        <w:gridCol w:w="1095"/>
        <w:gridCol w:w="1246"/>
        <w:gridCol w:w="1908"/>
        <w:gridCol w:w="130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7BB03108">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rPr>
              <w:t>序号</w:t>
            </w:r>
          </w:p>
        </w:tc>
        <w:tc>
          <w:tcPr>
            <w:tcW w:w="2756" w:type="dxa"/>
            <w:vAlign w:val="center"/>
          </w:tcPr>
          <w:p w14:paraId="1C818719">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rPr>
              <w:t>标的名称</w:t>
            </w:r>
          </w:p>
        </w:tc>
        <w:tc>
          <w:tcPr>
            <w:tcW w:w="1095" w:type="dxa"/>
            <w:vAlign w:val="center"/>
          </w:tcPr>
          <w:p w14:paraId="2AF52A7A">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lang w:val="en-US" w:eastAsia="zh-CN"/>
              </w:rPr>
              <w:t>单位</w:t>
            </w:r>
          </w:p>
        </w:tc>
        <w:tc>
          <w:tcPr>
            <w:tcW w:w="1246" w:type="dxa"/>
            <w:vAlign w:val="center"/>
          </w:tcPr>
          <w:p w14:paraId="78A9F1D6">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rPr>
              <w:t>数量</w:t>
            </w:r>
          </w:p>
        </w:tc>
        <w:tc>
          <w:tcPr>
            <w:tcW w:w="1908" w:type="dxa"/>
            <w:vAlign w:val="center"/>
          </w:tcPr>
          <w:p w14:paraId="665A7C5C">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资金</w:t>
            </w:r>
          </w:p>
          <w:p w14:paraId="2259F43F">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rPr>
              <w:t>预算</w:t>
            </w:r>
          </w:p>
        </w:tc>
        <w:tc>
          <w:tcPr>
            <w:tcW w:w="1305" w:type="dxa"/>
            <w:vAlign w:val="center"/>
          </w:tcPr>
          <w:p w14:paraId="0C32BA6B">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资金</w:t>
            </w:r>
          </w:p>
          <w:p w14:paraId="0F2FBFFE">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lang w:val="en-US" w:eastAsia="zh-CN"/>
              </w:rPr>
              <w:t>性质</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DE60D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2756" w:type="dxa"/>
            <w:vAlign w:val="center"/>
          </w:tcPr>
          <w:p w14:paraId="0DB5E1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中心院区水电工等第三方人员服务</w:t>
            </w:r>
          </w:p>
        </w:tc>
        <w:tc>
          <w:tcPr>
            <w:tcW w:w="1095" w:type="dxa"/>
            <w:vAlign w:val="center"/>
          </w:tcPr>
          <w:p w14:paraId="43C735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8"/>
                <w:szCs w:val="28"/>
                <w:highlight w:val="none"/>
                <w:vertAlign w:val="baseline"/>
                <w:lang w:val="en-US" w:eastAsia="zh-CN"/>
              </w:rPr>
            </w:pPr>
          </w:p>
        </w:tc>
        <w:tc>
          <w:tcPr>
            <w:tcW w:w="1246" w:type="dxa"/>
            <w:vAlign w:val="center"/>
          </w:tcPr>
          <w:p w14:paraId="532C83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8"/>
                <w:szCs w:val="28"/>
                <w:highlight w:val="none"/>
                <w:vertAlign w:val="baseline"/>
                <w:lang w:val="en-US" w:eastAsia="zh-CN"/>
              </w:rPr>
            </w:pPr>
          </w:p>
        </w:tc>
        <w:tc>
          <w:tcPr>
            <w:tcW w:w="1908" w:type="dxa"/>
            <w:vAlign w:val="center"/>
          </w:tcPr>
          <w:p w14:paraId="0DDD2F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38.08万元</w:t>
            </w:r>
          </w:p>
        </w:tc>
        <w:tc>
          <w:tcPr>
            <w:tcW w:w="1305" w:type="dxa"/>
            <w:vAlign w:val="center"/>
          </w:tcPr>
          <w:p w14:paraId="5577E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自筹</w:t>
            </w:r>
          </w:p>
        </w:tc>
      </w:tr>
      <w:tr w14:paraId="322A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3452D5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备注</w:t>
            </w:r>
          </w:p>
        </w:tc>
        <w:tc>
          <w:tcPr>
            <w:tcW w:w="8310" w:type="dxa"/>
            <w:gridSpan w:val="5"/>
            <w:vAlign w:val="center"/>
          </w:tcPr>
          <w:p w14:paraId="6780DA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招一家供应商</w:t>
            </w:r>
          </w:p>
        </w:tc>
      </w:tr>
    </w:tbl>
    <w:p w14:paraId="028B9CE9">
      <w:pPr>
        <w:rPr>
          <w:rFonts w:hint="default"/>
          <w:b/>
          <w:bCs/>
          <w:color w:val="auto"/>
          <w:highlight w:val="none"/>
          <w:lang w:val="en-US" w:eastAsia="zh-CN"/>
        </w:rPr>
      </w:pPr>
      <w:r>
        <w:rPr>
          <w:rFonts w:hint="eastAsia"/>
          <w:b/>
          <w:bCs/>
          <w:color w:val="auto"/>
          <w:highlight w:val="none"/>
          <w:lang w:val="en-US" w:eastAsia="zh-CN"/>
        </w:rPr>
        <w:t>三、技术要求</w:t>
      </w:r>
    </w:p>
    <w:p w14:paraId="78522B60">
      <w:pPr>
        <w:pStyle w:val="2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一</w:t>
      </w:r>
      <w:r>
        <w:rPr>
          <w:rFonts w:hint="eastAsia" w:ascii="宋体" w:hAnsi="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人员配置表</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2816"/>
        <w:gridCol w:w="2881"/>
      </w:tblGrid>
      <w:tr w14:paraId="0A7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noWrap w:val="0"/>
            <w:vAlign w:val="center"/>
          </w:tcPr>
          <w:p w14:paraId="660D04C3">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岗位</w:t>
            </w:r>
          </w:p>
        </w:tc>
        <w:tc>
          <w:tcPr>
            <w:tcW w:w="1535" w:type="pct"/>
            <w:noWrap w:val="0"/>
            <w:vAlign w:val="center"/>
          </w:tcPr>
          <w:p w14:paraId="07224372">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人数</w:t>
            </w:r>
          </w:p>
        </w:tc>
        <w:tc>
          <w:tcPr>
            <w:tcW w:w="1570" w:type="pct"/>
            <w:noWrap w:val="0"/>
            <w:vAlign w:val="center"/>
          </w:tcPr>
          <w:p w14:paraId="4FB5799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月工资</w:t>
            </w:r>
          </w:p>
        </w:tc>
      </w:tr>
      <w:tr w14:paraId="6B04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noWrap w:val="0"/>
            <w:vAlign w:val="center"/>
          </w:tcPr>
          <w:p w14:paraId="4A612FD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电工</w:t>
            </w:r>
          </w:p>
        </w:tc>
        <w:tc>
          <w:tcPr>
            <w:tcW w:w="1535" w:type="pct"/>
            <w:noWrap w:val="0"/>
            <w:vAlign w:val="center"/>
          </w:tcPr>
          <w:p w14:paraId="4A29F6A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10人</w:t>
            </w:r>
          </w:p>
        </w:tc>
        <w:tc>
          <w:tcPr>
            <w:tcW w:w="1570" w:type="pct"/>
            <w:noWrap w:val="0"/>
            <w:vAlign w:val="center"/>
          </w:tcPr>
          <w:p w14:paraId="05F65FB2">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3200元</w:t>
            </w:r>
          </w:p>
        </w:tc>
      </w:tr>
      <w:tr w14:paraId="2F02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noWrap w:val="0"/>
            <w:vAlign w:val="center"/>
          </w:tcPr>
          <w:p w14:paraId="765DB6F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水工</w:t>
            </w:r>
          </w:p>
        </w:tc>
        <w:tc>
          <w:tcPr>
            <w:tcW w:w="1535" w:type="pct"/>
            <w:noWrap w:val="0"/>
            <w:vAlign w:val="center"/>
          </w:tcPr>
          <w:p w14:paraId="7F02A38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4人</w:t>
            </w:r>
          </w:p>
        </w:tc>
        <w:tc>
          <w:tcPr>
            <w:tcW w:w="1570" w:type="pct"/>
            <w:noWrap w:val="0"/>
            <w:vAlign w:val="center"/>
          </w:tcPr>
          <w:p w14:paraId="64F1471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3200元</w:t>
            </w:r>
          </w:p>
        </w:tc>
      </w:tr>
      <w:tr w14:paraId="1FFE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shd w:val="clear" w:color="auto" w:fill="auto"/>
            <w:noWrap w:val="0"/>
            <w:vAlign w:val="center"/>
          </w:tcPr>
          <w:p w14:paraId="358DFC82">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司炉工</w:t>
            </w:r>
          </w:p>
        </w:tc>
        <w:tc>
          <w:tcPr>
            <w:tcW w:w="1535" w:type="pct"/>
            <w:shd w:val="clear" w:color="auto" w:fill="auto"/>
            <w:noWrap w:val="0"/>
            <w:vAlign w:val="center"/>
          </w:tcPr>
          <w:p w14:paraId="4B7AE3F5">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2人</w:t>
            </w:r>
          </w:p>
        </w:tc>
        <w:tc>
          <w:tcPr>
            <w:tcW w:w="1570" w:type="pct"/>
            <w:shd w:val="clear" w:color="auto" w:fill="auto"/>
            <w:noWrap w:val="0"/>
            <w:vAlign w:val="center"/>
          </w:tcPr>
          <w:p w14:paraId="773967F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3200元</w:t>
            </w:r>
          </w:p>
        </w:tc>
      </w:tr>
      <w:tr w14:paraId="4159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noWrap w:val="0"/>
            <w:vAlign w:val="center"/>
          </w:tcPr>
          <w:p w14:paraId="445D97A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太平间管理</w:t>
            </w:r>
          </w:p>
        </w:tc>
        <w:tc>
          <w:tcPr>
            <w:tcW w:w="1535" w:type="pct"/>
            <w:noWrap w:val="0"/>
            <w:vAlign w:val="center"/>
          </w:tcPr>
          <w:p w14:paraId="461452A5">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1人</w:t>
            </w:r>
          </w:p>
        </w:tc>
        <w:tc>
          <w:tcPr>
            <w:tcW w:w="1570" w:type="pct"/>
            <w:noWrap w:val="0"/>
            <w:vAlign w:val="center"/>
          </w:tcPr>
          <w:p w14:paraId="34BC5AEF">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3200元</w:t>
            </w:r>
          </w:p>
        </w:tc>
      </w:tr>
      <w:tr w14:paraId="782C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93" w:type="pct"/>
            <w:noWrap w:val="0"/>
            <w:vAlign w:val="center"/>
          </w:tcPr>
          <w:p w14:paraId="55C5FDE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合计</w:t>
            </w:r>
          </w:p>
        </w:tc>
        <w:tc>
          <w:tcPr>
            <w:tcW w:w="1535" w:type="pct"/>
            <w:noWrap w:val="0"/>
            <w:vAlign w:val="center"/>
          </w:tcPr>
          <w:p w14:paraId="0586F1C7">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17人</w:t>
            </w:r>
          </w:p>
        </w:tc>
        <w:tc>
          <w:tcPr>
            <w:tcW w:w="1570" w:type="pct"/>
            <w:noWrap w:val="0"/>
            <w:vAlign w:val="center"/>
          </w:tcPr>
          <w:p w14:paraId="5CAFBA98">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r>
    </w:tbl>
    <w:p w14:paraId="09984341">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费用包含人员工资、税金、管理费等各项费用，合同期内医院不再承担任何其他费用。</w:t>
      </w:r>
    </w:p>
    <w:p w14:paraId="56D8365C">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供应商在人员月工资的基础上，报出综合折扣率。</w:t>
      </w:r>
    </w:p>
    <w:p w14:paraId="2988939C">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（二）人员岗位职责及要求</w:t>
      </w:r>
    </w:p>
    <w:p w14:paraId="1FBF77F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1、电工</w:t>
      </w:r>
    </w:p>
    <w:p w14:paraId="0658701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1.1.负责全院的电力设施小型维修及维护，要熟悉和掌握医院电力设施的功能和操作规程，做好维护管理记录，高压、低压设备运行记录。</w:t>
      </w:r>
    </w:p>
    <w:p w14:paraId="088D87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1.2.具备扎实的专业知识和丰富的实践经验，有独立操作维修技术和</w:t>
      </w:r>
      <w:r>
        <w:rPr>
          <w:rFonts w:hint="eastAsia" w:asciiTheme="minorEastAsia" w:hAnsiTheme="minorEastAsia" w:cstheme="minorEastAsia"/>
          <w:b w:val="0"/>
          <w:bCs w:val="0"/>
          <w:kern w:val="2"/>
          <w:sz w:val="24"/>
          <w:szCs w:val="24"/>
          <w:highlight w:val="none"/>
          <w:lang w:val="en-US" w:eastAsia="zh-CN" w:bidi="ar-SA"/>
        </w:rPr>
        <w:t>应对</w:t>
      </w:r>
      <w:r>
        <w:rPr>
          <w:rFonts w:hint="eastAsia" w:asciiTheme="minorEastAsia" w:hAnsiTheme="minorEastAsia" w:eastAsiaTheme="minorEastAsia" w:cstheme="minorEastAsia"/>
          <w:b w:val="0"/>
          <w:bCs w:val="0"/>
          <w:kern w:val="2"/>
          <w:sz w:val="24"/>
          <w:szCs w:val="24"/>
          <w:highlight w:val="none"/>
          <w:lang w:val="en-US" w:eastAsia="zh-CN" w:bidi="ar-SA"/>
        </w:rPr>
        <w:t>抢修任务的能力。</w:t>
      </w:r>
    </w:p>
    <w:p w14:paraId="03D04D6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1.3.严格遵守国家和行业电气安全法规、标准，以及医院的电工操作规范，保证安全生产和服务质量。</w:t>
      </w:r>
    </w:p>
    <w:p w14:paraId="6027171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1.4.实行24小时值班制度，严格执行交接班，做好值班记录。接到报修后，迅速响应，尽快赶赴现场。同时，要认真做好维修登记，做到随叫随到，主动到科室</w:t>
      </w:r>
      <w:r>
        <w:rPr>
          <w:rFonts w:hint="eastAsia" w:asciiTheme="minorEastAsia" w:hAnsiTheme="minorEastAsia" w:cstheme="minorEastAsia"/>
          <w:b w:val="0"/>
          <w:bCs w:val="0"/>
          <w:kern w:val="2"/>
          <w:sz w:val="24"/>
          <w:szCs w:val="24"/>
          <w:highlight w:val="none"/>
          <w:lang w:val="en-US" w:eastAsia="zh-CN" w:bidi="ar-SA"/>
        </w:rPr>
        <w:t>巡检</w:t>
      </w:r>
      <w:r>
        <w:rPr>
          <w:rFonts w:hint="eastAsia" w:asciiTheme="minorEastAsia" w:hAnsiTheme="minorEastAsia" w:eastAsiaTheme="minorEastAsia" w:cstheme="minorEastAsia"/>
          <w:b w:val="0"/>
          <w:bCs w:val="0"/>
          <w:kern w:val="2"/>
          <w:sz w:val="24"/>
          <w:szCs w:val="24"/>
          <w:highlight w:val="none"/>
          <w:lang w:val="en-US" w:eastAsia="zh-CN" w:bidi="ar-SA"/>
        </w:rPr>
        <w:t>，发现问题及时解决。</w:t>
      </w:r>
    </w:p>
    <w:p w14:paraId="61EE7BB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1.5.按照医院巡检计划，定期对医院的供电线路、设备等进行全面检查和维护，强化维护工作，保障医院用电安全。</w:t>
      </w:r>
    </w:p>
    <w:p w14:paraId="61668F6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1.6.要熟悉医院用电系统故障的应急处理流程，遇到突发事件时，能够迅速响应，采取有效的应对措施，确保医院电力系统的正常运转。</w:t>
      </w:r>
    </w:p>
    <w:p w14:paraId="639F7A4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2、水工</w:t>
      </w:r>
    </w:p>
    <w:p w14:paraId="0E01B8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2.1.负责全院水管网设施疏通及维修，要熟悉和掌握医院水管网设施的路线和功能。</w:t>
      </w:r>
    </w:p>
    <w:p w14:paraId="695080D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2.2.具备扎实的专业知识和丰富的维修经验，能准确判断故障原因，维修时选用合适的工具和配件，确保一次修复率达到95%以上，减少反复维修对医院的影响。</w:t>
      </w:r>
    </w:p>
    <w:p w14:paraId="643B50D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2.3.认真管好、用好水管材料，坚持勤俭节约，修旧利废，防止滥用和浪费。</w:t>
      </w:r>
    </w:p>
    <w:p w14:paraId="7202EC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2.4.保持通讯畅通，接到报修后，及时响应，并尽快赶赴现场。</w:t>
      </w:r>
    </w:p>
    <w:p w14:paraId="18B9597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2.5.按照医院巡检计划，定期对医院重点区域的供水设备、管道进行全面检查，定期对整个医院的用水系统进行一次全面巡检。及时发现潜在问题并处理。</w:t>
      </w:r>
    </w:p>
    <w:p w14:paraId="0451C64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2.6.工作期间着装规范，佩戴工作牌，言行举止文明。与医护人员和患者沟通时，耐心解答疑问，维修过程中尽量减少对医院正常秩序的干扰，维修完成后清理现场，保持环境整洁。</w:t>
      </w:r>
    </w:p>
    <w:p w14:paraId="4068917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3、司炉工</w:t>
      </w:r>
    </w:p>
    <w:p w14:paraId="4049C80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3.1.负责锅炉、蒸汽管道及配套设施的运行和故障处理等操作。</w:t>
      </w:r>
    </w:p>
    <w:p w14:paraId="122419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3.2.</w:t>
      </w:r>
      <w:r>
        <w:rPr>
          <w:rFonts w:hint="eastAsia" w:asciiTheme="minorEastAsia" w:hAnsiTheme="minorEastAsia" w:eastAsiaTheme="minorEastAsia" w:cstheme="minorEastAsia"/>
          <w:b w:val="0"/>
          <w:bCs w:val="0"/>
          <w:kern w:val="2"/>
          <w:sz w:val="24"/>
          <w:szCs w:val="24"/>
          <w:highlight w:val="none"/>
          <w:lang w:val="en-US" w:eastAsia="zh-CN" w:bidi="ar-SA"/>
        </w:rPr>
        <w:t>严格执行锅炉班各项规章制度和操作规程。</w:t>
      </w:r>
    </w:p>
    <w:p w14:paraId="5061795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3.3.</w:t>
      </w:r>
      <w:r>
        <w:rPr>
          <w:rFonts w:hint="eastAsia" w:asciiTheme="minorEastAsia" w:hAnsiTheme="minorEastAsia" w:eastAsiaTheme="minorEastAsia" w:cstheme="minorEastAsia"/>
          <w:b w:val="0"/>
          <w:bCs w:val="0"/>
          <w:kern w:val="2"/>
          <w:sz w:val="24"/>
          <w:szCs w:val="24"/>
          <w:highlight w:val="none"/>
          <w:lang w:val="en-US" w:eastAsia="zh-CN" w:bidi="ar-SA"/>
        </w:rPr>
        <w:t>严格监视锅炉及附属设备状况，发现故障或不正常行为，应查明原因及时排除，并向班组长报告。</w:t>
      </w:r>
    </w:p>
    <w:p w14:paraId="5847D9F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3.4.</w:t>
      </w:r>
      <w:r>
        <w:rPr>
          <w:rFonts w:hint="eastAsia" w:asciiTheme="minorEastAsia" w:hAnsiTheme="minorEastAsia" w:eastAsiaTheme="minorEastAsia" w:cstheme="minorEastAsia"/>
          <w:b w:val="0"/>
          <w:bCs w:val="0"/>
          <w:kern w:val="2"/>
          <w:sz w:val="24"/>
          <w:szCs w:val="24"/>
          <w:highlight w:val="none"/>
          <w:lang w:val="en-US" w:eastAsia="zh-CN" w:bidi="ar-SA"/>
        </w:rPr>
        <w:t>对锅炉设备定期进行巡查，并准时、认真地填写运行日志。</w:t>
      </w:r>
    </w:p>
    <w:p w14:paraId="5CA2FA6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3.5.</w:t>
      </w:r>
      <w:r>
        <w:rPr>
          <w:rFonts w:hint="eastAsia" w:asciiTheme="minorEastAsia" w:hAnsiTheme="minorEastAsia" w:eastAsiaTheme="minorEastAsia" w:cstheme="minorEastAsia"/>
          <w:b w:val="0"/>
          <w:bCs w:val="0"/>
          <w:kern w:val="2"/>
          <w:sz w:val="24"/>
          <w:szCs w:val="24"/>
          <w:highlight w:val="none"/>
          <w:lang w:val="en-US" w:eastAsia="zh-CN" w:bidi="ar-SA"/>
        </w:rPr>
        <w:t>认真做好锅炉设备的维护保养和锅炉房卫生。</w:t>
      </w:r>
    </w:p>
    <w:p w14:paraId="3458464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highlight w:val="none"/>
          <w:lang w:val="en-US" w:eastAsia="zh-CN"/>
        </w:rPr>
      </w:pPr>
      <w:r>
        <w:rPr>
          <w:rFonts w:hint="eastAsia" w:asciiTheme="minorEastAsia" w:hAnsiTheme="minorEastAsia" w:cstheme="minorEastAsia"/>
          <w:b w:val="0"/>
          <w:bCs w:val="0"/>
          <w:kern w:val="2"/>
          <w:sz w:val="24"/>
          <w:szCs w:val="24"/>
          <w:highlight w:val="none"/>
          <w:lang w:val="en-US" w:eastAsia="zh-CN" w:bidi="ar-SA"/>
        </w:rPr>
        <w:t>3.6.</w:t>
      </w:r>
      <w:r>
        <w:rPr>
          <w:rFonts w:hint="eastAsia" w:asciiTheme="minorEastAsia" w:hAnsiTheme="minorEastAsia" w:eastAsiaTheme="minorEastAsia" w:cstheme="minorEastAsia"/>
          <w:b w:val="0"/>
          <w:bCs w:val="0"/>
          <w:kern w:val="2"/>
          <w:sz w:val="24"/>
          <w:szCs w:val="24"/>
          <w:highlight w:val="none"/>
          <w:lang w:val="en-US" w:eastAsia="zh-CN" w:bidi="ar-SA"/>
        </w:rPr>
        <w:t>锅炉发生故障时，应积极主动采取紧急处理措施，并立即上报，不得离开现场。</w:t>
      </w:r>
    </w:p>
    <w:p w14:paraId="53A0B9B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4、太平间管理员</w:t>
      </w:r>
    </w:p>
    <w:p w14:paraId="7B92EF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4.1.</w:t>
      </w:r>
      <w:r>
        <w:rPr>
          <w:rFonts w:hint="eastAsia" w:asciiTheme="minorEastAsia" w:hAnsiTheme="minorEastAsia" w:eastAsiaTheme="minorEastAsia" w:cstheme="minorEastAsia"/>
          <w:b w:val="0"/>
          <w:bCs w:val="0"/>
          <w:kern w:val="2"/>
          <w:sz w:val="24"/>
          <w:szCs w:val="24"/>
          <w:highlight w:val="none"/>
          <w:lang w:val="en-US" w:eastAsia="zh-CN" w:bidi="ar-SA"/>
        </w:rPr>
        <w:t>工作人员</w:t>
      </w:r>
      <w:r>
        <w:rPr>
          <w:rFonts w:hint="eastAsia" w:asciiTheme="minorEastAsia" w:hAnsiTheme="minorEastAsia" w:cstheme="minorEastAsia"/>
          <w:b w:val="0"/>
          <w:bCs w:val="0"/>
          <w:kern w:val="2"/>
          <w:sz w:val="24"/>
          <w:szCs w:val="24"/>
          <w:highlight w:val="none"/>
          <w:lang w:val="en-US" w:eastAsia="zh-CN" w:bidi="ar-SA"/>
        </w:rPr>
        <w:t>执行24</w:t>
      </w:r>
      <w:r>
        <w:rPr>
          <w:rFonts w:hint="eastAsia" w:asciiTheme="minorEastAsia" w:hAnsiTheme="minorEastAsia" w:eastAsiaTheme="minorEastAsia" w:cstheme="minorEastAsia"/>
          <w:b w:val="0"/>
          <w:bCs w:val="0"/>
          <w:kern w:val="2"/>
          <w:sz w:val="24"/>
          <w:szCs w:val="24"/>
          <w:highlight w:val="none"/>
          <w:lang w:val="en-US" w:eastAsia="zh-CN" w:bidi="ar-SA"/>
        </w:rPr>
        <w:t>小时值班。</w:t>
      </w:r>
    </w:p>
    <w:p w14:paraId="447A00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4.2.</w:t>
      </w:r>
      <w:r>
        <w:rPr>
          <w:rFonts w:hint="eastAsia" w:asciiTheme="minorEastAsia" w:hAnsiTheme="minorEastAsia" w:cstheme="minorEastAsia"/>
          <w:b w:val="0"/>
          <w:bCs w:val="0"/>
          <w:kern w:val="2"/>
          <w:sz w:val="24"/>
          <w:szCs w:val="24"/>
          <w:highlight w:val="none"/>
          <w:lang w:val="en-US" w:eastAsia="zh-CN" w:bidi="ar-SA"/>
        </w:rPr>
        <w:t>负责停尸间遗体的接收与登记。</w:t>
      </w:r>
      <w:r>
        <w:rPr>
          <w:rFonts w:hint="eastAsia" w:asciiTheme="minorEastAsia" w:hAnsiTheme="minorEastAsia" w:eastAsiaTheme="minorEastAsia" w:cstheme="minorEastAsia"/>
          <w:b w:val="0"/>
          <w:bCs w:val="0"/>
          <w:kern w:val="2"/>
          <w:sz w:val="24"/>
          <w:szCs w:val="24"/>
          <w:highlight w:val="none"/>
          <w:lang w:val="en-US" w:eastAsia="zh-CN" w:bidi="ar-SA"/>
        </w:rPr>
        <w:t>接收时须核对死者姓名、性别、年龄、家庭地址、家属联系方式等信息，填写《驻马店市中心医院遗体暂存、转运登记表》，由</w:t>
      </w:r>
      <w:r>
        <w:rPr>
          <w:rFonts w:hint="eastAsia" w:asciiTheme="minorEastAsia" w:hAnsiTheme="minorEastAsia" w:cstheme="minorEastAsia"/>
          <w:b w:val="0"/>
          <w:bCs w:val="0"/>
          <w:kern w:val="2"/>
          <w:sz w:val="24"/>
          <w:szCs w:val="24"/>
          <w:highlight w:val="none"/>
          <w:lang w:val="en-US" w:eastAsia="zh-CN" w:bidi="ar-SA"/>
        </w:rPr>
        <w:t>科室交接人员、值班人员双方签字确认，确保信息准确无误。</w:t>
      </w:r>
    </w:p>
    <w:p w14:paraId="7177F80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4.3.定期检查冷藏柜等设备运行状态，确保冷藏柜运行正常，冷藏遗体完好。</w:t>
      </w:r>
    </w:p>
    <w:p w14:paraId="6F4756E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4.4.负责与殡仪服务机构办理交接手续，交接时须再次核对暂存遗体的身份信息，殡仪机构驾驶员信息、车牌号牌、车辆识别代号等信息，确认无误后填写《驻马店市中心医院遗体暂存、转运登记表》交接签字。</w:t>
      </w:r>
    </w:p>
    <w:p w14:paraId="47D49C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4.5.负责对停尸间地面、设施进行清洁消毒，医疗废物按《医疗废物管理条例》处理，确保环境无异味、无病菌滋生。</w:t>
      </w:r>
    </w:p>
    <w:p w14:paraId="3010E5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4.6.工作人员应严格遵守职业道德，保护逝者隐私。</w:t>
      </w:r>
    </w:p>
    <w:p w14:paraId="52A500DB">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（三）、人员资质、培训与管理</w:t>
      </w:r>
    </w:p>
    <w:p w14:paraId="2232DBA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1、人员素质和</w:t>
      </w:r>
      <w:r>
        <w:rPr>
          <w:rFonts w:hint="eastAsia" w:asciiTheme="minorEastAsia" w:hAnsiTheme="minorEastAsia" w:cstheme="minorEastAsia"/>
          <w:b w:val="0"/>
          <w:bCs w:val="0"/>
          <w:kern w:val="2"/>
          <w:sz w:val="24"/>
          <w:szCs w:val="24"/>
          <w:highlight w:val="none"/>
          <w:lang w:val="en-US" w:eastAsia="zh-CN" w:bidi="ar-SA"/>
        </w:rPr>
        <w:t>培训</w:t>
      </w:r>
      <w:r>
        <w:rPr>
          <w:rFonts w:hint="eastAsia" w:asciiTheme="minorEastAsia" w:hAnsiTheme="minorEastAsia" w:eastAsiaTheme="minorEastAsia" w:cstheme="minorEastAsia"/>
          <w:b w:val="0"/>
          <w:bCs w:val="0"/>
          <w:kern w:val="2"/>
          <w:sz w:val="24"/>
          <w:szCs w:val="24"/>
          <w:highlight w:val="none"/>
          <w:lang w:val="en-US" w:eastAsia="zh-CN" w:bidi="ar-SA"/>
        </w:rPr>
        <w:t>要求</w:t>
      </w:r>
    </w:p>
    <w:p w14:paraId="1D8689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1.1.各岗位工作人员：年龄不超过65岁，身体健康，品貌端正，朴实肯干，有良好的职业道德，经培训具备</w:t>
      </w:r>
      <w:r>
        <w:rPr>
          <w:rFonts w:hint="eastAsia" w:asciiTheme="minorEastAsia" w:hAnsiTheme="minorEastAsia" w:cstheme="minorEastAsia"/>
          <w:b w:val="0"/>
          <w:bCs w:val="0"/>
          <w:kern w:val="2"/>
          <w:sz w:val="24"/>
          <w:szCs w:val="24"/>
          <w:highlight w:val="none"/>
          <w:lang w:val="en-US" w:eastAsia="zh-CN" w:bidi="ar-SA"/>
        </w:rPr>
        <w:t>各岗位</w:t>
      </w:r>
      <w:r>
        <w:rPr>
          <w:rFonts w:hint="eastAsia" w:asciiTheme="minorEastAsia" w:hAnsiTheme="minorEastAsia" w:eastAsiaTheme="minorEastAsia" w:cstheme="minorEastAsia"/>
          <w:b w:val="0"/>
          <w:bCs w:val="0"/>
          <w:kern w:val="2"/>
          <w:sz w:val="24"/>
          <w:szCs w:val="24"/>
          <w:highlight w:val="none"/>
          <w:lang w:val="en-US" w:eastAsia="zh-CN" w:bidi="ar-SA"/>
        </w:rPr>
        <w:t>服务标准操作。</w:t>
      </w:r>
      <w:r>
        <w:rPr>
          <w:rFonts w:hint="eastAsia" w:asciiTheme="minorEastAsia" w:hAnsiTheme="minorEastAsia" w:cstheme="minorEastAsia"/>
          <w:b w:val="0"/>
          <w:bCs w:val="0"/>
          <w:kern w:val="2"/>
          <w:sz w:val="24"/>
          <w:szCs w:val="24"/>
          <w:highlight w:val="none"/>
          <w:lang w:val="en-US" w:eastAsia="zh-CN" w:bidi="ar-SA"/>
        </w:rPr>
        <w:t>供应商</w:t>
      </w:r>
      <w:r>
        <w:rPr>
          <w:rFonts w:hint="eastAsia" w:asciiTheme="minorEastAsia" w:hAnsiTheme="minorEastAsia" w:eastAsiaTheme="minorEastAsia" w:cstheme="minorEastAsia"/>
          <w:b w:val="0"/>
          <w:bCs w:val="0"/>
          <w:kern w:val="2"/>
          <w:sz w:val="24"/>
          <w:szCs w:val="24"/>
          <w:highlight w:val="none"/>
          <w:lang w:val="en-US" w:eastAsia="zh-CN" w:bidi="ar-SA"/>
        </w:rPr>
        <w:t xml:space="preserve">严禁聘用超龄员工，否则采购人有权不支付服务费用。 </w:t>
      </w:r>
    </w:p>
    <w:p w14:paraId="743D21E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1.2</w:t>
      </w: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cstheme="minorEastAsia"/>
          <w:b w:val="0"/>
          <w:bCs w:val="0"/>
          <w:kern w:val="2"/>
          <w:sz w:val="24"/>
          <w:szCs w:val="24"/>
          <w:highlight w:val="none"/>
          <w:lang w:val="en-US" w:eastAsia="zh-CN" w:bidi="ar-SA"/>
        </w:rPr>
        <w:t>电工、司炉工</w:t>
      </w:r>
      <w:r>
        <w:rPr>
          <w:rFonts w:hint="eastAsia" w:asciiTheme="minorEastAsia" w:hAnsiTheme="minorEastAsia" w:eastAsiaTheme="minorEastAsia" w:cstheme="minorEastAsia"/>
          <w:b w:val="0"/>
          <w:bCs w:val="0"/>
          <w:kern w:val="2"/>
          <w:sz w:val="24"/>
          <w:szCs w:val="24"/>
          <w:highlight w:val="none"/>
          <w:lang w:val="en-US" w:eastAsia="zh-CN" w:bidi="ar-SA"/>
        </w:rPr>
        <w:t>按岗位要求持证上岗。电工</w:t>
      </w:r>
      <w:r>
        <w:rPr>
          <w:rFonts w:hint="eastAsia" w:asciiTheme="minorEastAsia" w:hAnsiTheme="minorEastAsia" w:cstheme="minorEastAsia"/>
          <w:b w:val="0"/>
          <w:bCs w:val="0"/>
          <w:kern w:val="2"/>
          <w:sz w:val="24"/>
          <w:szCs w:val="24"/>
          <w:highlight w:val="none"/>
          <w:lang w:val="en-US" w:eastAsia="zh-CN" w:bidi="ar-SA"/>
        </w:rPr>
        <w:t>具有</w:t>
      </w:r>
      <w:r>
        <w:rPr>
          <w:rFonts w:hint="eastAsia" w:asciiTheme="minorEastAsia" w:hAnsiTheme="minorEastAsia" w:eastAsiaTheme="minorEastAsia" w:cstheme="minorEastAsia"/>
          <w:b w:val="0"/>
          <w:bCs w:val="0"/>
          <w:kern w:val="2"/>
          <w:sz w:val="24"/>
          <w:szCs w:val="24"/>
          <w:highlight w:val="none"/>
          <w:lang w:val="en-US" w:eastAsia="zh-CN" w:bidi="ar-SA"/>
        </w:rPr>
        <w:t>《中华人民共和国特种作业操作证》（操作项目为高压电工作业）或《中华人民共和国特种作业操作证》（操作项目为低压电工作业）。</w:t>
      </w:r>
      <w:r>
        <w:rPr>
          <w:rFonts w:hint="eastAsia" w:asciiTheme="minorEastAsia" w:hAnsiTheme="minorEastAsia" w:cstheme="minorEastAsia"/>
          <w:b w:val="0"/>
          <w:bCs w:val="0"/>
          <w:kern w:val="2"/>
          <w:sz w:val="24"/>
          <w:szCs w:val="24"/>
          <w:highlight w:val="none"/>
          <w:lang w:val="en-US" w:eastAsia="zh-CN" w:bidi="ar-SA"/>
        </w:rPr>
        <w:t>司炉工具有特种设备作业人员证（项目代码为G1）。</w:t>
      </w:r>
    </w:p>
    <w:p w14:paraId="6B8A353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1.3</w:t>
      </w: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cstheme="minorEastAsia"/>
          <w:b w:val="0"/>
          <w:bCs w:val="0"/>
          <w:kern w:val="2"/>
          <w:sz w:val="24"/>
          <w:szCs w:val="24"/>
          <w:highlight w:val="none"/>
          <w:lang w:val="en-US" w:eastAsia="zh-CN" w:bidi="ar-SA"/>
        </w:rPr>
        <w:t>工作人员</w:t>
      </w:r>
      <w:r>
        <w:rPr>
          <w:rFonts w:hint="eastAsia" w:asciiTheme="minorEastAsia" w:hAnsiTheme="minorEastAsia" w:eastAsiaTheme="minorEastAsia" w:cstheme="minorEastAsia"/>
          <w:b w:val="0"/>
          <w:bCs w:val="0"/>
          <w:kern w:val="2"/>
          <w:sz w:val="24"/>
          <w:szCs w:val="24"/>
          <w:highlight w:val="none"/>
          <w:lang w:val="en-US" w:eastAsia="zh-CN" w:bidi="ar-SA"/>
        </w:rPr>
        <w:t>上岗前须经</w:t>
      </w:r>
      <w:r>
        <w:rPr>
          <w:rFonts w:hint="eastAsia" w:asciiTheme="minorEastAsia" w:hAnsiTheme="minorEastAsia" w:cstheme="minorEastAsia"/>
          <w:b w:val="0"/>
          <w:bCs w:val="0"/>
          <w:kern w:val="2"/>
          <w:sz w:val="24"/>
          <w:szCs w:val="24"/>
          <w:highlight w:val="none"/>
          <w:lang w:val="en-US" w:eastAsia="zh-CN" w:bidi="ar-SA"/>
        </w:rPr>
        <w:t>岗前</w:t>
      </w:r>
      <w:r>
        <w:rPr>
          <w:rFonts w:hint="eastAsia" w:asciiTheme="minorEastAsia" w:hAnsiTheme="minorEastAsia" w:eastAsiaTheme="minorEastAsia" w:cstheme="minorEastAsia"/>
          <w:b w:val="0"/>
          <w:bCs w:val="0"/>
          <w:kern w:val="2"/>
          <w:sz w:val="24"/>
          <w:szCs w:val="24"/>
          <w:highlight w:val="none"/>
          <w:lang w:val="en-US" w:eastAsia="zh-CN" w:bidi="ar-SA"/>
        </w:rPr>
        <w:t>培训和考核合格</w:t>
      </w:r>
      <w:r>
        <w:rPr>
          <w:rFonts w:hint="eastAsia" w:asciiTheme="minorEastAsia" w:hAnsiTheme="minorEastAsia" w:cstheme="minorEastAsia"/>
          <w:b w:val="0"/>
          <w:bCs w:val="0"/>
          <w:kern w:val="2"/>
          <w:sz w:val="24"/>
          <w:szCs w:val="24"/>
          <w:highlight w:val="none"/>
          <w:lang w:val="en-US" w:eastAsia="zh-CN" w:bidi="ar-SA"/>
        </w:rPr>
        <w:t>后方可</w:t>
      </w:r>
      <w:r>
        <w:rPr>
          <w:rFonts w:hint="eastAsia" w:asciiTheme="minorEastAsia" w:hAnsiTheme="minorEastAsia" w:eastAsiaTheme="minorEastAsia" w:cstheme="minorEastAsia"/>
          <w:b w:val="0"/>
          <w:bCs w:val="0"/>
          <w:kern w:val="2"/>
          <w:sz w:val="24"/>
          <w:szCs w:val="24"/>
          <w:highlight w:val="none"/>
          <w:lang w:val="en-US" w:eastAsia="zh-CN" w:bidi="ar-SA"/>
        </w:rPr>
        <w:t>上岗，要求</w:t>
      </w:r>
      <w:r>
        <w:rPr>
          <w:rFonts w:hint="eastAsia" w:asciiTheme="minorEastAsia" w:hAnsiTheme="minorEastAsia" w:cstheme="minorEastAsia"/>
          <w:b w:val="0"/>
          <w:bCs w:val="0"/>
          <w:kern w:val="2"/>
          <w:sz w:val="24"/>
          <w:szCs w:val="24"/>
          <w:highlight w:val="none"/>
          <w:lang w:val="en-US" w:eastAsia="zh-CN" w:bidi="ar-SA"/>
        </w:rPr>
        <w:t>供应商</w:t>
      </w:r>
      <w:r>
        <w:rPr>
          <w:rFonts w:hint="eastAsia" w:asciiTheme="minorEastAsia" w:hAnsiTheme="minorEastAsia" w:eastAsiaTheme="minorEastAsia" w:cstheme="minorEastAsia"/>
          <w:b w:val="0"/>
          <w:bCs w:val="0"/>
          <w:kern w:val="2"/>
          <w:sz w:val="24"/>
          <w:szCs w:val="24"/>
          <w:highlight w:val="none"/>
          <w:lang w:val="en-US" w:eastAsia="zh-CN" w:bidi="ar-SA"/>
        </w:rPr>
        <w:t xml:space="preserve">提供用于本项目的所有员工上岗证照资料。 </w:t>
      </w:r>
    </w:p>
    <w:p w14:paraId="3E823A7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1.4.</w:t>
      </w:r>
      <w:r>
        <w:rPr>
          <w:rFonts w:hint="eastAsia" w:asciiTheme="minorEastAsia" w:hAnsiTheme="minorEastAsia" w:eastAsiaTheme="minorEastAsia" w:cstheme="minorEastAsia"/>
          <w:b w:val="0"/>
          <w:bCs w:val="0"/>
          <w:kern w:val="2"/>
          <w:sz w:val="24"/>
          <w:szCs w:val="24"/>
          <w:highlight w:val="none"/>
          <w:lang w:val="en-US" w:eastAsia="zh-CN" w:bidi="ar-SA"/>
        </w:rPr>
        <w:t>上岗后组织在职培训，每月至少一次，确保其熟悉工作流程、职责及采购人相关管理规定等</w:t>
      </w:r>
      <w:r>
        <w:rPr>
          <w:rFonts w:hint="eastAsia" w:asciiTheme="minorEastAsia" w:hAnsiTheme="minorEastAsia" w:cstheme="minorEastAsia"/>
          <w:b w:val="0"/>
          <w:bCs w:val="0"/>
          <w:kern w:val="2"/>
          <w:sz w:val="24"/>
          <w:szCs w:val="24"/>
          <w:highlight w:val="none"/>
          <w:lang w:val="en-US" w:eastAsia="zh-CN" w:bidi="ar-SA"/>
        </w:rPr>
        <w:t>。</w:t>
      </w:r>
    </w:p>
    <w:p w14:paraId="145CE02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 xml:space="preserve">2、人员管理 </w:t>
      </w:r>
    </w:p>
    <w:p w14:paraId="70FA4F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val="0"/>
          <w:bCs w:val="0"/>
          <w:kern w:val="2"/>
          <w:sz w:val="24"/>
          <w:szCs w:val="24"/>
          <w:highlight w:val="none"/>
          <w:lang w:val="en-US" w:eastAsia="zh-CN" w:bidi="ar-SA"/>
        </w:rPr>
        <w:t>2.1.</w:t>
      </w:r>
      <w:r>
        <w:rPr>
          <w:rFonts w:hint="eastAsia" w:asciiTheme="minorEastAsia" w:hAnsiTheme="minorEastAsia" w:cstheme="minorEastAsia"/>
          <w:b w:val="0"/>
          <w:bCs w:val="0"/>
          <w:kern w:val="2"/>
          <w:sz w:val="24"/>
          <w:szCs w:val="24"/>
          <w:highlight w:val="none"/>
          <w:lang w:val="en-US" w:eastAsia="zh-CN" w:bidi="ar-SA"/>
        </w:rPr>
        <w:t>工作人员</w:t>
      </w:r>
      <w:r>
        <w:rPr>
          <w:rFonts w:hint="eastAsia" w:asciiTheme="minorEastAsia" w:hAnsiTheme="minorEastAsia" w:eastAsiaTheme="minorEastAsia" w:cstheme="minorEastAsia"/>
          <w:kern w:val="0"/>
          <w:sz w:val="24"/>
          <w:szCs w:val="24"/>
          <w:highlight w:val="none"/>
        </w:rPr>
        <w:t>工作责任心强，能严格遵守医院各项规章制度，接受医院管理部门的监督及相关科室有关人员的管理。自觉做到微笑服务，礼貌服务，细心服务，热情服务。</w:t>
      </w:r>
    </w:p>
    <w:p w14:paraId="122728D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kern w:val="0"/>
          <w:sz w:val="24"/>
          <w:szCs w:val="24"/>
          <w:highlight w:val="none"/>
          <w:lang w:val="en-US" w:eastAsia="zh-CN"/>
        </w:rPr>
        <w:t>2.2.工作</w:t>
      </w:r>
      <w:r>
        <w:rPr>
          <w:rFonts w:hint="eastAsia" w:asciiTheme="minorEastAsia" w:hAnsiTheme="minorEastAsia" w:eastAsiaTheme="minorEastAsia" w:cstheme="minorEastAsia"/>
          <w:kern w:val="0"/>
          <w:sz w:val="24"/>
          <w:szCs w:val="24"/>
          <w:highlight w:val="none"/>
        </w:rPr>
        <w:t>人员必须着统一工作服，佩戴统一工作牌。</w:t>
      </w:r>
    </w:p>
    <w:p w14:paraId="0174CB7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2.3.</w:t>
      </w:r>
      <w:r>
        <w:rPr>
          <w:rFonts w:hint="eastAsia" w:asciiTheme="minorEastAsia" w:hAnsiTheme="minorEastAsia" w:cstheme="minorEastAsia"/>
          <w:b w:val="0"/>
          <w:bCs w:val="0"/>
          <w:kern w:val="2"/>
          <w:sz w:val="24"/>
          <w:szCs w:val="24"/>
          <w:highlight w:val="none"/>
          <w:lang w:val="en-US" w:eastAsia="zh-CN" w:bidi="ar-SA"/>
        </w:rPr>
        <w:t>供应商</w:t>
      </w:r>
      <w:r>
        <w:rPr>
          <w:rFonts w:hint="eastAsia" w:asciiTheme="minorEastAsia" w:hAnsiTheme="minorEastAsia" w:eastAsiaTheme="minorEastAsia" w:cstheme="minorEastAsia"/>
          <w:b w:val="0"/>
          <w:bCs w:val="0"/>
          <w:kern w:val="2"/>
          <w:sz w:val="24"/>
          <w:szCs w:val="24"/>
          <w:highlight w:val="none"/>
          <w:lang w:val="en-US" w:eastAsia="zh-CN" w:bidi="ar-SA"/>
        </w:rPr>
        <w:t>全面负责被派遣人员涉及劳动关系的所有事宜，全面负责派遣人员的生活、工作等事宜。</w:t>
      </w:r>
    </w:p>
    <w:p w14:paraId="6B408DC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2.4</w:t>
      </w:r>
      <w:r>
        <w:rPr>
          <w:rFonts w:hint="eastAsia" w:asciiTheme="minorEastAsia" w:hAnsiTheme="minorEastAsia" w:eastAsiaTheme="minorEastAsia" w:cstheme="minorEastAsia"/>
          <w:b w:val="0"/>
          <w:bCs w:val="0"/>
          <w:kern w:val="2"/>
          <w:sz w:val="24"/>
          <w:szCs w:val="24"/>
          <w:highlight w:val="none"/>
          <w:lang w:val="en-US" w:eastAsia="zh-CN" w:bidi="ar-SA"/>
        </w:rPr>
        <w:t>.工作人员应专职服务本项目，如遇特殊情况需借用本项目工作人员，须报请采购人批准，并保证本项目正常运行。</w:t>
      </w:r>
    </w:p>
    <w:p w14:paraId="473A1B6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2.5</w:t>
      </w:r>
      <w:r>
        <w:rPr>
          <w:rFonts w:hint="eastAsia" w:asciiTheme="minorEastAsia" w:hAnsiTheme="minorEastAsia" w:eastAsiaTheme="minorEastAsia" w:cstheme="minorEastAsia"/>
          <w:b w:val="0"/>
          <w:bCs w:val="0"/>
          <w:kern w:val="2"/>
          <w:sz w:val="24"/>
          <w:szCs w:val="24"/>
          <w:highlight w:val="none"/>
          <w:lang w:val="en-US" w:eastAsia="zh-CN" w:bidi="ar-SA"/>
        </w:rPr>
        <w:t>.采取有效措施降低员工流失率，如提供合理的薪酬福利、良好的工作环境和职业发展机会。确保服务团队的稳定性，避免因人员频繁变动影响服务质量。</w:t>
      </w:r>
    </w:p>
    <w:p w14:paraId="46724CF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2.6</w:t>
      </w: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cstheme="minorEastAsia"/>
          <w:b w:val="0"/>
          <w:bCs w:val="0"/>
          <w:kern w:val="2"/>
          <w:sz w:val="24"/>
          <w:szCs w:val="24"/>
          <w:highlight w:val="none"/>
          <w:lang w:val="en-US" w:eastAsia="zh-CN" w:bidi="ar-SA"/>
        </w:rPr>
        <w:t>医院</w:t>
      </w:r>
      <w:r>
        <w:rPr>
          <w:rFonts w:hint="eastAsia" w:asciiTheme="minorEastAsia" w:hAnsiTheme="minorEastAsia" w:eastAsiaTheme="minorEastAsia" w:cstheme="minorEastAsia"/>
          <w:b w:val="0"/>
          <w:bCs w:val="0"/>
          <w:kern w:val="2"/>
          <w:sz w:val="24"/>
          <w:szCs w:val="24"/>
          <w:highlight w:val="none"/>
          <w:lang w:val="en-US" w:eastAsia="zh-CN" w:bidi="ar-SA"/>
        </w:rPr>
        <w:t>与派驻服务人员不发生任何劳动和雇佣关系，派驻</w:t>
      </w:r>
      <w:r>
        <w:rPr>
          <w:rFonts w:hint="eastAsia" w:asciiTheme="minorEastAsia" w:hAnsiTheme="minorEastAsia" w:cstheme="minorEastAsia"/>
          <w:b w:val="0"/>
          <w:bCs w:val="0"/>
          <w:kern w:val="2"/>
          <w:sz w:val="24"/>
          <w:szCs w:val="24"/>
          <w:highlight w:val="none"/>
          <w:lang w:val="en-US" w:eastAsia="zh-CN" w:bidi="ar-SA"/>
        </w:rPr>
        <w:t>工作</w:t>
      </w:r>
      <w:r>
        <w:rPr>
          <w:rFonts w:hint="eastAsia" w:asciiTheme="minorEastAsia" w:hAnsiTheme="minorEastAsia" w:eastAsiaTheme="minorEastAsia" w:cstheme="minorEastAsia"/>
          <w:b w:val="0"/>
          <w:bCs w:val="0"/>
          <w:kern w:val="2"/>
          <w:sz w:val="24"/>
          <w:szCs w:val="24"/>
          <w:highlight w:val="none"/>
          <w:lang w:val="en-US" w:eastAsia="zh-CN" w:bidi="ar-SA"/>
        </w:rPr>
        <w:t>人员由</w:t>
      </w:r>
      <w:r>
        <w:rPr>
          <w:rFonts w:hint="eastAsia" w:asciiTheme="minorEastAsia" w:hAnsiTheme="minorEastAsia" w:cstheme="minorEastAsia"/>
          <w:b w:val="0"/>
          <w:bCs w:val="0"/>
          <w:kern w:val="2"/>
          <w:sz w:val="24"/>
          <w:szCs w:val="24"/>
          <w:highlight w:val="none"/>
          <w:lang w:val="en-US" w:eastAsia="zh-CN" w:bidi="ar-SA"/>
        </w:rPr>
        <w:t>供应商</w:t>
      </w:r>
      <w:r>
        <w:rPr>
          <w:rFonts w:hint="eastAsia" w:asciiTheme="minorEastAsia" w:hAnsiTheme="minorEastAsia" w:eastAsiaTheme="minorEastAsia" w:cstheme="minorEastAsia"/>
          <w:b w:val="0"/>
          <w:bCs w:val="0"/>
          <w:kern w:val="2"/>
          <w:sz w:val="24"/>
          <w:szCs w:val="24"/>
          <w:highlight w:val="none"/>
          <w:lang w:val="en-US" w:eastAsia="zh-CN" w:bidi="ar-SA"/>
        </w:rPr>
        <w:t xml:space="preserve">自行管理，并负责所属员工的劳动合同、培训、考核、薪酬、保险等，对员工服务期间的行为负责，承担一切劳务纠纷。 </w:t>
      </w:r>
    </w:p>
    <w:p w14:paraId="701526C2">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2.7</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医院将对</w:t>
      </w:r>
      <w:r>
        <w:rPr>
          <w:rFonts w:hint="eastAsia" w:asciiTheme="minorEastAsia" w:hAnsiTheme="minorEastAsia" w:cstheme="minorEastAsia"/>
          <w:kern w:val="0"/>
          <w:sz w:val="24"/>
          <w:szCs w:val="24"/>
          <w:highlight w:val="none"/>
          <w:lang w:val="en-US" w:eastAsia="zh-CN"/>
        </w:rPr>
        <w:t>工作人员</w:t>
      </w:r>
      <w:r>
        <w:rPr>
          <w:rFonts w:hint="eastAsia" w:asciiTheme="minorEastAsia" w:hAnsiTheme="minorEastAsia" w:eastAsiaTheme="minorEastAsia" w:cstheme="minorEastAsia"/>
          <w:kern w:val="0"/>
          <w:sz w:val="24"/>
          <w:szCs w:val="24"/>
          <w:highlight w:val="none"/>
        </w:rPr>
        <w:t>服务质量进行全过程监控，供应商若出现人员年龄不符合要求、人数不够、日常工作不到位、服务质量不达标、</w:t>
      </w:r>
      <w:r>
        <w:rPr>
          <w:rFonts w:hint="eastAsia" w:asciiTheme="minorEastAsia" w:hAnsiTheme="minorEastAsia" w:eastAsiaTheme="minorEastAsia" w:cstheme="minorEastAsia"/>
          <w:kern w:val="0"/>
          <w:sz w:val="24"/>
          <w:szCs w:val="24"/>
          <w:highlight w:val="none"/>
          <w:shd w:val="clear"/>
          <w:lang w:val="en-US" w:eastAsia="zh-CN"/>
        </w:rPr>
        <w:t>受到上级有关部门或</w:t>
      </w:r>
      <w:r>
        <w:rPr>
          <w:rFonts w:hint="eastAsia" w:asciiTheme="minorEastAsia" w:hAnsiTheme="minorEastAsia" w:eastAsiaTheme="minorEastAsia" w:cstheme="minorEastAsia"/>
          <w:kern w:val="0"/>
          <w:sz w:val="24"/>
          <w:szCs w:val="24"/>
          <w:highlight w:val="none"/>
        </w:rPr>
        <w:t>受到职工及患者对服务</w:t>
      </w:r>
      <w:r>
        <w:rPr>
          <w:rFonts w:hint="eastAsia" w:asciiTheme="minorEastAsia" w:hAnsiTheme="minorEastAsia" w:cstheme="minorEastAsia"/>
          <w:kern w:val="0"/>
          <w:sz w:val="24"/>
          <w:szCs w:val="24"/>
          <w:highlight w:val="none"/>
          <w:lang w:val="en-US" w:eastAsia="zh-CN"/>
        </w:rPr>
        <w:t>质量</w:t>
      </w:r>
      <w:r>
        <w:rPr>
          <w:rFonts w:hint="eastAsia" w:asciiTheme="minorEastAsia" w:hAnsiTheme="minorEastAsia" w:eastAsiaTheme="minorEastAsia" w:cstheme="minorEastAsia"/>
          <w:kern w:val="0"/>
          <w:sz w:val="24"/>
          <w:szCs w:val="24"/>
          <w:highlight w:val="none"/>
        </w:rPr>
        <w:t>投诉等现象，医院将依据合同约定，做出相应的违约处理与处罚。</w:t>
      </w:r>
    </w:p>
    <w:p w14:paraId="4339B0C9">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2.8</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cstheme="minorEastAsia"/>
          <w:kern w:val="0"/>
          <w:sz w:val="24"/>
          <w:szCs w:val="24"/>
          <w:highlight w:val="none"/>
          <w:lang w:val="en-US" w:eastAsia="zh-CN"/>
        </w:rPr>
        <w:t>工作</w:t>
      </w:r>
      <w:r>
        <w:rPr>
          <w:rFonts w:hint="eastAsia" w:asciiTheme="minorEastAsia" w:hAnsiTheme="minorEastAsia" w:eastAsiaTheme="minorEastAsia" w:cstheme="minorEastAsia"/>
          <w:kern w:val="0"/>
          <w:sz w:val="24"/>
          <w:szCs w:val="24"/>
          <w:highlight w:val="none"/>
        </w:rPr>
        <w:t>人员在岗履行工作职责期间，若发生自身的人身伤害、伤亡等事件均由供应商负责，医院不承担任何责任。</w:t>
      </w:r>
    </w:p>
    <w:p w14:paraId="773E935C">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2.9</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cstheme="minorEastAsia"/>
          <w:kern w:val="0"/>
          <w:sz w:val="24"/>
          <w:szCs w:val="24"/>
          <w:highlight w:val="none"/>
          <w:lang w:val="en-US" w:eastAsia="zh-CN"/>
        </w:rPr>
        <w:t>工作</w:t>
      </w:r>
      <w:r>
        <w:rPr>
          <w:rFonts w:hint="eastAsia" w:asciiTheme="minorEastAsia" w:hAnsiTheme="minorEastAsia" w:eastAsiaTheme="minorEastAsia" w:cstheme="minorEastAsia"/>
          <w:kern w:val="0"/>
          <w:sz w:val="24"/>
          <w:szCs w:val="24"/>
          <w:highlight w:val="none"/>
        </w:rPr>
        <w:t>人员在服务中违反国家相关法规或操作规范，若发生纠纷或造成他人人身伤害、伤亡的，均由供应商负责，医院不承担任何责任。</w:t>
      </w:r>
    </w:p>
    <w:p w14:paraId="30609C21">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kern w:val="0"/>
          <w:sz w:val="24"/>
          <w:szCs w:val="24"/>
          <w:highlight w:val="none"/>
          <w:lang w:val="en-US" w:eastAsia="zh-CN"/>
        </w:rPr>
        <w:t>2.10</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供应商在医院重大活动及上级迎检中，出现重大失误影响到医院有关荣誉的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医院有权终止合同。</w:t>
      </w:r>
    </w:p>
    <w:p w14:paraId="62AD7F5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2.1</w:t>
      </w:r>
      <w:r>
        <w:rPr>
          <w:rFonts w:hint="eastAsia" w:asciiTheme="minorEastAsia" w:hAnsiTheme="minorEastAsia" w:cstheme="minorEastAsia"/>
          <w:b w:val="0"/>
          <w:bCs w:val="0"/>
          <w:kern w:val="2"/>
          <w:sz w:val="24"/>
          <w:szCs w:val="24"/>
          <w:highlight w:val="none"/>
          <w:lang w:val="en-US" w:eastAsia="zh-CN" w:bidi="ar-SA"/>
        </w:rPr>
        <w:t>1</w:t>
      </w: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cstheme="minorEastAsia"/>
          <w:b w:val="0"/>
          <w:bCs w:val="0"/>
          <w:kern w:val="2"/>
          <w:sz w:val="24"/>
          <w:szCs w:val="24"/>
          <w:highlight w:val="none"/>
          <w:lang w:val="en-US" w:eastAsia="zh-CN" w:bidi="ar-SA"/>
        </w:rPr>
        <w:t>供应商</w:t>
      </w:r>
      <w:r>
        <w:rPr>
          <w:rFonts w:hint="eastAsia" w:asciiTheme="minorEastAsia" w:hAnsiTheme="minorEastAsia" w:eastAsiaTheme="minorEastAsia" w:cstheme="minorEastAsia"/>
          <w:b w:val="0"/>
          <w:bCs w:val="0"/>
          <w:kern w:val="2"/>
          <w:sz w:val="24"/>
          <w:szCs w:val="24"/>
          <w:highlight w:val="none"/>
          <w:lang w:val="en-US" w:eastAsia="zh-CN" w:bidi="ar-SA"/>
        </w:rPr>
        <w:t>每月拿出500元奖励基金，制定奖惩细则，奖励台账，对在服务过程中表现突出并得到医院认可的个人，进行相应奖励，月度金额不累计，当月发放完毕。</w:t>
      </w:r>
    </w:p>
    <w:p w14:paraId="457C5716">
      <w:pPr>
        <w:widowControl w:val="0"/>
        <w:numPr>
          <w:ilvl w:val="0"/>
          <w:numId w:val="0"/>
        </w:numPr>
        <w:spacing w:line="192" w:lineRule="auto"/>
        <w:jc w:val="both"/>
        <w:rPr>
          <w:rFonts w:hint="eastAsia" w:ascii="宋体" w:hAnsi="宋体" w:eastAsia="宋体" w:cs="宋体"/>
          <w:b/>
          <w:bCs/>
          <w:color w:val="auto"/>
          <w:kern w:val="2"/>
          <w:sz w:val="21"/>
          <w:szCs w:val="24"/>
          <w:highlight w:val="none"/>
          <w:lang w:val="en-US" w:eastAsia="zh-CN" w:bidi="ar-SA"/>
        </w:rPr>
      </w:pPr>
    </w:p>
    <w:p w14:paraId="43D05592">
      <w:pPr>
        <w:pStyle w:val="51"/>
        <w:rPr>
          <w:rFonts w:hint="eastAsia" w:ascii="宋体" w:hAnsi="宋体" w:eastAsia="宋体" w:cs="宋体"/>
          <w:b/>
          <w:bCs/>
          <w:color w:val="auto"/>
          <w:kern w:val="2"/>
          <w:sz w:val="21"/>
          <w:szCs w:val="24"/>
          <w:highlight w:val="none"/>
          <w:lang w:val="en-US" w:eastAsia="zh-CN" w:bidi="ar-SA"/>
        </w:rPr>
      </w:pPr>
    </w:p>
    <w:p w14:paraId="5C70B08A">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339D8E7C">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shd w:val="clear" w:color="auto" w:fill="FFFFFF"/>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235B7F20">
            <w:pPr>
              <w:keepNext w:val="0"/>
              <w:keepLines w:val="0"/>
              <w:pageBreakBefore w:val="0"/>
              <w:widowControl/>
              <w:tabs>
                <w:tab w:val="left" w:pos="840"/>
              </w:tabs>
              <w:kinsoku/>
              <w:overflowPunct/>
              <w:topLinePunct w:val="0"/>
              <w:autoSpaceDE/>
              <w:autoSpaceDN/>
              <w:bidi w:val="0"/>
              <w:snapToGrid w:val="0"/>
              <w:spacing w:line="324"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 xml:space="preserve">个月。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采购人指定地点</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每月结算一次。 </w:t>
            </w:r>
          </w:p>
        </w:tc>
      </w:tr>
    </w:tbl>
    <w:p w14:paraId="4AC0E9E0">
      <w:pPr>
        <w:pStyle w:val="15"/>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szCs w:val="21"/>
                <w:highlight w:val="none"/>
                <w:shd w:val="clear" w:color="auto" w:fill="FFFFFF"/>
                <w:lang w:val="en-US" w:eastAsia="zh-CN"/>
              </w:rPr>
              <w:t>驻马店市中心医院中心院区水电工等第三方人员服务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38.08</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；最高投标限价</w:t>
            </w:r>
            <w:r>
              <w:rPr>
                <w:rFonts w:hint="eastAsia" w:ascii="宋体" w:hAnsi="宋体" w:eastAsia="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72C370B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rPr>
              <w:t>报价</w:t>
            </w:r>
            <w:r>
              <w:rPr>
                <w:rFonts w:hint="eastAsia" w:ascii="宋体" w:hAnsi="宋体" w:eastAsia="宋体" w:cs="宋体"/>
                <w:color w:val="auto"/>
                <w:kern w:val="0"/>
                <w:szCs w:val="21"/>
                <w:highlight w:val="none"/>
                <w:lang w:val="en-US" w:eastAsia="zh-CN"/>
              </w:rPr>
              <w:t>。供应商在</w:t>
            </w:r>
            <w:r>
              <w:rPr>
                <w:rFonts w:hint="eastAsia" w:ascii="宋体" w:hAnsi="宋体" w:cs="宋体"/>
                <w:color w:val="auto"/>
                <w:kern w:val="0"/>
                <w:szCs w:val="21"/>
                <w:highlight w:val="none"/>
                <w:lang w:val="en-US" w:eastAsia="zh-CN"/>
              </w:rPr>
              <w:t>第二章“</w:t>
            </w:r>
            <w:r>
              <w:rPr>
                <w:rFonts w:hint="eastAsia" w:ascii="宋体" w:hAnsi="宋体" w:eastAsia="宋体" w:cs="宋体"/>
                <w:color w:val="auto"/>
                <w:kern w:val="0"/>
                <w:szCs w:val="21"/>
                <w:highlight w:val="none"/>
                <w:lang w:val="en-US" w:eastAsia="zh-CN"/>
              </w:rPr>
              <w:t>三、技术要求（一）人员配置表</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人员月工资的基础上，报出综合折扣率。</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58420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5pt;margin-top:4.6pt;height:24.05pt;width:76.4pt;z-index:251659264;mso-width-relative:page;mso-height-relative:page;" fillcolor="#FFFFFF [3201]" filled="t" stroked="f" coordsize="21600,21600" o:gfxdata="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TbTKo0wAA&#10;AAcBAAAPAAAAAAAAAAEAIAAAACIAAABkcnMvZG93bnJldi54bWxQSwECFAAUAAAACACHTuJA3E0S&#10;5FwCAACaBAAADgAAAAAAAAABACAAAAAi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szCs w:val="21"/>
          <w:highlight w:val="none"/>
          <w:shd w:val="clear" w:color="auto" w:fill="FFFFFF"/>
          <w:lang w:val="en-US" w:eastAsia="zh-CN"/>
        </w:rPr>
        <w:t>38.08</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32"/>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F071C2B">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任何1项服务内容要求低于采购需求的。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41722D4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FCFD79">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32DC443F">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63AAC25C">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12B1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198" w:type="dxa"/>
            <w:vMerge w:val="restart"/>
            <w:noWrap w:val="0"/>
            <w:vAlign w:val="center"/>
          </w:tcPr>
          <w:p w14:paraId="5D2A066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（50分）</w:t>
            </w:r>
          </w:p>
        </w:tc>
        <w:tc>
          <w:tcPr>
            <w:tcW w:w="1362" w:type="dxa"/>
            <w:noWrap w:val="0"/>
            <w:vAlign w:val="center"/>
          </w:tcPr>
          <w:p w14:paraId="0DC241B9">
            <w:pPr>
              <w:adjustRightInd w:val="0"/>
              <w:snapToGrid w:val="0"/>
              <w:spacing w:beforeLines="20" w:line="360" w:lineRule="auto"/>
              <w:ind w:left="42" w:leftChars="2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服务方案（</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rPr>
              <w:t>分）</w:t>
            </w:r>
          </w:p>
        </w:tc>
        <w:tc>
          <w:tcPr>
            <w:tcW w:w="6922" w:type="dxa"/>
            <w:noWrap w:val="0"/>
            <w:vAlign w:val="center"/>
          </w:tcPr>
          <w:p w14:paraId="6211BBD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供应商结合本项目实际特点及性质提供整体服务实施方案，包括但不限于服务标准、人员调配、人员管理制度、招聘方案</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 xml:space="preserve">人员匹配度等进行综合评审： </w:t>
            </w:r>
          </w:p>
          <w:p w14:paraId="07D97020">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 w:eastAsia="zh-CN"/>
              </w:rPr>
            </w:pPr>
            <w:r>
              <w:rPr>
                <w:rFonts w:hint="eastAsia" w:ascii="宋体" w:hAnsi="宋体" w:eastAsia="宋体" w:cs="宋体"/>
                <w:b w:val="0"/>
                <w:bCs w:val="0"/>
                <w:color w:val="auto"/>
                <w:sz w:val="21"/>
                <w:szCs w:val="21"/>
                <w:highlight w:val="none"/>
                <w:u w:val="none"/>
                <w:lang w:val="en-US" w:eastAsia="zh-CN"/>
              </w:rPr>
              <w:t>方案内容详细且全面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w:t>
            </w:r>
            <w:r>
              <w:rPr>
                <w:rFonts w:hint="eastAsia" w:ascii="宋体" w:hAnsi="宋体" w:eastAsia="宋体" w:cs="宋体"/>
                <w:b w:val="0"/>
                <w:bCs w:val="0"/>
                <w:color w:val="auto"/>
                <w:sz w:val="21"/>
                <w:szCs w:val="21"/>
                <w:highlight w:val="none"/>
                <w:u w:val="none"/>
                <w:lang w:val="en" w:eastAsia="zh-CN"/>
              </w:rPr>
              <w:t>强，</w:t>
            </w:r>
            <w:r>
              <w:rPr>
                <w:rFonts w:hint="eastAsia" w:ascii="宋体" w:hAnsi="宋体" w:eastAsia="宋体" w:cs="宋体"/>
                <w:b w:val="0"/>
                <w:bCs w:val="0"/>
                <w:color w:val="auto"/>
                <w:sz w:val="21"/>
                <w:szCs w:val="21"/>
                <w:highlight w:val="none"/>
                <w:u w:val="none"/>
                <w:lang w:val="en-US" w:eastAsia="zh-CN"/>
              </w:rPr>
              <w:t>完全满足项目采购需求的</w:t>
            </w:r>
            <w:r>
              <w:rPr>
                <w:rFonts w:hint="eastAsia" w:ascii="宋体" w:hAnsi="宋体" w:eastAsia="宋体" w:cs="宋体"/>
                <w:b w:val="0"/>
                <w:bCs w:val="0"/>
                <w:color w:val="auto"/>
                <w:sz w:val="21"/>
                <w:szCs w:val="21"/>
                <w:highlight w:val="none"/>
                <w:u w:val="none"/>
                <w:lang w:val="en" w:eastAsia="zh-CN"/>
              </w:rPr>
              <w:t>得</w:t>
            </w:r>
            <w:r>
              <w:rPr>
                <w:rFonts w:hint="eastAsia" w:hAnsi="宋体" w:cs="宋体"/>
                <w:b w:val="0"/>
                <w:bCs w:val="0"/>
                <w:color w:val="auto"/>
                <w:sz w:val="21"/>
                <w:szCs w:val="21"/>
                <w:highlight w:val="none"/>
                <w:u w:val="none"/>
                <w:lang w:val="en-US" w:eastAsia="zh-CN"/>
              </w:rPr>
              <w:t>10</w:t>
            </w:r>
            <w:r>
              <w:rPr>
                <w:rFonts w:hint="eastAsia" w:ascii="宋体" w:hAnsi="宋体" w:eastAsia="宋体" w:cs="宋体"/>
                <w:b w:val="0"/>
                <w:bCs w:val="0"/>
                <w:color w:val="auto"/>
                <w:sz w:val="21"/>
                <w:szCs w:val="21"/>
                <w:highlight w:val="none"/>
                <w:u w:val="none"/>
                <w:lang w:val="en" w:eastAsia="zh-CN"/>
              </w:rPr>
              <w:t>分；</w:t>
            </w:r>
          </w:p>
          <w:p w14:paraId="4FFABA5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方案内容全面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可操作性一般</w:t>
            </w:r>
            <w:r>
              <w:rPr>
                <w:rFonts w:hint="eastAsia" w:ascii="宋体" w:hAnsi="宋体" w:eastAsia="宋体" w:cs="宋体"/>
                <w:b w:val="0"/>
                <w:bCs w:val="0"/>
                <w:color w:val="auto"/>
                <w:sz w:val="21"/>
                <w:szCs w:val="21"/>
                <w:highlight w:val="none"/>
                <w:u w:val="none"/>
                <w:lang w:val="en" w:eastAsia="zh-CN"/>
              </w:rPr>
              <w:t>，</w:t>
            </w:r>
            <w:r>
              <w:rPr>
                <w:rFonts w:hint="eastAsia" w:ascii="宋体" w:hAnsi="宋体" w:eastAsia="宋体" w:cs="宋体"/>
                <w:b w:val="0"/>
                <w:bCs w:val="0"/>
                <w:color w:val="auto"/>
                <w:sz w:val="21"/>
                <w:szCs w:val="21"/>
                <w:highlight w:val="none"/>
                <w:u w:val="none"/>
                <w:lang w:val="en-US" w:eastAsia="zh-CN"/>
              </w:rPr>
              <w:t>基本满足项目采购需求的得</w:t>
            </w:r>
            <w:r>
              <w:rPr>
                <w:rFonts w:hint="eastAsia" w:hAnsi="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lang w:val="en-US" w:eastAsia="zh-CN"/>
              </w:rPr>
              <w:t>分；</w:t>
            </w:r>
          </w:p>
          <w:p w14:paraId="36103F63">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方案内容不全面，无针对性，不满足项目采购需求的得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w:t>
            </w:r>
          </w:p>
          <w:p w14:paraId="7C8A9A25">
            <w:pPr>
              <w:rPr>
                <w:rFonts w:hint="eastAsia"/>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3C5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198" w:type="dxa"/>
            <w:vMerge w:val="continue"/>
            <w:noWrap w:val="0"/>
            <w:vAlign w:val="center"/>
          </w:tcPr>
          <w:p w14:paraId="1FAC707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CE8C426">
            <w:pPr>
              <w:adjustRightInd w:val="0"/>
              <w:snapToGrid w:val="0"/>
              <w:spacing w:beforeLines="20" w:line="360" w:lineRule="auto"/>
              <w:ind w:left="42" w:leftChars="2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日常管理方案（</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922" w:type="dxa"/>
            <w:noWrap w:val="0"/>
            <w:vAlign w:val="center"/>
          </w:tcPr>
          <w:p w14:paraId="06C95AFF">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日常管理方案（含人员安排、人员交接以及工作流程）：</w:t>
            </w:r>
          </w:p>
          <w:p w14:paraId="024530C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 w:eastAsia="zh-CN"/>
              </w:rPr>
            </w:pPr>
            <w:r>
              <w:rPr>
                <w:rFonts w:hint="eastAsia" w:ascii="宋体" w:hAnsi="宋体" w:eastAsia="宋体" w:cs="宋体"/>
                <w:b w:val="0"/>
                <w:bCs w:val="0"/>
                <w:color w:val="auto"/>
                <w:sz w:val="21"/>
                <w:szCs w:val="21"/>
                <w:highlight w:val="none"/>
                <w:lang w:val="en-US" w:eastAsia="zh-CN"/>
              </w:rPr>
              <w:t>方案内容详细且全面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w:t>
            </w:r>
            <w:r>
              <w:rPr>
                <w:rFonts w:hint="eastAsia" w:ascii="宋体" w:hAnsi="宋体" w:eastAsia="宋体" w:cs="宋体"/>
                <w:b w:val="0"/>
                <w:bCs w:val="0"/>
                <w:color w:val="auto"/>
                <w:sz w:val="21"/>
                <w:szCs w:val="21"/>
                <w:highlight w:val="none"/>
                <w:lang w:val="en" w:eastAsia="zh-CN"/>
              </w:rPr>
              <w:t>强，</w:t>
            </w:r>
            <w:r>
              <w:rPr>
                <w:rFonts w:hint="eastAsia" w:ascii="宋体" w:hAnsi="宋体" w:eastAsia="宋体" w:cs="宋体"/>
                <w:b w:val="0"/>
                <w:bCs w:val="0"/>
                <w:color w:val="auto"/>
                <w:sz w:val="21"/>
                <w:szCs w:val="21"/>
                <w:highlight w:val="none"/>
                <w:lang w:val="en-US" w:eastAsia="zh-CN"/>
              </w:rPr>
              <w:t>完全满足项目采购需求的</w:t>
            </w:r>
            <w:r>
              <w:rPr>
                <w:rFonts w:hint="eastAsia" w:ascii="宋体" w:hAnsi="宋体" w:eastAsia="宋体" w:cs="宋体"/>
                <w:b w:val="0"/>
                <w:bCs w:val="0"/>
                <w:color w:val="auto"/>
                <w:sz w:val="21"/>
                <w:szCs w:val="21"/>
                <w:highlight w:val="none"/>
                <w:lang w:val="en" w:eastAsia="zh-CN"/>
              </w:rPr>
              <w:t>得</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 w:eastAsia="zh-CN"/>
              </w:rPr>
              <w:t>分；</w:t>
            </w:r>
          </w:p>
          <w:p w14:paraId="3F14E66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可操作性一般</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基本满足项目采购需求的得</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2310C15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方案内容不全面，无针对性，不满足项目采购需求的得</w:t>
            </w: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1C99446A">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若缺项得0分。</w:t>
            </w:r>
          </w:p>
        </w:tc>
      </w:tr>
      <w:tr w14:paraId="0220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458DCC1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44C9665C">
            <w:pPr>
              <w:adjustRightInd w:val="0"/>
              <w:snapToGrid w:val="0"/>
              <w:spacing w:beforeLines="20" w:line="360" w:lineRule="auto"/>
              <w:ind w:left="42" w:leftChars="2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人员培训方案</w:t>
            </w:r>
            <w:r>
              <w:rPr>
                <w:rFonts w:hint="eastAsia" w:ascii="宋体" w:hAnsi="宋体" w:eastAsia="宋体" w:cs="宋体"/>
                <w:szCs w:val="21"/>
                <w:highlight w:val="none"/>
              </w:rPr>
              <w:t>（</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c>
          <w:tcPr>
            <w:tcW w:w="6922" w:type="dxa"/>
            <w:noWrap w:val="0"/>
            <w:vAlign w:val="center"/>
          </w:tcPr>
          <w:p w14:paraId="73AD3C98">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人员培训方案（包括培训内容，岗位标准、专业知识、职业道德规范）：</w:t>
            </w:r>
          </w:p>
          <w:p w14:paraId="6F061BA7">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 w:eastAsia="zh-CN"/>
              </w:rPr>
            </w:pPr>
            <w:r>
              <w:rPr>
                <w:rFonts w:hint="eastAsia" w:ascii="宋体" w:hAnsi="宋体" w:eastAsia="宋体" w:cs="宋体"/>
                <w:b w:val="0"/>
                <w:bCs w:val="0"/>
                <w:color w:val="auto"/>
                <w:sz w:val="21"/>
                <w:szCs w:val="21"/>
                <w:highlight w:val="none"/>
                <w:u w:val="none"/>
                <w:lang w:val="en-US" w:eastAsia="zh-CN"/>
              </w:rPr>
              <w:t>方案内容详细且全面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w:t>
            </w:r>
            <w:r>
              <w:rPr>
                <w:rFonts w:hint="eastAsia" w:ascii="宋体" w:hAnsi="宋体" w:eastAsia="宋体" w:cs="宋体"/>
                <w:b w:val="0"/>
                <w:bCs w:val="0"/>
                <w:color w:val="auto"/>
                <w:sz w:val="21"/>
                <w:szCs w:val="21"/>
                <w:highlight w:val="none"/>
                <w:u w:val="none"/>
                <w:lang w:val="en" w:eastAsia="zh-CN"/>
              </w:rPr>
              <w:t>强，</w:t>
            </w:r>
            <w:r>
              <w:rPr>
                <w:rFonts w:hint="eastAsia" w:ascii="宋体" w:hAnsi="宋体" w:eastAsia="宋体" w:cs="宋体"/>
                <w:b w:val="0"/>
                <w:bCs w:val="0"/>
                <w:color w:val="auto"/>
                <w:sz w:val="21"/>
                <w:szCs w:val="21"/>
                <w:highlight w:val="none"/>
                <w:u w:val="none"/>
                <w:lang w:val="en-US" w:eastAsia="zh-CN"/>
              </w:rPr>
              <w:t>完全满足项目采购需求的</w:t>
            </w:r>
            <w:r>
              <w:rPr>
                <w:rFonts w:hint="eastAsia" w:ascii="宋体" w:hAnsi="宋体" w:eastAsia="宋体" w:cs="宋体"/>
                <w:b w:val="0"/>
                <w:bCs w:val="0"/>
                <w:color w:val="auto"/>
                <w:sz w:val="21"/>
                <w:szCs w:val="21"/>
                <w:highlight w:val="none"/>
                <w:u w:val="none"/>
                <w:lang w:val="en" w:eastAsia="zh-CN"/>
              </w:rPr>
              <w:t>得</w:t>
            </w:r>
            <w:r>
              <w:rPr>
                <w:rFonts w:hint="eastAsia"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 w:eastAsia="zh-CN"/>
              </w:rPr>
              <w:t>分；</w:t>
            </w:r>
          </w:p>
          <w:p w14:paraId="1C7E598D">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方案内容全面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可操作性一般</w:t>
            </w:r>
            <w:r>
              <w:rPr>
                <w:rFonts w:hint="eastAsia" w:ascii="宋体" w:hAnsi="宋体" w:eastAsia="宋体" w:cs="宋体"/>
                <w:b w:val="0"/>
                <w:bCs w:val="0"/>
                <w:color w:val="auto"/>
                <w:sz w:val="21"/>
                <w:szCs w:val="21"/>
                <w:highlight w:val="none"/>
                <w:u w:val="none"/>
                <w:lang w:val="en" w:eastAsia="zh-CN"/>
              </w:rPr>
              <w:t>，</w:t>
            </w:r>
            <w:r>
              <w:rPr>
                <w:rFonts w:hint="eastAsia" w:ascii="宋体" w:hAnsi="宋体" w:eastAsia="宋体" w:cs="宋体"/>
                <w:b w:val="0"/>
                <w:bCs w:val="0"/>
                <w:color w:val="auto"/>
                <w:sz w:val="21"/>
                <w:szCs w:val="21"/>
                <w:highlight w:val="none"/>
                <w:u w:val="none"/>
                <w:lang w:val="en-US" w:eastAsia="zh-CN"/>
              </w:rPr>
              <w:t>基本满足项目采购需求的得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14:paraId="33828850">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方案内容不全面，无针对性，不满足项目采购需求的得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1FFDE33D">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6B4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1198" w:type="dxa"/>
            <w:vMerge w:val="continue"/>
            <w:noWrap w:val="0"/>
            <w:vAlign w:val="center"/>
          </w:tcPr>
          <w:p w14:paraId="24CF8B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8B78295">
            <w:pPr>
              <w:adjustRightInd w:val="0"/>
              <w:snapToGrid w:val="0"/>
              <w:spacing w:beforeLines="20" w:line="360" w:lineRule="auto"/>
              <w:ind w:left="42" w:leftChars="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4.奖惩措施</w:t>
            </w:r>
            <w:r>
              <w:rPr>
                <w:rFonts w:hint="eastAsia" w:ascii="宋体" w:hAnsi="宋体" w:eastAsia="宋体" w:cs="宋体"/>
                <w:szCs w:val="21"/>
                <w:highlight w:val="none"/>
              </w:rPr>
              <w:t>（</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c>
          <w:tcPr>
            <w:tcW w:w="6922" w:type="dxa"/>
            <w:noWrap w:val="0"/>
            <w:vAlign w:val="center"/>
          </w:tcPr>
          <w:p w14:paraId="61956B1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奖惩措施</w:t>
            </w:r>
            <w:r>
              <w:rPr>
                <w:rFonts w:hint="eastAsia" w:ascii="宋体" w:hAnsi="宋体" w:eastAsia="宋体" w:cs="宋体"/>
                <w:b w:val="0"/>
                <w:bCs w:val="0"/>
                <w:color w:val="auto"/>
                <w:sz w:val="21"/>
                <w:szCs w:val="21"/>
                <w:highlight w:val="none"/>
                <w:u w:val="none"/>
                <w:lang w:eastAsia="zh-CN"/>
              </w:rPr>
              <w:t>（包括</w:t>
            </w:r>
            <w:r>
              <w:rPr>
                <w:rFonts w:hint="eastAsia" w:hAnsi="宋体" w:cs="宋体"/>
                <w:b w:val="0"/>
                <w:bCs w:val="0"/>
                <w:color w:val="auto"/>
                <w:sz w:val="21"/>
                <w:szCs w:val="21"/>
                <w:highlight w:val="none"/>
                <w:u w:val="none"/>
                <w:lang w:val="en-US" w:eastAsia="zh-CN"/>
              </w:rPr>
              <w:t>针对出勤率奖罚制度、针对工作质量的奖罚制度、为减低人员</w:t>
            </w:r>
            <w:r>
              <w:rPr>
                <w:rFonts w:hint="eastAsia" w:ascii="宋体" w:hAnsi="宋体" w:eastAsia="宋体" w:cs="宋体"/>
                <w:b w:val="0"/>
                <w:bCs w:val="0"/>
                <w:color w:val="auto"/>
                <w:sz w:val="21"/>
                <w:szCs w:val="21"/>
                <w:highlight w:val="none"/>
                <w:u w:val="none"/>
                <w:lang w:val="en-US" w:eastAsia="zh-CN"/>
              </w:rPr>
              <w:t>流失率的</w:t>
            </w:r>
            <w:r>
              <w:rPr>
                <w:rFonts w:hint="eastAsia" w:hAnsi="宋体" w:cs="宋体"/>
                <w:b w:val="0"/>
                <w:bCs w:val="0"/>
                <w:color w:val="auto"/>
                <w:sz w:val="21"/>
                <w:szCs w:val="21"/>
                <w:highlight w:val="none"/>
                <w:u w:val="none"/>
                <w:lang w:val="en-US" w:eastAsia="zh-CN"/>
              </w:rPr>
              <w:t>激励</w:t>
            </w:r>
            <w:r>
              <w:rPr>
                <w:rFonts w:hint="eastAsia" w:ascii="宋体" w:hAnsi="宋体" w:eastAsia="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eastAsia="zh-CN"/>
              </w:rPr>
              <w:t>）</w:t>
            </w:r>
            <w:r>
              <w:rPr>
                <w:rFonts w:hint="eastAsia" w:hAnsi="宋体" w:cs="宋体"/>
                <w:b w:val="0"/>
                <w:bCs w:val="0"/>
                <w:color w:val="auto"/>
                <w:sz w:val="21"/>
                <w:szCs w:val="21"/>
                <w:highlight w:val="none"/>
                <w:u w:val="none"/>
                <w:lang w:val="en-US" w:eastAsia="zh-CN"/>
              </w:rPr>
              <w:t>：</w:t>
            </w:r>
          </w:p>
          <w:p w14:paraId="7A17AAB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内容详细且全面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w:t>
            </w:r>
            <w:r>
              <w:rPr>
                <w:rFonts w:hint="eastAsia" w:ascii="宋体" w:hAnsi="宋体" w:eastAsia="宋体" w:cs="宋体"/>
                <w:b w:val="0"/>
                <w:bCs w:val="0"/>
                <w:color w:val="auto"/>
                <w:sz w:val="21"/>
                <w:szCs w:val="21"/>
                <w:highlight w:val="none"/>
                <w:u w:val="none"/>
                <w:lang w:val="en" w:eastAsia="zh-CN"/>
              </w:rPr>
              <w:t>强，</w:t>
            </w:r>
            <w:r>
              <w:rPr>
                <w:rFonts w:hint="eastAsia" w:ascii="宋体" w:hAnsi="宋体" w:eastAsia="宋体" w:cs="宋体"/>
                <w:b w:val="0"/>
                <w:bCs w:val="0"/>
                <w:color w:val="auto"/>
                <w:sz w:val="21"/>
                <w:szCs w:val="21"/>
                <w:highlight w:val="none"/>
                <w:u w:val="none"/>
                <w:lang w:val="en-US" w:eastAsia="zh-CN"/>
              </w:rPr>
              <w:t>完全满足项目采购需求的</w:t>
            </w:r>
            <w:r>
              <w:rPr>
                <w:rFonts w:hint="eastAsia" w:ascii="宋体" w:hAnsi="宋体" w:eastAsia="宋体" w:cs="宋体"/>
                <w:b w:val="0"/>
                <w:bCs w:val="0"/>
                <w:color w:val="auto"/>
                <w:sz w:val="21"/>
                <w:szCs w:val="21"/>
                <w:highlight w:val="none"/>
                <w:u w:val="none"/>
                <w:lang w:val="en" w:eastAsia="zh-CN"/>
              </w:rPr>
              <w:t>得</w:t>
            </w:r>
            <w:r>
              <w:rPr>
                <w:rFonts w:hint="eastAsia"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 w:eastAsia="zh-CN"/>
              </w:rPr>
              <w:t>分；</w:t>
            </w:r>
          </w:p>
          <w:p w14:paraId="090E638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可操作性一般</w:t>
            </w:r>
            <w:r>
              <w:rPr>
                <w:rFonts w:hint="eastAsia" w:ascii="宋体" w:hAnsi="宋体" w:eastAsia="宋体" w:cs="宋体"/>
                <w:b w:val="0"/>
                <w:bCs w:val="0"/>
                <w:color w:val="auto"/>
                <w:sz w:val="21"/>
                <w:szCs w:val="21"/>
                <w:highlight w:val="none"/>
                <w:u w:val="none"/>
                <w:lang w:val="en" w:eastAsia="zh-CN"/>
              </w:rPr>
              <w:t>，</w:t>
            </w:r>
            <w:r>
              <w:rPr>
                <w:rFonts w:hint="eastAsia" w:ascii="宋体" w:hAnsi="宋体" w:eastAsia="宋体" w:cs="宋体"/>
                <w:b w:val="0"/>
                <w:bCs w:val="0"/>
                <w:color w:val="auto"/>
                <w:sz w:val="21"/>
                <w:szCs w:val="21"/>
                <w:highlight w:val="none"/>
                <w:u w:val="none"/>
                <w:lang w:val="en-US" w:eastAsia="zh-CN"/>
              </w:rPr>
              <w:t>基本满足项目采购需求的得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14:paraId="592A380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内容不全面，无针对性，不满足项目采购需求的得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4B6D1FD5">
            <w:pPr>
              <w:rPr>
                <w:rFonts w:hint="eastAsia"/>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2EBF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35174FC1">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E3DC77F">
            <w:pPr>
              <w:adjustRightInd w:val="0"/>
              <w:snapToGrid w:val="0"/>
              <w:spacing w:beforeLines="20" w:line="360" w:lineRule="auto"/>
              <w:ind w:left="42" w:leftChars="2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5.服务质量监管措施</w:t>
            </w:r>
            <w:r>
              <w:rPr>
                <w:rFonts w:hint="eastAsia" w:ascii="宋体" w:hAnsi="宋体" w:eastAsia="宋体" w:cs="宋体"/>
                <w:szCs w:val="21"/>
                <w:highlight w:val="none"/>
              </w:rPr>
              <w:t>（</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c>
          <w:tcPr>
            <w:tcW w:w="6922" w:type="dxa"/>
            <w:noWrap w:val="0"/>
            <w:vAlign w:val="center"/>
          </w:tcPr>
          <w:p w14:paraId="422D2A16">
            <w:pPr>
              <w:keepNext w:val="0"/>
              <w:keepLines w:val="0"/>
              <w:widowControl/>
              <w:suppressLineNumbers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服务质量监管措施（包括建立服务质量监管体系、定期进行巡查和质量评估等）</w:t>
            </w:r>
          </w:p>
          <w:p w14:paraId="77617A23">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内容详细且全面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w:t>
            </w:r>
            <w:r>
              <w:rPr>
                <w:rFonts w:hint="eastAsia" w:ascii="宋体" w:hAnsi="宋体" w:eastAsia="宋体" w:cs="宋体"/>
                <w:b w:val="0"/>
                <w:bCs w:val="0"/>
                <w:color w:val="auto"/>
                <w:sz w:val="21"/>
                <w:szCs w:val="21"/>
                <w:highlight w:val="none"/>
                <w:u w:val="none"/>
                <w:lang w:val="en" w:eastAsia="zh-CN"/>
              </w:rPr>
              <w:t>强，</w:t>
            </w:r>
            <w:r>
              <w:rPr>
                <w:rFonts w:hint="eastAsia" w:ascii="宋体" w:hAnsi="宋体" w:eastAsia="宋体" w:cs="宋体"/>
                <w:b w:val="0"/>
                <w:bCs w:val="0"/>
                <w:color w:val="auto"/>
                <w:sz w:val="21"/>
                <w:szCs w:val="21"/>
                <w:highlight w:val="none"/>
                <w:u w:val="none"/>
                <w:lang w:val="en-US" w:eastAsia="zh-CN"/>
              </w:rPr>
              <w:t>完全满足项目采购需求的</w:t>
            </w:r>
            <w:r>
              <w:rPr>
                <w:rFonts w:hint="eastAsia" w:ascii="宋体" w:hAnsi="宋体" w:eastAsia="宋体" w:cs="宋体"/>
                <w:b w:val="0"/>
                <w:bCs w:val="0"/>
                <w:color w:val="auto"/>
                <w:sz w:val="21"/>
                <w:szCs w:val="21"/>
                <w:highlight w:val="none"/>
                <w:u w:val="none"/>
                <w:lang w:val="en" w:eastAsia="zh-CN"/>
              </w:rPr>
              <w:t>得</w:t>
            </w:r>
            <w:r>
              <w:rPr>
                <w:rFonts w:hint="eastAsia"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 w:eastAsia="zh-CN"/>
              </w:rPr>
              <w:t>分；</w:t>
            </w:r>
          </w:p>
          <w:p w14:paraId="7627C984">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内容全面</w:t>
            </w:r>
            <w:r>
              <w:rPr>
                <w:rFonts w:hint="eastAsia" w:ascii="宋体" w:hAnsi="宋体" w:eastAsia="宋体" w:cs="宋体"/>
                <w:b w:val="0"/>
                <w:bCs w:val="0"/>
                <w:color w:val="auto"/>
                <w:sz w:val="21"/>
                <w:szCs w:val="21"/>
                <w:highlight w:val="none"/>
                <w:u w:val="none"/>
                <w:lang w:val="en" w:eastAsia="zh-CN"/>
              </w:rPr>
              <w:t>，合理性、针对性、</w:t>
            </w:r>
            <w:r>
              <w:rPr>
                <w:rFonts w:hint="eastAsia" w:ascii="宋体" w:hAnsi="宋体" w:eastAsia="宋体" w:cs="宋体"/>
                <w:b w:val="0"/>
                <w:bCs w:val="0"/>
                <w:color w:val="auto"/>
                <w:sz w:val="21"/>
                <w:szCs w:val="21"/>
                <w:highlight w:val="none"/>
                <w:u w:val="none"/>
                <w:lang w:val="en-US" w:eastAsia="zh-CN"/>
              </w:rPr>
              <w:t>可操作性一般</w:t>
            </w:r>
            <w:r>
              <w:rPr>
                <w:rFonts w:hint="eastAsia" w:ascii="宋体" w:hAnsi="宋体" w:eastAsia="宋体" w:cs="宋体"/>
                <w:b w:val="0"/>
                <w:bCs w:val="0"/>
                <w:color w:val="auto"/>
                <w:sz w:val="21"/>
                <w:szCs w:val="21"/>
                <w:highlight w:val="none"/>
                <w:u w:val="none"/>
                <w:lang w:val="en" w:eastAsia="zh-CN"/>
              </w:rPr>
              <w:t>，</w:t>
            </w:r>
            <w:r>
              <w:rPr>
                <w:rFonts w:hint="eastAsia" w:ascii="宋体" w:hAnsi="宋体" w:eastAsia="宋体" w:cs="宋体"/>
                <w:b w:val="0"/>
                <w:bCs w:val="0"/>
                <w:color w:val="auto"/>
                <w:sz w:val="21"/>
                <w:szCs w:val="21"/>
                <w:highlight w:val="none"/>
                <w:u w:val="none"/>
                <w:lang w:val="en-US" w:eastAsia="zh-CN"/>
              </w:rPr>
              <w:t>基本满足项目采购需求的得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14:paraId="0CC2FF94">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hAnsi="宋体" w:cs="宋体"/>
                <w:b w:val="0"/>
                <w:bCs w:val="0"/>
                <w:color w:val="auto"/>
                <w:sz w:val="21"/>
                <w:szCs w:val="21"/>
                <w:highlight w:val="none"/>
                <w:u w:val="none"/>
                <w:lang w:val="en-US" w:eastAsia="zh-CN"/>
              </w:rPr>
              <w:t>措施</w:t>
            </w:r>
            <w:r>
              <w:rPr>
                <w:rFonts w:hint="eastAsia" w:ascii="宋体" w:hAnsi="宋体" w:eastAsia="宋体" w:cs="宋体"/>
                <w:b w:val="0"/>
                <w:bCs w:val="0"/>
                <w:color w:val="auto"/>
                <w:sz w:val="21"/>
                <w:szCs w:val="21"/>
                <w:highlight w:val="none"/>
                <w:u w:val="none"/>
                <w:lang w:val="en-US" w:eastAsia="zh-CN"/>
              </w:rPr>
              <w:t>内容不全面，无针对性，不满足项目采购需求的得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743EE29D">
            <w:pPr>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352E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98" w:type="dxa"/>
            <w:vMerge w:val="continue"/>
            <w:noWrap w:val="0"/>
            <w:vAlign w:val="center"/>
          </w:tcPr>
          <w:p w14:paraId="1D3D1E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5132770">
            <w:pPr>
              <w:adjustRightInd w:val="0"/>
              <w:snapToGrid w:val="0"/>
              <w:spacing w:beforeLines="20" w:line="360" w:lineRule="auto"/>
              <w:ind w:left="42" w:leftChars="20"/>
              <w:jc w:val="both"/>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eastAsia="宋体" w:cs="宋体"/>
                <w:szCs w:val="21"/>
                <w:highlight w:val="none"/>
              </w:rPr>
              <w:t>应急方案（</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c>
          <w:tcPr>
            <w:tcW w:w="6922" w:type="dxa"/>
            <w:noWrap w:val="0"/>
            <w:vAlign w:val="center"/>
          </w:tcPr>
          <w:p w14:paraId="47D70BE7">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对可能出现的突发紧急事件</w:t>
            </w:r>
            <w:r>
              <w:rPr>
                <w:rFonts w:hint="eastAsia" w:ascii="宋体" w:hAnsi="宋体" w:eastAsia="宋体" w:cs="宋体"/>
                <w:b w:val="0"/>
                <w:bCs w:val="0"/>
                <w:color w:val="auto"/>
                <w:sz w:val="21"/>
                <w:szCs w:val="21"/>
                <w:highlight w:val="none"/>
                <w:u w:val="none"/>
                <w:lang w:val="en-US" w:eastAsia="zh-CN"/>
              </w:rPr>
              <w:t>（包括但不限于劳动纠纷、劳动仲裁、诉讼以及涉及派遣员工过程中的其它突发事件）</w:t>
            </w:r>
            <w:r>
              <w:rPr>
                <w:rFonts w:hint="eastAsia" w:ascii="宋体" w:hAnsi="宋体" w:eastAsia="宋体" w:cs="宋体"/>
                <w:b w:val="0"/>
                <w:bCs w:val="0"/>
                <w:color w:val="auto"/>
                <w:sz w:val="21"/>
                <w:szCs w:val="21"/>
                <w:highlight w:val="none"/>
                <w:u w:val="none"/>
                <w:lang w:eastAsia="zh-CN"/>
              </w:rPr>
              <w:t>：</w:t>
            </w:r>
          </w:p>
          <w:p w14:paraId="7ACA2A69">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对突发紧急事件预见全面，应对措施科学且控制措施具体可行的得</w:t>
            </w:r>
            <w:r>
              <w:rPr>
                <w:rFonts w:hint="eastAsia"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eastAsia="zh-CN"/>
              </w:rPr>
              <w:t>分；</w:t>
            </w:r>
          </w:p>
          <w:p w14:paraId="7EE8FABA">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对可能出现的突发紧急事件预见较全面及应对措施较科学、响应能力较强的得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eastAsia="zh-CN"/>
              </w:rPr>
              <w:t>分；</w:t>
            </w:r>
          </w:p>
          <w:p w14:paraId="4C2EBC1A">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对可能出现的突发紧急事件预见不充分及应对措施科学性一般，响应能力较弱的得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eastAsia="zh-CN"/>
              </w:rPr>
              <w:t>分；</w:t>
            </w:r>
          </w:p>
          <w:p w14:paraId="2C1DB37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szCs w:val="21"/>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30分</w:t>
            </w:r>
            <w:r>
              <w:rPr>
                <w:rFonts w:hint="eastAsia" w:ascii="宋体" w:hAnsi="宋体" w:cs="宋体"/>
                <w:b w:val="0"/>
                <w:bCs w:val="0"/>
                <w:color w:val="auto"/>
                <w:sz w:val="21"/>
                <w:szCs w:val="21"/>
                <w:highlight w:val="none"/>
                <w:lang w:eastAsia="zh-CN"/>
              </w:rPr>
              <w:t>）</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190EB81C">
            <w:pPr>
              <w:adjustRightInd w:val="0"/>
              <w:snapToGrid w:val="0"/>
              <w:spacing w:beforeLines="20" w:line="360" w:lineRule="auto"/>
              <w:ind w:left="42" w:leftChars="2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1.服务团队</w:t>
            </w:r>
          </w:p>
          <w:p w14:paraId="363FF338">
            <w:pPr>
              <w:adjustRightInd w:val="0"/>
              <w:snapToGrid w:val="0"/>
              <w:spacing w:beforeLines="20" w:line="360" w:lineRule="auto"/>
              <w:ind w:left="42" w:leftChars="2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14</w:t>
            </w:r>
            <w:r>
              <w:rPr>
                <w:rFonts w:hint="eastAsia" w:ascii="宋体" w:hAnsi="宋体" w:eastAsia="宋体" w:cs="宋体"/>
                <w:szCs w:val="21"/>
                <w:highlight w:val="none"/>
                <w:lang w:val="en-US" w:eastAsia="zh-CN"/>
              </w:rPr>
              <w:t>分）</w:t>
            </w:r>
          </w:p>
        </w:tc>
        <w:tc>
          <w:tcPr>
            <w:tcW w:w="6922" w:type="dxa"/>
            <w:noWrap w:val="0"/>
            <w:vAlign w:val="center"/>
          </w:tcPr>
          <w:p w14:paraId="354339E7">
            <w:pPr>
              <w:pStyle w:val="4"/>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服务团队组织结构合理，</w:t>
            </w:r>
            <w:r>
              <w:rPr>
                <w:rFonts w:hint="eastAsia" w:hAnsi="宋体" w:cs="宋体"/>
                <w:b w:val="0"/>
                <w:bCs w:val="0"/>
                <w:color w:val="auto"/>
                <w:sz w:val="21"/>
                <w:szCs w:val="21"/>
                <w:highlight w:val="none"/>
                <w:u w:val="none"/>
                <w:lang w:val="en-US" w:eastAsia="zh-CN"/>
              </w:rPr>
              <w:t>人员</w:t>
            </w:r>
            <w:r>
              <w:rPr>
                <w:rFonts w:hint="eastAsia" w:ascii="宋体" w:hAnsi="宋体" w:eastAsia="宋体" w:cs="宋体"/>
                <w:b w:val="0"/>
                <w:bCs w:val="0"/>
                <w:color w:val="auto"/>
                <w:sz w:val="21"/>
                <w:szCs w:val="21"/>
                <w:highlight w:val="none"/>
                <w:u w:val="none"/>
                <w:lang w:val="en-US" w:eastAsia="zh-CN"/>
              </w:rPr>
              <w:t>分工与岗位职责清晰，</w:t>
            </w:r>
            <w:r>
              <w:rPr>
                <w:rFonts w:hint="eastAsia" w:hAnsi="宋体" w:cs="宋体"/>
                <w:b w:val="0"/>
                <w:bCs w:val="0"/>
                <w:color w:val="auto"/>
                <w:sz w:val="21"/>
                <w:szCs w:val="21"/>
                <w:highlight w:val="none"/>
                <w:u w:val="none"/>
                <w:lang w:val="en-US" w:eastAsia="zh-CN"/>
              </w:rPr>
              <w:t>工作</w:t>
            </w:r>
            <w:r>
              <w:rPr>
                <w:rFonts w:hint="eastAsia" w:ascii="宋体" w:hAnsi="宋体" w:eastAsia="宋体" w:cs="宋体"/>
                <w:b w:val="0"/>
                <w:bCs w:val="0"/>
                <w:color w:val="auto"/>
                <w:sz w:val="21"/>
                <w:szCs w:val="21"/>
                <w:highlight w:val="none"/>
                <w:u w:val="none"/>
                <w:lang w:val="en-US" w:eastAsia="zh-CN"/>
              </w:rPr>
              <w:t>经验丰富且专业技术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过硬，完全满足采购需求的得1</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5F625D97">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服务团队组织结构基本合理，岗位职责明确，专业技术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一般，基本满足采购需求的得</w:t>
            </w:r>
            <w:r>
              <w:rPr>
                <w:rFonts w:hint="eastAsia" w:hAnsi="宋体" w:cs="宋体"/>
                <w:b w:val="0"/>
                <w:bCs w:val="0"/>
                <w:color w:val="auto"/>
                <w:sz w:val="21"/>
                <w:szCs w:val="21"/>
                <w:highlight w:val="none"/>
                <w:u w:val="none"/>
                <w:lang w:val="en-US" w:eastAsia="zh-CN"/>
              </w:rPr>
              <w:t>9</w:t>
            </w:r>
            <w:r>
              <w:rPr>
                <w:rFonts w:hint="eastAsia" w:ascii="宋体" w:hAnsi="宋体" w:eastAsia="宋体" w:cs="宋体"/>
                <w:b w:val="0"/>
                <w:bCs w:val="0"/>
                <w:color w:val="auto"/>
                <w:sz w:val="21"/>
                <w:szCs w:val="21"/>
                <w:highlight w:val="none"/>
                <w:u w:val="none"/>
                <w:lang w:val="en-US" w:eastAsia="zh-CN"/>
              </w:rPr>
              <w:t>分；</w:t>
            </w:r>
          </w:p>
          <w:p w14:paraId="20003D9A">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服务团队组织结构不合理，岗位职责不明确，专业技术</w:t>
            </w:r>
            <w:r>
              <w:rPr>
                <w:rFonts w:hint="eastAsia" w:hAnsi="宋体" w:cs="宋体"/>
                <w:b w:val="0"/>
                <w:bCs w:val="0"/>
                <w:color w:val="auto"/>
                <w:sz w:val="21"/>
                <w:szCs w:val="21"/>
                <w:highlight w:val="none"/>
                <w:u w:val="none"/>
                <w:lang w:val="en-US" w:eastAsia="zh-CN"/>
              </w:rPr>
              <w:t>能力差</w:t>
            </w:r>
            <w:r>
              <w:rPr>
                <w:rFonts w:hint="eastAsia" w:ascii="宋体" w:hAnsi="宋体" w:eastAsia="宋体" w:cs="宋体"/>
                <w:b w:val="0"/>
                <w:bCs w:val="0"/>
                <w:color w:val="auto"/>
                <w:sz w:val="21"/>
                <w:szCs w:val="21"/>
                <w:highlight w:val="none"/>
                <w:u w:val="none"/>
                <w:lang w:val="en-US" w:eastAsia="zh-CN"/>
              </w:rPr>
              <w:t>，不满足采购需求的得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14:paraId="0427DFC9">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缺项得0分。</w:t>
            </w:r>
          </w:p>
        </w:tc>
      </w:tr>
      <w:tr w14:paraId="0CF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8" w:type="dxa"/>
            <w:vMerge w:val="continue"/>
            <w:noWrap w:val="0"/>
            <w:vAlign w:val="center"/>
          </w:tcPr>
          <w:p w14:paraId="57A185B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28B9E2C3">
            <w:pPr>
              <w:adjustRightInd w:val="0"/>
              <w:snapToGrid w:val="0"/>
              <w:spacing w:beforeLines="20" w:line="360" w:lineRule="auto"/>
              <w:ind w:left="42" w:leftChars="2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2.类似业绩（6分）</w:t>
            </w:r>
          </w:p>
        </w:tc>
        <w:tc>
          <w:tcPr>
            <w:tcW w:w="6922" w:type="dxa"/>
            <w:noWrap w:val="0"/>
            <w:vAlign w:val="center"/>
          </w:tcPr>
          <w:p w14:paraId="46334294">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投标人2022年1月1日具有的类似服务业绩(以合同文件为准），每提供一份得2分，最多得6分。</w:t>
            </w:r>
          </w:p>
        </w:tc>
      </w:tr>
      <w:tr w14:paraId="7DF7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7E25035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29ECE3D4">
            <w:pPr>
              <w:adjustRightInd w:val="0"/>
              <w:snapToGrid w:val="0"/>
              <w:spacing w:beforeLines="20" w:line="360" w:lineRule="auto"/>
              <w:ind w:left="42" w:leftChars="2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3.服务承诺</w:t>
            </w:r>
          </w:p>
          <w:p w14:paraId="0AB2EFD4">
            <w:pPr>
              <w:adjustRightInd w:val="0"/>
              <w:snapToGrid w:val="0"/>
              <w:spacing w:beforeLines="20" w:line="360" w:lineRule="auto"/>
              <w:ind w:left="42" w:leftChars="2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p>
        </w:tc>
        <w:tc>
          <w:tcPr>
            <w:tcW w:w="6922" w:type="dxa"/>
            <w:noWrap w:val="0"/>
            <w:vAlign w:val="center"/>
          </w:tcPr>
          <w:p w14:paraId="1F63053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针对本项目的服务承诺，包含但不仅限于服务质量、</w:t>
            </w:r>
            <w:r>
              <w:rPr>
                <w:rFonts w:hint="eastAsia" w:ascii="宋体" w:hAnsi="宋体" w:eastAsia="宋体" w:cs="宋体"/>
                <w:b w:val="0"/>
                <w:bCs w:val="0"/>
                <w:color w:val="auto"/>
                <w:sz w:val="21"/>
                <w:szCs w:val="21"/>
                <w:highlight w:val="none"/>
                <w:u w:val="none"/>
                <w:lang w:val="en-US" w:eastAsia="zh-CN"/>
              </w:rPr>
              <w:t>接通知及时响应、为采购人排忧解难、配合采购人相关工作的开展等的保证承诺</w:t>
            </w:r>
            <w:r>
              <w:rPr>
                <w:rFonts w:hint="eastAsia" w:ascii="宋体" w:hAnsi="宋体" w:eastAsia="宋体" w:cs="宋体"/>
                <w:b w:val="0"/>
                <w:bCs w:val="0"/>
                <w:color w:val="auto"/>
                <w:sz w:val="21"/>
                <w:szCs w:val="21"/>
                <w:highlight w:val="none"/>
                <w:u w:val="none"/>
                <w:lang w:eastAsia="zh-CN"/>
              </w:rPr>
              <w:t>；</w:t>
            </w:r>
          </w:p>
          <w:p w14:paraId="1C35BC7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eastAsia="zh-CN"/>
              </w:rPr>
              <w:t>以上内容具体、完善、合理性程度强得</w:t>
            </w:r>
            <w:r>
              <w:rPr>
                <w:rFonts w:hint="eastAsia" w:hAnsi="宋体" w:cs="宋体"/>
                <w:b w:val="0"/>
                <w:bCs w:val="0"/>
                <w:color w:val="auto"/>
                <w:sz w:val="21"/>
                <w:szCs w:val="21"/>
                <w:highlight w:val="none"/>
                <w:u w:val="none"/>
                <w:lang w:val="en-US" w:eastAsia="zh-CN"/>
              </w:rPr>
              <w:t>10</w:t>
            </w:r>
            <w:r>
              <w:rPr>
                <w:rFonts w:hint="eastAsia" w:ascii="宋体" w:hAnsi="宋体" w:eastAsia="宋体" w:cs="宋体"/>
                <w:b w:val="0"/>
                <w:bCs w:val="0"/>
                <w:color w:val="auto"/>
                <w:sz w:val="21"/>
                <w:szCs w:val="21"/>
                <w:highlight w:val="none"/>
                <w:u w:val="none"/>
                <w:lang w:eastAsia="zh-CN"/>
              </w:rPr>
              <w:t>分，具体、完善、合理性程度一般得</w:t>
            </w:r>
            <w:r>
              <w:rPr>
                <w:rFonts w:hint="eastAsia" w:hAnsi="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lang w:eastAsia="zh-CN"/>
              </w:rPr>
              <w:t>分，具体、完善、合理性程度差得</w:t>
            </w:r>
            <w:r>
              <w:rPr>
                <w:rFonts w:hint="eastAsia"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eastAsia="zh-CN"/>
              </w:rPr>
              <w:t>分，缺项得0分。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7E2F01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1"/>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1"/>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6"/>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042E947E">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lang w:val="en-US" w:eastAsia="zh-CN"/>
              </w:rPr>
              <w:t>百分之</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EF68BA8">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7CBB29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2D5BCB5F">
      <w:pPr>
        <w:spacing w:line="360" w:lineRule="auto"/>
        <w:ind w:firstLine="420" w:firstLineChars="200"/>
        <w:jc w:val="center"/>
        <w:rPr>
          <w:rFonts w:hint="eastAsia" w:ascii="宋体" w:hAnsi="宋体" w:eastAsia="宋体" w:cs="宋体"/>
          <w:color w:val="auto"/>
          <w:szCs w:val="21"/>
          <w:highlight w:val="none"/>
          <w:lang w:eastAsia="zh-CN"/>
        </w:rPr>
      </w:pPr>
    </w:p>
    <w:bookmarkEnd w:id="72"/>
    <w:bookmarkEnd w:id="73"/>
    <w:p w14:paraId="31F77FBB">
      <w:pPr>
        <w:spacing w:line="360" w:lineRule="auto"/>
        <w:ind w:firstLine="420" w:firstLineChars="200"/>
        <w:jc w:val="center"/>
        <w:rPr>
          <w:rFonts w:hint="eastAsia" w:ascii="宋体" w:hAnsi="宋体" w:eastAsia="宋体" w:cs="宋体"/>
          <w:color w:val="auto"/>
          <w:kern w:val="0"/>
          <w:szCs w:val="21"/>
          <w:highlight w:val="none"/>
        </w:rPr>
      </w:pPr>
      <w:bookmarkStart w:id="75" w:name="_Toc625"/>
      <w:bookmarkStart w:id="76" w:name="_Toc12222"/>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226"/>
      <w:bookmarkStart w:id="82" w:name="_Toc15804"/>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p>
    <w:p w14:paraId="05DE44B9">
      <w:pPr>
        <w:jc w:val="right"/>
        <w:rPr>
          <w:rFonts w:hint="eastAsia" w:ascii="宋体" w:hAnsi="宋体" w:cs="宋体"/>
          <w:color w:val="auto"/>
          <w:kern w:val="0"/>
          <w:sz w:val="24"/>
          <w:highlight w:val="none"/>
          <w:lang w:val="en-US" w:eastAsia="zh-CN"/>
        </w:rPr>
      </w:pPr>
    </w:p>
    <w:tbl>
      <w:tblPr>
        <w:tblStyle w:val="33"/>
        <w:tblW w:w="8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205"/>
        <w:gridCol w:w="1920"/>
        <w:gridCol w:w="3975"/>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2922" w:type="dxa"/>
            <w:gridSpan w:val="2"/>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（综合折扣率）</w:t>
            </w:r>
          </w:p>
        </w:tc>
        <w:tc>
          <w:tcPr>
            <w:tcW w:w="5895" w:type="dxa"/>
            <w:gridSpan w:val="2"/>
            <w:tcBorders>
              <w:top w:val="single" w:color="auto" w:sz="4" w:space="0"/>
              <w:left w:val="single" w:color="auto" w:sz="4" w:space="0"/>
              <w:bottom w:val="single" w:color="auto" w:sz="4" w:space="0"/>
              <w:right w:val="single" w:color="auto" w:sz="4" w:space="0"/>
            </w:tcBorders>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r w14:paraId="0065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1865B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B65621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sz w:val="24"/>
                <w:szCs w:val="24"/>
                <w:highlight w:val="none"/>
                <w:vertAlign w:val="baseline"/>
                <w:lang w:val="en-US" w:eastAsia="zh-CN"/>
              </w:rPr>
              <w:t>岗位</w:t>
            </w:r>
          </w:p>
        </w:tc>
        <w:tc>
          <w:tcPr>
            <w:tcW w:w="1920" w:type="dxa"/>
            <w:tcBorders>
              <w:top w:val="single" w:color="000000" w:sz="4" w:space="0"/>
              <w:left w:val="single" w:color="000000" w:sz="4" w:space="0"/>
              <w:bottom w:val="single" w:color="000000" w:sz="4" w:space="0"/>
              <w:right w:val="single" w:color="auto" w:sz="4" w:space="0"/>
            </w:tcBorders>
            <w:noWrap/>
            <w:vAlign w:val="center"/>
          </w:tcPr>
          <w:p w14:paraId="7E09DEE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eastAsia="zh-CN"/>
              </w:rPr>
              <w:t>人数</w:t>
            </w:r>
          </w:p>
          <w:p w14:paraId="7314A49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c>
          <w:tcPr>
            <w:tcW w:w="3975" w:type="dxa"/>
            <w:tcBorders>
              <w:top w:val="single" w:color="auto" w:sz="4" w:space="0"/>
              <w:left w:val="single" w:color="auto" w:sz="4" w:space="0"/>
              <w:bottom w:val="single" w:color="auto" w:sz="4" w:space="0"/>
              <w:right w:val="single" w:color="auto" w:sz="4" w:space="0"/>
            </w:tcBorders>
            <w:noWrap/>
            <w:vAlign w:val="center"/>
          </w:tcPr>
          <w:p w14:paraId="05A7371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报价工资（元/月）</w:t>
            </w:r>
          </w:p>
        </w:tc>
      </w:tr>
      <w:tr w14:paraId="2FAE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6BAFBA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90B1BE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sz w:val="24"/>
                <w:szCs w:val="24"/>
                <w:highlight w:val="none"/>
                <w:vertAlign w:val="baseline"/>
                <w:lang w:eastAsia="zh-CN"/>
              </w:rPr>
              <w:t>电工</w:t>
            </w:r>
          </w:p>
        </w:tc>
        <w:tc>
          <w:tcPr>
            <w:tcW w:w="1920" w:type="dxa"/>
            <w:tcBorders>
              <w:top w:val="single" w:color="000000" w:sz="4" w:space="0"/>
              <w:left w:val="single" w:color="000000" w:sz="4" w:space="0"/>
              <w:bottom w:val="single" w:color="000000" w:sz="4" w:space="0"/>
              <w:right w:val="single" w:color="auto" w:sz="4" w:space="0"/>
            </w:tcBorders>
            <w:noWrap/>
            <w:vAlign w:val="center"/>
          </w:tcPr>
          <w:p w14:paraId="347E4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p>
        </w:tc>
        <w:tc>
          <w:tcPr>
            <w:tcW w:w="3975" w:type="dxa"/>
            <w:tcBorders>
              <w:top w:val="single" w:color="auto" w:sz="4" w:space="0"/>
              <w:left w:val="single" w:color="auto" w:sz="4" w:space="0"/>
              <w:bottom w:val="single" w:color="auto" w:sz="4" w:space="0"/>
              <w:right w:val="single" w:color="auto" w:sz="4" w:space="0"/>
            </w:tcBorders>
            <w:noWrap/>
            <w:vAlign w:val="center"/>
          </w:tcPr>
          <w:p w14:paraId="774C86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5A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6DC5A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454B49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sz w:val="24"/>
                <w:szCs w:val="24"/>
                <w:highlight w:val="none"/>
                <w:vertAlign w:val="baseline"/>
                <w:lang w:eastAsia="zh-CN"/>
              </w:rPr>
              <w:t>水工</w:t>
            </w:r>
          </w:p>
        </w:tc>
        <w:tc>
          <w:tcPr>
            <w:tcW w:w="1920" w:type="dxa"/>
            <w:tcBorders>
              <w:top w:val="single" w:color="000000" w:sz="4" w:space="0"/>
              <w:left w:val="single" w:color="000000" w:sz="4" w:space="0"/>
              <w:bottom w:val="single" w:color="000000" w:sz="4" w:space="0"/>
              <w:right w:val="single" w:color="auto" w:sz="4" w:space="0"/>
            </w:tcBorders>
            <w:noWrap/>
            <w:vAlign w:val="center"/>
          </w:tcPr>
          <w:p w14:paraId="41CD97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p>
        </w:tc>
        <w:tc>
          <w:tcPr>
            <w:tcW w:w="3975" w:type="dxa"/>
            <w:tcBorders>
              <w:top w:val="single" w:color="auto" w:sz="4" w:space="0"/>
              <w:left w:val="single" w:color="auto" w:sz="4" w:space="0"/>
              <w:bottom w:val="single" w:color="auto" w:sz="4" w:space="0"/>
              <w:right w:val="single" w:color="auto" w:sz="4" w:space="0"/>
            </w:tcBorders>
            <w:noWrap/>
            <w:vAlign w:val="center"/>
          </w:tcPr>
          <w:p w14:paraId="3E571F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B9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50FB32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A306BA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sz w:val="24"/>
                <w:szCs w:val="24"/>
                <w:highlight w:val="none"/>
                <w:vertAlign w:val="baseline"/>
                <w:lang w:val="en-US" w:eastAsia="zh-CN"/>
              </w:rPr>
              <w:t>司炉工</w:t>
            </w:r>
          </w:p>
        </w:tc>
        <w:tc>
          <w:tcPr>
            <w:tcW w:w="1920" w:type="dxa"/>
            <w:tcBorders>
              <w:top w:val="single" w:color="000000" w:sz="4" w:space="0"/>
              <w:left w:val="single" w:color="000000" w:sz="4" w:space="0"/>
              <w:bottom w:val="single" w:color="000000" w:sz="4" w:space="0"/>
              <w:right w:val="single" w:color="auto" w:sz="4" w:space="0"/>
            </w:tcBorders>
            <w:noWrap/>
            <w:vAlign w:val="center"/>
          </w:tcPr>
          <w:p w14:paraId="5B851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975" w:type="dxa"/>
            <w:tcBorders>
              <w:top w:val="single" w:color="auto" w:sz="4" w:space="0"/>
              <w:left w:val="single" w:color="auto" w:sz="4" w:space="0"/>
              <w:bottom w:val="single" w:color="auto" w:sz="4" w:space="0"/>
              <w:right w:val="single" w:color="auto" w:sz="4" w:space="0"/>
            </w:tcBorders>
            <w:noWrap/>
            <w:vAlign w:val="center"/>
          </w:tcPr>
          <w:p w14:paraId="58F506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C7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trPr>
        <w:tc>
          <w:tcPr>
            <w:tcW w:w="717" w:type="dxa"/>
            <w:tcBorders>
              <w:top w:val="single" w:color="000000" w:sz="4" w:space="0"/>
              <w:left w:val="single" w:color="000000" w:sz="4" w:space="0"/>
              <w:bottom w:val="single" w:color="000000" w:sz="4" w:space="0"/>
              <w:right w:val="single" w:color="000000" w:sz="4" w:space="0"/>
            </w:tcBorders>
            <w:noWrap/>
            <w:vAlign w:val="center"/>
          </w:tcPr>
          <w:p w14:paraId="402AF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65B6DD54">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sz w:val="24"/>
                <w:szCs w:val="24"/>
                <w:highlight w:val="none"/>
                <w:vertAlign w:val="baseline"/>
                <w:lang w:eastAsia="zh-CN"/>
              </w:rPr>
              <w:t>太平间管理</w:t>
            </w:r>
          </w:p>
        </w:tc>
        <w:tc>
          <w:tcPr>
            <w:tcW w:w="1920" w:type="dxa"/>
            <w:tcBorders>
              <w:top w:val="single" w:color="000000" w:sz="4" w:space="0"/>
              <w:left w:val="single" w:color="000000" w:sz="4" w:space="0"/>
              <w:bottom w:val="single" w:color="000000" w:sz="4" w:space="0"/>
              <w:right w:val="single" w:color="auto" w:sz="4" w:space="0"/>
            </w:tcBorders>
            <w:noWrap/>
            <w:vAlign w:val="center"/>
          </w:tcPr>
          <w:p w14:paraId="64353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975" w:type="dxa"/>
            <w:tcBorders>
              <w:top w:val="single" w:color="auto" w:sz="4" w:space="0"/>
              <w:left w:val="single" w:color="auto" w:sz="4" w:space="0"/>
              <w:bottom w:val="single" w:color="auto" w:sz="4" w:space="0"/>
              <w:right w:val="single" w:color="auto" w:sz="4" w:space="0"/>
            </w:tcBorders>
            <w:noWrap/>
            <w:vAlign w:val="center"/>
          </w:tcPr>
          <w:p w14:paraId="43DC48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18EC53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注：1、供应商投标报价以第二章“人员配置表”中月工资为基础，报出综合折扣率。供应商所报综合折扣率不得大于100%，否则将被作为无效响应；</w:t>
      </w:r>
    </w:p>
    <w:p w14:paraId="5799E4B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价格计算方法：各岗位合同价格=“人员配置表”中月工资×综合折扣率。举例如：报价为90％，“电工”合同价格为3200元/月×90％=2880元/月（四舍五入保留两位小数），以此类推。月度结算时以实际用工人数与各岗位合同价格乘积之和据实结算。</w:t>
      </w:r>
    </w:p>
    <w:p w14:paraId="4113C5A6">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15"/>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15"/>
        <w:rPr>
          <w:rFonts w:hint="default" w:ascii="宋体" w:hAnsi="宋体" w:cs="宋体"/>
          <w:color w:val="auto"/>
          <w:kern w:val="0"/>
          <w:sz w:val="24"/>
          <w:highlight w:val="none"/>
          <w:lang w:val="en-US" w:eastAsia="zh-CN"/>
        </w:r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9960"/>
      <w:bookmarkStart w:id="84" w:name="_Toc20420"/>
      <w:bookmarkStart w:id="85" w:name="_Toc24168"/>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1"/>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28621"/>
      <w:bookmarkStart w:id="87" w:name="_Toc31526"/>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2939"/>
      <w:bookmarkStart w:id="90" w:name="_Toc13976"/>
      <w:bookmarkStart w:id="91" w:name="_Toc3051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3342"/>
      <w:bookmarkStart w:id="93" w:name="_Toc24693"/>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2888"/>
      <w:bookmarkStart w:id="98" w:name="_Toc13726"/>
      <w:r>
        <w:rPr>
          <w:rFonts w:hint="eastAsia" w:ascii="宋体" w:hAnsi="宋体" w:eastAsia="宋体" w:cs="宋体"/>
          <w:color w:val="auto"/>
          <w:sz w:val="28"/>
          <w:szCs w:val="28"/>
          <w:highlight w:val="none"/>
          <w:lang w:val="en-US" w:eastAsia="zh-CN"/>
        </w:rPr>
        <w:br w:type="page"/>
      </w: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1"/>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5094"/>
      <w:bookmarkStart w:id="100" w:name="_Toc31685"/>
      <w:bookmarkStart w:id="101" w:name="_Toc23394"/>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3"/>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驻马店市中心医院中心院区水电工等第三方人员服务竞争性磋商文件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DAA43"/>
    <w:multiLevelType w:val="singleLevel"/>
    <w:tmpl w:val="D33DAA43"/>
    <w:lvl w:ilvl="0" w:tentative="0">
      <w:start w:val="1"/>
      <w:numFmt w:val="decimal"/>
      <w:lvlText w:val="%1."/>
      <w:lvlJc w:val="left"/>
      <w:pPr>
        <w:tabs>
          <w:tab w:val="left" w:pos="312"/>
        </w:tabs>
      </w:p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1F6F"/>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27CB"/>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943A0"/>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962A6"/>
    <w:rsid w:val="02DA4630"/>
    <w:rsid w:val="02DA4665"/>
    <w:rsid w:val="02F40325"/>
    <w:rsid w:val="02F70D3E"/>
    <w:rsid w:val="02FA082F"/>
    <w:rsid w:val="03031491"/>
    <w:rsid w:val="031126C4"/>
    <w:rsid w:val="0317318F"/>
    <w:rsid w:val="033124A2"/>
    <w:rsid w:val="034733B8"/>
    <w:rsid w:val="03475E56"/>
    <w:rsid w:val="034877EC"/>
    <w:rsid w:val="0353518A"/>
    <w:rsid w:val="035E4919"/>
    <w:rsid w:val="03675F31"/>
    <w:rsid w:val="036A009A"/>
    <w:rsid w:val="037A734D"/>
    <w:rsid w:val="03844805"/>
    <w:rsid w:val="03845791"/>
    <w:rsid w:val="039B791C"/>
    <w:rsid w:val="03A011E9"/>
    <w:rsid w:val="03AE7F27"/>
    <w:rsid w:val="03BD2BCD"/>
    <w:rsid w:val="03CC058D"/>
    <w:rsid w:val="03E017D2"/>
    <w:rsid w:val="03F447E2"/>
    <w:rsid w:val="03F77068"/>
    <w:rsid w:val="03FB660C"/>
    <w:rsid w:val="042E37DB"/>
    <w:rsid w:val="04416C20"/>
    <w:rsid w:val="046B522E"/>
    <w:rsid w:val="04732647"/>
    <w:rsid w:val="047968B1"/>
    <w:rsid w:val="04870542"/>
    <w:rsid w:val="04B30F7A"/>
    <w:rsid w:val="050B6D23"/>
    <w:rsid w:val="050E236F"/>
    <w:rsid w:val="052D0A47"/>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DB66F5"/>
    <w:rsid w:val="05EB110D"/>
    <w:rsid w:val="05EB4481"/>
    <w:rsid w:val="05F17CC7"/>
    <w:rsid w:val="061E7D14"/>
    <w:rsid w:val="0624009C"/>
    <w:rsid w:val="06446B44"/>
    <w:rsid w:val="06560AED"/>
    <w:rsid w:val="066469C9"/>
    <w:rsid w:val="066646A1"/>
    <w:rsid w:val="066761DB"/>
    <w:rsid w:val="066A7A79"/>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17EF5"/>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9B216C"/>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CA6D3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7652E0"/>
    <w:rsid w:val="0DC577E0"/>
    <w:rsid w:val="0DDC6319"/>
    <w:rsid w:val="0DE1181F"/>
    <w:rsid w:val="0DFA5B87"/>
    <w:rsid w:val="0DFE4F67"/>
    <w:rsid w:val="0E0C0D4C"/>
    <w:rsid w:val="0E115DA1"/>
    <w:rsid w:val="0E1409F6"/>
    <w:rsid w:val="0E162D6D"/>
    <w:rsid w:val="0E460DCC"/>
    <w:rsid w:val="0E5139F9"/>
    <w:rsid w:val="0E541CA2"/>
    <w:rsid w:val="0E576B35"/>
    <w:rsid w:val="0E594756"/>
    <w:rsid w:val="0E95596D"/>
    <w:rsid w:val="0EAE6205"/>
    <w:rsid w:val="0EAE6579"/>
    <w:rsid w:val="0EAF71BF"/>
    <w:rsid w:val="0ECE6257"/>
    <w:rsid w:val="0EE4129D"/>
    <w:rsid w:val="0F12496C"/>
    <w:rsid w:val="0F171032"/>
    <w:rsid w:val="0F335E69"/>
    <w:rsid w:val="0F372614"/>
    <w:rsid w:val="0F3D59C9"/>
    <w:rsid w:val="0F40581B"/>
    <w:rsid w:val="0F516D5A"/>
    <w:rsid w:val="0F565B36"/>
    <w:rsid w:val="0F684933"/>
    <w:rsid w:val="0F6E2388"/>
    <w:rsid w:val="0F73799F"/>
    <w:rsid w:val="0F76123D"/>
    <w:rsid w:val="0F821E7D"/>
    <w:rsid w:val="0F873418"/>
    <w:rsid w:val="0FC91CB4"/>
    <w:rsid w:val="0FCA42ED"/>
    <w:rsid w:val="0FD63FD1"/>
    <w:rsid w:val="0FDB5F4F"/>
    <w:rsid w:val="0FE7592C"/>
    <w:rsid w:val="0FFC17A5"/>
    <w:rsid w:val="0FFD20F0"/>
    <w:rsid w:val="10142F30"/>
    <w:rsid w:val="10352857"/>
    <w:rsid w:val="103E61FE"/>
    <w:rsid w:val="103E6E57"/>
    <w:rsid w:val="1041497B"/>
    <w:rsid w:val="10425FF6"/>
    <w:rsid w:val="104A4BA3"/>
    <w:rsid w:val="105570A4"/>
    <w:rsid w:val="106612B1"/>
    <w:rsid w:val="108856CC"/>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52964"/>
    <w:rsid w:val="11656D59"/>
    <w:rsid w:val="1166372C"/>
    <w:rsid w:val="11700D10"/>
    <w:rsid w:val="1178125A"/>
    <w:rsid w:val="118441E0"/>
    <w:rsid w:val="1196056D"/>
    <w:rsid w:val="11B322D4"/>
    <w:rsid w:val="11B85B3D"/>
    <w:rsid w:val="11C646FD"/>
    <w:rsid w:val="11CD20A0"/>
    <w:rsid w:val="11D34654"/>
    <w:rsid w:val="11F737CF"/>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5E2714"/>
    <w:rsid w:val="13713CFE"/>
    <w:rsid w:val="13733928"/>
    <w:rsid w:val="13741F37"/>
    <w:rsid w:val="13857CA0"/>
    <w:rsid w:val="13920D68"/>
    <w:rsid w:val="13946135"/>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92EF4"/>
    <w:rsid w:val="17EE5BFF"/>
    <w:rsid w:val="17F17FFA"/>
    <w:rsid w:val="18097740"/>
    <w:rsid w:val="18136133"/>
    <w:rsid w:val="181635BD"/>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371A3D"/>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92EA5"/>
    <w:rsid w:val="1AEB6F83"/>
    <w:rsid w:val="1AF423FA"/>
    <w:rsid w:val="1B0C5B32"/>
    <w:rsid w:val="1B0D3E82"/>
    <w:rsid w:val="1B1464DA"/>
    <w:rsid w:val="1B1652AB"/>
    <w:rsid w:val="1B181CD5"/>
    <w:rsid w:val="1B265306"/>
    <w:rsid w:val="1B4346C9"/>
    <w:rsid w:val="1B486183"/>
    <w:rsid w:val="1B4C4552"/>
    <w:rsid w:val="1B4F2450"/>
    <w:rsid w:val="1B50619C"/>
    <w:rsid w:val="1B530868"/>
    <w:rsid w:val="1B6573E8"/>
    <w:rsid w:val="1B6922A5"/>
    <w:rsid w:val="1B721452"/>
    <w:rsid w:val="1B8C18B7"/>
    <w:rsid w:val="1B9A6A86"/>
    <w:rsid w:val="1BB73AE1"/>
    <w:rsid w:val="1BDA6D68"/>
    <w:rsid w:val="1BF14125"/>
    <w:rsid w:val="1C002CEE"/>
    <w:rsid w:val="1C157783"/>
    <w:rsid w:val="1C4032FE"/>
    <w:rsid w:val="1C555978"/>
    <w:rsid w:val="1C6554A1"/>
    <w:rsid w:val="1C7971B7"/>
    <w:rsid w:val="1C8036FB"/>
    <w:rsid w:val="1C8651B5"/>
    <w:rsid w:val="1C917D91"/>
    <w:rsid w:val="1CA4388D"/>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352C5"/>
    <w:rsid w:val="1E7554E1"/>
    <w:rsid w:val="1E79665F"/>
    <w:rsid w:val="1E7B23CC"/>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E057F"/>
    <w:rsid w:val="1FAF308C"/>
    <w:rsid w:val="1FB64FF9"/>
    <w:rsid w:val="1FC11109"/>
    <w:rsid w:val="1FDA3223"/>
    <w:rsid w:val="1FDE2C12"/>
    <w:rsid w:val="1FEF08C8"/>
    <w:rsid w:val="1FF72E6A"/>
    <w:rsid w:val="1FFB6F12"/>
    <w:rsid w:val="201B3ED4"/>
    <w:rsid w:val="20230F6D"/>
    <w:rsid w:val="20310B02"/>
    <w:rsid w:val="20344F28"/>
    <w:rsid w:val="20384A1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EF7359"/>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CF718A"/>
    <w:rsid w:val="22D729A8"/>
    <w:rsid w:val="22F06957"/>
    <w:rsid w:val="23057681"/>
    <w:rsid w:val="230C5CE8"/>
    <w:rsid w:val="23122833"/>
    <w:rsid w:val="231D4917"/>
    <w:rsid w:val="23223458"/>
    <w:rsid w:val="23225D32"/>
    <w:rsid w:val="233139A1"/>
    <w:rsid w:val="23357BE6"/>
    <w:rsid w:val="2342574E"/>
    <w:rsid w:val="23533917"/>
    <w:rsid w:val="2355143D"/>
    <w:rsid w:val="236D1BFA"/>
    <w:rsid w:val="236D331D"/>
    <w:rsid w:val="2377331D"/>
    <w:rsid w:val="237D43DE"/>
    <w:rsid w:val="238A5E5E"/>
    <w:rsid w:val="23940114"/>
    <w:rsid w:val="239A1546"/>
    <w:rsid w:val="23B57016"/>
    <w:rsid w:val="23C4797E"/>
    <w:rsid w:val="23CD36CA"/>
    <w:rsid w:val="23CD5478"/>
    <w:rsid w:val="23D06D16"/>
    <w:rsid w:val="23D4764B"/>
    <w:rsid w:val="23EC3718"/>
    <w:rsid w:val="23EE304F"/>
    <w:rsid w:val="23FD7010"/>
    <w:rsid w:val="240243FC"/>
    <w:rsid w:val="24044EF2"/>
    <w:rsid w:val="2407139D"/>
    <w:rsid w:val="240B04F4"/>
    <w:rsid w:val="240E369A"/>
    <w:rsid w:val="24155071"/>
    <w:rsid w:val="241E2177"/>
    <w:rsid w:val="24294678"/>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D1E76"/>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8F2F1C"/>
    <w:rsid w:val="27983FEE"/>
    <w:rsid w:val="27A34941"/>
    <w:rsid w:val="27A97FAA"/>
    <w:rsid w:val="27E70AD2"/>
    <w:rsid w:val="27EE3A7B"/>
    <w:rsid w:val="27FA25B3"/>
    <w:rsid w:val="28033B5E"/>
    <w:rsid w:val="28100029"/>
    <w:rsid w:val="28125B4F"/>
    <w:rsid w:val="282B09BF"/>
    <w:rsid w:val="282E4F00"/>
    <w:rsid w:val="283C23DF"/>
    <w:rsid w:val="283D69F1"/>
    <w:rsid w:val="283F090E"/>
    <w:rsid w:val="284101E2"/>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A806F8"/>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60448"/>
    <w:rsid w:val="2B574FD9"/>
    <w:rsid w:val="2B642979"/>
    <w:rsid w:val="2B681F2A"/>
    <w:rsid w:val="2B7B1C5D"/>
    <w:rsid w:val="2B8D373E"/>
    <w:rsid w:val="2B9E4F56"/>
    <w:rsid w:val="2BD96984"/>
    <w:rsid w:val="2BDB5A88"/>
    <w:rsid w:val="2BDB6BA0"/>
    <w:rsid w:val="2BE91C37"/>
    <w:rsid w:val="2BEC3F72"/>
    <w:rsid w:val="2C083572"/>
    <w:rsid w:val="2C185F94"/>
    <w:rsid w:val="2C1C3440"/>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84A5A"/>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611D1"/>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081D71"/>
    <w:rsid w:val="32176602"/>
    <w:rsid w:val="322A7699"/>
    <w:rsid w:val="322B25C6"/>
    <w:rsid w:val="32422E70"/>
    <w:rsid w:val="3248142F"/>
    <w:rsid w:val="325E56C6"/>
    <w:rsid w:val="3275698A"/>
    <w:rsid w:val="327C0679"/>
    <w:rsid w:val="32870EE7"/>
    <w:rsid w:val="32943B86"/>
    <w:rsid w:val="32A93829"/>
    <w:rsid w:val="32B141B6"/>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A068E3"/>
    <w:rsid w:val="36D62629"/>
    <w:rsid w:val="36D76172"/>
    <w:rsid w:val="36D84407"/>
    <w:rsid w:val="36E833BB"/>
    <w:rsid w:val="36EB1E1B"/>
    <w:rsid w:val="36F17F0D"/>
    <w:rsid w:val="36FB00F6"/>
    <w:rsid w:val="37023232"/>
    <w:rsid w:val="37103BA1"/>
    <w:rsid w:val="37224581"/>
    <w:rsid w:val="3735197D"/>
    <w:rsid w:val="373756A2"/>
    <w:rsid w:val="374A416C"/>
    <w:rsid w:val="374B6987"/>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70E1C"/>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28A7"/>
    <w:rsid w:val="3D2F7FF3"/>
    <w:rsid w:val="3D3B56F0"/>
    <w:rsid w:val="3D3D1507"/>
    <w:rsid w:val="3D62085B"/>
    <w:rsid w:val="3D672041"/>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570C7"/>
    <w:rsid w:val="3E5C591E"/>
    <w:rsid w:val="3E6C2B3A"/>
    <w:rsid w:val="3E8C5311"/>
    <w:rsid w:val="3E8E7E55"/>
    <w:rsid w:val="3EB61473"/>
    <w:rsid w:val="3EC66011"/>
    <w:rsid w:val="3ECD05CA"/>
    <w:rsid w:val="3ED25BE0"/>
    <w:rsid w:val="3ED75B7F"/>
    <w:rsid w:val="3EF9316D"/>
    <w:rsid w:val="3F315E6B"/>
    <w:rsid w:val="3F5175E2"/>
    <w:rsid w:val="3F56276A"/>
    <w:rsid w:val="3F6C10E0"/>
    <w:rsid w:val="3F963015"/>
    <w:rsid w:val="3F964D35"/>
    <w:rsid w:val="3FA327ED"/>
    <w:rsid w:val="3FB11738"/>
    <w:rsid w:val="3FB5581B"/>
    <w:rsid w:val="3FB83028"/>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4F3518"/>
    <w:rsid w:val="41606056"/>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010842"/>
    <w:rsid w:val="431408DA"/>
    <w:rsid w:val="431B7C78"/>
    <w:rsid w:val="432D5ADB"/>
    <w:rsid w:val="4331401E"/>
    <w:rsid w:val="434626F9"/>
    <w:rsid w:val="43486FC5"/>
    <w:rsid w:val="43591DDA"/>
    <w:rsid w:val="435A0DF2"/>
    <w:rsid w:val="435B43F6"/>
    <w:rsid w:val="436C42E1"/>
    <w:rsid w:val="437102E7"/>
    <w:rsid w:val="437C210F"/>
    <w:rsid w:val="43847F02"/>
    <w:rsid w:val="438F113C"/>
    <w:rsid w:val="439853F6"/>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459B9"/>
    <w:rsid w:val="449E4142"/>
    <w:rsid w:val="44A90BAA"/>
    <w:rsid w:val="44B24A20"/>
    <w:rsid w:val="44BC0BEE"/>
    <w:rsid w:val="44BF6C07"/>
    <w:rsid w:val="44C24001"/>
    <w:rsid w:val="44C55A88"/>
    <w:rsid w:val="44FB1C9C"/>
    <w:rsid w:val="450B0594"/>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30FB8"/>
    <w:rsid w:val="46177E29"/>
    <w:rsid w:val="46205B7F"/>
    <w:rsid w:val="462A6010"/>
    <w:rsid w:val="465D501C"/>
    <w:rsid w:val="466367DB"/>
    <w:rsid w:val="46686D18"/>
    <w:rsid w:val="466D15DA"/>
    <w:rsid w:val="46853538"/>
    <w:rsid w:val="46BF7E28"/>
    <w:rsid w:val="46C3037C"/>
    <w:rsid w:val="46E14C12"/>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94738"/>
    <w:rsid w:val="4B0B7979"/>
    <w:rsid w:val="4B1530DD"/>
    <w:rsid w:val="4B221C9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524E4"/>
    <w:rsid w:val="4C8C5620"/>
    <w:rsid w:val="4C9269F6"/>
    <w:rsid w:val="4CB75F07"/>
    <w:rsid w:val="4CC84335"/>
    <w:rsid w:val="4CD22B0F"/>
    <w:rsid w:val="4CDA3E72"/>
    <w:rsid w:val="4CE4545C"/>
    <w:rsid w:val="4CE9350A"/>
    <w:rsid w:val="4CF60C31"/>
    <w:rsid w:val="4D014937"/>
    <w:rsid w:val="4D156927"/>
    <w:rsid w:val="4D1E2466"/>
    <w:rsid w:val="4D225F85"/>
    <w:rsid w:val="4D297BF3"/>
    <w:rsid w:val="4D2D0EAF"/>
    <w:rsid w:val="4D795A49"/>
    <w:rsid w:val="4D7F0082"/>
    <w:rsid w:val="4D952FD9"/>
    <w:rsid w:val="4D970662"/>
    <w:rsid w:val="4D9A1FBF"/>
    <w:rsid w:val="4D9A5B1B"/>
    <w:rsid w:val="4D9F40B3"/>
    <w:rsid w:val="4DB33393"/>
    <w:rsid w:val="4DBC3CE3"/>
    <w:rsid w:val="4DCB51C5"/>
    <w:rsid w:val="4DCF1E0D"/>
    <w:rsid w:val="4DD21759"/>
    <w:rsid w:val="4DD632D9"/>
    <w:rsid w:val="4DE05D9E"/>
    <w:rsid w:val="4DE05DF9"/>
    <w:rsid w:val="4DE44800"/>
    <w:rsid w:val="4DEE0709"/>
    <w:rsid w:val="4DF26A56"/>
    <w:rsid w:val="4DF47921"/>
    <w:rsid w:val="4DF53784"/>
    <w:rsid w:val="4DFC14EA"/>
    <w:rsid w:val="4DFF6815"/>
    <w:rsid w:val="4E0A3427"/>
    <w:rsid w:val="4E124B64"/>
    <w:rsid w:val="4E206532"/>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0C2759"/>
    <w:rsid w:val="50260569"/>
    <w:rsid w:val="50374A3C"/>
    <w:rsid w:val="50487AB0"/>
    <w:rsid w:val="50550E55"/>
    <w:rsid w:val="50901457"/>
    <w:rsid w:val="509F43E4"/>
    <w:rsid w:val="50A54D3E"/>
    <w:rsid w:val="50B82E88"/>
    <w:rsid w:val="50BB32A7"/>
    <w:rsid w:val="50CC5CB2"/>
    <w:rsid w:val="50F1402B"/>
    <w:rsid w:val="50FD2AD9"/>
    <w:rsid w:val="51037E7B"/>
    <w:rsid w:val="51081E85"/>
    <w:rsid w:val="51097D9A"/>
    <w:rsid w:val="511A650F"/>
    <w:rsid w:val="51237D2E"/>
    <w:rsid w:val="51256043"/>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6D782E"/>
    <w:rsid w:val="537155BE"/>
    <w:rsid w:val="53757C6B"/>
    <w:rsid w:val="53790573"/>
    <w:rsid w:val="537E1075"/>
    <w:rsid w:val="53835884"/>
    <w:rsid w:val="539A4AC7"/>
    <w:rsid w:val="53A148C7"/>
    <w:rsid w:val="53A44D07"/>
    <w:rsid w:val="53A46AC8"/>
    <w:rsid w:val="53AB7F1F"/>
    <w:rsid w:val="53AC6F7B"/>
    <w:rsid w:val="53C01F4F"/>
    <w:rsid w:val="53C27B7A"/>
    <w:rsid w:val="53D53D51"/>
    <w:rsid w:val="53EB297B"/>
    <w:rsid w:val="53EC4BF7"/>
    <w:rsid w:val="53F671DE"/>
    <w:rsid w:val="53F758A1"/>
    <w:rsid w:val="540D5A7F"/>
    <w:rsid w:val="542E2BC2"/>
    <w:rsid w:val="54352A96"/>
    <w:rsid w:val="54447390"/>
    <w:rsid w:val="54484523"/>
    <w:rsid w:val="544B514D"/>
    <w:rsid w:val="545E1D01"/>
    <w:rsid w:val="54674051"/>
    <w:rsid w:val="54790C1C"/>
    <w:rsid w:val="54935B8F"/>
    <w:rsid w:val="549D3677"/>
    <w:rsid w:val="54A87049"/>
    <w:rsid w:val="54B03E76"/>
    <w:rsid w:val="54BF230B"/>
    <w:rsid w:val="54CC6227"/>
    <w:rsid w:val="54D10F9B"/>
    <w:rsid w:val="54D97871"/>
    <w:rsid w:val="5503044A"/>
    <w:rsid w:val="550B5550"/>
    <w:rsid w:val="551D586C"/>
    <w:rsid w:val="55200298"/>
    <w:rsid w:val="55335E1B"/>
    <w:rsid w:val="5536079B"/>
    <w:rsid w:val="554B7EF0"/>
    <w:rsid w:val="556F3D99"/>
    <w:rsid w:val="55720837"/>
    <w:rsid w:val="55860894"/>
    <w:rsid w:val="558F6181"/>
    <w:rsid w:val="559447B6"/>
    <w:rsid w:val="55B02DF1"/>
    <w:rsid w:val="55D47A00"/>
    <w:rsid w:val="55D5456D"/>
    <w:rsid w:val="55DC290C"/>
    <w:rsid w:val="55E71B19"/>
    <w:rsid w:val="55EA5D64"/>
    <w:rsid w:val="55F01FA1"/>
    <w:rsid w:val="55F85AD5"/>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8B125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75F5E"/>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A34C3A"/>
    <w:rsid w:val="5CBB7F6F"/>
    <w:rsid w:val="5CC248CE"/>
    <w:rsid w:val="5D042FB1"/>
    <w:rsid w:val="5D080CF3"/>
    <w:rsid w:val="5D3A4C25"/>
    <w:rsid w:val="5D442CB4"/>
    <w:rsid w:val="5D445AA3"/>
    <w:rsid w:val="5D7869AF"/>
    <w:rsid w:val="5D7C3F11"/>
    <w:rsid w:val="5D891708"/>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6F6B50"/>
    <w:rsid w:val="5E7251A2"/>
    <w:rsid w:val="5E7C3591"/>
    <w:rsid w:val="5E9842F9"/>
    <w:rsid w:val="5E9B5B97"/>
    <w:rsid w:val="5E9D0E18"/>
    <w:rsid w:val="5EA26F25"/>
    <w:rsid w:val="5EA341D7"/>
    <w:rsid w:val="5EA755DE"/>
    <w:rsid w:val="5EAE7678"/>
    <w:rsid w:val="5ED35F0E"/>
    <w:rsid w:val="5EDF7832"/>
    <w:rsid w:val="5EEB4428"/>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01243"/>
    <w:rsid w:val="60AA3E6F"/>
    <w:rsid w:val="60D62EB6"/>
    <w:rsid w:val="60D84E80"/>
    <w:rsid w:val="60FF21D9"/>
    <w:rsid w:val="610C0686"/>
    <w:rsid w:val="611E37D0"/>
    <w:rsid w:val="612C6F7A"/>
    <w:rsid w:val="613021B3"/>
    <w:rsid w:val="61306A6A"/>
    <w:rsid w:val="6131633F"/>
    <w:rsid w:val="613253FD"/>
    <w:rsid w:val="61421F29"/>
    <w:rsid w:val="61637D56"/>
    <w:rsid w:val="616E044C"/>
    <w:rsid w:val="61712185"/>
    <w:rsid w:val="618B7207"/>
    <w:rsid w:val="61907E69"/>
    <w:rsid w:val="61A90D68"/>
    <w:rsid w:val="61B43A15"/>
    <w:rsid w:val="61B825BC"/>
    <w:rsid w:val="61BF7DEE"/>
    <w:rsid w:val="61DA0425"/>
    <w:rsid w:val="61F71336"/>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B1AF3"/>
    <w:rsid w:val="637D0978"/>
    <w:rsid w:val="63846BFA"/>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4C16862"/>
    <w:rsid w:val="64D15E6F"/>
    <w:rsid w:val="64DF4A2F"/>
    <w:rsid w:val="64EA5182"/>
    <w:rsid w:val="650242F0"/>
    <w:rsid w:val="65365B2B"/>
    <w:rsid w:val="653F447E"/>
    <w:rsid w:val="65542778"/>
    <w:rsid w:val="655829AF"/>
    <w:rsid w:val="656B70C3"/>
    <w:rsid w:val="657A02B4"/>
    <w:rsid w:val="658E1FB1"/>
    <w:rsid w:val="658F4798"/>
    <w:rsid w:val="659B1EBA"/>
    <w:rsid w:val="65A11CE5"/>
    <w:rsid w:val="65A83379"/>
    <w:rsid w:val="65B461E9"/>
    <w:rsid w:val="65BE39A8"/>
    <w:rsid w:val="65C23A09"/>
    <w:rsid w:val="65FB3FBE"/>
    <w:rsid w:val="66101A71"/>
    <w:rsid w:val="66171FA7"/>
    <w:rsid w:val="66247D11"/>
    <w:rsid w:val="663B3EC9"/>
    <w:rsid w:val="663D5CF1"/>
    <w:rsid w:val="665A1E94"/>
    <w:rsid w:val="66736112"/>
    <w:rsid w:val="667F5B5B"/>
    <w:rsid w:val="668F1B3D"/>
    <w:rsid w:val="6694262A"/>
    <w:rsid w:val="66990381"/>
    <w:rsid w:val="66A80E5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C43A69"/>
    <w:rsid w:val="67CD3ECD"/>
    <w:rsid w:val="67D35E1A"/>
    <w:rsid w:val="67D839B8"/>
    <w:rsid w:val="67F35317"/>
    <w:rsid w:val="67F73E3E"/>
    <w:rsid w:val="68016A6B"/>
    <w:rsid w:val="680201B7"/>
    <w:rsid w:val="68040309"/>
    <w:rsid w:val="68060525"/>
    <w:rsid w:val="681B0546"/>
    <w:rsid w:val="68362BFB"/>
    <w:rsid w:val="68386205"/>
    <w:rsid w:val="683D085A"/>
    <w:rsid w:val="683F1130"/>
    <w:rsid w:val="684456A1"/>
    <w:rsid w:val="68573C08"/>
    <w:rsid w:val="685E1363"/>
    <w:rsid w:val="687731D1"/>
    <w:rsid w:val="6878475E"/>
    <w:rsid w:val="688E1089"/>
    <w:rsid w:val="68993219"/>
    <w:rsid w:val="689E42BA"/>
    <w:rsid w:val="68A026F3"/>
    <w:rsid w:val="68AF4719"/>
    <w:rsid w:val="68AF6C13"/>
    <w:rsid w:val="68C77CB4"/>
    <w:rsid w:val="68DB5DFF"/>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7C508B"/>
    <w:rsid w:val="6A8219B9"/>
    <w:rsid w:val="6A8641F2"/>
    <w:rsid w:val="6A9701A5"/>
    <w:rsid w:val="6AA03032"/>
    <w:rsid w:val="6AA86FEC"/>
    <w:rsid w:val="6ACB20F7"/>
    <w:rsid w:val="6ADA6AC4"/>
    <w:rsid w:val="6ADB11D6"/>
    <w:rsid w:val="6ADF0BB9"/>
    <w:rsid w:val="6B1A2C3C"/>
    <w:rsid w:val="6B221F4E"/>
    <w:rsid w:val="6B31644D"/>
    <w:rsid w:val="6B486C86"/>
    <w:rsid w:val="6B554C72"/>
    <w:rsid w:val="6B596BBE"/>
    <w:rsid w:val="6B680BAF"/>
    <w:rsid w:val="6B774DF2"/>
    <w:rsid w:val="6B7B4D86"/>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03E37"/>
    <w:rsid w:val="6D2F6F7D"/>
    <w:rsid w:val="6D480984"/>
    <w:rsid w:val="6D8079F9"/>
    <w:rsid w:val="6D8A5754"/>
    <w:rsid w:val="6DB13E57"/>
    <w:rsid w:val="6DC20A4A"/>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173C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191681"/>
    <w:rsid w:val="742E78D4"/>
    <w:rsid w:val="74317498"/>
    <w:rsid w:val="74335A84"/>
    <w:rsid w:val="743A6A13"/>
    <w:rsid w:val="74676A28"/>
    <w:rsid w:val="74756DB9"/>
    <w:rsid w:val="747E40B6"/>
    <w:rsid w:val="7481790F"/>
    <w:rsid w:val="74A43991"/>
    <w:rsid w:val="74AA2238"/>
    <w:rsid w:val="74AC3224"/>
    <w:rsid w:val="74B21065"/>
    <w:rsid w:val="74BB2C83"/>
    <w:rsid w:val="74C33758"/>
    <w:rsid w:val="74D476FB"/>
    <w:rsid w:val="74D6302D"/>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582727"/>
    <w:rsid w:val="76603C9A"/>
    <w:rsid w:val="766B00E5"/>
    <w:rsid w:val="76832D41"/>
    <w:rsid w:val="768B2C28"/>
    <w:rsid w:val="76A2766B"/>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D588A"/>
    <w:rsid w:val="78B43685"/>
    <w:rsid w:val="78B65E3A"/>
    <w:rsid w:val="78E0091E"/>
    <w:rsid w:val="78EE1C79"/>
    <w:rsid w:val="78F85605"/>
    <w:rsid w:val="78FA66FA"/>
    <w:rsid w:val="79032A98"/>
    <w:rsid w:val="79345B6A"/>
    <w:rsid w:val="79424F6E"/>
    <w:rsid w:val="795F3706"/>
    <w:rsid w:val="797239CC"/>
    <w:rsid w:val="797F54AB"/>
    <w:rsid w:val="79831473"/>
    <w:rsid w:val="79943CA1"/>
    <w:rsid w:val="79983E9C"/>
    <w:rsid w:val="7999527A"/>
    <w:rsid w:val="79A75F84"/>
    <w:rsid w:val="79AF76C5"/>
    <w:rsid w:val="79C25EE1"/>
    <w:rsid w:val="79CE2967"/>
    <w:rsid w:val="79E30EE8"/>
    <w:rsid w:val="79E34934"/>
    <w:rsid w:val="79EA664C"/>
    <w:rsid w:val="79F9627A"/>
    <w:rsid w:val="79FF6948"/>
    <w:rsid w:val="7A044199"/>
    <w:rsid w:val="7A0657CF"/>
    <w:rsid w:val="7A2F3BBF"/>
    <w:rsid w:val="7A2F459A"/>
    <w:rsid w:val="7A320D06"/>
    <w:rsid w:val="7A322A39"/>
    <w:rsid w:val="7A517022"/>
    <w:rsid w:val="7A542B32"/>
    <w:rsid w:val="7A6F5001"/>
    <w:rsid w:val="7A7720A0"/>
    <w:rsid w:val="7A837B2B"/>
    <w:rsid w:val="7A9635B3"/>
    <w:rsid w:val="7A995229"/>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E6624C"/>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55AD9"/>
    <w:rsid w:val="7D777A3E"/>
    <w:rsid w:val="7D9005BC"/>
    <w:rsid w:val="7D9F0AD0"/>
    <w:rsid w:val="7DB22BDF"/>
    <w:rsid w:val="7DD12BB7"/>
    <w:rsid w:val="7DF223A2"/>
    <w:rsid w:val="7DFF0955"/>
    <w:rsid w:val="7E094473"/>
    <w:rsid w:val="7E0B750E"/>
    <w:rsid w:val="7E1939E8"/>
    <w:rsid w:val="7E2400E7"/>
    <w:rsid w:val="7E2822EA"/>
    <w:rsid w:val="7E2A20CE"/>
    <w:rsid w:val="7E327526"/>
    <w:rsid w:val="7E355A7B"/>
    <w:rsid w:val="7E455322"/>
    <w:rsid w:val="7E682F48"/>
    <w:rsid w:val="7E6E3E85"/>
    <w:rsid w:val="7E953F59"/>
    <w:rsid w:val="7E991353"/>
    <w:rsid w:val="7E9C184B"/>
    <w:rsid w:val="7EA72948"/>
    <w:rsid w:val="7EB31EDB"/>
    <w:rsid w:val="7ED61132"/>
    <w:rsid w:val="7EDE320A"/>
    <w:rsid w:val="7EE70CC0"/>
    <w:rsid w:val="7EEB48DB"/>
    <w:rsid w:val="7EF27444"/>
    <w:rsid w:val="7EF740B7"/>
    <w:rsid w:val="7F185A04"/>
    <w:rsid w:val="7F2257ED"/>
    <w:rsid w:val="7F265C58"/>
    <w:rsid w:val="7F3B240A"/>
    <w:rsid w:val="7F4C4618"/>
    <w:rsid w:val="7F4D13A6"/>
    <w:rsid w:val="7F582CF2"/>
    <w:rsid w:val="7F7E679B"/>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32"/>
    <w:autoRedefine/>
    <w:qFormat/>
    <w:uiPriority w:val="0"/>
    <w:pPr>
      <w:spacing w:line="360" w:lineRule="auto"/>
      <w:ind w:firstLine="420" w:firstLineChars="100"/>
    </w:pPr>
    <w:rPr>
      <w:szCs w:val="21"/>
    </w:rPr>
  </w:style>
  <w:style w:type="paragraph" w:styleId="32">
    <w:name w:val="Body Text First Indent 2"/>
    <w:basedOn w:val="14"/>
    <w:next w:val="1"/>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32"/>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16506</Words>
  <Characters>17356</Characters>
  <Lines>50</Lines>
  <Paragraphs>68</Paragraphs>
  <TotalTime>9</TotalTime>
  <ScaleCrop>false</ScaleCrop>
  <LinksUpToDate>false</LinksUpToDate>
  <CharactersWithSpaces>18001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2025-09-08T07:17:00Z</cp:lastPrinted>
  <dcterms:modified xsi:type="dcterms:W3CDTF">2025-10-14T01:23:45Z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9101EF37C53740B7B7F9D48DA288B77F_13</vt:lpwstr>
  </property>
  <property fmtid="{D5CDD505-2E9C-101B-9397-08002B2CF9AE}" pid="4" name="KSOTemplateDocerSaveRecord">
    <vt:lpwstr>eyJoZGlkIjoiYzIwMjRmYTY4OTJhZjc1NTA1MGQwNDc0NzZhNTkwMmUiLCJ1c2VySWQiOiIxNjg0NTc5MjM2In0=</vt:lpwstr>
  </property>
</Properties>
</file>