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w:t>
      </w:r>
      <w:r>
        <w:rPr>
          <w:rFonts w:hint="eastAsia" w:cs="宋体"/>
          <w:b/>
          <w:bCs/>
          <w:color w:val="auto"/>
          <w:sz w:val="44"/>
          <w:szCs w:val="44"/>
          <w:highlight w:val="none"/>
          <w:lang w:val="en-US" w:eastAsia="zh-CN"/>
        </w:rPr>
        <w:t>中心院区血液净化室中央空调采购项目</w:t>
      </w: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河南良智行工程管理咨询有限公司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期：2025年 </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 xml:space="preserve"> 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驻马店市中心医院中心院区血液净化室中央空调采购项目竞争性磋商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驻马店市中心医院中心院区血液净化室中央空调采购项目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驻马店市中心医院中心院区血液净化室中央空调采购项目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7.5万元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8607"/>
      <w:bookmarkStart w:id="5" w:name="_Toc16639"/>
      <w:bookmarkStart w:id="6" w:name="_Toc27704"/>
      <w:bookmarkStart w:id="7" w:name="_Toc23626"/>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30971"/>
      <w:bookmarkStart w:id="10" w:name="_Toc7823"/>
      <w:bookmarkStart w:id="11" w:name="_Toc30643"/>
      <w:bookmarkStart w:id="12" w:name="_Toc9562"/>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6A87BEFA">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kern w:val="2"/>
          <w:sz w:val="21"/>
          <w:szCs w:val="21"/>
          <w:shd w:val="clear" w:fill="FFFFFF"/>
          <w:lang w:val="en-US" w:eastAsia="zh-CN" w:bidi="ar-SA"/>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23</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25 </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yuliangzhi1818@163.com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5111"/>
      <w:bookmarkStart w:id="15" w:name="_Toc15135"/>
      <w:bookmarkStart w:id="16" w:name="_Toc10738"/>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20287"/>
      <w:bookmarkStart w:id="20" w:name="_Toc30918"/>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27370"/>
      <w:bookmarkStart w:id="26" w:name="_Toc24274"/>
      <w:bookmarkStart w:id="27" w:name="_Toc31928"/>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采购代理机构：河南良智行工程管理咨询有限公司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地址：河南省郑州市惠济区江山路西、008乡道南弘泰小区1号楼1单元3层302号</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w:t>
      </w:r>
      <w:r>
        <w:rPr>
          <w:rFonts w:hint="eastAsia" w:ascii="宋体" w:hAnsi="宋体" w:cs="宋体"/>
          <w:kern w:val="0"/>
          <w:szCs w:val="21"/>
          <w:shd w:val="clear" w:color="auto" w:fill="FFFFFF"/>
        </w:rPr>
        <w:t>李先生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kern w:val="0"/>
          <w:szCs w:val="21"/>
          <w:shd w:val="clear" w:color="auto" w:fill="FFFFFF"/>
        </w:rPr>
        <w:t>18137895617</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 xml:space="preserve"> 9 </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22</w:t>
      </w:r>
      <w:bookmarkStart w:id="101" w:name="_GoBack"/>
      <w:bookmarkEnd w:id="101"/>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23610"/>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驻马店市中心医院中心院区血液净化室中央空调采购项目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0"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39" w:type="dxa"/>
            <w:gridSpan w:val="2"/>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665A7C5C">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0" w:type="dxa"/>
            <w:vAlign w:val="center"/>
          </w:tcPr>
          <w:p w14:paraId="0C32BA6B">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vAlign w:val="center"/>
          </w:tcPr>
          <w:p w14:paraId="0D5173FD">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2139" w:type="dxa"/>
            <w:gridSpan w:val="2"/>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中心院区血液净化室中央空调采购</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附后</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7.5万元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7.5万元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w:t>
            </w:r>
          </w:p>
        </w:tc>
      </w:tr>
    </w:tbl>
    <w:p w14:paraId="075F9113">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lang w:val="en-US" w:eastAsia="zh-CN" w:bidi="ar-SA"/>
        </w:rPr>
        <w:t>三、</w:t>
      </w:r>
      <w:r>
        <w:rPr>
          <w:rFonts w:hint="eastAsia" w:ascii="宋体" w:hAnsi="宋体" w:eastAsia="宋体" w:cs="宋体"/>
          <w:b/>
          <w:bCs/>
          <w:color w:val="auto"/>
          <w:kern w:val="2"/>
          <w:sz w:val="21"/>
          <w:szCs w:val="24"/>
          <w:highlight w:val="none"/>
          <w:lang w:val="en-US" w:eastAsia="zh-CN" w:bidi="ar-SA"/>
        </w:rPr>
        <w:t>技术要求：</w:t>
      </w:r>
    </w:p>
    <w:p w14:paraId="675CA7E8">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tbl>
      <w:tblPr>
        <w:tblStyle w:val="34"/>
        <w:tblW w:w="5258" w:type="pct"/>
        <w:jc w:val="center"/>
        <w:tblLayout w:type="autofit"/>
        <w:tblCellMar>
          <w:top w:w="0" w:type="dxa"/>
          <w:left w:w="108" w:type="dxa"/>
          <w:bottom w:w="0" w:type="dxa"/>
          <w:right w:w="108" w:type="dxa"/>
        </w:tblCellMar>
      </w:tblPr>
      <w:tblGrid>
        <w:gridCol w:w="762"/>
        <w:gridCol w:w="1954"/>
        <w:gridCol w:w="2828"/>
        <w:gridCol w:w="871"/>
        <w:gridCol w:w="840"/>
        <w:gridCol w:w="1162"/>
        <w:gridCol w:w="1230"/>
      </w:tblGrid>
      <w:tr w14:paraId="0BBE9F24">
        <w:tblPrEx>
          <w:tblCellMar>
            <w:top w:w="0" w:type="dxa"/>
            <w:left w:w="108" w:type="dxa"/>
            <w:bottom w:w="0" w:type="dxa"/>
            <w:right w:w="108" w:type="dxa"/>
          </w:tblCellMar>
        </w:tblPrEx>
        <w:trPr>
          <w:trHeight w:val="569"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5FDBB404">
            <w:pPr>
              <w:keepNext w:val="0"/>
              <w:keepLines w:val="0"/>
              <w:suppressLineNumbers w:val="0"/>
              <w:spacing w:before="0" w:beforeAutospacing="0" w:after="0" w:afterAutospacing="0"/>
              <w:ind w:left="0" w:right="0"/>
              <w:jc w:val="left"/>
              <w:rPr>
                <w:rFonts w:hint="default" w:ascii="宋体" w:cs="宋体"/>
                <w:b/>
                <w:bCs/>
                <w:color w:val="000000"/>
                <w:kern w:val="0"/>
                <w:sz w:val="24"/>
              </w:rPr>
            </w:pPr>
            <w:r>
              <w:rPr>
                <w:rFonts w:hint="eastAsia" w:ascii="宋体" w:hAnsi="宋体" w:cs="宋体"/>
                <w:b/>
                <w:bCs/>
                <w:color w:val="000000"/>
                <w:kern w:val="0"/>
                <w:sz w:val="24"/>
              </w:rPr>
              <w:t>序号</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13742061">
            <w:pPr>
              <w:keepNext w:val="0"/>
              <w:keepLines w:val="0"/>
              <w:suppressLineNumbers w:val="0"/>
              <w:spacing w:before="0" w:beforeAutospacing="0" w:after="0" w:afterAutospacing="0"/>
              <w:ind w:left="0" w:right="0"/>
              <w:jc w:val="left"/>
              <w:rPr>
                <w:rFonts w:hint="default" w:ascii="宋体" w:cs="宋体"/>
                <w:b/>
                <w:bCs/>
                <w:color w:val="000000"/>
                <w:kern w:val="0"/>
                <w:sz w:val="24"/>
              </w:rPr>
            </w:pPr>
            <w:r>
              <w:rPr>
                <w:rFonts w:hint="eastAsia" w:ascii="宋体" w:hAnsi="宋体" w:cs="宋体"/>
                <w:b/>
                <w:bCs/>
                <w:color w:val="000000"/>
                <w:kern w:val="0"/>
                <w:sz w:val="24"/>
              </w:rPr>
              <w:t>设备名称</w:t>
            </w:r>
          </w:p>
        </w:tc>
        <w:tc>
          <w:tcPr>
            <w:tcW w:w="1465" w:type="pct"/>
            <w:tcBorders>
              <w:top w:val="single" w:color="auto" w:sz="4" w:space="0"/>
              <w:left w:val="single" w:color="auto" w:sz="4" w:space="0"/>
              <w:bottom w:val="single" w:color="auto" w:sz="4" w:space="0"/>
              <w:right w:val="single" w:color="auto" w:sz="4" w:space="0"/>
            </w:tcBorders>
            <w:noWrap w:val="0"/>
            <w:vAlign w:val="center"/>
          </w:tcPr>
          <w:p w14:paraId="0D6AD69F">
            <w:pPr>
              <w:keepNext w:val="0"/>
              <w:keepLines w:val="0"/>
              <w:suppressLineNumbers w:val="0"/>
              <w:spacing w:before="0" w:beforeAutospacing="0" w:after="0" w:afterAutospacing="0"/>
              <w:ind w:left="0" w:right="0"/>
              <w:jc w:val="center"/>
              <w:rPr>
                <w:rFonts w:hint="default" w:ascii="宋体" w:cs="宋体"/>
                <w:b/>
                <w:bCs/>
                <w:color w:val="000000"/>
                <w:kern w:val="0"/>
                <w:sz w:val="24"/>
              </w:rPr>
            </w:pPr>
            <w:r>
              <w:rPr>
                <w:rFonts w:hint="eastAsia" w:ascii="宋体" w:hAnsi="宋体" w:cs="宋体"/>
                <w:b/>
                <w:bCs/>
                <w:color w:val="000000"/>
                <w:kern w:val="0"/>
                <w:sz w:val="24"/>
              </w:rPr>
              <w:t>规格及技术参数</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30118FD2">
            <w:pPr>
              <w:keepNext w:val="0"/>
              <w:keepLines w:val="0"/>
              <w:suppressLineNumbers w:val="0"/>
              <w:spacing w:before="0" w:beforeAutospacing="0" w:after="0" w:afterAutospacing="0"/>
              <w:ind w:left="0" w:right="0"/>
              <w:jc w:val="center"/>
              <w:rPr>
                <w:rFonts w:hint="default" w:ascii="宋体" w:cs="宋体"/>
                <w:b/>
                <w:bCs/>
                <w:color w:val="000000"/>
                <w:kern w:val="0"/>
                <w:sz w:val="24"/>
              </w:rPr>
            </w:pPr>
            <w:r>
              <w:rPr>
                <w:rFonts w:hint="eastAsia" w:ascii="宋体" w:hAnsi="宋体" w:cs="宋体"/>
                <w:b/>
                <w:bCs/>
                <w:color w:val="000000"/>
                <w:kern w:val="0"/>
                <w:sz w:val="24"/>
              </w:rPr>
              <w:t>单位</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3030729F">
            <w:pPr>
              <w:keepNext w:val="0"/>
              <w:keepLines w:val="0"/>
              <w:suppressLineNumbers w:val="0"/>
              <w:spacing w:before="0" w:beforeAutospacing="0" w:after="0" w:afterAutospacing="0"/>
              <w:ind w:left="0" w:right="0"/>
              <w:jc w:val="center"/>
              <w:rPr>
                <w:rFonts w:hint="default" w:ascii="宋体" w:cs="宋体"/>
                <w:color w:val="000000"/>
                <w:kern w:val="0"/>
                <w:sz w:val="24"/>
              </w:rPr>
            </w:pPr>
            <w:r>
              <w:rPr>
                <w:rFonts w:hint="eastAsia" w:ascii="宋体" w:hAnsi="宋体" w:cs="宋体"/>
                <w:b/>
                <w:bCs/>
                <w:color w:val="000000"/>
                <w:kern w:val="0"/>
                <w:sz w:val="24"/>
              </w:rPr>
              <w:t>数量</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757307DD">
            <w:pPr>
              <w:keepNext w:val="0"/>
              <w:keepLines w:val="0"/>
              <w:suppressLineNumbers w:val="0"/>
              <w:spacing w:before="0" w:beforeAutospacing="0" w:after="0" w:afterAutospacing="0"/>
              <w:ind w:left="0" w:right="0"/>
              <w:jc w:val="center"/>
              <w:rPr>
                <w:rFonts w:hint="eastAsia" w:ascii="宋体" w:hAnsi="宋体" w:cs="宋体" w:eastAsiaTheme="minorEastAsia"/>
                <w:b/>
                <w:bCs/>
                <w:color w:val="000000"/>
                <w:kern w:val="0"/>
                <w:sz w:val="24"/>
                <w:lang w:val="en-US" w:eastAsia="zh-CN"/>
              </w:rPr>
            </w:pPr>
            <w:r>
              <w:rPr>
                <w:rFonts w:hint="eastAsia" w:ascii="宋体" w:hAnsi="宋体" w:cs="宋体"/>
                <w:b/>
                <w:bCs/>
                <w:color w:val="000000"/>
                <w:kern w:val="0"/>
                <w:sz w:val="24"/>
                <w:lang w:val="en-US" w:eastAsia="zh-CN"/>
              </w:rPr>
              <w:t>单价（元）</w:t>
            </w:r>
          </w:p>
        </w:tc>
        <w:tc>
          <w:tcPr>
            <w:tcW w:w="637" w:type="pct"/>
            <w:tcBorders>
              <w:top w:val="single" w:color="auto" w:sz="4" w:space="0"/>
              <w:left w:val="single" w:color="auto" w:sz="4" w:space="0"/>
              <w:bottom w:val="single" w:color="auto" w:sz="4" w:space="0"/>
              <w:right w:val="single" w:color="auto" w:sz="4" w:space="0"/>
            </w:tcBorders>
            <w:noWrap w:val="0"/>
            <w:vAlign w:val="center"/>
          </w:tcPr>
          <w:p w14:paraId="79E7328D">
            <w:pPr>
              <w:keepNext w:val="0"/>
              <w:keepLines w:val="0"/>
              <w:suppressLineNumbers w:val="0"/>
              <w:spacing w:before="0" w:beforeAutospacing="0" w:after="0" w:afterAutospacing="0"/>
              <w:ind w:left="0" w:right="0"/>
              <w:jc w:val="center"/>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总价</w:t>
            </w:r>
          </w:p>
          <w:p w14:paraId="0D2562D8">
            <w:pPr>
              <w:keepNext w:val="0"/>
              <w:keepLines w:val="0"/>
              <w:suppressLineNumbers w:val="0"/>
              <w:spacing w:before="0" w:beforeAutospacing="0" w:after="0" w:afterAutospacing="0"/>
              <w:ind w:left="0" w:right="0"/>
              <w:jc w:val="center"/>
              <w:rPr>
                <w:rFonts w:hint="default" w:ascii="宋体" w:hAnsi="宋体" w:cs="宋体"/>
                <w:b/>
                <w:bCs/>
                <w:color w:val="000000"/>
                <w:kern w:val="0"/>
                <w:sz w:val="24"/>
                <w:lang w:val="en-US" w:eastAsia="zh-CN"/>
              </w:rPr>
            </w:pPr>
            <w:r>
              <w:rPr>
                <w:rFonts w:hint="eastAsia" w:ascii="宋体" w:hAnsi="宋体" w:cs="宋体"/>
                <w:b/>
                <w:bCs/>
                <w:color w:val="000000"/>
                <w:kern w:val="0"/>
                <w:sz w:val="24"/>
                <w:lang w:val="en-US" w:eastAsia="zh-CN"/>
              </w:rPr>
              <w:t>（元）</w:t>
            </w:r>
          </w:p>
        </w:tc>
      </w:tr>
      <w:tr w14:paraId="6807BCA3">
        <w:tblPrEx>
          <w:tblCellMar>
            <w:top w:w="0" w:type="dxa"/>
            <w:left w:w="108" w:type="dxa"/>
            <w:bottom w:w="0" w:type="dxa"/>
            <w:right w:w="108" w:type="dxa"/>
          </w:tblCellMar>
        </w:tblPrEx>
        <w:trPr>
          <w:trHeight w:val="3444" w:hRule="atLeast"/>
          <w:jc w:val="center"/>
        </w:trPr>
        <w:tc>
          <w:tcPr>
            <w:tcW w:w="395" w:type="pct"/>
            <w:tcBorders>
              <w:top w:val="nil"/>
              <w:left w:val="single" w:color="auto" w:sz="4" w:space="0"/>
              <w:bottom w:val="single" w:color="auto" w:sz="4" w:space="0"/>
              <w:right w:val="single" w:color="auto" w:sz="4" w:space="0"/>
            </w:tcBorders>
            <w:shd w:val="clear" w:color="auto" w:fill="auto"/>
            <w:noWrap w:val="0"/>
            <w:vAlign w:val="center"/>
          </w:tcPr>
          <w:p w14:paraId="0A5CB6F1">
            <w:pPr>
              <w:keepNext w:val="0"/>
              <w:keepLines w:val="0"/>
              <w:suppressLineNumbers w:val="0"/>
              <w:spacing w:before="0" w:beforeAutospacing="0" w:after="0" w:afterAutospacing="0"/>
              <w:ind w:left="0" w:right="0"/>
              <w:jc w:val="center"/>
              <w:rPr>
                <w:rFonts w:hint="default" w:ascii="宋体" w:cs="宋体"/>
                <w:color w:val="000000"/>
                <w:kern w:val="0"/>
                <w:sz w:val="21"/>
                <w:szCs w:val="21"/>
              </w:rPr>
            </w:pPr>
            <w:r>
              <w:rPr>
                <w:rFonts w:hint="default" w:ascii="宋体" w:hAnsi="宋体" w:cs="宋体"/>
                <w:color w:val="000000"/>
                <w:kern w:val="0"/>
                <w:sz w:val="21"/>
                <w:szCs w:val="21"/>
              </w:rPr>
              <w:t>1</w:t>
            </w:r>
          </w:p>
        </w:tc>
        <w:tc>
          <w:tcPr>
            <w:tcW w:w="1012" w:type="pct"/>
            <w:tcBorders>
              <w:top w:val="nil"/>
              <w:left w:val="nil"/>
              <w:bottom w:val="single" w:color="auto" w:sz="4" w:space="0"/>
              <w:right w:val="single" w:color="auto" w:sz="4" w:space="0"/>
            </w:tcBorders>
            <w:shd w:val="clear" w:color="auto" w:fill="auto"/>
            <w:noWrap w:val="0"/>
            <w:vAlign w:val="center"/>
          </w:tcPr>
          <w:p w14:paraId="0F1F242D">
            <w:pPr>
              <w:keepNext w:val="0"/>
              <w:keepLines w:val="0"/>
              <w:suppressLineNumbers w:val="0"/>
              <w:spacing w:before="0" w:beforeAutospacing="0" w:after="0" w:afterAutospacing="0"/>
              <w:ind w:left="0" w:right="0"/>
              <w:jc w:val="left"/>
              <w:rPr>
                <w:rFonts w:hint="default" w:asci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直流变频室外机</w:t>
            </w:r>
          </w:p>
        </w:tc>
        <w:tc>
          <w:tcPr>
            <w:tcW w:w="1465" w:type="pct"/>
            <w:tcBorders>
              <w:top w:val="nil"/>
              <w:left w:val="nil"/>
              <w:bottom w:val="single" w:color="auto" w:sz="4" w:space="0"/>
              <w:right w:val="single" w:color="auto" w:sz="4" w:space="0"/>
            </w:tcBorders>
            <w:shd w:val="clear" w:color="auto" w:fill="FFFFFF"/>
            <w:noWrap w:val="0"/>
            <w:vAlign w:val="center"/>
          </w:tcPr>
          <w:p w14:paraId="34BA0B03">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highlight w:val="yellow"/>
              </w:rPr>
            </w:pPr>
          </w:p>
          <w:p w14:paraId="2025BFC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kern w:val="0"/>
                <w:sz w:val="21"/>
                <w:szCs w:val="21"/>
              </w:rPr>
            </w:pPr>
            <w:r>
              <w:rPr>
                <w:rFonts w:hint="eastAsia" w:ascii="宋体" w:hAnsi="宋体" w:cs="宋体"/>
                <w:kern w:val="0"/>
                <w:sz w:val="21"/>
                <w:szCs w:val="21"/>
              </w:rPr>
              <w:t>制冷量/制热量：</w:t>
            </w:r>
          </w:p>
          <w:p w14:paraId="6FEBB23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kern w:val="0"/>
                <w:sz w:val="21"/>
                <w:szCs w:val="21"/>
                <w:lang w:eastAsia="zh-CN"/>
              </w:rPr>
            </w:pPr>
            <w:r>
              <w:rPr>
                <w:rFonts w:hint="eastAsia" w:ascii="宋体" w:hAnsi="宋体" w:cs="宋体"/>
                <w:kern w:val="0"/>
                <w:sz w:val="21"/>
                <w:szCs w:val="21"/>
              </w:rPr>
              <w:t>QL</w:t>
            </w:r>
            <w:r>
              <w:rPr>
                <w:rFonts w:hint="default" w:ascii="宋体" w:hAnsi="宋体" w:cs="宋体"/>
                <w:kern w:val="0"/>
                <w:sz w:val="21"/>
                <w:szCs w:val="21"/>
              </w:rPr>
              <w:t>≥</w:t>
            </w:r>
            <w:r>
              <w:rPr>
                <w:rFonts w:hint="eastAsia" w:ascii="宋体" w:hAnsi="宋体" w:cs="宋体"/>
                <w:kern w:val="0"/>
                <w:sz w:val="21"/>
                <w:szCs w:val="21"/>
              </w:rPr>
              <w:t xml:space="preserve">28.5kw </w:t>
            </w:r>
            <w:r>
              <w:rPr>
                <w:rFonts w:hint="eastAsia" w:ascii="宋体" w:hAnsi="宋体" w:cs="宋体"/>
                <w:kern w:val="0"/>
                <w:sz w:val="21"/>
                <w:szCs w:val="21"/>
                <w:lang w:eastAsia="zh-CN"/>
              </w:rPr>
              <w:t>，</w:t>
            </w:r>
          </w:p>
          <w:p w14:paraId="1D51BB7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kern w:val="0"/>
                <w:sz w:val="21"/>
                <w:szCs w:val="21"/>
                <w:lang w:eastAsia="zh-CN"/>
              </w:rPr>
            </w:pPr>
            <w:r>
              <w:rPr>
                <w:rFonts w:hint="eastAsia" w:ascii="宋体" w:hAnsi="宋体" w:cs="宋体"/>
                <w:kern w:val="0"/>
                <w:sz w:val="21"/>
                <w:szCs w:val="21"/>
              </w:rPr>
              <w:t>QR</w:t>
            </w:r>
            <w:r>
              <w:rPr>
                <w:rFonts w:hint="default" w:ascii="宋体" w:hAnsi="宋体" w:cs="宋体"/>
                <w:kern w:val="0"/>
                <w:sz w:val="21"/>
                <w:szCs w:val="21"/>
              </w:rPr>
              <w:t>≥</w:t>
            </w:r>
            <w:r>
              <w:rPr>
                <w:rFonts w:hint="eastAsia" w:ascii="宋体" w:hAnsi="宋体" w:cs="宋体"/>
                <w:kern w:val="0"/>
                <w:sz w:val="21"/>
                <w:szCs w:val="21"/>
              </w:rPr>
              <w:t>31.5kw</w:t>
            </w:r>
            <w:r>
              <w:rPr>
                <w:rFonts w:hint="eastAsia" w:ascii="宋体" w:hAnsi="宋体" w:cs="宋体"/>
                <w:kern w:val="0"/>
                <w:sz w:val="21"/>
                <w:szCs w:val="21"/>
                <w:lang w:eastAsia="zh-CN"/>
              </w:rPr>
              <w:t>；</w:t>
            </w:r>
          </w:p>
          <w:p w14:paraId="343D622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kern w:val="0"/>
                <w:sz w:val="21"/>
                <w:szCs w:val="21"/>
                <w:lang w:eastAsia="zh-CN"/>
              </w:rPr>
            </w:pPr>
            <w:r>
              <w:rPr>
                <w:rFonts w:hint="eastAsia" w:ascii="宋体" w:hAnsi="宋体" w:cs="宋体"/>
                <w:kern w:val="0"/>
                <w:sz w:val="21"/>
                <w:szCs w:val="21"/>
              </w:rPr>
              <w:t>风量≥12000m³/h</w:t>
            </w:r>
            <w:r>
              <w:rPr>
                <w:rFonts w:hint="eastAsia" w:ascii="宋体" w:hAnsi="宋体" w:cs="宋体"/>
                <w:kern w:val="0"/>
                <w:sz w:val="21"/>
                <w:szCs w:val="21"/>
                <w:lang w:eastAsia="zh-CN"/>
              </w:rPr>
              <w:t>；</w:t>
            </w:r>
          </w:p>
          <w:p w14:paraId="5EF4E105">
            <w:pPr>
              <w:keepNext w:val="0"/>
              <w:keepLines w:val="0"/>
              <w:widowControl/>
              <w:suppressLineNumbers w:val="0"/>
              <w:spacing w:before="0" w:beforeAutospacing="0" w:after="0" w:afterAutospacing="0" w:line="240" w:lineRule="auto"/>
              <w:ind w:left="0" w:right="0" w:hanging="4"/>
              <w:rPr>
                <w:rFonts w:hint="eastAsia" w:ascii="宋体" w:hAnsi="宋体" w:cs="宋体" w:eastAsiaTheme="minorEastAsia"/>
                <w:color w:val="000000"/>
                <w:kern w:val="0"/>
                <w:sz w:val="21"/>
                <w:szCs w:val="21"/>
                <w:lang w:eastAsia="zh-CN"/>
              </w:rPr>
            </w:pPr>
            <w:r>
              <w:rPr>
                <w:rFonts w:hint="eastAsia" w:ascii="宋体" w:hAnsi="宋体" w:cs="宋体"/>
                <w:color w:val="000000"/>
                <w:kern w:val="0"/>
                <w:sz w:val="21"/>
                <w:szCs w:val="21"/>
              </w:rPr>
              <w:t>噪音≤60dB(A)</w:t>
            </w:r>
            <w:r>
              <w:rPr>
                <w:rFonts w:hint="eastAsia" w:ascii="宋体" w:hAnsi="宋体" w:cs="宋体"/>
                <w:color w:val="000000"/>
                <w:kern w:val="0"/>
                <w:sz w:val="21"/>
                <w:szCs w:val="21"/>
                <w:lang w:eastAsia="zh-CN"/>
              </w:rPr>
              <w:t>；</w:t>
            </w:r>
          </w:p>
          <w:p w14:paraId="0AAFC7E7">
            <w:pPr>
              <w:keepNext w:val="0"/>
              <w:keepLines w:val="0"/>
              <w:widowControl/>
              <w:suppressLineNumbers w:val="0"/>
              <w:spacing w:before="0" w:beforeAutospacing="0" w:after="0" w:afterAutospacing="0" w:line="240" w:lineRule="auto"/>
              <w:ind w:left="0" w:right="0" w:hanging="4"/>
              <w:rPr>
                <w:rFonts w:hint="eastAsia" w:ascii="宋体" w:hAnsi="宋体" w:cs="宋体" w:eastAsiaTheme="minorEastAsia"/>
                <w:color w:val="000000"/>
                <w:kern w:val="0"/>
                <w:sz w:val="21"/>
                <w:szCs w:val="21"/>
                <w:lang w:eastAsia="zh-CN"/>
              </w:rPr>
            </w:pPr>
            <w:r>
              <w:rPr>
                <w:rFonts w:hint="eastAsia" w:ascii="宋体" w:hAnsi="宋体" w:cs="宋体"/>
                <w:color w:val="000000"/>
                <w:kern w:val="0"/>
                <w:sz w:val="21"/>
                <w:szCs w:val="21"/>
              </w:rPr>
              <w:t>IPLV≥7.0</w:t>
            </w:r>
            <w:r>
              <w:rPr>
                <w:rFonts w:hint="eastAsia" w:ascii="宋体" w:hAnsi="宋体" w:cs="宋体"/>
                <w:color w:val="000000"/>
                <w:kern w:val="0"/>
                <w:sz w:val="21"/>
                <w:szCs w:val="21"/>
                <w:lang w:eastAsia="zh-CN"/>
              </w:rPr>
              <w:t>；</w:t>
            </w:r>
          </w:p>
          <w:p w14:paraId="635D99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color w:val="000000"/>
                <w:kern w:val="0"/>
                <w:sz w:val="21"/>
                <w:szCs w:val="21"/>
                <w:lang w:eastAsia="zh-CN"/>
              </w:rPr>
            </w:pPr>
            <w:r>
              <w:rPr>
                <w:rFonts w:hint="eastAsia" w:ascii="宋体" w:hAnsi="宋体" w:cs="宋体"/>
                <w:color w:val="000000"/>
                <w:kern w:val="0"/>
                <w:sz w:val="21"/>
                <w:szCs w:val="21"/>
              </w:rPr>
              <w:t>APF值≥4.5</w:t>
            </w:r>
            <w:r>
              <w:rPr>
                <w:rFonts w:hint="eastAsia" w:ascii="宋体" w:hAnsi="宋体" w:cs="宋体"/>
                <w:color w:val="000000"/>
                <w:kern w:val="0"/>
                <w:sz w:val="21"/>
                <w:szCs w:val="21"/>
                <w:lang w:eastAsia="zh-CN"/>
              </w:rPr>
              <w:t>；</w:t>
            </w:r>
          </w:p>
          <w:p w14:paraId="2703C48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eastAsiaTheme="minorEastAsia"/>
                <w:kern w:val="0"/>
                <w:sz w:val="21"/>
                <w:szCs w:val="21"/>
                <w:lang w:eastAsia="zh-CN"/>
              </w:rPr>
            </w:pPr>
            <w:r>
              <w:rPr>
                <w:rFonts w:hint="eastAsia" w:ascii="宋体" w:hAnsi="宋体" w:cs="宋体"/>
                <w:kern w:val="0"/>
                <w:sz w:val="21"/>
                <w:szCs w:val="21"/>
              </w:rPr>
              <w:t>采用直流变频风扇电机</w:t>
            </w:r>
            <w:r>
              <w:rPr>
                <w:rFonts w:hint="eastAsia" w:ascii="宋体" w:hAnsi="宋体" w:cs="宋体"/>
                <w:kern w:val="0"/>
                <w:sz w:val="21"/>
                <w:szCs w:val="21"/>
                <w:lang w:eastAsia="zh-CN"/>
              </w:rPr>
              <w:t>；</w:t>
            </w:r>
          </w:p>
          <w:p w14:paraId="78DB6EC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eastAsiaTheme="minorEastAsia"/>
                <w:kern w:val="0"/>
                <w:sz w:val="21"/>
                <w:szCs w:val="21"/>
                <w:lang w:eastAsia="zh-CN"/>
              </w:rPr>
            </w:pPr>
            <w:r>
              <w:rPr>
                <w:rFonts w:hint="eastAsia" w:ascii="宋体" w:hAnsi="宋体" w:cs="宋体"/>
                <w:kern w:val="0"/>
                <w:sz w:val="21"/>
                <w:szCs w:val="21"/>
              </w:rPr>
              <w:t>机组采用直流变频压缩机</w:t>
            </w:r>
            <w:r>
              <w:rPr>
                <w:rFonts w:hint="eastAsia" w:ascii="宋体" w:hAnsi="宋体" w:cs="宋体"/>
                <w:kern w:val="0"/>
                <w:sz w:val="21"/>
                <w:szCs w:val="21"/>
                <w:lang w:eastAsia="zh-CN"/>
              </w:rPr>
              <w:t>；</w:t>
            </w:r>
          </w:p>
          <w:p w14:paraId="0ECFA9A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cs="宋体"/>
                <w:kern w:val="0"/>
                <w:sz w:val="21"/>
                <w:szCs w:val="21"/>
              </w:rPr>
            </w:pPr>
            <w:r>
              <w:rPr>
                <w:rFonts w:hint="eastAsia" w:ascii="宋体" w:hAnsi="宋体" w:cs="宋体"/>
                <w:kern w:val="0"/>
                <w:sz w:val="21"/>
                <w:szCs w:val="21"/>
              </w:rPr>
              <w:t>具有智能化霜功能。</w:t>
            </w:r>
          </w:p>
          <w:p w14:paraId="365C240C">
            <w:pPr>
              <w:keepNext w:val="0"/>
              <w:keepLines w:val="0"/>
              <w:widowControl/>
              <w:suppressLineNumbers w:val="0"/>
              <w:spacing w:before="0" w:beforeAutospacing="0" w:after="0" w:afterAutospacing="0"/>
              <w:ind w:left="0" w:right="0" w:hanging="4"/>
              <w:rPr>
                <w:rFonts w:hint="eastAsia" w:ascii="宋体" w:hAnsi="宋体" w:cs="宋体"/>
                <w:color w:val="000000"/>
                <w:kern w:val="0"/>
                <w:sz w:val="21"/>
                <w:szCs w:val="21"/>
                <w:lang w:eastAsia="zh-CN"/>
              </w:rPr>
            </w:pPr>
          </w:p>
        </w:tc>
        <w:tc>
          <w:tcPr>
            <w:tcW w:w="451" w:type="pct"/>
            <w:tcBorders>
              <w:top w:val="nil"/>
              <w:left w:val="nil"/>
              <w:bottom w:val="single" w:color="auto" w:sz="4" w:space="0"/>
              <w:right w:val="single" w:color="auto" w:sz="4" w:space="0"/>
            </w:tcBorders>
            <w:noWrap w:val="0"/>
            <w:vAlign w:val="center"/>
          </w:tcPr>
          <w:p w14:paraId="524903B1">
            <w:pPr>
              <w:keepNext w:val="0"/>
              <w:keepLines w:val="0"/>
              <w:suppressLineNumbers w:val="0"/>
              <w:spacing w:before="0" w:beforeAutospacing="0" w:after="0" w:afterAutospacing="0"/>
              <w:ind w:left="0" w:right="0"/>
              <w:jc w:val="center"/>
              <w:rPr>
                <w:rFonts w:hint="default" w:ascii="宋体" w:cs="宋体"/>
                <w:color w:val="000000"/>
                <w:kern w:val="0"/>
                <w:sz w:val="21"/>
                <w:szCs w:val="21"/>
              </w:rPr>
            </w:pPr>
            <w:r>
              <w:rPr>
                <w:rFonts w:hint="eastAsia" w:ascii="宋体" w:hAnsi="宋体" w:cs="宋体"/>
                <w:color w:val="000000"/>
                <w:kern w:val="0"/>
                <w:sz w:val="21"/>
                <w:szCs w:val="21"/>
              </w:rPr>
              <w:t>台</w:t>
            </w:r>
          </w:p>
        </w:tc>
        <w:tc>
          <w:tcPr>
            <w:tcW w:w="435" w:type="pct"/>
            <w:tcBorders>
              <w:top w:val="nil"/>
              <w:left w:val="nil"/>
              <w:bottom w:val="single" w:color="auto" w:sz="4" w:space="0"/>
              <w:right w:val="single" w:color="auto" w:sz="4" w:space="0"/>
            </w:tcBorders>
            <w:noWrap w:val="0"/>
            <w:vAlign w:val="center"/>
          </w:tcPr>
          <w:p w14:paraId="2FFD60FA">
            <w:pPr>
              <w:keepNext w:val="0"/>
              <w:keepLines w:val="0"/>
              <w:suppressLineNumbers w:val="0"/>
              <w:spacing w:before="0" w:beforeAutospacing="0" w:after="0" w:afterAutospacing="0"/>
              <w:ind w:left="0" w:right="0"/>
              <w:jc w:val="center"/>
              <w:rPr>
                <w:rFonts w:hint="eastAsia" w:ascii="宋体" w:cs="宋体"/>
                <w:color w:val="000000"/>
                <w:kern w:val="0"/>
                <w:sz w:val="21"/>
                <w:szCs w:val="21"/>
              </w:rPr>
            </w:pPr>
            <w:r>
              <w:rPr>
                <w:rFonts w:hint="eastAsia" w:ascii="宋体" w:hAnsi="宋体" w:cs="宋体"/>
                <w:color w:val="000000"/>
                <w:kern w:val="0"/>
                <w:sz w:val="21"/>
                <w:szCs w:val="21"/>
              </w:rPr>
              <w:t>1</w:t>
            </w:r>
          </w:p>
        </w:tc>
        <w:tc>
          <w:tcPr>
            <w:tcW w:w="602" w:type="pct"/>
            <w:tcBorders>
              <w:top w:val="nil"/>
              <w:left w:val="nil"/>
              <w:bottom w:val="single" w:color="auto" w:sz="4" w:space="0"/>
              <w:right w:val="single" w:color="auto" w:sz="4" w:space="0"/>
            </w:tcBorders>
            <w:noWrap w:val="0"/>
            <w:vAlign w:val="center"/>
          </w:tcPr>
          <w:p w14:paraId="23B9C2B1">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39000</w:t>
            </w:r>
          </w:p>
        </w:tc>
        <w:tc>
          <w:tcPr>
            <w:tcW w:w="637" w:type="pct"/>
            <w:tcBorders>
              <w:top w:val="nil"/>
              <w:left w:val="nil"/>
              <w:bottom w:val="single" w:color="auto" w:sz="4" w:space="0"/>
              <w:right w:val="single" w:color="auto" w:sz="4" w:space="0"/>
            </w:tcBorders>
            <w:noWrap w:val="0"/>
            <w:vAlign w:val="center"/>
          </w:tcPr>
          <w:p w14:paraId="2E1C73C7">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39000</w:t>
            </w:r>
          </w:p>
        </w:tc>
      </w:tr>
      <w:tr w14:paraId="4E1D0A46">
        <w:tblPrEx>
          <w:tblCellMar>
            <w:top w:w="0" w:type="dxa"/>
            <w:left w:w="108" w:type="dxa"/>
            <w:bottom w:w="0" w:type="dxa"/>
            <w:right w:w="108" w:type="dxa"/>
          </w:tblCellMar>
        </w:tblPrEx>
        <w:trPr>
          <w:trHeight w:val="1820" w:hRule="atLeast"/>
          <w:jc w:val="center"/>
        </w:trPr>
        <w:tc>
          <w:tcPr>
            <w:tcW w:w="3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A0A937">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rPr>
            </w:pPr>
            <w:r>
              <w:rPr>
                <w:rFonts w:hint="eastAsia" w:ascii="宋体" w:hAnsi="宋体" w:cs="宋体"/>
                <w:color w:val="000000"/>
                <w:kern w:val="0"/>
                <w:sz w:val="21"/>
                <w:szCs w:val="21"/>
              </w:rPr>
              <w:t>2</w:t>
            </w:r>
          </w:p>
        </w:tc>
        <w:tc>
          <w:tcPr>
            <w:tcW w:w="1012" w:type="pct"/>
            <w:tcBorders>
              <w:top w:val="single" w:color="auto" w:sz="4" w:space="0"/>
              <w:left w:val="nil"/>
              <w:bottom w:val="single" w:color="auto" w:sz="4" w:space="0"/>
              <w:right w:val="single" w:color="auto" w:sz="4" w:space="0"/>
            </w:tcBorders>
            <w:shd w:val="clear" w:color="auto" w:fill="auto"/>
            <w:noWrap w:val="0"/>
            <w:vAlign w:val="center"/>
          </w:tcPr>
          <w:p w14:paraId="08946D5F">
            <w:pPr>
              <w:keepNext w:val="0"/>
              <w:keepLines w:val="0"/>
              <w:suppressLineNumbers w:val="0"/>
              <w:spacing w:before="0" w:beforeAutospacing="0" w:after="0" w:afterAutospacing="0"/>
              <w:ind w:left="0" w:right="0"/>
              <w:jc w:val="left"/>
              <w:rPr>
                <w:rFonts w:hint="default" w:ascii="宋体" w:hAnsi="宋体" w:cs="宋体"/>
                <w:color w:val="000000"/>
                <w:kern w:val="0"/>
                <w:sz w:val="21"/>
                <w:szCs w:val="21"/>
              </w:rPr>
            </w:pPr>
            <w:r>
              <w:rPr>
                <w:rFonts w:hint="eastAsia" w:ascii="宋体" w:hAnsi="宋体" w:cs="宋体"/>
                <w:color w:val="000000"/>
                <w:kern w:val="0"/>
                <w:sz w:val="21"/>
                <w:szCs w:val="21"/>
              </w:rPr>
              <w:t>环形出风嵌入式室内机</w:t>
            </w:r>
          </w:p>
        </w:tc>
        <w:tc>
          <w:tcPr>
            <w:tcW w:w="146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3B2B4F">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highlight w:val="yellow"/>
              </w:rPr>
            </w:pPr>
          </w:p>
          <w:p w14:paraId="4C6F8493">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rPr>
            </w:pPr>
            <w:r>
              <w:rPr>
                <w:rFonts w:hint="eastAsia" w:ascii="宋体" w:hAnsi="宋体" w:cs="宋体"/>
                <w:color w:val="000000"/>
                <w:kern w:val="0"/>
                <w:sz w:val="21"/>
                <w:szCs w:val="21"/>
              </w:rPr>
              <w:t>制冷量/制热量：</w:t>
            </w:r>
          </w:p>
          <w:p w14:paraId="36075E1C">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QL</w:t>
            </w:r>
            <w:r>
              <w:rPr>
                <w:rFonts w:hint="default" w:ascii="宋体" w:hAnsi="宋体" w:cs="宋体"/>
                <w:color w:val="000000"/>
                <w:kern w:val="0"/>
                <w:sz w:val="21"/>
                <w:szCs w:val="21"/>
              </w:rPr>
              <w:t>≥</w:t>
            </w:r>
            <w:r>
              <w:rPr>
                <w:rFonts w:hint="eastAsia" w:ascii="宋体" w:hAnsi="宋体" w:cs="宋体"/>
                <w:color w:val="000000"/>
                <w:kern w:val="0"/>
                <w:sz w:val="21"/>
                <w:szCs w:val="21"/>
              </w:rPr>
              <w:t xml:space="preserve">5.0kw </w:t>
            </w:r>
            <w:r>
              <w:rPr>
                <w:rFonts w:hint="eastAsia" w:ascii="宋体" w:hAnsi="宋体" w:cs="宋体"/>
                <w:color w:val="000000"/>
                <w:kern w:val="0"/>
                <w:sz w:val="21"/>
                <w:szCs w:val="21"/>
                <w:lang w:eastAsia="zh-CN"/>
              </w:rPr>
              <w:t>，</w:t>
            </w:r>
          </w:p>
          <w:p w14:paraId="7A7BF394">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QR</w:t>
            </w:r>
            <w:r>
              <w:rPr>
                <w:rFonts w:hint="default" w:ascii="宋体" w:hAnsi="宋体" w:cs="宋体"/>
                <w:color w:val="000000"/>
                <w:kern w:val="0"/>
                <w:sz w:val="21"/>
                <w:szCs w:val="21"/>
              </w:rPr>
              <w:t>≥</w:t>
            </w:r>
            <w:r>
              <w:rPr>
                <w:rFonts w:hint="eastAsia" w:ascii="宋体" w:hAnsi="宋体" w:cs="宋体"/>
                <w:color w:val="000000"/>
                <w:kern w:val="0"/>
                <w:sz w:val="21"/>
                <w:szCs w:val="21"/>
              </w:rPr>
              <w:t>5.6kw</w:t>
            </w:r>
            <w:r>
              <w:rPr>
                <w:rFonts w:hint="eastAsia" w:ascii="宋体" w:hAnsi="宋体" w:cs="宋体"/>
                <w:color w:val="000000"/>
                <w:kern w:val="0"/>
                <w:sz w:val="21"/>
                <w:szCs w:val="21"/>
                <w:lang w:eastAsia="zh-CN"/>
              </w:rPr>
              <w:t>；</w:t>
            </w:r>
          </w:p>
          <w:p w14:paraId="16D56EB2">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功率≤40W</w:t>
            </w:r>
            <w:r>
              <w:rPr>
                <w:rFonts w:hint="eastAsia" w:ascii="宋体" w:hAnsi="宋体" w:cs="宋体"/>
                <w:color w:val="000000"/>
                <w:kern w:val="0"/>
                <w:sz w:val="21"/>
                <w:szCs w:val="21"/>
                <w:lang w:eastAsia="zh-CN"/>
              </w:rPr>
              <w:t>；</w:t>
            </w:r>
          </w:p>
          <w:p w14:paraId="0CA2226F">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循环风量≥840m³/h</w:t>
            </w:r>
            <w:r>
              <w:rPr>
                <w:rFonts w:hint="eastAsia" w:ascii="宋体" w:hAnsi="宋体" w:cs="宋体"/>
                <w:color w:val="000000"/>
                <w:kern w:val="0"/>
                <w:sz w:val="21"/>
                <w:szCs w:val="21"/>
                <w:lang w:eastAsia="zh-CN"/>
              </w:rPr>
              <w:t>；</w:t>
            </w:r>
          </w:p>
          <w:p w14:paraId="397175A3">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噪音≤33dB</w:t>
            </w:r>
            <w:r>
              <w:rPr>
                <w:rFonts w:hint="eastAsia" w:ascii="宋体" w:hAnsi="宋体" w:cs="宋体"/>
                <w:color w:val="000000"/>
                <w:kern w:val="0"/>
                <w:sz w:val="21"/>
                <w:szCs w:val="21"/>
                <w:lang w:eastAsia="zh-CN"/>
              </w:rPr>
              <w:t>；</w:t>
            </w:r>
          </w:p>
          <w:p w14:paraId="0A5EC97A">
            <w:pPr>
              <w:pStyle w:val="2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仿宋" w:hAnsi="仿宋" w:eastAsia="仿宋" w:cs="仿宋"/>
                <w:b w:val="0"/>
                <w:bCs w:val="0"/>
                <w:sz w:val="21"/>
                <w:szCs w:val="21"/>
                <w:u w:val="none"/>
                <w:lang w:val="en-US" w:eastAsia="zh-CN"/>
              </w:rPr>
            </w:pPr>
            <w:r>
              <w:rPr>
                <w:rFonts w:hint="eastAsia" w:ascii="宋体" w:hAnsi="宋体" w:cs="宋体"/>
                <w:color w:val="000000"/>
                <w:kern w:val="0"/>
                <w:sz w:val="21"/>
                <w:szCs w:val="21"/>
              </w:rPr>
              <w:t>标配冷凝水提升水泵</w:t>
            </w:r>
            <w:r>
              <w:rPr>
                <w:rFonts w:hint="eastAsia" w:ascii="宋体" w:hAnsi="宋体" w:cs="宋体"/>
                <w:color w:val="000000"/>
                <w:sz w:val="21"/>
                <w:szCs w:val="21"/>
              </w:rPr>
              <w:t>。</w:t>
            </w:r>
          </w:p>
          <w:p w14:paraId="66154768">
            <w:pPr>
              <w:keepNext w:val="0"/>
              <w:keepLines w:val="0"/>
              <w:widowControl/>
              <w:suppressLineNumbers w:val="0"/>
              <w:spacing w:before="0" w:beforeAutospacing="0" w:after="0" w:afterAutospacing="0"/>
              <w:ind w:left="0" w:right="0" w:hanging="4"/>
              <w:rPr>
                <w:rFonts w:hint="eastAsia" w:ascii="宋体" w:hAnsi="宋体" w:cs="宋体"/>
                <w:color w:val="000000"/>
                <w:kern w:val="0"/>
                <w:sz w:val="21"/>
                <w:szCs w:val="21"/>
                <w:lang w:eastAsia="zh-CN"/>
              </w:rPr>
            </w:pPr>
          </w:p>
        </w:tc>
        <w:tc>
          <w:tcPr>
            <w:tcW w:w="451" w:type="pct"/>
            <w:tcBorders>
              <w:top w:val="single" w:color="auto" w:sz="4" w:space="0"/>
              <w:left w:val="nil"/>
              <w:bottom w:val="single" w:color="auto" w:sz="4" w:space="0"/>
              <w:right w:val="single" w:color="auto" w:sz="4" w:space="0"/>
            </w:tcBorders>
            <w:noWrap w:val="0"/>
            <w:vAlign w:val="center"/>
          </w:tcPr>
          <w:p w14:paraId="2EB5A678">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rPr>
            </w:pPr>
            <w:r>
              <w:rPr>
                <w:rFonts w:hint="eastAsia" w:ascii="宋体" w:hAnsi="宋体" w:cs="宋体"/>
                <w:color w:val="000000"/>
                <w:kern w:val="0"/>
                <w:sz w:val="21"/>
                <w:szCs w:val="21"/>
              </w:rPr>
              <w:t>台</w:t>
            </w:r>
          </w:p>
        </w:tc>
        <w:tc>
          <w:tcPr>
            <w:tcW w:w="435" w:type="pct"/>
            <w:tcBorders>
              <w:top w:val="single" w:color="auto" w:sz="4" w:space="0"/>
              <w:left w:val="nil"/>
              <w:bottom w:val="single" w:color="auto" w:sz="4" w:space="0"/>
              <w:right w:val="single" w:color="auto" w:sz="4" w:space="0"/>
            </w:tcBorders>
            <w:noWrap w:val="0"/>
            <w:vAlign w:val="center"/>
          </w:tcPr>
          <w:p w14:paraId="29524AD8">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602" w:type="pct"/>
            <w:tcBorders>
              <w:top w:val="single" w:color="auto" w:sz="4" w:space="0"/>
              <w:left w:val="nil"/>
              <w:bottom w:val="single" w:color="auto" w:sz="4" w:space="0"/>
              <w:right w:val="single" w:color="auto" w:sz="4" w:space="0"/>
            </w:tcBorders>
            <w:noWrap w:val="0"/>
            <w:vAlign w:val="center"/>
          </w:tcPr>
          <w:p w14:paraId="281A2EE5">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3000</w:t>
            </w:r>
          </w:p>
        </w:tc>
        <w:tc>
          <w:tcPr>
            <w:tcW w:w="637" w:type="pct"/>
            <w:tcBorders>
              <w:top w:val="single" w:color="auto" w:sz="4" w:space="0"/>
              <w:left w:val="nil"/>
              <w:bottom w:val="single" w:color="auto" w:sz="4" w:space="0"/>
              <w:right w:val="single" w:color="auto" w:sz="4" w:space="0"/>
            </w:tcBorders>
            <w:noWrap w:val="0"/>
            <w:vAlign w:val="center"/>
          </w:tcPr>
          <w:p w14:paraId="63201591">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12000</w:t>
            </w:r>
          </w:p>
        </w:tc>
      </w:tr>
      <w:tr w14:paraId="55C39793">
        <w:tblPrEx>
          <w:tblCellMar>
            <w:top w:w="0" w:type="dxa"/>
            <w:left w:w="108" w:type="dxa"/>
            <w:bottom w:w="0" w:type="dxa"/>
            <w:right w:w="108" w:type="dxa"/>
          </w:tblCellMar>
        </w:tblPrEx>
        <w:trPr>
          <w:trHeight w:val="1651" w:hRule="atLeast"/>
          <w:jc w:val="center"/>
        </w:trPr>
        <w:tc>
          <w:tcPr>
            <w:tcW w:w="3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CF375D">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012" w:type="pct"/>
            <w:tcBorders>
              <w:top w:val="single" w:color="auto" w:sz="4" w:space="0"/>
              <w:left w:val="nil"/>
              <w:bottom w:val="single" w:color="auto" w:sz="4" w:space="0"/>
              <w:right w:val="single" w:color="auto" w:sz="4" w:space="0"/>
            </w:tcBorders>
            <w:shd w:val="clear" w:color="auto" w:fill="auto"/>
            <w:noWrap w:val="0"/>
            <w:vAlign w:val="center"/>
          </w:tcPr>
          <w:p w14:paraId="0047CB67">
            <w:pPr>
              <w:keepNext w:val="0"/>
              <w:keepLines w:val="0"/>
              <w:suppressLineNumbers w:val="0"/>
              <w:spacing w:before="0" w:beforeAutospacing="0" w:after="0" w:afterAutospacing="0"/>
              <w:ind w:left="0" w:right="0"/>
              <w:jc w:val="left"/>
              <w:rPr>
                <w:rFonts w:hint="default" w:ascii="宋体" w:hAnsi="宋体" w:cs="宋体"/>
                <w:color w:val="000000"/>
                <w:kern w:val="0"/>
                <w:sz w:val="21"/>
                <w:szCs w:val="21"/>
              </w:rPr>
            </w:pPr>
            <w:r>
              <w:rPr>
                <w:rFonts w:hint="eastAsia" w:ascii="宋体" w:hAnsi="宋体" w:cs="宋体"/>
                <w:color w:val="000000"/>
                <w:kern w:val="0"/>
                <w:sz w:val="21"/>
                <w:szCs w:val="21"/>
              </w:rPr>
              <w:t>环形出风嵌入式室内机</w:t>
            </w:r>
          </w:p>
        </w:tc>
        <w:tc>
          <w:tcPr>
            <w:tcW w:w="146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B50778">
            <w:pPr>
              <w:keepNext w:val="0"/>
              <w:keepLines w:val="0"/>
              <w:widowControl/>
              <w:suppressLineNumbers w:val="0"/>
              <w:spacing w:before="0" w:beforeAutospacing="0" w:after="0" w:afterAutospacing="0" w:line="240" w:lineRule="auto"/>
              <w:ind w:left="0" w:right="0"/>
              <w:rPr>
                <w:rFonts w:hint="eastAsia" w:ascii="宋体" w:hAnsi="宋体" w:cs="宋体"/>
                <w:color w:val="000000"/>
                <w:kern w:val="0"/>
                <w:sz w:val="21"/>
                <w:szCs w:val="21"/>
                <w:highlight w:val="yellow"/>
                <w:lang w:eastAsia="zh-CN"/>
              </w:rPr>
            </w:pPr>
          </w:p>
          <w:p w14:paraId="3908589D">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rPr>
            </w:pPr>
            <w:r>
              <w:rPr>
                <w:rFonts w:hint="eastAsia" w:ascii="宋体" w:hAnsi="宋体" w:cs="宋体"/>
                <w:color w:val="000000"/>
                <w:kern w:val="0"/>
                <w:sz w:val="21"/>
                <w:szCs w:val="21"/>
              </w:rPr>
              <w:t>制冷量/制热量：</w:t>
            </w:r>
          </w:p>
          <w:p w14:paraId="3597DC3C">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QL</w:t>
            </w:r>
            <w:r>
              <w:rPr>
                <w:rFonts w:hint="default" w:ascii="宋体" w:hAnsi="宋体" w:cs="宋体"/>
                <w:color w:val="000000"/>
                <w:kern w:val="0"/>
                <w:sz w:val="21"/>
                <w:szCs w:val="21"/>
              </w:rPr>
              <w:t>≥</w:t>
            </w:r>
            <w:r>
              <w:rPr>
                <w:rFonts w:hint="eastAsia" w:ascii="宋体" w:hAnsi="宋体" w:cs="宋体"/>
                <w:color w:val="000000"/>
                <w:kern w:val="0"/>
                <w:sz w:val="21"/>
                <w:szCs w:val="21"/>
              </w:rPr>
              <w:t xml:space="preserve">5.6kw </w:t>
            </w:r>
            <w:r>
              <w:rPr>
                <w:rFonts w:hint="eastAsia" w:ascii="宋体" w:hAnsi="宋体" w:cs="宋体"/>
                <w:color w:val="000000"/>
                <w:kern w:val="0"/>
                <w:sz w:val="21"/>
                <w:szCs w:val="21"/>
                <w:lang w:eastAsia="zh-CN"/>
              </w:rPr>
              <w:t>，</w:t>
            </w:r>
          </w:p>
          <w:p w14:paraId="24837239">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QR</w:t>
            </w:r>
            <w:r>
              <w:rPr>
                <w:rFonts w:hint="default" w:ascii="宋体" w:hAnsi="宋体" w:cs="宋体"/>
                <w:color w:val="000000"/>
                <w:kern w:val="0"/>
                <w:sz w:val="21"/>
                <w:szCs w:val="21"/>
              </w:rPr>
              <w:t>≥</w:t>
            </w:r>
            <w:r>
              <w:rPr>
                <w:rFonts w:hint="eastAsia" w:ascii="宋体" w:hAnsi="宋体" w:cs="宋体"/>
                <w:color w:val="000000"/>
                <w:kern w:val="0"/>
                <w:sz w:val="21"/>
                <w:szCs w:val="21"/>
              </w:rPr>
              <w:t>6.3kw</w:t>
            </w:r>
            <w:r>
              <w:rPr>
                <w:rFonts w:hint="eastAsia" w:ascii="宋体" w:hAnsi="宋体" w:cs="宋体"/>
                <w:color w:val="000000"/>
                <w:kern w:val="0"/>
                <w:sz w:val="21"/>
                <w:szCs w:val="21"/>
                <w:lang w:eastAsia="zh-CN"/>
              </w:rPr>
              <w:t>；</w:t>
            </w:r>
          </w:p>
          <w:p w14:paraId="750118AC">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功率≤40W</w:t>
            </w:r>
            <w:r>
              <w:rPr>
                <w:rFonts w:hint="eastAsia" w:ascii="宋体" w:hAnsi="宋体" w:cs="宋体"/>
                <w:color w:val="000000"/>
                <w:kern w:val="0"/>
                <w:sz w:val="21"/>
                <w:szCs w:val="21"/>
                <w:lang w:eastAsia="zh-CN"/>
              </w:rPr>
              <w:t>；</w:t>
            </w:r>
          </w:p>
          <w:p w14:paraId="63DECDCB">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循环风量≥840m³/h</w:t>
            </w:r>
            <w:r>
              <w:rPr>
                <w:rFonts w:hint="eastAsia" w:ascii="宋体" w:hAnsi="宋体" w:cs="宋体"/>
                <w:color w:val="000000"/>
                <w:kern w:val="0"/>
                <w:sz w:val="21"/>
                <w:szCs w:val="21"/>
                <w:lang w:eastAsia="zh-CN"/>
              </w:rPr>
              <w:t>；</w:t>
            </w:r>
          </w:p>
          <w:p w14:paraId="51E07039">
            <w:pPr>
              <w:keepNext w:val="0"/>
              <w:keepLines w:val="0"/>
              <w:widowControl/>
              <w:suppressLineNumbers w:val="0"/>
              <w:spacing w:before="0" w:beforeAutospacing="0" w:after="0" w:afterAutospacing="0" w:line="240" w:lineRule="auto"/>
              <w:ind w:left="0" w:right="0" w:hanging="4"/>
              <w:rPr>
                <w:rFonts w:hint="eastAsia" w:ascii="宋体" w:hAnsi="宋体" w:cs="宋体"/>
                <w:color w:val="000000"/>
                <w:kern w:val="0"/>
                <w:sz w:val="21"/>
                <w:szCs w:val="21"/>
                <w:lang w:eastAsia="zh-CN"/>
              </w:rPr>
            </w:pPr>
            <w:r>
              <w:rPr>
                <w:rFonts w:hint="eastAsia" w:ascii="宋体" w:hAnsi="宋体" w:cs="宋体"/>
                <w:color w:val="000000"/>
                <w:kern w:val="0"/>
                <w:sz w:val="21"/>
                <w:szCs w:val="21"/>
              </w:rPr>
              <w:t>噪音≤33dB</w:t>
            </w:r>
            <w:r>
              <w:rPr>
                <w:rFonts w:hint="eastAsia" w:ascii="宋体" w:hAnsi="宋体" w:cs="宋体"/>
                <w:color w:val="000000"/>
                <w:kern w:val="0"/>
                <w:sz w:val="21"/>
                <w:szCs w:val="21"/>
                <w:lang w:eastAsia="zh-CN"/>
              </w:rPr>
              <w:t>；</w:t>
            </w:r>
          </w:p>
          <w:p w14:paraId="47BA03EB">
            <w:pPr>
              <w:keepNext w:val="0"/>
              <w:keepLines w:val="0"/>
              <w:widowControl/>
              <w:suppressLineNumbers w:val="0"/>
              <w:spacing w:before="0" w:beforeAutospacing="0" w:after="0" w:afterAutospacing="0" w:line="240" w:lineRule="auto"/>
              <w:ind w:left="0" w:right="0" w:hanging="4"/>
              <w:rPr>
                <w:rFonts w:hint="default" w:ascii="宋体" w:hAnsi="宋体" w:cs="宋体"/>
                <w:color w:val="000000"/>
                <w:kern w:val="0"/>
                <w:sz w:val="21"/>
                <w:szCs w:val="21"/>
                <w:lang w:val="en-US" w:eastAsia="zh-CN"/>
              </w:rPr>
            </w:pPr>
            <w:r>
              <w:rPr>
                <w:rFonts w:hint="eastAsia" w:ascii="宋体" w:hAnsi="宋体" w:cs="宋体"/>
                <w:color w:val="000000"/>
                <w:kern w:val="0"/>
                <w:sz w:val="21"/>
                <w:szCs w:val="21"/>
              </w:rPr>
              <w:t>标配冷凝水提升水泵。</w:t>
            </w:r>
          </w:p>
          <w:p w14:paraId="0D8D3A73">
            <w:pPr>
              <w:keepNext w:val="0"/>
              <w:keepLines w:val="0"/>
              <w:widowControl/>
              <w:suppressLineNumbers w:val="0"/>
              <w:spacing w:before="0" w:beforeAutospacing="0" w:after="0" w:afterAutospacing="0"/>
              <w:ind w:left="0" w:right="0" w:hanging="4"/>
              <w:rPr>
                <w:rFonts w:hint="default" w:ascii="宋体" w:hAnsi="宋体" w:cs="宋体"/>
                <w:color w:val="000000"/>
                <w:kern w:val="0"/>
                <w:sz w:val="21"/>
                <w:szCs w:val="21"/>
                <w:lang w:eastAsia="zh-CN"/>
              </w:rPr>
            </w:pPr>
          </w:p>
        </w:tc>
        <w:tc>
          <w:tcPr>
            <w:tcW w:w="451" w:type="pct"/>
            <w:tcBorders>
              <w:top w:val="single" w:color="auto" w:sz="4" w:space="0"/>
              <w:left w:val="nil"/>
              <w:bottom w:val="single" w:color="auto" w:sz="4" w:space="0"/>
              <w:right w:val="single" w:color="auto" w:sz="4" w:space="0"/>
            </w:tcBorders>
            <w:noWrap w:val="0"/>
            <w:vAlign w:val="center"/>
          </w:tcPr>
          <w:p w14:paraId="3C10F973">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rPr>
            </w:pPr>
            <w:r>
              <w:rPr>
                <w:rFonts w:hint="eastAsia" w:ascii="宋体" w:hAnsi="宋体" w:cs="宋体"/>
                <w:color w:val="000000"/>
                <w:kern w:val="0"/>
                <w:sz w:val="21"/>
                <w:szCs w:val="21"/>
              </w:rPr>
              <w:t>台</w:t>
            </w:r>
          </w:p>
        </w:tc>
        <w:tc>
          <w:tcPr>
            <w:tcW w:w="435" w:type="pct"/>
            <w:tcBorders>
              <w:top w:val="single" w:color="auto" w:sz="4" w:space="0"/>
              <w:left w:val="nil"/>
              <w:bottom w:val="single" w:color="auto" w:sz="4" w:space="0"/>
              <w:right w:val="single" w:color="auto" w:sz="4" w:space="0"/>
            </w:tcBorders>
            <w:noWrap w:val="0"/>
            <w:vAlign w:val="center"/>
          </w:tcPr>
          <w:p w14:paraId="64B40563">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602" w:type="pct"/>
            <w:tcBorders>
              <w:top w:val="single" w:color="auto" w:sz="4" w:space="0"/>
              <w:left w:val="nil"/>
              <w:bottom w:val="single" w:color="auto" w:sz="4" w:space="0"/>
              <w:right w:val="single" w:color="auto" w:sz="4" w:space="0"/>
            </w:tcBorders>
            <w:noWrap w:val="0"/>
            <w:vAlign w:val="center"/>
          </w:tcPr>
          <w:p w14:paraId="21C5B100">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3100</w:t>
            </w:r>
          </w:p>
        </w:tc>
        <w:tc>
          <w:tcPr>
            <w:tcW w:w="637" w:type="pct"/>
            <w:tcBorders>
              <w:top w:val="single" w:color="auto" w:sz="4" w:space="0"/>
              <w:left w:val="nil"/>
              <w:bottom w:val="single" w:color="auto" w:sz="4" w:space="0"/>
              <w:right w:val="single" w:color="auto" w:sz="4" w:space="0"/>
            </w:tcBorders>
            <w:noWrap w:val="0"/>
            <w:vAlign w:val="center"/>
          </w:tcPr>
          <w:p w14:paraId="57647B49">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6200</w:t>
            </w:r>
          </w:p>
        </w:tc>
      </w:tr>
      <w:tr w14:paraId="770DB176">
        <w:tblPrEx>
          <w:tblCellMar>
            <w:top w:w="0" w:type="dxa"/>
            <w:left w:w="108" w:type="dxa"/>
            <w:bottom w:w="0" w:type="dxa"/>
            <w:right w:w="108" w:type="dxa"/>
          </w:tblCellMar>
        </w:tblPrEx>
        <w:trPr>
          <w:trHeight w:val="527" w:hRule="atLeast"/>
          <w:jc w:val="center"/>
        </w:trPr>
        <w:tc>
          <w:tcPr>
            <w:tcW w:w="3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5276C9">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1012" w:type="pct"/>
            <w:tcBorders>
              <w:top w:val="single" w:color="auto" w:sz="4" w:space="0"/>
              <w:left w:val="nil"/>
              <w:bottom w:val="single" w:color="auto" w:sz="4" w:space="0"/>
              <w:right w:val="single" w:color="auto" w:sz="4" w:space="0"/>
            </w:tcBorders>
            <w:shd w:val="clear" w:color="auto" w:fill="auto"/>
            <w:noWrap w:val="0"/>
            <w:vAlign w:val="center"/>
          </w:tcPr>
          <w:p w14:paraId="25F6910D">
            <w:pPr>
              <w:keepNext w:val="0"/>
              <w:keepLines w:val="0"/>
              <w:suppressLineNumbers w:val="0"/>
              <w:spacing w:before="0" w:beforeAutospacing="0" w:after="0" w:afterAutospacing="0"/>
              <w:ind w:left="0" w:right="0"/>
              <w:jc w:val="left"/>
              <w:rPr>
                <w:rFonts w:hint="eastAsia" w:ascii="宋体" w:hAnsi="宋体" w:cs="宋体"/>
                <w:color w:val="000000"/>
                <w:kern w:val="0"/>
                <w:sz w:val="21"/>
                <w:szCs w:val="21"/>
              </w:rPr>
            </w:pPr>
            <w:r>
              <w:rPr>
                <w:rFonts w:hint="eastAsia" w:ascii="宋体" w:hAnsi="宋体" w:cs="宋体"/>
                <w:color w:val="000000"/>
                <w:kern w:val="0"/>
                <w:sz w:val="21"/>
                <w:szCs w:val="21"/>
              </w:rPr>
              <w:t>线控器</w:t>
            </w:r>
          </w:p>
        </w:tc>
        <w:tc>
          <w:tcPr>
            <w:tcW w:w="146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FC5808">
            <w:pPr>
              <w:keepNext w:val="0"/>
              <w:keepLines w:val="0"/>
              <w:widowControl/>
              <w:suppressLineNumbers w:val="0"/>
              <w:spacing w:before="0" w:beforeAutospacing="0" w:after="0" w:afterAutospacing="0"/>
              <w:ind w:left="0" w:right="0" w:hanging="4"/>
              <w:rPr>
                <w:rFonts w:hint="eastAsia"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w:t>
            </w:r>
          </w:p>
        </w:tc>
        <w:tc>
          <w:tcPr>
            <w:tcW w:w="451" w:type="pct"/>
            <w:tcBorders>
              <w:top w:val="single" w:color="auto" w:sz="4" w:space="0"/>
              <w:left w:val="nil"/>
              <w:bottom w:val="single" w:color="auto" w:sz="4" w:space="0"/>
              <w:right w:val="single" w:color="auto" w:sz="4" w:space="0"/>
            </w:tcBorders>
            <w:noWrap w:val="0"/>
            <w:vAlign w:val="center"/>
          </w:tcPr>
          <w:p w14:paraId="413047FA">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rPr>
            </w:pPr>
            <w:r>
              <w:rPr>
                <w:rFonts w:hint="eastAsia" w:ascii="宋体" w:hAnsi="宋体" w:cs="宋体"/>
                <w:color w:val="000000"/>
                <w:kern w:val="0"/>
                <w:sz w:val="21"/>
                <w:szCs w:val="21"/>
              </w:rPr>
              <w:t>个</w:t>
            </w:r>
          </w:p>
        </w:tc>
        <w:tc>
          <w:tcPr>
            <w:tcW w:w="435" w:type="pct"/>
            <w:tcBorders>
              <w:top w:val="single" w:color="auto" w:sz="4" w:space="0"/>
              <w:left w:val="nil"/>
              <w:bottom w:val="single" w:color="auto" w:sz="4" w:space="0"/>
              <w:right w:val="single" w:color="auto" w:sz="4" w:space="0"/>
            </w:tcBorders>
            <w:noWrap w:val="0"/>
            <w:vAlign w:val="center"/>
          </w:tcPr>
          <w:p w14:paraId="0F6D62C3">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602" w:type="pct"/>
            <w:tcBorders>
              <w:top w:val="single" w:color="auto" w:sz="4" w:space="0"/>
              <w:left w:val="nil"/>
              <w:bottom w:val="single" w:color="auto" w:sz="4" w:space="0"/>
              <w:right w:val="single" w:color="auto" w:sz="4" w:space="0"/>
            </w:tcBorders>
            <w:noWrap w:val="0"/>
            <w:vAlign w:val="center"/>
          </w:tcPr>
          <w:p w14:paraId="6D9871AB">
            <w:pPr>
              <w:keepNext w:val="0"/>
              <w:keepLines w:val="0"/>
              <w:suppressLineNumbers w:val="0"/>
              <w:spacing w:before="0" w:beforeAutospacing="0" w:after="0" w:afterAutospacing="0"/>
              <w:ind w:left="0" w:right="0"/>
              <w:jc w:val="center"/>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200</w:t>
            </w:r>
          </w:p>
        </w:tc>
        <w:tc>
          <w:tcPr>
            <w:tcW w:w="637" w:type="pct"/>
            <w:tcBorders>
              <w:top w:val="single" w:color="auto" w:sz="4" w:space="0"/>
              <w:left w:val="nil"/>
              <w:bottom w:val="single" w:color="auto" w:sz="4" w:space="0"/>
              <w:right w:val="single" w:color="auto" w:sz="4" w:space="0"/>
            </w:tcBorders>
            <w:noWrap w:val="0"/>
            <w:vAlign w:val="center"/>
          </w:tcPr>
          <w:p w14:paraId="2E23F872">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1200</w:t>
            </w:r>
          </w:p>
        </w:tc>
      </w:tr>
      <w:tr w14:paraId="538CE5EF">
        <w:tblPrEx>
          <w:tblCellMar>
            <w:top w:w="0" w:type="dxa"/>
            <w:left w:w="108" w:type="dxa"/>
            <w:bottom w:w="0" w:type="dxa"/>
            <w:right w:w="108" w:type="dxa"/>
          </w:tblCellMar>
        </w:tblPrEx>
        <w:trPr>
          <w:trHeight w:val="777" w:hRule="atLeast"/>
          <w:jc w:val="center"/>
        </w:trPr>
        <w:tc>
          <w:tcPr>
            <w:tcW w:w="3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15A6B6">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1012" w:type="pct"/>
            <w:tcBorders>
              <w:top w:val="single" w:color="auto" w:sz="4" w:space="0"/>
              <w:left w:val="nil"/>
              <w:bottom w:val="single" w:color="auto" w:sz="4" w:space="0"/>
              <w:right w:val="single" w:color="auto" w:sz="4" w:space="0"/>
            </w:tcBorders>
            <w:shd w:val="clear" w:color="auto" w:fill="auto"/>
            <w:noWrap w:val="0"/>
            <w:vAlign w:val="center"/>
          </w:tcPr>
          <w:p w14:paraId="4FAA980B">
            <w:pPr>
              <w:keepNext w:val="0"/>
              <w:keepLines w:val="0"/>
              <w:suppressLineNumbers w:val="0"/>
              <w:spacing w:before="0" w:beforeAutospacing="0" w:after="0" w:afterAutospacing="0"/>
              <w:ind w:left="0" w:right="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铜管、水管、保温、分歧管、冷媒等安装辅材和安装费</w:t>
            </w:r>
          </w:p>
        </w:tc>
        <w:tc>
          <w:tcPr>
            <w:tcW w:w="146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91755D">
            <w:pPr>
              <w:keepNext w:val="0"/>
              <w:keepLines w:val="0"/>
              <w:suppressLineNumbers w:val="0"/>
              <w:spacing w:before="0" w:beforeAutospacing="0" w:after="0" w:afterAutospacing="0"/>
              <w:ind w:left="0" w:right="0"/>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w:t>
            </w:r>
          </w:p>
        </w:tc>
        <w:tc>
          <w:tcPr>
            <w:tcW w:w="451" w:type="pct"/>
            <w:tcBorders>
              <w:top w:val="single" w:color="auto" w:sz="4" w:space="0"/>
              <w:left w:val="nil"/>
              <w:bottom w:val="single" w:color="auto" w:sz="4" w:space="0"/>
              <w:right w:val="single" w:color="auto" w:sz="4" w:space="0"/>
            </w:tcBorders>
            <w:noWrap w:val="0"/>
            <w:vAlign w:val="center"/>
          </w:tcPr>
          <w:p w14:paraId="03873C47">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435" w:type="pct"/>
            <w:tcBorders>
              <w:top w:val="single" w:color="auto" w:sz="4" w:space="0"/>
              <w:left w:val="nil"/>
              <w:bottom w:val="single" w:color="auto" w:sz="4" w:space="0"/>
              <w:right w:val="single" w:color="auto" w:sz="4" w:space="0"/>
            </w:tcBorders>
            <w:noWrap w:val="0"/>
            <w:vAlign w:val="center"/>
          </w:tcPr>
          <w:p w14:paraId="414CCD71">
            <w:pPr>
              <w:keepNext w:val="0"/>
              <w:keepLines w:val="0"/>
              <w:suppressLineNumbers w:val="0"/>
              <w:spacing w:before="0" w:beforeAutospacing="0" w:after="0" w:afterAutospacing="0"/>
              <w:ind w:left="0" w:right="0"/>
              <w:jc w:val="center"/>
              <w:rPr>
                <w:rFonts w:hint="eastAsia"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602" w:type="pct"/>
            <w:tcBorders>
              <w:top w:val="single" w:color="auto" w:sz="4" w:space="0"/>
              <w:left w:val="nil"/>
              <w:bottom w:val="single" w:color="auto" w:sz="4" w:space="0"/>
              <w:right w:val="single" w:color="auto" w:sz="4" w:space="0"/>
            </w:tcBorders>
            <w:noWrap w:val="0"/>
            <w:vAlign w:val="center"/>
          </w:tcPr>
          <w:p w14:paraId="21D419AC">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16600</w:t>
            </w:r>
          </w:p>
        </w:tc>
        <w:tc>
          <w:tcPr>
            <w:tcW w:w="637" w:type="pct"/>
            <w:tcBorders>
              <w:top w:val="single" w:color="auto" w:sz="4" w:space="0"/>
              <w:left w:val="nil"/>
              <w:bottom w:val="single" w:color="auto" w:sz="4" w:space="0"/>
              <w:right w:val="single" w:color="auto" w:sz="4" w:space="0"/>
            </w:tcBorders>
            <w:noWrap w:val="0"/>
            <w:vAlign w:val="center"/>
          </w:tcPr>
          <w:p w14:paraId="569AFF71">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16600</w:t>
            </w:r>
          </w:p>
        </w:tc>
      </w:tr>
      <w:tr w14:paraId="3CFD7ADA">
        <w:tblPrEx>
          <w:tblCellMar>
            <w:top w:w="0" w:type="dxa"/>
            <w:left w:w="108" w:type="dxa"/>
            <w:bottom w:w="0" w:type="dxa"/>
            <w:right w:w="108" w:type="dxa"/>
          </w:tblCellMar>
        </w:tblPrEx>
        <w:trPr>
          <w:trHeight w:val="552" w:hRule="atLeast"/>
          <w:jc w:val="center"/>
        </w:trPr>
        <w:tc>
          <w:tcPr>
            <w:tcW w:w="3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907D26">
            <w:pPr>
              <w:keepNext w:val="0"/>
              <w:keepLines w:val="0"/>
              <w:suppressLineNumbers w:val="0"/>
              <w:spacing w:before="0" w:beforeAutospacing="0" w:after="0" w:afterAutospacing="0"/>
              <w:ind w:left="0" w:right="0"/>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合计</w:t>
            </w:r>
          </w:p>
        </w:tc>
        <w:tc>
          <w:tcPr>
            <w:tcW w:w="1012" w:type="pct"/>
            <w:tcBorders>
              <w:top w:val="single" w:color="auto" w:sz="4" w:space="0"/>
              <w:left w:val="nil"/>
              <w:bottom w:val="single" w:color="auto" w:sz="4" w:space="0"/>
              <w:right w:val="single" w:color="auto" w:sz="4" w:space="0"/>
            </w:tcBorders>
            <w:shd w:val="clear" w:color="auto" w:fill="auto"/>
            <w:noWrap w:val="0"/>
            <w:vAlign w:val="center"/>
          </w:tcPr>
          <w:p w14:paraId="49540E81">
            <w:pPr>
              <w:keepNext w:val="0"/>
              <w:keepLines w:val="0"/>
              <w:suppressLineNumbers w:val="0"/>
              <w:spacing w:before="0" w:beforeAutospacing="0" w:after="0" w:afterAutospacing="0"/>
              <w:ind w:left="0" w:right="0"/>
              <w:jc w:val="left"/>
              <w:rPr>
                <w:rFonts w:hint="eastAsia" w:ascii="宋体" w:hAnsi="宋体" w:cs="宋体"/>
                <w:color w:val="000000"/>
                <w:kern w:val="0"/>
                <w:sz w:val="21"/>
                <w:szCs w:val="21"/>
                <w:lang w:val="en-US" w:eastAsia="zh-CN"/>
              </w:rPr>
            </w:pPr>
          </w:p>
        </w:tc>
        <w:tc>
          <w:tcPr>
            <w:tcW w:w="146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0781F2">
            <w:pPr>
              <w:keepNext w:val="0"/>
              <w:keepLines w:val="0"/>
              <w:suppressLineNumbers w:val="0"/>
              <w:spacing w:before="0" w:beforeAutospacing="0" w:after="0" w:afterAutospacing="0"/>
              <w:ind w:left="0" w:right="0"/>
              <w:jc w:val="left"/>
              <w:rPr>
                <w:rFonts w:hint="eastAsia" w:ascii="宋体" w:hAnsi="宋体" w:cs="宋体"/>
                <w:color w:val="000000"/>
                <w:kern w:val="0"/>
                <w:sz w:val="21"/>
                <w:szCs w:val="21"/>
                <w:lang w:val="en-US" w:eastAsia="zh-CN"/>
              </w:rPr>
            </w:pPr>
          </w:p>
        </w:tc>
        <w:tc>
          <w:tcPr>
            <w:tcW w:w="451" w:type="pct"/>
            <w:tcBorders>
              <w:top w:val="single" w:color="auto" w:sz="4" w:space="0"/>
              <w:left w:val="nil"/>
              <w:bottom w:val="single" w:color="auto" w:sz="4" w:space="0"/>
              <w:right w:val="single" w:color="auto" w:sz="4" w:space="0"/>
            </w:tcBorders>
            <w:noWrap w:val="0"/>
            <w:vAlign w:val="center"/>
          </w:tcPr>
          <w:p w14:paraId="78142700">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lang w:val="en-US" w:eastAsia="zh-CN"/>
              </w:rPr>
            </w:pPr>
          </w:p>
        </w:tc>
        <w:tc>
          <w:tcPr>
            <w:tcW w:w="435" w:type="pct"/>
            <w:tcBorders>
              <w:top w:val="single" w:color="auto" w:sz="4" w:space="0"/>
              <w:left w:val="nil"/>
              <w:bottom w:val="single" w:color="auto" w:sz="4" w:space="0"/>
              <w:right w:val="single" w:color="auto" w:sz="4" w:space="0"/>
            </w:tcBorders>
            <w:noWrap w:val="0"/>
            <w:vAlign w:val="center"/>
          </w:tcPr>
          <w:p w14:paraId="70E36D7A">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lang w:val="en-US" w:eastAsia="zh-CN"/>
              </w:rPr>
            </w:pPr>
          </w:p>
        </w:tc>
        <w:tc>
          <w:tcPr>
            <w:tcW w:w="602" w:type="pct"/>
            <w:tcBorders>
              <w:top w:val="single" w:color="auto" w:sz="4" w:space="0"/>
              <w:left w:val="nil"/>
              <w:bottom w:val="single" w:color="auto" w:sz="4" w:space="0"/>
              <w:right w:val="single" w:color="auto" w:sz="4" w:space="0"/>
            </w:tcBorders>
            <w:noWrap w:val="0"/>
            <w:vAlign w:val="center"/>
          </w:tcPr>
          <w:p w14:paraId="6D02AE2F">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lang w:val="en-US" w:eastAsia="zh-CN"/>
              </w:rPr>
            </w:pPr>
          </w:p>
        </w:tc>
        <w:tc>
          <w:tcPr>
            <w:tcW w:w="637" w:type="pct"/>
            <w:tcBorders>
              <w:top w:val="single" w:color="auto" w:sz="4" w:space="0"/>
              <w:left w:val="nil"/>
              <w:bottom w:val="single" w:color="auto" w:sz="4" w:space="0"/>
              <w:right w:val="single" w:color="auto" w:sz="4" w:space="0"/>
            </w:tcBorders>
            <w:noWrap w:val="0"/>
            <w:vAlign w:val="center"/>
          </w:tcPr>
          <w:p w14:paraId="4CF9FB04">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fldChar w:fldCharType="begin"/>
            </w:r>
            <w:r>
              <w:rPr>
                <w:rFonts w:hint="eastAsia" w:ascii="宋体" w:hAnsi="宋体" w:cs="宋体"/>
                <w:color w:val="000000"/>
                <w:kern w:val="0"/>
                <w:sz w:val="21"/>
                <w:szCs w:val="21"/>
                <w:lang w:val="en-US" w:eastAsia="zh-CN"/>
              </w:rPr>
              <w:instrText xml:space="preserve"> = sum(G2:G6) \* MERGEFORMAT </w:instrText>
            </w:r>
            <w:r>
              <w:rPr>
                <w:rFonts w:hint="eastAsia" w:ascii="宋体" w:hAnsi="宋体" w:cs="宋体"/>
                <w:color w:val="000000"/>
                <w:kern w:val="0"/>
                <w:sz w:val="21"/>
                <w:szCs w:val="21"/>
                <w:lang w:val="en-US" w:eastAsia="zh-CN"/>
              </w:rPr>
              <w:fldChar w:fldCharType="separate"/>
            </w:r>
            <w:r>
              <w:rPr>
                <w:rFonts w:hint="eastAsia" w:ascii="宋体" w:hAnsi="宋体" w:cs="宋体"/>
                <w:color w:val="000000"/>
                <w:kern w:val="0"/>
                <w:sz w:val="21"/>
                <w:szCs w:val="21"/>
                <w:lang w:val="en-US" w:eastAsia="zh-CN"/>
              </w:rPr>
              <w:t>75000</w:t>
            </w:r>
            <w:r>
              <w:rPr>
                <w:rFonts w:hint="eastAsia" w:ascii="宋体" w:hAnsi="宋体" w:cs="宋体"/>
                <w:color w:val="000000"/>
                <w:kern w:val="0"/>
                <w:sz w:val="21"/>
                <w:szCs w:val="21"/>
                <w:lang w:val="en-US" w:eastAsia="zh-CN"/>
              </w:rPr>
              <w:fldChar w:fldCharType="end"/>
            </w:r>
          </w:p>
        </w:tc>
      </w:tr>
    </w:tbl>
    <w:p w14:paraId="5D30644D">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注：</w:t>
      </w:r>
      <w:r>
        <w:rPr>
          <w:rFonts w:hint="eastAsia" w:ascii="宋体" w:hAnsi="宋体" w:eastAsia="宋体" w:cs="宋体"/>
          <w:b/>
          <w:bCs/>
          <w:color w:val="auto"/>
          <w:kern w:val="2"/>
          <w:sz w:val="21"/>
          <w:szCs w:val="24"/>
          <w:highlight w:val="none"/>
          <w:lang w:val="en-US" w:eastAsia="zh-CN" w:bidi="ar-SA"/>
        </w:rPr>
        <w:t>费用含设备、辅材、运输、税金、安装等各项所需费用，合同期内医院不再承担任何其他费用。</w:t>
      </w:r>
    </w:p>
    <w:p w14:paraId="552BC727">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0B2E64F1">
      <w:pPr>
        <w:rPr>
          <w:rFonts w:hint="eastAsia" w:ascii="宋体" w:hAnsi="宋体" w:eastAsia="宋体" w:cs="宋体"/>
          <w:b/>
          <w:bCs/>
          <w:color w:val="auto"/>
          <w:kern w:val="2"/>
          <w:sz w:val="21"/>
          <w:szCs w:val="24"/>
          <w:highlight w:val="none"/>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p>
    <w:p w14:paraId="5C70B08A">
      <w:pPr>
        <w:jc w:val="both"/>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医院指定地点</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送货上门，运费由供应商承担</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7"/>
              <w:ind w:left="0" w:lef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以合同约定为准</w:t>
            </w:r>
          </w:p>
        </w:tc>
      </w:tr>
      <w:tr w14:paraId="519BD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3EAF8D4">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9C3F9FB">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符合国家质量标准、部颁标准、行业标准，满足磋商文件规定标准。</w:t>
            </w:r>
          </w:p>
        </w:tc>
      </w:tr>
      <w:tr w14:paraId="4921A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30CBF9D">
            <w:pPr>
              <w:pStyle w:val="7"/>
              <w:ind w:left="0" w:leftChars="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3DD2083F">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质保期内，在使用过程中发生故障，供应商在接到通知后在2小时内到达现场，12小时内解除故障。若在规定时间内无法解除故障，由供应商提供免费备件服务。</w:t>
            </w:r>
          </w:p>
        </w:tc>
      </w:tr>
    </w:tbl>
    <w:p w14:paraId="34E1E8CF">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27817"/>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w:t>
            </w:r>
            <w:r>
              <w:rPr>
                <w:rFonts w:hint="eastAsia" w:ascii="宋体" w:hAnsi="宋体" w:cs="宋体"/>
                <w:color w:val="auto"/>
                <w:highlight w:val="none"/>
                <w:lang w:val="en-US" w:eastAsia="zh-CN"/>
              </w:rPr>
              <w:t>中心院区血液净化室中央空调采购项目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6199"/>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 xml:space="preserve"> 7.5万元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7.5 </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6C7DE">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7.5 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7.5 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63FBDE3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99D47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361FFE2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5C37D0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12B3C85C">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63A76B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3256D9C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分，有一项不满足的扣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分，扣完为止；如得分为0，则磋商无效。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2）提供产品注册检验报告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w:t>
            </w:r>
            <w:r>
              <w:rPr>
                <w:rFonts w:hint="eastAsia" w:ascii="宋体" w:hAnsi="宋体" w:cs="宋体"/>
                <w:color w:val="auto"/>
                <w:sz w:val="21"/>
                <w:szCs w:val="21"/>
                <w:highlight w:val="none"/>
                <w:lang w:val="en-US" w:eastAsia="zh-CN"/>
              </w:rPr>
              <w:t>、安全性</w:t>
            </w:r>
            <w:r>
              <w:rPr>
                <w:rFonts w:hint="eastAsia" w:ascii="宋体" w:hAnsi="宋体" w:eastAsia="宋体" w:cs="宋体"/>
                <w:color w:val="auto"/>
                <w:sz w:val="21"/>
                <w:szCs w:val="21"/>
                <w:highlight w:val="none"/>
                <w:lang w:val="en-US" w:eastAsia="zh-CN"/>
              </w:rPr>
              <w:t>进行打分</w:t>
            </w:r>
            <w:r>
              <w:rPr>
                <w:rFonts w:hint="eastAsia" w:ascii="宋体" w:hAnsi="宋体" w:cs="宋体"/>
                <w:color w:val="auto"/>
                <w:sz w:val="21"/>
                <w:szCs w:val="21"/>
                <w:highlight w:val="none"/>
                <w:lang w:val="en-US" w:eastAsia="zh-CN"/>
              </w:rPr>
              <w:t>：</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auto"/>
                <w:sz w:val="24"/>
                <w:szCs w:val="24"/>
                <w:highlight w:val="none"/>
              </w:rPr>
              <w:t>投标产品制造工艺、稳定性较好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安全性较高的得 </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 分；投标产品制造工艺、稳定性、安全性一般的得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分；所投产品较好，操控性较强、性能较好、技术较先进的得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具体详实，完全满足采购需求的得3分；有较具体的供货保障措施，基本满足采购需求的得2分；供货保障措施不完备，不能满足采购需求的得1分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w:t>
            </w:r>
            <w:r>
              <w:rPr>
                <w:rFonts w:hint="eastAsia" w:ascii="宋体" w:hAnsi="宋体" w:cs="宋体"/>
                <w:b w:val="0"/>
                <w:bCs w:val="0"/>
                <w:color w:val="auto"/>
                <w:sz w:val="21"/>
                <w:szCs w:val="21"/>
                <w:highlight w:val="none"/>
                <w:lang w:val="en-US" w:eastAsia="zh-CN"/>
              </w:rPr>
              <w:t>日常维保维修方案</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售后人员</w:t>
            </w:r>
            <w:r>
              <w:rPr>
                <w:rFonts w:hint="eastAsia" w:ascii="宋体" w:hAnsi="宋体" w:eastAsia="宋体" w:cs="宋体"/>
                <w:b w:val="0"/>
                <w:bCs w:val="0"/>
                <w:color w:val="auto"/>
                <w:sz w:val="21"/>
                <w:szCs w:val="21"/>
                <w:highlight w:val="none"/>
                <w:lang w:val="en-US" w:eastAsia="zh-CN"/>
              </w:rPr>
              <w:t>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7021B8FA">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w:t>
            </w:r>
            <w:r>
              <w:rPr>
                <w:rFonts w:hint="eastAsia" w:ascii="宋体" w:hAnsi="宋体" w:cs="宋体"/>
                <w:b w:val="0"/>
                <w:bCs w:val="0"/>
                <w:color w:val="auto"/>
                <w:sz w:val="21"/>
                <w:szCs w:val="21"/>
                <w:highlight w:val="none"/>
                <w:lang w:val="en-US" w:eastAsia="zh-CN"/>
              </w:rPr>
              <w:t>完全满足采购需求的</w:t>
            </w:r>
            <w:r>
              <w:rPr>
                <w:rFonts w:hint="eastAsia" w:ascii="宋体" w:hAnsi="宋体" w:eastAsia="宋体" w:cs="宋体"/>
                <w:b w:val="0"/>
                <w:bCs w:val="0"/>
                <w:color w:val="auto"/>
                <w:sz w:val="21"/>
                <w:szCs w:val="21"/>
                <w:highlight w:val="none"/>
                <w:lang w:val="en-US" w:eastAsia="zh-CN"/>
              </w:rPr>
              <w:t>得8分。</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，基本满足采购需求</w:t>
            </w:r>
            <w:r>
              <w:rPr>
                <w:rFonts w:hint="eastAsia" w:ascii="宋体" w:hAnsi="宋体" w:eastAsia="宋体" w:cs="宋体"/>
                <w:b w:val="0"/>
                <w:bCs w:val="0"/>
                <w:color w:val="auto"/>
                <w:sz w:val="21"/>
                <w:szCs w:val="21"/>
                <w:highlight w:val="none"/>
                <w:lang w:val="en-US" w:eastAsia="zh-CN"/>
              </w:rPr>
              <w:t>的得 5 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w:t>
            </w:r>
            <w:r>
              <w:rPr>
                <w:rFonts w:hint="eastAsia" w:ascii="宋体" w:hAnsi="宋体" w:cs="宋体"/>
                <w:b w:val="0"/>
                <w:bCs w:val="0"/>
                <w:color w:val="auto"/>
                <w:sz w:val="21"/>
                <w:szCs w:val="21"/>
                <w:highlight w:val="none"/>
                <w:lang w:val="en-US" w:eastAsia="zh-CN"/>
              </w:rPr>
              <w:t>，方案有待完善</w:t>
            </w:r>
            <w:r>
              <w:rPr>
                <w:rFonts w:hint="eastAsia" w:ascii="宋体" w:hAnsi="宋体" w:eastAsia="宋体" w:cs="宋体"/>
                <w:b w:val="0"/>
                <w:bCs w:val="0"/>
                <w:color w:val="auto"/>
                <w:sz w:val="21"/>
                <w:szCs w:val="21"/>
                <w:highlight w:val="none"/>
                <w:lang w:val="en-US" w:eastAsia="zh-CN"/>
              </w:rPr>
              <w:t>的得 2 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中心院区血液净化室中央空调采购</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bookmarkEnd w:id="72"/>
    <w:bookmarkEnd w:id="73"/>
    <w:p w14:paraId="1D61E2AA">
      <w:pPr>
        <w:spacing w:line="360" w:lineRule="auto"/>
        <w:ind w:firstLine="420" w:firstLineChars="200"/>
        <w:jc w:val="center"/>
        <w:rPr>
          <w:rFonts w:hint="eastAsia" w:ascii="宋体" w:hAnsi="宋体" w:eastAsia="宋体" w:cs="宋体"/>
          <w:color w:val="auto"/>
          <w:kern w:val="0"/>
          <w:szCs w:val="21"/>
          <w:highlight w:val="none"/>
        </w:rPr>
      </w:pPr>
      <w:bookmarkStart w:id="74" w:name="_Toc12222"/>
      <w:bookmarkStart w:id="75" w:name="_Toc625"/>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730" w:firstLineChars="13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02D5BE92">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14084F2D">
      <w:pPr>
        <w:pStyle w:val="24"/>
        <w:rPr>
          <w:rFonts w:hint="default" w:ascii="宋体" w:hAnsi="宋体" w:cs="宋体"/>
          <w:color w:val="auto"/>
          <w:kern w:val="0"/>
          <w:sz w:val="24"/>
          <w:highlight w:val="none"/>
          <w:lang w:val="en-US" w:eastAsia="zh-CN"/>
        </w:rPr>
      </w:pPr>
      <w:bookmarkStart w:id="80" w:name="_Toc226"/>
      <w:bookmarkStart w:id="81" w:name="_Toc15804"/>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w:t>
      </w:r>
      <w:r>
        <w:rPr>
          <w:rFonts w:hint="eastAsia" w:ascii="宋体" w:hAnsi="宋体" w:cs="宋体"/>
          <w:b/>
          <w:bCs/>
          <w:color w:val="auto"/>
          <w:kern w:val="2"/>
          <w:sz w:val="28"/>
          <w:szCs w:val="28"/>
          <w:highlight w:val="none"/>
          <w:lang w:val="en-US" w:eastAsia="zh-CN" w:bidi="ar-SA"/>
        </w:rPr>
        <w:t>1</w:t>
      </w:r>
      <w:r>
        <w:rPr>
          <w:rFonts w:hint="eastAsia" w:ascii="宋体" w:hAnsi="宋体" w:eastAsia="宋体" w:cs="宋体"/>
          <w:b/>
          <w:bCs/>
          <w:color w:val="auto"/>
          <w:kern w:val="2"/>
          <w:sz w:val="28"/>
          <w:szCs w:val="28"/>
          <w:highlight w:val="none"/>
          <w:lang w:val="en-US" w:eastAsia="zh-CN" w:bidi="ar-SA"/>
        </w:rPr>
        <w:t xml:space="preserve">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0420"/>
      <w:bookmarkStart w:id="83" w:name="_Toc29960"/>
      <w:bookmarkStart w:id="84" w:name="_Toc24168"/>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30519"/>
      <w:bookmarkStart w:id="89" w:name="_Toc13976"/>
      <w:bookmarkStart w:id="90" w:name="_Toc1293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693"/>
      <w:bookmarkStart w:id="92" w:name="_Toc18105"/>
      <w:bookmarkStart w:id="93" w:name="_Toc3342"/>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6083"/>
      <w:bookmarkStart w:id="96" w:name="_Toc13726"/>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sz w:val="21"/>
          <w:szCs w:val="21"/>
          <w:highlight w:val="none"/>
        </w:rPr>
        <w:t xml:space="preserve">              </w:t>
      </w:r>
    </w:p>
    <w:p w14:paraId="4AB5393D">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3394"/>
      <w:bookmarkStart w:id="99" w:name="_Toc25094"/>
      <w:bookmarkStart w:id="100" w:name="_Toc31685"/>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驻马店市中心医院中心院区血液净化室中央空调采购项目采购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370767"/>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01FD2"/>
    <w:rsid w:val="06D33DBA"/>
    <w:rsid w:val="06D73361"/>
    <w:rsid w:val="06E13F9F"/>
    <w:rsid w:val="06FB0AC5"/>
    <w:rsid w:val="06FE7278"/>
    <w:rsid w:val="070D2D5D"/>
    <w:rsid w:val="07104A12"/>
    <w:rsid w:val="07111B8D"/>
    <w:rsid w:val="072916E2"/>
    <w:rsid w:val="072C5514"/>
    <w:rsid w:val="0737768A"/>
    <w:rsid w:val="074A5B92"/>
    <w:rsid w:val="075D0147"/>
    <w:rsid w:val="075E3193"/>
    <w:rsid w:val="0765096C"/>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2852E9"/>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5264F"/>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B487B"/>
    <w:rsid w:val="15CE086D"/>
    <w:rsid w:val="15E2236F"/>
    <w:rsid w:val="15E72E4C"/>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23070A"/>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7B2BA8"/>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4757B7"/>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5661D"/>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D54CED"/>
    <w:rsid w:val="27E223EC"/>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5189E"/>
    <w:rsid w:val="2AB63ABC"/>
    <w:rsid w:val="2AB63D0A"/>
    <w:rsid w:val="2AC31382"/>
    <w:rsid w:val="2AD0584D"/>
    <w:rsid w:val="2AD549F8"/>
    <w:rsid w:val="2AEA74E5"/>
    <w:rsid w:val="2AFB4FC0"/>
    <w:rsid w:val="2B003D00"/>
    <w:rsid w:val="2B074D5E"/>
    <w:rsid w:val="2B0A6991"/>
    <w:rsid w:val="2B100BA9"/>
    <w:rsid w:val="2B1B5825"/>
    <w:rsid w:val="2B1E3AFC"/>
    <w:rsid w:val="2B211492"/>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4726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3E2893"/>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42F43"/>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417FB7"/>
    <w:rsid w:val="56665134"/>
    <w:rsid w:val="56666B5B"/>
    <w:rsid w:val="56717635"/>
    <w:rsid w:val="56990B7C"/>
    <w:rsid w:val="569E1126"/>
    <w:rsid w:val="56A8690E"/>
    <w:rsid w:val="56B679AB"/>
    <w:rsid w:val="56B80DEB"/>
    <w:rsid w:val="56E0560F"/>
    <w:rsid w:val="56E06E61"/>
    <w:rsid w:val="56EF3C74"/>
    <w:rsid w:val="56F653FE"/>
    <w:rsid w:val="57007337"/>
    <w:rsid w:val="573E4B9B"/>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CF1327E"/>
    <w:rsid w:val="5D042FB1"/>
    <w:rsid w:val="5D2F3C3A"/>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62BE9"/>
    <w:rsid w:val="698A5EE4"/>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83203C"/>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A755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30808"/>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31577"/>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13947</Words>
  <Characters>14743</Characters>
  <Lines>50</Lines>
  <Paragraphs>68</Paragraphs>
  <TotalTime>31</TotalTime>
  <ScaleCrop>false</ScaleCrop>
  <LinksUpToDate>false</LinksUpToDate>
  <CharactersWithSpaces>15256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2025-09-22T00:35:47Z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E053E5D14F7542C7AFEB008DF7A96EBF_13</vt:lpwstr>
  </property>
  <property fmtid="{D5CDD505-2E9C-101B-9397-08002B2CF9AE}" pid="4" name="KSOTemplateDocerSaveRecord">
    <vt:lpwstr>eyJoZGlkIjoiYzIwMjRmYTY4OTJhZjc1NTA1MGQwNDc0NzZhNTkwMmUiLCJ1c2VySWQiOiIxNjg0NTc5MjM2In0=</vt:lpwstr>
  </property>
</Properties>
</file>