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婴儿培养箱采购项目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4"/>
        <w:rPr>
          <w:rFonts w:hint="eastAsia" w:ascii="宋体" w:hAnsi="宋体" w:eastAsia="宋体" w:cs="宋体"/>
          <w:color w:val="auto"/>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采购代理机构：河南省伟信招标管理咨询有限公司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期：2025年</w:t>
      </w:r>
      <w:r>
        <w:rPr>
          <w:rFonts w:hint="eastAsia" w:ascii="宋体" w:hAnsi="宋体" w:cs="宋体"/>
          <w:b/>
          <w:bCs/>
          <w:color w:val="auto"/>
          <w:spacing w:val="0"/>
          <w:sz w:val="34"/>
          <w:szCs w:val="34"/>
          <w:highlight w:val="none"/>
          <w:lang w:val="en-US" w:eastAsia="zh-CN"/>
        </w:rPr>
        <w:t>09</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婴儿培养箱采购项目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婴儿培养箱采购项目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婴儿培养箱采购项目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250000元；</w:t>
      </w:r>
    </w:p>
    <w:p w14:paraId="7156B8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4、交货期：合同签订后30日内交货，最终以合同约定内容为准</w:t>
      </w:r>
      <w:r>
        <w:rPr>
          <w:rFonts w:hint="eastAsia" w:ascii="宋体" w:hAnsi="宋体" w:cs="宋体"/>
          <w:color w:val="auto"/>
          <w:szCs w:val="21"/>
          <w:highlight w:val="none"/>
          <w:shd w:val="clear" w:color="auto" w:fill="FFFFFF"/>
          <w:lang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，满足磋商文件规定标准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7704"/>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30971"/>
      <w:bookmarkStart w:id="10" w:name="_Toc9562"/>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w:t>
      </w:r>
      <w:bookmarkStart w:id="101" w:name="_GoBack"/>
      <w:bookmarkEnd w:id="101"/>
      <w:r>
        <w:rPr>
          <w:rFonts w:hint="eastAsia" w:ascii="宋体" w:hAnsi="宋体" w:cs="宋体"/>
          <w:color w:val="auto"/>
          <w:kern w:val="0"/>
          <w:szCs w:val="21"/>
          <w:highlight w:val="none"/>
          <w:lang w:val="en-US" w:eastAsia="zh-CN"/>
        </w:rPr>
        <w:t>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22</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15135"/>
      <w:bookmarkStart w:id="16" w:name="_Toc27480"/>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1928"/>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DBD8F4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 xml:space="preserve">2.采购代理机构：河南省伟信招标管理咨询有限公司 </w:t>
      </w:r>
    </w:p>
    <w:p w14:paraId="3A2E643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地址：郑州市郑东新区东风南路与创业路交叉口绿地中心北塔16楼</w:t>
      </w:r>
    </w:p>
    <w:p w14:paraId="10B4126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联系人：陈先生</w:t>
      </w:r>
    </w:p>
    <w:p w14:paraId="1625C2CC">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联系方式：18838148020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val="en-US" w:eastAsia="zh-CN" w:bidi="ar-SA"/>
        </w:rPr>
        <w:t>驻</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婴儿培养箱采购项目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155" w:type="dxa"/>
            <w:vAlign w:val="center"/>
          </w:tcPr>
          <w:p w14:paraId="6B30069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1110" w:type="dxa"/>
            <w:vAlign w:val="center"/>
          </w:tcPr>
          <w:p w14:paraId="21D56E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1245" w:type="dxa"/>
            <w:vAlign w:val="center"/>
          </w:tcPr>
          <w:p w14:paraId="3857CC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婴儿培养箱</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250000元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财政+自筹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240" w:lineRule="auto"/>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vertAlign w:val="baseline"/>
                <w:lang w:val="en-US" w:eastAsia="zh-CN"/>
              </w:rPr>
              <w:t>合计</w:t>
            </w:r>
          </w:p>
        </w:tc>
        <w:tc>
          <w:tcPr>
            <w:tcW w:w="7915" w:type="dxa"/>
            <w:gridSpan w:val="6"/>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highlight w:val="none"/>
              </w:rPr>
            </w:pPr>
            <w:r>
              <w:rPr>
                <w:rFonts w:hint="eastAsia" w:ascii="宋体" w:hAnsi="宋体" w:cs="宋体"/>
                <w:sz w:val="21"/>
                <w:szCs w:val="21"/>
                <w:highlight w:val="none"/>
                <w:vertAlign w:val="baseline"/>
                <w:lang w:val="en-US" w:eastAsia="zh-CN"/>
              </w:rPr>
              <w:t>250000元</w:t>
            </w:r>
          </w:p>
        </w:tc>
      </w:tr>
    </w:tbl>
    <w:p w14:paraId="6A2D07C1">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技术要求：</w:t>
      </w:r>
    </w:p>
    <w:p w14:paraId="1385B79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婴儿培养箱技术参数</w:t>
      </w:r>
    </w:p>
    <w:p w14:paraId="56CB5C3B">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1.不小于8英寸彩色触摸屏，显示屏可整体升降，多角度可调，方便医护人员远距离多角度观察。</w:t>
      </w:r>
    </w:p>
    <w:p w14:paraId="1D6D7D7C">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2.支持中文手写输入功能，方便患者信息输入。</w:t>
      </w:r>
    </w:p>
    <w:p w14:paraId="048BAA9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3.婴儿模式下温度控制范围34～38℃，空气模式下温度控制范围20～39℃。空气模式下，平均培养箱温度与控制温度之差应 ≤0.5℃。</w:t>
      </w:r>
    </w:p>
    <w:p w14:paraId="62810F68">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★4.箱温和肤温：测量范围不小于0℃～70℃，测量精度±0.1℃。升温时间≤25min。（需提供检验报告证明）</w:t>
      </w:r>
    </w:p>
    <w:p w14:paraId="50A60DC3">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★5.箱内湿度最高可设置99%，控制精度应≤±5%，湿度测量范围0%～100%，测量精度应≤±5%。（需提供注册检验报告证明）</w:t>
      </w:r>
    </w:p>
    <w:p w14:paraId="5D20CFF3">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★6.配备前置透明可视水箱，水位情况一目了然，可防止干烧损坏仪器。 水箱可耐134°高温高压消毒。</w:t>
      </w:r>
    </w:p>
    <w:p w14:paraId="62ABB38D">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7.氧浓度控制范围不小于21～65%，体重测量范围300～8000g，测量精度应≤±5g。</w:t>
      </w:r>
    </w:p>
    <w:p w14:paraId="658F368A">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8.箱内噪音应≤45dB。具有自动加强风帘功能，减少热量散失。</w:t>
      </w:r>
    </w:p>
    <w:p w14:paraId="72186735">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★9.应具有电动床体倾斜功能。</w:t>
      </w:r>
    </w:p>
    <w:p w14:paraId="6F20D968">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cs="宋体"/>
          <w:color w:val="36363D"/>
          <w:spacing w:val="0"/>
          <w:position w:val="0"/>
          <w:sz w:val="21"/>
          <w:szCs w:val="21"/>
          <w:highlight w:val="none"/>
          <w:shd w:val="clear" w:color="auto" w:fill="auto"/>
          <w:lang w:val="en-US" w:eastAsia="zh-CN"/>
        </w:rPr>
      </w:pPr>
      <w:r>
        <w:rPr>
          <w:rFonts w:hint="eastAsia" w:ascii="宋体" w:hAnsi="宋体" w:cs="宋体"/>
          <w:color w:val="36363D"/>
          <w:spacing w:val="0"/>
          <w:position w:val="0"/>
          <w:sz w:val="21"/>
          <w:szCs w:val="21"/>
          <w:highlight w:val="none"/>
          <w:shd w:val="clear" w:color="auto" w:fill="auto"/>
          <w:lang w:val="en-US" w:eastAsia="zh-CN"/>
        </w:rPr>
        <w:t>10.具备载物托盘及输液支架，具有X光拍片盒。</w:t>
      </w:r>
    </w:p>
    <w:p w14:paraId="71E5F42D">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cs="宋体"/>
          <w:color w:val="36363D"/>
          <w:spacing w:val="0"/>
          <w:position w:val="0"/>
          <w:sz w:val="21"/>
          <w:szCs w:val="21"/>
          <w:highlight w:val="none"/>
          <w:shd w:val="clear" w:color="auto" w:fill="auto"/>
          <w:lang w:val="en-US" w:eastAsia="zh-CN"/>
        </w:rPr>
        <w:t>11.</w:t>
      </w:r>
      <w:r>
        <w:rPr>
          <w:rFonts w:hint="eastAsia" w:ascii="宋体" w:hAnsi="宋体" w:eastAsia="宋体" w:cs="宋体"/>
          <w:color w:val="36363D"/>
          <w:spacing w:val="0"/>
          <w:position w:val="0"/>
          <w:sz w:val="21"/>
          <w:szCs w:val="21"/>
          <w:highlight w:val="none"/>
          <w:shd w:val="clear" w:color="auto" w:fill="auto"/>
        </w:rPr>
        <w:t>支持掉电存储功能，具有≥168小时趋势图和趋势表回顾，≥200次技术报警事件，≥200个参数报警事件，≥500条用户操作日志回顾。（需提供检验报告证明）</w:t>
      </w:r>
    </w:p>
    <w:p w14:paraId="14FF3B41">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right="0" w:rightChars="0" w:firstLine="420" w:firstLineChars="20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eastAsia="宋体" w:cs="宋体"/>
          <w:color w:val="36363D"/>
          <w:spacing w:val="0"/>
          <w:position w:val="0"/>
          <w:sz w:val="21"/>
          <w:szCs w:val="21"/>
          <w:highlight w:val="none"/>
          <w:shd w:val="clear" w:color="auto" w:fill="auto"/>
        </w:rPr>
        <w:t>★</w:t>
      </w:r>
      <w:r>
        <w:rPr>
          <w:rFonts w:hint="eastAsia" w:ascii="宋体" w:hAnsi="宋体" w:cs="宋体"/>
          <w:color w:val="36363D"/>
          <w:spacing w:val="0"/>
          <w:position w:val="0"/>
          <w:sz w:val="21"/>
          <w:szCs w:val="21"/>
          <w:highlight w:val="none"/>
          <w:shd w:val="clear" w:color="auto" w:fill="auto"/>
          <w:lang w:val="en-US" w:eastAsia="zh-CN"/>
        </w:rPr>
        <w:t>12.</w:t>
      </w:r>
      <w:r>
        <w:rPr>
          <w:rFonts w:hint="eastAsia" w:ascii="宋体" w:hAnsi="宋体" w:eastAsia="宋体" w:cs="宋体"/>
          <w:color w:val="36363D"/>
          <w:spacing w:val="0"/>
          <w:position w:val="0"/>
          <w:sz w:val="21"/>
          <w:szCs w:val="21"/>
          <w:highlight w:val="none"/>
          <w:shd w:val="clear" w:color="auto" w:fill="auto"/>
        </w:rPr>
        <w:t>应内置可充电锂电池</w:t>
      </w:r>
      <w:r>
        <w:rPr>
          <w:rFonts w:hint="eastAsia" w:ascii="宋体" w:hAnsi="宋体" w:eastAsia="宋体" w:cs="宋体"/>
          <w:color w:val="36363D"/>
          <w:spacing w:val="0"/>
          <w:position w:val="0"/>
          <w:sz w:val="21"/>
          <w:szCs w:val="21"/>
          <w:highlight w:val="none"/>
          <w:shd w:val="clear" w:color="auto" w:fill="auto"/>
          <w:lang w:eastAsia="zh-CN"/>
        </w:rPr>
        <w:t>，</w:t>
      </w:r>
      <w:r>
        <w:rPr>
          <w:rFonts w:hint="eastAsia" w:ascii="宋体" w:hAnsi="宋体" w:eastAsia="宋体" w:cs="宋体"/>
          <w:color w:val="36363D"/>
          <w:spacing w:val="0"/>
          <w:position w:val="0"/>
          <w:sz w:val="21"/>
          <w:szCs w:val="21"/>
          <w:highlight w:val="none"/>
          <w:shd w:val="clear" w:color="auto" w:fill="auto"/>
          <w:lang w:val="en-US" w:eastAsia="zh-CN"/>
        </w:rPr>
        <w:t>完成充电后，可持续供电1小时（加热功能，加湿功能，倾斜功能除外）。</w:t>
      </w:r>
    </w:p>
    <w:p w14:paraId="091E5C7F">
      <w:pPr>
        <w:keepNext w:val="0"/>
        <w:keepLines w:val="0"/>
        <w:pageBreakBefore w:val="0"/>
        <w:widowControl w:val="0"/>
        <w:numPr>
          <w:ilvl w:val="0"/>
          <w:numId w:val="0"/>
        </w:numPr>
        <w:kinsoku/>
        <w:wordWrap/>
        <w:overflowPunct/>
        <w:topLinePunct w:val="0"/>
        <w:autoSpaceDE/>
        <w:autoSpaceDN/>
        <w:bidi w:val="0"/>
        <w:adjustRightInd/>
        <w:snapToGrid/>
        <w:spacing w:before="0" w:after="0" w:line="336" w:lineRule="auto"/>
        <w:ind w:left="567" w:leftChars="0" w:right="0" w:rightChars="0"/>
        <w:jc w:val="both"/>
        <w:textAlignment w:val="auto"/>
        <w:rPr>
          <w:rFonts w:hint="eastAsia" w:ascii="宋体" w:hAnsi="宋体" w:eastAsia="宋体" w:cs="宋体"/>
          <w:color w:val="36363D"/>
          <w:spacing w:val="0"/>
          <w:position w:val="0"/>
          <w:sz w:val="21"/>
          <w:szCs w:val="21"/>
          <w:highlight w:val="none"/>
          <w:shd w:val="clear" w:color="auto" w:fill="auto"/>
        </w:rPr>
      </w:pPr>
      <w:r>
        <w:rPr>
          <w:rFonts w:hint="eastAsia" w:ascii="宋体" w:hAnsi="宋体" w:eastAsia="宋体" w:cs="宋体"/>
          <w:color w:val="36363D"/>
          <w:spacing w:val="0"/>
          <w:position w:val="0"/>
          <w:sz w:val="21"/>
          <w:szCs w:val="21"/>
          <w:highlight w:val="none"/>
          <w:shd w:val="clear" w:color="auto" w:fill="auto"/>
        </w:rPr>
        <w:t>★</w:t>
      </w:r>
      <w:r>
        <w:rPr>
          <w:rFonts w:hint="eastAsia" w:ascii="宋体" w:hAnsi="宋体" w:cs="宋体"/>
          <w:color w:val="36363D"/>
          <w:spacing w:val="0"/>
          <w:position w:val="0"/>
          <w:sz w:val="21"/>
          <w:szCs w:val="21"/>
          <w:highlight w:val="none"/>
          <w:shd w:val="clear" w:color="auto" w:fill="auto"/>
          <w:lang w:val="en-US" w:eastAsia="zh-CN"/>
        </w:rPr>
        <w:t>13.</w:t>
      </w:r>
      <w:r>
        <w:rPr>
          <w:rFonts w:hint="eastAsia" w:ascii="宋体" w:hAnsi="宋体" w:eastAsia="宋体" w:cs="宋体"/>
          <w:color w:val="36363D"/>
          <w:spacing w:val="0"/>
          <w:position w:val="0"/>
          <w:sz w:val="21"/>
          <w:szCs w:val="21"/>
          <w:highlight w:val="none"/>
          <w:shd w:val="clear" w:color="auto" w:fill="auto"/>
        </w:rPr>
        <w:t xml:space="preserve">产品使用年限应不小于10年。 </w:t>
      </w:r>
    </w:p>
    <w:p w14:paraId="2B5D1BA1">
      <w:pPr>
        <w:pStyle w:val="25"/>
        <w:rPr>
          <w:rFonts w:hint="eastAsia" w:ascii="宋体" w:hAnsi="宋体"/>
          <w:bCs/>
          <w:color w:val="FF0000"/>
          <w:sz w:val="24"/>
          <w:highlight w:val="none"/>
          <w:lang w:val="en-US" w:eastAsia="zh-CN"/>
        </w:rPr>
      </w:pPr>
    </w:p>
    <w:p w14:paraId="2120E6CF">
      <w:pPr>
        <w:pStyle w:val="7"/>
        <w:snapToGrid w:val="0"/>
        <w:spacing w:beforeAutospacing="0" w:afterAutospacing="0" w:line="360" w:lineRule="auto"/>
        <w:jc w:val="both"/>
        <w:rPr>
          <w:b/>
          <w:bCs/>
          <w:kern w:val="2"/>
          <w:sz w:val="24"/>
          <w:szCs w:val="24"/>
          <w:highlight w:val="none"/>
        </w:rPr>
      </w:pPr>
      <w:r>
        <w:rPr>
          <w:rFonts w:hint="eastAsia"/>
          <w:b/>
          <w:bCs/>
          <w:kern w:val="2"/>
          <w:sz w:val="24"/>
          <w:szCs w:val="24"/>
          <w:highlight w:val="none"/>
          <w:lang w:val="en-US" w:eastAsia="zh-CN"/>
        </w:rPr>
        <w:t>四、</w:t>
      </w:r>
      <w:r>
        <w:rPr>
          <w:rFonts w:hint="eastAsia"/>
          <w:b/>
          <w:bCs/>
          <w:kern w:val="2"/>
          <w:sz w:val="24"/>
          <w:szCs w:val="24"/>
          <w:highlight w:val="none"/>
        </w:rPr>
        <w:t>其他要求</w:t>
      </w:r>
    </w:p>
    <w:p w14:paraId="2EEB99AE">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1.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788454DF">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2.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558EFD86">
      <w:pPr>
        <w:spacing w:line="400" w:lineRule="exact"/>
        <w:ind w:firstLine="420" w:firstLineChars="200"/>
        <w:jc w:val="left"/>
        <w:rPr>
          <w:rFonts w:cs="仿宋" w:asciiTheme="majorEastAsia" w:hAnsiTheme="majorEastAsia" w:eastAsiaTheme="majorEastAsia"/>
          <w:szCs w:val="21"/>
          <w:highlight w:val="none"/>
        </w:rPr>
      </w:pPr>
      <w:r>
        <w:rPr>
          <w:rFonts w:hint="eastAsia" w:cs="仿宋" w:asciiTheme="majorEastAsia" w:hAnsiTheme="majorEastAsia" w:eastAsiaTheme="majorEastAsia"/>
          <w:szCs w:val="21"/>
          <w:highlight w:val="none"/>
        </w:rPr>
        <w:t>3.商品包装和快递包装应符合《商品包装政府采购需求标准（试行）》和《快递包装政府采购需求标准（试行）》规定。</w:t>
      </w:r>
    </w:p>
    <w:p w14:paraId="0C08EF9A">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0"/>
        <w:jc w:val="left"/>
        <w:textAlignment w:val="auto"/>
        <w:rPr>
          <w:rFonts w:hint="eastAsia" w:ascii="宋体" w:hAnsi="宋体" w:eastAsia="宋体" w:cs="宋体"/>
          <w:b w:val="0"/>
          <w:bCs w:val="0"/>
          <w:color w:val="auto"/>
          <w:kern w:val="2"/>
          <w:sz w:val="21"/>
          <w:szCs w:val="24"/>
          <w:highlight w:val="none"/>
          <w:lang w:val="en-US" w:eastAsia="zh-CN" w:bidi="ar-SA"/>
        </w:rPr>
      </w:pPr>
    </w:p>
    <w:p w14:paraId="15262D99">
      <w:pPr>
        <w:pStyle w:val="25"/>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b/>
          <w:bCs/>
          <w:color w:val="auto"/>
          <w:sz w:val="21"/>
          <w:szCs w:val="21"/>
          <w:highlight w:val="none"/>
          <w:lang w:val="en-US" w:eastAsia="zh-CN"/>
        </w:rPr>
      </w:pPr>
    </w:p>
    <w:p w14:paraId="3E0908D4">
      <w:pPr>
        <w:pStyle w:val="2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color w:val="auto"/>
          <w:sz w:val="21"/>
          <w:szCs w:val="21"/>
          <w:highlight w:val="none"/>
          <w:lang w:val="en-US" w:eastAsia="zh-CN"/>
        </w:rPr>
      </w:pPr>
    </w:p>
    <w:p w14:paraId="58670D60">
      <w:pPr>
        <w:rPr>
          <w:rFonts w:hint="eastAsia"/>
          <w:highlight w:val="none"/>
          <w:lang w:val="en-US" w:eastAsia="zh-CN"/>
        </w:rPr>
      </w:pPr>
      <w:r>
        <w:rPr>
          <w:rFonts w:hint="eastAsia"/>
          <w:highlight w:val="none"/>
          <w:lang w:val="en-US" w:eastAsia="zh-CN"/>
        </w:rPr>
        <w:br w:type="page"/>
      </w:r>
    </w:p>
    <w:p w14:paraId="3B9DDAA0">
      <w:pPr>
        <w:pStyle w:val="53"/>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4"/>
          <w:highlight w:val="none"/>
          <w:lang w:val="en-US" w:eastAsia="zh-CN" w:bidi="ar-SA"/>
        </w:rPr>
      </w:pPr>
    </w:p>
    <w:p w14:paraId="3781100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3F1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6D22B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37F6659">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 xml:space="preserve">合同签订后30日内交货，最终以合同约定内容为准。        </w:t>
            </w:r>
          </w:p>
        </w:tc>
      </w:tr>
      <w:tr w14:paraId="48BD1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8B0E0C6">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06DE8508">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采购人指定地点。</w:t>
            </w:r>
          </w:p>
        </w:tc>
      </w:tr>
      <w:tr w14:paraId="2AC64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07323D">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E2D4809">
            <w:pPr>
              <w:pStyle w:val="7"/>
              <w:spacing w:line="360" w:lineRule="auto"/>
              <w:rPr>
                <w:rFonts w:hint="eastAsia" w:ascii="宋体" w:hAnsi="宋体" w:eastAsia="宋体" w:cs="宋体"/>
                <w:b/>
                <w:bCs/>
                <w:kern w:val="2"/>
                <w:sz w:val="21"/>
                <w:szCs w:val="21"/>
                <w:highlight w:val="none"/>
              </w:rPr>
            </w:pPr>
            <w:r>
              <w:rPr>
                <w:rFonts w:hint="eastAsia" w:ascii="宋体" w:hAnsi="宋体" w:eastAsia="宋体" w:cs="宋体"/>
                <w:kern w:val="2"/>
                <w:sz w:val="21"/>
                <w:szCs w:val="21"/>
                <w:highlight w:val="none"/>
              </w:rPr>
              <w:t>从产品入库之日起，整机包修</w:t>
            </w:r>
            <w:r>
              <w:rPr>
                <w:rFonts w:hint="eastAsia" w:ascii="宋体" w:hAnsi="宋体" w:eastAsia="宋体" w:cs="宋体"/>
                <w:kern w:val="2"/>
                <w:sz w:val="21"/>
                <w:szCs w:val="21"/>
                <w:highlight w:val="none"/>
                <w:lang w:val="en-US" w:eastAsia="zh-CN"/>
              </w:rPr>
              <w:t>三</w:t>
            </w:r>
            <w:r>
              <w:rPr>
                <w:rFonts w:hint="eastAsia" w:ascii="宋体" w:hAnsi="宋体" w:eastAsia="宋体" w:cs="宋体"/>
                <w:kern w:val="2"/>
                <w:sz w:val="21"/>
                <w:szCs w:val="21"/>
                <w:highlight w:val="none"/>
              </w:rPr>
              <w:t>年，出具相关服务承诺书。</w:t>
            </w:r>
          </w:p>
        </w:tc>
      </w:tr>
      <w:tr w14:paraId="79AB7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96EA12">
            <w:pPr>
              <w:pStyle w:val="7"/>
              <w:spacing w:line="360" w:lineRule="auto"/>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26545FA">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sz w:val="21"/>
                <w:szCs w:val="21"/>
                <w:highlight w:val="none"/>
                <w:shd w:val="clear" w:color="auto" w:fill="FFFFFF"/>
              </w:rPr>
              <w:t>符合国家质量标准、部颁标准、行业标准，满足磋商文件规定标准</w:t>
            </w:r>
            <w:r>
              <w:rPr>
                <w:rFonts w:hint="eastAsia" w:ascii="宋体" w:hAnsi="宋体" w:eastAsia="宋体" w:cs="宋体"/>
                <w:sz w:val="21"/>
                <w:szCs w:val="21"/>
                <w:highlight w:val="none"/>
              </w:rPr>
              <w:t>。</w:t>
            </w:r>
          </w:p>
        </w:tc>
      </w:tr>
      <w:tr w14:paraId="480AE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1AE1E4A">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5C8FD976">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质保期内应当为采购人提供以下技术支持和服务：</w:t>
            </w:r>
          </w:p>
          <w:p w14:paraId="679C7ADF">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a、现场响应：供应商应保证在12小时内对用户提出的问题或故障予以响应及处理。可提供备用设备或核心部件应急使用。</w:t>
            </w:r>
          </w:p>
          <w:p w14:paraId="16639B04">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b、中标人应当应每季度对该设备进行保养不少于一次,并出具保养报告，具体保养内容见合同。</w:t>
            </w:r>
          </w:p>
          <w:p w14:paraId="562A3D00">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c、质保期内该设备应保证大于95%（含）的开机率，如达不到要求，每少于一天质保期顺延7天，如造成严重损失需赔偿用户经济损失或换货或退货。</w:t>
            </w:r>
          </w:p>
          <w:p w14:paraId="36AFEE2C">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d、技术升级，如果制造商的产品技术升级，中标人应及时通知采购人，如采购人有相应要求，中标人和制造商应对采购人购买的产品进行免费升级服务。</w:t>
            </w:r>
          </w:p>
          <w:p w14:paraId="10BFA9A1">
            <w:pPr>
              <w:pStyle w:val="7"/>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53DEA6B7">
            <w:pPr>
              <w:pStyle w:val="7"/>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f、除火灾、洪水、地震等天灾外，在保修期内，由于货物故障所产生的所有费用均由供应商负责。</w:t>
            </w:r>
          </w:p>
        </w:tc>
      </w:tr>
      <w:tr w14:paraId="1985E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D8D8338">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5CFC39D">
            <w:pPr>
              <w:pStyle w:val="7"/>
              <w:spacing w:line="360" w:lineRule="auto"/>
              <w:rPr>
                <w:rFonts w:hint="eastAsia" w:ascii="宋体" w:hAnsi="宋体" w:eastAsia="宋体" w:cs="宋体"/>
                <w:sz w:val="21"/>
                <w:szCs w:val="21"/>
                <w:highlight w:val="none"/>
              </w:rPr>
            </w:pPr>
            <w:r>
              <w:rPr>
                <w:rFonts w:hint="eastAsia" w:ascii="宋体" w:hAnsi="宋体" w:eastAsia="宋体" w:cs="宋体"/>
                <w:kern w:val="2"/>
                <w:sz w:val="21"/>
                <w:szCs w:val="21"/>
                <w:highlight w:val="none"/>
              </w:rPr>
              <w:t>免费提供操作培训和维修培训。</w:t>
            </w:r>
          </w:p>
        </w:tc>
      </w:tr>
      <w:tr w14:paraId="65F8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4B5DF">
            <w:pPr>
              <w:pStyle w:val="7"/>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A5904F">
            <w:pPr>
              <w:pStyle w:val="7"/>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要求设备为最新出厂设备，出厂日期不得早于招标日期6个月。 </w:t>
            </w:r>
          </w:p>
        </w:tc>
      </w:tr>
    </w:tbl>
    <w:p w14:paraId="362979BB">
      <w:pPr>
        <w:pStyle w:val="25"/>
        <w:rPr>
          <w:rFonts w:hint="eastAsia" w:ascii="宋体" w:hAnsi="宋体" w:eastAsia="宋体" w:cs="宋体"/>
          <w:color w:val="auto"/>
          <w:highlight w:val="none"/>
        </w:rPr>
      </w:pPr>
    </w:p>
    <w:p w14:paraId="72AD080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5D17F41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6737AE82">
      <w:pPr>
        <w:pStyle w:val="23"/>
        <w:rPr>
          <w:rFonts w:hint="eastAsia"/>
          <w:highlight w:val="none"/>
        </w:r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2AD5A9B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成交人中标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blPrEx>
          <w:tblCellMar>
            <w:top w:w="0" w:type="dxa"/>
            <w:left w:w="0" w:type="dxa"/>
            <w:bottom w:w="0" w:type="dxa"/>
            <w:right w:w="0" w:type="dxa"/>
          </w:tblCellMar>
        </w:tblPrEx>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婴儿培养箱采购项目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26199"/>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82"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采购预算：</w:t>
            </w:r>
            <w:r>
              <w:rPr>
                <w:rFonts w:hint="eastAsia" w:ascii="宋体" w:hAnsi="宋体" w:cs="宋体"/>
                <w:color w:val="auto"/>
                <w:highlight w:val="none"/>
                <w:lang w:val="en-US" w:eastAsia="zh-CN"/>
              </w:rPr>
              <w:t>250000元</w:t>
            </w:r>
            <w:r>
              <w:rPr>
                <w:rFonts w:hint="default" w:ascii="宋体" w:hAnsi="宋体" w:eastAsia="宋体" w:cs="宋体"/>
                <w:color w:val="auto"/>
                <w:highlight w:val="none"/>
                <w:lang w:val="en-US" w:eastAsia="zh-CN"/>
              </w:rPr>
              <w:t>；最高投标限价</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250000元</w:t>
            </w:r>
            <w:r>
              <w:rPr>
                <w:rFonts w:hint="eastAsia" w:ascii="宋体" w:hAnsi="宋体" w:eastAsia="宋体" w:cs="宋体"/>
                <w:color w:val="auto"/>
                <w:highlight w:val="none"/>
                <w:lang w:val="en-US" w:eastAsia="zh-CN"/>
              </w:rPr>
              <w:t>。</w:t>
            </w:r>
          </w:p>
          <w:p w14:paraId="64F8F9BD">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3.1 本项目磋商以人民币报价。</w:t>
            </w:r>
          </w:p>
          <w:p w14:paraId="7E764007">
            <w:pPr>
              <w:widowControl/>
              <w:snapToGrid w:val="0"/>
              <w:spacing w:line="440" w:lineRule="exact"/>
              <w:jc w:val="left"/>
              <w:outlineLvl w:val="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3.2 供应商的报价超过采购预算，采购人不能支付的，按废标处理。</w:t>
            </w:r>
          </w:p>
          <w:p w14:paraId="2834DD74">
            <w:pPr>
              <w:widowControl/>
              <w:snapToGrid w:val="0"/>
              <w:spacing w:line="440" w:lineRule="exact"/>
              <w:jc w:val="left"/>
              <w:outlineLvl w:val="0"/>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3.3 本项目由成交供应商缴纳招标代理服务费。</w:t>
            </w:r>
            <w:r>
              <w:rPr>
                <w:rFonts w:hint="eastAsia" w:ascii="宋体" w:hAnsi="宋体" w:eastAsia="宋体" w:cs="宋体"/>
                <w:color w:val="auto"/>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440" w:lineRule="exact"/>
                    <w:jc w:val="left"/>
                    <w:outlineLvl w:val="0"/>
                    <mc:AlternateContent>
                      <mc:Choice Requires="wpsCustomData">
                        <wpsCustomData:diagonalParaType/>
                      </mc:Choice>
                    </mc:AlternateContent>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560" w:type="dxa"/>
                  <w:vAlign w:val="center"/>
                </w:tcPr>
                <w:p w14:paraId="5BE93A16">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1380" w:type="dxa"/>
                  <w:vAlign w:val="center"/>
                </w:tcPr>
                <w:p w14:paraId="3ECB263F">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100万元以下</w:t>
                  </w:r>
                </w:p>
              </w:tc>
              <w:tc>
                <w:tcPr>
                  <w:tcW w:w="1605" w:type="dxa"/>
                  <w:vAlign w:val="center"/>
                </w:tcPr>
                <w:p w14:paraId="0F8F8092">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560" w:type="dxa"/>
                  <w:vAlign w:val="center"/>
                </w:tcPr>
                <w:p w14:paraId="64DFB595">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380" w:type="dxa"/>
                  <w:vAlign w:val="center"/>
                </w:tcPr>
                <w:p w14:paraId="6E9F31B9">
                  <w:pPr>
                    <w:widowControl/>
                    <w:snapToGrid w:val="0"/>
                    <w:spacing w:line="440" w:lineRule="exact"/>
                    <w:jc w:val="left"/>
                    <w:outlineLvl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bl>
          <w:p w14:paraId="30591CBC">
            <w:pPr>
              <w:widowControl/>
              <w:snapToGrid w:val="0"/>
              <w:spacing w:line="440" w:lineRule="exact"/>
              <w:jc w:val="left"/>
              <w:outlineLvl w:val="0"/>
              <w:rPr>
                <w:rFonts w:hint="default" w:ascii="宋体" w:hAnsi="宋体" w:eastAsia="宋体" w:cs="宋体"/>
                <w:color w:val="auto"/>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采购资金来源：财政+自筹。</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采购预算：</w:t>
      </w:r>
      <w:r>
        <w:rPr>
          <w:rFonts w:hint="eastAsia" w:ascii="宋体" w:hAnsi="宋体" w:cs="宋体"/>
          <w:b/>
          <w:bCs/>
          <w:color w:val="auto"/>
          <w:kern w:val="0"/>
          <w:szCs w:val="21"/>
          <w:highlight w:val="none"/>
          <w:lang w:val="en-US" w:eastAsia="zh-CN"/>
        </w:rPr>
        <w:t>250000元</w:t>
      </w:r>
      <w:r>
        <w:rPr>
          <w:rFonts w:hint="eastAsia" w:ascii="宋体" w:hAnsi="宋体" w:eastAsia="宋体" w:cs="宋体"/>
          <w:b/>
          <w:bCs/>
          <w:color w:val="auto"/>
          <w:kern w:val="0"/>
          <w:szCs w:val="21"/>
          <w:highlight w:val="none"/>
          <w:lang w:val="en-US" w:eastAsia="zh-CN"/>
        </w:rPr>
        <w:t>；最高投标限价：</w:t>
      </w:r>
      <w:r>
        <w:rPr>
          <w:rFonts w:hint="eastAsia" w:ascii="宋体" w:hAnsi="宋体" w:cs="宋体"/>
          <w:b/>
          <w:bCs/>
          <w:color w:val="auto"/>
          <w:kern w:val="0"/>
          <w:szCs w:val="21"/>
          <w:highlight w:val="none"/>
          <w:lang w:val="en-US" w:eastAsia="zh-CN"/>
        </w:rPr>
        <w:t>250000元</w:t>
      </w:r>
      <w:r>
        <w:rPr>
          <w:rFonts w:hint="eastAsia" w:ascii="宋体" w:hAnsi="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评标办法及评分标准</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采购合同</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有效期、交货期、</w:t>
      </w:r>
      <w:r>
        <w:rPr>
          <w:rFonts w:hint="eastAsia" w:ascii="宋体" w:hAnsi="宋体" w:eastAsia="宋体" w:cs="宋体"/>
          <w:color w:val="auto"/>
          <w:kern w:val="0"/>
          <w:szCs w:val="21"/>
          <w:highlight w:val="none"/>
          <w:lang w:eastAsia="zh-CN"/>
        </w:rPr>
        <w:t>质量</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有效期、交货期、</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中要求列入报价的费用（含配置、功能），漏（缺）报的视同已含在投标总价中。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947"/>
        <w:gridCol w:w="6296"/>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E87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noWrap w:val="0"/>
            <w:vAlign w:val="center"/>
          </w:tcPr>
          <w:p w14:paraId="3FC23CD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2959A2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08879D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5FF6BB5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03C39A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947"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296"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；技术参数中带“★”标注的为重要技术参数，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分；技术参数中</w:t>
            </w:r>
            <w:r>
              <w:rPr>
                <w:rFonts w:hint="eastAsia" w:ascii="宋体" w:hAnsi="宋体" w:cs="宋体"/>
                <w:color w:val="auto"/>
                <w:sz w:val="21"/>
                <w:szCs w:val="21"/>
                <w:highlight w:val="none"/>
                <w:lang w:val="en-US" w:eastAsia="zh-CN"/>
              </w:rPr>
              <w:t>未带“</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”标注的为一般性技术参数，</w:t>
            </w:r>
            <w:r>
              <w:rPr>
                <w:rFonts w:hint="eastAsia" w:ascii="宋体" w:hAnsi="宋体" w:eastAsia="宋体" w:cs="宋体"/>
                <w:color w:val="auto"/>
                <w:sz w:val="21"/>
                <w:szCs w:val="21"/>
                <w:highlight w:val="none"/>
                <w:lang w:val="en-US" w:eastAsia="zh-CN"/>
              </w:rPr>
              <w:t>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；在本项分值范围内扣完为止；</w:t>
            </w:r>
            <w:r>
              <w:rPr>
                <w:rFonts w:hint="eastAsia" w:ascii="宋体" w:hAnsi="宋体" w:eastAsia="宋体" w:cs="宋体"/>
                <w:color w:val="auto"/>
                <w:sz w:val="21"/>
                <w:szCs w:val="21"/>
                <w:highlight w:val="none"/>
                <w:lang w:val="en-US" w:eastAsia="zh-CN"/>
              </w:rPr>
              <w:t xml:space="preserve">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F859C3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b/>
                <w:bCs/>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供应商所投产品需提供医疗器械注册证【含附件：产品技术要求（如有）】</w:t>
            </w:r>
            <w:r>
              <w:rPr>
                <w:rFonts w:hint="eastAsia" w:ascii="宋体" w:hAnsi="宋体" w:cs="宋体"/>
                <w:b/>
                <w:bCs/>
                <w:color w:val="auto"/>
                <w:sz w:val="21"/>
                <w:szCs w:val="21"/>
                <w:highlight w:val="none"/>
                <w:lang w:val="en-US" w:eastAsia="zh-CN"/>
              </w:rPr>
              <w:t>，如未按要求提供，则磋商无效。</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szCs w:val="21"/>
                <w:highlight w:val="none"/>
              </w:rPr>
              <w:t>3）</w:t>
            </w:r>
            <w:r>
              <w:rPr>
                <w:rFonts w:hint="eastAsia" w:ascii="宋体" w:hAnsi="宋体" w:cs="宋体"/>
                <w:color w:val="000000" w:themeColor="text1"/>
                <w:szCs w:val="21"/>
                <w:highlight w:val="none"/>
                <w14:textFill>
                  <w14:solidFill>
                    <w14:schemeClr w14:val="tx1"/>
                  </w14:solidFill>
                </w14:textFill>
              </w:rPr>
              <w:t>提供产品注册检验报告、响应技术参数条款的技术白皮书和彩页等相关文件，并对响应技术参数部分做出明</w:t>
            </w:r>
            <w:r>
              <w:rPr>
                <w:rFonts w:hint="eastAsia" w:ascii="宋体" w:hAnsi="宋体" w:eastAsia="宋体" w:cs="宋体"/>
                <w:color w:val="000000" w:themeColor="text1"/>
                <w:szCs w:val="21"/>
                <w:highlight w:val="none"/>
                <w14:textFill>
                  <w14:solidFill>
                    <w14:schemeClr w14:val="tx1"/>
                  </w14:solidFill>
                </w14:textFill>
              </w:rPr>
              <w:t>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5E6058ED">
            <w:pPr>
              <w:keepNext w:val="0"/>
              <w:keepLines w:val="0"/>
              <w:pageBreakBefore w:val="0"/>
              <w:widowControl/>
              <w:numPr>
                <w:ilvl w:val="0"/>
                <w:numId w:val="0"/>
              </w:numPr>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产品综合评议</w:t>
            </w:r>
          </w:p>
          <w:p w14:paraId="654796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296"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sz w:val="21"/>
                <w:szCs w:val="21"/>
                <w:highlight w:val="none"/>
              </w:rPr>
              <w:t>投标产品制造工艺、稳定性较好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安全性较高的得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分；投标产品制造工艺、稳定性、安全性一般的得1分。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分；所投产品较好，操控性较强、性能较好、技术较先进的得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分；所投产品一般，操控性一般、性能一般、技术保守的得1分。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296"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w:t>
            </w:r>
            <w:r>
              <w:rPr>
                <w:rFonts w:hint="eastAsia" w:ascii="宋体" w:hAnsi="宋体" w:cs="宋体"/>
                <w:color w:val="auto"/>
                <w:sz w:val="21"/>
                <w:szCs w:val="21"/>
                <w:highlight w:val="none"/>
                <w:lang w:val="en-US" w:eastAsia="zh-CN"/>
              </w:rPr>
              <w:t>交货期</w:t>
            </w:r>
            <w:r>
              <w:rPr>
                <w:rFonts w:hint="eastAsia" w:ascii="宋体" w:hAnsi="宋体" w:eastAsia="宋体" w:cs="宋体"/>
                <w:color w:val="auto"/>
                <w:sz w:val="21"/>
                <w:szCs w:val="21"/>
                <w:highlight w:val="none"/>
                <w:lang w:val="en-US" w:eastAsia="zh-CN"/>
              </w:rPr>
              <w:t>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296"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947"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296"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一年</w:t>
            </w:r>
            <w:r>
              <w:rPr>
                <w:rFonts w:hint="eastAsia" w:ascii="宋体" w:hAnsi="宋体" w:eastAsia="宋体" w:cs="宋体"/>
                <w:color w:val="auto"/>
                <w:sz w:val="21"/>
                <w:szCs w:val="21"/>
                <w:highlight w:val="none"/>
                <w:lang w:val="en-US" w:eastAsia="zh-CN"/>
              </w:rPr>
              <w:t>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947"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296"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296"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947"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296"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、培训方案等</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较合理，有较具体的培训方案的得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日常维护保养措施</w:t>
            </w:r>
            <w:r>
              <w:rPr>
                <w:rFonts w:hint="eastAsia" w:ascii="宋体" w:hAnsi="宋体" w:eastAsia="宋体" w:cs="宋体"/>
                <w:b w:val="0"/>
                <w:bCs w:val="0"/>
                <w:color w:val="auto"/>
                <w:sz w:val="21"/>
                <w:szCs w:val="21"/>
                <w:highlight w:val="none"/>
                <w:lang w:val="en-US" w:eastAsia="zh-CN"/>
              </w:rPr>
              <w:t xml:space="preserve">不完备，培训方案不完备的得 </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 xml:space="preserve">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w:t>
      </w:r>
      <w:r>
        <w:rPr>
          <w:rFonts w:hint="eastAsia" w:ascii="宋体" w:hAnsi="宋体" w:eastAsia="宋体" w:cs="宋体"/>
          <w:color w:val="auto"/>
          <w:kern w:val="0"/>
          <w:szCs w:val="21"/>
          <w:highlight w:val="none"/>
          <w:lang w:val="en-US" w:eastAsia="zh-CN"/>
        </w:rPr>
        <w:t>及其提供产品和服务</w:t>
      </w:r>
      <w:r>
        <w:rPr>
          <w:rFonts w:hint="eastAsia" w:ascii="宋体" w:hAnsi="宋体" w:eastAsia="宋体" w:cs="宋体"/>
          <w:color w:val="auto"/>
          <w:kern w:val="0"/>
          <w:szCs w:val="21"/>
          <w:highlight w:val="none"/>
        </w:rPr>
        <w:t>，我方就本次投标有关事项郑重声明并宣布同意如下：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0DFE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163C4A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bookmarkEnd w:id="72"/>
    <w:bookmarkEnd w:id="73"/>
    <w:p w14:paraId="18ED382E">
      <w:pPr>
        <w:keepNext w:val="0"/>
        <w:pageBreakBefore w:val="0"/>
        <w:widowControl w:val="0"/>
        <w:wordWrap w:val="0"/>
        <w:overflowPunct/>
        <w:topLinePunct w:val="0"/>
        <w:bidi w:val="0"/>
        <w:spacing w:line="460" w:lineRule="exact"/>
        <w:ind w:firstLine="2730" w:firstLineChars="1300"/>
        <w:jc w:val="left"/>
        <w:rPr>
          <w:rFonts w:hint="eastAsia" w:ascii="宋体" w:hAnsi="宋体" w:eastAsia="宋体" w:cs="宋体"/>
          <w:color w:val="auto"/>
          <w:kern w:val="0"/>
          <w:szCs w:val="21"/>
          <w:highlight w:val="none"/>
          <w:lang w:eastAsia="zh-CN"/>
        </w:rPr>
      </w:pPr>
      <w:bookmarkStart w:id="74" w:name="_Toc625"/>
      <w:bookmarkStart w:id="75"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bookmarkEnd w:id="52"/>
    <w:bookmarkEnd w:id="53"/>
    <w:p w14:paraId="35B35CE5">
      <w:pPr>
        <w:outlineLvl w:val="9"/>
        <w:rPr>
          <w:rFonts w:hint="eastAsia" w:ascii="宋体" w:hAnsi="宋体" w:eastAsia="宋体" w:cs="宋体"/>
          <w:color w:val="auto"/>
          <w:highlight w:val="none"/>
          <w:lang w:eastAsia="zh-CN"/>
        </w:rPr>
      </w:pPr>
      <w:bookmarkStart w:id="78" w:name="_Toc24984"/>
      <w:bookmarkStart w:id="79" w:name="_Toc22004"/>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0B5482E7">
      <w:pPr>
        <w:pStyle w:val="34"/>
        <w:ind w:firstLine="3990" w:firstLineChars="1900"/>
        <w:rPr>
          <w:rFonts w:hint="eastAsia" w:ascii="宋体" w:hAnsi="宋体" w:eastAsia="宋体" w:cs="宋体"/>
          <w:color w:val="auto"/>
          <w:sz w:val="21"/>
          <w:szCs w:val="21"/>
          <w:highlight w:val="none"/>
          <w:lang w:eastAsia="zh-CN"/>
        </w:rPr>
      </w:pPr>
    </w:p>
    <w:p w14:paraId="4092F63B">
      <w:pPr>
        <w:widowControl/>
        <w:snapToGrid w:val="0"/>
        <w:spacing w:line="440" w:lineRule="exact"/>
        <w:jc w:val="left"/>
        <w:rPr>
          <w:rFonts w:hint="eastAsia" w:ascii="宋体" w:hAnsi="宋体" w:eastAsia="宋体" w:cs="宋体"/>
          <w:b w:val="0"/>
          <w:bCs w:val="0"/>
          <w:color w:val="auto"/>
          <w:sz w:val="21"/>
          <w:szCs w:val="21"/>
          <w:highlight w:val="none"/>
          <w:lang w:val="en-US" w:eastAsia="zh-CN"/>
        </w:rPr>
      </w:pPr>
    </w:p>
    <w:p w14:paraId="11E6CBAB">
      <w:pPr>
        <w:pageBreakBefore w:val="0"/>
        <w:widowControl/>
        <w:wordWrap/>
        <w:overflowPunct/>
        <w:topLinePunct w:val="0"/>
        <w:bidi w:val="0"/>
        <w:spacing w:line="360" w:lineRule="auto"/>
        <w:ind w:firstLine="420" w:firstLineChars="200"/>
        <w:textAlignment w:val="baseline"/>
        <w:rPr>
          <w:rFonts w:hint="eastAsia" w:ascii="宋体" w:hAnsi="宋体" w:eastAsia="宋体" w:cs="宋体"/>
          <w:color w:val="auto"/>
          <w:kern w:val="0"/>
          <w:sz w:val="21"/>
          <w:szCs w:val="21"/>
          <w:highlight w:val="none"/>
        </w:rPr>
      </w:pPr>
    </w:p>
    <w:p w14:paraId="48F290DC">
      <w:pPr>
        <w:pStyle w:val="34"/>
        <w:ind w:firstLine="3990" w:firstLineChars="1900"/>
        <w:rPr>
          <w:rFonts w:hint="eastAsia" w:ascii="宋体" w:hAnsi="宋体" w:eastAsia="宋体" w:cs="宋体"/>
          <w:color w:val="auto"/>
          <w:sz w:val="21"/>
          <w:szCs w:val="21"/>
          <w:highlight w:val="none"/>
          <w:lang w:eastAsia="zh-CN"/>
        </w:rPr>
      </w:pPr>
    </w:p>
    <w:p w14:paraId="196D2C38">
      <w:pPr>
        <w:keepNext w:val="0"/>
        <w:pageBreakBefore w:val="0"/>
        <w:widowControl w:val="0"/>
        <w:wordWrap w:val="0"/>
        <w:overflowPunct/>
        <w:topLinePunct w:val="0"/>
        <w:bidi w:val="0"/>
        <w:spacing w:line="460" w:lineRule="exact"/>
        <w:ind w:firstLine="3150" w:firstLineChars="15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7F6A148">
      <w:pPr>
        <w:widowControl/>
        <w:wordWrap w:val="0"/>
        <w:spacing w:line="460" w:lineRule="exact"/>
        <w:ind w:firstLine="4410" w:firstLineChars="21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月    日</w:t>
      </w:r>
    </w:p>
    <w:p w14:paraId="3603295E">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p>
    <w:p w14:paraId="7DCBE5B5">
      <w:pPr>
        <w:pStyle w:val="8"/>
        <w:rPr>
          <w:rFonts w:hint="eastAsia"/>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6"/>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5"/>
        <w:rPr>
          <w:rFonts w:hint="eastAsia" w:ascii="宋体" w:hAnsi="宋体" w:cs="宋体"/>
          <w:color w:val="auto"/>
          <w:kern w:val="0"/>
          <w:sz w:val="24"/>
          <w:highlight w:val="none"/>
        </w:rPr>
      </w:pPr>
    </w:p>
    <w:p w14:paraId="5E4799AD">
      <w:pPr>
        <w:pStyle w:val="25"/>
        <w:rPr>
          <w:rFonts w:hint="eastAsia" w:ascii="宋体" w:hAnsi="宋体" w:cs="宋体"/>
          <w:color w:val="auto"/>
          <w:kern w:val="0"/>
          <w:sz w:val="24"/>
          <w:highlight w:val="none"/>
        </w:rPr>
      </w:pPr>
    </w:p>
    <w:p w14:paraId="152C8C36">
      <w:pPr>
        <w:pStyle w:val="25"/>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2E41A5BB">
      <w:pPr>
        <w:rPr>
          <w:rFonts w:hint="eastAsia"/>
          <w:highlight w:val="none"/>
        </w:rPr>
        <w:sectPr>
          <w:pgSz w:w="16838" w:h="11906" w:orient="landscape"/>
          <w:pgMar w:top="1474" w:right="1417" w:bottom="1474" w:left="1417" w:header="851" w:footer="624" w:gutter="0"/>
          <w:pgNumType w:fmt="decimal"/>
          <w:cols w:space="720" w:num="1"/>
          <w:docGrid w:type="lines" w:linePitch="319" w:charSpace="0"/>
        </w:sect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2、所投产品若有注册证，报价明细表中规格或型号、产地等信息若与注册证不一致，以投标产品注册证信息为准。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5"/>
        <w:rPr>
          <w:rFonts w:hint="eastAsia" w:ascii="宋体" w:hAnsi="宋体" w:cs="宋体"/>
          <w:color w:val="auto"/>
          <w:kern w:val="0"/>
          <w:sz w:val="24"/>
          <w:highlight w:val="none"/>
          <w:lang w:val="en-US" w:eastAsia="zh-CN"/>
        </w:rPr>
      </w:pPr>
    </w:p>
    <w:p w14:paraId="0C409640">
      <w:pPr>
        <w:pStyle w:val="25"/>
        <w:rPr>
          <w:rFonts w:hint="eastAsia" w:ascii="宋体" w:hAnsi="宋体" w:cs="宋体"/>
          <w:color w:val="auto"/>
          <w:kern w:val="0"/>
          <w:sz w:val="24"/>
          <w:highlight w:val="none"/>
          <w:lang w:val="en-US" w:eastAsia="zh-CN"/>
        </w:rPr>
      </w:pPr>
    </w:p>
    <w:p w14:paraId="1C9EAA97">
      <w:pPr>
        <w:pStyle w:val="25"/>
        <w:rPr>
          <w:rFonts w:hint="eastAsia" w:ascii="宋体" w:hAnsi="宋体" w:cs="宋体"/>
          <w:color w:val="auto"/>
          <w:kern w:val="0"/>
          <w:sz w:val="24"/>
          <w:highlight w:val="none"/>
          <w:lang w:val="en-US" w:eastAsia="zh-CN"/>
        </w:rPr>
      </w:pPr>
    </w:p>
    <w:p w14:paraId="21B00144">
      <w:pPr>
        <w:pStyle w:val="25"/>
        <w:rPr>
          <w:rFonts w:hint="eastAsia" w:ascii="宋体" w:hAnsi="宋体" w:cs="宋体"/>
          <w:color w:val="auto"/>
          <w:kern w:val="0"/>
          <w:sz w:val="24"/>
          <w:highlight w:val="none"/>
          <w:lang w:val="en-US" w:eastAsia="zh-CN"/>
        </w:rPr>
      </w:pPr>
    </w:p>
    <w:p w14:paraId="2A74BFB0">
      <w:pPr>
        <w:pStyle w:val="25"/>
        <w:rPr>
          <w:rFonts w:hint="eastAsia" w:ascii="宋体" w:hAnsi="宋体" w:cs="宋体"/>
          <w:color w:val="auto"/>
          <w:kern w:val="0"/>
          <w:sz w:val="24"/>
          <w:highlight w:val="none"/>
          <w:lang w:val="en-US" w:eastAsia="zh-CN"/>
        </w:rPr>
      </w:pPr>
    </w:p>
    <w:p w14:paraId="3EF3AB43">
      <w:pPr>
        <w:pStyle w:val="25"/>
        <w:rPr>
          <w:rFonts w:hint="eastAsia" w:ascii="宋体" w:hAnsi="宋体" w:cs="宋体"/>
          <w:color w:val="auto"/>
          <w:kern w:val="0"/>
          <w:sz w:val="24"/>
          <w:highlight w:val="none"/>
          <w:lang w:val="en-US" w:eastAsia="zh-CN"/>
        </w:rPr>
      </w:pPr>
    </w:p>
    <w:p w14:paraId="4AAC2649">
      <w:pPr>
        <w:pStyle w:val="25"/>
        <w:rPr>
          <w:rFonts w:hint="default" w:ascii="宋体" w:hAnsi="宋体" w:cs="宋体"/>
          <w:color w:val="auto"/>
          <w:kern w:val="0"/>
          <w:sz w:val="24"/>
          <w:highlight w:val="none"/>
          <w:lang w:val="en-US" w:eastAsia="zh-CN"/>
        </w:rPr>
      </w:pPr>
    </w:p>
    <w:p w14:paraId="5C2F6EBC">
      <w:pPr>
        <w:pStyle w:val="25"/>
        <w:rPr>
          <w:rFonts w:hint="default" w:ascii="宋体" w:hAnsi="宋体" w:cs="宋体"/>
          <w:color w:val="auto"/>
          <w:kern w:val="0"/>
          <w:sz w:val="24"/>
          <w:highlight w:val="none"/>
          <w:lang w:val="en-US" w:eastAsia="zh-CN"/>
        </w:rPr>
      </w:pPr>
    </w:p>
    <w:p w14:paraId="51FCD9D6">
      <w:pPr>
        <w:pStyle w:val="25"/>
        <w:rPr>
          <w:rFonts w:hint="default" w:ascii="宋体" w:hAnsi="宋体" w:cs="宋体"/>
          <w:color w:val="auto"/>
          <w:kern w:val="0"/>
          <w:sz w:val="24"/>
          <w:highlight w:val="none"/>
          <w:lang w:val="en-US" w:eastAsia="zh-CN"/>
        </w:rPr>
      </w:pPr>
    </w:p>
    <w:p w14:paraId="1E63C69E">
      <w:pPr>
        <w:pStyle w:val="25"/>
        <w:rPr>
          <w:rFonts w:hint="default" w:ascii="宋体" w:hAnsi="宋体" w:cs="宋体"/>
          <w:color w:val="auto"/>
          <w:kern w:val="0"/>
          <w:sz w:val="24"/>
          <w:highlight w:val="none"/>
          <w:lang w:val="en-US" w:eastAsia="zh-CN"/>
        </w:rPr>
      </w:pPr>
    </w:p>
    <w:p w14:paraId="14084F2D">
      <w:pPr>
        <w:pStyle w:val="25"/>
        <w:rPr>
          <w:rFonts w:hint="default" w:ascii="宋体" w:hAnsi="宋体" w:cs="宋体"/>
          <w:color w:val="auto"/>
          <w:kern w:val="0"/>
          <w:sz w:val="24"/>
          <w:highlight w:val="none"/>
          <w:lang w:val="en-US" w:eastAsia="zh-CN"/>
        </w:rPr>
      </w:pPr>
    </w:p>
    <w:p w14:paraId="5030750C">
      <w:pPr>
        <w:pStyle w:val="25"/>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5"/>
        <w:rPr>
          <w:rFonts w:hint="default" w:ascii="宋体" w:hAnsi="宋体" w:cs="宋体"/>
          <w:color w:val="auto"/>
          <w:kern w:val="0"/>
          <w:sz w:val="24"/>
          <w:highlight w:val="none"/>
          <w:lang w:val="en-US"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5"/>
        <w:rPr>
          <w:rFonts w:hint="default" w:ascii="宋体" w:hAnsi="宋体" w:cs="宋体"/>
          <w:color w:val="auto"/>
          <w:kern w:val="0"/>
          <w:sz w:val="24"/>
          <w:highlight w:val="none"/>
          <w:lang w:val="en-US" w:eastAsia="zh-CN"/>
        </w:rPr>
      </w:pPr>
    </w:p>
    <w:p w14:paraId="1C27DB87">
      <w:pPr>
        <w:pStyle w:val="25"/>
        <w:rPr>
          <w:rFonts w:hint="default" w:ascii="宋体" w:hAnsi="宋体" w:cs="宋体"/>
          <w:color w:val="auto"/>
          <w:kern w:val="0"/>
          <w:sz w:val="24"/>
          <w:highlight w:val="none"/>
          <w:lang w:val="en-US" w:eastAsia="zh-CN"/>
        </w:rPr>
      </w:pPr>
    </w:p>
    <w:p w14:paraId="43E68354">
      <w:pPr>
        <w:pStyle w:val="25"/>
        <w:rPr>
          <w:rFonts w:hint="default" w:ascii="宋体" w:hAnsi="宋体" w:cs="宋体"/>
          <w:color w:val="auto"/>
          <w:kern w:val="0"/>
          <w:sz w:val="24"/>
          <w:highlight w:val="none"/>
          <w:lang w:val="en-US" w:eastAsia="zh-CN"/>
        </w:rPr>
      </w:pPr>
    </w:p>
    <w:p w14:paraId="650115AD">
      <w:pPr>
        <w:pStyle w:val="25"/>
        <w:rPr>
          <w:rFonts w:hint="default" w:ascii="宋体" w:hAnsi="宋体" w:cs="宋体"/>
          <w:color w:val="auto"/>
          <w:kern w:val="0"/>
          <w:sz w:val="84"/>
          <w:szCs w:val="84"/>
          <w:highlight w:val="none"/>
          <w:lang w:val="en-US" w:eastAsia="zh-CN"/>
        </w:rPr>
      </w:pPr>
    </w:p>
    <w:p w14:paraId="4A359505">
      <w:pPr>
        <w:pStyle w:val="25"/>
        <w:rPr>
          <w:rFonts w:hint="default" w:ascii="宋体" w:hAnsi="宋体" w:cs="宋体"/>
          <w:color w:val="auto"/>
          <w:kern w:val="0"/>
          <w:sz w:val="84"/>
          <w:szCs w:val="84"/>
          <w:highlight w:val="none"/>
          <w:lang w:val="en-US" w:eastAsia="zh-CN"/>
        </w:rPr>
      </w:pPr>
    </w:p>
    <w:p w14:paraId="02993081">
      <w:pPr>
        <w:rPr>
          <w:rFonts w:hint="eastAsia" w:ascii="宋体" w:hAnsi="宋体" w:eastAsia="宋体" w:cs="宋体"/>
          <w:color w:val="auto"/>
          <w:sz w:val="84"/>
          <w:szCs w:val="84"/>
          <w:highlight w:val="none"/>
          <w:lang w:val="en-US" w:eastAsia="zh-CN"/>
        </w:rPr>
      </w:pPr>
      <w:bookmarkStart w:id="80" w:name="_Toc226"/>
      <w:bookmarkStart w:id="81" w:name="_Toc15804"/>
      <w:r>
        <w:rPr>
          <w:rFonts w:hint="eastAsia" w:ascii="宋体" w:hAnsi="宋体" w:eastAsia="宋体" w:cs="宋体"/>
          <w:color w:val="auto"/>
          <w:sz w:val="84"/>
          <w:szCs w:val="84"/>
          <w:highlight w:val="none"/>
          <w:lang w:val="en-US" w:eastAsia="zh-CN"/>
        </w:rPr>
        <w:br w:type="page"/>
      </w: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4168"/>
      <w:bookmarkStart w:id="84" w:name="_Toc2042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34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34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73DDB08">
            <w:pPr>
              <w:widowControl/>
              <w:spacing w:line="360" w:lineRule="auto"/>
              <w:jc w:val="center"/>
              <w:textAlignment w:val="baseline"/>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1</w:t>
            </w:r>
          </w:p>
        </w:tc>
        <w:tc>
          <w:tcPr>
            <w:tcW w:w="2301" w:type="dxa"/>
            <w:shd w:val="clear" w:color="auto" w:fill="auto"/>
            <w:noWrap w:val="0"/>
            <w:vAlign w:val="center"/>
          </w:tcPr>
          <w:p w14:paraId="6DC2849E">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40B5BCD3">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2</w:t>
            </w:r>
          </w:p>
        </w:tc>
        <w:tc>
          <w:tcPr>
            <w:tcW w:w="2301" w:type="dxa"/>
            <w:shd w:val="clear" w:color="auto" w:fill="auto"/>
            <w:noWrap w:val="0"/>
            <w:vAlign w:val="center"/>
          </w:tcPr>
          <w:p w14:paraId="0472149B">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交货地点</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0BED208E">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3</w:t>
            </w:r>
          </w:p>
        </w:tc>
        <w:tc>
          <w:tcPr>
            <w:tcW w:w="2301" w:type="dxa"/>
            <w:shd w:val="clear" w:color="auto" w:fill="auto"/>
            <w:noWrap w:val="0"/>
            <w:vAlign w:val="center"/>
          </w:tcPr>
          <w:p w14:paraId="50BB9001">
            <w:pPr>
              <w:pStyle w:val="7"/>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731D51C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4</w:t>
            </w:r>
          </w:p>
        </w:tc>
        <w:tc>
          <w:tcPr>
            <w:tcW w:w="2301" w:type="dxa"/>
            <w:shd w:val="clear" w:color="auto" w:fill="auto"/>
            <w:noWrap w:val="0"/>
            <w:vAlign w:val="center"/>
          </w:tcPr>
          <w:p w14:paraId="6182A3E4">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质量要求</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shd w:val="clear" w:color="auto" w:fill="auto"/>
            <w:noWrap w:val="0"/>
            <w:vAlign w:val="center"/>
          </w:tcPr>
          <w:p w14:paraId="15D97B2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5</w:t>
            </w:r>
          </w:p>
        </w:tc>
        <w:tc>
          <w:tcPr>
            <w:tcW w:w="2301" w:type="dxa"/>
            <w:shd w:val="clear" w:color="auto" w:fill="auto"/>
            <w:noWrap w:val="0"/>
            <w:vAlign w:val="center"/>
          </w:tcPr>
          <w:p w14:paraId="5C43BD33">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shd w:val="clear" w:color="auto" w:fill="auto"/>
            <w:noWrap w:val="0"/>
            <w:vAlign w:val="center"/>
          </w:tcPr>
          <w:p w14:paraId="348FA7DF">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6</w:t>
            </w:r>
          </w:p>
        </w:tc>
        <w:tc>
          <w:tcPr>
            <w:tcW w:w="2301" w:type="dxa"/>
            <w:shd w:val="clear" w:color="auto" w:fill="auto"/>
            <w:noWrap w:val="0"/>
            <w:vAlign w:val="center"/>
          </w:tcPr>
          <w:p w14:paraId="56FFBDC6">
            <w:pPr>
              <w:pStyle w:val="7"/>
              <w:spacing w:line="360" w:lineRule="auto"/>
              <w:jc w:val="center"/>
              <w:rPr>
                <w:rFonts w:hint="eastAsia" w:cs="仿宋" w:asciiTheme="majorEastAsia" w:hAnsiTheme="majorEastAsia" w:eastAsiaTheme="majorEastAsia"/>
                <w:kern w:val="2"/>
                <w:sz w:val="21"/>
                <w:szCs w:val="21"/>
                <w:highlight w:val="none"/>
                <w:lang w:val="en-US" w:eastAsia="zh-CN" w:bidi="ar-SA"/>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64D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shd w:val="clear" w:color="auto" w:fill="auto"/>
            <w:vAlign w:val="center"/>
          </w:tcPr>
          <w:p w14:paraId="62950205">
            <w:pPr>
              <w:widowControl/>
              <w:spacing w:line="360" w:lineRule="auto"/>
              <w:jc w:val="center"/>
              <w:textAlignment w:val="baseline"/>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rPr>
              <w:t>7</w:t>
            </w:r>
          </w:p>
        </w:tc>
        <w:tc>
          <w:tcPr>
            <w:tcW w:w="0" w:type="auto"/>
            <w:shd w:val="clear" w:color="auto" w:fill="auto"/>
            <w:vAlign w:val="center"/>
          </w:tcPr>
          <w:p w14:paraId="68964669">
            <w:pPr>
              <w:pStyle w:val="7"/>
              <w:spacing w:line="360" w:lineRule="auto"/>
              <w:jc w:val="center"/>
              <w:rPr>
                <w:rFonts w:hint="eastAsia" w:cs="宋体" w:asciiTheme="majorEastAsia" w:hAnsiTheme="majorEastAsia" w:eastAsiaTheme="majorEastAsia"/>
                <w:kern w:val="0"/>
                <w:sz w:val="21"/>
                <w:szCs w:val="21"/>
                <w:highlight w:val="none"/>
                <w:lang w:val="en-US" w:eastAsia="zh-CN" w:bidi="ar-SA"/>
              </w:rPr>
            </w:pPr>
            <w:r>
              <w:rPr>
                <w:rFonts w:hint="eastAsia" w:asciiTheme="majorEastAsia" w:hAnsiTheme="majorEastAsia" w:eastAsiaTheme="majorEastAsia"/>
                <w:sz w:val="21"/>
                <w:szCs w:val="21"/>
                <w:highlight w:val="none"/>
              </w:rPr>
              <w:t>其他要求</w:t>
            </w:r>
          </w:p>
        </w:tc>
        <w:tc>
          <w:tcPr>
            <w:tcW w:w="0" w:type="auto"/>
          </w:tcPr>
          <w:p w14:paraId="61DB02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ED75E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64F6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F4B5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F68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3921CE4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0" w:type="auto"/>
            <w:shd w:val="clear" w:color="auto" w:fill="auto"/>
            <w:vAlign w:val="center"/>
          </w:tcPr>
          <w:p w14:paraId="55C91CE4">
            <w:pPr>
              <w:pStyle w:val="7"/>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kern w:val="0"/>
                <w:sz w:val="21"/>
                <w:szCs w:val="21"/>
                <w:highlight w:val="none"/>
                <w:lang w:val="en-US" w:eastAsia="zh-CN" w:bidi="ar-SA"/>
              </w:rPr>
              <w:t>...</w:t>
            </w:r>
          </w:p>
        </w:tc>
        <w:tc>
          <w:tcPr>
            <w:tcW w:w="0" w:type="auto"/>
          </w:tcPr>
          <w:p w14:paraId="40A4C3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73AF2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F211F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07894F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1D1984C2">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30519"/>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793D31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EEFB010">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ind w:firstLine="840" w:firstLine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3394"/>
      <w:bookmarkStart w:id="99" w:name="_Toc31685"/>
      <w:bookmarkStart w:id="100"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9F2AC46">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驻马店市中心医院婴儿培养箱采购项目竞争性磋商文件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2F61"/>
    <w:rsid w:val="05421D44"/>
    <w:rsid w:val="054C0111"/>
    <w:rsid w:val="05545DD3"/>
    <w:rsid w:val="056326BB"/>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E71F5"/>
    <w:rsid w:val="068E7B23"/>
    <w:rsid w:val="06983B20"/>
    <w:rsid w:val="069A3B66"/>
    <w:rsid w:val="06A869D6"/>
    <w:rsid w:val="06A9264E"/>
    <w:rsid w:val="06AD6562"/>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4F5152"/>
    <w:rsid w:val="08591DC3"/>
    <w:rsid w:val="085B58CB"/>
    <w:rsid w:val="086105BC"/>
    <w:rsid w:val="08672793"/>
    <w:rsid w:val="08695E80"/>
    <w:rsid w:val="087370B9"/>
    <w:rsid w:val="087C4541"/>
    <w:rsid w:val="087E5595"/>
    <w:rsid w:val="08BC0A60"/>
    <w:rsid w:val="08C52D6F"/>
    <w:rsid w:val="08E42BE4"/>
    <w:rsid w:val="08EF0201"/>
    <w:rsid w:val="08F41DE8"/>
    <w:rsid w:val="093D1475"/>
    <w:rsid w:val="094840A2"/>
    <w:rsid w:val="09630EDC"/>
    <w:rsid w:val="09644C54"/>
    <w:rsid w:val="09737462"/>
    <w:rsid w:val="099156C3"/>
    <w:rsid w:val="09A33F5B"/>
    <w:rsid w:val="09A53F39"/>
    <w:rsid w:val="09A60E13"/>
    <w:rsid w:val="09A82D92"/>
    <w:rsid w:val="09AB2883"/>
    <w:rsid w:val="09C35E1E"/>
    <w:rsid w:val="09CD0A4B"/>
    <w:rsid w:val="09D206F0"/>
    <w:rsid w:val="0A0A6645"/>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1346C"/>
    <w:rsid w:val="0C0A7D34"/>
    <w:rsid w:val="0C230DF6"/>
    <w:rsid w:val="0C3152C1"/>
    <w:rsid w:val="0C3957A5"/>
    <w:rsid w:val="0C507E2F"/>
    <w:rsid w:val="0C600D66"/>
    <w:rsid w:val="0C626DA7"/>
    <w:rsid w:val="0C6876AE"/>
    <w:rsid w:val="0C71390F"/>
    <w:rsid w:val="0C720EC8"/>
    <w:rsid w:val="0C873133"/>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2671"/>
    <w:rsid w:val="0FC91CB4"/>
    <w:rsid w:val="0FCA42ED"/>
    <w:rsid w:val="0FDB5F4F"/>
    <w:rsid w:val="0FE7592C"/>
    <w:rsid w:val="0FFC17A5"/>
    <w:rsid w:val="0FFD20F0"/>
    <w:rsid w:val="1006283E"/>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67C1F"/>
    <w:rsid w:val="1178125A"/>
    <w:rsid w:val="118441E0"/>
    <w:rsid w:val="1196056D"/>
    <w:rsid w:val="11A402E3"/>
    <w:rsid w:val="11B85B3D"/>
    <w:rsid w:val="11CD20A0"/>
    <w:rsid w:val="11D34654"/>
    <w:rsid w:val="12010480"/>
    <w:rsid w:val="120E707F"/>
    <w:rsid w:val="121D0051"/>
    <w:rsid w:val="12413D84"/>
    <w:rsid w:val="124D2289"/>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BF7F2D"/>
    <w:rsid w:val="13C72B3A"/>
    <w:rsid w:val="13CF716E"/>
    <w:rsid w:val="13D12EE6"/>
    <w:rsid w:val="13DF575E"/>
    <w:rsid w:val="13E470BD"/>
    <w:rsid w:val="13EE3A98"/>
    <w:rsid w:val="13F3280A"/>
    <w:rsid w:val="14005579"/>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61EDF"/>
    <w:rsid w:val="1677211D"/>
    <w:rsid w:val="16774218"/>
    <w:rsid w:val="167954F9"/>
    <w:rsid w:val="169311EC"/>
    <w:rsid w:val="169C5A2D"/>
    <w:rsid w:val="169F7296"/>
    <w:rsid w:val="16A060BA"/>
    <w:rsid w:val="16A57EAF"/>
    <w:rsid w:val="16A918E4"/>
    <w:rsid w:val="16AC4287"/>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32277F"/>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C50DC4"/>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C82E20"/>
    <w:rsid w:val="1BDA6D68"/>
    <w:rsid w:val="1BF14125"/>
    <w:rsid w:val="1C002CEE"/>
    <w:rsid w:val="1C4032FE"/>
    <w:rsid w:val="1C4E77C9"/>
    <w:rsid w:val="1C555978"/>
    <w:rsid w:val="1C5D17BA"/>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413DDA"/>
    <w:rsid w:val="1D5144F7"/>
    <w:rsid w:val="1D5B3CDE"/>
    <w:rsid w:val="1D5D0701"/>
    <w:rsid w:val="1D6E2950"/>
    <w:rsid w:val="1D79298C"/>
    <w:rsid w:val="1D98209B"/>
    <w:rsid w:val="1DA23746"/>
    <w:rsid w:val="1DAA14B9"/>
    <w:rsid w:val="1DD04513"/>
    <w:rsid w:val="1DD8524D"/>
    <w:rsid w:val="1DDD2BCB"/>
    <w:rsid w:val="1DDF1B3A"/>
    <w:rsid w:val="1E0345E3"/>
    <w:rsid w:val="1E1B7B7F"/>
    <w:rsid w:val="1E443370"/>
    <w:rsid w:val="1E5D1F46"/>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796A28"/>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60559C"/>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2C638A"/>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635E7"/>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40D5E"/>
    <w:rsid w:val="257572C3"/>
    <w:rsid w:val="25790E85"/>
    <w:rsid w:val="25965D3D"/>
    <w:rsid w:val="25972C60"/>
    <w:rsid w:val="25974C6F"/>
    <w:rsid w:val="259D1676"/>
    <w:rsid w:val="25A353EB"/>
    <w:rsid w:val="25B87B65"/>
    <w:rsid w:val="25CB78C3"/>
    <w:rsid w:val="25D54390"/>
    <w:rsid w:val="25D6438C"/>
    <w:rsid w:val="25E371D4"/>
    <w:rsid w:val="261879A7"/>
    <w:rsid w:val="261A071C"/>
    <w:rsid w:val="262275D1"/>
    <w:rsid w:val="26395046"/>
    <w:rsid w:val="264B0BA4"/>
    <w:rsid w:val="264F4111"/>
    <w:rsid w:val="265E0AEC"/>
    <w:rsid w:val="2661459D"/>
    <w:rsid w:val="268C5256"/>
    <w:rsid w:val="268E455B"/>
    <w:rsid w:val="26912B30"/>
    <w:rsid w:val="269728B5"/>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B7780D"/>
    <w:rsid w:val="27EE3A7B"/>
    <w:rsid w:val="27FA25B3"/>
    <w:rsid w:val="28033B5E"/>
    <w:rsid w:val="28072D06"/>
    <w:rsid w:val="28100029"/>
    <w:rsid w:val="281178FD"/>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56BC2"/>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043E2"/>
    <w:rsid w:val="2B4A5600"/>
    <w:rsid w:val="2B574FD9"/>
    <w:rsid w:val="2B642979"/>
    <w:rsid w:val="2B681F2A"/>
    <w:rsid w:val="2B8D373E"/>
    <w:rsid w:val="2B9E4F56"/>
    <w:rsid w:val="2BC20BE2"/>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964B4"/>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0ED24C4"/>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1E109C"/>
    <w:rsid w:val="33240E2C"/>
    <w:rsid w:val="33274478"/>
    <w:rsid w:val="334045BE"/>
    <w:rsid w:val="334A3B2A"/>
    <w:rsid w:val="3365592E"/>
    <w:rsid w:val="336A31F3"/>
    <w:rsid w:val="336F6533"/>
    <w:rsid w:val="33727DEA"/>
    <w:rsid w:val="337E5E2F"/>
    <w:rsid w:val="3384610D"/>
    <w:rsid w:val="33886F33"/>
    <w:rsid w:val="33AA5979"/>
    <w:rsid w:val="33C03E90"/>
    <w:rsid w:val="33C96649"/>
    <w:rsid w:val="33CC3D88"/>
    <w:rsid w:val="33D45236"/>
    <w:rsid w:val="33D939C5"/>
    <w:rsid w:val="33DD0306"/>
    <w:rsid w:val="33E86E49"/>
    <w:rsid w:val="33FD722F"/>
    <w:rsid w:val="3400362D"/>
    <w:rsid w:val="340B09C5"/>
    <w:rsid w:val="341E4CAB"/>
    <w:rsid w:val="34584EE2"/>
    <w:rsid w:val="347A1C51"/>
    <w:rsid w:val="347D373F"/>
    <w:rsid w:val="34922A93"/>
    <w:rsid w:val="34956481"/>
    <w:rsid w:val="34A35871"/>
    <w:rsid w:val="34C06C9D"/>
    <w:rsid w:val="34DF24AE"/>
    <w:rsid w:val="35143766"/>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D501BC"/>
    <w:rsid w:val="35DB09A6"/>
    <w:rsid w:val="35DF5DB4"/>
    <w:rsid w:val="36080591"/>
    <w:rsid w:val="3609472F"/>
    <w:rsid w:val="3619454C"/>
    <w:rsid w:val="36203B2D"/>
    <w:rsid w:val="363E0457"/>
    <w:rsid w:val="365B4B65"/>
    <w:rsid w:val="3660230D"/>
    <w:rsid w:val="366F1648"/>
    <w:rsid w:val="36751D82"/>
    <w:rsid w:val="367F5397"/>
    <w:rsid w:val="36910587"/>
    <w:rsid w:val="369B4CF0"/>
    <w:rsid w:val="36D62629"/>
    <w:rsid w:val="36D76172"/>
    <w:rsid w:val="36D84407"/>
    <w:rsid w:val="36E833BB"/>
    <w:rsid w:val="36EB1E1B"/>
    <w:rsid w:val="36F17F0D"/>
    <w:rsid w:val="36FB00F6"/>
    <w:rsid w:val="37103BA1"/>
    <w:rsid w:val="37191D4D"/>
    <w:rsid w:val="37224581"/>
    <w:rsid w:val="3735197D"/>
    <w:rsid w:val="373756A2"/>
    <w:rsid w:val="374A416C"/>
    <w:rsid w:val="375E0DA6"/>
    <w:rsid w:val="377639AE"/>
    <w:rsid w:val="377D0B0B"/>
    <w:rsid w:val="378142CB"/>
    <w:rsid w:val="378B61A6"/>
    <w:rsid w:val="3793032E"/>
    <w:rsid w:val="37B90F0B"/>
    <w:rsid w:val="37C75A47"/>
    <w:rsid w:val="37CD3F98"/>
    <w:rsid w:val="37DF75BA"/>
    <w:rsid w:val="37E148E2"/>
    <w:rsid w:val="37EE4FBF"/>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AE31FE"/>
    <w:rsid w:val="39BC5ED6"/>
    <w:rsid w:val="39D27231"/>
    <w:rsid w:val="39E82BB3"/>
    <w:rsid w:val="39EB39E0"/>
    <w:rsid w:val="39EE17A8"/>
    <w:rsid w:val="39EE7A9E"/>
    <w:rsid w:val="39EF02D4"/>
    <w:rsid w:val="3A0D6176"/>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248CD"/>
    <w:rsid w:val="3AA50E25"/>
    <w:rsid w:val="3AC566E3"/>
    <w:rsid w:val="3AD6747A"/>
    <w:rsid w:val="3AD95C48"/>
    <w:rsid w:val="3ADF5D0A"/>
    <w:rsid w:val="3B0F23C2"/>
    <w:rsid w:val="3B312338"/>
    <w:rsid w:val="3B3C5B77"/>
    <w:rsid w:val="3B3D0FF2"/>
    <w:rsid w:val="3B501351"/>
    <w:rsid w:val="3B521A18"/>
    <w:rsid w:val="3B8D2B96"/>
    <w:rsid w:val="3B8D51D7"/>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141CF"/>
    <w:rsid w:val="3D1414C5"/>
    <w:rsid w:val="3D1C763E"/>
    <w:rsid w:val="3D201AA5"/>
    <w:rsid w:val="3D2B37EA"/>
    <w:rsid w:val="3D2F7FF3"/>
    <w:rsid w:val="3D3B56F0"/>
    <w:rsid w:val="3D3D1507"/>
    <w:rsid w:val="3D421ADA"/>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42365"/>
    <w:rsid w:val="3E5C591E"/>
    <w:rsid w:val="3E6C2B3A"/>
    <w:rsid w:val="3E8C5311"/>
    <w:rsid w:val="3E8E7E55"/>
    <w:rsid w:val="3EB61473"/>
    <w:rsid w:val="3EC66011"/>
    <w:rsid w:val="3ED25BE0"/>
    <w:rsid w:val="3ED75B7F"/>
    <w:rsid w:val="3EF9316D"/>
    <w:rsid w:val="3F315E6B"/>
    <w:rsid w:val="3F5175E2"/>
    <w:rsid w:val="3F56276A"/>
    <w:rsid w:val="3F6C10E0"/>
    <w:rsid w:val="3F79605C"/>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363B0"/>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21187"/>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0923BB"/>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2C082F"/>
    <w:rsid w:val="49413F52"/>
    <w:rsid w:val="49483D67"/>
    <w:rsid w:val="494F6304"/>
    <w:rsid w:val="49792B95"/>
    <w:rsid w:val="49F11610"/>
    <w:rsid w:val="4A05334F"/>
    <w:rsid w:val="4A060864"/>
    <w:rsid w:val="4A1C51FA"/>
    <w:rsid w:val="4A244932"/>
    <w:rsid w:val="4A2922C8"/>
    <w:rsid w:val="4A4117B2"/>
    <w:rsid w:val="4A4A6F7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47E66"/>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10657"/>
    <w:rsid w:val="54352A96"/>
    <w:rsid w:val="54447390"/>
    <w:rsid w:val="544B514D"/>
    <w:rsid w:val="545E1D01"/>
    <w:rsid w:val="54674051"/>
    <w:rsid w:val="5472334E"/>
    <w:rsid w:val="54935B8F"/>
    <w:rsid w:val="549D3677"/>
    <w:rsid w:val="54B03E76"/>
    <w:rsid w:val="54BF230B"/>
    <w:rsid w:val="54CC6227"/>
    <w:rsid w:val="54CE0935"/>
    <w:rsid w:val="54D10F9B"/>
    <w:rsid w:val="54D97871"/>
    <w:rsid w:val="54DC4C6B"/>
    <w:rsid w:val="550B5550"/>
    <w:rsid w:val="551D586C"/>
    <w:rsid w:val="55200298"/>
    <w:rsid w:val="55335E1B"/>
    <w:rsid w:val="5536079B"/>
    <w:rsid w:val="554B7EF0"/>
    <w:rsid w:val="554F7B33"/>
    <w:rsid w:val="556F3D99"/>
    <w:rsid w:val="55720837"/>
    <w:rsid w:val="55735C18"/>
    <w:rsid w:val="55860894"/>
    <w:rsid w:val="558A0B6B"/>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653FE"/>
    <w:rsid w:val="57007337"/>
    <w:rsid w:val="57295209"/>
    <w:rsid w:val="574448FC"/>
    <w:rsid w:val="57561D39"/>
    <w:rsid w:val="575B7AFD"/>
    <w:rsid w:val="57660D3F"/>
    <w:rsid w:val="5785783C"/>
    <w:rsid w:val="578F06BB"/>
    <w:rsid w:val="57A469A0"/>
    <w:rsid w:val="57BE5BA6"/>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1051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CF2FF0"/>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A53AC"/>
    <w:rsid w:val="5A9C1D5C"/>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555BE"/>
    <w:rsid w:val="5B4859CC"/>
    <w:rsid w:val="5B585171"/>
    <w:rsid w:val="5B585B78"/>
    <w:rsid w:val="5B6360E6"/>
    <w:rsid w:val="5B6D62B9"/>
    <w:rsid w:val="5B746CFA"/>
    <w:rsid w:val="5B9A2B59"/>
    <w:rsid w:val="5BA652E6"/>
    <w:rsid w:val="5BC0085A"/>
    <w:rsid w:val="5BC052E6"/>
    <w:rsid w:val="5BE03293"/>
    <w:rsid w:val="5BF03D58"/>
    <w:rsid w:val="5BF20AFB"/>
    <w:rsid w:val="5C1A6BB2"/>
    <w:rsid w:val="5C306D31"/>
    <w:rsid w:val="5C37233A"/>
    <w:rsid w:val="5C5355FE"/>
    <w:rsid w:val="5C5A49A5"/>
    <w:rsid w:val="5C6519EA"/>
    <w:rsid w:val="5C6715FE"/>
    <w:rsid w:val="5C6F4105"/>
    <w:rsid w:val="5C841E70"/>
    <w:rsid w:val="5CAF45D9"/>
    <w:rsid w:val="5CBB7F6F"/>
    <w:rsid w:val="5CC248CE"/>
    <w:rsid w:val="5CC826A5"/>
    <w:rsid w:val="5CF1327E"/>
    <w:rsid w:val="5D042FB1"/>
    <w:rsid w:val="5D2D2508"/>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11E"/>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1C6CD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B5C6A"/>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D5782"/>
    <w:rsid w:val="61A90D68"/>
    <w:rsid w:val="61B43A15"/>
    <w:rsid w:val="61DA0425"/>
    <w:rsid w:val="61E241E7"/>
    <w:rsid w:val="62065A1D"/>
    <w:rsid w:val="6213792C"/>
    <w:rsid w:val="621775E2"/>
    <w:rsid w:val="621C0D9D"/>
    <w:rsid w:val="622F7552"/>
    <w:rsid w:val="6250406E"/>
    <w:rsid w:val="6254757F"/>
    <w:rsid w:val="6267666C"/>
    <w:rsid w:val="62707B03"/>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2907"/>
    <w:rsid w:val="64177A6E"/>
    <w:rsid w:val="643F32F9"/>
    <w:rsid w:val="64582686"/>
    <w:rsid w:val="64673C87"/>
    <w:rsid w:val="64877733"/>
    <w:rsid w:val="64925346"/>
    <w:rsid w:val="64A170D2"/>
    <w:rsid w:val="64A251DD"/>
    <w:rsid w:val="64BC182A"/>
    <w:rsid w:val="650242F0"/>
    <w:rsid w:val="65365B2B"/>
    <w:rsid w:val="653F447E"/>
    <w:rsid w:val="65470082"/>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DC3999"/>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E81E4D"/>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41085"/>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3AB5"/>
    <w:rsid w:val="696C3D80"/>
    <w:rsid w:val="696D7E94"/>
    <w:rsid w:val="698A5EE4"/>
    <w:rsid w:val="69C811ED"/>
    <w:rsid w:val="69D33070"/>
    <w:rsid w:val="69E97E75"/>
    <w:rsid w:val="69FB5D9E"/>
    <w:rsid w:val="69FF6FDA"/>
    <w:rsid w:val="6A09542B"/>
    <w:rsid w:val="6A1A3007"/>
    <w:rsid w:val="6A1E645E"/>
    <w:rsid w:val="6A3C6480"/>
    <w:rsid w:val="6A3D7B02"/>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8B7888"/>
    <w:rsid w:val="6B961F07"/>
    <w:rsid w:val="6B9A2DF9"/>
    <w:rsid w:val="6BA56BC7"/>
    <w:rsid w:val="6BAA566B"/>
    <w:rsid w:val="6BAC4619"/>
    <w:rsid w:val="6BB118FD"/>
    <w:rsid w:val="6BC60150"/>
    <w:rsid w:val="6BCD2823"/>
    <w:rsid w:val="6BDD15DD"/>
    <w:rsid w:val="6BDF2966"/>
    <w:rsid w:val="6BE86A5F"/>
    <w:rsid w:val="6BFB7C75"/>
    <w:rsid w:val="6C053C7D"/>
    <w:rsid w:val="6C0D357A"/>
    <w:rsid w:val="6C2076DB"/>
    <w:rsid w:val="6C234DED"/>
    <w:rsid w:val="6C29198B"/>
    <w:rsid w:val="6C3A67D1"/>
    <w:rsid w:val="6C3D2157"/>
    <w:rsid w:val="6C3D2D5C"/>
    <w:rsid w:val="6C4800AA"/>
    <w:rsid w:val="6C4B4758"/>
    <w:rsid w:val="6C4D28F8"/>
    <w:rsid w:val="6C573E9C"/>
    <w:rsid w:val="6C5C23DC"/>
    <w:rsid w:val="6C6D1126"/>
    <w:rsid w:val="6C8E1FC4"/>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982645"/>
    <w:rsid w:val="6D9C0B83"/>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4C2A0A"/>
    <w:rsid w:val="6E51424D"/>
    <w:rsid w:val="6E663C68"/>
    <w:rsid w:val="6E7764EF"/>
    <w:rsid w:val="6E8403F6"/>
    <w:rsid w:val="6E98530F"/>
    <w:rsid w:val="6EAD447C"/>
    <w:rsid w:val="6EAE5472"/>
    <w:rsid w:val="6EBC069A"/>
    <w:rsid w:val="6EC627BC"/>
    <w:rsid w:val="6ECD7F59"/>
    <w:rsid w:val="6ECF2622"/>
    <w:rsid w:val="6ECF449B"/>
    <w:rsid w:val="6ED975CA"/>
    <w:rsid w:val="6EED67AB"/>
    <w:rsid w:val="6EED7C80"/>
    <w:rsid w:val="6EF03395"/>
    <w:rsid w:val="6EF72E99"/>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96232"/>
    <w:rsid w:val="701C29A6"/>
    <w:rsid w:val="7024611F"/>
    <w:rsid w:val="7038498C"/>
    <w:rsid w:val="70637B96"/>
    <w:rsid w:val="70797317"/>
    <w:rsid w:val="707E201F"/>
    <w:rsid w:val="7099044B"/>
    <w:rsid w:val="709A06E1"/>
    <w:rsid w:val="709D518F"/>
    <w:rsid w:val="709D782C"/>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0F2712"/>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65C30"/>
    <w:rsid w:val="76692382"/>
    <w:rsid w:val="766B00E5"/>
    <w:rsid w:val="76832D41"/>
    <w:rsid w:val="768B2C28"/>
    <w:rsid w:val="76BB1CAB"/>
    <w:rsid w:val="76C04050"/>
    <w:rsid w:val="76C536F1"/>
    <w:rsid w:val="76D67314"/>
    <w:rsid w:val="76E00193"/>
    <w:rsid w:val="76E65049"/>
    <w:rsid w:val="76FA74A7"/>
    <w:rsid w:val="77076007"/>
    <w:rsid w:val="771A36A5"/>
    <w:rsid w:val="772049CA"/>
    <w:rsid w:val="77413F7E"/>
    <w:rsid w:val="77464076"/>
    <w:rsid w:val="7758241F"/>
    <w:rsid w:val="777A7D22"/>
    <w:rsid w:val="777E28EC"/>
    <w:rsid w:val="77835654"/>
    <w:rsid w:val="7797109C"/>
    <w:rsid w:val="779A2A38"/>
    <w:rsid w:val="77B4450A"/>
    <w:rsid w:val="77B46E73"/>
    <w:rsid w:val="77E37A12"/>
    <w:rsid w:val="77F42148"/>
    <w:rsid w:val="77FE3468"/>
    <w:rsid w:val="78232A2D"/>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8365B5"/>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2528D6"/>
    <w:rsid w:val="7B345AA9"/>
    <w:rsid w:val="7B4048C1"/>
    <w:rsid w:val="7B4C5DF7"/>
    <w:rsid w:val="7B73082F"/>
    <w:rsid w:val="7B7B492E"/>
    <w:rsid w:val="7B9A3D1D"/>
    <w:rsid w:val="7BB46FBD"/>
    <w:rsid w:val="7BC62E00"/>
    <w:rsid w:val="7BC73B55"/>
    <w:rsid w:val="7BE35E2A"/>
    <w:rsid w:val="7BEF4658"/>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617A9"/>
    <w:rsid w:val="7CEE3130"/>
    <w:rsid w:val="7CFC08E8"/>
    <w:rsid w:val="7D1E1A15"/>
    <w:rsid w:val="7D1F6674"/>
    <w:rsid w:val="7D475E29"/>
    <w:rsid w:val="7D480B34"/>
    <w:rsid w:val="7D777A3E"/>
    <w:rsid w:val="7D9005BC"/>
    <w:rsid w:val="7D9F0AD0"/>
    <w:rsid w:val="7DB22BDF"/>
    <w:rsid w:val="7DCD59DA"/>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DC1E3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15709</Words>
  <Characters>16496</Characters>
  <Lines>50</Lines>
  <Paragraphs>68</Paragraphs>
  <TotalTime>2</TotalTime>
  <ScaleCrop>false</ScaleCrop>
  <LinksUpToDate>false</LinksUpToDate>
  <CharactersWithSpaces>17083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2025-09-19T01:06:43Z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