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5ABC8E9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4"/>
          <w:rFonts w:hint="eastAsia" w:ascii="宋体" w:hAnsi="宋体" w:eastAsia="宋体" w:cs="宋体"/>
          <w:b/>
          <w:bCs/>
          <w:color w:val="auto"/>
          <w:sz w:val="48"/>
          <w:szCs w:val="48"/>
          <w:highlight w:val="none"/>
        </w:rPr>
      </w:pPr>
      <w:r>
        <w:rPr>
          <w:rFonts w:hint="eastAsia" w:ascii="宋体" w:hAnsi="宋体" w:eastAsia="宋体" w:cs="宋体"/>
          <w:b/>
          <w:bCs/>
          <w:color w:val="auto"/>
          <w:sz w:val="44"/>
          <w:szCs w:val="44"/>
          <w:highlight w:val="none"/>
          <w:lang w:val="en-US" w:eastAsia="zh-CN"/>
        </w:rPr>
        <w:t>驻马店市中心医院飞利浦16排CT全保（除球管与第三方产品）</w:t>
      </w:r>
      <w:r>
        <w:rPr>
          <w:rFonts w:hint="eastAsia" w:cs="宋体"/>
          <w:b/>
          <w:bCs/>
          <w:color w:val="auto"/>
          <w:sz w:val="44"/>
          <w:szCs w:val="44"/>
          <w:highlight w:val="none"/>
          <w:lang w:val="en-US" w:eastAsia="zh-CN"/>
        </w:rPr>
        <w:t>项目</w:t>
      </w: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 w:val="44"/>
          <w:szCs w:val="44"/>
          <w:highlight w:val="none"/>
        </w:rPr>
      </w:pPr>
      <w:r>
        <w:rPr>
          <w:rStyle w:val="44"/>
          <w:rFonts w:hint="eastAsia" w:cs="宋体"/>
          <w:b/>
          <w:bCs/>
          <w:color w:val="auto"/>
          <w:sz w:val="44"/>
          <w:szCs w:val="44"/>
          <w:highlight w:val="none"/>
          <w:lang w:val="en-US" w:eastAsia="zh-CN"/>
        </w:rPr>
        <w:t>竞争性磋商</w:t>
      </w:r>
      <w:r>
        <w:rPr>
          <w:rStyle w:val="44"/>
          <w:rFonts w:hint="eastAsia" w:ascii="宋体" w:hAnsi="宋体" w:eastAsia="宋体" w:cs="宋体"/>
          <w:b/>
          <w:bCs/>
          <w:color w:val="auto"/>
          <w:sz w:val="44"/>
          <w:szCs w:val="44"/>
          <w:highlight w:val="none"/>
        </w:rPr>
        <w:t>文件</w:t>
      </w:r>
    </w:p>
    <w:p w14:paraId="21F3FCCC">
      <w:pPr>
        <w:pStyle w:val="19"/>
        <w:bidi w:val="0"/>
        <w:jc w:val="center"/>
        <w:rPr>
          <w:rStyle w:val="44"/>
          <w:rFonts w:hint="eastAsia" w:ascii="宋体" w:hAnsi="宋体" w:eastAsia="宋体" w:cs="宋体"/>
          <w:b/>
          <w:bCs/>
          <w:color w:val="auto"/>
          <w:szCs w:val="44"/>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23E1650">
      <w:pPr>
        <w:pStyle w:val="5"/>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1"/>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河南省机电设备国际招标有限公司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08</w:t>
      </w:r>
      <w:r>
        <w:rPr>
          <w:rFonts w:hint="eastAsia" w:ascii="宋体" w:hAnsi="宋体" w:eastAsia="宋体" w:cs="宋体"/>
          <w:b/>
          <w:bCs/>
          <w:color w:val="auto"/>
          <w:spacing w:val="-10"/>
          <w:sz w:val="34"/>
          <w:szCs w:val="34"/>
          <w:highlight w:val="none"/>
          <w:lang w:val="en-US" w:eastAsia="zh-CN"/>
        </w:rPr>
        <w:t>月</w:t>
      </w:r>
    </w:p>
    <w:p w14:paraId="11E7A050">
      <w:pPr>
        <w:pStyle w:val="5"/>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5"/>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驻马店市中心医院飞利浦16排CT全保（除球管与第三方产品）项目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飞利浦16排CT全保（除球管与第三方产品）</w:t>
      </w:r>
      <w:r>
        <w:rPr>
          <w:rFonts w:hint="eastAsia" w:ascii="宋体" w:hAnsi="宋体" w:cs="宋体"/>
          <w:color w:val="auto"/>
          <w:u w:val="singl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驻马店市中心医院飞利浦16排CT全保（除球管与第三方产品）项目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28万元；</w:t>
      </w:r>
    </w:p>
    <w:p w14:paraId="27B5406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4、服务期限：1年；</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、合同履行期限：</w:t>
      </w:r>
      <w:r>
        <w:rPr>
          <w:rFonts w:hint="eastAsia" w:ascii="宋体" w:hAnsi="宋体" w:cs="宋体"/>
          <w:color w:val="auto"/>
          <w:szCs w:val="21"/>
          <w:highlight w:val="none"/>
          <w:shd w:val="clear" w:color="auto" w:fill="FFFFFF"/>
          <w:lang w:val="en-US" w:eastAsia="zh-CN"/>
        </w:rPr>
        <w:t>同服务期限；</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w:t>
      </w:r>
      <w:r>
        <w:rPr>
          <w:rFonts w:hint="eastAsia" w:ascii="宋体" w:hAnsi="宋体" w:eastAsia="宋体" w:cs="宋体"/>
          <w:color w:val="auto"/>
          <w:szCs w:val="21"/>
          <w:highlight w:val="none"/>
          <w:shd w:val="clear" w:color="auto" w:fill="FFFFFF"/>
          <w:lang w:val="en-US" w:eastAsia="zh-CN"/>
        </w:rPr>
        <w:t>符合现行国家、省、市地方相关规范和标准，满足</w:t>
      </w:r>
      <w:r>
        <w:rPr>
          <w:rFonts w:hint="eastAsia" w:ascii="宋体" w:hAnsi="宋体" w:cs="宋体"/>
          <w:color w:val="auto"/>
          <w:szCs w:val="21"/>
          <w:highlight w:val="none"/>
          <w:shd w:val="clear" w:color="auto" w:fill="FFFFFF"/>
          <w:lang w:val="en-US" w:eastAsia="zh-CN"/>
        </w:rPr>
        <w:t>磋商文件要求</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23626"/>
      <w:bookmarkStart w:id="5" w:name="_Toc18607"/>
      <w:bookmarkStart w:id="6" w:name="_Toc27704"/>
      <w:bookmarkStart w:id="7"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643"/>
      <w:bookmarkStart w:id="9" w:name="_Toc30971"/>
      <w:bookmarkStart w:id="10" w:name="_Toc7823"/>
      <w:bookmarkStart w:id="11" w:name="_Toc9562"/>
      <w:bookmarkStart w:id="12" w:name="_Toc23395"/>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3A22D49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w:t>
      </w:r>
      <w:r>
        <w:rPr>
          <w:rFonts w:hint="eastAsia" w:ascii="宋体" w:hAnsi="宋体" w:cs="宋体"/>
          <w:color w:val="auto"/>
          <w:szCs w:val="21"/>
          <w:highlight w:val="none"/>
          <w:shd w:val="clear" w:color="auto" w:fill="FFFFFF"/>
          <w:lang w:val="en-US" w:eastAsia="zh-CN"/>
        </w:rPr>
        <w:t>供应商</w:t>
      </w:r>
      <w:r>
        <w:rPr>
          <w:rFonts w:hint="eastAsia" w:ascii="宋体" w:hAnsi="宋体" w:eastAsia="宋体" w:cs="宋体"/>
          <w:color w:val="auto"/>
          <w:szCs w:val="21"/>
          <w:highlight w:val="none"/>
          <w:shd w:val="clear" w:color="auto" w:fill="FFFFFF"/>
          <w:lang w:val="en-US" w:eastAsia="zh-CN"/>
        </w:rPr>
        <w:t>须是在中华人民共和国境内注册的设备原制造厂商或原制造厂商授权的单位或具备相关设备维修能力的单位（提供证明文件）。</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29</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cs="宋体"/>
          <w:color w:val="auto"/>
          <w:kern w:val="0"/>
          <w:sz w:val="21"/>
          <w:szCs w:val="21"/>
          <w:highlight w:val="none"/>
          <w:shd w:val="clear" w:color="auto" w:fill="FFFFFF"/>
          <w:lang w:val="en-US" w:eastAsia="zh-CN" w:bidi="ar-SA"/>
        </w:rPr>
        <w:t>：</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cs="宋体"/>
          <w:color w:val="auto"/>
          <w:kern w:val="0"/>
          <w:sz w:val="21"/>
          <w:szCs w:val="21"/>
          <w:highlight w:val="none"/>
          <w:shd w:val="clear" w:color="auto" w:fill="FFFFFF"/>
          <w:lang w:val="en-US" w:eastAsia="zh-CN" w:bidi="ar-SA"/>
        </w:rPr>
        <w:t>zhaobiao04@163.com，</w:t>
      </w:r>
      <w:r>
        <w:rPr>
          <w:rFonts w:hint="eastAsia" w:ascii="宋体" w:hAnsi="宋体" w:eastAsia="宋体" w:cs="宋体"/>
          <w:color w:val="auto"/>
          <w:kern w:val="0"/>
          <w:sz w:val="21"/>
          <w:szCs w:val="21"/>
          <w:highlight w:val="none"/>
          <w:shd w:val="clear" w:color="auto" w:fill="FFFFFF"/>
          <w:lang w:val="en-US" w:eastAsia="zh-CN" w:bidi="ar-SA"/>
        </w:rPr>
        <w:t>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15135"/>
      <w:bookmarkStart w:id="15" w:name="_Toc10738"/>
      <w:bookmarkStart w:id="16" w:name="_Toc15111"/>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0287"/>
      <w:bookmarkStart w:id="19" w:name="_Toc6523"/>
      <w:bookmarkStart w:id="20" w:name="_Toc29784"/>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3604"/>
      <w:bookmarkStart w:id="27" w:name="_Toc31928"/>
      <w:bookmarkStart w:id="28" w:name="_Toc2427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采购代理机构：河南省机电设备国际招标有限公司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地址：郑州市黄河南路商都路交汇处西南角财信大厦14-15层</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w:t>
      </w:r>
      <w:r>
        <w:rPr>
          <w:rFonts w:hint="eastAsia" w:ascii="宋体" w:hAnsi="宋体" w:cs="宋体"/>
          <w:color w:val="auto"/>
          <w:kern w:val="0"/>
          <w:sz w:val="21"/>
          <w:szCs w:val="21"/>
          <w:highlight w:val="none"/>
          <w:shd w:val="clear" w:color="auto" w:fill="FFFFFF"/>
          <w:lang w:val="en-US" w:eastAsia="zh-CN" w:bidi="ar-SA"/>
        </w:rPr>
        <w:t>：刘先生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联系方式：0371-65949196</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26</w:t>
      </w:r>
      <w:bookmarkStart w:id="102" w:name="_GoBack"/>
      <w:bookmarkEnd w:id="102"/>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驻马店市中心医院飞利浦16排CT全保（除球管与第三方产品）项目</w:t>
      </w:r>
    </w:p>
    <w:p w14:paraId="10E84755">
      <w:pPr>
        <w:numPr>
          <w:ilvl w:val="0"/>
          <w:numId w:val="0"/>
        </w:numPr>
        <w:spacing w:line="192" w:lineRule="auto"/>
        <w:rPr>
          <w:rFonts w:hint="eastAsia" w:ascii="宋体" w:hAnsi="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w:t>
      </w:r>
      <w:r>
        <w:rPr>
          <w:rFonts w:hint="eastAsia" w:ascii="宋体" w:hAnsi="宋体" w:cs="宋体"/>
          <w:b/>
          <w:bCs/>
          <w:color w:val="auto"/>
          <w:kern w:val="2"/>
          <w:sz w:val="21"/>
          <w:szCs w:val="24"/>
          <w:highlight w:val="none"/>
          <w:lang w:val="en-US" w:eastAsia="zh-CN" w:bidi="ar-SA"/>
        </w:rPr>
        <w:t>采购标的清单</w:t>
      </w:r>
    </w:p>
    <w:tbl>
      <w:tblPr>
        <w:tblStyle w:val="3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979"/>
        <w:gridCol w:w="2529"/>
        <w:gridCol w:w="933"/>
        <w:gridCol w:w="867"/>
        <w:gridCol w:w="1091"/>
        <w:gridCol w:w="1086"/>
        <w:gridCol w:w="1217"/>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3F52256E">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79" w:type="dxa"/>
            <w:vAlign w:val="center"/>
          </w:tcPr>
          <w:p w14:paraId="7BB03108">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529" w:type="dxa"/>
            <w:vAlign w:val="center"/>
          </w:tcPr>
          <w:p w14:paraId="1C818719">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933" w:type="dxa"/>
            <w:vAlign w:val="center"/>
          </w:tcPr>
          <w:p w14:paraId="2AF52A7A">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867" w:type="dxa"/>
            <w:vAlign w:val="center"/>
          </w:tcPr>
          <w:p w14:paraId="78A9F1D6">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091" w:type="dxa"/>
            <w:vAlign w:val="center"/>
          </w:tcPr>
          <w:p w14:paraId="665A7C5C">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086" w:type="dxa"/>
            <w:vAlign w:val="center"/>
          </w:tcPr>
          <w:p w14:paraId="0C32BA6B">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17" w:type="dxa"/>
            <w:vAlign w:val="center"/>
          </w:tcPr>
          <w:p w14:paraId="0D5173FD">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979"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p>
        </w:tc>
        <w:tc>
          <w:tcPr>
            <w:tcW w:w="2529"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飞利浦16排CT全保（除球管与第三方产品）</w:t>
            </w:r>
          </w:p>
        </w:tc>
        <w:tc>
          <w:tcPr>
            <w:tcW w:w="933"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年</w:t>
            </w:r>
          </w:p>
        </w:tc>
        <w:tc>
          <w:tcPr>
            <w:tcW w:w="8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1</w:t>
            </w:r>
          </w:p>
        </w:tc>
        <w:tc>
          <w:tcPr>
            <w:tcW w:w="1091"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28万元</w:t>
            </w:r>
          </w:p>
        </w:tc>
        <w:tc>
          <w:tcPr>
            <w:tcW w:w="1086"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自筹</w:t>
            </w:r>
          </w:p>
        </w:tc>
        <w:tc>
          <w:tcPr>
            <w:tcW w:w="1217"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2"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723"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28万元</w:t>
            </w:r>
          </w:p>
        </w:tc>
      </w:tr>
      <w:tr w14:paraId="6F3F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62" w:type="dxa"/>
            <w:gridSpan w:val="2"/>
            <w:vAlign w:val="center"/>
          </w:tcPr>
          <w:p w14:paraId="7E38EE7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color w:val="auto"/>
                <w:highlight w:val="none"/>
              </w:rPr>
            </w:pPr>
            <w:r>
              <w:rPr>
                <w:rFonts w:hint="eastAsia" w:ascii="宋体" w:hAnsi="宋体" w:eastAsia="宋体" w:cs="宋体"/>
                <w:b/>
                <w:bCs/>
                <w:color w:val="auto"/>
                <w:sz w:val="21"/>
                <w:szCs w:val="21"/>
                <w:highlight w:val="none"/>
                <w:vertAlign w:val="baseline"/>
                <w:lang w:val="en-US" w:eastAsia="zh-CN"/>
              </w:rPr>
              <w:t>备注</w:t>
            </w:r>
          </w:p>
        </w:tc>
        <w:tc>
          <w:tcPr>
            <w:tcW w:w="7723" w:type="dxa"/>
            <w:gridSpan w:val="6"/>
            <w:vAlign w:val="center"/>
          </w:tcPr>
          <w:p w14:paraId="14005A4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w:t>
            </w:r>
          </w:p>
        </w:tc>
      </w:tr>
    </w:tbl>
    <w:p w14:paraId="028B9CE9">
      <w:pPr>
        <w:rPr>
          <w:rFonts w:hint="default"/>
          <w:b/>
          <w:bCs/>
          <w:color w:val="auto"/>
          <w:lang w:val="en-US" w:eastAsia="zh-CN"/>
        </w:rPr>
      </w:pPr>
      <w:r>
        <w:rPr>
          <w:rFonts w:hint="eastAsia"/>
          <w:b/>
          <w:bCs/>
          <w:color w:val="auto"/>
          <w:lang w:val="en-US" w:eastAsia="zh-CN"/>
        </w:rPr>
        <w:t>三、技术要求</w:t>
      </w:r>
    </w:p>
    <w:p w14:paraId="07ADDFE1">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5B404791">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每次维修保养更换配件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4DD8ACE2">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3)为本医院配置具备维修资质的固定工程师不少于2人，本设备维修经验不少于2年，需提供证明材料（培训证书）和承诺函</w:t>
      </w:r>
    </w:p>
    <w:p w14:paraId="69BAD9B7">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4)</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所换备件必须是全新合格的产品，并满足设备运行要求, 进口配件需提供商检及海关报关单等材料。因所换备件造成的设备故障及医院损失，由投标人全权负责</w:t>
      </w:r>
    </w:p>
    <w:p w14:paraId="0C126750">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软硬件及工作站免费安全升级，并开放维修密码等</w:t>
      </w:r>
    </w:p>
    <w:p w14:paraId="30B1AE65">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6)</w:t>
      </w:r>
      <w:r>
        <w:rPr>
          <w:rFonts w:hint="eastAsia" w:ascii="宋体" w:hAnsi="宋体" w:eastAsia="宋体" w:cs="宋体"/>
          <w:b w:val="0"/>
          <w:bCs w:val="0"/>
          <w:color w:val="auto"/>
          <w:kern w:val="2"/>
          <w:sz w:val="21"/>
          <w:szCs w:val="24"/>
          <w:highlight w:val="none"/>
          <w:lang w:val="en-US" w:eastAsia="zh-CN" w:bidi="ar-SA"/>
        </w:rPr>
        <w:tab/>
      </w:r>
      <w:r>
        <w:rPr>
          <w:rFonts w:hint="eastAsia" w:ascii="宋体" w:hAnsi="宋体" w:eastAsia="宋体" w:cs="宋体"/>
          <w:b w:val="0"/>
          <w:bCs w:val="0"/>
          <w:color w:val="auto"/>
          <w:kern w:val="2"/>
          <w:sz w:val="21"/>
          <w:szCs w:val="24"/>
          <w:highlight w:val="none"/>
          <w:lang w:val="en-US" w:eastAsia="zh-CN" w:bidi="ar-SA"/>
        </w:rPr>
        <w:t>提供24小时远程技术支持及临床应用支持，签署由招标人提供的信息系统数据安全保密承诺书</w:t>
      </w:r>
    </w:p>
    <w:p w14:paraId="6307C41C">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7）如需更换备件，国内备件仓库有货的备件在2个工作日内送达医院，进口配件5个工作日送达；非标件和不可抗力除外</w:t>
      </w:r>
    </w:p>
    <w:p w14:paraId="2F5203C3">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8）定期进行安全检查及质量保障，保证24h*365天维修热线连接；提供全国400热线服务电话</w:t>
      </w:r>
    </w:p>
    <w:p w14:paraId="06CD8732">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9）紧急人工和工程师现场紧急维修服务</w:t>
      </w:r>
    </w:p>
    <w:p w14:paraId="4A72998A">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10）提供ISO9001和13485质量认证证书</w:t>
      </w:r>
    </w:p>
    <w:p w14:paraId="376B7907">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11）工程师需配备有专用工具，工程师的工具符合国家检测和校准的规定（提供相关校准证明）</w:t>
      </w:r>
    </w:p>
    <w:p w14:paraId="36876EC6">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12）保修期最后一个月内更换的配件，中标公司应保证自更换之日起三个月内正常使用，如三个月内出现故障，由中标公司承担维修费用。</w:t>
      </w:r>
    </w:p>
    <w:p w14:paraId="04E72394">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13）须有具备应用培训工程师且提供原厂认证的培训证书。</w:t>
      </w:r>
    </w:p>
    <w:p w14:paraId="0CE7248E">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14） 对我院的维修工程师提供每年至少2人次的专业培训，并提供培训证明材料。</w:t>
      </w:r>
    </w:p>
    <w:p w14:paraId="4EE2D821">
      <w:pPr>
        <w:widowControl w:val="0"/>
        <w:numPr>
          <w:ilvl w:val="0"/>
          <w:numId w:val="0"/>
        </w:numPr>
        <w:spacing w:line="192" w:lineRule="auto"/>
        <w:jc w:val="both"/>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15）每年制定临床使用人员的使用维护培训计划，按计划进行培训并提供记录。</w:t>
      </w:r>
    </w:p>
    <w:p w14:paraId="4422C6D5">
      <w:pPr>
        <w:widowControl w:val="0"/>
        <w:numPr>
          <w:ilvl w:val="0"/>
          <w:numId w:val="0"/>
        </w:numPr>
        <w:spacing w:line="192" w:lineRule="auto"/>
        <w:jc w:val="both"/>
        <w:rPr>
          <w:rFonts w:hint="eastAsia" w:ascii="宋体" w:hAnsi="宋体" w:eastAsia="宋体" w:cs="宋体"/>
          <w:b/>
          <w:bCs/>
          <w:color w:val="auto"/>
          <w:kern w:val="2"/>
          <w:sz w:val="21"/>
          <w:szCs w:val="24"/>
          <w:highlight w:val="none"/>
          <w:lang w:val="en-US" w:eastAsia="zh-CN" w:bidi="ar-SA"/>
        </w:rPr>
      </w:pPr>
    </w:p>
    <w:p w14:paraId="43D05592">
      <w:pPr>
        <w:pStyle w:val="51"/>
        <w:rPr>
          <w:rFonts w:hint="eastAsia" w:ascii="宋体" w:hAnsi="宋体" w:eastAsia="宋体" w:cs="宋体"/>
          <w:b/>
          <w:bCs/>
          <w:color w:val="auto"/>
          <w:kern w:val="2"/>
          <w:sz w:val="21"/>
          <w:szCs w:val="24"/>
          <w:highlight w:val="none"/>
          <w:lang w:val="en-US" w:eastAsia="zh-CN" w:bidi="ar-SA"/>
        </w:rPr>
      </w:pPr>
    </w:p>
    <w:p w14:paraId="41737D04">
      <w:pPr>
        <w:pStyle w:val="51"/>
        <w:rPr>
          <w:rFonts w:hint="eastAsia" w:ascii="宋体" w:hAnsi="宋体" w:eastAsia="宋体" w:cs="宋体"/>
          <w:b/>
          <w:bCs/>
          <w:color w:val="auto"/>
          <w:kern w:val="2"/>
          <w:sz w:val="21"/>
          <w:szCs w:val="24"/>
          <w:highlight w:val="none"/>
          <w:lang w:val="en-US" w:eastAsia="zh-CN" w:bidi="ar-SA"/>
        </w:rPr>
      </w:pPr>
    </w:p>
    <w:p w14:paraId="160A0B67">
      <w:pPr>
        <w:pStyle w:val="51"/>
        <w:ind w:left="0" w:leftChars="0" w:firstLine="0" w:firstLineChars="0"/>
        <w:rPr>
          <w:rFonts w:hint="eastAsia" w:ascii="宋体" w:hAnsi="宋体" w:eastAsia="宋体" w:cs="宋体"/>
          <w:b/>
          <w:bCs/>
          <w:color w:val="auto"/>
          <w:kern w:val="2"/>
          <w:sz w:val="21"/>
          <w:szCs w:val="24"/>
          <w:highlight w:val="none"/>
          <w:lang w:val="en-US" w:eastAsia="zh-CN" w:bidi="ar-SA"/>
        </w:rPr>
      </w:pPr>
    </w:p>
    <w:p w14:paraId="22B3C3CB">
      <w:pPr>
        <w:pStyle w:val="51"/>
        <w:ind w:left="0" w:leftChars="0" w:firstLine="0" w:firstLineChars="0"/>
        <w:rPr>
          <w:rFonts w:hint="eastAsia" w:ascii="宋体" w:hAnsi="宋体" w:eastAsia="宋体" w:cs="宋体"/>
          <w:b/>
          <w:bCs/>
          <w:color w:val="auto"/>
          <w:kern w:val="2"/>
          <w:sz w:val="21"/>
          <w:szCs w:val="24"/>
          <w:highlight w:val="none"/>
          <w:lang w:val="en-US" w:eastAsia="zh-CN" w:bidi="ar-SA"/>
        </w:rPr>
      </w:pPr>
    </w:p>
    <w:p w14:paraId="6111F88A">
      <w:pPr>
        <w:pStyle w:val="51"/>
        <w:ind w:left="0" w:leftChars="0" w:firstLine="0" w:firstLineChars="0"/>
        <w:rPr>
          <w:rFonts w:hint="eastAsia" w:ascii="宋体" w:hAnsi="宋体" w:eastAsia="宋体" w:cs="宋体"/>
          <w:b/>
          <w:bCs/>
          <w:color w:val="auto"/>
          <w:kern w:val="2"/>
          <w:sz w:val="21"/>
          <w:szCs w:val="24"/>
          <w:highlight w:val="none"/>
          <w:lang w:val="en-US" w:eastAsia="zh-CN" w:bidi="ar-SA"/>
        </w:rPr>
        <w:sectPr>
          <w:footerReference r:id="rId5" w:type="default"/>
          <w:pgSz w:w="11906" w:h="16838"/>
          <w:pgMar w:top="1417" w:right="1474" w:bottom="1417" w:left="1474" w:header="851" w:footer="624" w:gutter="0"/>
          <w:pgNumType w:fmt="decimal"/>
          <w:cols w:space="720" w:num="1"/>
          <w:docGrid w:type="lines" w:linePitch="319" w:charSpace="0"/>
        </w:sectPr>
      </w:pPr>
    </w:p>
    <w:p w14:paraId="5C70B08A">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4"/>
                <w:highlight w:val="none"/>
                <w:lang w:val="en-US" w:eastAsia="zh-CN" w:bidi="ar-SA"/>
              </w:rPr>
              <w:t>符合现行国家、省、市地方相关规范和标准，</w:t>
            </w:r>
            <w:r>
              <w:rPr>
                <w:rFonts w:hint="eastAsia" w:ascii="宋体" w:hAnsi="宋体" w:eastAsia="宋体" w:cs="宋体"/>
                <w:color w:val="auto"/>
                <w:szCs w:val="21"/>
                <w:highlight w:val="none"/>
                <w:shd w:val="clear" w:color="auto" w:fill="FFFFFF"/>
                <w:lang w:val="en-US" w:eastAsia="zh-CN"/>
              </w:rPr>
              <w:t>满足</w:t>
            </w:r>
            <w:r>
              <w:rPr>
                <w:rFonts w:hint="eastAsia" w:ascii="宋体" w:hAnsi="宋体" w:cs="宋体"/>
                <w:color w:val="auto"/>
                <w:szCs w:val="21"/>
                <w:highlight w:val="none"/>
                <w:shd w:val="clear" w:color="auto" w:fill="FFFFFF"/>
                <w:lang w:val="en-US" w:eastAsia="zh-CN"/>
              </w:rPr>
              <w:t>磋商文件要求</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4"/>
              <w:ind w:left="0" w:leftChars="0"/>
              <w:jc w:val="left"/>
              <w:rPr>
                <w:rFonts w:hint="default"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1年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服务安排</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周一至周日，7天24小时包括法定节假日</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20分钟内电话响应，2小时内工程师到达现场，一般故障24小时内维修完毕。如需外地专家支持，4小时内响应，24小时内到达现场。</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维保要求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投标人保证我院保修的设备正常开机率大于95% （一年按365天计算），且单次维修不能超过1天，否则设备维修占用日期每增加一天，保修时间往后顺延七天。</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05BA776A">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先服务后付款，服务六个月之后支付50%合同款，服务期满后支付余下50%合同款。</w:t>
            </w:r>
          </w:p>
        </w:tc>
      </w:tr>
    </w:tbl>
    <w:p w14:paraId="599A6553">
      <w:pPr>
        <w:pStyle w:val="23"/>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9566"/>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驻马店市中心医院飞利浦16排CT全保（除球管与第三方产品）项目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3424"/>
            <w:bookmarkStart w:id="41" w:name="_Toc2940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28万元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28</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28万元</w:t>
      </w:r>
      <w:r>
        <w:rPr>
          <w:rFonts w:hint="eastAsia" w:ascii="宋体" w:hAnsi="宋体" w:eastAsia="宋体" w:cs="宋体"/>
          <w:b/>
          <w:bCs/>
          <w:color w:val="auto"/>
          <w:kern w:val="0"/>
          <w:szCs w:val="21"/>
          <w:highlight w:val="none"/>
          <w:lang w:eastAsia="zh-CN"/>
        </w:rPr>
        <w:t>；最高投标限价</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28万元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7D9C72E">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0D48B70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4.8</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本项目</w:t>
      </w:r>
      <w:r>
        <w:rPr>
          <w:rFonts w:hint="eastAsia" w:ascii="宋体" w:hAnsi="宋体" w:eastAsia="宋体" w:cs="宋体"/>
          <w:color w:val="auto"/>
          <w:szCs w:val="21"/>
          <w:highlight w:val="none"/>
          <w:shd w:val="clear" w:color="auto" w:fill="FFFFFF"/>
          <w:lang w:val="en-US" w:eastAsia="zh-CN"/>
        </w:rPr>
        <w:t>特定资格要求：供应商须是在中华人民共和国境内注册的设备原制造厂商或原制造厂商授权的单位或具备相关设备维修能力的单位（提供证明文件）</w:t>
      </w:r>
      <w:r>
        <w:rPr>
          <w:rFonts w:hint="eastAsia" w:ascii="宋体" w:hAnsi="宋体" w:cs="宋体"/>
          <w:color w:val="auto"/>
          <w:szCs w:val="21"/>
          <w:highlight w:val="none"/>
          <w:shd w:val="clear" w:color="auto" w:fill="FFFFFF"/>
          <w:lang w:val="en-US" w:eastAsia="zh-CN"/>
        </w:rPr>
        <w:t>。</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5"/>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价格部</w:t>
            </w:r>
            <w:r>
              <w:rPr>
                <w:rFonts w:hint="eastAsia" w:ascii="宋体" w:hAnsi="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160CCDD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hAnsi="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588C1901">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5DBC0F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45F03394">
            <w:pPr>
              <w:keepNext w:val="0"/>
              <w:keepLines w:val="0"/>
              <w:pageBreakBefore w:val="0"/>
              <w:kinsoku/>
              <w:wordWrap/>
              <w:overflowPunct/>
              <w:topLinePunct w:val="0"/>
              <w:bidi w:val="0"/>
              <w:snapToGrid w:val="0"/>
              <w:spacing w:line="3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restart"/>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58</w:t>
            </w:r>
            <w:r>
              <w:rPr>
                <w:rFonts w:hint="eastAsia" w:ascii="宋体" w:hAnsi="宋体" w:eastAsia="宋体" w:cs="宋体"/>
                <w:b w:val="0"/>
                <w:bCs w:val="0"/>
                <w:color w:val="auto"/>
                <w:sz w:val="21"/>
                <w:szCs w:val="21"/>
                <w:highlight w:val="none"/>
                <w:lang w:eastAsia="zh-CN"/>
              </w:rPr>
              <w:t>分）</w:t>
            </w:r>
          </w:p>
        </w:tc>
        <w:tc>
          <w:tcPr>
            <w:tcW w:w="1362" w:type="dxa"/>
            <w:noWrap w:val="0"/>
            <w:vAlign w:val="center"/>
          </w:tcPr>
          <w:p w14:paraId="3E3F254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1.服务能力响应程度</w:t>
            </w:r>
          </w:p>
          <w:p w14:paraId="29FBC4C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683C5BA6">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文件第二章 采购需求</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每有</w:t>
            </w:r>
            <w:r>
              <w:rPr>
                <w:rFonts w:hint="eastAsia" w:ascii="宋体" w:hAnsi="宋体" w:eastAsia="宋体" w:cs="宋体"/>
                <w:b w:val="0"/>
                <w:bCs w:val="0"/>
                <w:color w:val="auto"/>
                <w:sz w:val="21"/>
                <w:szCs w:val="21"/>
                <w:highlight w:val="none"/>
              </w:rPr>
              <w:t>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扣完为止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若</w:t>
            </w:r>
            <w:r>
              <w:rPr>
                <w:rFonts w:hint="eastAsia" w:ascii="宋体" w:hAnsi="宋体" w:eastAsia="宋体" w:cs="宋体"/>
                <w:b w:val="0"/>
                <w:bCs w:val="0"/>
                <w:color w:val="auto"/>
                <w:sz w:val="21"/>
                <w:szCs w:val="21"/>
                <w:highlight w:val="none"/>
              </w:rPr>
              <w:t>得分为0，则</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p>
          <w:p w14:paraId="31853AA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w:t>
            </w:r>
            <w:r>
              <w:rPr>
                <w:rFonts w:hint="eastAsia" w:ascii="宋体" w:hAnsi="宋体" w:cs="宋体"/>
                <w:color w:val="auto"/>
                <w:sz w:val="21"/>
                <w:szCs w:val="21"/>
                <w:highlight w:val="none"/>
                <w:lang w:val="en-US" w:eastAsia="zh-CN"/>
              </w:rPr>
              <w:t>响应表</w:t>
            </w:r>
            <w:r>
              <w:rPr>
                <w:rFonts w:hint="eastAsia" w:ascii="宋体" w:hAnsi="宋体" w:eastAsia="宋体" w:cs="宋体"/>
                <w:color w:val="auto"/>
                <w:sz w:val="21"/>
                <w:szCs w:val="21"/>
                <w:highlight w:val="none"/>
                <w:lang w:val="en-US" w:eastAsia="zh-CN"/>
              </w:rPr>
              <w:t>，并标注偏离情况。</w:t>
            </w:r>
          </w:p>
          <w:p w14:paraId="233F2D5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2）提供相关证明文件，并对响应技术参数部分做出明显标注。</w:t>
            </w:r>
          </w:p>
        </w:tc>
      </w:tr>
      <w:tr w14:paraId="3C9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24EDBC3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70462FA1">
            <w:pPr>
              <w:keepNext w:val="0"/>
              <w:keepLines w:val="0"/>
              <w:pageBreakBefore w:val="0"/>
              <w:kinsoku/>
              <w:wordWrap/>
              <w:overflowPunct/>
              <w:topLinePunct w:val="0"/>
              <w:bidi w:val="0"/>
              <w:snapToGrid w:val="0"/>
              <w:spacing w:line="320" w:lineRule="exact"/>
              <w:jc w:val="center"/>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实施方案</w:t>
            </w:r>
          </w:p>
          <w:p w14:paraId="04001B1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591002D8">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根据供应商</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的</w:t>
            </w: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color w:val="auto"/>
                <w:highlight w:val="none"/>
                <w:lang w:val="en-US" w:eastAsia="zh-CN"/>
              </w:rPr>
              <w:t>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w:t>
            </w:r>
            <w:r>
              <w:rPr>
                <w:rFonts w:hint="eastAsia" w:ascii="宋体" w:hAnsi="宋体" w:cs="宋体"/>
                <w:b w:val="0"/>
                <w:bCs w:val="0"/>
                <w:color w:val="auto"/>
                <w:sz w:val="21"/>
                <w:szCs w:val="21"/>
                <w:highlight w:val="none"/>
                <w:lang w:val="en-US" w:eastAsia="zh-CN"/>
              </w:rPr>
              <w:t>）进行评审</w:t>
            </w:r>
            <w:r>
              <w:rPr>
                <w:rFonts w:hint="eastAsia" w:ascii="宋体" w:hAnsi="宋体" w:cs="宋体"/>
                <w:color w:val="auto"/>
                <w:highlight w:val="none"/>
                <w:lang w:val="en-US" w:eastAsia="zh-CN"/>
              </w:rPr>
              <w:t>：</w:t>
            </w:r>
          </w:p>
          <w:p w14:paraId="0DFE48C4">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8</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3AC57DE2">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65D62D0F">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2</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5EE0EE98">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1A93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77E4FBF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5296D66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.备品备件</w:t>
            </w:r>
          </w:p>
          <w:p w14:paraId="265CF1B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72742464">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备件库</w:t>
            </w:r>
            <w:r>
              <w:rPr>
                <w:rFonts w:hint="eastAsia" w:ascii="宋体" w:hAnsi="宋体" w:cs="宋体"/>
                <w:b w:val="0"/>
                <w:bCs w:val="0"/>
                <w:color w:val="auto"/>
                <w:sz w:val="21"/>
                <w:szCs w:val="21"/>
                <w:highlight w:val="none"/>
                <w:lang w:val="en-US" w:eastAsia="zh-CN"/>
              </w:rPr>
              <w:t>距离</w:t>
            </w:r>
            <w:r>
              <w:rPr>
                <w:rFonts w:hint="eastAsia" w:ascii="宋体" w:hAnsi="宋体" w:eastAsia="宋体" w:cs="宋体"/>
                <w:b w:val="0"/>
                <w:bCs w:val="0"/>
                <w:color w:val="auto"/>
                <w:sz w:val="21"/>
                <w:szCs w:val="21"/>
                <w:highlight w:val="none"/>
                <w:lang w:val="en-US" w:eastAsia="zh-CN"/>
              </w:rPr>
              <w:t>、备件种类及数量情况</w:t>
            </w:r>
            <w:r>
              <w:rPr>
                <w:rFonts w:hint="eastAsia" w:ascii="宋体" w:hAnsi="宋体" w:cs="宋体"/>
                <w:b w:val="0"/>
                <w:bCs w:val="0"/>
                <w:color w:val="auto"/>
                <w:sz w:val="21"/>
                <w:szCs w:val="21"/>
                <w:highlight w:val="none"/>
                <w:lang w:val="en-US" w:eastAsia="zh-CN"/>
              </w:rPr>
              <w:t>、备件质量保证措施</w:t>
            </w:r>
            <w:r>
              <w:rPr>
                <w:rFonts w:hint="eastAsia" w:ascii="宋体" w:hAnsi="宋体" w:eastAsia="宋体" w:cs="宋体"/>
                <w:b w:val="0"/>
                <w:bCs w:val="0"/>
                <w:color w:val="auto"/>
                <w:sz w:val="21"/>
                <w:szCs w:val="21"/>
                <w:highlight w:val="none"/>
                <w:lang w:val="en-US" w:eastAsia="zh-CN"/>
              </w:rPr>
              <w:t>进行评分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备件库备件种类、数量及方便性完全满足采购人需求的，得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分；备件库备件种类、数量及方便性基本满足采购人需求的，得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分。备件库备件种类、数量及方便性能不满足采购人需求的，得1分；（需提供备件库租赁或买卖合同，详细备件报价清单</w:t>
            </w:r>
            <w:r>
              <w:rPr>
                <w:rFonts w:hint="eastAsia" w:ascii="宋体" w:hAnsi="宋体" w:cs="宋体"/>
                <w:b w:val="0"/>
                <w:bCs w:val="0"/>
                <w:color w:val="auto"/>
                <w:sz w:val="21"/>
                <w:szCs w:val="21"/>
                <w:highlight w:val="none"/>
                <w:lang w:val="en-US" w:eastAsia="zh-CN"/>
              </w:rPr>
              <w:t>等资料</w:t>
            </w:r>
            <w:r>
              <w:rPr>
                <w:rFonts w:hint="eastAsia" w:ascii="宋体" w:hAnsi="宋体" w:eastAsia="宋体" w:cs="宋体"/>
                <w:b w:val="0"/>
                <w:bCs w:val="0"/>
                <w:color w:val="auto"/>
                <w:sz w:val="21"/>
                <w:szCs w:val="21"/>
                <w:highlight w:val="none"/>
                <w:lang w:val="en-US" w:eastAsia="zh-CN"/>
              </w:rPr>
              <w:t>）。</w:t>
            </w:r>
          </w:p>
        </w:tc>
      </w:tr>
      <w:tr w14:paraId="7919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198" w:type="dxa"/>
            <w:vMerge w:val="continue"/>
            <w:noWrap w:val="0"/>
            <w:vAlign w:val="center"/>
          </w:tcPr>
          <w:p w14:paraId="4FC5373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37EA505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.设备维保应急响应方案（</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552E9ABD">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故障、停机等相关措施）进行评分。应急响应方案全面详尽，应急处理流程、处置方法科学合理、可行的得5分；应急响应方案较为详尽，应急处理流程、处置方法基本合理的得3分；应急处理流程、处置方法不合理的得1分。未提供者不得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val="en-US" w:eastAsia="zh-CN"/>
              </w:rPr>
              <w:t>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lang w:eastAsia="zh-CN"/>
              </w:rPr>
              <w:t>分)</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7F9FE61E">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.类似业绩</w:t>
            </w:r>
          </w:p>
          <w:p w14:paraId="0C77D6D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p>
        </w:tc>
        <w:tc>
          <w:tcPr>
            <w:tcW w:w="6922" w:type="dxa"/>
            <w:noWrap w:val="0"/>
            <w:vAlign w:val="center"/>
          </w:tcPr>
          <w:p w14:paraId="12D9C43F">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r>
      <w:tr w14:paraId="1F26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593B024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3FE928A4">
            <w:pPr>
              <w:keepNext w:val="0"/>
              <w:keepLines w:val="0"/>
              <w:pageBreakBefore w:val="0"/>
              <w:kinsoku/>
              <w:wordWrap/>
              <w:overflowPunct/>
              <w:topLinePunct w:val="0"/>
              <w:bidi w:val="0"/>
              <w:snapToGrid w:val="0"/>
              <w:spacing w:line="32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2.售后服务</w:t>
            </w:r>
            <w:r>
              <w:rPr>
                <w:rFonts w:hint="eastAsia" w:ascii="宋体" w:hAnsi="宋体" w:cs="宋体"/>
                <w:b w:val="0"/>
                <w:bCs w:val="0"/>
                <w:color w:val="auto"/>
                <w:sz w:val="21"/>
                <w:szCs w:val="21"/>
                <w:highlight w:val="none"/>
                <w:lang w:val="en-US" w:eastAsia="zh-CN"/>
              </w:rPr>
              <w:t>方案</w:t>
            </w:r>
          </w:p>
          <w:p w14:paraId="630EC0F5">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31FCC1E4">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cs="宋体"/>
                <w:color w:val="auto"/>
                <w:highlight w:val="none"/>
                <w:lang w:val="en-US" w:eastAsia="zh-CN"/>
              </w:rPr>
              <w:t>提供的</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方案（包含但不限于</w:t>
            </w:r>
            <w:r>
              <w:rPr>
                <w:rFonts w:hint="eastAsia" w:ascii="宋体" w:hAnsi="宋体" w:eastAsia="宋体" w:cs="宋体"/>
                <w:color w:val="auto"/>
                <w:highlight w:val="none"/>
              </w:rPr>
              <w:t>服务网点地址、</w:t>
            </w:r>
            <w:r>
              <w:rPr>
                <w:rFonts w:hint="eastAsia" w:ascii="宋体" w:hAnsi="宋体" w:cs="宋体"/>
                <w:color w:val="auto"/>
                <w:highlight w:val="none"/>
                <w:lang w:val="en-US" w:eastAsia="zh-CN"/>
              </w:rPr>
              <w:t>售后服务流程</w:t>
            </w:r>
            <w:r>
              <w:rPr>
                <w:rFonts w:hint="eastAsia" w:ascii="宋体" w:hAnsi="宋体" w:eastAsia="宋体" w:cs="宋体"/>
                <w:color w:val="auto"/>
                <w:highlight w:val="none"/>
              </w:rPr>
              <w:t>、服务及时率、</w:t>
            </w:r>
            <w:r>
              <w:rPr>
                <w:rFonts w:hint="eastAsia" w:ascii="宋体" w:hAnsi="宋体" w:cs="宋体"/>
                <w:color w:val="auto"/>
                <w:highlight w:val="none"/>
                <w:lang w:val="en-US" w:eastAsia="zh-CN"/>
              </w:rPr>
              <w:t>投诉反馈与处理</w:t>
            </w:r>
            <w:r>
              <w:rPr>
                <w:rFonts w:hint="eastAsia" w:ascii="宋体" w:hAnsi="宋体" w:eastAsia="宋体" w:cs="宋体"/>
                <w:color w:val="auto"/>
                <w:highlight w:val="none"/>
              </w:rPr>
              <w:t>等</w:t>
            </w:r>
            <w:r>
              <w:rPr>
                <w:rFonts w:hint="eastAsia" w:ascii="宋体" w:hAnsi="宋体" w:cs="宋体"/>
                <w:b w:val="0"/>
                <w:bCs w:val="0"/>
                <w:color w:val="auto"/>
                <w:sz w:val="21"/>
                <w:szCs w:val="21"/>
                <w:highlight w:val="none"/>
                <w:lang w:val="en-US" w:eastAsia="zh-CN"/>
              </w:rPr>
              <w:t>）</w:t>
            </w:r>
            <w:r>
              <w:rPr>
                <w:rFonts w:hint="eastAsia" w:ascii="宋体" w:hAnsi="宋体" w:cs="宋体"/>
                <w:color w:val="auto"/>
                <w:highlight w:val="none"/>
                <w:lang w:val="en-US" w:eastAsia="zh-CN"/>
              </w:rPr>
              <w:t>进行评审</w:t>
            </w:r>
            <w:r>
              <w:rPr>
                <w:rFonts w:hint="eastAsia" w:ascii="宋体" w:hAnsi="宋体" w:eastAsia="宋体" w:cs="宋体"/>
                <w:color w:val="auto"/>
                <w:highlight w:val="none"/>
              </w:rPr>
              <w:t>；</w:t>
            </w:r>
          </w:p>
          <w:p w14:paraId="181E1961">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5E214A65">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6B815A2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2E283897">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7A24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09657C6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468C8D6B">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3.项目人员配备方案</w:t>
            </w:r>
          </w:p>
          <w:p w14:paraId="2F5198F1">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cs="宋体"/>
                <w:color w:val="auto"/>
                <w:highlight w:val="none"/>
                <w:lang w:val="en-US" w:eastAsia="zh-CN"/>
              </w:rPr>
              <w:t>（7分）</w:t>
            </w:r>
          </w:p>
        </w:tc>
        <w:tc>
          <w:tcPr>
            <w:tcW w:w="6922" w:type="dxa"/>
            <w:noWrap w:val="0"/>
            <w:vAlign w:val="center"/>
          </w:tcPr>
          <w:p w14:paraId="7BAC8E6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根据供应商针对本项目提供的项目人员配备方案进行评审：</w:t>
            </w:r>
          </w:p>
          <w:p w14:paraId="50B6E8F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1）人员配备安排合理、专业技术能力强、设备维护经验丰富且持证上岗，能完全满足采购需求的得7分；</w:t>
            </w:r>
          </w:p>
          <w:p w14:paraId="33EBB46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2）人员配备基本满足采购需求的得4分；</w:t>
            </w:r>
          </w:p>
          <w:p w14:paraId="3ED56FF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3）人员配备不能满足采购需求的得1分；</w:t>
            </w:r>
          </w:p>
          <w:p w14:paraId="12331E4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4）未提供不得分</w:t>
            </w:r>
            <w:r>
              <w:rPr>
                <w:rFonts w:hint="eastAsia" w:ascii="宋体" w:hAnsi="宋体" w:eastAsia="宋体" w:cs="宋体"/>
                <w:color w:val="auto"/>
                <w:highlight w:val="none"/>
              </w:rPr>
              <w:t>。</w:t>
            </w:r>
          </w:p>
        </w:tc>
      </w:tr>
      <w:tr w14:paraId="0EE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337C7A6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6AB8EB6F">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4.培训方案</w:t>
            </w:r>
          </w:p>
          <w:p w14:paraId="0ADB0760">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highlight w:val="none"/>
                <w:lang w:val="en-US" w:eastAsia="zh-CN"/>
              </w:rPr>
              <w:t>（4分）</w:t>
            </w:r>
          </w:p>
        </w:tc>
        <w:tc>
          <w:tcPr>
            <w:tcW w:w="6922" w:type="dxa"/>
            <w:noWrap w:val="0"/>
            <w:vAlign w:val="center"/>
          </w:tcPr>
          <w:p w14:paraId="42C666FE">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针对本项目</w:t>
            </w:r>
            <w:r>
              <w:rPr>
                <w:rFonts w:hint="eastAsia" w:ascii="宋体" w:hAnsi="宋体" w:eastAsia="宋体" w:cs="宋体"/>
                <w:color w:val="auto"/>
                <w:highlight w:val="none"/>
                <w:lang w:eastAsia="zh-CN"/>
              </w:rPr>
              <w:t>提供</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培训方案进行评分，方案中包括但不限于：</w:t>
            </w:r>
            <w:r>
              <w:rPr>
                <w:rFonts w:hint="eastAsia" w:ascii="宋体" w:hAnsi="宋体" w:eastAsia="宋体" w:cs="宋体"/>
                <w:color w:val="auto"/>
                <w:highlight w:val="none"/>
              </w:rPr>
              <w:t>培训内容、培训人员</w:t>
            </w:r>
            <w:r>
              <w:rPr>
                <w:rFonts w:hint="eastAsia" w:ascii="宋体" w:hAnsi="宋体" w:eastAsia="宋体" w:cs="宋体"/>
                <w:color w:val="auto"/>
                <w:highlight w:val="none"/>
                <w:lang w:eastAsia="zh-CN"/>
              </w:rPr>
              <w:t>安排</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培训计划</w:t>
            </w:r>
            <w:r>
              <w:rPr>
                <w:rFonts w:hint="eastAsia" w:ascii="宋体" w:hAnsi="宋体" w:eastAsia="宋体" w:cs="宋体"/>
                <w:color w:val="auto"/>
                <w:highlight w:val="none"/>
                <w:lang w:eastAsia="zh-CN"/>
              </w:rPr>
              <w:t>；</w:t>
            </w:r>
          </w:p>
          <w:p w14:paraId="36003755">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培训方案具有针对性、完全满足需求的得4分；培训方案基本满足采购需求的得2分，培训方案一般的得1分。缺项得0分。</w:t>
            </w:r>
          </w:p>
        </w:tc>
      </w:tr>
      <w:tr w14:paraId="011D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198" w:type="dxa"/>
            <w:vMerge w:val="continue"/>
            <w:noWrap w:val="0"/>
            <w:vAlign w:val="center"/>
          </w:tcPr>
          <w:p w14:paraId="1C29AE8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09C0AD4D">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.其他优惠承诺</w:t>
            </w:r>
          </w:p>
          <w:p w14:paraId="1FB00F1E">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48DD885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根据供应商在满足采购文件要求的基础上另外提出的优惠承诺进行</w:t>
            </w:r>
            <w:r>
              <w:rPr>
                <w:rFonts w:hint="eastAsia" w:ascii="宋体" w:hAnsi="宋体" w:cs="宋体"/>
                <w:color w:val="auto"/>
                <w:highlight w:val="none"/>
                <w:lang w:val="en-US" w:eastAsia="zh-CN"/>
              </w:rPr>
              <w:t>评审</w:t>
            </w:r>
            <w:r>
              <w:rPr>
                <w:rFonts w:hint="eastAsia" w:ascii="宋体" w:hAnsi="宋体" w:eastAsia="宋体" w:cs="宋体"/>
                <w:color w:val="auto"/>
                <w:highlight w:val="none"/>
                <w:lang w:val="en-US" w:eastAsia="zh-CN"/>
              </w:rPr>
              <w:t>：每提供一项对采购人有利的、切实可行的实质性优惠承诺得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分，最多得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未提供不得分。</w:t>
            </w:r>
            <w:r>
              <w:rPr>
                <w:rFonts w:hint="eastAsia" w:ascii="宋体" w:hAnsi="宋体" w:eastAsia="宋体" w:cs="宋体"/>
                <w:color w:val="auto"/>
                <w:sz w:val="24"/>
                <w:szCs w:val="24"/>
                <w:highlight w:val="none"/>
                <w:lang w:val="en-US" w:eastAsia="zh-CN"/>
              </w:rPr>
              <w:t xml:space="preserve">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7CAF5CE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947"/>
      <w:bookmarkStart w:id="51" w:name="_Toc1482"/>
      <w:bookmarkStart w:id="52" w:name="_Toc326786897"/>
      <w:bookmarkStart w:id="53"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5"/>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u w:val="single"/>
                <w:lang w:val="en-US" w:eastAsia="zh-CN"/>
              </w:rPr>
              <w:t xml:space="preserve">         </w:t>
            </w:r>
            <w:r>
              <w:rPr>
                <w:rFonts w:hint="eastAsia" w:ascii="宋体" w:hAnsi="宋体" w:cs="宋体"/>
                <w:color w:val="auto"/>
                <w:sz w:val="21"/>
                <w:szCs w:val="21"/>
                <w:highlight w:val="none"/>
                <w:lang w:val="en-US" w:eastAsia="zh-CN"/>
              </w:rPr>
              <w:t>元</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0"/>
              <w:ind w:left="0" w:leftChars="0"/>
              <w:rPr>
                <w:rFonts w:hint="eastAsia" w:ascii="宋体" w:hAnsi="宋体" w:eastAsia="宋体" w:cs="宋体"/>
                <w:color w:val="auto"/>
                <w:sz w:val="21"/>
                <w:szCs w:val="21"/>
                <w:highlight w:val="none"/>
              </w:rPr>
            </w:pPr>
          </w:p>
        </w:tc>
      </w:tr>
    </w:tbl>
    <w:p w14:paraId="41762F7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p>
    <w:p w14:paraId="663402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5DCFBC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若认为符合价格折扣条件的，在“备注”栏内注明符合何种折扣条件，以方便评委评审。 </w:t>
      </w:r>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5" w:name="_Toc625"/>
      <w:bookmarkStart w:id="76"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9950"/>
      <w:bookmarkStart w:id="78" w:name="_Toc133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4984"/>
      <w:bookmarkStart w:id="80"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15804"/>
      <w:bookmarkStart w:id="82" w:name="_Toc226"/>
      <w:r>
        <w:rPr>
          <w:rFonts w:hint="eastAsia" w:ascii="宋体" w:hAnsi="宋体" w:eastAsia="宋体" w:cs="宋体"/>
          <w:color w:val="auto"/>
          <w:sz w:val="28"/>
          <w:szCs w:val="28"/>
          <w:highlight w:val="none"/>
          <w:lang w:val="en-US" w:eastAsia="zh-CN"/>
        </w:rPr>
        <w:t>附件4            报价明细表（格式）</w:t>
      </w:r>
    </w:p>
    <w:p w14:paraId="79C39A44">
      <w:pPr>
        <w:jc w:val="right"/>
        <w:rPr>
          <w:rFonts w:hint="eastAsia" w:ascii="宋体" w:hAnsi="宋体" w:cs="宋体"/>
          <w:color w:val="auto"/>
          <w:kern w:val="0"/>
          <w:sz w:val="24"/>
          <w:highlight w:val="none"/>
        </w:rPr>
      </w:pPr>
      <w:r>
        <w:rPr>
          <w:rFonts w:hint="eastAsia" w:ascii="宋体" w:hAnsi="宋体" w:cs="宋体"/>
          <w:color w:val="auto"/>
          <w:kern w:val="0"/>
          <w:sz w:val="24"/>
          <w:highlight w:val="none"/>
        </w:rPr>
        <w:t>金额单位：人民币（元）</w:t>
      </w:r>
    </w:p>
    <w:tbl>
      <w:tblPr>
        <w:tblStyle w:val="33"/>
        <w:tblpPr w:leftFromText="180" w:rightFromText="180" w:vertAnchor="text" w:horzAnchor="page" w:tblpXSpec="center" w:tblpY="299"/>
        <w:tblOverlap w:val="never"/>
        <w:tblW w:w="92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71514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900" w:type="dxa"/>
            <w:tcBorders>
              <w:top w:val="single" w:color="auto" w:sz="4" w:space="0"/>
              <w:left w:val="single" w:color="auto" w:sz="4" w:space="0"/>
              <w:bottom w:val="nil"/>
              <w:right w:val="single" w:color="auto" w:sz="4" w:space="0"/>
            </w:tcBorders>
            <w:vAlign w:val="center"/>
          </w:tcPr>
          <w:p w14:paraId="39D3228D">
            <w:pPr>
              <w:widowControl/>
              <w:tabs>
                <w:tab w:val="left" w:pos="1418"/>
              </w:tabs>
              <w:snapToGrid w:val="0"/>
              <w:spacing w:before="50" w:after="50" w:line="360" w:lineRule="exact"/>
              <w:jc w:val="both"/>
              <w:rPr>
                <w:rFonts w:hint="eastAsia"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rPr>
              <w:t>序号</w:t>
            </w:r>
          </w:p>
        </w:tc>
        <w:tc>
          <w:tcPr>
            <w:tcW w:w="2017" w:type="dxa"/>
            <w:tcBorders>
              <w:top w:val="single" w:color="auto" w:sz="4" w:space="0"/>
              <w:left w:val="single" w:color="auto" w:sz="4" w:space="0"/>
              <w:bottom w:val="nil"/>
              <w:right w:val="single" w:color="auto" w:sz="4" w:space="0"/>
            </w:tcBorders>
            <w:vAlign w:val="center"/>
          </w:tcPr>
          <w:p w14:paraId="06F4213E">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名称</w:t>
            </w:r>
          </w:p>
        </w:tc>
        <w:tc>
          <w:tcPr>
            <w:tcW w:w="1516" w:type="dxa"/>
            <w:tcBorders>
              <w:top w:val="single" w:color="auto" w:sz="4" w:space="0"/>
              <w:left w:val="single" w:color="auto" w:sz="4" w:space="0"/>
              <w:bottom w:val="nil"/>
              <w:right w:val="single" w:color="auto" w:sz="4" w:space="0"/>
            </w:tcBorders>
            <w:vAlign w:val="center"/>
          </w:tcPr>
          <w:p w14:paraId="44B9287F">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szCs w:val="24"/>
                <w:highlight w:val="none"/>
                <w:lang w:val="en-US" w:eastAsia="zh-CN" w:bidi="ar-SA"/>
              </w:rPr>
              <w:t>单位</w:t>
            </w:r>
          </w:p>
        </w:tc>
        <w:tc>
          <w:tcPr>
            <w:tcW w:w="1541" w:type="dxa"/>
            <w:tcBorders>
              <w:top w:val="single" w:color="auto" w:sz="4" w:space="0"/>
              <w:left w:val="single" w:color="auto" w:sz="4" w:space="0"/>
              <w:bottom w:val="nil"/>
              <w:right w:val="single" w:color="auto" w:sz="4" w:space="0"/>
            </w:tcBorders>
            <w:vAlign w:val="center"/>
          </w:tcPr>
          <w:p w14:paraId="29C66576">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数量</w:t>
            </w:r>
          </w:p>
        </w:tc>
        <w:tc>
          <w:tcPr>
            <w:tcW w:w="1198" w:type="dxa"/>
            <w:tcBorders>
              <w:top w:val="single" w:color="auto" w:sz="4" w:space="0"/>
              <w:left w:val="single" w:color="auto" w:sz="4" w:space="0"/>
              <w:bottom w:val="nil"/>
              <w:right w:val="single" w:color="auto" w:sz="4" w:space="0"/>
            </w:tcBorders>
            <w:vAlign w:val="center"/>
          </w:tcPr>
          <w:p w14:paraId="47EAEF8B">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kern w:val="0"/>
                <w:sz w:val="24"/>
                <w:highlight w:val="none"/>
              </w:rPr>
              <w:t>单价</w:t>
            </w:r>
          </w:p>
        </w:tc>
        <w:tc>
          <w:tcPr>
            <w:tcW w:w="1117" w:type="dxa"/>
            <w:tcBorders>
              <w:top w:val="single" w:color="auto" w:sz="4" w:space="0"/>
              <w:left w:val="single" w:color="auto" w:sz="4" w:space="0"/>
              <w:bottom w:val="nil"/>
              <w:right w:val="single" w:color="auto" w:sz="4" w:space="0"/>
            </w:tcBorders>
            <w:vAlign w:val="center"/>
          </w:tcPr>
          <w:p w14:paraId="28552CD0">
            <w:pPr>
              <w:widowControl/>
              <w:tabs>
                <w:tab w:val="left" w:pos="1418"/>
              </w:tabs>
              <w:snapToGrid w:val="0"/>
              <w:spacing w:before="50" w:after="50" w:line="360" w:lineRule="exact"/>
              <w:jc w:val="center"/>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kern w:val="0"/>
                <w:sz w:val="24"/>
                <w:highlight w:val="none"/>
                <w:lang w:val="en-US" w:eastAsia="zh-CN"/>
              </w:rPr>
              <w:t>合计</w:t>
            </w:r>
          </w:p>
        </w:tc>
        <w:tc>
          <w:tcPr>
            <w:tcW w:w="916" w:type="dxa"/>
            <w:tcBorders>
              <w:top w:val="single" w:color="auto" w:sz="4" w:space="0"/>
              <w:left w:val="single" w:color="auto" w:sz="4" w:space="0"/>
              <w:bottom w:val="nil"/>
              <w:right w:val="single" w:color="auto" w:sz="4" w:space="0"/>
            </w:tcBorders>
            <w:vAlign w:val="center"/>
          </w:tcPr>
          <w:p w14:paraId="6CCD06C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lang w:val="en-US" w:eastAsia="zh-CN"/>
              </w:rPr>
              <w:t>备注</w:t>
            </w:r>
          </w:p>
        </w:tc>
      </w:tr>
      <w:tr w14:paraId="58B3F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013CA0E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76C2B86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166423B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5058635B">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79AC404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DB7E24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294F340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55FC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0042F68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46C364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7144E55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4064B5C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739A792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4CD1D28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C090D8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575E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290F08D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562322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44E40F5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2BC3F09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582BF86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2914F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6F0B657">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3F25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442CA19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7329A72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195D4EC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0E65F95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242EA4A0">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05E964D6">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39A82A7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6D411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6BC756B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111178A">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16" w:type="dxa"/>
            <w:tcBorders>
              <w:top w:val="single" w:color="auto" w:sz="4" w:space="0"/>
              <w:left w:val="single" w:color="auto" w:sz="4" w:space="0"/>
              <w:bottom w:val="single" w:color="auto" w:sz="4" w:space="0"/>
              <w:right w:val="single" w:color="auto" w:sz="4" w:space="0"/>
            </w:tcBorders>
          </w:tcPr>
          <w:p w14:paraId="5086BAA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3DFDB82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34F4230E">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CBB619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77D66999">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7670C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00" w:type="dxa"/>
            <w:tcBorders>
              <w:top w:val="single" w:color="auto" w:sz="4" w:space="0"/>
              <w:left w:val="single" w:color="auto" w:sz="4" w:space="0"/>
              <w:bottom w:val="single" w:color="auto" w:sz="4" w:space="0"/>
              <w:right w:val="single" w:color="auto" w:sz="4" w:space="0"/>
            </w:tcBorders>
          </w:tcPr>
          <w:p w14:paraId="7125A6F4">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2967590C">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r>
              <w:rPr>
                <w:rFonts w:hint="eastAsia" w:ascii="宋体" w:hAnsi="宋体" w:eastAsia="宋体" w:cs="宋体"/>
                <w:color w:val="auto"/>
                <w:spacing w:val="20"/>
                <w:kern w:val="0"/>
                <w:sz w:val="24"/>
                <w:highlight w:val="none"/>
              </w:rPr>
              <w:t xml:space="preserve">…… </w:t>
            </w:r>
          </w:p>
        </w:tc>
        <w:tc>
          <w:tcPr>
            <w:tcW w:w="1516" w:type="dxa"/>
            <w:tcBorders>
              <w:top w:val="single" w:color="auto" w:sz="4" w:space="0"/>
              <w:left w:val="single" w:color="auto" w:sz="4" w:space="0"/>
              <w:bottom w:val="single" w:color="auto" w:sz="4" w:space="0"/>
              <w:right w:val="single" w:color="auto" w:sz="4" w:space="0"/>
            </w:tcBorders>
          </w:tcPr>
          <w:p w14:paraId="30782E58">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541" w:type="dxa"/>
            <w:tcBorders>
              <w:top w:val="single" w:color="auto" w:sz="4" w:space="0"/>
              <w:left w:val="single" w:color="auto" w:sz="4" w:space="0"/>
              <w:bottom w:val="single" w:color="auto" w:sz="4" w:space="0"/>
              <w:right w:val="single" w:color="auto" w:sz="4" w:space="0"/>
            </w:tcBorders>
          </w:tcPr>
          <w:p w14:paraId="0475A642">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98" w:type="dxa"/>
            <w:tcBorders>
              <w:top w:val="single" w:color="auto" w:sz="4" w:space="0"/>
              <w:left w:val="single" w:color="auto" w:sz="4" w:space="0"/>
              <w:bottom w:val="single" w:color="auto" w:sz="4" w:space="0"/>
              <w:right w:val="single" w:color="auto" w:sz="4" w:space="0"/>
            </w:tcBorders>
          </w:tcPr>
          <w:p w14:paraId="034C4B0D">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1117" w:type="dxa"/>
            <w:tcBorders>
              <w:top w:val="single" w:color="auto" w:sz="4" w:space="0"/>
              <w:left w:val="single" w:color="auto" w:sz="4" w:space="0"/>
              <w:bottom w:val="single" w:color="auto" w:sz="4" w:space="0"/>
              <w:right w:val="single" w:color="auto" w:sz="4" w:space="0"/>
            </w:tcBorders>
          </w:tcPr>
          <w:p w14:paraId="6B7D6053">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c>
          <w:tcPr>
            <w:tcW w:w="916" w:type="dxa"/>
            <w:tcBorders>
              <w:top w:val="single" w:color="auto" w:sz="4" w:space="0"/>
              <w:left w:val="single" w:color="auto" w:sz="4" w:space="0"/>
              <w:bottom w:val="single" w:color="auto" w:sz="4" w:space="0"/>
              <w:right w:val="single" w:color="auto" w:sz="4" w:space="0"/>
            </w:tcBorders>
          </w:tcPr>
          <w:p w14:paraId="4FEB33AF">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rPr>
            </w:pPr>
          </w:p>
        </w:tc>
      </w:tr>
      <w:tr w14:paraId="28302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172" w:type="dxa"/>
            <w:gridSpan w:val="5"/>
            <w:tcBorders>
              <w:top w:val="single" w:color="auto" w:sz="4" w:space="0"/>
              <w:left w:val="single" w:color="auto" w:sz="4" w:space="0"/>
              <w:bottom w:val="single" w:color="auto" w:sz="4" w:space="0"/>
              <w:right w:val="single" w:color="auto" w:sz="4" w:space="0"/>
            </w:tcBorders>
            <w:vAlign w:val="top"/>
          </w:tcPr>
          <w:p w14:paraId="11BF8069">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spacing w:val="20"/>
                <w:kern w:val="0"/>
                <w:sz w:val="24"/>
                <w:highlight w:val="none"/>
              </w:rPr>
              <w:t>投标</w:t>
            </w:r>
            <w:r>
              <w:rPr>
                <w:rFonts w:hint="eastAsia" w:ascii="宋体" w:hAnsi="宋体" w:eastAsia="宋体" w:cs="宋体"/>
                <w:color w:val="auto"/>
                <w:spacing w:val="20"/>
                <w:kern w:val="0"/>
                <w:sz w:val="24"/>
                <w:highlight w:val="none"/>
                <w:lang w:val="en-US" w:eastAsia="zh-CN"/>
              </w:rPr>
              <w:t>总</w:t>
            </w:r>
            <w:r>
              <w:rPr>
                <w:rFonts w:hint="eastAsia" w:ascii="宋体" w:hAnsi="宋体" w:eastAsia="宋体" w:cs="宋体"/>
                <w:color w:val="auto"/>
                <w:spacing w:val="20"/>
                <w:kern w:val="0"/>
                <w:sz w:val="24"/>
                <w:highlight w:val="none"/>
              </w:rPr>
              <w:t>价(</w:t>
            </w:r>
            <w:r>
              <w:rPr>
                <w:rFonts w:hint="eastAsia" w:ascii="宋体" w:hAnsi="宋体" w:eastAsia="宋体" w:cs="宋体"/>
                <w:color w:val="auto"/>
                <w:kern w:val="0"/>
                <w:sz w:val="24"/>
                <w:szCs w:val="21"/>
                <w:highlight w:val="none"/>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115F5CF">
            <w:pPr>
              <w:widowControl/>
              <w:tabs>
                <w:tab w:val="left" w:pos="1418"/>
              </w:tabs>
              <w:snapToGrid w:val="0"/>
              <w:spacing w:before="50" w:after="50" w:line="360" w:lineRule="exact"/>
              <w:jc w:val="left"/>
              <w:rPr>
                <w:rFonts w:hint="eastAsia" w:ascii="宋体" w:hAnsi="宋体" w:eastAsia="宋体" w:cs="宋体"/>
                <w:color w:val="auto"/>
                <w:spacing w:val="20"/>
                <w:kern w:val="0"/>
                <w:sz w:val="24"/>
                <w:highlight w:val="none"/>
                <w:lang w:val="en-US" w:eastAsia="zh-CN"/>
              </w:rPr>
            </w:pPr>
            <w:r>
              <w:rPr>
                <w:rFonts w:hint="eastAsia" w:ascii="宋体" w:hAnsi="宋体" w:eastAsia="宋体" w:cs="宋体"/>
                <w:color w:val="auto"/>
                <w:kern w:val="0"/>
                <w:sz w:val="24"/>
                <w:szCs w:val="21"/>
                <w:highlight w:val="none"/>
              </w:rPr>
              <w:t>￥</w:t>
            </w:r>
          </w:p>
        </w:tc>
        <w:tc>
          <w:tcPr>
            <w:tcW w:w="916" w:type="dxa"/>
            <w:tcBorders>
              <w:top w:val="single" w:color="auto" w:sz="4" w:space="0"/>
              <w:left w:val="single" w:color="auto" w:sz="4" w:space="0"/>
              <w:bottom w:val="single" w:color="auto" w:sz="4" w:space="0"/>
              <w:right w:val="single" w:color="auto" w:sz="4" w:space="0"/>
            </w:tcBorders>
            <w:vAlign w:val="top"/>
          </w:tcPr>
          <w:p w14:paraId="7BCAFFA0">
            <w:pPr>
              <w:widowControl/>
              <w:tabs>
                <w:tab w:val="left" w:pos="1418"/>
              </w:tabs>
              <w:snapToGrid w:val="0"/>
              <w:spacing w:before="50" w:after="50" w:line="360" w:lineRule="exact"/>
              <w:jc w:val="left"/>
              <w:rPr>
                <w:rFonts w:hint="eastAsia" w:ascii="宋体" w:hAnsi="宋体" w:eastAsia="宋体" w:cs="宋体"/>
                <w:color w:val="auto"/>
                <w:kern w:val="0"/>
                <w:sz w:val="24"/>
                <w:szCs w:val="21"/>
                <w:highlight w:val="none"/>
              </w:rPr>
            </w:pPr>
          </w:p>
        </w:tc>
      </w:tr>
    </w:tbl>
    <w:p w14:paraId="350B2D08">
      <w:pPr>
        <w:jc w:val="right"/>
        <w:rPr>
          <w:rFonts w:hint="eastAsia" w:ascii="宋体" w:hAnsi="宋体" w:cs="宋体"/>
          <w:color w:val="auto"/>
          <w:kern w:val="0"/>
          <w:sz w:val="24"/>
          <w:highlight w:val="none"/>
          <w:lang w:val="en-US" w:eastAsia="zh-CN"/>
        </w:rPr>
      </w:pPr>
    </w:p>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6" w:type="default"/>
          <w:pgSz w:w="11906" w:h="16838"/>
          <w:pgMar w:top="1417" w:right="1474" w:bottom="1417" w:left="1474" w:header="851" w:footer="624" w:gutter="0"/>
          <w:pgNumType w:fmt="decimal"/>
          <w:cols w:space="720" w:num="1"/>
          <w:docGrid w:type="lines" w:linePitch="319" w:charSpace="0"/>
        </w:sectPr>
      </w:pPr>
    </w:p>
    <w:p w14:paraId="0687C2CA">
      <w:pPr>
        <w:pStyle w:val="23"/>
        <w:rPr>
          <w:rFonts w:hint="default" w:ascii="宋体" w:hAnsi="宋体" w:cs="宋体"/>
          <w:color w:val="auto"/>
          <w:kern w:val="0"/>
          <w:sz w:val="24"/>
          <w:highlight w:val="none"/>
          <w:lang w:val="en-US" w:eastAsia="zh-CN"/>
        </w:r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1"/>
        <w:tblW w:w="99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jc w:val="center"/>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pgSz w:w="11906" w:h="16838"/>
          <w:pgMar w:top="1417" w:right="1474" w:bottom="1417" w:left="1474" w:header="851" w:footer="624" w:gutter="0"/>
          <w:pgNumType w:fmt="decimal"/>
          <w:cols w:space="720" w:num="1"/>
          <w:docGrid w:type="lines" w:linePitch="319" w:charSpace="0"/>
        </w:sectPr>
      </w:pPr>
    </w:p>
    <w:p w14:paraId="4DAF514B">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0420"/>
      <w:bookmarkStart w:id="84" w:name="_Toc24168"/>
      <w:bookmarkStart w:id="85" w:name="_Toc2996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4"/>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28621"/>
      <w:bookmarkStart w:id="87" w:name="_Toc31526"/>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30519"/>
      <w:bookmarkStart w:id="91" w:name="_Toc1293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18105"/>
      <w:bookmarkStart w:id="93" w:name="_Toc3342"/>
      <w:bookmarkStart w:id="94" w:name="_Toc24693"/>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0"/>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0"/>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0"/>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6083"/>
      <w:bookmarkStart w:id="97" w:name="_Toc13726"/>
      <w:bookmarkStart w:id="98" w:name="_Toc12888"/>
      <w:r>
        <w:rPr>
          <w:rFonts w:hint="eastAsia" w:ascii="宋体" w:hAnsi="宋体" w:eastAsia="宋体" w:cs="宋体"/>
          <w:color w:val="auto"/>
          <w:sz w:val="28"/>
          <w:szCs w:val="28"/>
          <w:highlight w:val="none"/>
          <w:lang w:val="en-US" w:eastAsia="zh-CN"/>
        </w:rPr>
        <w:br w:type="page"/>
      </w: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23394"/>
      <w:bookmarkStart w:id="100" w:name="_Toc31685"/>
      <w:bookmarkStart w:id="101" w:name="_Toc25094"/>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驻马店市中心医院飞利浦16排CT全保（除球管与第三方产品）项目竞争性磋商文件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30"/>
    <w:rsid w:val="02DA4665"/>
    <w:rsid w:val="02F40325"/>
    <w:rsid w:val="02F70D3E"/>
    <w:rsid w:val="02FA082F"/>
    <w:rsid w:val="031126C4"/>
    <w:rsid w:val="033124A2"/>
    <w:rsid w:val="034733B8"/>
    <w:rsid w:val="03475E56"/>
    <w:rsid w:val="034877EC"/>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3E7F8F"/>
    <w:rsid w:val="054C0111"/>
    <w:rsid w:val="05545DD3"/>
    <w:rsid w:val="05574DA8"/>
    <w:rsid w:val="056E2AD6"/>
    <w:rsid w:val="05720B50"/>
    <w:rsid w:val="05806815"/>
    <w:rsid w:val="05811717"/>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BC0A60"/>
    <w:rsid w:val="08C52D6F"/>
    <w:rsid w:val="08E42BE4"/>
    <w:rsid w:val="08EF0201"/>
    <w:rsid w:val="08F41DE8"/>
    <w:rsid w:val="08FA3336"/>
    <w:rsid w:val="093D1475"/>
    <w:rsid w:val="094840A2"/>
    <w:rsid w:val="09523172"/>
    <w:rsid w:val="09644C54"/>
    <w:rsid w:val="09737462"/>
    <w:rsid w:val="099156C3"/>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44B80"/>
    <w:rsid w:val="0D4861FD"/>
    <w:rsid w:val="0D735465"/>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5422D"/>
    <w:rsid w:val="156E0971"/>
    <w:rsid w:val="15785B3E"/>
    <w:rsid w:val="15811F1B"/>
    <w:rsid w:val="159B37AB"/>
    <w:rsid w:val="15A30135"/>
    <w:rsid w:val="15A34015"/>
    <w:rsid w:val="15BB487B"/>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47C3A"/>
    <w:rsid w:val="18F67868"/>
    <w:rsid w:val="1901426D"/>
    <w:rsid w:val="190B0C4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157783"/>
    <w:rsid w:val="1C4032FE"/>
    <w:rsid w:val="1C555978"/>
    <w:rsid w:val="1C6554A1"/>
    <w:rsid w:val="1C7971B7"/>
    <w:rsid w:val="1C8036FB"/>
    <w:rsid w:val="1C8651B5"/>
    <w:rsid w:val="1C917D91"/>
    <w:rsid w:val="1CA94A00"/>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17947"/>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879F1"/>
    <w:rsid w:val="2969197F"/>
    <w:rsid w:val="29746E87"/>
    <w:rsid w:val="297939AC"/>
    <w:rsid w:val="297C03C2"/>
    <w:rsid w:val="299573AB"/>
    <w:rsid w:val="29A671EA"/>
    <w:rsid w:val="29B05804"/>
    <w:rsid w:val="29BE5BD0"/>
    <w:rsid w:val="29C01572"/>
    <w:rsid w:val="29C25353"/>
    <w:rsid w:val="29CA4207"/>
    <w:rsid w:val="29D82DC8"/>
    <w:rsid w:val="29DA08EE"/>
    <w:rsid w:val="29DB6414"/>
    <w:rsid w:val="29E74CE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D3F2453"/>
    <w:rsid w:val="2D6F134E"/>
    <w:rsid w:val="2D835174"/>
    <w:rsid w:val="2D9331F9"/>
    <w:rsid w:val="2DD90B7B"/>
    <w:rsid w:val="2DD92C6B"/>
    <w:rsid w:val="2DDD3FC1"/>
    <w:rsid w:val="2DE531B8"/>
    <w:rsid w:val="2DEA131C"/>
    <w:rsid w:val="2DF701D8"/>
    <w:rsid w:val="2DF970A1"/>
    <w:rsid w:val="2E0665A9"/>
    <w:rsid w:val="2E085834"/>
    <w:rsid w:val="2E1034F8"/>
    <w:rsid w:val="2E112405"/>
    <w:rsid w:val="2E120D8E"/>
    <w:rsid w:val="2E1B46D1"/>
    <w:rsid w:val="2E310CF9"/>
    <w:rsid w:val="2E443652"/>
    <w:rsid w:val="2E505773"/>
    <w:rsid w:val="2E5C0A3D"/>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7F6886"/>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83AA2"/>
    <w:rsid w:val="36203B2D"/>
    <w:rsid w:val="36257395"/>
    <w:rsid w:val="363E0457"/>
    <w:rsid w:val="365B4B65"/>
    <w:rsid w:val="36806379"/>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F3388"/>
    <w:rsid w:val="38CC268D"/>
    <w:rsid w:val="38DF1FDA"/>
    <w:rsid w:val="38EC2960"/>
    <w:rsid w:val="390069DD"/>
    <w:rsid w:val="39030CF9"/>
    <w:rsid w:val="39091F35"/>
    <w:rsid w:val="390A63CE"/>
    <w:rsid w:val="392536E2"/>
    <w:rsid w:val="39465F15"/>
    <w:rsid w:val="39505209"/>
    <w:rsid w:val="396453C5"/>
    <w:rsid w:val="39922CCF"/>
    <w:rsid w:val="39A24859"/>
    <w:rsid w:val="39A65327"/>
    <w:rsid w:val="39A65C9B"/>
    <w:rsid w:val="39BC591B"/>
    <w:rsid w:val="39BC5ED6"/>
    <w:rsid w:val="39D27231"/>
    <w:rsid w:val="39E6508D"/>
    <w:rsid w:val="39E82BB3"/>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AE83F75"/>
    <w:rsid w:val="3B312338"/>
    <w:rsid w:val="3B3C5B77"/>
    <w:rsid w:val="3B3D0FF2"/>
    <w:rsid w:val="3B501351"/>
    <w:rsid w:val="3B521A18"/>
    <w:rsid w:val="3B5E2A01"/>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EB6898"/>
    <w:rsid w:val="40F701DF"/>
    <w:rsid w:val="40FD480A"/>
    <w:rsid w:val="411B59C4"/>
    <w:rsid w:val="41220B74"/>
    <w:rsid w:val="412A32F8"/>
    <w:rsid w:val="4135001C"/>
    <w:rsid w:val="41401527"/>
    <w:rsid w:val="417F433E"/>
    <w:rsid w:val="418A1D66"/>
    <w:rsid w:val="41913B31"/>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5B43F6"/>
    <w:rsid w:val="436C42E1"/>
    <w:rsid w:val="437102E7"/>
    <w:rsid w:val="437C210F"/>
    <w:rsid w:val="43847F02"/>
    <w:rsid w:val="438F113C"/>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366C11"/>
    <w:rsid w:val="444946CA"/>
    <w:rsid w:val="444B3F54"/>
    <w:rsid w:val="445D7CFA"/>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853538"/>
    <w:rsid w:val="46BF7E28"/>
    <w:rsid w:val="46C3037C"/>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711FC6"/>
    <w:rsid w:val="48895289"/>
    <w:rsid w:val="489363E0"/>
    <w:rsid w:val="48A16B62"/>
    <w:rsid w:val="48AE0D54"/>
    <w:rsid w:val="48BC6222"/>
    <w:rsid w:val="48C245E9"/>
    <w:rsid w:val="48DB312A"/>
    <w:rsid w:val="48DF49D9"/>
    <w:rsid w:val="48E45842"/>
    <w:rsid w:val="492108CC"/>
    <w:rsid w:val="49413F52"/>
    <w:rsid w:val="494F6304"/>
    <w:rsid w:val="4955544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21759"/>
    <w:rsid w:val="4DD632D9"/>
    <w:rsid w:val="4DE05D9E"/>
    <w:rsid w:val="4DE05DF9"/>
    <w:rsid w:val="4DE44800"/>
    <w:rsid w:val="4DEE0709"/>
    <w:rsid w:val="4DF26A56"/>
    <w:rsid w:val="4DF47921"/>
    <w:rsid w:val="4DFC14EA"/>
    <w:rsid w:val="4DFF6815"/>
    <w:rsid w:val="4E0A3427"/>
    <w:rsid w:val="4E124B64"/>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287B99"/>
    <w:rsid w:val="522E717A"/>
    <w:rsid w:val="52382F2A"/>
    <w:rsid w:val="52386E3D"/>
    <w:rsid w:val="523A7DD1"/>
    <w:rsid w:val="523B7711"/>
    <w:rsid w:val="52495D62"/>
    <w:rsid w:val="5271774C"/>
    <w:rsid w:val="527A416D"/>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37298"/>
    <w:rsid w:val="574448FC"/>
    <w:rsid w:val="57561D39"/>
    <w:rsid w:val="575B7AFD"/>
    <w:rsid w:val="57660D3F"/>
    <w:rsid w:val="5785783C"/>
    <w:rsid w:val="578F06BB"/>
    <w:rsid w:val="57CC4BC2"/>
    <w:rsid w:val="57D10760"/>
    <w:rsid w:val="57D1153D"/>
    <w:rsid w:val="57D77297"/>
    <w:rsid w:val="57FA3774"/>
    <w:rsid w:val="58084A3C"/>
    <w:rsid w:val="582772A7"/>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BF31218"/>
    <w:rsid w:val="5C1A6BB2"/>
    <w:rsid w:val="5C292E8C"/>
    <w:rsid w:val="5C306D31"/>
    <w:rsid w:val="5C37233A"/>
    <w:rsid w:val="5C5355FE"/>
    <w:rsid w:val="5C5A49A5"/>
    <w:rsid w:val="5C6519EA"/>
    <w:rsid w:val="5C6715FE"/>
    <w:rsid w:val="5C6F4105"/>
    <w:rsid w:val="5C93655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F03335D"/>
    <w:rsid w:val="5F0368C7"/>
    <w:rsid w:val="5F1544E7"/>
    <w:rsid w:val="5F197EE8"/>
    <w:rsid w:val="5F304531"/>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21B3"/>
    <w:rsid w:val="61306A6A"/>
    <w:rsid w:val="6131633F"/>
    <w:rsid w:val="613253FD"/>
    <w:rsid w:val="61421F29"/>
    <w:rsid w:val="61637D56"/>
    <w:rsid w:val="61712185"/>
    <w:rsid w:val="618B7207"/>
    <w:rsid w:val="61907E69"/>
    <w:rsid w:val="61A90D68"/>
    <w:rsid w:val="61B43A15"/>
    <w:rsid w:val="61B825BC"/>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D4DCC"/>
    <w:rsid w:val="631F3FB4"/>
    <w:rsid w:val="63273E9D"/>
    <w:rsid w:val="63364F75"/>
    <w:rsid w:val="6340438B"/>
    <w:rsid w:val="6353238E"/>
    <w:rsid w:val="63612AB8"/>
    <w:rsid w:val="63640C4D"/>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F1B3D"/>
    <w:rsid w:val="6694262A"/>
    <w:rsid w:val="66952ECC"/>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73C08"/>
    <w:rsid w:val="685E1363"/>
    <w:rsid w:val="687731D1"/>
    <w:rsid w:val="6878475E"/>
    <w:rsid w:val="688E1089"/>
    <w:rsid w:val="68993219"/>
    <w:rsid w:val="689E42BA"/>
    <w:rsid w:val="68A026F3"/>
    <w:rsid w:val="68AF6C13"/>
    <w:rsid w:val="68C77CB4"/>
    <w:rsid w:val="68E25001"/>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ADF0BB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E2315F"/>
    <w:rsid w:val="70FA674D"/>
    <w:rsid w:val="710952C1"/>
    <w:rsid w:val="713954C7"/>
    <w:rsid w:val="713F70AB"/>
    <w:rsid w:val="71452CD8"/>
    <w:rsid w:val="71583F2D"/>
    <w:rsid w:val="7158683A"/>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1919B3"/>
    <w:rsid w:val="721970A7"/>
    <w:rsid w:val="721A6098"/>
    <w:rsid w:val="721D18D3"/>
    <w:rsid w:val="72310D1A"/>
    <w:rsid w:val="725D6B54"/>
    <w:rsid w:val="727644F9"/>
    <w:rsid w:val="72986FA0"/>
    <w:rsid w:val="729D1A86"/>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7E40B6"/>
    <w:rsid w:val="7481790F"/>
    <w:rsid w:val="74A43991"/>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AA29C3"/>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2642CC"/>
    <w:rsid w:val="783B17B1"/>
    <w:rsid w:val="784E2046"/>
    <w:rsid w:val="78546F0C"/>
    <w:rsid w:val="786778FE"/>
    <w:rsid w:val="78830961"/>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6"/>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8"/>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50">
    <w:name w:val="大标题"/>
    <w:basedOn w:val="1"/>
    <w:next w:val="15"/>
    <w:autoRedefine/>
    <w:qFormat/>
    <w:uiPriority w:val="0"/>
    <w:pPr>
      <w:jc w:val="center"/>
    </w:pPr>
    <w:rPr>
      <w:rFonts w:ascii="Arial" w:hAnsi="Arial"/>
      <w:b/>
      <w:sz w:val="28"/>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无间隔1"/>
    <w:basedOn w:val="1"/>
    <w:autoRedefine/>
    <w:qFormat/>
    <w:uiPriority w:val="1"/>
    <w:pPr>
      <w:spacing w:line="400" w:lineRule="exact"/>
    </w:pPr>
    <w:rPr>
      <w:sz w:val="24"/>
    </w:rPr>
  </w:style>
  <w:style w:type="paragraph" w:customStyle="1" w:styleId="69">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0">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列出段落1"/>
    <w:basedOn w:val="1"/>
    <w:autoRedefine/>
    <w:qFormat/>
    <w:uiPriority w:val="34"/>
    <w:pPr>
      <w:ind w:firstLine="420" w:firstLineChars="200"/>
    </w:pPr>
  </w:style>
  <w:style w:type="paragraph" w:customStyle="1" w:styleId="72">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3">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列出段落11"/>
    <w:basedOn w:val="1"/>
    <w:autoRedefine/>
    <w:qFormat/>
    <w:uiPriority w:val="0"/>
    <w:pPr>
      <w:ind w:firstLine="420" w:firstLineChars="200"/>
    </w:pPr>
    <w:rPr>
      <w:rFonts w:ascii="Calibri" w:hAnsi="Calibri"/>
      <w:szCs w:val="22"/>
    </w:rPr>
  </w:style>
  <w:style w:type="character" w:customStyle="1" w:styleId="76">
    <w:name w:val="正文文本 Char"/>
    <w:basedOn w:val="35"/>
    <w:link w:val="3"/>
    <w:autoRedefine/>
    <w:qFormat/>
    <w:uiPriority w:val="0"/>
  </w:style>
  <w:style w:type="character" w:customStyle="1" w:styleId="77">
    <w:name w:val="apple-converted-space"/>
    <w:basedOn w:val="35"/>
    <w:autoRedefine/>
    <w:qFormat/>
    <w:uiPriority w:val="0"/>
  </w:style>
  <w:style w:type="character" w:customStyle="1" w:styleId="78">
    <w:name w:val="文档结构图 Char"/>
    <w:link w:val="11"/>
    <w:autoRedefine/>
    <w:qFormat/>
    <w:uiPriority w:val="0"/>
    <w:rPr>
      <w:rFonts w:ascii="宋体"/>
      <w:kern w:val="2"/>
      <w:sz w:val="18"/>
      <w:szCs w:val="18"/>
    </w:rPr>
  </w:style>
  <w:style w:type="character" w:customStyle="1" w:styleId="79">
    <w:name w:val="不明显强调1"/>
    <w:autoRedefine/>
    <w:qFormat/>
    <w:uiPriority w:val="19"/>
    <w:rPr>
      <w:i/>
      <w:iCs/>
      <w:color w:val="7F7F7F"/>
      <w:szCs w:val="24"/>
    </w:rPr>
  </w:style>
  <w:style w:type="character" w:customStyle="1" w:styleId="80">
    <w:name w:val="font71"/>
    <w:basedOn w:val="35"/>
    <w:autoRedefine/>
    <w:qFormat/>
    <w:uiPriority w:val="0"/>
    <w:rPr>
      <w:rFonts w:hint="eastAsia" w:ascii="宋体" w:hAnsi="宋体" w:eastAsia="宋体" w:cs="宋体"/>
      <w:color w:val="000000"/>
      <w:sz w:val="28"/>
      <w:szCs w:val="28"/>
      <w:u w:val="none"/>
    </w:rPr>
  </w:style>
  <w:style w:type="character" w:customStyle="1" w:styleId="81">
    <w:name w:val="font21"/>
    <w:autoRedefine/>
    <w:qFormat/>
    <w:uiPriority w:val="0"/>
    <w:rPr>
      <w:rFonts w:hint="default" w:ascii="Calibri" w:hAnsi="Calibri" w:cs="Calibri"/>
      <w:color w:val="000000"/>
      <w:sz w:val="28"/>
      <w:szCs w:val="28"/>
      <w:u w:val="none"/>
    </w:rPr>
  </w:style>
  <w:style w:type="character" w:customStyle="1" w:styleId="82">
    <w:name w:val="17"/>
    <w:autoRedefine/>
    <w:qFormat/>
    <w:uiPriority w:val="0"/>
    <w:rPr>
      <w:rFonts w:hint="eastAsia" w:ascii="宋体" w:hAnsi="宋体" w:eastAsia="宋体"/>
      <w:color w:val="000000"/>
    </w:rPr>
  </w:style>
  <w:style w:type="character" w:customStyle="1" w:styleId="83">
    <w:name w:val="font91"/>
    <w:autoRedefine/>
    <w:qFormat/>
    <w:uiPriority w:val="0"/>
    <w:rPr>
      <w:rFonts w:hint="eastAsia" w:ascii="宋体" w:hAnsi="宋体" w:eastAsia="宋体" w:cs="宋体"/>
      <w:color w:val="FF0000"/>
      <w:sz w:val="28"/>
      <w:szCs w:val="28"/>
      <w:u w:val="none"/>
    </w:rPr>
  </w:style>
  <w:style w:type="paragraph" w:customStyle="1" w:styleId="84">
    <w:name w:val="p"/>
    <w:basedOn w:val="1"/>
    <w:autoRedefine/>
    <w:qFormat/>
    <w:uiPriority w:val="0"/>
    <w:pPr>
      <w:widowControl/>
      <w:spacing w:line="432" w:lineRule="auto"/>
      <w:jc w:val="left"/>
    </w:pPr>
    <w:rPr>
      <w:rFonts w:ascii="宋体" w:hAnsi="宋体" w:cs="宋体"/>
      <w:kern w:val="0"/>
      <w:sz w:val="24"/>
    </w:rPr>
  </w:style>
  <w:style w:type="paragraph" w:customStyle="1" w:styleId="85">
    <w:name w:val="WPSOffice手动目录 1"/>
    <w:autoRedefine/>
    <w:qFormat/>
    <w:uiPriority w:val="0"/>
    <w:rPr>
      <w:rFonts w:ascii="Times New Roman" w:hAnsi="Times New Roman" w:eastAsia="宋体" w:cs="Times New Roman"/>
      <w:lang w:val="en-US" w:eastAsia="zh-CN" w:bidi="ar-SA"/>
    </w:rPr>
  </w:style>
  <w:style w:type="paragraph" w:customStyle="1" w:styleId="86">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 w:type="paragraph" w:customStyle="1" w:styleId="97">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16593</Words>
  <Characters>17343</Characters>
  <Lines>50</Lines>
  <Paragraphs>68</Paragraphs>
  <TotalTime>0</TotalTime>
  <ScaleCrop>false</ScaleCrop>
  <LinksUpToDate>false</LinksUpToDate>
  <CharactersWithSpaces>18326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2025-07-21T08:44:00Z</cp:lastPrinted>
  <dcterms:modified xsi:type="dcterms:W3CDTF">2025-08-26T01:58:39Z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