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0"/>
          <w:szCs w:val="40"/>
          <w:highlight w:val="none"/>
          <w:lang w:val="en-US" w:eastAsia="zh-CN"/>
        </w:rPr>
      </w:pPr>
      <w:r>
        <w:rPr>
          <w:rFonts w:hint="eastAsia" w:cs="宋体"/>
          <w:b/>
          <w:bCs/>
          <w:color w:val="auto"/>
          <w:sz w:val="40"/>
          <w:szCs w:val="40"/>
          <w:highlight w:val="none"/>
          <w:lang w:val="en-US" w:eastAsia="zh-CN"/>
        </w:rPr>
        <w:t>驻马店市中心医院中心院区4号楼血液净化中心线路改造</w:t>
      </w:r>
    </w:p>
    <w:p w14:paraId="41DF9A39">
      <w:pPr>
        <w:pStyle w:val="20"/>
        <w:bidi w:val="0"/>
        <w:jc w:val="center"/>
        <w:rPr>
          <w:rStyle w:val="44"/>
          <w:rFonts w:hint="eastAsia" w:cs="宋体"/>
          <w:b/>
          <w:bCs/>
          <w:color w:val="auto"/>
          <w:sz w:val="44"/>
          <w:szCs w:val="44"/>
          <w:highlight w:val="none"/>
          <w:lang w:val="en-US" w:eastAsia="zh-CN"/>
        </w:rPr>
      </w:pPr>
    </w:p>
    <w:p w14:paraId="45627B98">
      <w:pPr>
        <w:pStyle w:val="20"/>
        <w:bidi w:val="0"/>
        <w:jc w:val="center"/>
        <w:rPr>
          <w:rStyle w:val="44"/>
          <w:rFonts w:hint="eastAsia" w:cs="宋体"/>
          <w:b/>
          <w:bCs/>
          <w:color w:val="auto"/>
          <w:sz w:val="44"/>
          <w:szCs w:val="44"/>
          <w:highlight w:val="none"/>
          <w:lang w:val="en-US" w:eastAsia="zh-CN"/>
        </w:rPr>
      </w:pPr>
    </w:p>
    <w:p w14:paraId="59B9F094">
      <w:pPr>
        <w:pStyle w:val="20"/>
        <w:bidi w:val="0"/>
        <w:jc w:val="center"/>
        <w:rPr>
          <w:rStyle w:val="44"/>
          <w:rFonts w:hint="eastAsia" w:cs="宋体"/>
          <w:b/>
          <w:bCs/>
          <w:color w:val="auto"/>
          <w:sz w:val="44"/>
          <w:szCs w:val="44"/>
          <w:highlight w:val="none"/>
          <w:lang w:val="en-US" w:eastAsia="zh-CN"/>
        </w:rPr>
      </w:pPr>
    </w:p>
    <w:p w14:paraId="4C662D4F">
      <w:pPr>
        <w:pStyle w:val="20"/>
        <w:bidi w:val="0"/>
        <w:jc w:val="center"/>
        <w:rPr>
          <w:rStyle w:val="44"/>
          <w:rFonts w:hint="eastAsia" w:cs="宋体"/>
          <w:b/>
          <w:bCs/>
          <w:color w:val="auto"/>
          <w:sz w:val="44"/>
          <w:szCs w:val="44"/>
          <w:highlight w:val="none"/>
          <w:lang w:val="en-US" w:eastAsia="zh-CN"/>
        </w:rPr>
      </w:pPr>
    </w:p>
    <w:p w14:paraId="3563DCAF">
      <w:pPr>
        <w:pStyle w:val="20"/>
        <w:bidi w:val="0"/>
        <w:jc w:val="center"/>
        <w:rPr>
          <w:rStyle w:val="44"/>
          <w:rFonts w:hint="eastAsia" w:cs="宋体"/>
          <w:b/>
          <w:bCs/>
          <w:color w:val="auto"/>
          <w:sz w:val="44"/>
          <w:szCs w:val="44"/>
          <w:highlight w:val="none"/>
          <w:lang w:val="en-US" w:eastAsia="zh-CN"/>
        </w:rPr>
      </w:pPr>
    </w:p>
    <w:p w14:paraId="72164425">
      <w:pPr>
        <w:pStyle w:val="20"/>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44E388B3">
      <w:pPr>
        <w:pStyle w:val="20"/>
        <w:bidi w:val="0"/>
        <w:jc w:val="center"/>
        <w:rPr>
          <w:rStyle w:val="44"/>
          <w:rFonts w:hint="eastAsia" w:ascii="宋体" w:hAnsi="宋体" w:eastAsia="宋体" w:cs="宋体"/>
          <w:b/>
          <w:bCs/>
          <w:color w:val="auto"/>
          <w:sz w:val="48"/>
          <w:szCs w:val="48"/>
          <w:highlight w:val="none"/>
        </w:rPr>
      </w:pPr>
    </w:p>
    <w:p w14:paraId="158E927F">
      <w:pPr>
        <w:pStyle w:val="20"/>
        <w:bidi w:val="0"/>
        <w:jc w:val="center"/>
        <w:rPr>
          <w:rStyle w:val="44"/>
          <w:rFonts w:hint="eastAsia" w:ascii="宋体" w:hAnsi="宋体" w:eastAsia="宋体" w:cs="宋体"/>
          <w:b/>
          <w:bCs/>
          <w:color w:val="auto"/>
          <w:sz w:val="48"/>
          <w:szCs w:val="48"/>
          <w:highlight w:val="none"/>
        </w:rPr>
      </w:pPr>
    </w:p>
    <w:p w14:paraId="5ABC8E99">
      <w:pPr>
        <w:pStyle w:val="20"/>
        <w:bidi w:val="0"/>
        <w:jc w:val="center"/>
        <w:rPr>
          <w:rStyle w:val="44"/>
          <w:rFonts w:hint="eastAsia" w:ascii="宋体" w:hAnsi="宋体" w:eastAsia="宋体" w:cs="宋体"/>
          <w:b/>
          <w:bCs/>
          <w:color w:val="auto"/>
          <w:sz w:val="48"/>
          <w:szCs w:val="48"/>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采购代理机构：铭信工程咨询有限公司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8</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6"/>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u w:val="none"/>
          <w:lang w:val="en-US" w:eastAsia="zh-CN"/>
        </w:rPr>
      </w:pPr>
      <w:r>
        <w:rPr>
          <w:rFonts w:hint="eastAsia" w:ascii="宋体" w:hAnsi="宋体" w:cs="宋体"/>
          <w:b/>
          <w:bCs w:val="0"/>
          <w:color w:val="auto"/>
          <w:kern w:val="0"/>
          <w:sz w:val="28"/>
          <w:szCs w:val="28"/>
          <w:highlight w:val="none"/>
          <w:u w:val="none"/>
          <w:lang w:val="en-US" w:eastAsia="zh-CN"/>
        </w:rPr>
        <w:t>驻马店市中心医院中心院区4号楼血液净化中心线路改造</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驻马店市中心医院中心院区4号楼血液净化中心线路改造</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驻马店市中心医院中心院区4号楼血液净化中心线路改造</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5.76万元</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工期：合同签订后20日内。</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16639"/>
      <w:bookmarkStart w:id="5" w:name="_Toc23626"/>
      <w:bookmarkStart w:id="6" w:name="_Toc18607"/>
      <w:bookmarkStart w:id="7" w:name="_Toc27704"/>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64035968">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bookmarkStart w:id="8" w:name="_Toc30643"/>
      <w:bookmarkStart w:id="9" w:name="_Toc9562"/>
      <w:bookmarkStart w:id="10" w:name="_Toc30971"/>
      <w:bookmarkStart w:id="11" w:name="_Toc23395"/>
      <w:bookmarkStart w:id="12" w:name="_Toc7823"/>
      <w:r>
        <w:rPr>
          <w:rFonts w:hint="eastAsia" w:ascii="宋体" w:hAnsi="宋体" w:eastAsia="宋体" w:cs="宋体"/>
          <w:color w:val="auto"/>
          <w:szCs w:val="21"/>
          <w:highlight w:val="none"/>
          <w:shd w:val="clear" w:color="auto" w:fill="FFFFFF"/>
          <w:lang w:val="en-US" w:eastAsia="zh-CN"/>
        </w:rPr>
        <w:t>1、具有独立承担民事责任的能力（提供营业执照或其他证明材料）；</w:t>
      </w:r>
    </w:p>
    <w:p w14:paraId="540CC68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2、具有良好的商业信誉和健全的财务会计制度（提供经审计的2024年度财务报告或者其基本开户银行出具的资信证明）；</w:t>
      </w:r>
    </w:p>
    <w:p w14:paraId="623F0AA2">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7A984D05">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4、具有履行合同所必需的设备和专业技术能力（提供书面承诺函）；</w:t>
      </w:r>
    </w:p>
    <w:p w14:paraId="792DFA28">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5、参加本采购活动前三年内，在经营活动中没有重大违法记录（提供书面承诺函）；</w:t>
      </w:r>
    </w:p>
    <w:p w14:paraId="0E8A4705">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4F73C407">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单位负责人为同一人或者存在直接控股、管理关系的不同供应商，不得参加同一合同项下的磋商（提供在“国家企业信用信息公示系统”中查询的相关材料并加盖公章（需包含公司基本信息、股东信息及股权变更信息）或提供承诺函）。一经发现，将导致投标同时被拒绝。</w:t>
      </w:r>
    </w:p>
    <w:p w14:paraId="6B434EB5">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8、本项目特定资格要求：</w:t>
      </w:r>
    </w:p>
    <w:p w14:paraId="7B2DF8A1">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8.1</w:t>
      </w:r>
      <w:r>
        <w:rPr>
          <w:rFonts w:hint="eastAsia" w:ascii="宋体" w:hAnsi="宋体" w:eastAsia="宋体" w:cs="宋体"/>
          <w:color w:val="auto"/>
          <w:szCs w:val="21"/>
          <w:highlight w:val="none"/>
          <w:shd w:val="clear" w:color="auto" w:fill="FFFFFF"/>
          <w:lang w:val="en-US" w:eastAsia="zh-CN"/>
        </w:rPr>
        <w:t xml:space="preserve">具有建设行政主管部门颁发的电力工程施工总承包叁级（含）以上资质或输变电工程专业承包叁级（含）以上资质或承装类承装（修、试）电力设施许可证肆级（含）以上资质，具有合格有效的企业安全生产许可证；                                              </w:t>
      </w:r>
    </w:p>
    <w:p w14:paraId="1434ED42">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8.2</w:t>
      </w:r>
      <w:r>
        <w:rPr>
          <w:rFonts w:hint="eastAsia" w:ascii="宋体" w:hAnsi="宋体" w:eastAsia="宋体" w:cs="宋体"/>
          <w:color w:val="auto"/>
          <w:szCs w:val="21"/>
          <w:highlight w:val="none"/>
          <w:shd w:val="clear" w:color="auto" w:fill="FFFFFF"/>
          <w:lang w:val="en-US" w:eastAsia="zh-CN"/>
        </w:rPr>
        <w:t>拟派项目经理须具有有效的机电工程专业二级及以上注册建造师资格证书，具备有效的安全生产考核合格证书，且无在建工程项目</w:t>
      </w:r>
      <w:r>
        <w:rPr>
          <w:rFonts w:hint="eastAsia" w:ascii="宋体" w:hAnsi="宋体" w:cs="宋体"/>
          <w:color w:val="auto"/>
          <w:szCs w:val="21"/>
          <w:highlight w:val="none"/>
          <w:shd w:val="clear" w:color="auto" w:fill="FFFFFF"/>
          <w:lang w:val="en-US" w:eastAsia="zh-CN"/>
        </w:rPr>
        <w:t>（提供承诺书）</w:t>
      </w:r>
      <w:r>
        <w:rPr>
          <w:rFonts w:hint="eastAsia" w:ascii="宋体" w:hAnsi="宋体" w:eastAsia="宋体" w:cs="宋体"/>
          <w:color w:val="auto"/>
          <w:szCs w:val="21"/>
          <w:highlight w:val="none"/>
          <w:shd w:val="clear" w:color="auto" w:fill="FFFFFF"/>
          <w:lang w:val="en-US" w:eastAsia="zh-CN"/>
        </w:rPr>
        <w:t>。</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26</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28</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2569739997</w:t>
      </w:r>
      <w:r>
        <w:rPr>
          <w:rFonts w:hint="eastAsia" w:ascii="宋体" w:hAnsi="宋体" w:eastAsia="宋体" w:cs="宋体"/>
          <w:color w:val="auto"/>
          <w:kern w:val="0"/>
          <w:sz w:val="21"/>
          <w:szCs w:val="21"/>
          <w:highlight w:val="none"/>
          <w:shd w:val="clear" w:color="auto" w:fill="FFFFFF"/>
          <w:lang w:val="en-US" w:eastAsia="zh-CN" w:bidi="ar-SA"/>
        </w:rPr>
        <w:t>@qq.com,并标明XX公司XX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0738"/>
      <w:bookmarkStart w:id="14" w:name="_Toc27480"/>
      <w:bookmarkStart w:id="15" w:name="_Toc15111"/>
      <w:bookmarkStart w:id="16" w:name="_Toc25869"/>
      <w:bookmarkStart w:id="17" w:name="_Toc15135"/>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6523"/>
      <w:bookmarkStart w:id="20" w:name="_Toc30918"/>
      <w:bookmarkStart w:id="21" w:name="_Toc29784"/>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31928"/>
      <w:bookmarkStart w:id="26" w:name="_Toc16291"/>
      <w:bookmarkStart w:id="27" w:name="_Toc27370"/>
      <w:bookmarkStart w:id="28" w:name="_Toc360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7D44496B">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采购代理机构：铭信工程咨询有限公司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地址：郑州市郑东新区平安大道201号博雅广场4号楼1006室</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：米先生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18239603376</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8</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25</w:t>
      </w:r>
      <w:bookmarkStart w:id="101" w:name="_GoBack"/>
      <w:bookmarkEnd w:id="101"/>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驻马店市中心医院中心院区4号楼血液净化中心线路改造</w:t>
      </w:r>
    </w:p>
    <w:p w14:paraId="63820FF6">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p w14:paraId="7C557DD1">
      <w:pPr>
        <w:pStyle w:val="16"/>
        <w:jc w:val="center"/>
        <w:rPr>
          <w:rFonts w:hint="default"/>
          <w:lang w:val="en-US" w:eastAsia="zh-CN"/>
        </w:rPr>
      </w:pPr>
      <w:r>
        <w:rPr>
          <w:rFonts w:hint="eastAsia" w:cs="宋体"/>
          <w:b/>
          <w:bCs/>
          <w:color w:val="auto"/>
          <w:kern w:val="2"/>
          <w:sz w:val="21"/>
          <w:szCs w:val="24"/>
          <w:highlight w:val="none"/>
          <w:lang w:val="en-US" w:eastAsia="zh-CN" w:bidi="ar-SA"/>
        </w:rPr>
        <w:t>清单另行提供</w:t>
      </w:r>
    </w:p>
    <w:p w14:paraId="5C70B08A">
      <w:pPr>
        <w:jc w:val="center"/>
        <w:rPr>
          <w:rFonts w:hint="eastAsia" w:ascii="宋体" w:hAnsi="宋体" w:eastAsia="宋体" w:cs="宋体"/>
          <w:b/>
          <w:bCs/>
          <w:color w:val="auto"/>
          <w:sz w:val="30"/>
          <w:szCs w:val="30"/>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718AF39E">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5"/>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合同签订后20日内。</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1年。</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以合同约定为准。</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15"/>
              <w:ind w:left="0"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符合国家有关法律法规及行业标准要求。</w:t>
            </w:r>
          </w:p>
        </w:tc>
      </w:tr>
      <w:tr w14:paraId="3A14F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6FD684">
            <w:pPr>
              <w:pStyle w:val="15"/>
              <w:ind w:left="0"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3EDE5585">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质保期内，因人为因素出现故障外，供应商对工程出现的质量及安全问题负责处理解决并承担一切费用。</w:t>
            </w:r>
          </w:p>
        </w:tc>
      </w:tr>
    </w:tbl>
    <w:p w14:paraId="757EC5D5">
      <w:pPr>
        <w:pStyle w:val="23"/>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7817"/>
            <w:bookmarkStart w:id="37" w:name="_Toc30169"/>
            <w:bookmarkStart w:id="38" w:name="_Toc9566"/>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驻马店市中心医院中心院区4号楼血液净化中心线路改造</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8320"/>
            <w:bookmarkStart w:id="40" w:name="_Toc23424"/>
            <w:bookmarkStart w:id="41" w:name="_Toc2940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3148"/>
            <w:bookmarkStart w:id="44"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4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5.76</w:t>
            </w:r>
            <w:r>
              <w:rPr>
                <w:rFonts w:hint="eastAsia" w:ascii="宋体" w:hAnsi="宋体" w:cs="宋体"/>
                <w:color w:val="auto"/>
                <w:highlight w:val="none"/>
                <w:lang w:val="en-US" w:eastAsia="zh-CN"/>
              </w:rPr>
              <w:t>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5.76</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5A74E615">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3.3招标控制价及工程量清单的编制费用由成交方支付。</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eastAsia="宋体" w:cs="宋体"/>
                <w:color w:val="auto"/>
                <w:kern w:val="0"/>
                <w:szCs w:val="21"/>
                <w:highlight w:val="none"/>
                <w:lang w:val="en-US" w:eastAsia="zh-CN"/>
              </w:rPr>
              <w:t>代理服务费不得高于</w:t>
            </w:r>
            <w:r>
              <w:rPr>
                <w:rFonts w:hint="eastAsia" w:ascii="宋体" w:hAnsi="宋体" w:cs="宋体"/>
                <w:color w:val="auto"/>
                <w:kern w:val="0"/>
                <w:szCs w:val="21"/>
                <w:highlight w:val="none"/>
                <w:lang w:val="en-US" w:eastAsia="zh-CN"/>
              </w:rPr>
              <w:t>《招代理机构服务管理暂行办法》（计价格[2002]1980号）相应标准：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cs="宋体"/>
          <w:color w:val="auto"/>
          <w:kern w:val="0"/>
          <w:szCs w:val="21"/>
          <w:highlight w:val="none"/>
          <w:lang w:val="en-US" w:eastAsia="zh-CN"/>
        </w:rPr>
        <w:t>工程</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w:t>
      </w:r>
      <w:r>
        <w:rPr>
          <w:rFonts w:hint="eastAsia" w:ascii="宋体" w:hAnsi="宋体" w:cs="宋体"/>
          <w:color w:val="auto"/>
          <w:kern w:val="0"/>
          <w:szCs w:val="21"/>
          <w:highlight w:val="none"/>
          <w:lang w:val="en-US" w:eastAsia="zh-CN"/>
        </w:rPr>
        <w:t>工程</w:t>
      </w:r>
      <w:r>
        <w:rPr>
          <w:rFonts w:hint="eastAsia" w:ascii="宋体" w:hAnsi="宋体" w:eastAsia="宋体" w:cs="宋体"/>
          <w:color w:val="auto"/>
          <w:kern w:val="0"/>
          <w:szCs w:val="21"/>
          <w:highlight w:val="none"/>
          <w:lang w:val="en-US" w:eastAsia="zh-CN"/>
        </w:rPr>
        <w:t>”系指供应商按采购文件规定向采购人提供的一切设备、机械、仪器仪表、备品备件、工具、手册及其它有关技术资料和材料。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5.76万元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5.76万元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2CC3316">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03DCF48A">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 xml:space="preserve">4.8.1具有建设行政主管部门颁发的电力工程施工总承包叁级（含）以上资质或输变电工程专业承包叁级（含）以上资质或承装类承装（修、试）电力设施许可证肆级（含）以上资质，具有合格有效的企业安全生产许可证；                                              </w:t>
      </w:r>
    </w:p>
    <w:p w14:paraId="5CA6B413">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4.8.2拟派项目经理须具有有效的机电工程专业二级及以上注册建造师资格证书，具备有效的安全生产考核合格证书，且无在建工程项目</w:t>
      </w:r>
      <w:r>
        <w:rPr>
          <w:rFonts w:hint="eastAsia" w:ascii="宋体" w:hAnsi="宋体" w:cs="宋体"/>
          <w:color w:val="auto"/>
          <w:szCs w:val="21"/>
          <w:highlight w:val="none"/>
          <w:shd w:val="clear" w:color="auto" w:fill="FFFFFF"/>
          <w:lang w:val="en-US" w:eastAsia="zh-CN"/>
        </w:rPr>
        <w:t>（提供承诺书）</w:t>
      </w:r>
      <w:r>
        <w:rPr>
          <w:rFonts w:hint="eastAsia" w:ascii="宋体" w:hAnsi="宋体" w:eastAsia="宋体" w:cs="宋体"/>
          <w:color w:val="auto"/>
          <w:szCs w:val="21"/>
          <w:highlight w:val="none"/>
          <w:shd w:val="clear" w:color="auto" w:fill="FFFFFF"/>
          <w:lang w:val="en-US" w:eastAsia="zh-CN"/>
        </w:rPr>
        <w:t>。</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项目预算书</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施工组织设计</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工期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工期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49"/>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49"/>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49"/>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0215255A">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施工方案与</w:t>
            </w:r>
          </w:p>
          <w:p w14:paraId="5B9D698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技术措施</w:t>
            </w:r>
          </w:p>
          <w:p w14:paraId="03FDE52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(10分)</w:t>
            </w:r>
          </w:p>
        </w:tc>
        <w:tc>
          <w:tcPr>
            <w:tcW w:w="6770" w:type="dxa"/>
            <w:noWrap w:val="0"/>
            <w:vAlign w:val="center"/>
          </w:tcPr>
          <w:p w14:paraId="6C522E43">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磋商小组依据各供应商磋商响应文件中施工方案与技术措施进行评分。</w:t>
            </w:r>
          </w:p>
          <w:p w14:paraId="54040EC2">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1.施工方案（含工程特点、施工重点与难点及施工工序和施工方法）总体安排合理，运用先进、合理的施工工艺、施工机械；对施工难点有先进和合理的建议。）（</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分）</w:t>
            </w:r>
          </w:p>
          <w:p w14:paraId="0EBEEA75">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2.施工方案（含工程特点、施工重点与难点及施工工序和施工方法）总体安排合理，施工工艺、施工机械合理、可行；对施工难点有合理的建议。）（</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分）</w:t>
            </w:r>
          </w:p>
          <w:p w14:paraId="0ADF480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3.施工方案与技术措施基本完整。（</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分）</w:t>
            </w:r>
          </w:p>
          <w:p w14:paraId="3430A569">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4.未提供的，该项不得分。</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413CF2DE">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质量、安全、文明施工、环境保护管理体系与措施</w:t>
            </w:r>
          </w:p>
          <w:p w14:paraId="28D6A565">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（10分）</w:t>
            </w:r>
          </w:p>
        </w:tc>
        <w:tc>
          <w:tcPr>
            <w:tcW w:w="6770" w:type="dxa"/>
            <w:noWrap w:val="0"/>
            <w:vAlign w:val="center"/>
          </w:tcPr>
          <w:p w14:paraId="6A36103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磋商小组依据各供应商磋商响应文件中质量、安全、文明施工、环境保护管理体系与措施进行评分。</w:t>
            </w:r>
          </w:p>
          <w:p w14:paraId="0D6651D3">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对项目提出先进、可行、具体的保证措施。工程质量保证措施完整得力、经济、安全、切实可行、针对性强；根据工程特点制定相应的安全管理措施科学合理、先进可行；创安全文明标准化工地目标明确，有针对项目实际情况，科学可行的创建计划和符合相关标准、规范、规程的创建保证措施和安全文明措施费用投入使用计划，现场施工区、生活区、办公区等设置科学规范，符合有关文明施工、环境卫生的规定，防治方案科学、先进。（10分）</w:t>
            </w:r>
          </w:p>
          <w:p w14:paraId="346F65E2">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工程质量保证措施经济、安全、基本可行、针对性较强；根据工程特点制定相应的安全管理措施基本合理、措施基本可行。有安全文明标准化工地创建目标计划和创建措施，有安全文明措施费用投入使用计划，现场施工区、生活区、办公区等设置符合有关文明施工、环境卫生的规定，防治方案基本合理。（7分）</w:t>
            </w:r>
          </w:p>
          <w:p w14:paraId="59ECFB3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3.工程质量保证措施经济、安全、针对性一般；根据工程特点制定相应的安全管理措施合理性一般、措施可行性一般。文明施工、环境保护管理体系措施一般。（4分）</w:t>
            </w:r>
          </w:p>
          <w:p w14:paraId="379721FE">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4.未提供的，该项不得分。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758166D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工程进度</w:t>
            </w:r>
          </w:p>
          <w:p w14:paraId="543DA28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计划与措施</w:t>
            </w:r>
          </w:p>
          <w:p w14:paraId="263E885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分）</w:t>
            </w:r>
          </w:p>
        </w:tc>
        <w:tc>
          <w:tcPr>
            <w:tcW w:w="6770" w:type="dxa"/>
            <w:noWrap w:val="0"/>
            <w:vAlign w:val="center"/>
          </w:tcPr>
          <w:p w14:paraId="0DC2EBF6">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磋商小组依据各供应商磋商响应文件中工程进度计划与措施进行评分。</w:t>
            </w:r>
          </w:p>
          <w:p w14:paraId="07F2393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1.工期承诺满足且优于磋商文件要求，工期保证措施合理且有针对性强，有具体的违约责任承诺。（</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分）</w:t>
            </w:r>
          </w:p>
          <w:p w14:paraId="69BC07CE">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2.工期承诺满足磋商文件要求，工期保证措施合理，有具体的违约责任承诺。（</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分）</w:t>
            </w:r>
          </w:p>
          <w:p w14:paraId="16096E51">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3.工期承诺基本满足磋商文件要求，工期保证措施基本合理，有具体的违约责任承诺。</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39D9D3AA">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4.未提供</w:t>
            </w:r>
            <w:r>
              <w:rPr>
                <w:rFonts w:hint="eastAsia" w:ascii="宋体" w:hAnsi="宋体" w:eastAsia="宋体" w:cs="宋体"/>
                <w:b w:val="0"/>
                <w:bCs w:val="0"/>
                <w:color w:val="auto"/>
                <w:sz w:val="21"/>
                <w:szCs w:val="21"/>
                <w:highlight w:val="none"/>
                <w:lang w:val="en-US" w:eastAsia="zh-CN"/>
              </w:rPr>
              <w:t>的，该项不得分</w:t>
            </w:r>
            <w:r>
              <w:rPr>
                <w:rFonts w:hint="eastAsia" w:ascii="宋体" w:hAnsi="宋体" w:eastAsia="宋体" w:cs="宋体"/>
                <w:b w:val="0"/>
                <w:bCs w:val="0"/>
                <w:color w:val="auto"/>
                <w:sz w:val="21"/>
                <w:szCs w:val="21"/>
                <w:highlight w:val="none"/>
                <w:lang w:eastAsia="zh-CN"/>
              </w:rPr>
              <w:t>。</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2E48753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人员配置方案(10 分)</w:t>
            </w:r>
          </w:p>
        </w:tc>
        <w:tc>
          <w:tcPr>
            <w:tcW w:w="6770" w:type="dxa"/>
            <w:noWrap w:val="0"/>
            <w:vAlign w:val="center"/>
          </w:tcPr>
          <w:p w14:paraId="31CAEEB1">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供应商提供人员配置方案进行评分。</w:t>
            </w:r>
          </w:p>
          <w:p w14:paraId="047F1A0E">
            <w:pPr>
              <w:keepNext w:val="0"/>
              <w:keepLines w:val="0"/>
              <w:pageBreakBefore w:val="0"/>
              <w:numPr>
                <w:ilvl w:val="0"/>
                <w:numId w:val="3"/>
              </w:numP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人员配备合理、人员岗位安排分配计划明确，专业技术能力强、经验丰富且持证上岗，完全满足采购需求的得 10分</w:t>
            </w:r>
            <w:r>
              <w:rPr>
                <w:rFonts w:hint="eastAsia" w:ascii="宋体" w:hAnsi="宋体" w:cs="宋体"/>
                <w:b w:val="0"/>
                <w:bCs w:val="0"/>
                <w:color w:val="auto"/>
                <w:sz w:val="21"/>
                <w:szCs w:val="21"/>
                <w:highlight w:val="none"/>
                <w:lang w:val="en-US" w:eastAsia="zh-CN"/>
              </w:rPr>
              <w:t>；</w:t>
            </w:r>
          </w:p>
          <w:p w14:paraId="213B09A6">
            <w:pPr>
              <w:keepNext w:val="0"/>
              <w:keepLines w:val="0"/>
              <w:pageBreakBefore w:val="0"/>
              <w:numPr>
                <w:ilvl w:val="0"/>
                <w:numId w:val="3"/>
              </w:numP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人员配备基本合理，人员岗位安排分配计划基本明确，专业技术能力及工作经验基本满足采购需求的得7分</w:t>
            </w:r>
            <w:r>
              <w:rPr>
                <w:rFonts w:hint="eastAsia" w:ascii="宋体" w:hAnsi="宋体" w:cs="宋体"/>
                <w:b w:val="0"/>
                <w:bCs w:val="0"/>
                <w:color w:val="auto"/>
                <w:sz w:val="21"/>
                <w:szCs w:val="21"/>
                <w:highlight w:val="none"/>
                <w:lang w:val="en-US" w:eastAsia="zh-CN"/>
              </w:rPr>
              <w:t>；</w:t>
            </w:r>
          </w:p>
          <w:p w14:paraId="49157316">
            <w:pPr>
              <w:keepNext w:val="0"/>
              <w:keepLines w:val="0"/>
              <w:pageBreakBefore w:val="0"/>
              <w:numPr>
                <w:ilvl w:val="0"/>
                <w:numId w:val="3"/>
              </w:numP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人员配备不合理，人员岗位安排分配及专业能力有待提升的得4分</w:t>
            </w:r>
            <w:r>
              <w:rPr>
                <w:rFonts w:hint="eastAsia" w:ascii="宋体" w:hAnsi="宋体" w:cs="宋体"/>
                <w:b w:val="0"/>
                <w:bCs w:val="0"/>
                <w:color w:val="auto"/>
                <w:sz w:val="21"/>
                <w:szCs w:val="21"/>
                <w:highlight w:val="none"/>
                <w:lang w:val="en-US" w:eastAsia="zh-CN"/>
              </w:rPr>
              <w:t>；</w:t>
            </w:r>
          </w:p>
          <w:p w14:paraId="411756EE">
            <w:pPr>
              <w:keepNext w:val="0"/>
              <w:keepLines w:val="0"/>
              <w:pageBreakBefore w:val="0"/>
              <w:numPr>
                <w:ilvl w:val="0"/>
                <w:numId w:val="3"/>
              </w:numP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无法满足采购需求或缺项的得0分。</w:t>
            </w:r>
          </w:p>
          <w:p w14:paraId="04C9F55E">
            <w:pPr>
              <w:keepNext w:val="0"/>
              <w:keepLines w:val="0"/>
              <w:pageBreakBefore w:val="0"/>
              <w:numPr>
                <w:ilvl w:val="0"/>
                <w:numId w:val="0"/>
              </w:numPr>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注:提供人员清单及以上所需证明材料。</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40EFBFC7">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风险管理措施(</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 xml:space="preserve">分) </w:t>
            </w:r>
          </w:p>
        </w:tc>
        <w:tc>
          <w:tcPr>
            <w:tcW w:w="6770" w:type="dxa"/>
            <w:noWrap w:val="0"/>
            <w:vAlign w:val="center"/>
          </w:tcPr>
          <w:p w14:paraId="0F3A18A9">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磋商小组依据各供应商磋商响应文件中风险管理措施进行评分。</w:t>
            </w:r>
          </w:p>
          <w:p w14:paraId="45465345">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1.风险防控管理措施齐全,风险预控符合规范要求,风险控制要点定位准确,各阶段风险控制及应急措施得力。（</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分）</w:t>
            </w:r>
          </w:p>
          <w:p w14:paraId="639213D5">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2.风险防控管理措施基本齐全,风险预控基本符合规范要求,风险控制要点定位基本准确,各阶段风险控制及应急措施基本得力。（</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分）</w:t>
            </w:r>
          </w:p>
          <w:p w14:paraId="78F00E99">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3.风险防控管理措施不齐全,风险预控基本符合规范要求,风险控制要点定位基本准确,各阶段风险控制及应急措施存在漏洞。</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44924392">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4.未提供</w:t>
            </w:r>
            <w:r>
              <w:rPr>
                <w:rFonts w:hint="eastAsia" w:ascii="宋体" w:hAnsi="宋体" w:eastAsia="宋体" w:cs="宋体"/>
                <w:b w:val="0"/>
                <w:bCs w:val="0"/>
                <w:color w:val="auto"/>
                <w:sz w:val="21"/>
                <w:szCs w:val="21"/>
                <w:highlight w:val="none"/>
                <w:lang w:val="en-US" w:eastAsia="zh-CN"/>
              </w:rPr>
              <w:t>的，该项不得分</w:t>
            </w:r>
            <w:r>
              <w:rPr>
                <w:rFonts w:hint="eastAsia" w:ascii="宋体" w:hAnsi="宋体" w:eastAsia="宋体" w:cs="宋体"/>
                <w:b w:val="0"/>
                <w:bCs w:val="0"/>
                <w:color w:val="auto"/>
                <w:sz w:val="21"/>
                <w:szCs w:val="21"/>
                <w:highlight w:val="none"/>
                <w:lang w:eastAsia="zh-CN"/>
              </w:rPr>
              <w:t>。</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076DD506">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30101BC">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质保期在满足采购文件的基础上，每增加半年加2分,最多加4分（出具相关服务承诺书）。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2.类似业绩（6分）</w:t>
            </w:r>
          </w:p>
        </w:tc>
        <w:tc>
          <w:tcPr>
            <w:tcW w:w="6770" w:type="dxa"/>
            <w:noWrap w:val="0"/>
            <w:vAlign w:val="center"/>
          </w:tcPr>
          <w:p w14:paraId="274336C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自2022年01月01日以来具有的类似项目(以合同文件为准），每提供一份得2分，最多得6分。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kinsoku/>
              <w:wordWrap/>
              <w:overflowPunct/>
              <w:topLinePunct w:val="0"/>
              <w:bidi w:val="0"/>
              <w:snapToGrid w:val="0"/>
              <w:spacing w:line="320" w:lineRule="exact"/>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3.优惠承诺（2分）</w:t>
            </w:r>
          </w:p>
        </w:tc>
        <w:tc>
          <w:tcPr>
            <w:tcW w:w="6770" w:type="dxa"/>
            <w:noWrap w:val="0"/>
            <w:vAlign w:val="center"/>
          </w:tcPr>
          <w:p w14:paraId="6A730A71">
            <w:pPr>
              <w:keepNext w:val="0"/>
              <w:keepLines w:val="0"/>
              <w:pageBreakBefore w:val="0"/>
              <w:kinsoku/>
              <w:wordWrap/>
              <w:overflowPunct/>
              <w:topLinePunct w:val="0"/>
              <w:bidi w:val="0"/>
              <w:snapToGrid w:val="0"/>
              <w:spacing w:line="320" w:lineRule="exact"/>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根据供应商在满足采购文件要求的基础上另外提出的优惠承诺进行评比：每提供一项对采购人有利的、切实可行的实质性优惠承诺得1分，最多得2分。缺项得0分。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4.售后服务（8分）</w:t>
            </w:r>
          </w:p>
        </w:tc>
        <w:tc>
          <w:tcPr>
            <w:tcW w:w="6770" w:type="dxa"/>
            <w:noWrap w:val="0"/>
            <w:vAlign w:val="center"/>
          </w:tcPr>
          <w:p w14:paraId="151140FA">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color w:val="auto"/>
                <w:highlight w:val="none"/>
                <w:lang w:val="en-US" w:eastAsia="zh-CN"/>
              </w:rPr>
              <w:t>根据供应商工程质保期内、外的优惠及服务承诺综合对比</w:t>
            </w:r>
            <w:r>
              <w:rPr>
                <w:rFonts w:hint="eastAsia" w:ascii="宋体" w:hAnsi="宋体" w:eastAsia="宋体" w:cs="宋体"/>
                <w:b w:val="0"/>
                <w:bCs w:val="0"/>
                <w:color w:val="auto"/>
                <w:sz w:val="21"/>
                <w:szCs w:val="21"/>
                <w:highlight w:val="none"/>
                <w:lang w:eastAsia="zh-CN"/>
              </w:rPr>
              <w:t>。</w:t>
            </w:r>
          </w:p>
          <w:p w14:paraId="130414C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）承诺科学、合理、切实可行得</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 xml:space="preserve">分； </w:t>
            </w:r>
          </w:p>
          <w:p w14:paraId="1C054B1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）承诺基本科学、基本合理、基本可行得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分；</w:t>
            </w:r>
          </w:p>
          <w:p w14:paraId="2F59B854">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）基本合理，可行性差的得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分；</w:t>
            </w:r>
          </w:p>
          <w:p w14:paraId="44312F57">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（4）未承诺的，该项不得分。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D2A9B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326786897"/>
      <w:bookmarkStart w:id="53" w:name="_Toc256519703"/>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cs="宋体"/>
          <w:color w:val="auto"/>
          <w:sz w:val="24"/>
          <w:highlight w:val="none"/>
          <w:lang w:val="en-US" w:eastAsia="zh-CN"/>
        </w:rPr>
        <w:t>项目预算书</w:t>
      </w:r>
      <w:r>
        <w:rPr>
          <w:rFonts w:hint="eastAsia" w:ascii="宋体" w:hAnsi="宋体" w:eastAsia="宋体" w:cs="宋体"/>
          <w:color w:val="auto"/>
          <w:sz w:val="24"/>
          <w:highlight w:val="none"/>
          <w:lang w:val="en-US" w:eastAsia="zh-CN"/>
        </w:rPr>
        <w:t>（格式）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bookmarkEnd w:id="61"/>
      <w:r>
        <w:rPr>
          <w:rFonts w:hint="eastAsia" w:ascii="宋体" w:hAnsi="宋体" w:cs="宋体"/>
          <w:color w:val="auto"/>
          <w:sz w:val="24"/>
          <w:highlight w:val="none"/>
          <w:lang w:eastAsia="zh-CN"/>
        </w:rPr>
        <w:t>施工组织设计</w:t>
      </w:r>
      <w:r>
        <w:rPr>
          <w:rFonts w:hint="eastAsia" w:ascii="宋体" w:hAnsi="宋体" w:eastAsia="宋体" w:cs="宋体"/>
          <w:color w:val="auto"/>
          <w:sz w:val="24"/>
          <w:highlight w:val="none"/>
          <w:lang w:val="en-US" w:eastAsia="zh-CN"/>
        </w:rPr>
        <w:t>（格式）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9"/>
        <w:rPr>
          <w:rFonts w:hint="eastAsia" w:ascii="宋体" w:hAnsi="宋体" w:eastAsia="宋体" w:cs="宋体"/>
          <w:b/>
          <w:bCs/>
          <w:color w:val="auto"/>
          <w:highlight w:val="none"/>
        </w:rPr>
      </w:pPr>
    </w:p>
    <w:p w14:paraId="7C048156">
      <w:pPr>
        <w:pStyle w:val="49"/>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5"/>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9"/>
        <w:spacing w:line="360" w:lineRule="auto"/>
        <w:rPr>
          <w:rFonts w:hint="eastAsia" w:ascii="宋体" w:hAnsi="宋体" w:eastAsia="宋体" w:cs="宋体"/>
          <w:color w:val="auto"/>
          <w:highlight w:val="none"/>
        </w:rPr>
      </w:pPr>
    </w:p>
    <w:p w14:paraId="51E48B65">
      <w:pPr>
        <w:pStyle w:val="49"/>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项目预算书</w:t>
      </w:r>
      <w:r>
        <w:rPr>
          <w:rFonts w:hint="eastAsia" w:ascii="宋体" w:hAnsi="宋体" w:eastAsia="宋体" w:cs="宋体"/>
          <w:color w:val="auto"/>
          <w:kern w:val="0"/>
          <w:szCs w:val="21"/>
          <w:highlight w:val="none"/>
        </w:rPr>
        <w:t>。</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施工组织设计</w:t>
      </w:r>
      <w:r>
        <w:rPr>
          <w:rFonts w:hint="eastAsia" w:ascii="宋体" w:hAnsi="宋体" w:eastAsia="宋体" w:cs="宋体"/>
          <w:color w:val="auto"/>
          <w:kern w:val="0"/>
          <w:szCs w:val="21"/>
          <w:highlight w:val="none"/>
        </w:rPr>
        <w:t>。</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w:t>
            </w:r>
            <w:r>
              <w:rPr>
                <w:rFonts w:hint="eastAsia" w:ascii="宋体" w:hAnsi="宋体" w:cs="宋体"/>
                <w:color w:val="auto"/>
                <w:szCs w:val="21"/>
                <w:highlight w:val="none"/>
                <w:lang w:val="en-US" w:eastAsia="zh-CN"/>
              </w:rPr>
              <w:t>项目预算书</w:t>
            </w:r>
            <w:r>
              <w:rPr>
                <w:rFonts w:hint="eastAsia" w:ascii="宋体" w:hAnsi="宋体" w:eastAsia="宋体" w:cs="宋体"/>
                <w:color w:val="auto"/>
                <w:szCs w:val="21"/>
                <w:highlight w:val="none"/>
                <w:lang w:val="en-US" w:eastAsia="zh-CN"/>
              </w:rPr>
              <w:t>）</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20877"/>
      <w:bookmarkStart w:id="73"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9950"/>
      <w:bookmarkStart w:id="77" w:name="_Toc133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4984"/>
      <w:bookmarkStart w:id="79"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项目预算书（格式）</w:t>
      </w:r>
    </w:p>
    <w:p w14:paraId="48F290DC">
      <w:pPr>
        <w:pStyle w:val="32"/>
        <w:ind w:firstLine="3990" w:firstLineChars="1900"/>
        <w:rPr>
          <w:rFonts w:hint="eastAsia" w:ascii="宋体" w:hAnsi="宋体" w:eastAsia="宋体" w:cs="宋体"/>
          <w:color w:val="auto"/>
          <w:sz w:val="21"/>
          <w:szCs w:val="21"/>
          <w:highlight w:val="none"/>
          <w:lang w:eastAsia="zh-CN"/>
        </w:rPr>
      </w:pPr>
    </w:p>
    <w:p w14:paraId="4D3B2420">
      <w:pPr>
        <w:pStyle w:val="16"/>
        <w:rPr>
          <w:rFonts w:hint="eastAsia" w:ascii="宋体" w:hAnsi="宋体" w:eastAsia="宋体" w:cs="宋体"/>
          <w:color w:val="auto"/>
          <w:sz w:val="21"/>
          <w:szCs w:val="21"/>
          <w:highlight w:val="none"/>
          <w:lang w:eastAsia="zh-CN"/>
        </w:rPr>
      </w:pPr>
    </w:p>
    <w:p w14:paraId="49FA7585">
      <w:pPr>
        <w:pStyle w:val="16"/>
        <w:rPr>
          <w:rFonts w:hint="eastAsia" w:ascii="宋体" w:hAnsi="宋体" w:eastAsia="宋体" w:cs="宋体"/>
          <w:color w:val="auto"/>
          <w:sz w:val="21"/>
          <w:szCs w:val="21"/>
          <w:highlight w:val="none"/>
          <w:lang w:eastAsia="zh-CN"/>
        </w:rPr>
      </w:pPr>
    </w:p>
    <w:p w14:paraId="56BC2F72">
      <w:pPr>
        <w:jc w:val="center"/>
        <w:rPr>
          <w:color w:val="auto"/>
          <w:sz w:val="24"/>
          <w:szCs w:val="24"/>
          <w:lang w:eastAsia="zh-CN"/>
        </w:rPr>
      </w:pPr>
      <w:r>
        <w:rPr>
          <w:rFonts w:hint="eastAsia"/>
          <w:b/>
          <w:bCs/>
          <w:color w:val="auto"/>
          <w:sz w:val="24"/>
          <w:szCs w:val="24"/>
          <w:lang w:val="zh-CN" w:eastAsia="zh-CN"/>
        </w:rPr>
        <w:t>（格式自拟）</w:t>
      </w:r>
    </w:p>
    <w:p w14:paraId="3340ACC9">
      <w:pPr>
        <w:pStyle w:val="16"/>
        <w:rPr>
          <w:rFonts w:hint="eastAsia" w:ascii="宋体" w:hAnsi="宋体" w:eastAsia="宋体" w:cs="宋体"/>
          <w:color w:val="auto"/>
          <w:sz w:val="21"/>
          <w:szCs w:val="21"/>
          <w:highlight w:val="none"/>
          <w:lang w:eastAsia="zh-CN"/>
        </w:rPr>
      </w:pPr>
    </w:p>
    <w:p w14:paraId="556C92D7">
      <w:pPr>
        <w:pStyle w:val="16"/>
        <w:rPr>
          <w:rFonts w:hint="eastAsia" w:ascii="宋体" w:hAnsi="宋体" w:eastAsia="宋体" w:cs="宋体"/>
          <w:color w:val="auto"/>
          <w:sz w:val="21"/>
          <w:szCs w:val="21"/>
          <w:highlight w:val="none"/>
          <w:lang w:eastAsia="zh-CN"/>
        </w:rPr>
      </w:pPr>
    </w:p>
    <w:p w14:paraId="0A53840D">
      <w:pPr>
        <w:pStyle w:val="16"/>
        <w:rPr>
          <w:rFonts w:hint="eastAsia" w:ascii="宋体" w:hAnsi="宋体" w:eastAsia="宋体" w:cs="宋体"/>
          <w:color w:val="auto"/>
          <w:sz w:val="21"/>
          <w:szCs w:val="21"/>
          <w:highlight w:val="none"/>
          <w:lang w:eastAsia="zh-CN"/>
        </w:rPr>
      </w:pPr>
    </w:p>
    <w:p w14:paraId="15F5C757">
      <w:pPr>
        <w:pStyle w:val="16"/>
        <w:rPr>
          <w:rFonts w:hint="eastAsia" w:ascii="宋体" w:hAnsi="宋体" w:eastAsia="宋体" w:cs="宋体"/>
          <w:color w:val="auto"/>
          <w:sz w:val="21"/>
          <w:szCs w:val="21"/>
          <w:highlight w:val="none"/>
          <w:lang w:eastAsia="zh-CN"/>
        </w:rPr>
      </w:pPr>
    </w:p>
    <w:p w14:paraId="39894D71">
      <w:pPr>
        <w:pStyle w:val="16"/>
        <w:rPr>
          <w:rFonts w:hint="eastAsia" w:ascii="宋体" w:hAnsi="宋体" w:eastAsia="宋体" w:cs="宋体"/>
          <w:color w:val="auto"/>
          <w:sz w:val="21"/>
          <w:szCs w:val="21"/>
          <w:highlight w:val="none"/>
          <w:lang w:eastAsia="zh-CN"/>
        </w:rPr>
      </w:pP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3"/>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568848E2">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15804"/>
      <w:bookmarkStart w:id="81" w:name="_Toc226"/>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施工组织设计（格式）</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6320661B">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5A8F14CF">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0E8A4B7C">
      <w:pPr>
        <w:widowControl/>
        <w:wordWrap w:val="0"/>
        <w:spacing w:line="460" w:lineRule="exact"/>
        <w:ind w:firstLine="482" w:firstLineChars="200"/>
        <w:jc w:val="center"/>
        <w:rPr>
          <w:rFonts w:hint="eastAsia"/>
          <w:b/>
          <w:bCs/>
          <w:color w:val="auto"/>
          <w:sz w:val="24"/>
          <w:szCs w:val="24"/>
          <w:lang w:val="zh-CN" w:eastAsia="zh-CN"/>
        </w:rPr>
      </w:pPr>
      <w:r>
        <w:rPr>
          <w:rFonts w:hint="eastAsia"/>
          <w:b/>
          <w:bCs/>
          <w:color w:val="auto"/>
          <w:sz w:val="24"/>
          <w:szCs w:val="24"/>
          <w:lang w:val="zh-CN" w:eastAsia="zh-CN"/>
        </w:rPr>
        <w:t>（格式自拟）</w:t>
      </w:r>
    </w:p>
    <w:p w14:paraId="6AD1A415">
      <w:pPr>
        <w:widowControl/>
        <w:wordWrap w:val="0"/>
        <w:spacing w:line="460" w:lineRule="exact"/>
        <w:ind w:firstLine="482" w:firstLineChars="200"/>
        <w:jc w:val="center"/>
        <w:rPr>
          <w:rFonts w:hint="eastAsia"/>
          <w:b/>
          <w:bCs/>
          <w:color w:val="auto"/>
          <w:sz w:val="24"/>
          <w:szCs w:val="24"/>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1727F8C">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9960"/>
      <w:bookmarkStart w:id="83" w:name="_Toc20420"/>
      <w:bookmarkStart w:id="84" w:name="_Toc24168"/>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3"/>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7F9203F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6DC2849E">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0472149B">
            <w:pPr>
              <w:pStyle w:val="15"/>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0BB9001">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6182A3E4">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C43BD33">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6FFBDC6">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31526"/>
      <w:bookmarkStart w:id="86" w:name="_Toc28621"/>
      <w:r>
        <w:rPr>
          <w:rFonts w:hint="eastAsia" w:ascii="宋体" w:hAnsi="宋体" w:eastAsia="宋体" w:cs="宋体"/>
          <w:b/>
          <w:color w:val="auto"/>
          <w:sz w:val="28"/>
          <w:highlight w:val="none"/>
        </w:rPr>
        <w:br w:type="page"/>
      </w:r>
    </w:p>
    <w:p w14:paraId="40257B96">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3976"/>
      <w:bookmarkStart w:id="89" w:name="_Toc12939"/>
      <w:bookmarkStart w:id="90" w:name="_Toc3051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24693"/>
      <w:bookmarkStart w:id="92" w:name="_Toc18105"/>
      <w:bookmarkStart w:id="93" w:name="_Toc3342"/>
      <w:r>
        <w:rPr>
          <w:rFonts w:hint="eastAsia" w:ascii="宋体" w:hAnsi="宋体" w:eastAsia="宋体" w:cs="宋体"/>
          <w:color w:val="auto"/>
          <w:sz w:val="28"/>
          <w:szCs w:val="28"/>
          <w:highlight w:val="none"/>
          <w:lang w:val="en-US" w:eastAsia="zh-CN"/>
        </w:rPr>
        <w:t>附件9          证明文件</w:t>
      </w:r>
      <w:bookmarkEnd w:id="91"/>
      <w:bookmarkEnd w:id="92"/>
      <w:bookmarkEnd w:id="93"/>
    </w:p>
    <w:p w14:paraId="5EF76FA6">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94" w:name="_Toc17966"/>
      <w:r>
        <w:rPr>
          <w:rFonts w:hint="eastAsia" w:ascii="宋体" w:hAnsi="宋体" w:eastAsia="宋体" w:cs="宋体"/>
          <w:b/>
          <w:bCs w:val="0"/>
          <w:color w:val="auto"/>
          <w:sz w:val="21"/>
          <w:szCs w:val="21"/>
          <w:highlight w:val="none"/>
          <w:lang w:val="en-US" w:eastAsia="zh-CN"/>
        </w:rPr>
        <w:t>评分标准中需提供的证明材料</w:t>
      </w:r>
    </w:p>
    <w:p w14:paraId="5D58AFFF">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3726"/>
      <w:bookmarkStart w:id="96" w:name="_Toc12888"/>
      <w:bookmarkStart w:id="97" w:name="_Toc16083"/>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pPr>
    </w:p>
    <w:p w14:paraId="7C0BDA51">
      <w:pPr>
        <w:pStyle w:val="16"/>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0"/>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25094"/>
      <w:bookmarkStart w:id="99" w:name="_Toc23394"/>
      <w:bookmarkStart w:id="100" w:name="_Toc31685"/>
    </w:p>
    <w:p w14:paraId="24DE6E5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0"/>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4"/>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4"/>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驻马店市中心医院中心院区4号楼血液净化中心线路改造采购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2760AF6F"/>
    <w:multiLevelType w:val="singleLevel"/>
    <w:tmpl w:val="2760AF6F"/>
    <w:lvl w:ilvl="0" w:tentative="0">
      <w:start w:val="1"/>
      <w:numFmt w:val="decimal"/>
      <w:lvlText w:val="%1."/>
      <w:lvlJc w:val="left"/>
      <w:pPr>
        <w:tabs>
          <w:tab w:val="left" w:pos="312"/>
        </w:tabs>
      </w:pPr>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7E5A29"/>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3858"/>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5422D"/>
    <w:rsid w:val="156E0971"/>
    <w:rsid w:val="156F5830"/>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4E77C9"/>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9454C"/>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C07438"/>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EF26BD"/>
    <w:rsid w:val="46FF15E0"/>
    <w:rsid w:val="4700581C"/>
    <w:rsid w:val="4702516A"/>
    <w:rsid w:val="4724600B"/>
    <w:rsid w:val="472E597E"/>
    <w:rsid w:val="4742435F"/>
    <w:rsid w:val="474A4B33"/>
    <w:rsid w:val="47665A15"/>
    <w:rsid w:val="47677941"/>
    <w:rsid w:val="477F1660"/>
    <w:rsid w:val="4788232A"/>
    <w:rsid w:val="478B0398"/>
    <w:rsid w:val="478F5D0B"/>
    <w:rsid w:val="479D5A47"/>
    <w:rsid w:val="47A11E6C"/>
    <w:rsid w:val="47A31F5F"/>
    <w:rsid w:val="47A84BA6"/>
    <w:rsid w:val="47AD1E0B"/>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91107"/>
    <w:rsid w:val="48895289"/>
    <w:rsid w:val="489B4DE0"/>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5B0FC3"/>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82BD0"/>
    <w:rsid w:val="4FBA02A1"/>
    <w:rsid w:val="4FE7106E"/>
    <w:rsid w:val="4FF82FCD"/>
    <w:rsid w:val="50053943"/>
    <w:rsid w:val="50260569"/>
    <w:rsid w:val="50374A3C"/>
    <w:rsid w:val="50487AB0"/>
    <w:rsid w:val="50550E55"/>
    <w:rsid w:val="50901457"/>
    <w:rsid w:val="509F43E4"/>
    <w:rsid w:val="50A54D3E"/>
    <w:rsid w:val="50B82E88"/>
    <w:rsid w:val="50BB32A7"/>
    <w:rsid w:val="50CC5CB2"/>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440457"/>
    <w:rsid w:val="56666B5B"/>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69A0"/>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45B89"/>
    <w:rsid w:val="5A8734AF"/>
    <w:rsid w:val="5A955FE8"/>
    <w:rsid w:val="5A9D3E45"/>
    <w:rsid w:val="5AA4101D"/>
    <w:rsid w:val="5AB17576"/>
    <w:rsid w:val="5ABA59C8"/>
    <w:rsid w:val="5ABD68E6"/>
    <w:rsid w:val="5ABF73D2"/>
    <w:rsid w:val="5ACB3D8A"/>
    <w:rsid w:val="5ACE32A8"/>
    <w:rsid w:val="5AE12FDB"/>
    <w:rsid w:val="5AE1508F"/>
    <w:rsid w:val="5AE20B01"/>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0713D6"/>
    <w:rsid w:val="5C1A6BB2"/>
    <w:rsid w:val="5C306D31"/>
    <w:rsid w:val="5C37233A"/>
    <w:rsid w:val="5C5355FE"/>
    <w:rsid w:val="5C5A49A5"/>
    <w:rsid w:val="5C6519EA"/>
    <w:rsid w:val="5C6715FE"/>
    <w:rsid w:val="5C6F4105"/>
    <w:rsid w:val="5CBB7F6F"/>
    <w:rsid w:val="5CC248CE"/>
    <w:rsid w:val="5CC826A5"/>
    <w:rsid w:val="5CF1327E"/>
    <w:rsid w:val="5D042FB1"/>
    <w:rsid w:val="5D442CB4"/>
    <w:rsid w:val="5D7C3F11"/>
    <w:rsid w:val="5D971C5A"/>
    <w:rsid w:val="5D9D49E0"/>
    <w:rsid w:val="5DA01E9E"/>
    <w:rsid w:val="5DAD3649"/>
    <w:rsid w:val="5DC310BE"/>
    <w:rsid w:val="5DC32E6C"/>
    <w:rsid w:val="5DDF1821"/>
    <w:rsid w:val="5DE2656A"/>
    <w:rsid w:val="5DEA2F91"/>
    <w:rsid w:val="5DF94AE0"/>
    <w:rsid w:val="5DFA5883"/>
    <w:rsid w:val="5E224037"/>
    <w:rsid w:val="5E3146A3"/>
    <w:rsid w:val="5E442F62"/>
    <w:rsid w:val="5E6C2C5B"/>
    <w:rsid w:val="5E6E2DD8"/>
    <w:rsid w:val="5E7251A2"/>
    <w:rsid w:val="5E7C3591"/>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546954"/>
    <w:rsid w:val="6267666C"/>
    <w:rsid w:val="627D6831"/>
    <w:rsid w:val="62811B1C"/>
    <w:rsid w:val="62A20409"/>
    <w:rsid w:val="62AC0373"/>
    <w:rsid w:val="62AD225E"/>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C811ED"/>
    <w:rsid w:val="69D33070"/>
    <w:rsid w:val="69E97E75"/>
    <w:rsid w:val="69FB5D9E"/>
    <w:rsid w:val="69FF6FDA"/>
    <w:rsid w:val="6A09542B"/>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830AF"/>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450781"/>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7"/>
    <w:autoRedefine/>
    <w:qFormat/>
    <w:uiPriority w:val="0"/>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caption"/>
    <w:basedOn w:val="1"/>
    <w:next w:val="1"/>
    <w:qFormat/>
    <w:uiPriority w:val="0"/>
    <w:rPr>
      <w:rFonts w:ascii="Cambria" w:hAnsi="Cambria" w:eastAsia="黑体"/>
      <w:sz w:val="20"/>
      <w:szCs w:val="20"/>
    </w:rPr>
  </w:style>
  <w:style w:type="paragraph" w:styleId="12">
    <w:name w:val="Document Map"/>
    <w:basedOn w:val="1"/>
    <w:link w:val="79"/>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6"/>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Default"/>
    <w:next w:val="50"/>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16"/>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69"/>
    <w:next w:val="11"/>
    <w:autoRedefine/>
    <w:qFormat/>
    <w:uiPriority w:val="1"/>
    <w:pPr>
      <w:spacing w:line="400" w:lineRule="exact"/>
    </w:pPr>
    <w:rPr>
      <w:sz w:val="24"/>
    </w:rPr>
  </w:style>
  <w:style w:type="paragraph" w:customStyle="1" w:styleId="69">
    <w:name w:val="正文_1"/>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1">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
    <w:basedOn w:val="1"/>
    <w:autoRedefine/>
    <w:qFormat/>
    <w:uiPriority w:val="34"/>
    <w:pPr>
      <w:ind w:firstLine="420" w:firstLineChars="200"/>
    </w:pPr>
  </w:style>
  <w:style w:type="paragraph" w:customStyle="1" w:styleId="73">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4">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6">
    <w:name w:val="列出段落11"/>
    <w:basedOn w:val="1"/>
    <w:autoRedefine/>
    <w:qFormat/>
    <w:uiPriority w:val="0"/>
    <w:pPr>
      <w:ind w:firstLine="420" w:firstLineChars="200"/>
    </w:pPr>
    <w:rPr>
      <w:rFonts w:ascii="Calibri" w:hAnsi="Calibri"/>
      <w:szCs w:val="22"/>
    </w:rPr>
  </w:style>
  <w:style w:type="character" w:customStyle="1" w:styleId="77">
    <w:name w:val="正文文本 Char"/>
    <w:basedOn w:val="35"/>
    <w:link w:val="3"/>
    <w:autoRedefine/>
    <w:qFormat/>
    <w:uiPriority w:val="0"/>
  </w:style>
  <w:style w:type="character" w:customStyle="1" w:styleId="78">
    <w:name w:val="apple-converted-space"/>
    <w:basedOn w:val="35"/>
    <w:autoRedefine/>
    <w:qFormat/>
    <w:uiPriority w:val="0"/>
  </w:style>
  <w:style w:type="character" w:customStyle="1" w:styleId="79">
    <w:name w:val="文档结构图 Char"/>
    <w:link w:val="12"/>
    <w:autoRedefine/>
    <w:qFormat/>
    <w:uiPriority w:val="0"/>
    <w:rPr>
      <w:rFonts w:ascii="宋体"/>
      <w:kern w:val="2"/>
      <w:sz w:val="18"/>
      <w:szCs w:val="18"/>
    </w:rPr>
  </w:style>
  <w:style w:type="character" w:customStyle="1" w:styleId="80">
    <w:name w:val="不明显强调1"/>
    <w:autoRedefine/>
    <w:qFormat/>
    <w:uiPriority w:val="19"/>
    <w:rPr>
      <w:i/>
      <w:iCs/>
      <w:color w:val="7F7F7F"/>
      <w:szCs w:val="24"/>
    </w:rPr>
  </w:style>
  <w:style w:type="character" w:customStyle="1" w:styleId="81">
    <w:name w:val="font71"/>
    <w:basedOn w:val="35"/>
    <w:autoRedefine/>
    <w:qFormat/>
    <w:uiPriority w:val="0"/>
    <w:rPr>
      <w:rFonts w:hint="eastAsia" w:ascii="宋体" w:hAnsi="宋体" w:eastAsia="宋体" w:cs="宋体"/>
      <w:color w:val="000000"/>
      <w:sz w:val="28"/>
      <w:szCs w:val="28"/>
      <w:u w:val="none"/>
    </w:rPr>
  </w:style>
  <w:style w:type="character" w:customStyle="1" w:styleId="82">
    <w:name w:val="font21"/>
    <w:autoRedefine/>
    <w:qFormat/>
    <w:uiPriority w:val="0"/>
    <w:rPr>
      <w:rFonts w:hint="default" w:ascii="Calibri" w:hAnsi="Calibri" w:cs="Calibri"/>
      <w:color w:val="000000"/>
      <w:sz w:val="28"/>
      <w:szCs w:val="28"/>
      <w:u w:val="none"/>
    </w:rPr>
  </w:style>
  <w:style w:type="character" w:customStyle="1" w:styleId="83">
    <w:name w:val="17"/>
    <w:autoRedefine/>
    <w:qFormat/>
    <w:uiPriority w:val="0"/>
    <w:rPr>
      <w:rFonts w:hint="eastAsia" w:ascii="宋体" w:hAnsi="宋体" w:eastAsia="宋体"/>
      <w:color w:val="000000"/>
    </w:rPr>
  </w:style>
  <w:style w:type="character" w:customStyle="1" w:styleId="84">
    <w:name w:val="font91"/>
    <w:autoRedefine/>
    <w:qFormat/>
    <w:uiPriority w:val="0"/>
    <w:rPr>
      <w:rFonts w:hint="eastAsia" w:ascii="宋体" w:hAnsi="宋体" w:eastAsia="宋体" w:cs="宋体"/>
      <w:color w:val="FF0000"/>
      <w:sz w:val="28"/>
      <w:szCs w:val="28"/>
      <w:u w:val="none"/>
    </w:rPr>
  </w:style>
  <w:style w:type="paragraph" w:customStyle="1" w:styleId="85">
    <w:name w:val="p"/>
    <w:basedOn w:val="1"/>
    <w:autoRedefine/>
    <w:qFormat/>
    <w:uiPriority w:val="0"/>
    <w:pPr>
      <w:widowControl/>
      <w:spacing w:line="432" w:lineRule="auto"/>
      <w:jc w:val="left"/>
    </w:pPr>
    <w:rPr>
      <w:rFonts w:ascii="宋体" w:hAnsi="宋体" w:cs="宋体"/>
      <w:kern w:val="0"/>
      <w:sz w:val="24"/>
    </w:rPr>
  </w:style>
  <w:style w:type="paragraph" w:customStyle="1" w:styleId="86">
    <w:name w:val="WPSOffice手动目录 1"/>
    <w:autoRedefine/>
    <w:qFormat/>
    <w:uiPriority w:val="0"/>
    <w:rPr>
      <w:rFonts w:ascii="Times New Roman" w:hAnsi="Times New Roman" w:eastAsia="宋体" w:cs="Times New Roman"/>
      <w:lang w:val="en-US" w:eastAsia="zh-CN" w:bidi="ar-SA"/>
    </w:rPr>
  </w:style>
  <w:style w:type="paragraph" w:customStyle="1" w:styleId="87">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8">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9">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0">
    <w:name w:val="列表段落1"/>
    <w:basedOn w:val="1"/>
    <w:autoRedefine/>
    <w:qFormat/>
    <w:uiPriority w:val="34"/>
    <w:pPr>
      <w:widowControl/>
      <w:ind w:firstLine="420"/>
      <w:jc w:val="left"/>
    </w:pPr>
    <w:rPr>
      <w:kern w:val="0"/>
    </w:rPr>
  </w:style>
  <w:style w:type="paragraph" w:styleId="91">
    <w:name w:val="List Paragraph"/>
    <w:basedOn w:val="1"/>
    <w:autoRedefine/>
    <w:qFormat/>
    <w:uiPriority w:val="34"/>
    <w:pPr>
      <w:ind w:firstLine="420" w:firstLineChars="200"/>
    </w:pPr>
  </w:style>
  <w:style w:type="character" w:customStyle="1" w:styleId="92">
    <w:name w:val="hover18"/>
    <w:basedOn w:val="35"/>
    <w:autoRedefine/>
    <w:qFormat/>
    <w:uiPriority w:val="0"/>
  </w:style>
  <w:style w:type="table" w:customStyle="1" w:styleId="93">
    <w:name w:val="Table Normal"/>
    <w:autoRedefine/>
    <w:qFormat/>
    <w:uiPriority w:val="0"/>
    <w:tblPr>
      <w:tblCellMar>
        <w:top w:w="0" w:type="dxa"/>
        <w:left w:w="0" w:type="dxa"/>
        <w:bottom w:w="0" w:type="dxa"/>
        <w:right w:w="0" w:type="dxa"/>
      </w:tblCellMar>
    </w:tblPr>
  </w:style>
  <w:style w:type="paragraph" w:customStyle="1" w:styleId="94">
    <w:name w:val="Table Text"/>
    <w:basedOn w:val="1"/>
    <w:autoRedefine/>
    <w:semiHidden/>
    <w:qFormat/>
    <w:uiPriority w:val="0"/>
    <w:rPr>
      <w:rFonts w:ascii="宋体" w:hAnsi="宋体" w:eastAsia="宋体" w:cs="宋体"/>
      <w:sz w:val="45"/>
      <w:szCs w:val="45"/>
      <w:lang w:val="en-US" w:eastAsia="en-US" w:bidi="ar-SA"/>
    </w:rPr>
  </w:style>
  <w:style w:type="character" w:customStyle="1" w:styleId="95">
    <w:name w:val="font11"/>
    <w:basedOn w:val="35"/>
    <w:autoRedefine/>
    <w:qFormat/>
    <w:uiPriority w:val="0"/>
    <w:rPr>
      <w:rFonts w:ascii="Calibri" w:hAnsi="Calibri" w:cs="Calibri"/>
      <w:color w:val="000000"/>
      <w:sz w:val="24"/>
      <w:szCs w:val="24"/>
      <w:u w:val="none"/>
    </w:rPr>
  </w:style>
  <w:style w:type="paragraph" w:customStyle="1" w:styleId="96">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7">
    <w:name w:val="font61"/>
    <w:basedOn w:val="35"/>
    <w:qFormat/>
    <w:uiPriority w:val="0"/>
    <w:rPr>
      <w:rFonts w:ascii="宋体" w:hAnsi="宋体" w:eastAsia="宋体" w:cs="宋体"/>
      <w:color w:val="000000"/>
      <w:sz w:val="24"/>
      <w:szCs w:val="24"/>
      <w:u w:val="none"/>
    </w:rPr>
  </w:style>
  <w:style w:type="character" w:customStyle="1" w:styleId="98">
    <w:name w:val="font81"/>
    <w:basedOn w:val="35"/>
    <w:qFormat/>
    <w:uiPriority w:val="0"/>
    <w:rPr>
      <w:rFonts w:hint="default" w:ascii="Times New Roman" w:hAnsi="Times New Roman" w:cs="Times New Roman"/>
      <w:color w:val="000000"/>
      <w:sz w:val="18"/>
      <w:szCs w:val="18"/>
      <w:u w:val="none"/>
    </w:rPr>
  </w:style>
  <w:style w:type="paragraph" w:customStyle="1" w:styleId="99">
    <w:name w:val="目录 21"/>
    <w:next w:val="1"/>
    <w:qFormat/>
    <w:uiPriority w:val="0"/>
    <w:pPr>
      <w:wordWrap w:val="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15878</Words>
  <Characters>16621</Characters>
  <Lines>50</Lines>
  <Paragraphs>68</Paragraphs>
  <TotalTime>25</TotalTime>
  <ScaleCrop>false</ScaleCrop>
  <LinksUpToDate>false</LinksUpToDate>
  <CharactersWithSpaces>17594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2025-08-25T00:56:31Z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5648BD6EBCC544A188610E3EAB69ACB2_13</vt:lpwstr>
  </property>
  <property fmtid="{D5CDD505-2E9C-101B-9397-08002B2CF9AE}" pid="4" name="KSOTemplateDocerSaveRecord">
    <vt:lpwstr>eyJoZGlkIjoiYzIwMjRmYTY4OTJhZjc1NTA1MGQwNDc0NzZhNTkwMmUiLCJ1c2VySWQiOiIxNjg0NTc5MjM2In0=</vt:lpwstr>
  </property>
</Properties>
</file>