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5ABC8E99">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4"/>
          <w:rFonts w:hint="eastAsia" w:ascii="宋体" w:hAnsi="宋体" w:eastAsia="宋体" w:cs="宋体"/>
          <w:b/>
          <w:bCs/>
          <w:color w:val="auto"/>
          <w:sz w:val="48"/>
          <w:szCs w:val="48"/>
          <w:highlight w:val="none"/>
        </w:rPr>
      </w:pPr>
      <w:r>
        <w:rPr>
          <w:rFonts w:hint="eastAsia" w:ascii="宋体" w:hAnsi="宋体" w:eastAsia="宋体" w:cs="宋体"/>
          <w:b/>
          <w:bCs/>
          <w:color w:val="auto"/>
          <w:sz w:val="44"/>
          <w:szCs w:val="44"/>
          <w:highlight w:val="none"/>
          <w:lang w:val="en-US" w:eastAsia="zh-CN"/>
        </w:rPr>
        <w:t>驻马店市中心医院妇儿院区配电室电抗补偿柜维修</w:t>
      </w:r>
      <w:r>
        <w:rPr>
          <w:rFonts w:hint="eastAsia" w:cs="宋体"/>
          <w:b/>
          <w:bCs/>
          <w:color w:val="auto"/>
          <w:sz w:val="44"/>
          <w:szCs w:val="44"/>
          <w:highlight w:val="none"/>
          <w:lang w:val="en-US" w:eastAsia="zh-CN"/>
        </w:rPr>
        <w:t>项目</w:t>
      </w:r>
    </w:p>
    <w:p w14:paraId="20826E73">
      <w:pPr>
        <w:pStyle w:val="19"/>
        <w:bidi w:val="0"/>
        <w:jc w:val="center"/>
        <w:rPr>
          <w:rStyle w:val="44"/>
          <w:rFonts w:hint="eastAsia" w:ascii="宋体" w:hAnsi="宋体" w:eastAsia="宋体" w:cs="宋体"/>
          <w:b/>
          <w:bCs/>
          <w:color w:val="auto"/>
          <w:sz w:val="48"/>
          <w:szCs w:val="48"/>
          <w:highlight w:val="none"/>
        </w:rPr>
      </w:pPr>
    </w:p>
    <w:p w14:paraId="12179BBF">
      <w:pPr>
        <w:pStyle w:val="19"/>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21F3FCCC">
      <w:pPr>
        <w:pStyle w:val="19"/>
        <w:bidi w:val="0"/>
        <w:jc w:val="center"/>
        <w:rPr>
          <w:rStyle w:val="44"/>
          <w:rFonts w:hint="eastAsia" w:ascii="宋体" w:hAnsi="宋体" w:eastAsia="宋体" w:cs="宋体"/>
          <w:b/>
          <w:bCs/>
          <w:color w:val="auto"/>
          <w:szCs w:val="44"/>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23E1650">
      <w:pPr>
        <w:pStyle w:val="2"/>
        <w:rPr>
          <w:rFonts w:hint="eastAsia" w:ascii="宋体" w:hAnsi="宋体" w:eastAsia="宋体" w:cs="宋体"/>
          <w:b/>
          <w:bCs/>
          <w:color w:val="auto"/>
          <w:spacing w:val="-10"/>
          <w:sz w:val="34"/>
          <w:szCs w:val="34"/>
          <w:highlight w:val="none"/>
          <w:lang w:val="en-US" w:eastAsia="zh-CN"/>
        </w:rPr>
      </w:pPr>
    </w:p>
    <w:p w14:paraId="08426F8D">
      <w:pPr>
        <w:rPr>
          <w:rFonts w:hint="eastAsia"/>
          <w:color w:val="auto"/>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5"/>
        <w:rPr>
          <w:rFonts w:hint="eastAsia" w:ascii="宋体" w:hAnsi="宋体" w:eastAsia="宋体" w:cs="宋体"/>
          <w:color w:val="auto"/>
          <w:highlight w:val="none"/>
        </w:rPr>
      </w:pPr>
    </w:p>
    <w:p w14:paraId="1478C157">
      <w:pPr>
        <w:pStyle w:val="62"/>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秉方工程管理有限公司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w:t>
      </w:r>
      <w:r>
        <w:rPr>
          <w:rFonts w:hint="eastAsia" w:ascii="宋体" w:hAnsi="宋体" w:cs="宋体"/>
          <w:b/>
          <w:bCs/>
          <w:color w:val="auto"/>
          <w:spacing w:val="-10"/>
          <w:sz w:val="34"/>
          <w:szCs w:val="34"/>
          <w:highlight w:val="none"/>
          <w:lang w:val="en-US" w:eastAsia="zh-CN"/>
        </w:rPr>
        <w:t xml:space="preserve"> </w:t>
      </w:r>
      <w:r>
        <w:rPr>
          <w:rFonts w:hint="eastAsia" w:ascii="宋体" w:hAnsi="宋体" w:eastAsia="宋体" w:cs="宋体"/>
          <w:b/>
          <w:bCs/>
          <w:color w:val="auto"/>
          <w:spacing w:val="-10"/>
          <w:sz w:val="34"/>
          <w:szCs w:val="34"/>
          <w:highlight w:val="none"/>
          <w:lang w:val="en-US" w:eastAsia="zh-CN"/>
        </w:rPr>
        <w:t xml:space="preserve">年 </w:t>
      </w:r>
      <w:r>
        <w:rPr>
          <w:rFonts w:hint="eastAsia" w:ascii="宋体" w:hAnsi="宋体" w:cs="宋体"/>
          <w:b/>
          <w:bCs/>
          <w:color w:val="auto"/>
          <w:spacing w:val="-10"/>
          <w:sz w:val="34"/>
          <w:szCs w:val="34"/>
          <w:highlight w:val="none"/>
          <w:lang w:val="en-US" w:eastAsia="zh-CN"/>
        </w:rPr>
        <w:t>8</w:t>
      </w:r>
      <w:r>
        <w:rPr>
          <w:rFonts w:hint="eastAsia" w:ascii="宋体" w:hAnsi="宋体" w:eastAsia="宋体" w:cs="宋体"/>
          <w:b/>
          <w:bCs/>
          <w:color w:val="auto"/>
          <w:spacing w:val="-10"/>
          <w:sz w:val="34"/>
          <w:szCs w:val="34"/>
          <w:highlight w:val="none"/>
          <w:lang w:val="en-US" w:eastAsia="zh-CN"/>
        </w:rPr>
        <w:t xml:space="preserve"> 月</w:t>
      </w:r>
    </w:p>
    <w:p w14:paraId="11E7A050">
      <w:pPr>
        <w:pStyle w:val="2"/>
        <w:pageBreakBefore w:val="0"/>
        <w:widowControl w:val="0"/>
        <w:kinsoku/>
        <w:wordWrap/>
        <w:overflowPunct/>
        <w:topLinePunct w:val="0"/>
        <w:autoSpaceDE/>
        <w:autoSpaceDN/>
        <w:bidi w:val="0"/>
        <w:adjustRightInd/>
        <w:spacing w:before="0" w:after="0" w:line="240" w:lineRule="auto"/>
        <w:ind w:firstLine="2891" w:firstLineChars="800"/>
        <w:jc w:val="both"/>
        <w:textAlignment w:val="auto"/>
        <w:rPr>
          <w:rFonts w:hint="eastAsia" w:ascii="宋体" w:hAnsi="宋体" w:eastAsia="宋体" w:cs="宋体"/>
          <w:b/>
          <w:color w:val="auto"/>
          <w:sz w:val="36"/>
          <w:szCs w:val="36"/>
          <w:highlight w:val="none"/>
        </w:rPr>
      </w:pPr>
    </w:p>
    <w:p w14:paraId="0A189482">
      <w:pPr>
        <w:rPr>
          <w:rFonts w:hint="eastAsia"/>
          <w:color w:val="auto"/>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6"/>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_Toc26528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_Toc19124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_Toc8501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_Toc31399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_Toc11904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_Toc18702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83C03D8">
      <w:pPr>
        <w:pStyle w:val="86"/>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驻马店市中心医院妇儿院区配电室电抗补偿柜维修项目</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none"/>
          <w:lang w:val="en-US" w:eastAsia="zh-CN"/>
        </w:rPr>
        <w:t>驻马店市中心医院妇儿院区配电室电抗补偿柜维修</w:t>
      </w:r>
      <w:r>
        <w:rPr>
          <w:rFonts w:hint="eastAsia" w:ascii="宋体" w:hAnsi="宋体" w:cs="宋体"/>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获取竞争性磋商文件。</w:t>
      </w:r>
    </w:p>
    <w:p w14:paraId="1CE5C73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w:t>
      </w:r>
      <w:r>
        <w:rPr>
          <w:rFonts w:hint="eastAsia" w:ascii="宋体" w:hAnsi="宋体" w:cs="宋体"/>
          <w:color w:val="auto"/>
          <w:szCs w:val="21"/>
          <w:highlight w:val="none"/>
          <w:shd w:val="clear" w:color="auto" w:fill="FFFFFF"/>
          <w:lang w:val="en-US" w:eastAsia="zh-CN"/>
        </w:rPr>
        <w:t>驻马店市中心医院</w:t>
      </w:r>
      <w:r>
        <w:rPr>
          <w:rFonts w:hint="eastAsia" w:ascii="宋体" w:hAnsi="宋体" w:eastAsia="宋体" w:cs="宋体"/>
          <w:color w:val="auto"/>
          <w:lang w:val="en-US" w:eastAsia="zh-CN"/>
        </w:rPr>
        <w:t>妇儿院区配电室电抗补偿柜维修</w:t>
      </w:r>
      <w:r>
        <w:rPr>
          <w:rFonts w:hint="eastAsia" w:ascii="宋体" w:hAnsi="宋体" w:cs="宋体"/>
          <w:color w:val="auto"/>
          <w:szCs w:val="21"/>
          <w:highlight w:val="none"/>
          <w:shd w:val="clear" w:color="auto" w:fill="FFFFFF"/>
          <w:lang w:val="en-US" w:eastAsia="zh-CN"/>
        </w:rPr>
        <w:t>项目</w:t>
      </w:r>
      <w:r>
        <w:rPr>
          <w:rFonts w:hint="eastAsia" w:ascii="宋体" w:hAnsi="宋体" w:eastAsia="宋体" w:cs="宋体"/>
          <w:color w:val="auto"/>
          <w:szCs w:val="21"/>
          <w:highlight w:val="none"/>
          <w:shd w:val="clear" w:color="auto" w:fill="FFFFFF"/>
          <w:lang w:eastAsia="zh-CN"/>
        </w:rPr>
        <w:t>；</w:t>
      </w:r>
    </w:p>
    <w:p w14:paraId="45C197D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13万元；</w:t>
      </w:r>
    </w:p>
    <w:p w14:paraId="6015D970">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rPr>
        <w:t>：</w:t>
      </w:r>
      <w:r>
        <w:rPr>
          <w:rFonts w:hint="eastAsia" w:ascii="宋体" w:hAnsi="宋体" w:eastAsia="宋体" w:cs="宋体"/>
          <w:i w:val="0"/>
          <w:iCs/>
          <w:kern w:val="0"/>
          <w:sz w:val="21"/>
          <w:szCs w:val="21"/>
          <w:highlight w:val="none"/>
          <w:u w:val="none"/>
          <w:lang w:val="en-US" w:eastAsia="zh-CN" w:bidi="ar-SA"/>
        </w:rPr>
        <w:t>合同签订后30日内</w:t>
      </w:r>
      <w:r>
        <w:rPr>
          <w:rFonts w:hint="eastAsia" w:ascii="宋体" w:hAnsi="宋体" w:cs="宋体"/>
          <w:color w:val="auto"/>
          <w:szCs w:val="21"/>
          <w:highlight w:val="none"/>
          <w:shd w:val="clear" w:color="auto" w:fill="FFFFFF"/>
          <w:lang w:eastAsia="zh-CN"/>
        </w:rPr>
        <w:t>；</w:t>
      </w:r>
    </w:p>
    <w:p w14:paraId="695FC5C7">
      <w:pPr>
        <w:keepNext w:val="0"/>
        <w:keepLines w:val="0"/>
        <w:pageBreakBefore w:val="0"/>
        <w:widowControl/>
        <w:kinsoku/>
        <w:overflowPunct/>
        <w:topLinePunct w:val="0"/>
        <w:autoSpaceDE/>
        <w:autoSpaceDN/>
        <w:bidi w:val="0"/>
        <w:snapToGrid w:val="0"/>
        <w:spacing w:before="0" w:after="0" w:line="360"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bookmarkStart w:id="4" w:name="_Toc16639"/>
      <w:bookmarkStart w:id="5" w:name="_Toc27704"/>
      <w:bookmarkStart w:id="6" w:name="_Toc23626"/>
      <w:bookmarkStart w:id="7" w:name="_Toc18607"/>
      <w:r>
        <w:rPr>
          <w:rFonts w:hint="eastAsia" w:ascii="宋体" w:hAnsi="宋体" w:eastAsia="宋体" w:cs="宋体"/>
          <w:color w:val="auto"/>
          <w:szCs w:val="21"/>
          <w:highlight w:val="none"/>
          <w:shd w:val="clear" w:color="auto" w:fill="FFFFFF"/>
          <w:lang w:val="en-US" w:eastAsia="zh-CN"/>
        </w:rPr>
        <w:t>质量要求：符合国家有关法律法规及行业标准要求，满足采购人需求。</w:t>
      </w:r>
    </w:p>
    <w:p w14:paraId="03CB215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7823"/>
      <w:bookmarkStart w:id="9" w:name="_Toc30643"/>
      <w:bookmarkStart w:id="10" w:name="_Toc30971"/>
      <w:bookmarkStart w:id="11" w:name="_Toc23395"/>
      <w:bookmarkStart w:id="12" w:name="_Toc9562"/>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2DC7632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3A22D49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5FD1586E">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 xml:space="preserve">（1）具有建设行政主管部门颁发的电力工程施工总承包叁级（含）以上资质或输变电工程专业承包叁级（含）以上资质或承装类承装（修、试）电力设施许可证肆级（含）以上资质，具有合格有效的企业安全生产许可证；                                                </w:t>
      </w:r>
    </w:p>
    <w:p w14:paraId="67BA22CC">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 xml:space="preserve">（2）拟派项目经理须具有有效的机电工程专业二级及以上注册建造师资格证书，具备有效的安全生产考核合格证书。  </w:t>
      </w:r>
    </w:p>
    <w:p w14:paraId="73273EA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638A410B">
      <w:pPr>
        <w:keepNext w:val="0"/>
        <w:keepLines w:val="0"/>
        <w:pageBreakBefore w:val="0"/>
        <w:widowControl/>
        <w:kinsoku/>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26</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28</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color w:val="auto"/>
          <w:highlight w:val="none"/>
          <w:lang w:val="en-US" w:eastAsia="zh-CN"/>
        </w:rPr>
        <w:t>bingfang0371@163</w:t>
      </w:r>
      <w:r>
        <w:rPr>
          <w:rFonts w:hint="eastAsia" w:ascii="仿宋" w:hAnsi="仿宋" w:eastAsia="仿宋" w:cs="宋体"/>
          <w:color w:val="auto"/>
          <w:kern w:val="0"/>
          <w:sz w:val="24"/>
          <w:highlight w:val="none"/>
          <w:shd w:val="clear" w:color="auto" w:fill="FFFFFF"/>
        </w:rPr>
        <w:t>.</w:t>
      </w:r>
      <w:r>
        <w:rPr>
          <w:rFonts w:hint="eastAsia" w:ascii="仿宋" w:hAnsi="仿宋" w:eastAsia="仿宋" w:cs="宋体"/>
          <w:color w:val="auto"/>
          <w:kern w:val="0"/>
          <w:sz w:val="24"/>
          <w:highlight w:val="none"/>
          <w:shd w:val="clear" w:color="auto" w:fill="FFFFFF"/>
          <w:lang w:val="en-US" w:eastAsia="zh-CN"/>
        </w:rPr>
        <w:t>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15111"/>
      <w:bookmarkStart w:id="15" w:name="_Toc25869"/>
      <w:bookmarkStart w:id="16" w:name="_Toc15135"/>
      <w:bookmarkStart w:id="17"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6523"/>
      <w:bookmarkStart w:id="20" w:name="_Toc20287"/>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604"/>
      <w:bookmarkStart w:id="25" w:name="_Toc16291"/>
      <w:bookmarkStart w:id="26" w:name="_Toc24274"/>
      <w:bookmarkStart w:id="27" w:name="_Toc31928"/>
      <w:bookmarkStart w:id="28" w:name="_Toc27370"/>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w:t>
      </w:r>
    </w:p>
    <w:p w14:paraId="53CBE7FF">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地址：驻马店市团结路与盘古山路交叉口建业十八城8号楼</w:t>
      </w:r>
    </w:p>
    <w:p w14:paraId="55C85716">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联系人：赵女士</w:t>
      </w:r>
    </w:p>
    <w:p w14:paraId="66FF8332">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联系方式：18137400820</w:t>
      </w:r>
    </w:p>
    <w:p w14:paraId="2BB1501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721F317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8</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25</w:t>
      </w:r>
      <w:bookmarkStart w:id="102" w:name="_GoBack"/>
      <w:bookmarkEnd w:id="102"/>
      <w:r>
        <w:rPr>
          <w:rFonts w:hint="eastAsia" w:ascii="宋体" w:hAnsi="宋体" w:eastAsia="宋体" w:cs="宋体"/>
          <w:color w:val="auto"/>
          <w:sz w:val="21"/>
          <w:szCs w:val="21"/>
          <w:highlight w:val="none"/>
          <w:shd w:val="clear" w:color="auto" w:fill="FFFFFF"/>
        </w:rPr>
        <w:t>日</w:t>
      </w:r>
    </w:p>
    <w:p w14:paraId="1C0E0222">
      <w:pPr>
        <w:spacing w:line="360" w:lineRule="auto"/>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9989"/>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4"/>
          <w:szCs w:val="24"/>
          <w:highlight w:val="none"/>
          <w:u w:val="none"/>
          <w:lang w:val="en-US" w:eastAsia="zh-CN"/>
        </w:rPr>
      </w:pPr>
      <w:r>
        <w:rPr>
          <w:rFonts w:hint="eastAsia" w:ascii="宋体" w:hAnsi="宋体" w:eastAsia="宋体" w:cs="宋体"/>
          <w:b/>
          <w:bCs/>
          <w:i w:val="0"/>
          <w:iCs/>
          <w:color w:val="auto"/>
          <w:sz w:val="24"/>
          <w:szCs w:val="24"/>
          <w:highlight w:val="none"/>
          <w:u w:val="none"/>
          <w:lang w:val="en-US" w:eastAsia="zh-CN"/>
        </w:rPr>
        <w:t>一、项目名称：</w:t>
      </w:r>
      <w:r>
        <w:rPr>
          <w:rFonts w:hint="eastAsia" w:ascii="宋体" w:hAnsi="宋体" w:cs="宋体"/>
          <w:b w:val="0"/>
          <w:bCs w:val="0"/>
          <w:i w:val="0"/>
          <w:iCs/>
          <w:color w:val="auto"/>
          <w:sz w:val="24"/>
          <w:szCs w:val="24"/>
          <w:highlight w:val="none"/>
          <w:u w:val="none"/>
          <w:lang w:val="en-US" w:eastAsia="zh-CN"/>
        </w:rPr>
        <w:t>驻马店市中心医院</w:t>
      </w:r>
      <w:r>
        <w:rPr>
          <w:rFonts w:hint="eastAsia" w:ascii="宋体" w:hAnsi="宋体" w:eastAsia="宋体" w:cs="宋体"/>
          <w:color w:val="auto"/>
          <w:sz w:val="24"/>
          <w:szCs w:val="24"/>
          <w:lang w:val="en-US" w:eastAsia="zh-CN"/>
        </w:rPr>
        <w:t>妇儿院区配电室电抗补偿柜维修</w:t>
      </w:r>
      <w:r>
        <w:rPr>
          <w:rFonts w:hint="eastAsia" w:ascii="宋体" w:hAnsi="宋体" w:cs="宋体"/>
          <w:b w:val="0"/>
          <w:bCs w:val="0"/>
          <w:i w:val="0"/>
          <w:iCs/>
          <w:color w:val="auto"/>
          <w:sz w:val="24"/>
          <w:szCs w:val="24"/>
          <w:highlight w:val="none"/>
          <w:u w:val="none"/>
          <w:lang w:val="en-US" w:eastAsia="zh-CN"/>
        </w:rPr>
        <w:t>服务项目</w:t>
      </w:r>
    </w:p>
    <w:p w14:paraId="1A83C17A">
      <w:pPr>
        <w:numPr>
          <w:ilvl w:val="0"/>
          <w:numId w:val="0"/>
        </w:numPr>
        <w:spacing w:line="192" w:lineRule="auto"/>
        <w:rPr>
          <w:rFonts w:hint="eastAsia" w:ascii="宋体" w:hAnsi="宋体" w:eastAsia="宋体" w:cs="宋体"/>
          <w:b/>
          <w:bCs/>
          <w:color w:val="auto"/>
          <w:kern w:val="2"/>
          <w:sz w:val="24"/>
          <w:szCs w:val="24"/>
          <w:highlight w:val="none"/>
          <w:lang w:val="en-US" w:eastAsia="zh-CN" w:bidi="ar-SA"/>
        </w:rPr>
      </w:pPr>
    </w:p>
    <w:p w14:paraId="10E84755">
      <w:pPr>
        <w:numPr>
          <w:ilvl w:val="0"/>
          <w:numId w:val="1"/>
        </w:numPr>
        <w:spacing w:line="192" w:lineRule="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采购标的清单</w:t>
      </w:r>
    </w:p>
    <w:p w14:paraId="2C108305">
      <w:pPr>
        <w:numPr>
          <w:ilvl w:val="0"/>
          <w:numId w:val="0"/>
        </w:numPr>
        <w:spacing w:line="192" w:lineRule="auto"/>
        <w:rPr>
          <w:rFonts w:hint="eastAsia" w:ascii="宋体" w:hAnsi="宋体" w:cs="宋体"/>
          <w:b/>
          <w:bCs/>
          <w:color w:val="auto"/>
          <w:kern w:val="2"/>
          <w:sz w:val="24"/>
          <w:szCs w:val="24"/>
          <w:highlight w:val="none"/>
          <w:lang w:val="en-US" w:eastAsia="zh-CN" w:bidi="ar-SA"/>
        </w:rPr>
      </w:pPr>
    </w:p>
    <w:tbl>
      <w:tblPr>
        <w:tblStyle w:val="34"/>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877"/>
        <w:gridCol w:w="7"/>
        <w:gridCol w:w="1890"/>
        <w:gridCol w:w="754"/>
        <w:gridCol w:w="760"/>
        <w:gridCol w:w="1476"/>
        <w:gridCol w:w="962"/>
        <w:gridCol w:w="972"/>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7" w:type="dxa"/>
            <w:vAlign w:val="center"/>
          </w:tcPr>
          <w:p w14:paraId="3F52256E">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877" w:type="dxa"/>
            <w:vAlign w:val="center"/>
          </w:tcPr>
          <w:p w14:paraId="7BB03108">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1897" w:type="dxa"/>
            <w:gridSpan w:val="2"/>
            <w:vAlign w:val="center"/>
          </w:tcPr>
          <w:p w14:paraId="1C818719">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754" w:type="dxa"/>
            <w:vAlign w:val="center"/>
          </w:tcPr>
          <w:p w14:paraId="2AF52A7A">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760" w:type="dxa"/>
            <w:vAlign w:val="center"/>
          </w:tcPr>
          <w:p w14:paraId="78A9F1D6">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476" w:type="dxa"/>
            <w:vAlign w:val="center"/>
          </w:tcPr>
          <w:p w14:paraId="665A7C5C">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资金</w:t>
            </w:r>
          </w:p>
          <w:p w14:paraId="2259F43F">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预算</w:t>
            </w:r>
          </w:p>
        </w:tc>
        <w:tc>
          <w:tcPr>
            <w:tcW w:w="962" w:type="dxa"/>
            <w:vAlign w:val="center"/>
          </w:tcPr>
          <w:p w14:paraId="0C32BA6B">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资金</w:t>
            </w:r>
          </w:p>
          <w:p w14:paraId="0F2FBFFE">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性质</w:t>
            </w:r>
          </w:p>
        </w:tc>
        <w:tc>
          <w:tcPr>
            <w:tcW w:w="972" w:type="dxa"/>
            <w:vAlign w:val="center"/>
          </w:tcPr>
          <w:p w14:paraId="0D5173FD">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国产/</w:t>
            </w:r>
          </w:p>
          <w:p w14:paraId="5E8880A2">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进口</w:t>
            </w:r>
          </w:p>
        </w:tc>
      </w:tr>
      <w:tr w14:paraId="077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797" w:type="dxa"/>
            <w:vAlign w:val="center"/>
          </w:tcPr>
          <w:p w14:paraId="3FA5EC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877" w:type="dxa"/>
            <w:vAlign w:val="center"/>
          </w:tcPr>
          <w:p w14:paraId="6DE60D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897" w:type="dxa"/>
            <w:gridSpan w:val="2"/>
            <w:vAlign w:val="center"/>
          </w:tcPr>
          <w:p w14:paraId="0DB5E1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妇儿院区配电室电抗补偿柜维修</w:t>
            </w:r>
          </w:p>
        </w:tc>
        <w:tc>
          <w:tcPr>
            <w:tcW w:w="754" w:type="dxa"/>
            <w:vAlign w:val="center"/>
          </w:tcPr>
          <w:p w14:paraId="43C735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附后</w:t>
            </w:r>
          </w:p>
        </w:tc>
        <w:tc>
          <w:tcPr>
            <w:tcW w:w="760" w:type="dxa"/>
            <w:vAlign w:val="center"/>
          </w:tcPr>
          <w:p w14:paraId="532C83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附后</w:t>
            </w:r>
          </w:p>
        </w:tc>
        <w:tc>
          <w:tcPr>
            <w:tcW w:w="1476" w:type="dxa"/>
            <w:vAlign w:val="center"/>
          </w:tcPr>
          <w:p w14:paraId="0DDD2F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13万元</w:t>
            </w:r>
          </w:p>
        </w:tc>
        <w:tc>
          <w:tcPr>
            <w:tcW w:w="962" w:type="dxa"/>
            <w:vAlign w:val="center"/>
          </w:tcPr>
          <w:p w14:paraId="5577EB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自筹</w:t>
            </w:r>
          </w:p>
        </w:tc>
        <w:tc>
          <w:tcPr>
            <w:tcW w:w="972" w:type="dxa"/>
            <w:vAlign w:val="center"/>
          </w:tcPr>
          <w:p w14:paraId="790268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81" w:type="dxa"/>
            <w:gridSpan w:val="3"/>
            <w:vAlign w:val="center"/>
          </w:tcPr>
          <w:p w14:paraId="3709E4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合计</w:t>
            </w:r>
          </w:p>
        </w:tc>
        <w:tc>
          <w:tcPr>
            <w:tcW w:w="1890" w:type="dxa"/>
            <w:vAlign w:val="center"/>
          </w:tcPr>
          <w:p w14:paraId="5151F7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w:t>
            </w:r>
          </w:p>
        </w:tc>
        <w:tc>
          <w:tcPr>
            <w:tcW w:w="754" w:type="dxa"/>
            <w:vAlign w:val="center"/>
          </w:tcPr>
          <w:p w14:paraId="4C4086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w:t>
            </w:r>
          </w:p>
        </w:tc>
        <w:tc>
          <w:tcPr>
            <w:tcW w:w="760" w:type="dxa"/>
            <w:vAlign w:val="center"/>
          </w:tcPr>
          <w:p w14:paraId="1DF111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w:t>
            </w:r>
          </w:p>
        </w:tc>
        <w:tc>
          <w:tcPr>
            <w:tcW w:w="1476" w:type="dxa"/>
            <w:vAlign w:val="center"/>
          </w:tcPr>
          <w:p w14:paraId="0306BC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13万元</w:t>
            </w:r>
          </w:p>
        </w:tc>
        <w:tc>
          <w:tcPr>
            <w:tcW w:w="962" w:type="dxa"/>
            <w:vAlign w:val="center"/>
          </w:tcPr>
          <w:p w14:paraId="6C7B11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w:t>
            </w:r>
          </w:p>
        </w:tc>
        <w:tc>
          <w:tcPr>
            <w:tcW w:w="972" w:type="dxa"/>
            <w:vAlign w:val="center"/>
          </w:tcPr>
          <w:p w14:paraId="658FFD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674" w:type="dxa"/>
            <w:gridSpan w:val="2"/>
            <w:vAlign w:val="center"/>
          </w:tcPr>
          <w:p w14:paraId="62331F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6821" w:type="dxa"/>
            <w:gridSpan w:val="7"/>
            <w:vAlign w:val="center"/>
          </w:tcPr>
          <w:p w14:paraId="4F1CEB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 xml:space="preserve">清单附后，费用含柜内原有线路等拆除及所有配件新装、人工费等各项所有费用。  </w:t>
            </w:r>
          </w:p>
        </w:tc>
      </w:tr>
    </w:tbl>
    <w:p w14:paraId="492F3D2E">
      <w:pPr>
        <w:jc w:val="center"/>
        <w:rPr>
          <w:rFonts w:hint="eastAsia" w:ascii="宋体" w:hAnsi="宋体" w:eastAsia="宋体" w:cs="宋体"/>
          <w:i w:val="0"/>
          <w:iCs/>
          <w:kern w:val="0"/>
          <w:sz w:val="32"/>
          <w:szCs w:val="32"/>
          <w:highlight w:val="none"/>
          <w:u w:val="none"/>
          <w:lang w:val="en-US" w:eastAsia="zh-CN" w:bidi="ar-SA"/>
        </w:rPr>
      </w:pPr>
      <w:r>
        <w:rPr>
          <w:rFonts w:hint="eastAsia" w:ascii="宋体" w:hAnsi="宋体" w:eastAsia="宋体" w:cs="宋体"/>
          <w:i w:val="0"/>
          <w:iCs/>
          <w:kern w:val="0"/>
          <w:sz w:val="32"/>
          <w:szCs w:val="32"/>
          <w:highlight w:val="none"/>
          <w:u w:val="none"/>
          <w:lang w:val="en-US" w:eastAsia="zh-CN" w:bidi="ar-SA"/>
        </w:rPr>
        <w:t>清 单</w:t>
      </w:r>
    </w:p>
    <w:tbl>
      <w:tblPr>
        <w:tblStyle w:val="33"/>
        <w:tblW w:w="8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3039"/>
        <w:gridCol w:w="2111"/>
        <w:gridCol w:w="2201"/>
      </w:tblGrid>
      <w:tr w14:paraId="1B06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7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3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名称</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E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单位</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8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数量</w:t>
            </w:r>
          </w:p>
        </w:tc>
      </w:tr>
      <w:tr w14:paraId="18E9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F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F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智能电容（30Kvar）</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B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8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110</w:t>
            </w:r>
          </w:p>
        </w:tc>
      </w:tr>
      <w:tr w14:paraId="37EAF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7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D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控制器</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0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0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110</w:t>
            </w:r>
          </w:p>
        </w:tc>
      </w:tr>
      <w:tr w14:paraId="26779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6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2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接触器</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0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A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w:t>
            </w:r>
          </w:p>
        </w:tc>
      </w:tr>
      <w:tr w14:paraId="6A8F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0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D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铜线（16㎡）</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6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7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330</w:t>
            </w:r>
          </w:p>
        </w:tc>
      </w:tr>
      <w:tr w14:paraId="0767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4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F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智能仪表</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2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8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r>
      <w:tr w14:paraId="3580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B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4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辅材及人工费</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E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D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3D1C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 w:hRule="atLeast"/>
          <w:jc w:val="center"/>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5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u w:val="none"/>
                <w:lang w:val="en-US" w:eastAsia="zh-CN"/>
              </w:rPr>
              <w:t>备注</w:t>
            </w:r>
          </w:p>
        </w:tc>
        <w:tc>
          <w:tcPr>
            <w:tcW w:w="7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DE80BE">
            <w:pPr>
              <w:pStyle w:val="23"/>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u w:val="none"/>
                <w:lang w:val="en-US" w:eastAsia="zh-CN"/>
              </w:rPr>
              <w:t>11个电容柜，每个电容柜内包含10个智能电容、10个控制器、1个接触器、30米铜线、1个智能仪表。</w:t>
            </w:r>
          </w:p>
        </w:tc>
      </w:tr>
    </w:tbl>
    <w:p w14:paraId="40E3ACE9">
      <w:pPr>
        <w:rPr>
          <w:rFonts w:hint="eastAsia"/>
          <w:lang w:val="en-US" w:eastAsia="zh-CN"/>
        </w:rPr>
      </w:pPr>
    </w:p>
    <w:p w14:paraId="028B9CE9">
      <w:pPr>
        <w:rPr>
          <w:rFonts w:hint="default"/>
          <w:b/>
          <w:bCs/>
          <w:color w:val="auto"/>
          <w:sz w:val="24"/>
          <w:szCs w:val="24"/>
          <w:lang w:val="en-US" w:eastAsia="zh-CN"/>
        </w:rPr>
      </w:pPr>
      <w:r>
        <w:rPr>
          <w:rFonts w:hint="eastAsia"/>
          <w:b/>
          <w:bCs/>
          <w:color w:val="auto"/>
          <w:sz w:val="24"/>
          <w:szCs w:val="24"/>
          <w:lang w:val="en-US" w:eastAsia="zh-CN"/>
        </w:rPr>
        <w:t>三、技术要求</w:t>
      </w:r>
    </w:p>
    <w:p w14:paraId="48BFECA0">
      <w:pPr>
        <w:widowControl w:val="0"/>
        <w:numPr>
          <w:ilvl w:val="0"/>
          <w:numId w:val="0"/>
        </w:numPr>
        <w:spacing w:line="192" w:lineRule="auto"/>
        <w:jc w:val="both"/>
        <w:rPr>
          <w:rFonts w:hint="eastAsia" w:ascii="宋体" w:hAnsi="宋体" w:eastAsia="宋体" w:cs="宋体"/>
          <w:b/>
          <w:bCs/>
          <w:color w:val="auto"/>
          <w:kern w:val="2"/>
          <w:sz w:val="21"/>
          <w:szCs w:val="21"/>
          <w:highlight w:val="none"/>
          <w:lang w:val="en-US" w:eastAsia="zh-CN" w:bidi="ar-SA"/>
        </w:rPr>
      </w:pPr>
    </w:p>
    <w:p w14:paraId="256A01D7">
      <w:pPr>
        <w:spacing w:line="360" w:lineRule="auto"/>
        <w:ind w:firstLine="420" w:firstLineChars="200"/>
        <w:jc w:val="left"/>
        <w:rPr>
          <w:rFonts w:hint="eastAsia" w:ascii="宋体" w:hAnsi="宋体" w:eastAsia="宋体" w:cs="宋体"/>
          <w:i w:val="0"/>
          <w:iCs/>
          <w:kern w:val="0"/>
          <w:sz w:val="21"/>
          <w:szCs w:val="21"/>
          <w:highlight w:val="none"/>
          <w:u w:val="none"/>
          <w:lang w:val="en-US" w:eastAsia="zh-CN" w:bidi="ar-SA"/>
        </w:rPr>
      </w:pPr>
      <w:r>
        <w:rPr>
          <w:rFonts w:hint="eastAsia" w:ascii="宋体" w:hAnsi="宋体" w:eastAsia="宋体" w:cs="宋体"/>
          <w:i w:val="0"/>
          <w:iCs/>
          <w:kern w:val="0"/>
          <w:sz w:val="21"/>
          <w:szCs w:val="21"/>
          <w:highlight w:val="none"/>
          <w:u w:val="none"/>
          <w:lang w:val="en-US" w:eastAsia="zh-CN" w:bidi="ar-SA"/>
        </w:rPr>
        <w:t>（1）为了保证对低压电容器的可靠保护，根据相关规范以及GB50227-2008并联电容器装置设计规范，GB/T22582-2008电力电容器低压功率因数补偿装置，对现有低压电容柜进行更换及调整。</w:t>
      </w:r>
    </w:p>
    <w:p w14:paraId="3A9B30FF">
      <w:pPr>
        <w:keepNext w:val="0"/>
        <w:keepLines w:val="0"/>
        <w:widowControl/>
        <w:suppressLineNumbers w:val="0"/>
        <w:spacing w:line="360" w:lineRule="auto"/>
        <w:ind w:firstLine="420" w:firstLineChars="200"/>
        <w:jc w:val="left"/>
        <w:rPr>
          <w:rFonts w:hint="eastAsia" w:ascii="宋体" w:hAnsi="宋体" w:eastAsia="宋体" w:cs="宋体"/>
          <w:i w:val="0"/>
          <w:iCs/>
          <w:kern w:val="0"/>
          <w:sz w:val="21"/>
          <w:szCs w:val="21"/>
          <w:highlight w:val="none"/>
          <w:u w:val="none"/>
          <w:lang w:val="en-US" w:eastAsia="zh-CN" w:bidi="ar-SA"/>
        </w:rPr>
      </w:pPr>
      <w:r>
        <w:rPr>
          <w:rFonts w:hint="eastAsia" w:ascii="宋体" w:hAnsi="宋体" w:eastAsia="宋体" w:cs="宋体"/>
          <w:i w:val="0"/>
          <w:iCs/>
          <w:kern w:val="0"/>
          <w:sz w:val="21"/>
          <w:szCs w:val="21"/>
          <w:highlight w:val="none"/>
          <w:u w:val="none"/>
          <w:lang w:val="en-US" w:eastAsia="zh-CN" w:bidi="ar-SA"/>
        </w:rPr>
        <w:t>（2）电容补偿柜型号：GCS,柜体规格:800*1000*2200，母线规格:2*TMY- 4(125*10)，PE：TMY-(125*10)，参数:300KVAR，低压主进开关要求带长、短延时、瞬时、接地保护（运行分断能力不小于65KA）,低压其他开关（运行分断能力不小于50KA）要求带复式保护。</w:t>
      </w:r>
    </w:p>
    <w:p w14:paraId="68484DC4">
      <w:pPr>
        <w:keepNext w:val="0"/>
        <w:keepLines w:val="0"/>
        <w:widowControl/>
        <w:suppressLineNumbers w:val="0"/>
        <w:spacing w:line="360" w:lineRule="auto"/>
        <w:ind w:firstLine="420" w:firstLineChars="200"/>
        <w:jc w:val="left"/>
        <w:rPr>
          <w:rFonts w:hint="eastAsia" w:ascii="宋体" w:hAnsi="宋体" w:eastAsia="宋体" w:cs="宋体"/>
          <w:i w:val="0"/>
          <w:iCs/>
          <w:kern w:val="0"/>
          <w:sz w:val="21"/>
          <w:szCs w:val="21"/>
          <w:highlight w:val="none"/>
          <w:u w:val="none"/>
          <w:lang w:val="en-US" w:eastAsia="zh-CN" w:bidi="ar-SA"/>
        </w:rPr>
      </w:pPr>
      <w:r>
        <w:rPr>
          <w:rFonts w:hint="eastAsia" w:ascii="宋体" w:hAnsi="宋体" w:eastAsia="宋体" w:cs="宋体"/>
          <w:i w:val="0"/>
          <w:iCs/>
          <w:kern w:val="0"/>
          <w:sz w:val="21"/>
          <w:szCs w:val="21"/>
          <w:highlight w:val="none"/>
          <w:u w:val="none"/>
          <w:lang w:val="en-US" w:eastAsia="zh-CN" w:bidi="ar-SA"/>
        </w:rPr>
        <w:t xml:space="preserve">（3）多功能表：具备计量、电压、电流等参数的显示，且必须满足与原有集抄集控系统相匹配，且能够正常接入现有系统后台。 </w:t>
      </w:r>
    </w:p>
    <w:p w14:paraId="35479953">
      <w:pPr>
        <w:keepNext w:val="0"/>
        <w:keepLines w:val="0"/>
        <w:widowControl/>
        <w:suppressLineNumbers w:val="0"/>
        <w:spacing w:line="360" w:lineRule="auto"/>
        <w:ind w:firstLine="420" w:firstLineChars="200"/>
        <w:jc w:val="left"/>
        <w:rPr>
          <w:rFonts w:hint="eastAsia" w:ascii="宋体" w:hAnsi="宋体" w:eastAsia="宋体" w:cs="宋体"/>
          <w:i w:val="0"/>
          <w:iCs/>
          <w:kern w:val="0"/>
          <w:sz w:val="21"/>
          <w:szCs w:val="21"/>
          <w:highlight w:val="none"/>
          <w:u w:val="none"/>
          <w:lang w:val="en-US" w:eastAsia="zh-CN" w:bidi="ar-SA"/>
        </w:rPr>
      </w:pPr>
      <w:r>
        <w:rPr>
          <w:rFonts w:hint="eastAsia" w:ascii="宋体" w:hAnsi="宋体" w:eastAsia="宋体" w:cs="宋体"/>
          <w:i w:val="0"/>
          <w:iCs/>
          <w:kern w:val="0"/>
          <w:sz w:val="21"/>
          <w:szCs w:val="21"/>
          <w:highlight w:val="none"/>
          <w:u w:val="none"/>
          <w:lang w:val="en-US" w:eastAsia="zh-CN" w:bidi="ar-SA"/>
        </w:rPr>
        <w:t xml:space="preserve">（4）维修项目结束后，需经当地电力主管部门验收合格。 </w:t>
      </w:r>
    </w:p>
    <w:p w14:paraId="6AF5B1C8">
      <w:pPr>
        <w:keepNext w:val="0"/>
        <w:keepLines w:val="0"/>
        <w:widowControl/>
        <w:suppressLineNumbers w:val="0"/>
        <w:spacing w:line="360" w:lineRule="auto"/>
        <w:ind w:firstLine="420" w:firstLineChars="200"/>
        <w:jc w:val="left"/>
        <w:rPr>
          <w:rFonts w:hint="eastAsia" w:ascii="宋体" w:hAnsi="宋体" w:eastAsia="宋体" w:cs="宋体"/>
          <w:i w:val="0"/>
          <w:iCs/>
          <w:kern w:val="0"/>
          <w:sz w:val="24"/>
          <w:szCs w:val="24"/>
          <w:highlight w:val="none"/>
          <w:u w:val="none"/>
          <w:lang w:val="en-US" w:eastAsia="zh-CN" w:bidi="ar-SA"/>
        </w:rPr>
      </w:pPr>
      <w:r>
        <w:rPr>
          <w:rFonts w:hint="eastAsia" w:ascii="宋体" w:hAnsi="宋体" w:eastAsia="宋体" w:cs="宋体"/>
          <w:i w:val="0"/>
          <w:iCs/>
          <w:kern w:val="0"/>
          <w:sz w:val="21"/>
          <w:szCs w:val="21"/>
          <w:highlight w:val="none"/>
          <w:u w:val="none"/>
          <w:lang w:val="en-US" w:eastAsia="zh-CN" w:bidi="ar-SA"/>
        </w:rPr>
        <w:t>（5）质保期内，在使用过程中发生故障，供应商在接到通知后在4小时内到达现场，24小时内解除故障。若在规定时间内无法解除故障，由供应商提供免费备件服务。</w:t>
      </w:r>
    </w:p>
    <w:p w14:paraId="7D4FDC76">
      <w:pPr>
        <w:jc w:val="center"/>
        <w:rPr>
          <w:rFonts w:hint="eastAsia" w:ascii="黑体" w:hAnsi="黑体" w:eastAsia="黑体" w:cs="黑体"/>
          <w:i w:val="0"/>
          <w:iCs/>
          <w:kern w:val="0"/>
          <w:sz w:val="30"/>
          <w:szCs w:val="30"/>
          <w:highlight w:val="none"/>
          <w:u w:val="none"/>
          <w:lang w:val="en-US" w:eastAsia="zh-CN" w:bidi="ar-SA"/>
        </w:rPr>
      </w:pPr>
    </w:p>
    <w:p w14:paraId="54D8E53B">
      <w:pPr>
        <w:pStyle w:val="52"/>
        <w:rPr>
          <w:rFonts w:hint="eastAsia" w:ascii="宋体" w:hAnsi="宋体" w:eastAsia="宋体" w:cs="宋体"/>
          <w:b/>
          <w:bCs/>
          <w:color w:val="auto"/>
          <w:kern w:val="2"/>
          <w:sz w:val="21"/>
          <w:szCs w:val="24"/>
          <w:highlight w:val="none"/>
          <w:lang w:val="en-US" w:eastAsia="zh-CN" w:bidi="ar-SA"/>
        </w:rPr>
      </w:pPr>
    </w:p>
    <w:p w14:paraId="41737D04">
      <w:pPr>
        <w:pStyle w:val="52"/>
        <w:rPr>
          <w:rFonts w:hint="eastAsia" w:ascii="宋体" w:hAnsi="宋体" w:eastAsia="宋体" w:cs="宋体"/>
          <w:b/>
          <w:bCs/>
          <w:color w:val="auto"/>
          <w:kern w:val="2"/>
          <w:sz w:val="21"/>
          <w:szCs w:val="24"/>
          <w:highlight w:val="none"/>
          <w:lang w:val="en-US" w:eastAsia="zh-CN" w:bidi="ar-SA"/>
        </w:rPr>
      </w:pPr>
    </w:p>
    <w:p w14:paraId="160A0B67">
      <w:pPr>
        <w:pStyle w:val="52"/>
        <w:ind w:left="0" w:leftChars="0" w:firstLine="0" w:firstLineChars="0"/>
        <w:rPr>
          <w:rFonts w:hint="eastAsia" w:ascii="宋体" w:hAnsi="宋体" w:eastAsia="宋体" w:cs="宋体"/>
          <w:b/>
          <w:bCs/>
          <w:color w:val="auto"/>
          <w:kern w:val="2"/>
          <w:sz w:val="21"/>
          <w:szCs w:val="24"/>
          <w:highlight w:val="none"/>
          <w:lang w:val="en-US" w:eastAsia="zh-CN" w:bidi="ar-SA"/>
        </w:rPr>
      </w:pPr>
    </w:p>
    <w:p w14:paraId="22B3C3CB">
      <w:pPr>
        <w:pStyle w:val="52"/>
        <w:ind w:left="0" w:leftChars="0" w:firstLine="0" w:firstLineChars="0"/>
        <w:rPr>
          <w:rFonts w:hint="eastAsia" w:ascii="宋体" w:hAnsi="宋体" w:eastAsia="宋体" w:cs="宋体"/>
          <w:b/>
          <w:bCs/>
          <w:color w:val="auto"/>
          <w:kern w:val="2"/>
          <w:sz w:val="21"/>
          <w:szCs w:val="24"/>
          <w:highlight w:val="none"/>
          <w:lang w:val="en-US" w:eastAsia="zh-CN" w:bidi="ar-SA"/>
        </w:rPr>
      </w:pPr>
    </w:p>
    <w:p w14:paraId="0B2E64F1">
      <w:pPr>
        <w:pStyle w:val="52"/>
        <w:ind w:left="0" w:leftChars="0" w:firstLine="0" w:firstLineChars="0"/>
        <w:rPr>
          <w:rFonts w:hint="eastAsia" w:ascii="宋体" w:hAnsi="宋体" w:eastAsia="宋体" w:cs="宋体"/>
          <w:b/>
          <w:bCs/>
          <w:color w:val="auto"/>
          <w:kern w:val="2"/>
          <w:sz w:val="21"/>
          <w:szCs w:val="24"/>
          <w:highlight w:val="none"/>
          <w:lang w:val="en-US" w:eastAsia="zh-CN" w:bidi="ar-SA"/>
        </w:rPr>
      </w:pPr>
    </w:p>
    <w:p w14:paraId="6111F88A">
      <w:pPr>
        <w:pStyle w:val="52"/>
        <w:ind w:left="0" w:leftChars="0" w:firstLine="0" w:firstLineChars="0"/>
        <w:rPr>
          <w:rFonts w:hint="eastAsia" w:ascii="宋体" w:hAnsi="宋体" w:eastAsia="宋体" w:cs="宋体"/>
          <w:b/>
          <w:bCs/>
          <w:color w:val="auto"/>
          <w:kern w:val="2"/>
          <w:sz w:val="21"/>
          <w:szCs w:val="24"/>
          <w:highlight w:val="none"/>
          <w:lang w:val="en-US" w:eastAsia="zh-CN" w:bidi="ar-SA"/>
        </w:rPr>
        <w:sectPr>
          <w:footerReference r:id="rId5" w:type="default"/>
          <w:pgSz w:w="11906" w:h="16838"/>
          <w:pgMar w:top="1417" w:right="1474" w:bottom="1417" w:left="1474" w:header="851" w:footer="624" w:gutter="0"/>
          <w:pgNumType w:fmt="decimal"/>
          <w:cols w:space="720" w:num="1"/>
          <w:docGrid w:type="lines" w:linePitch="319" w:charSpace="0"/>
        </w:sect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C9B7F06">
            <w:pPr>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kern w:val="0"/>
                <w:sz w:val="21"/>
                <w:szCs w:val="21"/>
                <w:highlight w:val="none"/>
                <w:u w:val="none"/>
                <w:lang w:val="en-US" w:eastAsia="zh-CN" w:bidi="ar-SA"/>
              </w:rPr>
              <w:t xml:space="preserve">交货期                 </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14"/>
              <w:ind w:left="0" w:leftChars="0"/>
              <w:jc w:val="lef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i w:val="0"/>
                <w:iCs/>
                <w:kern w:val="0"/>
                <w:sz w:val="21"/>
                <w:szCs w:val="21"/>
                <w:highlight w:val="none"/>
                <w:u w:val="none"/>
                <w:lang w:val="en-US" w:eastAsia="zh-CN" w:bidi="ar-SA"/>
              </w:rPr>
              <w:t xml:space="preserve">合同签订后30日内  </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widowControl/>
              <w:spacing w:line="360" w:lineRule="exact"/>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kern w:val="0"/>
                <w:sz w:val="21"/>
                <w:szCs w:val="21"/>
                <w:highlight w:val="none"/>
                <w:u w:val="none"/>
                <w:lang w:val="en-US" w:eastAsia="zh-CN" w:bidi="ar-SA"/>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4"/>
              <w:ind w:left="0" w:leftChar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1年 </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widowControl/>
              <w:spacing w:line="360" w:lineRule="exact"/>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kern w:val="0"/>
                <w:sz w:val="21"/>
                <w:szCs w:val="21"/>
                <w:highlight w:val="none"/>
                <w:u w:val="none"/>
                <w:lang w:val="en-US" w:eastAsia="zh-CN" w:bidi="ar-SA"/>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4"/>
              <w:ind w:left="0" w:leftChar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kern w:val="0"/>
                <w:sz w:val="21"/>
                <w:szCs w:val="21"/>
                <w:highlight w:val="none"/>
                <w:u w:val="none"/>
                <w:lang w:val="en-US" w:eastAsia="zh-CN" w:bidi="ar-SA"/>
              </w:rPr>
              <w:t>以合同约定为准</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D835AD8">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sz w:val="21"/>
                <w:szCs w:val="21"/>
                <w:u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05BA776A">
            <w:pPr>
              <w:pStyle w:val="14"/>
              <w:ind w:left="0" w:leftChar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sz w:val="21"/>
                <w:szCs w:val="21"/>
                <w:u w:val="none"/>
                <w:lang w:val="en-US" w:eastAsia="zh-CN"/>
              </w:rPr>
              <w:t>符合国家有关法律法规及行业标准要求，</w:t>
            </w:r>
            <w:r>
              <w:rPr>
                <w:rFonts w:hint="eastAsia" w:ascii="宋体" w:hAnsi="宋体" w:eastAsia="宋体" w:cs="宋体"/>
                <w:color w:val="auto"/>
                <w:kern w:val="2"/>
                <w:sz w:val="21"/>
                <w:szCs w:val="21"/>
                <w:highlight w:val="none"/>
                <w:u w:val="none"/>
                <w:lang w:val="en-US" w:eastAsia="zh-CN" w:bidi="ar-SA"/>
              </w:rPr>
              <w:t>满足采购人需求</w:t>
            </w:r>
            <w:r>
              <w:rPr>
                <w:rFonts w:hint="eastAsia" w:ascii="宋体" w:hAnsi="宋体" w:eastAsia="宋体" w:cs="宋体"/>
                <w:kern w:val="2"/>
                <w:sz w:val="21"/>
                <w:szCs w:val="21"/>
                <w:u w:val="none"/>
                <w:lang w:val="en-US" w:eastAsia="zh-CN" w:bidi="ar-SA"/>
              </w:rPr>
              <w:t xml:space="preserve"> </w:t>
            </w:r>
            <w:r>
              <w:rPr>
                <w:rFonts w:hint="eastAsia" w:ascii="宋体" w:hAnsi="宋体" w:eastAsia="宋体" w:cs="宋体"/>
                <w:b w:val="0"/>
                <w:bCs w:val="0"/>
                <w:color w:val="000000"/>
                <w:sz w:val="21"/>
                <w:szCs w:val="21"/>
                <w:u w:val="none"/>
                <w:lang w:val="en-US" w:eastAsia="zh-CN"/>
              </w:rPr>
              <w:t xml:space="preserve">  </w:t>
            </w:r>
          </w:p>
        </w:tc>
      </w:tr>
    </w:tbl>
    <w:p w14:paraId="4F49E085">
      <w:pPr>
        <w:pStyle w:val="23"/>
        <w:rPr>
          <w:rFonts w:hint="eastAsia" w:ascii="宋体" w:hAnsi="宋体" w:eastAsia="宋体" w:cs="宋体"/>
          <w:color w:val="auto"/>
          <w:highlight w:val="none"/>
        </w:rPr>
      </w:pPr>
    </w:p>
    <w:p w14:paraId="0B4EE89E">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D663C3">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9566"/>
            <w:bookmarkStart w:id="37" w:name="_Toc30169"/>
            <w:bookmarkStart w:id="38" w:name="_Toc27817"/>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w:t>
            </w:r>
            <w:r>
              <w:rPr>
                <w:rFonts w:hint="eastAsia" w:ascii="宋体" w:hAnsi="宋体" w:eastAsia="宋体" w:cs="宋体"/>
                <w:sz w:val="21"/>
                <w:szCs w:val="21"/>
                <w:vertAlign w:val="baseline"/>
                <w:lang w:val="en-US" w:eastAsia="zh-CN"/>
              </w:rPr>
              <w:t>妇儿院区配电室电抗补偿柜维修</w:t>
            </w:r>
            <w:r>
              <w:rPr>
                <w:rFonts w:hint="eastAsia" w:ascii="宋体" w:hAnsi="宋体" w:cs="宋体"/>
                <w:color w:val="auto"/>
                <w:highlight w:val="none"/>
                <w:lang w:val="en-US" w:eastAsia="zh-CN"/>
              </w:rPr>
              <w:t>服务项目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3424"/>
            <w:bookmarkStart w:id="40" w:name="_Toc29400"/>
            <w:bookmarkStart w:id="41" w:name="_Toc2832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3148"/>
            <w:bookmarkStart w:id="44"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2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13万元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13</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5" name="文本框 5"/>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3E0S5FwCAACa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Wp7V3SAAAA&#10;BwEAAA8AAAAAAAAAAQAgAAAAIgAAAGRycy9kb3ducmV2LnhtbFBLAQIUABQAAAAIAIdO4kDcTRLk&#10;XAIAAJoEAAAOAAAAAAAAAAEAIAAAACEBAABkcnMvZTJvRG9jLnhtbFBLBQYAAAAABgAGAFkBAADv&#10;BQ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46ED7F48">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7255D3CB">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52CF414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13万元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 xml:space="preserve"> 13万元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1FEEB7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12458C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4AA1CE4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29A7843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84BCF5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B56E080">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7D9C72E">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D48B700">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46D2ECE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 xml:space="preserve">（1）具有建设行政主管部门颁发的电力工程施工总承包叁级（含）以上资质或输变电工程专业承包叁级（含）以上资质或承装类承装（修、试）电力设施许可证肆级（含）以上资质，具有合格有效的企业安全生产许可证；                                                </w:t>
      </w:r>
    </w:p>
    <w:p w14:paraId="202D258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 xml:space="preserve">（2）拟派项目经理须具有有效的机电工程专业二级及以上注册建造师资格证书，具备有效的安全生产考核合格证书。  </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32"/>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eastAsia="宋体" w:cs="宋体"/>
          <w:color w:val="auto"/>
          <w:szCs w:val="21"/>
          <w:highlight w:val="none"/>
          <w:shd w:val="clear" w:color="auto" w:fill="FFFFFF"/>
        </w:rPr>
        <w:t>合同履行期限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rPr>
        <w:t>等不满足竞争性磋商文件要求的。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）不符合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4E200004">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autoSpaceDE/>
        <w:autoSpaceDN/>
        <w:bidi w:val="0"/>
        <w:adjustRightInd/>
        <w:snapToGrid w:val="0"/>
        <w:spacing w:line="336" w:lineRule="auto"/>
        <w:ind w:firstLine="422"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autoSpaceDE/>
        <w:autoSpaceDN/>
        <w:bidi w:val="0"/>
        <w:adjustRightInd/>
        <w:snapToGrid w:val="0"/>
        <w:spacing w:line="336"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autoSpaceDE/>
        <w:autoSpaceDN/>
        <w:bidi w:val="0"/>
        <w:adjustRightInd/>
        <w:snapToGrid w:val="0"/>
        <w:spacing w:line="336"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3"/>
        </w:numPr>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569FAD42">
      <w:pPr>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36"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autoSpaceDE/>
        <w:autoSpaceDN/>
        <w:bidi w:val="0"/>
        <w:adjustRightInd/>
        <w:snapToGrid w:val="0"/>
        <w:spacing w:line="336" w:lineRule="auto"/>
        <w:ind w:firstLine="472" w:firstLineChars="224"/>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2A75D7C1">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keepNext w:val="0"/>
        <w:keepLines w:val="0"/>
        <w:pageBreakBefore w:val="0"/>
        <w:widowControl w:val="0"/>
        <w:kinsoku/>
        <w:wordWrap/>
        <w:overflowPunct/>
        <w:topLinePunct w:val="0"/>
        <w:autoSpaceDE/>
        <w:autoSpaceDN/>
        <w:bidi w:val="0"/>
        <w:adjustRightIn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62"/>
        <w:gridCol w:w="6922"/>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center"/>
          </w:tcPr>
          <w:p w14:paraId="30F21E9D">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价格标部分</w:t>
            </w:r>
            <w:r>
              <w:rPr>
                <w:rFonts w:hint="eastAsia" w:ascii="宋体" w:hAnsi="宋体" w:eastAsia="宋体" w:cs="宋体"/>
                <w:b w:val="0"/>
                <w:bCs w:val="0"/>
                <w:color w:val="auto"/>
                <w:sz w:val="21"/>
                <w:szCs w:val="21"/>
                <w:highlight w:val="none"/>
                <w:lang w:val="en-US" w:eastAsia="zh-CN"/>
              </w:rPr>
              <w:t>30分</w:t>
            </w:r>
          </w:p>
        </w:tc>
        <w:tc>
          <w:tcPr>
            <w:tcW w:w="8284" w:type="dxa"/>
            <w:gridSpan w:val="2"/>
            <w:noWrap w:val="0"/>
            <w:vAlign w:val="center"/>
          </w:tcPr>
          <w:p w14:paraId="16844689">
            <w:pPr>
              <w:pStyle w:val="49"/>
              <w:snapToGrid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6B92A6EC">
            <w:pPr>
              <w:pStyle w:val="49"/>
              <w:snapToGrid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有效磋商报价：磋商报价不高于采购预算价的为有效磋商报价。</w:t>
            </w:r>
          </w:p>
          <w:p w14:paraId="741A8B91">
            <w:pPr>
              <w:pStyle w:val="49"/>
              <w:snapToGrid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评标基准值的确定：满足采购文件要求且磋商价格最低的有效磋商报价为评标基准价。</w:t>
            </w:r>
          </w:p>
          <w:p w14:paraId="05B45A43">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磋商报价得分=（评标基准价/有效磋商报价）×30分</w:t>
            </w:r>
          </w:p>
        </w:tc>
      </w:tr>
      <w:tr w14:paraId="57BB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198" w:type="dxa"/>
            <w:vMerge w:val="restart"/>
            <w:noWrap w:val="0"/>
            <w:vAlign w:val="center"/>
          </w:tcPr>
          <w:p w14:paraId="6951DAC0">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cs="宋体"/>
                <w:b w:val="0"/>
                <w:bCs w:val="0"/>
                <w:color w:val="auto"/>
                <w:sz w:val="21"/>
                <w:szCs w:val="21"/>
                <w:highlight w:val="none"/>
                <w:lang w:val="en-US" w:eastAsia="zh-CN"/>
              </w:rPr>
              <w:t>39</w:t>
            </w:r>
            <w:r>
              <w:rPr>
                <w:rFonts w:hint="eastAsia" w:ascii="宋体" w:hAnsi="宋体" w:eastAsia="宋体" w:cs="宋体"/>
                <w:b w:val="0"/>
                <w:bCs w:val="0"/>
                <w:color w:val="auto"/>
                <w:sz w:val="21"/>
                <w:szCs w:val="21"/>
                <w:highlight w:val="none"/>
                <w:lang w:val="en-US" w:eastAsia="zh-CN"/>
              </w:rPr>
              <w:t>分）</w:t>
            </w:r>
          </w:p>
        </w:tc>
        <w:tc>
          <w:tcPr>
            <w:tcW w:w="1362" w:type="dxa"/>
            <w:shd w:val="clear" w:color="auto" w:fill="auto"/>
            <w:noWrap w:val="0"/>
            <w:vAlign w:val="center"/>
          </w:tcPr>
          <w:p w14:paraId="0240538B">
            <w:pPr>
              <w:pStyle w:val="99"/>
              <w:wordWrap w:val="0"/>
              <w:spacing w:line="3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1.技术参数（20分）</w:t>
            </w:r>
          </w:p>
        </w:tc>
        <w:tc>
          <w:tcPr>
            <w:tcW w:w="6922" w:type="dxa"/>
            <w:shd w:val="clear" w:color="auto" w:fill="auto"/>
            <w:noWrap w:val="0"/>
            <w:vAlign w:val="center"/>
          </w:tcPr>
          <w:p w14:paraId="36E0FF4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供应商对“第二章 采购需求 三、技术要求”技术参数的响应，全部满足磋商文件要求得20分，不满足的扣4分，扣完为止；如得分为0，则磋商无效。</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198" w:type="dxa"/>
            <w:vMerge w:val="continue"/>
            <w:noWrap w:val="0"/>
            <w:vAlign w:val="center"/>
          </w:tcPr>
          <w:p w14:paraId="7D578B06">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p>
        </w:tc>
        <w:tc>
          <w:tcPr>
            <w:tcW w:w="1362" w:type="dxa"/>
            <w:shd w:val="clear" w:color="auto" w:fill="auto"/>
            <w:noWrap w:val="0"/>
            <w:vAlign w:val="center"/>
          </w:tcPr>
          <w:p w14:paraId="5960FBB0">
            <w:pPr>
              <w:pStyle w:val="99"/>
              <w:wordWrap w:val="0"/>
              <w:spacing w:line="32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.实施方案（</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分）</w:t>
            </w:r>
          </w:p>
        </w:tc>
        <w:tc>
          <w:tcPr>
            <w:tcW w:w="6922" w:type="dxa"/>
            <w:shd w:val="clear" w:color="auto" w:fill="auto"/>
            <w:noWrap w:val="0"/>
            <w:vAlign w:val="center"/>
          </w:tcPr>
          <w:p w14:paraId="01A97D1C">
            <w:pPr>
              <w:pStyle w:val="99"/>
              <w:wordWrap w:val="0"/>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根据供应商制定的</w:t>
            </w:r>
            <w:r>
              <w:rPr>
                <w:rFonts w:hint="eastAsia" w:ascii="宋体" w:hAnsi="宋体" w:cs="宋体"/>
                <w:color w:val="auto"/>
                <w:sz w:val="21"/>
                <w:szCs w:val="21"/>
                <w:lang w:val="en-US" w:eastAsia="zh-CN"/>
              </w:rPr>
              <w:t>实施方案</w:t>
            </w:r>
            <w:r>
              <w:rPr>
                <w:rFonts w:hint="eastAsia" w:ascii="宋体" w:hAnsi="宋体" w:eastAsia="宋体" w:cs="宋体"/>
                <w:color w:val="auto"/>
                <w:sz w:val="21"/>
                <w:szCs w:val="21"/>
                <w:highlight w:val="none"/>
              </w:rPr>
              <w:t>进行打分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包括</w:t>
            </w:r>
            <w:r>
              <w:rPr>
                <w:rFonts w:hint="eastAsia" w:ascii="宋体" w:hAnsi="宋体" w:eastAsia="宋体" w:cs="宋体"/>
                <w:color w:val="auto"/>
                <w:sz w:val="21"/>
                <w:szCs w:val="21"/>
                <w:highlight w:val="none"/>
              </w:rPr>
              <w:t>但不仅限于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rPr>
              <w:t>安装</w:t>
            </w:r>
            <w:r>
              <w:rPr>
                <w:rFonts w:hint="eastAsia" w:ascii="宋体" w:hAnsi="宋体" w:cs="宋体"/>
                <w:color w:val="auto"/>
                <w:sz w:val="21"/>
                <w:szCs w:val="21"/>
                <w:lang w:val="en-US" w:eastAsia="zh-CN"/>
              </w:rPr>
              <w:t>技术、安装进度计划</w:t>
            </w:r>
            <w:r>
              <w:rPr>
                <w:rFonts w:hint="eastAsia" w:ascii="宋体" w:hAnsi="宋体" w:eastAsia="宋体" w:cs="宋体"/>
                <w:color w:val="auto"/>
                <w:sz w:val="21"/>
                <w:szCs w:val="21"/>
              </w:rPr>
              <w:t>及调试</w:t>
            </w:r>
            <w:r>
              <w:rPr>
                <w:rFonts w:hint="eastAsia" w:ascii="宋体" w:hAnsi="宋体" w:cs="宋体"/>
                <w:color w:val="auto"/>
                <w:sz w:val="21"/>
                <w:szCs w:val="21"/>
                <w:lang w:val="en-US" w:eastAsia="zh-CN"/>
              </w:rPr>
              <w:t>验收</w:t>
            </w:r>
            <w:r>
              <w:rPr>
                <w:rFonts w:hint="eastAsia" w:ascii="宋体" w:hAnsi="宋体" w:eastAsia="宋体" w:cs="宋体"/>
                <w:color w:val="auto"/>
                <w:sz w:val="21"/>
                <w:szCs w:val="21"/>
              </w:rPr>
              <w:t>（安装技术方案的合理性、施工过程管理、与其他单位配合情况等）</w:t>
            </w:r>
          </w:p>
          <w:p w14:paraId="0FFE168D">
            <w:pPr>
              <w:pStyle w:val="99"/>
              <w:wordWrap w:val="0"/>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安装进度计划合理，质量保证措施完善，与其他单位配合措施详细，调试验收方案完备的，得</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分；</w:t>
            </w:r>
          </w:p>
          <w:p w14:paraId="2BFF1BDC">
            <w:pPr>
              <w:pStyle w:val="99"/>
              <w:wordWrap w:val="0"/>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安装进度计划合理，质量保证措施完善，与其他单位配合措施详细，调试验收方案基本满足招标要求的，得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p w14:paraId="22993C70">
            <w:pPr>
              <w:pStyle w:val="99"/>
              <w:wordWrap w:val="0"/>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安装进度计划合理，质量保证措施完善，与其他单位配合措施详细，调试验收方案描述一般的，得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p w14:paraId="1524EEA9">
            <w:pPr>
              <w:pStyle w:val="99"/>
              <w:wordWrap w:val="0"/>
              <w:spacing w:line="320" w:lineRule="exact"/>
              <w:jc w:val="left"/>
              <w:rPr>
                <w:rFonts w:hint="default" w:ascii="宋体" w:hAnsi="宋体" w:eastAsia="宋体" w:cs="宋体"/>
                <w:sz w:val="21"/>
                <w:szCs w:val="21"/>
                <w:lang w:val="en-US" w:eastAsia="zh-CN"/>
              </w:rPr>
            </w:pPr>
            <w:r>
              <w:rPr>
                <w:rFonts w:hint="eastAsia" w:ascii="宋体" w:hAnsi="宋体" w:eastAsia="宋体" w:cs="宋体"/>
                <w:sz w:val="21"/>
                <w:szCs w:val="21"/>
              </w:rPr>
              <w:t>未提供不得分。</w:t>
            </w:r>
          </w:p>
        </w:tc>
      </w:tr>
      <w:tr w14:paraId="5D2D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98" w:type="dxa"/>
            <w:vMerge w:val="continue"/>
            <w:noWrap w:val="0"/>
            <w:vAlign w:val="center"/>
          </w:tcPr>
          <w:p w14:paraId="3444B052">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shd w:val="clear" w:color="auto" w:fill="auto"/>
            <w:noWrap w:val="0"/>
            <w:vAlign w:val="center"/>
          </w:tcPr>
          <w:p w14:paraId="771BCAF1">
            <w:pPr>
              <w:snapToGrid w:val="0"/>
              <w:spacing w:line="32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.备品备件</w:t>
            </w:r>
          </w:p>
          <w:p w14:paraId="64815355">
            <w:pPr>
              <w:snapToGrid w:val="0"/>
              <w:spacing w:line="32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tc>
        <w:tc>
          <w:tcPr>
            <w:tcW w:w="6922" w:type="dxa"/>
            <w:shd w:val="clear" w:color="auto" w:fill="auto"/>
            <w:noWrap w:val="0"/>
            <w:vAlign w:val="center"/>
          </w:tcPr>
          <w:p w14:paraId="150B0374">
            <w:pPr>
              <w:widowControl/>
              <w:snapToGrid w:val="0"/>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根据供应商针对本项目提供的备件库距离、备件种类及数量情况、备件质量保证措施进行评分。</w:t>
            </w:r>
          </w:p>
          <w:p w14:paraId="70060E52">
            <w:pPr>
              <w:widowControl/>
              <w:snapToGrid w:val="0"/>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备件库备件种类、数量及方便性完全满足采购人需求的得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p w14:paraId="273CBCC6">
            <w:pPr>
              <w:widowControl/>
              <w:snapToGrid w:val="0"/>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备件库备件种类、数量及方便性基本满足采购人需求的得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30A5A857">
            <w:pPr>
              <w:widowControl/>
              <w:snapToGrid w:val="0"/>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备件库备件种类、数量及方便性能一般满足采购人需求的得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p w14:paraId="72AFD5C3">
            <w:pPr>
              <w:widowControl/>
              <w:snapToGrid w:val="0"/>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缺项的得0分。</w:t>
            </w:r>
          </w:p>
          <w:p w14:paraId="5F668BCB">
            <w:pPr>
              <w:widowControl/>
              <w:snapToGrid w:val="0"/>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（注：需提供备件库租赁或买卖合同）。</w:t>
            </w:r>
          </w:p>
        </w:tc>
      </w:tr>
      <w:tr w14:paraId="4735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198" w:type="dxa"/>
            <w:vMerge w:val="continue"/>
            <w:noWrap w:val="0"/>
            <w:vAlign w:val="center"/>
          </w:tcPr>
          <w:p w14:paraId="58BB2390">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shd w:val="clear" w:color="auto" w:fill="auto"/>
            <w:noWrap w:val="0"/>
            <w:vAlign w:val="center"/>
          </w:tcPr>
          <w:p w14:paraId="14A71586">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.应急响应措施（</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922" w:type="dxa"/>
            <w:shd w:val="clear" w:color="auto" w:fill="auto"/>
            <w:noWrap w:val="0"/>
            <w:vAlign w:val="center"/>
          </w:tcPr>
          <w:p w14:paraId="315463EA">
            <w:pPr>
              <w:widowControl/>
              <w:snapToGrid w:val="0"/>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针对本项目采购需求，提供应急服务方案及保障措施，包括但不仅限于：应急响应流程及响应时间、应急保障措施、意外事故应急预案等。</w:t>
            </w:r>
          </w:p>
          <w:p w14:paraId="74ED1F42">
            <w:pPr>
              <w:widowControl/>
              <w:snapToGrid w:val="0"/>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内容详实，方案科学、合理，有完整的处理流程，应急保障方案具备快速响应能力，各项处理措施详细完善，完全能够满足项目的需要者，得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66FF2D3">
            <w:pPr>
              <w:widowControl/>
              <w:snapToGrid w:val="0"/>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内容完整，具有完整的处理流程和应急保障方案，可以满足项目的需要，但有个别细节需要进一步完善或提高的，得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1036B43">
            <w:pPr>
              <w:widowControl/>
              <w:snapToGrid w:val="0"/>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方案不完整、内容简单、未贴合项目实际，得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F027269">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缺项的得0分。</w:t>
            </w:r>
          </w:p>
        </w:tc>
      </w:tr>
      <w:tr w14:paraId="2DA6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restart"/>
            <w:noWrap w:val="0"/>
            <w:vAlign w:val="center"/>
          </w:tcPr>
          <w:p w14:paraId="4665D472">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r>
              <w:rPr>
                <w:rFonts w:hint="eastAsia" w:ascii="宋体" w:hAnsi="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lang w:eastAsia="zh-CN"/>
              </w:rPr>
              <w:t>）</w:t>
            </w:r>
          </w:p>
          <w:p w14:paraId="29A2EA6B">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vMerge w:val="restart"/>
            <w:tcBorders>
              <w:top w:val="single" w:color="auto" w:sz="4" w:space="0"/>
            </w:tcBorders>
            <w:shd w:val="clear" w:color="auto" w:fill="auto"/>
            <w:noWrap w:val="0"/>
            <w:vAlign w:val="center"/>
          </w:tcPr>
          <w:p w14:paraId="2B807783">
            <w:pPr>
              <w:pStyle w:val="100"/>
              <w:spacing w:beforeLines="0" w:after="0" w:line="320" w:lineRule="exact"/>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1.团队人员配备（</w:t>
            </w:r>
            <w:r>
              <w:rPr>
                <w:rFonts w:hint="eastAsia" w:ascii="宋体" w:hAnsi="宋体" w:cs="宋体"/>
                <w:sz w:val="21"/>
                <w:szCs w:val="21"/>
                <w:lang w:val="en-US" w:eastAsia="zh-CN"/>
              </w:rPr>
              <w:t>15</w:t>
            </w:r>
            <w:r>
              <w:rPr>
                <w:rFonts w:hint="eastAsia" w:ascii="宋体" w:hAnsi="宋体" w:eastAsia="宋体" w:cs="宋体"/>
                <w:sz w:val="21"/>
                <w:szCs w:val="21"/>
              </w:rPr>
              <w:t>分）</w:t>
            </w:r>
          </w:p>
        </w:tc>
        <w:tc>
          <w:tcPr>
            <w:tcW w:w="6922" w:type="dxa"/>
            <w:shd w:val="clear" w:color="auto" w:fill="auto"/>
            <w:noWrap w:val="0"/>
            <w:vAlign w:val="center"/>
          </w:tcPr>
          <w:p w14:paraId="7CA6DA80">
            <w:pPr>
              <w:pStyle w:val="100"/>
              <w:spacing w:beforeLines="0" w:after="0" w:line="320" w:lineRule="exact"/>
              <w:ind w:firstLine="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color w:val="auto"/>
                <w:sz w:val="21"/>
                <w:szCs w:val="21"/>
                <w:highlight w:val="none"/>
                <w:shd w:val="clear" w:color="auto" w:fill="FFFFFF"/>
                <w:lang w:val="en-US" w:eastAsia="zh-CN"/>
              </w:rPr>
              <w:t>项目经理</w:t>
            </w:r>
            <w:r>
              <w:rPr>
                <w:rFonts w:hint="eastAsia" w:ascii="宋体" w:hAnsi="宋体" w:eastAsia="宋体" w:cs="宋体"/>
                <w:sz w:val="21"/>
                <w:szCs w:val="21"/>
                <w:highlight w:val="none"/>
              </w:rPr>
              <w:t>：具有高级职称（机电、机械或电气相关专业）或高级技工的，每提供一</w:t>
            </w:r>
            <w:r>
              <w:rPr>
                <w:rFonts w:hint="eastAsia" w:ascii="宋体" w:hAnsi="宋体" w:eastAsia="宋体" w:cs="宋体"/>
                <w:sz w:val="21"/>
                <w:szCs w:val="21"/>
                <w:highlight w:val="none"/>
                <w:lang w:val="en-US" w:eastAsia="zh-CN"/>
              </w:rPr>
              <w:t>份</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41DD5C74">
            <w:pPr>
              <w:pStyle w:val="100"/>
              <w:spacing w:beforeLines="0" w:after="0" w:line="320" w:lineRule="exact"/>
              <w:ind w:firstLine="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专业技术人员：具有中级职称（机电、机械或电气相关专业）或高级技工的，每</w:t>
            </w:r>
            <w:r>
              <w:rPr>
                <w:rFonts w:hint="eastAsia" w:ascii="宋体" w:hAnsi="宋体" w:eastAsia="宋体" w:cs="宋体"/>
                <w:sz w:val="21"/>
                <w:szCs w:val="21"/>
                <w:highlight w:val="none"/>
                <w:lang w:val="en-US" w:eastAsia="zh-CN"/>
              </w:rPr>
              <w:t>提供一份</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68153CDC">
            <w:pPr>
              <w:pStyle w:val="100"/>
              <w:spacing w:beforeLines="0" w:after="0" w:line="32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以上人员需提供相关证书及</w:t>
            </w:r>
            <w:r>
              <w:rPr>
                <w:rFonts w:hint="eastAsia" w:ascii="宋体" w:hAnsi="宋体" w:eastAsia="宋体" w:cs="宋体"/>
                <w:sz w:val="21"/>
                <w:szCs w:val="21"/>
                <w:highlight w:val="none"/>
                <w:lang w:val="en-US" w:eastAsia="zh-CN"/>
              </w:rPr>
              <w:t>采购活动近三个月或上一季度任一个月的</w:t>
            </w:r>
            <w:r>
              <w:rPr>
                <w:rFonts w:hint="eastAsia" w:ascii="宋体" w:hAnsi="宋体" w:eastAsia="宋体" w:cs="宋体"/>
                <w:sz w:val="21"/>
                <w:szCs w:val="21"/>
                <w:highlight w:val="none"/>
              </w:rPr>
              <w:t>社保证明。</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78A2E46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vMerge w:val="continue"/>
            <w:shd w:val="clear" w:color="auto" w:fill="auto"/>
            <w:noWrap w:val="0"/>
            <w:vAlign w:val="center"/>
          </w:tcPr>
          <w:p w14:paraId="3C018AA2">
            <w:pPr>
              <w:pStyle w:val="100"/>
              <w:spacing w:beforeLines="0" w:after="0" w:line="320" w:lineRule="exact"/>
              <w:ind w:firstLine="0" w:firstLineChars="0"/>
              <w:rPr>
                <w:rFonts w:hint="eastAsia" w:ascii="宋体" w:hAnsi="宋体" w:eastAsia="宋体" w:cs="宋体"/>
                <w:kern w:val="2"/>
                <w:sz w:val="21"/>
                <w:szCs w:val="21"/>
                <w:lang w:val="en-US" w:eastAsia="zh-CN" w:bidi="ar-SA"/>
              </w:rPr>
            </w:pPr>
          </w:p>
        </w:tc>
        <w:tc>
          <w:tcPr>
            <w:tcW w:w="6922" w:type="dxa"/>
            <w:shd w:val="clear" w:color="auto" w:fill="auto"/>
            <w:noWrap w:val="0"/>
            <w:vAlign w:val="center"/>
          </w:tcPr>
          <w:p w14:paraId="1A13896A">
            <w:pPr>
              <w:widowControl/>
              <w:snapToGrid w:val="0"/>
              <w:spacing w:line="32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根据供应商制定的</w:t>
            </w:r>
            <w:r>
              <w:rPr>
                <w:rFonts w:hint="eastAsia" w:ascii="宋体" w:hAnsi="宋体" w:cs="宋体"/>
                <w:color w:val="auto"/>
                <w:sz w:val="21"/>
                <w:szCs w:val="21"/>
                <w:highlight w:val="none"/>
                <w:lang w:val="en-US" w:eastAsia="zh-CN"/>
              </w:rPr>
              <w:t>服务团队人员配备</w:t>
            </w:r>
            <w:r>
              <w:rPr>
                <w:rFonts w:hint="eastAsia" w:ascii="宋体" w:hAnsi="宋体" w:eastAsia="宋体" w:cs="宋体"/>
                <w:color w:val="auto"/>
                <w:sz w:val="21"/>
                <w:szCs w:val="21"/>
                <w:highlight w:val="none"/>
              </w:rPr>
              <w:t>进行打分，包括但不仅限于：</w:t>
            </w:r>
            <w:r>
              <w:rPr>
                <w:rFonts w:hint="eastAsia" w:ascii="宋体" w:hAnsi="宋体" w:eastAsia="宋体" w:cs="宋体"/>
                <w:color w:val="auto"/>
                <w:sz w:val="21"/>
                <w:szCs w:val="21"/>
                <w:highlight w:val="none"/>
                <w:shd w:val="clear"/>
              </w:rPr>
              <w:t>安装队伍经验丰富</w:t>
            </w:r>
            <w:r>
              <w:rPr>
                <w:rFonts w:hint="eastAsia" w:ascii="宋体" w:hAnsi="宋体" w:cs="宋体"/>
                <w:color w:val="auto"/>
                <w:sz w:val="21"/>
                <w:szCs w:val="21"/>
                <w:highlight w:val="none"/>
                <w:shd w:val="clear"/>
                <w:lang w:eastAsia="zh-CN"/>
              </w:rPr>
              <w:t>、</w:t>
            </w:r>
            <w:r>
              <w:rPr>
                <w:rFonts w:hint="eastAsia" w:ascii="宋体" w:hAnsi="宋体" w:eastAsia="宋体" w:cs="宋体"/>
                <w:color w:val="auto"/>
                <w:sz w:val="21"/>
                <w:szCs w:val="21"/>
                <w:highlight w:val="none"/>
              </w:rPr>
              <w:t>团队组织结构、人员分工及职责明确、持证上岗等。</w:t>
            </w:r>
          </w:p>
          <w:p w14:paraId="08EC4ED7">
            <w:pPr>
              <w:widowControl/>
              <w:snapToGrid w:val="0"/>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有明确的管理架构组成、服务团队人员职责，人员配备合理、人员岗位安排分配计划明确，专业技术能力强、经验丰富，完全满足采购需求的得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2ECC9C49">
            <w:pPr>
              <w:widowControl/>
              <w:snapToGrid w:val="0"/>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有完整的管理架构组成及人员职责，人员配备基本合理，专业技术能力及工作经验基本满足采购需求的得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AAE06E5">
            <w:pPr>
              <w:widowControl/>
              <w:snapToGrid w:val="0"/>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方案不完整，人员岗位安排分配及专业能力有待提升的得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0EC4320">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未提供不得分</w:t>
            </w:r>
            <w:r>
              <w:rPr>
                <w:rFonts w:hint="eastAsia" w:ascii="宋体" w:hAnsi="宋体" w:eastAsia="宋体" w:cs="宋体"/>
                <w:color w:val="auto"/>
                <w:sz w:val="21"/>
                <w:szCs w:val="21"/>
                <w:highlight w:val="none"/>
              </w:rPr>
              <w:t>。</w:t>
            </w:r>
          </w:p>
        </w:tc>
      </w:tr>
      <w:tr w14:paraId="45A5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198" w:type="dxa"/>
            <w:vMerge w:val="continue"/>
            <w:noWrap w:val="0"/>
            <w:vAlign w:val="center"/>
          </w:tcPr>
          <w:p w14:paraId="560DB271">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shd w:val="clear" w:color="auto" w:fill="auto"/>
            <w:noWrap w:val="0"/>
            <w:vAlign w:val="center"/>
          </w:tcPr>
          <w:p w14:paraId="3ABC3AA6">
            <w:pPr>
              <w:snapToGrid w:val="0"/>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.质保期</w:t>
            </w:r>
          </w:p>
          <w:p w14:paraId="1D6738F1">
            <w:pPr>
              <w:snapToGrid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c>
          <w:tcPr>
            <w:tcW w:w="6922" w:type="dxa"/>
            <w:shd w:val="clear" w:color="auto" w:fill="auto"/>
            <w:noWrap w:val="0"/>
            <w:vAlign w:val="top"/>
          </w:tcPr>
          <w:p w14:paraId="48FD8E69">
            <w:pPr>
              <w:widowControl/>
              <w:snapToGrid w:val="0"/>
              <w:spacing w:line="36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质保期在满足采购文件的基础上，每增加半年加</w:t>
            </w:r>
            <w:r>
              <w:rPr>
                <w:rFonts w:hint="eastAsia" w:ascii="宋体" w:hAnsi="宋体" w:eastAsia="宋体" w:cs="宋体"/>
                <w:sz w:val="21"/>
                <w:szCs w:val="21"/>
                <w:lang w:val="en-US" w:eastAsia="zh-CN"/>
              </w:rPr>
              <w:t>3</w:t>
            </w:r>
            <w:r>
              <w:rPr>
                <w:rFonts w:hint="eastAsia" w:ascii="宋体" w:hAnsi="宋体" w:eastAsia="宋体" w:cs="宋体"/>
                <w:sz w:val="21"/>
                <w:szCs w:val="21"/>
              </w:rPr>
              <w:t>分,最多加</w:t>
            </w:r>
            <w:r>
              <w:rPr>
                <w:rFonts w:hint="eastAsia" w:ascii="宋体" w:hAnsi="宋体" w:eastAsia="宋体" w:cs="宋体"/>
                <w:sz w:val="21"/>
                <w:szCs w:val="21"/>
                <w:lang w:val="en-US" w:eastAsia="zh-CN"/>
              </w:rPr>
              <w:t>6</w:t>
            </w:r>
            <w:r>
              <w:rPr>
                <w:rFonts w:hint="eastAsia" w:ascii="宋体" w:hAnsi="宋体" w:eastAsia="宋体" w:cs="宋体"/>
                <w:sz w:val="21"/>
                <w:szCs w:val="21"/>
              </w:rPr>
              <w:t>分（出具相关服务承诺书）。</w:t>
            </w:r>
          </w:p>
        </w:tc>
      </w:tr>
      <w:tr w14:paraId="5C99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98" w:type="dxa"/>
            <w:vMerge w:val="continue"/>
            <w:noWrap w:val="0"/>
            <w:vAlign w:val="center"/>
          </w:tcPr>
          <w:p w14:paraId="3501DA37">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shd w:val="clear" w:color="auto" w:fill="auto"/>
            <w:noWrap w:val="0"/>
            <w:vAlign w:val="center"/>
          </w:tcPr>
          <w:p w14:paraId="18CD3624">
            <w:pPr>
              <w:snapToGrid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.类似业绩（</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c>
          <w:tcPr>
            <w:tcW w:w="6922" w:type="dxa"/>
            <w:shd w:val="clear" w:color="auto" w:fill="auto"/>
            <w:noWrap w:val="0"/>
            <w:vAlign w:val="center"/>
          </w:tcPr>
          <w:p w14:paraId="54B17C90">
            <w:pPr>
              <w:widowControl/>
              <w:snapToGrid w:val="0"/>
              <w:spacing w:line="36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自2022年01月01日以来具有的类似项目(以合同文件为准），每提供一份得</w:t>
            </w:r>
            <w:r>
              <w:rPr>
                <w:rFonts w:hint="eastAsia" w:ascii="宋体" w:hAnsi="宋体" w:eastAsia="宋体" w:cs="宋体"/>
                <w:sz w:val="21"/>
                <w:szCs w:val="21"/>
                <w:lang w:val="en-US" w:eastAsia="zh-CN"/>
              </w:rPr>
              <w:t>2</w:t>
            </w:r>
            <w:r>
              <w:rPr>
                <w:rFonts w:hint="eastAsia" w:ascii="宋体" w:hAnsi="宋体" w:eastAsia="宋体" w:cs="宋体"/>
                <w:sz w:val="21"/>
                <w:szCs w:val="21"/>
              </w:rPr>
              <w:t>分，最多得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r>
      <w:tr w14:paraId="6010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5B1F27A9">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shd w:val="clear" w:color="auto" w:fill="auto"/>
            <w:noWrap w:val="0"/>
            <w:vAlign w:val="center"/>
          </w:tcPr>
          <w:p w14:paraId="24154E04">
            <w:pPr>
              <w:snapToGrid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rPr>
              <w:t>.售后服务（</w:t>
            </w:r>
            <w:r>
              <w:rPr>
                <w:rFonts w:hint="eastAsia" w:ascii="宋体" w:hAnsi="宋体" w:cs="宋体"/>
                <w:sz w:val="21"/>
                <w:szCs w:val="21"/>
                <w:lang w:val="en-US" w:eastAsia="zh-CN"/>
              </w:rPr>
              <w:t>6</w:t>
            </w:r>
            <w:r>
              <w:rPr>
                <w:rFonts w:hint="eastAsia" w:ascii="宋体" w:hAnsi="宋体" w:eastAsia="宋体" w:cs="宋体"/>
                <w:sz w:val="21"/>
                <w:szCs w:val="21"/>
              </w:rPr>
              <w:t>分）</w:t>
            </w:r>
          </w:p>
        </w:tc>
        <w:tc>
          <w:tcPr>
            <w:tcW w:w="6922" w:type="dxa"/>
            <w:shd w:val="clear" w:color="auto" w:fill="auto"/>
            <w:noWrap w:val="0"/>
            <w:vAlign w:val="center"/>
          </w:tcPr>
          <w:p w14:paraId="7F755040">
            <w:pPr>
              <w:pStyle w:val="49"/>
              <w:spacing w:line="360" w:lineRule="exact"/>
              <w:jc w:val="both"/>
              <w:rPr>
                <w:rFonts w:hint="eastAsia" w:ascii="宋体" w:hAnsi="宋体" w:eastAsia="宋体" w:cs="宋体"/>
                <w:sz w:val="21"/>
                <w:szCs w:val="21"/>
              </w:rPr>
            </w:pPr>
            <w:r>
              <w:rPr>
                <w:rFonts w:hint="eastAsia" w:ascii="宋体" w:hAnsi="宋体" w:eastAsia="宋体" w:cs="宋体"/>
                <w:sz w:val="21"/>
                <w:szCs w:val="21"/>
              </w:rPr>
              <w:t>根据供应商所提供的售后服务方案，包括但不限于：维保服务团队、响应时间、后期维护方案等综合评定。</w:t>
            </w:r>
          </w:p>
          <w:p w14:paraId="467BCEF4">
            <w:pPr>
              <w:pStyle w:val="49"/>
              <w:spacing w:line="360" w:lineRule="exact"/>
              <w:jc w:val="both"/>
              <w:rPr>
                <w:rFonts w:hint="eastAsia" w:ascii="宋体" w:hAnsi="宋体" w:eastAsia="宋体" w:cs="宋体"/>
                <w:sz w:val="21"/>
                <w:szCs w:val="21"/>
              </w:rPr>
            </w:pPr>
            <w:r>
              <w:rPr>
                <w:rFonts w:hint="eastAsia" w:ascii="宋体" w:hAnsi="宋体" w:eastAsia="宋体" w:cs="宋体"/>
                <w:sz w:val="21"/>
                <w:szCs w:val="21"/>
              </w:rPr>
              <w:t>有详细的售后服务方案、团队人员专业能力强，响应时间快，定期进行系统检修及定期升级的得</w:t>
            </w:r>
            <w:r>
              <w:rPr>
                <w:rFonts w:hint="eastAsia" w:hAnsi="宋体" w:cs="宋体"/>
                <w:sz w:val="21"/>
                <w:szCs w:val="21"/>
                <w:lang w:val="en-US" w:eastAsia="zh-CN"/>
              </w:rPr>
              <w:t>6</w:t>
            </w:r>
            <w:r>
              <w:rPr>
                <w:rFonts w:hint="eastAsia" w:ascii="宋体" w:hAnsi="宋体" w:eastAsia="宋体" w:cs="宋体"/>
                <w:sz w:val="21"/>
                <w:szCs w:val="21"/>
              </w:rPr>
              <w:t>分；</w:t>
            </w:r>
          </w:p>
          <w:p w14:paraId="0896C2A0">
            <w:pPr>
              <w:pStyle w:val="49"/>
              <w:spacing w:line="360" w:lineRule="exact"/>
              <w:jc w:val="both"/>
              <w:rPr>
                <w:rFonts w:hint="eastAsia" w:ascii="宋体" w:hAnsi="宋体" w:eastAsia="宋体" w:cs="宋体"/>
                <w:sz w:val="21"/>
                <w:szCs w:val="21"/>
              </w:rPr>
            </w:pPr>
            <w:r>
              <w:rPr>
                <w:rFonts w:hint="eastAsia" w:ascii="宋体" w:hAnsi="宋体" w:eastAsia="宋体" w:cs="宋体"/>
                <w:sz w:val="21"/>
                <w:szCs w:val="21"/>
              </w:rPr>
              <w:t>售后服务方案、人员及时间基本满足采购需求的得</w:t>
            </w:r>
            <w:r>
              <w:rPr>
                <w:rFonts w:hint="eastAsia" w:hAnsi="宋体" w:cs="宋体"/>
                <w:sz w:val="21"/>
                <w:szCs w:val="21"/>
                <w:lang w:val="en-US" w:eastAsia="zh-CN"/>
              </w:rPr>
              <w:t>4</w:t>
            </w:r>
            <w:r>
              <w:rPr>
                <w:rFonts w:hint="eastAsia" w:ascii="宋体" w:hAnsi="宋体" w:eastAsia="宋体" w:cs="宋体"/>
                <w:sz w:val="21"/>
                <w:szCs w:val="21"/>
              </w:rPr>
              <w:t>分；</w:t>
            </w:r>
          </w:p>
          <w:p w14:paraId="0EC269EA">
            <w:pPr>
              <w:pStyle w:val="49"/>
              <w:spacing w:line="360" w:lineRule="exact"/>
              <w:jc w:val="both"/>
              <w:rPr>
                <w:rFonts w:hint="eastAsia" w:ascii="宋体" w:hAnsi="宋体" w:eastAsia="宋体" w:cs="宋体"/>
                <w:color w:val="000000"/>
                <w:sz w:val="21"/>
                <w:szCs w:val="21"/>
                <w:lang w:val="en-US" w:eastAsia="zh-CN" w:bidi="ar-SA"/>
              </w:rPr>
            </w:pPr>
            <w:r>
              <w:rPr>
                <w:rFonts w:hint="eastAsia" w:ascii="宋体" w:hAnsi="宋体" w:eastAsia="宋体" w:cs="宋体"/>
                <w:sz w:val="21"/>
                <w:szCs w:val="21"/>
              </w:rPr>
              <w:t>方案有待完善的得</w:t>
            </w:r>
            <w:r>
              <w:rPr>
                <w:rFonts w:hint="eastAsia" w:ascii="宋体" w:hAnsi="宋体" w:eastAsia="宋体" w:cs="宋体"/>
                <w:sz w:val="21"/>
                <w:szCs w:val="21"/>
                <w:lang w:val="en-US" w:eastAsia="zh-CN"/>
              </w:rPr>
              <w:t>2</w:t>
            </w:r>
            <w:r>
              <w:rPr>
                <w:rFonts w:hint="eastAsia" w:ascii="宋体" w:hAnsi="宋体" w:eastAsia="宋体" w:cs="宋体"/>
                <w:sz w:val="21"/>
                <w:szCs w:val="21"/>
              </w:rPr>
              <w:t>分；未实质性响应或未提供不得分。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top"/>
          </w:tcPr>
          <w:p w14:paraId="72BBE8EE">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84" w:type="dxa"/>
            <w:gridSpan w:val="2"/>
            <w:noWrap w:val="0"/>
            <w:vAlign w:val="center"/>
          </w:tcPr>
          <w:p w14:paraId="38A897CC">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48F3EEE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256519703"/>
      <w:bookmarkStart w:id="53"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5"/>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4D5CEA9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sz w:val="24"/>
          <w:highlight w:val="none"/>
          <w:lang w:val="en-US" w:eastAsia="zh-CN"/>
        </w:rPr>
        <w:t>竞争性磋商响应书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初次报价一览表（格式）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3B3D72F2">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5"/>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49"/>
        <w:rPr>
          <w:rFonts w:hint="eastAsia" w:ascii="宋体" w:hAnsi="宋体" w:eastAsia="宋体" w:cs="宋体"/>
          <w:b/>
          <w:bCs/>
          <w:color w:val="auto"/>
          <w:highlight w:val="none"/>
        </w:rPr>
      </w:pPr>
    </w:p>
    <w:p w14:paraId="7C048156">
      <w:pPr>
        <w:pStyle w:val="49"/>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9"/>
        <w:spacing w:line="360" w:lineRule="auto"/>
        <w:rPr>
          <w:rFonts w:hint="eastAsia" w:ascii="宋体" w:hAnsi="宋体" w:eastAsia="宋体" w:cs="宋体"/>
          <w:color w:val="auto"/>
          <w:highlight w:val="none"/>
        </w:rPr>
      </w:pPr>
    </w:p>
    <w:p w14:paraId="51E48B65">
      <w:pPr>
        <w:pStyle w:val="49"/>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2"/>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，包括修改文件（如有的话）和有关附件，将自行承担因对全部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的全部规定，接受</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eastAsia="zh-CN"/>
        </w:rPr>
        <w:t>）</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u w:val="single"/>
                <w:lang w:val="en-US" w:eastAsia="zh-CN"/>
              </w:rPr>
              <w:t xml:space="preserve">         </w:t>
            </w:r>
            <w:r>
              <w:rPr>
                <w:rFonts w:hint="eastAsia" w:ascii="宋体" w:hAnsi="宋体" w:cs="宋体"/>
                <w:color w:val="auto"/>
                <w:sz w:val="21"/>
                <w:szCs w:val="21"/>
                <w:highlight w:val="none"/>
                <w:lang w:val="en-US" w:eastAsia="zh-CN"/>
              </w:rPr>
              <w:t>元</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0"/>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0"/>
              <w:ind w:left="0" w:leftChars="0"/>
              <w:rPr>
                <w:rFonts w:hint="eastAsia" w:ascii="宋体" w:hAnsi="宋体" w:eastAsia="宋体" w:cs="宋体"/>
                <w:color w:val="auto"/>
                <w:sz w:val="21"/>
                <w:szCs w:val="21"/>
                <w:highlight w:val="none"/>
              </w:rPr>
            </w:pPr>
          </w:p>
        </w:tc>
      </w:tr>
    </w:tbl>
    <w:p w14:paraId="41762F7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663402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2" w:name="_Toc20877"/>
      <w:bookmarkStart w:id="73" w:name="_Toc11620"/>
      <w:r>
        <w:rPr>
          <w:rFonts w:hint="eastAsia" w:ascii="宋体" w:hAnsi="宋体" w:eastAsia="宋体" w:cs="宋体"/>
          <w:color w:val="auto"/>
          <w:sz w:val="21"/>
          <w:szCs w:val="21"/>
          <w:highlight w:val="none"/>
        </w:rPr>
        <w:t>1、报价一经涂改，应在涂改处加盖单位公章或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代表签字或盖章，否则其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作无效标处理。</w:t>
      </w:r>
    </w:p>
    <w:p w14:paraId="686A40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bookmarkStart w:id="74" w:name="_Toc2747"/>
      <w:r>
        <w:rPr>
          <w:rFonts w:hint="eastAsia" w:ascii="宋体" w:hAnsi="宋体" w:eastAsia="宋体" w:cs="宋体"/>
          <w:color w:val="auto"/>
          <w:sz w:val="21"/>
          <w:szCs w:val="21"/>
          <w:highlight w:val="none"/>
          <w:lang w:val="en-US" w:eastAsia="zh-CN"/>
        </w:rPr>
        <w:t>2、以上报价应与“投标报价明细表”中的报价相一致。</w:t>
      </w:r>
      <w:bookmarkEnd w:id="74"/>
    </w:p>
    <w:p w14:paraId="5DCFBC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若认为符合价格折扣条件的，在“备注”栏内注明符合何种折扣条件，以方便评委评审。 </w:t>
      </w:r>
    </w:p>
    <w:p w14:paraId="19BDE8E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按格式填列，不得自行更改。否则引起的不利后果由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2D5BCB5F">
      <w:pPr>
        <w:spacing w:line="360" w:lineRule="auto"/>
        <w:ind w:firstLine="420" w:firstLineChars="200"/>
        <w:jc w:val="center"/>
        <w:rPr>
          <w:rFonts w:hint="eastAsia" w:ascii="宋体" w:hAnsi="宋体" w:eastAsia="宋体" w:cs="宋体"/>
          <w:color w:val="auto"/>
          <w:szCs w:val="21"/>
          <w:highlight w:val="none"/>
          <w:lang w:eastAsia="zh-CN"/>
        </w:rPr>
      </w:pPr>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5" w:name="_Toc12222"/>
      <w:bookmarkStart w:id="76"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5"/>
      <w:bookmarkEnd w:id="76"/>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7" w:name="_Toc1330"/>
      <w:bookmarkStart w:id="78" w:name="_Toc9950"/>
      <w:r>
        <w:rPr>
          <w:rFonts w:hint="eastAsia" w:ascii="宋体" w:hAnsi="宋体" w:eastAsia="宋体" w:cs="宋体"/>
          <w:color w:val="auto"/>
          <w:szCs w:val="21"/>
          <w:highlight w:val="none"/>
        </w:rPr>
        <w:t>年  月  日</w:t>
      </w:r>
      <w:bookmarkEnd w:id="77"/>
      <w:bookmarkEnd w:id="78"/>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9" w:name="_Toc22004"/>
      <w:bookmarkStart w:id="80"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9"/>
    <w:bookmarkEnd w:id="80"/>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226"/>
      <w:bookmarkStart w:id="82" w:name="_Toc15804"/>
      <w:r>
        <w:rPr>
          <w:rFonts w:hint="eastAsia" w:ascii="宋体" w:hAnsi="宋体" w:eastAsia="宋体" w:cs="宋体"/>
          <w:color w:val="auto"/>
          <w:sz w:val="28"/>
          <w:szCs w:val="28"/>
          <w:highlight w:val="none"/>
          <w:lang w:val="en-US" w:eastAsia="zh-CN"/>
        </w:rPr>
        <w:t>附件4            报价明细表（格式）</w:t>
      </w:r>
    </w:p>
    <w:p w14:paraId="79C39A44">
      <w:pPr>
        <w:jc w:val="right"/>
        <w:rPr>
          <w:rFonts w:hint="eastAsia" w:ascii="宋体" w:hAnsi="宋体" w:cs="宋体"/>
          <w:color w:val="auto"/>
          <w:kern w:val="0"/>
          <w:sz w:val="24"/>
          <w:highlight w:val="none"/>
        </w:rPr>
      </w:pPr>
      <w:r>
        <w:rPr>
          <w:rFonts w:hint="eastAsia" w:ascii="宋体" w:hAnsi="宋体" w:cs="宋体"/>
          <w:color w:val="auto"/>
          <w:kern w:val="0"/>
          <w:sz w:val="24"/>
          <w:highlight w:val="none"/>
        </w:rPr>
        <w:t>金额单位：人民币（元）</w:t>
      </w:r>
    </w:p>
    <w:p w14:paraId="05DE44B9">
      <w:pPr>
        <w:jc w:val="right"/>
        <w:rPr>
          <w:rFonts w:hint="eastAsia" w:ascii="宋体" w:hAnsi="宋体" w:cs="宋体"/>
          <w:color w:val="auto"/>
          <w:kern w:val="0"/>
          <w:sz w:val="24"/>
          <w:highlight w:val="none"/>
          <w:lang w:val="en-US" w:eastAsia="zh-CN"/>
        </w:rPr>
      </w:pPr>
    </w:p>
    <w:tbl>
      <w:tblPr>
        <w:tblStyle w:val="33"/>
        <w:tblpPr w:leftFromText="180" w:rightFromText="180" w:vertAnchor="text" w:horzAnchor="page" w:tblpX="1442" w:tblpY="87"/>
        <w:tblOverlap w:val="never"/>
        <w:tblW w:w="91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1291"/>
        <w:gridCol w:w="1150"/>
        <w:gridCol w:w="1340"/>
        <w:gridCol w:w="920"/>
        <w:gridCol w:w="950"/>
        <w:gridCol w:w="940"/>
        <w:gridCol w:w="1150"/>
        <w:gridCol w:w="847"/>
      </w:tblGrid>
      <w:tr w14:paraId="519FB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74" w:type="dxa"/>
            <w:tcBorders>
              <w:top w:val="single" w:color="auto" w:sz="4" w:space="0"/>
              <w:left w:val="single" w:color="auto" w:sz="4" w:space="0"/>
              <w:bottom w:val="nil"/>
              <w:right w:val="single" w:color="auto" w:sz="4" w:space="0"/>
            </w:tcBorders>
            <w:vAlign w:val="center"/>
          </w:tcPr>
          <w:p w14:paraId="03EA50D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rPr>
              <w:t>序号</w:t>
            </w:r>
          </w:p>
        </w:tc>
        <w:tc>
          <w:tcPr>
            <w:tcW w:w="1291" w:type="dxa"/>
            <w:tcBorders>
              <w:top w:val="single" w:color="auto" w:sz="4" w:space="0"/>
              <w:left w:val="single" w:color="auto" w:sz="4" w:space="0"/>
              <w:bottom w:val="nil"/>
              <w:right w:val="single" w:color="auto" w:sz="4" w:space="0"/>
            </w:tcBorders>
            <w:vAlign w:val="center"/>
          </w:tcPr>
          <w:p w14:paraId="32ABBE9B">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名称</w:t>
            </w:r>
          </w:p>
        </w:tc>
        <w:tc>
          <w:tcPr>
            <w:tcW w:w="1150" w:type="dxa"/>
            <w:tcBorders>
              <w:top w:val="single" w:color="auto" w:sz="4" w:space="0"/>
              <w:left w:val="single" w:color="auto" w:sz="4" w:space="0"/>
              <w:bottom w:val="nil"/>
              <w:right w:val="single" w:color="auto" w:sz="4" w:space="0"/>
            </w:tcBorders>
            <w:vAlign w:val="center"/>
          </w:tcPr>
          <w:p w14:paraId="1ECB4570">
            <w:pPr>
              <w:widowControl/>
              <w:tabs>
                <w:tab w:val="left" w:pos="1418"/>
              </w:tabs>
              <w:snapToGrid w:val="0"/>
              <w:spacing w:before="50" w:after="50" w:line="360" w:lineRule="exact"/>
              <w:jc w:val="center"/>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340" w:type="dxa"/>
            <w:tcBorders>
              <w:top w:val="single" w:color="auto" w:sz="4" w:space="0"/>
              <w:left w:val="single" w:color="auto" w:sz="4" w:space="0"/>
              <w:bottom w:val="nil"/>
              <w:right w:val="single" w:color="auto" w:sz="4" w:space="0"/>
            </w:tcBorders>
            <w:vAlign w:val="center"/>
          </w:tcPr>
          <w:p w14:paraId="25154FCF">
            <w:pPr>
              <w:widowControl/>
              <w:tabs>
                <w:tab w:val="left" w:pos="1418"/>
              </w:tabs>
              <w:snapToGrid w:val="0"/>
              <w:spacing w:before="50" w:after="50" w:line="360" w:lineRule="exact"/>
              <w:jc w:val="center"/>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920" w:type="dxa"/>
            <w:tcBorders>
              <w:top w:val="single" w:color="auto" w:sz="4" w:space="0"/>
              <w:left w:val="single" w:color="auto" w:sz="4" w:space="0"/>
              <w:bottom w:val="nil"/>
              <w:right w:val="single" w:color="auto" w:sz="4" w:space="0"/>
            </w:tcBorders>
            <w:vAlign w:val="center"/>
          </w:tcPr>
          <w:p w14:paraId="7486C10B">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单位</w:t>
            </w:r>
          </w:p>
        </w:tc>
        <w:tc>
          <w:tcPr>
            <w:tcW w:w="950" w:type="dxa"/>
            <w:tcBorders>
              <w:top w:val="single" w:color="auto" w:sz="4" w:space="0"/>
              <w:left w:val="single" w:color="auto" w:sz="4" w:space="0"/>
              <w:bottom w:val="nil"/>
              <w:right w:val="single" w:color="auto" w:sz="4" w:space="0"/>
            </w:tcBorders>
            <w:vAlign w:val="center"/>
          </w:tcPr>
          <w:p w14:paraId="1F151900">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数量</w:t>
            </w:r>
          </w:p>
        </w:tc>
        <w:tc>
          <w:tcPr>
            <w:tcW w:w="940" w:type="dxa"/>
            <w:tcBorders>
              <w:top w:val="single" w:color="auto" w:sz="4" w:space="0"/>
              <w:left w:val="single" w:color="auto" w:sz="4" w:space="0"/>
              <w:bottom w:val="nil"/>
              <w:right w:val="single" w:color="auto" w:sz="4" w:space="0"/>
            </w:tcBorders>
            <w:vAlign w:val="center"/>
          </w:tcPr>
          <w:p w14:paraId="7244AE46">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单价</w:t>
            </w:r>
          </w:p>
        </w:tc>
        <w:tc>
          <w:tcPr>
            <w:tcW w:w="1150" w:type="dxa"/>
            <w:tcBorders>
              <w:top w:val="single" w:color="auto" w:sz="4" w:space="0"/>
              <w:left w:val="single" w:color="auto" w:sz="4" w:space="0"/>
              <w:bottom w:val="nil"/>
              <w:right w:val="single" w:color="auto" w:sz="4" w:space="0"/>
            </w:tcBorders>
            <w:vAlign w:val="center"/>
          </w:tcPr>
          <w:p w14:paraId="2D2A0E1D">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highlight w:val="none"/>
                <w:lang w:val="en-US" w:eastAsia="zh-CN"/>
              </w:rPr>
              <w:t>合计</w:t>
            </w:r>
          </w:p>
        </w:tc>
        <w:tc>
          <w:tcPr>
            <w:tcW w:w="847" w:type="dxa"/>
            <w:tcBorders>
              <w:top w:val="single" w:color="auto" w:sz="4" w:space="0"/>
              <w:left w:val="single" w:color="auto" w:sz="4" w:space="0"/>
              <w:bottom w:val="nil"/>
              <w:right w:val="single" w:color="auto" w:sz="4" w:space="0"/>
            </w:tcBorders>
            <w:vAlign w:val="center"/>
          </w:tcPr>
          <w:p w14:paraId="7353B6F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lang w:val="en-US" w:eastAsia="zh-CN"/>
              </w:rPr>
              <w:t>备注</w:t>
            </w:r>
          </w:p>
        </w:tc>
      </w:tr>
      <w:tr w14:paraId="09CB3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tcBorders>
              <w:top w:val="single" w:color="auto" w:sz="4" w:space="0"/>
              <w:left w:val="single" w:color="auto" w:sz="4" w:space="0"/>
              <w:bottom w:val="single" w:color="auto" w:sz="4" w:space="0"/>
              <w:right w:val="single" w:color="auto" w:sz="4" w:space="0"/>
            </w:tcBorders>
          </w:tcPr>
          <w:p w14:paraId="31F398D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91" w:type="dxa"/>
            <w:tcBorders>
              <w:top w:val="single" w:color="auto" w:sz="4" w:space="0"/>
              <w:left w:val="single" w:color="auto" w:sz="4" w:space="0"/>
              <w:bottom w:val="single" w:color="auto" w:sz="4" w:space="0"/>
              <w:right w:val="single" w:color="auto" w:sz="4" w:space="0"/>
            </w:tcBorders>
          </w:tcPr>
          <w:p w14:paraId="3C103F7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tcPr>
          <w:p w14:paraId="701B3E1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340" w:type="dxa"/>
            <w:tcBorders>
              <w:top w:val="single" w:color="auto" w:sz="4" w:space="0"/>
              <w:left w:val="single" w:color="auto" w:sz="4" w:space="0"/>
              <w:bottom w:val="single" w:color="auto" w:sz="4" w:space="0"/>
              <w:right w:val="single" w:color="auto" w:sz="4" w:space="0"/>
            </w:tcBorders>
          </w:tcPr>
          <w:p w14:paraId="2A15046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20" w:type="dxa"/>
            <w:tcBorders>
              <w:top w:val="single" w:color="auto" w:sz="4" w:space="0"/>
              <w:left w:val="single" w:color="auto" w:sz="4" w:space="0"/>
              <w:bottom w:val="single" w:color="auto" w:sz="4" w:space="0"/>
              <w:right w:val="single" w:color="auto" w:sz="4" w:space="0"/>
            </w:tcBorders>
          </w:tcPr>
          <w:p w14:paraId="1A95CCD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50" w:type="dxa"/>
            <w:tcBorders>
              <w:top w:val="single" w:color="auto" w:sz="4" w:space="0"/>
              <w:left w:val="single" w:color="auto" w:sz="4" w:space="0"/>
              <w:bottom w:val="single" w:color="auto" w:sz="4" w:space="0"/>
              <w:right w:val="single" w:color="auto" w:sz="4" w:space="0"/>
            </w:tcBorders>
          </w:tcPr>
          <w:p w14:paraId="4E5FD8F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40" w:type="dxa"/>
            <w:tcBorders>
              <w:top w:val="single" w:color="auto" w:sz="4" w:space="0"/>
              <w:left w:val="single" w:color="auto" w:sz="4" w:space="0"/>
              <w:bottom w:val="single" w:color="auto" w:sz="4" w:space="0"/>
              <w:right w:val="single" w:color="auto" w:sz="4" w:space="0"/>
            </w:tcBorders>
          </w:tcPr>
          <w:p w14:paraId="2AC15B7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tcPr>
          <w:p w14:paraId="69E97D7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847" w:type="dxa"/>
            <w:tcBorders>
              <w:top w:val="single" w:color="auto" w:sz="4" w:space="0"/>
              <w:left w:val="single" w:color="auto" w:sz="4" w:space="0"/>
              <w:bottom w:val="single" w:color="auto" w:sz="4" w:space="0"/>
              <w:right w:val="single" w:color="auto" w:sz="4" w:space="0"/>
            </w:tcBorders>
          </w:tcPr>
          <w:p w14:paraId="1B7AB73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45DE9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tcBorders>
              <w:top w:val="single" w:color="auto" w:sz="4" w:space="0"/>
              <w:left w:val="single" w:color="auto" w:sz="4" w:space="0"/>
              <w:bottom w:val="single" w:color="auto" w:sz="4" w:space="0"/>
              <w:right w:val="single" w:color="auto" w:sz="4" w:space="0"/>
            </w:tcBorders>
          </w:tcPr>
          <w:p w14:paraId="615B54F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91" w:type="dxa"/>
            <w:tcBorders>
              <w:top w:val="single" w:color="auto" w:sz="4" w:space="0"/>
              <w:left w:val="single" w:color="auto" w:sz="4" w:space="0"/>
              <w:bottom w:val="single" w:color="auto" w:sz="4" w:space="0"/>
              <w:right w:val="single" w:color="auto" w:sz="4" w:space="0"/>
            </w:tcBorders>
          </w:tcPr>
          <w:p w14:paraId="5B04D32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tcPr>
          <w:p w14:paraId="55AF345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340" w:type="dxa"/>
            <w:tcBorders>
              <w:top w:val="single" w:color="auto" w:sz="4" w:space="0"/>
              <w:left w:val="single" w:color="auto" w:sz="4" w:space="0"/>
              <w:bottom w:val="single" w:color="auto" w:sz="4" w:space="0"/>
              <w:right w:val="single" w:color="auto" w:sz="4" w:space="0"/>
            </w:tcBorders>
          </w:tcPr>
          <w:p w14:paraId="6FAA35E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20" w:type="dxa"/>
            <w:tcBorders>
              <w:top w:val="single" w:color="auto" w:sz="4" w:space="0"/>
              <w:left w:val="single" w:color="auto" w:sz="4" w:space="0"/>
              <w:bottom w:val="single" w:color="auto" w:sz="4" w:space="0"/>
              <w:right w:val="single" w:color="auto" w:sz="4" w:space="0"/>
            </w:tcBorders>
          </w:tcPr>
          <w:p w14:paraId="1424E25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50" w:type="dxa"/>
            <w:tcBorders>
              <w:top w:val="single" w:color="auto" w:sz="4" w:space="0"/>
              <w:left w:val="single" w:color="auto" w:sz="4" w:space="0"/>
              <w:bottom w:val="single" w:color="auto" w:sz="4" w:space="0"/>
              <w:right w:val="single" w:color="auto" w:sz="4" w:space="0"/>
            </w:tcBorders>
          </w:tcPr>
          <w:p w14:paraId="4A4FFE9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40" w:type="dxa"/>
            <w:tcBorders>
              <w:top w:val="single" w:color="auto" w:sz="4" w:space="0"/>
              <w:left w:val="single" w:color="auto" w:sz="4" w:space="0"/>
              <w:bottom w:val="single" w:color="auto" w:sz="4" w:space="0"/>
              <w:right w:val="single" w:color="auto" w:sz="4" w:space="0"/>
            </w:tcBorders>
          </w:tcPr>
          <w:p w14:paraId="609B844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tcPr>
          <w:p w14:paraId="1996D8FF">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847" w:type="dxa"/>
            <w:tcBorders>
              <w:top w:val="single" w:color="auto" w:sz="4" w:space="0"/>
              <w:left w:val="single" w:color="auto" w:sz="4" w:space="0"/>
              <w:bottom w:val="single" w:color="auto" w:sz="4" w:space="0"/>
              <w:right w:val="single" w:color="auto" w:sz="4" w:space="0"/>
            </w:tcBorders>
          </w:tcPr>
          <w:p w14:paraId="7B2FBCB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564FD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tcBorders>
              <w:top w:val="single" w:color="auto" w:sz="4" w:space="0"/>
              <w:left w:val="single" w:color="auto" w:sz="4" w:space="0"/>
              <w:bottom w:val="single" w:color="auto" w:sz="4" w:space="0"/>
              <w:right w:val="single" w:color="auto" w:sz="4" w:space="0"/>
            </w:tcBorders>
          </w:tcPr>
          <w:p w14:paraId="7D3118E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91" w:type="dxa"/>
            <w:tcBorders>
              <w:top w:val="single" w:color="auto" w:sz="4" w:space="0"/>
              <w:left w:val="single" w:color="auto" w:sz="4" w:space="0"/>
              <w:bottom w:val="single" w:color="auto" w:sz="4" w:space="0"/>
              <w:right w:val="single" w:color="auto" w:sz="4" w:space="0"/>
            </w:tcBorders>
          </w:tcPr>
          <w:p w14:paraId="1B496D3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tcPr>
          <w:p w14:paraId="0F28A8D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340" w:type="dxa"/>
            <w:tcBorders>
              <w:top w:val="single" w:color="auto" w:sz="4" w:space="0"/>
              <w:left w:val="single" w:color="auto" w:sz="4" w:space="0"/>
              <w:bottom w:val="single" w:color="auto" w:sz="4" w:space="0"/>
              <w:right w:val="single" w:color="auto" w:sz="4" w:space="0"/>
            </w:tcBorders>
          </w:tcPr>
          <w:p w14:paraId="181CC335">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20" w:type="dxa"/>
            <w:tcBorders>
              <w:top w:val="single" w:color="auto" w:sz="4" w:space="0"/>
              <w:left w:val="single" w:color="auto" w:sz="4" w:space="0"/>
              <w:bottom w:val="single" w:color="auto" w:sz="4" w:space="0"/>
              <w:right w:val="single" w:color="auto" w:sz="4" w:space="0"/>
            </w:tcBorders>
          </w:tcPr>
          <w:p w14:paraId="5B5F8E3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50" w:type="dxa"/>
            <w:tcBorders>
              <w:top w:val="single" w:color="auto" w:sz="4" w:space="0"/>
              <w:left w:val="single" w:color="auto" w:sz="4" w:space="0"/>
              <w:bottom w:val="single" w:color="auto" w:sz="4" w:space="0"/>
              <w:right w:val="single" w:color="auto" w:sz="4" w:space="0"/>
            </w:tcBorders>
          </w:tcPr>
          <w:p w14:paraId="4A98DB9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40" w:type="dxa"/>
            <w:tcBorders>
              <w:top w:val="single" w:color="auto" w:sz="4" w:space="0"/>
              <w:left w:val="single" w:color="auto" w:sz="4" w:space="0"/>
              <w:bottom w:val="single" w:color="auto" w:sz="4" w:space="0"/>
              <w:right w:val="single" w:color="auto" w:sz="4" w:space="0"/>
            </w:tcBorders>
          </w:tcPr>
          <w:p w14:paraId="4CF2163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tcPr>
          <w:p w14:paraId="4428665F">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847" w:type="dxa"/>
            <w:tcBorders>
              <w:top w:val="single" w:color="auto" w:sz="4" w:space="0"/>
              <w:left w:val="single" w:color="auto" w:sz="4" w:space="0"/>
              <w:bottom w:val="single" w:color="auto" w:sz="4" w:space="0"/>
              <w:right w:val="single" w:color="auto" w:sz="4" w:space="0"/>
            </w:tcBorders>
          </w:tcPr>
          <w:p w14:paraId="6610E085">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2A3BE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tcBorders>
              <w:top w:val="single" w:color="auto" w:sz="4" w:space="0"/>
              <w:left w:val="single" w:color="auto" w:sz="4" w:space="0"/>
              <w:bottom w:val="single" w:color="auto" w:sz="4" w:space="0"/>
              <w:right w:val="single" w:color="auto" w:sz="4" w:space="0"/>
            </w:tcBorders>
          </w:tcPr>
          <w:p w14:paraId="20C9B9E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91" w:type="dxa"/>
            <w:tcBorders>
              <w:top w:val="single" w:color="auto" w:sz="4" w:space="0"/>
              <w:left w:val="single" w:color="auto" w:sz="4" w:space="0"/>
              <w:bottom w:val="single" w:color="auto" w:sz="4" w:space="0"/>
              <w:right w:val="single" w:color="auto" w:sz="4" w:space="0"/>
            </w:tcBorders>
          </w:tcPr>
          <w:p w14:paraId="55EE390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tcPr>
          <w:p w14:paraId="66FC52F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340" w:type="dxa"/>
            <w:tcBorders>
              <w:top w:val="single" w:color="auto" w:sz="4" w:space="0"/>
              <w:left w:val="single" w:color="auto" w:sz="4" w:space="0"/>
              <w:bottom w:val="single" w:color="auto" w:sz="4" w:space="0"/>
              <w:right w:val="single" w:color="auto" w:sz="4" w:space="0"/>
            </w:tcBorders>
          </w:tcPr>
          <w:p w14:paraId="2EB7F44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20" w:type="dxa"/>
            <w:tcBorders>
              <w:top w:val="single" w:color="auto" w:sz="4" w:space="0"/>
              <w:left w:val="single" w:color="auto" w:sz="4" w:space="0"/>
              <w:bottom w:val="single" w:color="auto" w:sz="4" w:space="0"/>
              <w:right w:val="single" w:color="auto" w:sz="4" w:space="0"/>
            </w:tcBorders>
          </w:tcPr>
          <w:p w14:paraId="5A65A62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50" w:type="dxa"/>
            <w:tcBorders>
              <w:top w:val="single" w:color="auto" w:sz="4" w:space="0"/>
              <w:left w:val="single" w:color="auto" w:sz="4" w:space="0"/>
              <w:bottom w:val="single" w:color="auto" w:sz="4" w:space="0"/>
              <w:right w:val="single" w:color="auto" w:sz="4" w:space="0"/>
            </w:tcBorders>
          </w:tcPr>
          <w:p w14:paraId="55922E4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40" w:type="dxa"/>
            <w:tcBorders>
              <w:top w:val="single" w:color="auto" w:sz="4" w:space="0"/>
              <w:left w:val="single" w:color="auto" w:sz="4" w:space="0"/>
              <w:bottom w:val="single" w:color="auto" w:sz="4" w:space="0"/>
              <w:right w:val="single" w:color="auto" w:sz="4" w:space="0"/>
            </w:tcBorders>
          </w:tcPr>
          <w:p w14:paraId="5B77578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tcPr>
          <w:p w14:paraId="4F13891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847" w:type="dxa"/>
            <w:tcBorders>
              <w:top w:val="single" w:color="auto" w:sz="4" w:space="0"/>
              <w:left w:val="single" w:color="auto" w:sz="4" w:space="0"/>
              <w:bottom w:val="single" w:color="auto" w:sz="4" w:space="0"/>
              <w:right w:val="single" w:color="auto" w:sz="4" w:space="0"/>
            </w:tcBorders>
          </w:tcPr>
          <w:p w14:paraId="0967D6D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648D2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tcBorders>
              <w:top w:val="single" w:color="auto" w:sz="4" w:space="0"/>
              <w:left w:val="single" w:color="auto" w:sz="4" w:space="0"/>
              <w:bottom w:val="single" w:color="auto" w:sz="4" w:space="0"/>
              <w:right w:val="single" w:color="auto" w:sz="4" w:space="0"/>
            </w:tcBorders>
          </w:tcPr>
          <w:p w14:paraId="40F8748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91" w:type="dxa"/>
            <w:tcBorders>
              <w:top w:val="single" w:color="auto" w:sz="4" w:space="0"/>
              <w:left w:val="single" w:color="auto" w:sz="4" w:space="0"/>
              <w:bottom w:val="single" w:color="auto" w:sz="4" w:space="0"/>
              <w:right w:val="single" w:color="auto" w:sz="4" w:space="0"/>
            </w:tcBorders>
          </w:tcPr>
          <w:p w14:paraId="1C4E17E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tcPr>
          <w:p w14:paraId="42B7B08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340" w:type="dxa"/>
            <w:tcBorders>
              <w:top w:val="single" w:color="auto" w:sz="4" w:space="0"/>
              <w:left w:val="single" w:color="auto" w:sz="4" w:space="0"/>
              <w:bottom w:val="single" w:color="auto" w:sz="4" w:space="0"/>
              <w:right w:val="single" w:color="auto" w:sz="4" w:space="0"/>
            </w:tcBorders>
          </w:tcPr>
          <w:p w14:paraId="5CD4D50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20" w:type="dxa"/>
            <w:tcBorders>
              <w:top w:val="single" w:color="auto" w:sz="4" w:space="0"/>
              <w:left w:val="single" w:color="auto" w:sz="4" w:space="0"/>
              <w:bottom w:val="single" w:color="auto" w:sz="4" w:space="0"/>
              <w:right w:val="single" w:color="auto" w:sz="4" w:space="0"/>
            </w:tcBorders>
          </w:tcPr>
          <w:p w14:paraId="689F64A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50" w:type="dxa"/>
            <w:tcBorders>
              <w:top w:val="single" w:color="auto" w:sz="4" w:space="0"/>
              <w:left w:val="single" w:color="auto" w:sz="4" w:space="0"/>
              <w:bottom w:val="single" w:color="auto" w:sz="4" w:space="0"/>
              <w:right w:val="single" w:color="auto" w:sz="4" w:space="0"/>
            </w:tcBorders>
          </w:tcPr>
          <w:p w14:paraId="31A1FC6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40" w:type="dxa"/>
            <w:tcBorders>
              <w:top w:val="single" w:color="auto" w:sz="4" w:space="0"/>
              <w:left w:val="single" w:color="auto" w:sz="4" w:space="0"/>
              <w:bottom w:val="single" w:color="auto" w:sz="4" w:space="0"/>
              <w:right w:val="single" w:color="auto" w:sz="4" w:space="0"/>
            </w:tcBorders>
          </w:tcPr>
          <w:p w14:paraId="2103957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tcPr>
          <w:p w14:paraId="719662D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847" w:type="dxa"/>
            <w:tcBorders>
              <w:top w:val="single" w:color="auto" w:sz="4" w:space="0"/>
              <w:left w:val="single" w:color="auto" w:sz="4" w:space="0"/>
              <w:bottom w:val="single" w:color="auto" w:sz="4" w:space="0"/>
              <w:right w:val="single" w:color="auto" w:sz="4" w:space="0"/>
            </w:tcBorders>
          </w:tcPr>
          <w:p w14:paraId="33C2969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080C2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4" w:type="dxa"/>
            <w:tcBorders>
              <w:top w:val="single" w:color="auto" w:sz="4" w:space="0"/>
              <w:left w:val="single" w:color="auto" w:sz="4" w:space="0"/>
              <w:bottom w:val="single" w:color="auto" w:sz="4" w:space="0"/>
              <w:right w:val="single" w:color="auto" w:sz="4" w:space="0"/>
            </w:tcBorders>
          </w:tcPr>
          <w:p w14:paraId="6AEC78FF">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91" w:type="dxa"/>
            <w:tcBorders>
              <w:top w:val="single" w:color="auto" w:sz="4" w:space="0"/>
              <w:left w:val="single" w:color="auto" w:sz="4" w:space="0"/>
              <w:bottom w:val="single" w:color="auto" w:sz="4" w:space="0"/>
              <w:right w:val="single" w:color="auto" w:sz="4" w:space="0"/>
            </w:tcBorders>
          </w:tcPr>
          <w:p w14:paraId="29C4E43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 xml:space="preserve">…… </w:t>
            </w:r>
          </w:p>
        </w:tc>
        <w:tc>
          <w:tcPr>
            <w:tcW w:w="1150" w:type="dxa"/>
            <w:tcBorders>
              <w:top w:val="single" w:color="auto" w:sz="4" w:space="0"/>
              <w:left w:val="single" w:color="auto" w:sz="4" w:space="0"/>
              <w:bottom w:val="single" w:color="auto" w:sz="4" w:space="0"/>
              <w:right w:val="single" w:color="auto" w:sz="4" w:space="0"/>
            </w:tcBorders>
          </w:tcPr>
          <w:p w14:paraId="7DC3496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340" w:type="dxa"/>
            <w:tcBorders>
              <w:top w:val="single" w:color="auto" w:sz="4" w:space="0"/>
              <w:left w:val="single" w:color="auto" w:sz="4" w:space="0"/>
              <w:bottom w:val="single" w:color="auto" w:sz="4" w:space="0"/>
              <w:right w:val="single" w:color="auto" w:sz="4" w:space="0"/>
            </w:tcBorders>
          </w:tcPr>
          <w:p w14:paraId="0B28C375">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20" w:type="dxa"/>
            <w:tcBorders>
              <w:top w:val="single" w:color="auto" w:sz="4" w:space="0"/>
              <w:left w:val="single" w:color="auto" w:sz="4" w:space="0"/>
              <w:bottom w:val="single" w:color="auto" w:sz="4" w:space="0"/>
              <w:right w:val="single" w:color="auto" w:sz="4" w:space="0"/>
            </w:tcBorders>
          </w:tcPr>
          <w:p w14:paraId="721A731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50" w:type="dxa"/>
            <w:tcBorders>
              <w:top w:val="single" w:color="auto" w:sz="4" w:space="0"/>
              <w:left w:val="single" w:color="auto" w:sz="4" w:space="0"/>
              <w:bottom w:val="single" w:color="auto" w:sz="4" w:space="0"/>
              <w:right w:val="single" w:color="auto" w:sz="4" w:space="0"/>
            </w:tcBorders>
          </w:tcPr>
          <w:p w14:paraId="2DFB88B5">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40" w:type="dxa"/>
            <w:tcBorders>
              <w:top w:val="single" w:color="auto" w:sz="4" w:space="0"/>
              <w:left w:val="single" w:color="auto" w:sz="4" w:space="0"/>
              <w:bottom w:val="single" w:color="auto" w:sz="4" w:space="0"/>
              <w:right w:val="single" w:color="auto" w:sz="4" w:space="0"/>
            </w:tcBorders>
          </w:tcPr>
          <w:p w14:paraId="785C71E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tcPr>
          <w:p w14:paraId="2A8D403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847" w:type="dxa"/>
            <w:tcBorders>
              <w:top w:val="single" w:color="auto" w:sz="4" w:space="0"/>
              <w:left w:val="single" w:color="auto" w:sz="4" w:space="0"/>
              <w:bottom w:val="single" w:color="auto" w:sz="4" w:space="0"/>
              <w:right w:val="single" w:color="auto" w:sz="4" w:space="0"/>
            </w:tcBorders>
          </w:tcPr>
          <w:p w14:paraId="16E3D88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2B651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65" w:type="dxa"/>
            <w:gridSpan w:val="2"/>
            <w:tcBorders>
              <w:top w:val="single" w:color="auto" w:sz="4" w:space="0"/>
              <w:left w:val="single" w:color="auto" w:sz="4" w:space="0"/>
              <w:bottom w:val="single" w:color="auto" w:sz="4" w:space="0"/>
              <w:right w:val="single" w:color="auto" w:sz="4" w:space="0"/>
            </w:tcBorders>
            <w:vAlign w:val="top"/>
          </w:tcPr>
          <w:p w14:paraId="26F02BF9">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rPr>
              <w:t>投标</w:t>
            </w:r>
            <w:r>
              <w:rPr>
                <w:rFonts w:hint="eastAsia" w:ascii="宋体" w:hAnsi="宋体" w:eastAsia="宋体" w:cs="宋体"/>
                <w:color w:val="auto"/>
                <w:spacing w:val="20"/>
                <w:kern w:val="0"/>
                <w:sz w:val="24"/>
                <w:highlight w:val="none"/>
                <w:lang w:val="en-US" w:eastAsia="zh-CN"/>
              </w:rPr>
              <w:t>总</w:t>
            </w:r>
            <w:r>
              <w:rPr>
                <w:rFonts w:hint="eastAsia" w:ascii="宋体" w:hAnsi="宋体" w:eastAsia="宋体" w:cs="宋体"/>
                <w:color w:val="auto"/>
                <w:spacing w:val="20"/>
                <w:kern w:val="0"/>
                <w:sz w:val="24"/>
                <w:highlight w:val="none"/>
              </w:rPr>
              <w:t>价(</w:t>
            </w:r>
            <w:r>
              <w:rPr>
                <w:rFonts w:hint="eastAsia" w:ascii="宋体" w:hAnsi="宋体" w:eastAsia="宋体" w:cs="宋体"/>
                <w:color w:val="auto"/>
                <w:kern w:val="0"/>
                <w:sz w:val="24"/>
                <w:szCs w:val="21"/>
                <w:highlight w:val="none"/>
              </w:rPr>
              <w:t>大写)：</w:t>
            </w:r>
          </w:p>
        </w:tc>
        <w:tc>
          <w:tcPr>
            <w:tcW w:w="5300" w:type="dxa"/>
            <w:gridSpan w:val="5"/>
            <w:tcBorders>
              <w:top w:val="single" w:color="auto" w:sz="4" w:space="0"/>
              <w:left w:val="single" w:color="auto" w:sz="4" w:space="0"/>
              <w:bottom w:val="single" w:color="auto" w:sz="4" w:space="0"/>
              <w:right w:val="single" w:color="auto" w:sz="4" w:space="0"/>
            </w:tcBorders>
            <w:vAlign w:val="top"/>
          </w:tcPr>
          <w:p w14:paraId="486B8EA4">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p>
        </w:tc>
        <w:tc>
          <w:tcPr>
            <w:tcW w:w="1150" w:type="dxa"/>
            <w:tcBorders>
              <w:top w:val="single" w:color="auto" w:sz="4" w:space="0"/>
              <w:left w:val="single" w:color="auto" w:sz="4" w:space="0"/>
              <w:bottom w:val="single" w:color="auto" w:sz="4" w:space="0"/>
              <w:right w:val="single" w:color="auto" w:sz="4" w:space="0"/>
            </w:tcBorders>
            <w:vAlign w:val="top"/>
          </w:tcPr>
          <w:p w14:paraId="1125E0A2">
            <w:pPr>
              <w:widowControl/>
              <w:tabs>
                <w:tab w:val="left" w:pos="1418"/>
              </w:tabs>
              <w:snapToGrid w:val="0"/>
              <w:spacing w:before="50" w:after="50" w:line="360" w:lineRule="exact"/>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w:t>
            </w:r>
          </w:p>
        </w:tc>
        <w:tc>
          <w:tcPr>
            <w:tcW w:w="847" w:type="dxa"/>
            <w:tcBorders>
              <w:top w:val="single" w:color="auto" w:sz="4" w:space="0"/>
              <w:left w:val="single" w:color="auto" w:sz="4" w:space="0"/>
              <w:bottom w:val="single" w:color="auto" w:sz="4" w:space="0"/>
              <w:right w:val="single" w:color="auto" w:sz="4" w:space="0"/>
            </w:tcBorders>
            <w:vAlign w:val="top"/>
          </w:tcPr>
          <w:p w14:paraId="6373E2B3">
            <w:pPr>
              <w:widowControl/>
              <w:tabs>
                <w:tab w:val="left" w:pos="1418"/>
              </w:tabs>
              <w:snapToGrid w:val="0"/>
              <w:spacing w:before="50" w:after="50" w:line="360" w:lineRule="exact"/>
              <w:jc w:val="left"/>
              <w:rPr>
                <w:rFonts w:hint="eastAsia" w:ascii="宋体" w:hAnsi="宋体" w:eastAsia="宋体" w:cs="宋体"/>
                <w:color w:val="auto"/>
                <w:kern w:val="0"/>
                <w:sz w:val="24"/>
                <w:szCs w:val="21"/>
                <w:highlight w:val="none"/>
              </w:rPr>
            </w:pPr>
          </w:p>
        </w:tc>
      </w:tr>
    </w:tbl>
    <w:p w14:paraId="47C0FC7F">
      <w:pPr>
        <w:pStyle w:val="5"/>
        <w:ind w:firstLine="3990" w:firstLineChars="1900"/>
        <w:rPr>
          <w:rFonts w:hint="eastAsia" w:ascii="宋体" w:hAnsi="宋体" w:eastAsia="宋体" w:cs="宋体"/>
          <w:color w:val="auto"/>
          <w:sz w:val="21"/>
          <w:szCs w:val="21"/>
          <w:highlight w:val="none"/>
          <w:lang w:eastAsia="zh-CN"/>
        </w:rPr>
      </w:pPr>
    </w:p>
    <w:p w14:paraId="3C53A5A9">
      <w:pPr>
        <w:pStyle w:val="5"/>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3"/>
        <w:rPr>
          <w:rFonts w:hint="eastAsia" w:ascii="宋体" w:hAnsi="宋体" w:eastAsia="宋体" w:cs="宋体"/>
          <w:color w:val="auto"/>
          <w:kern w:val="0"/>
          <w:sz w:val="24"/>
          <w:highlight w:val="none"/>
        </w:rPr>
        <w:sectPr>
          <w:footerReference r:id="rId6" w:type="default"/>
          <w:pgSz w:w="11906" w:h="16838"/>
          <w:pgMar w:top="1417" w:right="1474" w:bottom="1417" w:left="1474" w:header="851" w:footer="624" w:gutter="0"/>
          <w:pgNumType w:fmt="decimal"/>
          <w:cols w:space="720" w:num="1"/>
          <w:docGrid w:type="lines" w:linePitch="319" w:charSpace="0"/>
        </w:sectPr>
      </w:pPr>
    </w:p>
    <w:p w14:paraId="0687C2CA">
      <w:pPr>
        <w:pStyle w:val="23"/>
        <w:rPr>
          <w:rFonts w:hint="default" w:ascii="宋体" w:hAnsi="宋体" w:cs="宋体"/>
          <w:color w:val="auto"/>
          <w:kern w:val="0"/>
          <w:sz w:val="24"/>
          <w:highlight w:val="none"/>
          <w:lang w:val="en-US" w:eastAsia="zh-CN"/>
        </w:rPr>
      </w:pPr>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1"/>
      <w:bookmarkEnd w:id="82"/>
      <w:r>
        <w:rPr>
          <w:rFonts w:hint="eastAsia" w:ascii="宋体" w:hAnsi="宋体" w:eastAsia="宋体" w:cs="宋体"/>
          <w:color w:val="auto"/>
          <w:sz w:val="28"/>
          <w:szCs w:val="28"/>
          <w:highlight w:val="none"/>
          <w:lang w:val="en-US" w:eastAsia="zh-CN"/>
        </w:rPr>
        <w:t xml:space="preserve">  技术响应表（格式）</w:t>
      </w:r>
    </w:p>
    <w:tbl>
      <w:tblPr>
        <w:tblStyle w:val="92"/>
        <w:tblW w:w="99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gridCol w:w="1202"/>
      </w:tblGrid>
      <w:tr w14:paraId="6DB6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0FD45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1E05216D">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服务名称</w:t>
            </w:r>
          </w:p>
        </w:tc>
        <w:tc>
          <w:tcPr>
            <w:tcW w:w="2379" w:type="dxa"/>
            <w:noWrap w:val="0"/>
            <w:vAlign w:val="center"/>
          </w:tcPr>
          <w:p w14:paraId="45AB098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468" w:type="dxa"/>
            <w:noWrap w:val="0"/>
            <w:vAlign w:val="center"/>
          </w:tcPr>
          <w:p w14:paraId="1DC5E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偏离情况</w:t>
            </w:r>
          </w:p>
        </w:tc>
        <w:tc>
          <w:tcPr>
            <w:tcW w:w="1202" w:type="dxa"/>
            <w:noWrap w:val="0"/>
            <w:vAlign w:val="center"/>
          </w:tcPr>
          <w:p w14:paraId="0DDC22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581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4CAE8D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3FAF8A9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7FEC7A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F9E9E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69EF38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F87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5B7E79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6E51C8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A985A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A0A4D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7144DA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27C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73A8F7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2FA51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1A629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9FA959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572BDE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157CA27">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29960"/>
      <w:bookmarkStart w:id="84" w:name="_Toc24168"/>
      <w:bookmarkStart w:id="85" w:name="_Toc20420"/>
      <w:r>
        <w:rPr>
          <w:rFonts w:hint="eastAsia" w:ascii="宋体" w:hAnsi="宋体" w:eastAsia="宋体" w:cs="宋体"/>
          <w:color w:val="auto"/>
          <w:sz w:val="28"/>
          <w:szCs w:val="28"/>
          <w:highlight w:val="none"/>
          <w:lang w:val="en-US" w:eastAsia="zh-CN"/>
        </w:rPr>
        <w:t>附件6            商务响应</w:t>
      </w:r>
      <w:bookmarkEnd w:id="83"/>
      <w:bookmarkEnd w:id="84"/>
      <w:bookmarkEnd w:id="85"/>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2"/>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76FA13D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7A24A9AD">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32D265A2">
            <w:pPr>
              <w:pStyle w:val="14"/>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FBC217B">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72B55C4B">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446CD0C">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AAABEAA">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704A3BE">
      <w:pPr>
        <w:rPr>
          <w:rFonts w:hint="eastAsia" w:ascii="宋体" w:hAnsi="宋体" w:eastAsia="宋体" w:cs="宋体"/>
          <w:b/>
          <w:color w:val="auto"/>
          <w:kern w:val="0"/>
          <w:sz w:val="21"/>
          <w:szCs w:val="21"/>
          <w:highlight w:val="none"/>
        </w:rPr>
      </w:pPr>
    </w:p>
    <w:p w14:paraId="3FD13902">
      <w:pPr>
        <w:pStyle w:val="5"/>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6" w:name="_Toc31526"/>
      <w:bookmarkStart w:id="87" w:name="_Toc28621"/>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9406"/>
      <w:r>
        <w:rPr>
          <w:rFonts w:hint="eastAsia" w:ascii="宋体" w:hAnsi="宋体" w:eastAsia="宋体" w:cs="宋体"/>
          <w:color w:val="auto"/>
          <w:sz w:val="28"/>
          <w:szCs w:val="28"/>
          <w:highlight w:val="none"/>
          <w:lang w:val="en-US" w:eastAsia="zh-CN"/>
        </w:rPr>
        <w:t>附件7         法定代表人身份证明（格式）</w:t>
      </w:r>
      <w:bookmarkEnd w:id="86"/>
      <w:bookmarkEnd w:id="87"/>
      <w:bookmarkEnd w:id="88"/>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13976"/>
      <w:bookmarkStart w:id="90" w:name="_Toc30519"/>
      <w:bookmarkStart w:id="91" w:name="_Toc12939"/>
      <w:r>
        <w:rPr>
          <w:rFonts w:hint="eastAsia" w:ascii="宋体" w:hAnsi="宋体" w:eastAsia="宋体" w:cs="宋体"/>
          <w:color w:val="auto"/>
          <w:sz w:val="28"/>
          <w:szCs w:val="28"/>
          <w:highlight w:val="none"/>
          <w:lang w:val="en-US" w:eastAsia="zh-CN"/>
        </w:rPr>
        <w:t>附件8         法定代表人授权书（格式）</w:t>
      </w:r>
      <w:bookmarkEnd w:id="89"/>
      <w:bookmarkEnd w:id="90"/>
      <w:bookmarkEnd w:id="91"/>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2" w:name="_Toc24693"/>
      <w:bookmarkStart w:id="93" w:name="_Toc3342"/>
      <w:bookmarkStart w:id="94" w:name="_Toc18105"/>
      <w:r>
        <w:rPr>
          <w:rFonts w:hint="eastAsia" w:ascii="宋体" w:hAnsi="宋体" w:eastAsia="宋体" w:cs="宋体"/>
          <w:color w:val="auto"/>
          <w:sz w:val="28"/>
          <w:szCs w:val="28"/>
          <w:highlight w:val="none"/>
          <w:lang w:val="en-US" w:eastAsia="zh-CN"/>
        </w:rPr>
        <w:t>附件9          证明文件</w:t>
      </w:r>
      <w:bookmarkEnd w:id="92"/>
      <w:bookmarkEnd w:id="93"/>
      <w:bookmarkEnd w:id="94"/>
    </w:p>
    <w:p w14:paraId="34A13265">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644D293B">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091126FA">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2DCBE42">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0"/>
        <w:spacing w:beforeAutospacing="0" w:afterAutospacing="0" w:line="480" w:lineRule="auto"/>
        <w:ind w:firstLine="472" w:firstLineChars="224"/>
        <w:jc w:val="both"/>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val="en-US" w:eastAsia="zh-CN"/>
        </w:rPr>
        <w:t>.2</w:t>
      </w:r>
      <w:bookmarkStart w:id="95" w:name="_Toc17966"/>
      <w:r>
        <w:rPr>
          <w:rFonts w:hint="eastAsia" w:ascii="宋体" w:hAnsi="宋体" w:eastAsia="宋体" w:cs="宋体"/>
          <w:b/>
          <w:bCs w:val="0"/>
          <w:color w:val="auto"/>
          <w:sz w:val="21"/>
          <w:szCs w:val="21"/>
          <w:highlight w:val="none"/>
          <w:lang w:val="en-US" w:eastAsia="zh-CN"/>
        </w:rPr>
        <w:t>评分标准中需提供的</w:t>
      </w:r>
      <w:r>
        <w:rPr>
          <w:rFonts w:hint="eastAsia"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lang w:val="en-US" w:eastAsia="zh-CN"/>
        </w:rPr>
        <w:t>材料</w:t>
      </w:r>
      <w:r>
        <w:rPr>
          <w:rFonts w:hint="eastAsia" w:cs="宋体"/>
          <w:b/>
          <w:bCs w:val="0"/>
          <w:color w:val="auto"/>
          <w:sz w:val="21"/>
          <w:szCs w:val="21"/>
          <w:highlight w:val="none"/>
          <w:lang w:val="en-US" w:eastAsia="zh-CN"/>
        </w:rPr>
        <w:t>、业绩等</w:t>
      </w:r>
    </w:p>
    <w:p w14:paraId="160AB2D8">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5C1D60CF">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401A2B52">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供应商认为其他需要提供的证明材料</w:t>
      </w:r>
      <w:r>
        <w:rPr>
          <w:rFonts w:hint="eastAsia" w:ascii="宋体" w:hAnsi="宋体" w:eastAsia="宋体" w:cs="宋体"/>
          <w:b/>
          <w:bCs w:val="0"/>
          <w:color w:val="auto"/>
          <w:sz w:val="21"/>
          <w:szCs w:val="21"/>
          <w:highlight w:val="none"/>
        </w:rPr>
        <w:t>。</w:t>
      </w:r>
    </w:p>
    <w:p w14:paraId="38997C36">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6177CA2">
      <w:pPr>
        <w:rPr>
          <w:rFonts w:hint="eastAsia" w:ascii="宋体" w:hAnsi="宋体" w:eastAsia="宋体" w:cs="宋体"/>
          <w:color w:val="auto"/>
          <w:sz w:val="28"/>
          <w:szCs w:val="28"/>
          <w:highlight w:val="none"/>
          <w:lang w:val="en-US" w:eastAsia="zh-CN"/>
        </w:rPr>
      </w:pPr>
      <w:bookmarkStart w:id="96" w:name="_Toc13726"/>
      <w:bookmarkStart w:id="97" w:name="_Toc12888"/>
      <w:bookmarkStart w:id="98" w:name="_Toc16083"/>
      <w:r>
        <w:rPr>
          <w:rFonts w:hint="eastAsia" w:ascii="宋体" w:hAnsi="宋体" w:eastAsia="宋体" w:cs="宋体"/>
          <w:color w:val="auto"/>
          <w:sz w:val="28"/>
          <w:szCs w:val="28"/>
          <w:highlight w:val="none"/>
          <w:lang w:val="en-US" w:eastAsia="zh-CN"/>
        </w:rPr>
        <w:br w:type="page"/>
      </w: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5"/>
      <w:r>
        <w:rPr>
          <w:rFonts w:hint="eastAsia" w:ascii="宋体" w:hAnsi="宋体" w:eastAsia="宋体" w:cs="宋体"/>
          <w:color w:val="auto"/>
          <w:sz w:val="28"/>
          <w:szCs w:val="28"/>
          <w:highlight w:val="none"/>
          <w:lang w:val="en-US" w:eastAsia="zh-CN"/>
        </w:rPr>
        <w:t>供 应 商 承 诺 书 （格式）</w:t>
      </w:r>
      <w:bookmarkEnd w:id="96"/>
      <w:bookmarkEnd w:id="97"/>
      <w:bookmarkEnd w:id="98"/>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我院（以下简称甲方）组织的本次采购，在遵守《政府采购法》、《</w:t>
      </w:r>
      <w:r>
        <w:rPr>
          <w:rFonts w:hint="eastAsia" w:ascii="宋体" w:hAnsi="宋体"/>
          <w:color w:val="auto"/>
          <w:kern w:val="0"/>
          <w:sz w:val="21"/>
          <w:szCs w:val="21"/>
          <w:highlight w:val="none"/>
        </w:rPr>
        <w:t>中华人民共和国民法典</w:t>
      </w:r>
      <w:r>
        <w:rPr>
          <w:rFonts w:hint="eastAsia" w:ascii="宋体" w:hAnsi="宋体" w:eastAsia="宋体" w:cs="宋体"/>
          <w:color w:val="auto"/>
          <w:sz w:val="21"/>
          <w:szCs w:val="21"/>
          <w:highlight w:val="none"/>
        </w:rPr>
        <w:t>》、《反不正当竞争法》和《关于推进招投标监督领域诚信建设的意见》等法律法规的基础上，要求贵方（以下简称乙方）做出如下承诺：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2、遵守甲方采购纪律，诚实守信地为甲方提供安全可靠的服务及相关技术，保证</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5"/>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0"/>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9" w:name="_Toc25094"/>
      <w:bookmarkStart w:id="100" w:name="_Toc31685"/>
      <w:bookmarkStart w:id="101" w:name="_Toc23394"/>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认为有必要的其他资料</w:t>
      </w:r>
      <w:bookmarkEnd w:id="99"/>
      <w:bookmarkEnd w:id="100"/>
      <w:bookmarkEnd w:id="101"/>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中有关废标条款和评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规定，并为评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06CF5D">
      <w:pPr>
        <w:pStyle w:val="10"/>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504020202030204"/>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2"/>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BC57">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00536A9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4"/>
      <w:jc w:val="right"/>
      <w:rPr>
        <w:rFonts w:hint="eastAsia"/>
      </w:rPr>
    </w:pPr>
    <w:r>
      <w:rPr>
        <w:rFonts w:hint="eastAsia" w:ascii="宋体" w:hAnsi="宋体" w:cs="宋体"/>
        <w:color w:val="auto"/>
        <w:szCs w:val="21"/>
        <w:highlight w:val="none"/>
        <w:u w:val="none"/>
        <w:shd w:val="clear" w:color="auto" w:fill="FFFFFF"/>
        <w:lang w:val="en-US" w:eastAsia="zh-CN"/>
      </w:rPr>
      <w:t>驻马店市中心医院妇儿院区配电室电抗补偿柜维修项目竞争性磋商文件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3F6189A0"/>
    <w:multiLevelType w:val="singleLevel"/>
    <w:tmpl w:val="3F6189A0"/>
    <w:lvl w:ilvl="0" w:tentative="0">
      <w:start w:val="2"/>
      <w:numFmt w:val="chineseCounting"/>
      <w:suff w:val="nothing"/>
      <w:lvlText w:val="%1、"/>
      <w:lvlJc w:val="left"/>
      <w:rPr>
        <w:rFonts w:hint="eastAsia"/>
      </w:rPr>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525212"/>
    <w:rsid w:val="01564054"/>
    <w:rsid w:val="015C0A67"/>
    <w:rsid w:val="016D4D19"/>
    <w:rsid w:val="01745FBF"/>
    <w:rsid w:val="017E6D95"/>
    <w:rsid w:val="018D0058"/>
    <w:rsid w:val="01976717"/>
    <w:rsid w:val="01D715BE"/>
    <w:rsid w:val="01EB45BC"/>
    <w:rsid w:val="01F04981"/>
    <w:rsid w:val="01F33470"/>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30"/>
    <w:rsid w:val="02DA4665"/>
    <w:rsid w:val="02F40325"/>
    <w:rsid w:val="02F70D3E"/>
    <w:rsid w:val="02FA082F"/>
    <w:rsid w:val="031126C4"/>
    <w:rsid w:val="033124A2"/>
    <w:rsid w:val="034733B8"/>
    <w:rsid w:val="03475E56"/>
    <w:rsid w:val="034877EC"/>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B6D23"/>
    <w:rsid w:val="050E236F"/>
    <w:rsid w:val="054C0111"/>
    <w:rsid w:val="05545DD3"/>
    <w:rsid w:val="05574DA8"/>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24009C"/>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7624F"/>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B41C0"/>
    <w:rsid w:val="087C4541"/>
    <w:rsid w:val="087E5595"/>
    <w:rsid w:val="08BC0A60"/>
    <w:rsid w:val="08C52D6F"/>
    <w:rsid w:val="08E42BE4"/>
    <w:rsid w:val="08EF0201"/>
    <w:rsid w:val="08F41DE8"/>
    <w:rsid w:val="08FA3336"/>
    <w:rsid w:val="093D1475"/>
    <w:rsid w:val="094840A2"/>
    <w:rsid w:val="09523172"/>
    <w:rsid w:val="09644C54"/>
    <w:rsid w:val="09737462"/>
    <w:rsid w:val="099156C3"/>
    <w:rsid w:val="09A33F5B"/>
    <w:rsid w:val="09A53F39"/>
    <w:rsid w:val="09A60E13"/>
    <w:rsid w:val="09A82D92"/>
    <w:rsid w:val="09AB2883"/>
    <w:rsid w:val="09B71227"/>
    <w:rsid w:val="09BC4A90"/>
    <w:rsid w:val="09CD0A4B"/>
    <w:rsid w:val="09D206F0"/>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941DA"/>
    <w:rsid w:val="0CEE5A21"/>
    <w:rsid w:val="0D05268E"/>
    <w:rsid w:val="0D0646E7"/>
    <w:rsid w:val="0D0C38CA"/>
    <w:rsid w:val="0D206810"/>
    <w:rsid w:val="0D444B8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73799F"/>
    <w:rsid w:val="0F76123D"/>
    <w:rsid w:val="0F821E7D"/>
    <w:rsid w:val="0FC91CB4"/>
    <w:rsid w:val="0FCA42ED"/>
    <w:rsid w:val="0FDB5F4F"/>
    <w:rsid w:val="0FE7592C"/>
    <w:rsid w:val="0FFC17A5"/>
    <w:rsid w:val="0FFD20F0"/>
    <w:rsid w:val="10142F30"/>
    <w:rsid w:val="10352857"/>
    <w:rsid w:val="103E6E57"/>
    <w:rsid w:val="1041497B"/>
    <w:rsid w:val="10425FF6"/>
    <w:rsid w:val="104A4BA3"/>
    <w:rsid w:val="106612B1"/>
    <w:rsid w:val="109010E6"/>
    <w:rsid w:val="10B271F4"/>
    <w:rsid w:val="10B537CC"/>
    <w:rsid w:val="10B64A9D"/>
    <w:rsid w:val="10BD35C7"/>
    <w:rsid w:val="10C61D50"/>
    <w:rsid w:val="10C8275C"/>
    <w:rsid w:val="10C86D3B"/>
    <w:rsid w:val="10E03539"/>
    <w:rsid w:val="10E50E40"/>
    <w:rsid w:val="10E82D1F"/>
    <w:rsid w:val="10E943BC"/>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322D4"/>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315A94"/>
    <w:rsid w:val="144B544C"/>
    <w:rsid w:val="145B7B45"/>
    <w:rsid w:val="14627FE2"/>
    <w:rsid w:val="14717443"/>
    <w:rsid w:val="147F0B94"/>
    <w:rsid w:val="14825F8A"/>
    <w:rsid w:val="148C70AD"/>
    <w:rsid w:val="148D52E3"/>
    <w:rsid w:val="14992B90"/>
    <w:rsid w:val="149A750C"/>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5422D"/>
    <w:rsid w:val="156E0971"/>
    <w:rsid w:val="15785B3E"/>
    <w:rsid w:val="15811F1B"/>
    <w:rsid w:val="159B37AB"/>
    <w:rsid w:val="15A30135"/>
    <w:rsid w:val="15A34015"/>
    <w:rsid w:val="15BB487B"/>
    <w:rsid w:val="15CE086D"/>
    <w:rsid w:val="15E2236F"/>
    <w:rsid w:val="16005D04"/>
    <w:rsid w:val="161D09ED"/>
    <w:rsid w:val="16223ECC"/>
    <w:rsid w:val="162323A3"/>
    <w:rsid w:val="162F30B1"/>
    <w:rsid w:val="1650762F"/>
    <w:rsid w:val="16510F12"/>
    <w:rsid w:val="166448F9"/>
    <w:rsid w:val="1677211D"/>
    <w:rsid w:val="16774218"/>
    <w:rsid w:val="167954F9"/>
    <w:rsid w:val="169311EC"/>
    <w:rsid w:val="169C5A2D"/>
    <w:rsid w:val="169F7296"/>
    <w:rsid w:val="16A060BA"/>
    <w:rsid w:val="16A57EAF"/>
    <w:rsid w:val="16A668AC"/>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A0779F"/>
    <w:rsid w:val="17BE19D3"/>
    <w:rsid w:val="17C227C0"/>
    <w:rsid w:val="17D66D7C"/>
    <w:rsid w:val="17DE0EDF"/>
    <w:rsid w:val="17EE5BFF"/>
    <w:rsid w:val="18097740"/>
    <w:rsid w:val="18136133"/>
    <w:rsid w:val="184055B9"/>
    <w:rsid w:val="184A2082"/>
    <w:rsid w:val="185D3C42"/>
    <w:rsid w:val="185F38AF"/>
    <w:rsid w:val="187A3B4C"/>
    <w:rsid w:val="188F0211"/>
    <w:rsid w:val="18AD1BEB"/>
    <w:rsid w:val="18B3004A"/>
    <w:rsid w:val="18B31B6D"/>
    <w:rsid w:val="18B96080"/>
    <w:rsid w:val="18CE20EA"/>
    <w:rsid w:val="18DB2CD8"/>
    <w:rsid w:val="18F67868"/>
    <w:rsid w:val="1901426D"/>
    <w:rsid w:val="190B0C4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DF45AE"/>
    <w:rsid w:val="1A125525"/>
    <w:rsid w:val="1A2226ED"/>
    <w:rsid w:val="1A564145"/>
    <w:rsid w:val="1A5F4342"/>
    <w:rsid w:val="1A616E2C"/>
    <w:rsid w:val="1A715D02"/>
    <w:rsid w:val="1A7C5F3D"/>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157783"/>
    <w:rsid w:val="1C4032FE"/>
    <w:rsid w:val="1C555978"/>
    <w:rsid w:val="1C6554A1"/>
    <w:rsid w:val="1C7971B7"/>
    <w:rsid w:val="1C8036FB"/>
    <w:rsid w:val="1C8651B5"/>
    <w:rsid w:val="1C917D91"/>
    <w:rsid w:val="1CA94A00"/>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72DC4"/>
    <w:rsid w:val="1E6B06A5"/>
    <w:rsid w:val="1E7554E1"/>
    <w:rsid w:val="1E7F7D9E"/>
    <w:rsid w:val="1E840DA4"/>
    <w:rsid w:val="1EA5444C"/>
    <w:rsid w:val="1EA5569B"/>
    <w:rsid w:val="1EB350EF"/>
    <w:rsid w:val="1EC21749"/>
    <w:rsid w:val="1ECC1684"/>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2B632B"/>
    <w:rsid w:val="21592B62"/>
    <w:rsid w:val="2172049B"/>
    <w:rsid w:val="21747CD2"/>
    <w:rsid w:val="2180610B"/>
    <w:rsid w:val="219263AA"/>
    <w:rsid w:val="219E5782"/>
    <w:rsid w:val="21C85928"/>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0C5CE8"/>
    <w:rsid w:val="23122833"/>
    <w:rsid w:val="231D4917"/>
    <w:rsid w:val="23223458"/>
    <w:rsid w:val="23225D32"/>
    <w:rsid w:val="23357BE6"/>
    <w:rsid w:val="2342574E"/>
    <w:rsid w:val="2355143D"/>
    <w:rsid w:val="236D1BFA"/>
    <w:rsid w:val="236D331D"/>
    <w:rsid w:val="2377331D"/>
    <w:rsid w:val="237D43DE"/>
    <w:rsid w:val="238A5E5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91459"/>
    <w:rsid w:val="24EC31CF"/>
    <w:rsid w:val="25045F70"/>
    <w:rsid w:val="250474F1"/>
    <w:rsid w:val="25056E93"/>
    <w:rsid w:val="25092EBA"/>
    <w:rsid w:val="250E5D48"/>
    <w:rsid w:val="25241020"/>
    <w:rsid w:val="25302410"/>
    <w:rsid w:val="25483305"/>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125B4F"/>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879F1"/>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355B25"/>
    <w:rsid w:val="2A41271B"/>
    <w:rsid w:val="2A457300"/>
    <w:rsid w:val="2A5372C6"/>
    <w:rsid w:val="2A5A558B"/>
    <w:rsid w:val="2A5B03D8"/>
    <w:rsid w:val="2A6F6D07"/>
    <w:rsid w:val="2A852253"/>
    <w:rsid w:val="2A882500"/>
    <w:rsid w:val="2AA35184"/>
    <w:rsid w:val="2AA3769F"/>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241A1"/>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1B46D1"/>
    <w:rsid w:val="2E310CF9"/>
    <w:rsid w:val="2E443652"/>
    <w:rsid w:val="2E505773"/>
    <w:rsid w:val="2E5C0A3D"/>
    <w:rsid w:val="2E742F70"/>
    <w:rsid w:val="2E8E7EF9"/>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7F6886"/>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0EA0C38"/>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16A7B"/>
    <w:rsid w:val="31D66571"/>
    <w:rsid w:val="31DB4220"/>
    <w:rsid w:val="31DC56CD"/>
    <w:rsid w:val="31E63B94"/>
    <w:rsid w:val="31EA3699"/>
    <w:rsid w:val="31F27AF7"/>
    <w:rsid w:val="31FA74CA"/>
    <w:rsid w:val="32176602"/>
    <w:rsid w:val="322A7699"/>
    <w:rsid w:val="322B25C6"/>
    <w:rsid w:val="32422E70"/>
    <w:rsid w:val="325E56C6"/>
    <w:rsid w:val="3275698A"/>
    <w:rsid w:val="327C0679"/>
    <w:rsid w:val="32870EE7"/>
    <w:rsid w:val="32943B86"/>
    <w:rsid w:val="32A93829"/>
    <w:rsid w:val="32B943EC"/>
    <w:rsid w:val="32B9519B"/>
    <w:rsid w:val="32BA12BD"/>
    <w:rsid w:val="32CC7242"/>
    <w:rsid w:val="32D85BE7"/>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627C9"/>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3E3C50"/>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83AA2"/>
    <w:rsid w:val="36203B2D"/>
    <w:rsid w:val="36257395"/>
    <w:rsid w:val="363E0457"/>
    <w:rsid w:val="365B4B65"/>
    <w:rsid w:val="36806379"/>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E77FC"/>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83C0B"/>
    <w:rsid w:val="38A53DB7"/>
    <w:rsid w:val="38BF3388"/>
    <w:rsid w:val="38CC268D"/>
    <w:rsid w:val="38DF1FDA"/>
    <w:rsid w:val="38EC2960"/>
    <w:rsid w:val="38FD5C8E"/>
    <w:rsid w:val="390069DD"/>
    <w:rsid w:val="39030CF9"/>
    <w:rsid w:val="39091F35"/>
    <w:rsid w:val="390A63CE"/>
    <w:rsid w:val="392536E2"/>
    <w:rsid w:val="39465F15"/>
    <w:rsid w:val="39505209"/>
    <w:rsid w:val="396453C5"/>
    <w:rsid w:val="39922CCF"/>
    <w:rsid w:val="39A03024"/>
    <w:rsid w:val="39A24859"/>
    <w:rsid w:val="39A65327"/>
    <w:rsid w:val="39A65C9B"/>
    <w:rsid w:val="39BC591B"/>
    <w:rsid w:val="39BC5ED6"/>
    <w:rsid w:val="39D27231"/>
    <w:rsid w:val="39E6508D"/>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AE83F75"/>
    <w:rsid w:val="3B312338"/>
    <w:rsid w:val="3B3C5B77"/>
    <w:rsid w:val="3B3D0FF2"/>
    <w:rsid w:val="3B501351"/>
    <w:rsid w:val="3B521A18"/>
    <w:rsid w:val="3B8D2B96"/>
    <w:rsid w:val="3B923660"/>
    <w:rsid w:val="3BCA44BE"/>
    <w:rsid w:val="3BDE296C"/>
    <w:rsid w:val="3BF03FA1"/>
    <w:rsid w:val="3C061F3A"/>
    <w:rsid w:val="3C0A04F9"/>
    <w:rsid w:val="3C0D4B53"/>
    <w:rsid w:val="3C277297"/>
    <w:rsid w:val="3C495480"/>
    <w:rsid w:val="3C4C3A42"/>
    <w:rsid w:val="3C557EA4"/>
    <w:rsid w:val="3C6F0167"/>
    <w:rsid w:val="3C71667B"/>
    <w:rsid w:val="3C7C75E3"/>
    <w:rsid w:val="3C914F3B"/>
    <w:rsid w:val="3CC17F13"/>
    <w:rsid w:val="3CD15B81"/>
    <w:rsid w:val="3CD50B40"/>
    <w:rsid w:val="3CE320A3"/>
    <w:rsid w:val="3CE9196C"/>
    <w:rsid w:val="3CF15105"/>
    <w:rsid w:val="3CFD6976"/>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D84CED"/>
    <w:rsid w:val="3DE51866"/>
    <w:rsid w:val="3DE91725"/>
    <w:rsid w:val="3DF159B1"/>
    <w:rsid w:val="3E135D25"/>
    <w:rsid w:val="3E196FEC"/>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460634"/>
    <w:rsid w:val="405C1C05"/>
    <w:rsid w:val="40765D15"/>
    <w:rsid w:val="407B4FC1"/>
    <w:rsid w:val="407F2DE9"/>
    <w:rsid w:val="40866C82"/>
    <w:rsid w:val="40920B61"/>
    <w:rsid w:val="40953369"/>
    <w:rsid w:val="40991379"/>
    <w:rsid w:val="409B3C3D"/>
    <w:rsid w:val="409F1D81"/>
    <w:rsid w:val="40BB044F"/>
    <w:rsid w:val="40EB6898"/>
    <w:rsid w:val="40F701DF"/>
    <w:rsid w:val="40FD480A"/>
    <w:rsid w:val="411B59C4"/>
    <w:rsid w:val="412A32F8"/>
    <w:rsid w:val="4135001C"/>
    <w:rsid w:val="41401527"/>
    <w:rsid w:val="4153126B"/>
    <w:rsid w:val="417F433E"/>
    <w:rsid w:val="418A1D66"/>
    <w:rsid w:val="41913B31"/>
    <w:rsid w:val="419C4043"/>
    <w:rsid w:val="41B7239D"/>
    <w:rsid w:val="41C95079"/>
    <w:rsid w:val="41D852BC"/>
    <w:rsid w:val="41FF3845"/>
    <w:rsid w:val="420E33D3"/>
    <w:rsid w:val="42101488"/>
    <w:rsid w:val="421104A9"/>
    <w:rsid w:val="42143B88"/>
    <w:rsid w:val="42164586"/>
    <w:rsid w:val="42223D58"/>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B43F6"/>
    <w:rsid w:val="436C42E1"/>
    <w:rsid w:val="437102E7"/>
    <w:rsid w:val="437C210F"/>
    <w:rsid w:val="43847F02"/>
    <w:rsid w:val="438F113C"/>
    <w:rsid w:val="439E7EFB"/>
    <w:rsid w:val="43B1568A"/>
    <w:rsid w:val="43B64E08"/>
    <w:rsid w:val="43BD7F58"/>
    <w:rsid w:val="43D43ECA"/>
    <w:rsid w:val="43DD452F"/>
    <w:rsid w:val="43DE6CD4"/>
    <w:rsid w:val="43E51150"/>
    <w:rsid w:val="43EE12FB"/>
    <w:rsid w:val="43EF28BB"/>
    <w:rsid w:val="43EF56D3"/>
    <w:rsid w:val="43F47D80"/>
    <w:rsid w:val="43F565F9"/>
    <w:rsid w:val="44095C00"/>
    <w:rsid w:val="440A6FD2"/>
    <w:rsid w:val="442A1797"/>
    <w:rsid w:val="44366C11"/>
    <w:rsid w:val="444946CA"/>
    <w:rsid w:val="444B3F54"/>
    <w:rsid w:val="445D7CFA"/>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566A25"/>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853538"/>
    <w:rsid w:val="46BF7E28"/>
    <w:rsid w:val="46C3037C"/>
    <w:rsid w:val="46EF26BD"/>
    <w:rsid w:val="46FF15E0"/>
    <w:rsid w:val="4700581C"/>
    <w:rsid w:val="4702516A"/>
    <w:rsid w:val="471C7D7D"/>
    <w:rsid w:val="471E5E67"/>
    <w:rsid w:val="4724600B"/>
    <w:rsid w:val="472E597E"/>
    <w:rsid w:val="47461B9F"/>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173B9"/>
    <w:rsid w:val="48254C34"/>
    <w:rsid w:val="48450F81"/>
    <w:rsid w:val="48455675"/>
    <w:rsid w:val="484E729D"/>
    <w:rsid w:val="48566773"/>
    <w:rsid w:val="485A23C2"/>
    <w:rsid w:val="48623B31"/>
    <w:rsid w:val="48691107"/>
    <w:rsid w:val="48711FC6"/>
    <w:rsid w:val="48895289"/>
    <w:rsid w:val="489363E0"/>
    <w:rsid w:val="48A16B62"/>
    <w:rsid w:val="48AE0D54"/>
    <w:rsid w:val="48BC6222"/>
    <w:rsid w:val="48C245E9"/>
    <w:rsid w:val="48DB312A"/>
    <w:rsid w:val="48DF49D9"/>
    <w:rsid w:val="48E45842"/>
    <w:rsid w:val="492108CC"/>
    <w:rsid w:val="49413F52"/>
    <w:rsid w:val="494F6304"/>
    <w:rsid w:val="49555444"/>
    <w:rsid w:val="49792B95"/>
    <w:rsid w:val="49DE368B"/>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B7979"/>
    <w:rsid w:val="4B1530DD"/>
    <w:rsid w:val="4B215F25"/>
    <w:rsid w:val="4B520DF4"/>
    <w:rsid w:val="4B603107"/>
    <w:rsid w:val="4B7A5635"/>
    <w:rsid w:val="4B8E10E1"/>
    <w:rsid w:val="4B9802B0"/>
    <w:rsid w:val="4B9E65BE"/>
    <w:rsid w:val="4B9F33A8"/>
    <w:rsid w:val="4BA80AFD"/>
    <w:rsid w:val="4BB033BA"/>
    <w:rsid w:val="4BB14DAB"/>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5692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21759"/>
    <w:rsid w:val="4DD632D9"/>
    <w:rsid w:val="4DE05D9E"/>
    <w:rsid w:val="4DE05DF9"/>
    <w:rsid w:val="4DE44800"/>
    <w:rsid w:val="4DEE0709"/>
    <w:rsid w:val="4DF26A56"/>
    <w:rsid w:val="4DF47921"/>
    <w:rsid w:val="4DFC14EA"/>
    <w:rsid w:val="4DFF6815"/>
    <w:rsid w:val="4E0A3427"/>
    <w:rsid w:val="4E124B64"/>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5D14F6"/>
    <w:rsid w:val="4F681AF1"/>
    <w:rsid w:val="4F6E1972"/>
    <w:rsid w:val="4F730D1A"/>
    <w:rsid w:val="4F943166"/>
    <w:rsid w:val="4F9C19A5"/>
    <w:rsid w:val="4FBA02A1"/>
    <w:rsid w:val="4FCB3ED2"/>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1A650F"/>
    <w:rsid w:val="51237D2E"/>
    <w:rsid w:val="515B06D0"/>
    <w:rsid w:val="51764AF1"/>
    <w:rsid w:val="51996737"/>
    <w:rsid w:val="51B408B8"/>
    <w:rsid w:val="51B80848"/>
    <w:rsid w:val="51CC0868"/>
    <w:rsid w:val="51D5340F"/>
    <w:rsid w:val="52287B99"/>
    <w:rsid w:val="522E717A"/>
    <w:rsid w:val="52382F2A"/>
    <w:rsid w:val="52386E3D"/>
    <w:rsid w:val="523A7DD1"/>
    <w:rsid w:val="523B7711"/>
    <w:rsid w:val="52495D62"/>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35884"/>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84523"/>
    <w:rsid w:val="544B514D"/>
    <w:rsid w:val="545E1D01"/>
    <w:rsid w:val="54674051"/>
    <w:rsid w:val="54935B8F"/>
    <w:rsid w:val="549D3677"/>
    <w:rsid w:val="54A87049"/>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B33C1E"/>
    <w:rsid w:val="55D47A00"/>
    <w:rsid w:val="55D5456D"/>
    <w:rsid w:val="55DC290C"/>
    <w:rsid w:val="55E71B19"/>
    <w:rsid w:val="55EA5D64"/>
    <w:rsid w:val="55F01FA1"/>
    <w:rsid w:val="55FC19B9"/>
    <w:rsid w:val="56130B60"/>
    <w:rsid w:val="56234F28"/>
    <w:rsid w:val="562C1C22"/>
    <w:rsid w:val="56717635"/>
    <w:rsid w:val="56990B7C"/>
    <w:rsid w:val="569E1126"/>
    <w:rsid w:val="56A8690E"/>
    <w:rsid w:val="56B679AB"/>
    <w:rsid w:val="56B80DEB"/>
    <w:rsid w:val="56E0560F"/>
    <w:rsid w:val="56E06E61"/>
    <w:rsid w:val="56E206A5"/>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E3492"/>
    <w:rsid w:val="585F64F9"/>
    <w:rsid w:val="586E3E23"/>
    <w:rsid w:val="587E3341"/>
    <w:rsid w:val="587F428B"/>
    <w:rsid w:val="58843A9C"/>
    <w:rsid w:val="58B31855"/>
    <w:rsid w:val="58B55EFF"/>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826195"/>
    <w:rsid w:val="5B9A2B59"/>
    <w:rsid w:val="5BA652E6"/>
    <w:rsid w:val="5BC0085A"/>
    <w:rsid w:val="5BE03293"/>
    <w:rsid w:val="5BF03D58"/>
    <w:rsid w:val="5BF20AFB"/>
    <w:rsid w:val="5BF31218"/>
    <w:rsid w:val="5C1A6BB2"/>
    <w:rsid w:val="5C292E8C"/>
    <w:rsid w:val="5C306D31"/>
    <w:rsid w:val="5C37233A"/>
    <w:rsid w:val="5C5355FE"/>
    <w:rsid w:val="5C5A49A5"/>
    <w:rsid w:val="5C6519EA"/>
    <w:rsid w:val="5C6715FE"/>
    <w:rsid w:val="5C6F4105"/>
    <w:rsid w:val="5C936557"/>
    <w:rsid w:val="5CBB7F6F"/>
    <w:rsid w:val="5CC248CE"/>
    <w:rsid w:val="5D042FB1"/>
    <w:rsid w:val="5D080CF3"/>
    <w:rsid w:val="5D3A4C25"/>
    <w:rsid w:val="5D442CB4"/>
    <w:rsid w:val="5D465377"/>
    <w:rsid w:val="5D7869AF"/>
    <w:rsid w:val="5D7C3F11"/>
    <w:rsid w:val="5D971C5A"/>
    <w:rsid w:val="5D9D49E0"/>
    <w:rsid w:val="5DA01E9E"/>
    <w:rsid w:val="5DAD3649"/>
    <w:rsid w:val="5DC310BE"/>
    <w:rsid w:val="5DDF1821"/>
    <w:rsid w:val="5DE2656A"/>
    <w:rsid w:val="5DEA2F91"/>
    <w:rsid w:val="5DF94AE0"/>
    <w:rsid w:val="5DF9688E"/>
    <w:rsid w:val="5DFA5883"/>
    <w:rsid w:val="5E224037"/>
    <w:rsid w:val="5E3146A3"/>
    <w:rsid w:val="5E442F62"/>
    <w:rsid w:val="5E6C2C5B"/>
    <w:rsid w:val="5E6E2DD8"/>
    <w:rsid w:val="5E7251A2"/>
    <w:rsid w:val="5E7C3591"/>
    <w:rsid w:val="5E9842F9"/>
    <w:rsid w:val="5E9B5B97"/>
    <w:rsid w:val="5E9D0E18"/>
    <w:rsid w:val="5EA26F25"/>
    <w:rsid w:val="5EA341D7"/>
    <w:rsid w:val="5EA755DE"/>
    <w:rsid w:val="5EAE7678"/>
    <w:rsid w:val="5ED35F0E"/>
    <w:rsid w:val="5EDF7832"/>
    <w:rsid w:val="5EFC1390"/>
    <w:rsid w:val="5EFC3EB6"/>
    <w:rsid w:val="5F03335D"/>
    <w:rsid w:val="5F0368C7"/>
    <w:rsid w:val="5F1544E7"/>
    <w:rsid w:val="5F197EE8"/>
    <w:rsid w:val="5F304531"/>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0F05EB"/>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D84E80"/>
    <w:rsid w:val="60FF21D9"/>
    <w:rsid w:val="610C0686"/>
    <w:rsid w:val="611E37D0"/>
    <w:rsid w:val="612C6F7A"/>
    <w:rsid w:val="613021B3"/>
    <w:rsid w:val="61306A6A"/>
    <w:rsid w:val="6131633F"/>
    <w:rsid w:val="613253FD"/>
    <w:rsid w:val="61421F29"/>
    <w:rsid w:val="61637D56"/>
    <w:rsid w:val="61712185"/>
    <w:rsid w:val="618B7207"/>
    <w:rsid w:val="61907E69"/>
    <w:rsid w:val="61A90D68"/>
    <w:rsid w:val="61B43A15"/>
    <w:rsid w:val="61B825BC"/>
    <w:rsid w:val="61DA0425"/>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D4DCC"/>
    <w:rsid w:val="631F3FB4"/>
    <w:rsid w:val="63273E9D"/>
    <w:rsid w:val="63364F75"/>
    <w:rsid w:val="6340438B"/>
    <w:rsid w:val="6353238E"/>
    <w:rsid w:val="63612AB8"/>
    <w:rsid w:val="63640C4D"/>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654D9"/>
    <w:rsid w:val="64BC182A"/>
    <w:rsid w:val="650242F0"/>
    <w:rsid w:val="652C7549"/>
    <w:rsid w:val="65365B2B"/>
    <w:rsid w:val="653F447E"/>
    <w:rsid w:val="65542778"/>
    <w:rsid w:val="65566374"/>
    <w:rsid w:val="655829AF"/>
    <w:rsid w:val="656B70C3"/>
    <w:rsid w:val="658E1FB1"/>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8F1B3D"/>
    <w:rsid w:val="6694262A"/>
    <w:rsid w:val="66990381"/>
    <w:rsid w:val="66A001EE"/>
    <w:rsid w:val="66B31B01"/>
    <w:rsid w:val="66CE1E80"/>
    <w:rsid w:val="66DB2FD4"/>
    <w:rsid w:val="66E362F9"/>
    <w:rsid w:val="66E47FD9"/>
    <w:rsid w:val="66E520A5"/>
    <w:rsid w:val="66F04175"/>
    <w:rsid w:val="66F127F8"/>
    <w:rsid w:val="67071922"/>
    <w:rsid w:val="673B73C0"/>
    <w:rsid w:val="674743C8"/>
    <w:rsid w:val="675608B6"/>
    <w:rsid w:val="67754402"/>
    <w:rsid w:val="677D54ED"/>
    <w:rsid w:val="678B726C"/>
    <w:rsid w:val="679D472E"/>
    <w:rsid w:val="679E40A4"/>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73C08"/>
    <w:rsid w:val="685E1363"/>
    <w:rsid w:val="687731D1"/>
    <w:rsid w:val="6878475E"/>
    <w:rsid w:val="688E1089"/>
    <w:rsid w:val="68993219"/>
    <w:rsid w:val="689E42BA"/>
    <w:rsid w:val="68A026F3"/>
    <w:rsid w:val="68AF6C13"/>
    <w:rsid w:val="68C77CB4"/>
    <w:rsid w:val="68F25680"/>
    <w:rsid w:val="69074555"/>
    <w:rsid w:val="690E07C7"/>
    <w:rsid w:val="69140A20"/>
    <w:rsid w:val="69236A65"/>
    <w:rsid w:val="692E469B"/>
    <w:rsid w:val="69315C48"/>
    <w:rsid w:val="694019EC"/>
    <w:rsid w:val="694841AF"/>
    <w:rsid w:val="69584DB4"/>
    <w:rsid w:val="695B5B89"/>
    <w:rsid w:val="695D5F23"/>
    <w:rsid w:val="696C3D80"/>
    <w:rsid w:val="696D7E94"/>
    <w:rsid w:val="698A5EE4"/>
    <w:rsid w:val="69934A52"/>
    <w:rsid w:val="69C811ED"/>
    <w:rsid w:val="69D33070"/>
    <w:rsid w:val="69E97E75"/>
    <w:rsid w:val="69FB573C"/>
    <w:rsid w:val="69FB5D9E"/>
    <w:rsid w:val="69FF6FDA"/>
    <w:rsid w:val="6A1A3007"/>
    <w:rsid w:val="6A1E645E"/>
    <w:rsid w:val="6A3C6480"/>
    <w:rsid w:val="6A417049"/>
    <w:rsid w:val="6A576E16"/>
    <w:rsid w:val="6A7903E5"/>
    <w:rsid w:val="6A8219B9"/>
    <w:rsid w:val="6A8641F2"/>
    <w:rsid w:val="6A9701A5"/>
    <w:rsid w:val="6AA03032"/>
    <w:rsid w:val="6AA86FEC"/>
    <w:rsid w:val="6ACB20F7"/>
    <w:rsid w:val="6ADA6AC4"/>
    <w:rsid w:val="6ADB11D6"/>
    <w:rsid w:val="6ADF0BB9"/>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97958"/>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4B0788"/>
    <w:rsid w:val="6D8079F9"/>
    <w:rsid w:val="6D8A5754"/>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6A3D7F"/>
    <w:rsid w:val="6E7764EF"/>
    <w:rsid w:val="6E8403F6"/>
    <w:rsid w:val="6E963C85"/>
    <w:rsid w:val="6EAD447C"/>
    <w:rsid w:val="6EAE5472"/>
    <w:rsid w:val="6EB505AF"/>
    <w:rsid w:val="6EBC069A"/>
    <w:rsid w:val="6EBE7228"/>
    <w:rsid w:val="6ECD7F59"/>
    <w:rsid w:val="6ECF449B"/>
    <w:rsid w:val="6ED975CA"/>
    <w:rsid w:val="6EED7C80"/>
    <w:rsid w:val="6EF773A4"/>
    <w:rsid w:val="6F1E2E65"/>
    <w:rsid w:val="6F2F2D9E"/>
    <w:rsid w:val="6F343BCA"/>
    <w:rsid w:val="6F4147D9"/>
    <w:rsid w:val="6F581F47"/>
    <w:rsid w:val="6F5B0D5A"/>
    <w:rsid w:val="6F5C35EA"/>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E2315F"/>
    <w:rsid w:val="70FA674D"/>
    <w:rsid w:val="710952C1"/>
    <w:rsid w:val="713954C7"/>
    <w:rsid w:val="713F70AB"/>
    <w:rsid w:val="71452CD8"/>
    <w:rsid w:val="71583F2D"/>
    <w:rsid w:val="7158683A"/>
    <w:rsid w:val="715B2F52"/>
    <w:rsid w:val="7167680B"/>
    <w:rsid w:val="716F0EE9"/>
    <w:rsid w:val="71764F23"/>
    <w:rsid w:val="71881188"/>
    <w:rsid w:val="718F158B"/>
    <w:rsid w:val="71946576"/>
    <w:rsid w:val="71967E84"/>
    <w:rsid w:val="7197629F"/>
    <w:rsid w:val="71A61873"/>
    <w:rsid w:val="71AF4936"/>
    <w:rsid w:val="71B12351"/>
    <w:rsid w:val="71BB4E1E"/>
    <w:rsid w:val="71D07496"/>
    <w:rsid w:val="71D75D0F"/>
    <w:rsid w:val="71F437A4"/>
    <w:rsid w:val="721919B3"/>
    <w:rsid w:val="721970A7"/>
    <w:rsid w:val="721A6098"/>
    <w:rsid w:val="721D18D3"/>
    <w:rsid w:val="72310D1A"/>
    <w:rsid w:val="72380592"/>
    <w:rsid w:val="725D6B54"/>
    <w:rsid w:val="727644F9"/>
    <w:rsid w:val="72986FA0"/>
    <w:rsid w:val="729D1A86"/>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40550"/>
    <w:rsid w:val="73887B3E"/>
    <w:rsid w:val="73892412"/>
    <w:rsid w:val="73AF2114"/>
    <w:rsid w:val="73AF381F"/>
    <w:rsid w:val="73E159A2"/>
    <w:rsid w:val="73E96BCA"/>
    <w:rsid w:val="73EE4A6E"/>
    <w:rsid w:val="741048BC"/>
    <w:rsid w:val="742E78D4"/>
    <w:rsid w:val="74317498"/>
    <w:rsid w:val="74335A84"/>
    <w:rsid w:val="743A6A13"/>
    <w:rsid w:val="74676A28"/>
    <w:rsid w:val="747E40B6"/>
    <w:rsid w:val="7481790F"/>
    <w:rsid w:val="74A43991"/>
    <w:rsid w:val="74AA2238"/>
    <w:rsid w:val="74AC3224"/>
    <w:rsid w:val="74B21065"/>
    <w:rsid w:val="74BB2C83"/>
    <w:rsid w:val="74C33758"/>
    <w:rsid w:val="74D476FB"/>
    <w:rsid w:val="74D72451"/>
    <w:rsid w:val="74DE4E5F"/>
    <w:rsid w:val="74DF4B7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AA29C3"/>
    <w:rsid w:val="76BB1CAB"/>
    <w:rsid w:val="76C04050"/>
    <w:rsid w:val="76C552C4"/>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0032D1"/>
    <w:rsid w:val="78250553"/>
    <w:rsid w:val="782642CC"/>
    <w:rsid w:val="783B17B1"/>
    <w:rsid w:val="784E2046"/>
    <w:rsid w:val="78546F0C"/>
    <w:rsid w:val="786778FE"/>
    <w:rsid w:val="78830961"/>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542B32"/>
    <w:rsid w:val="7A6F5001"/>
    <w:rsid w:val="7A7720A0"/>
    <w:rsid w:val="7A837B2B"/>
    <w:rsid w:val="7A9635B3"/>
    <w:rsid w:val="7AA2343E"/>
    <w:rsid w:val="7AD60EB8"/>
    <w:rsid w:val="7ADA73A4"/>
    <w:rsid w:val="7AE66B99"/>
    <w:rsid w:val="7AF34646"/>
    <w:rsid w:val="7AFE508C"/>
    <w:rsid w:val="7B0A3BCA"/>
    <w:rsid w:val="7B1C0EF4"/>
    <w:rsid w:val="7B2014A6"/>
    <w:rsid w:val="7B345AA9"/>
    <w:rsid w:val="7B4048C1"/>
    <w:rsid w:val="7B4C5DF7"/>
    <w:rsid w:val="7B73082F"/>
    <w:rsid w:val="7B7B492E"/>
    <w:rsid w:val="7B9A3D1D"/>
    <w:rsid w:val="7BB46FBD"/>
    <w:rsid w:val="7BC462D5"/>
    <w:rsid w:val="7BC62E00"/>
    <w:rsid w:val="7BC73B55"/>
    <w:rsid w:val="7BCB5B3D"/>
    <w:rsid w:val="7BE35E2A"/>
    <w:rsid w:val="7BF538C2"/>
    <w:rsid w:val="7BF66C24"/>
    <w:rsid w:val="7BFA1CC7"/>
    <w:rsid w:val="7BFB70B3"/>
    <w:rsid w:val="7BFD3595"/>
    <w:rsid w:val="7C0251DA"/>
    <w:rsid w:val="7C0C0E4A"/>
    <w:rsid w:val="7C0E41D1"/>
    <w:rsid w:val="7C1052F2"/>
    <w:rsid w:val="7C21292C"/>
    <w:rsid w:val="7C2668D9"/>
    <w:rsid w:val="7C32497F"/>
    <w:rsid w:val="7C3C69AE"/>
    <w:rsid w:val="7C691974"/>
    <w:rsid w:val="7C817D22"/>
    <w:rsid w:val="7C8A6570"/>
    <w:rsid w:val="7C8B7390"/>
    <w:rsid w:val="7C9B0D0E"/>
    <w:rsid w:val="7CA42B03"/>
    <w:rsid w:val="7CC55E61"/>
    <w:rsid w:val="7CCC5441"/>
    <w:rsid w:val="7CD2318A"/>
    <w:rsid w:val="7CD2702A"/>
    <w:rsid w:val="7CD34C42"/>
    <w:rsid w:val="7CD46B29"/>
    <w:rsid w:val="7CDE3FF9"/>
    <w:rsid w:val="7CE26EBF"/>
    <w:rsid w:val="7CEE3130"/>
    <w:rsid w:val="7CF95B0B"/>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53F59"/>
    <w:rsid w:val="7E991353"/>
    <w:rsid w:val="7E9C184B"/>
    <w:rsid w:val="7EA72948"/>
    <w:rsid w:val="7EB31EDB"/>
    <w:rsid w:val="7ED61132"/>
    <w:rsid w:val="7EE70CC0"/>
    <w:rsid w:val="7EEB48DB"/>
    <w:rsid w:val="7EF0118F"/>
    <w:rsid w:val="7EF27444"/>
    <w:rsid w:val="7F185A04"/>
    <w:rsid w:val="7F2257ED"/>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7"/>
    <w:autoRedefine/>
    <w:qFormat/>
    <w:uiPriority w:val="0"/>
  </w:style>
  <w:style w:type="paragraph" w:styleId="5">
    <w:name w:val="Body Text First Indent"/>
    <w:basedOn w:val="4"/>
    <w:next w:val="1"/>
    <w:autoRedefine/>
    <w:qFormat/>
    <w:uiPriority w:val="0"/>
    <w:pPr>
      <w:spacing w:line="360" w:lineRule="auto"/>
      <w:ind w:firstLine="420" w:firstLineChars="100"/>
    </w:pPr>
    <w:rPr>
      <w:szCs w:val="21"/>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9"/>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customStyle="1" w:styleId="15">
    <w:name w:val="目录 21"/>
    <w:next w:val="1"/>
    <w:qFormat/>
    <w:uiPriority w:val="0"/>
    <w:pPr>
      <w:wordWrap w:val="0"/>
      <w:jc w:val="both"/>
    </w:pPr>
    <w:rPr>
      <w:rFonts w:ascii="Calibri" w:hAnsi="Calibri" w:eastAsia="宋体" w:cs="Times New Roman"/>
      <w:sz w:val="21"/>
      <w:lang w:val="en-US" w:eastAsia="zh-CN" w:bidi="ar-SA"/>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2"/>
    <w:basedOn w:val="14"/>
    <w:autoRedefine/>
    <w:qFormat/>
    <w:uiPriority w:val="0"/>
    <w:pPr>
      <w:ind w:firstLine="420" w:firstLineChars="200"/>
    </w:p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表格文字"/>
    <w:basedOn w:val="1"/>
    <w:next w:val="4"/>
    <w:autoRedefine/>
    <w:qFormat/>
    <w:uiPriority w:val="0"/>
    <w:pPr>
      <w:adjustRightInd w:val="0"/>
      <w:spacing w:line="420" w:lineRule="atLeast"/>
      <w:jc w:val="left"/>
      <w:textAlignment w:val="baseline"/>
    </w:pPr>
    <w:rPr>
      <w:kern w:val="0"/>
      <w:szCs w:val="20"/>
    </w:rPr>
  </w:style>
  <w:style w:type="paragraph" w:customStyle="1" w:styleId="51">
    <w:name w:val="大标题"/>
    <w:basedOn w:val="1"/>
    <w:next w:val="32"/>
    <w:autoRedefine/>
    <w:qFormat/>
    <w:uiPriority w:val="0"/>
    <w:pPr>
      <w:jc w:val="center"/>
    </w:pPr>
    <w:rPr>
      <w:rFonts w:ascii="Arial" w:hAnsi="Arial"/>
      <w:b/>
      <w:sz w:val="28"/>
    </w:rPr>
  </w:style>
  <w:style w:type="paragraph" w:customStyle="1" w:styleId="52">
    <w:name w:val="正文文本缩进 21"/>
    <w:basedOn w:val="1"/>
    <w:autoRedefine/>
    <w:qFormat/>
    <w:uiPriority w:val="0"/>
    <w:pPr>
      <w:ind w:firstLine="570"/>
    </w:pPr>
    <w:rPr>
      <w:sz w:val="32"/>
    </w:rPr>
  </w:style>
  <w:style w:type="paragraph" w:customStyle="1" w:styleId="53">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5">
    <w:name w:val="No Spacing1"/>
    <w:basedOn w:val="1"/>
    <w:autoRedefine/>
    <w:qFormat/>
    <w:uiPriority w:val="0"/>
    <w:pPr>
      <w:spacing w:line="400" w:lineRule="exact"/>
    </w:pPr>
    <w:rPr>
      <w:sz w:val="24"/>
    </w:rPr>
  </w:style>
  <w:style w:type="paragraph" w:customStyle="1" w:styleId="56">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7">
    <w:name w:val="Char"/>
    <w:basedOn w:val="1"/>
    <w:autoRedefine/>
    <w:qFormat/>
    <w:uiPriority w:val="0"/>
  </w:style>
  <w:style w:type="paragraph" w:customStyle="1" w:styleId="58">
    <w:name w:val="正文缩进1"/>
    <w:basedOn w:val="1"/>
    <w:autoRedefine/>
    <w:qFormat/>
    <w:uiPriority w:val="0"/>
    <w:pPr>
      <w:widowControl/>
      <w:ind w:firstLine="420"/>
      <w:jc w:val="left"/>
    </w:pPr>
    <w:rPr>
      <w:kern w:val="0"/>
      <w:szCs w:val="20"/>
    </w:rPr>
  </w:style>
  <w:style w:type="paragraph" w:customStyle="1" w:styleId="59">
    <w:name w:val="列出段落2"/>
    <w:basedOn w:val="1"/>
    <w:autoRedefine/>
    <w:qFormat/>
    <w:uiPriority w:val="34"/>
    <w:pPr>
      <w:ind w:firstLine="420" w:firstLineChars="200"/>
    </w:pPr>
  </w:style>
  <w:style w:type="paragraph" w:customStyle="1" w:styleId="60">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1">
    <w:name w:val="1"/>
    <w:basedOn w:val="1"/>
    <w:autoRedefine/>
    <w:qFormat/>
    <w:uiPriority w:val="0"/>
    <w:pPr>
      <w:widowControl/>
      <w:spacing w:beforeAutospacing="1" w:afterAutospacing="1"/>
      <w:jc w:val="left"/>
    </w:pPr>
    <w:rPr>
      <w:rFonts w:ascii="宋体" w:hAnsi="宋体" w:cs="宋体"/>
      <w:kern w:val="0"/>
      <w:sz w:val="24"/>
    </w:rPr>
  </w:style>
  <w:style w:type="paragraph" w:styleId="62">
    <w:name w:val="No Spacing"/>
    <w:autoRedefine/>
    <w:qFormat/>
    <w:uiPriority w:val="1"/>
    <w:rPr>
      <w:rFonts w:ascii="Calibri" w:hAnsi="Calibri" w:eastAsia="宋体" w:cs="Times New Roman"/>
      <w:sz w:val="22"/>
      <w:szCs w:val="22"/>
      <w:lang w:val="en-US" w:eastAsia="zh-CN" w:bidi="ar-SA"/>
    </w:rPr>
  </w:style>
  <w:style w:type="paragraph" w:customStyle="1" w:styleId="63">
    <w:name w:val="_Style 2"/>
    <w:basedOn w:val="1"/>
    <w:autoRedefine/>
    <w:qFormat/>
    <w:uiPriority w:val="34"/>
    <w:pPr>
      <w:ind w:firstLine="420" w:firstLineChars="200"/>
    </w:pPr>
    <w:rPr>
      <w:rFonts w:ascii="Calibri" w:hAnsi="Calibri"/>
    </w:rPr>
  </w:style>
  <w:style w:type="paragraph" w:customStyle="1" w:styleId="64">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5">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6">
    <w:name w:val="Char1"/>
    <w:basedOn w:val="1"/>
    <w:autoRedefine/>
    <w:qFormat/>
    <w:uiPriority w:val="0"/>
  </w:style>
  <w:style w:type="paragraph" w:customStyle="1" w:styleId="67">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8">
    <w:name w:val="Table Paragraph"/>
    <w:basedOn w:val="1"/>
    <w:autoRedefine/>
    <w:qFormat/>
    <w:uiPriority w:val="1"/>
    <w:pPr>
      <w:jc w:val="left"/>
    </w:pPr>
    <w:rPr>
      <w:rFonts w:ascii="宋体" w:hAnsi="宋体" w:cs="宋体"/>
      <w:kern w:val="0"/>
      <w:sz w:val="22"/>
      <w:szCs w:val="22"/>
      <w:lang w:eastAsia="en-US"/>
    </w:rPr>
  </w:style>
  <w:style w:type="paragraph" w:customStyle="1" w:styleId="69">
    <w:name w:val="无间隔1"/>
    <w:basedOn w:val="1"/>
    <w:autoRedefine/>
    <w:qFormat/>
    <w:uiPriority w:val="1"/>
    <w:pPr>
      <w:spacing w:line="400" w:lineRule="exact"/>
    </w:pPr>
    <w:rPr>
      <w:sz w:val="24"/>
    </w:rPr>
  </w:style>
  <w:style w:type="paragraph" w:customStyle="1" w:styleId="70">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1">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
    <w:basedOn w:val="1"/>
    <w:autoRedefine/>
    <w:qFormat/>
    <w:uiPriority w:val="34"/>
    <w:pPr>
      <w:ind w:firstLine="420" w:firstLineChars="200"/>
    </w:pPr>
  </w:style>
  <w:style w:type="paragraph" w:customStyle="1" w:styleId="73">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4">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6">
    <w:name w:val="列出段落11"/>
    <w:basedOn w:val="1"/>
    <w:autoRedefine/>
    <w:qFormat/>
    <w:uiPriority w:val="0"/>
    <w:pPr>
      <w:ind w:firstLine="420" w:firstLineChars="200"/>
    </w:pPr>
    <w:rPr>
      <w:rFonts w:ascii="Calibri" w:hAnsi="Calibri"/>
      <w:szCs w:val="22"/>
    </w:rPr>
  </w:style>
  <w:style w:type="character" w:customStyle="1" w:styleId="77">
    <w:name w:val="正文文本 Char"/>
    <w:basedOn w:val="35"/>
    <w:link w:val="4"/>
    <w:autoRedefine/>
    <w:qFormat/>
    <w:uiPriority w:val="0"/>
  </w:style>
  <w:style w:type="character" w:customStyle="1" w:styleId="78">
    <w:name w:val="apple-converted-space"/>
    <w:basedOn w:val="35"/>
    <w:autoRedefine/>
    <w:qFormat/>
    <w:uiPriority w:val="0"/>
  </w:style>
  <w:style w:type="character" w:customStyle="1" w:styleId="79">
    <w:name w:val="文档结构图 Char"/>
    <w:link w:val="11"/>
    <w:autoRedefine/>
    <w:qFormat/>
    <w:uiPriority w:val="0"/>
    <w:rPr>
      <w:rFonts w:ascii="宋体"/>
      <w:kern w:val="2"/>
      <w:sz w:val="18"/>
      <w:szCs w:val="18"/>
    </w:rPr>
  </w:style>
  <w:style w:type="character" w:customStyle="1" w:styleId="80">
    <w:name w:val="不明显强调1"/>
    <w:autoRedefine/>
    <w:qFormat/>
    <w:uiPriority w:val="19"/>
    <w:rPr>
      <w:i/>
      <w:iCs/>
      <w:color w:val="7F7F7F"/>
      <w:szCs w:val="24"/>
    </w:rPr>
  </w:style>
  <w:style w:type="character" w:customStyle="1" w:styleId="81">
    <w:name w:val="font71"/>
    <w:basedOn w:val="35"/>
    <w:autoRedefine/>
    <w:qFormat/>
    <w:uiPriority w:val="0"/>
    <w:rPr>
      <w:rFonts w:hint="eastAsia" w:ascii="宋体" w:hAnsi="宋体" w:eastAsia="宋体" w:cs="宋体"/>
      <w:color w:val="000000"/>
      <w:sz w:val="28"/>
      <w:szCs w:val="28"/>
      <w:u w:val="none"/>
    </w:rPr>
  </w:style>
  <w:style w:type="character" w:customStyle="1" w:styleId="82">
    <w:name w:val="font21"/>
    <w:autoRedefine/>
    <w:qFormat/>
    <w:uiPriority w:val="0"/>
    <w:rPr>
      <w:rFonts w:hint="default" w:ascii="Calibri" w:hAnsi="Calibri" w:cs="Calibri"/>
      <w:color w:val="000000"/>
      <w:sz w:val="28"/>
      <w:szCs w:val="28"/>
      <w:u w:val="none"/>
    </w:rPr>
  </w:style>
  <w:style w:type="character" w:customStyle="1" w:styleId="83">
    <w:name w:val="17"/>
    <w:autoRedefine/>
    <w:qFormat/>
    <w:uiPriority w:val="0"/>
    <w:rPr>
      <w:rFonts w:hint="eastAsia" w:ascii="宋体" w:hAnsi="宋体" w:eastAsia="宋体"/>
      <w:color w:val="000000"/>
    </w:rPr>
  </w:style>
  <w:style w:type="character" w:customStyle="1" w:styleId="84">
    <w:name w:val="font91"/>
    <w:autoRedefine/>
    <w:qFormat/>
    <w:uiPriority w:val="0"/>
    <w:rPr>
      <w:rFonts w:hint="eastAsia" w:ascii="宋体" w:hAnsi="宋体" w:eastAsia="宋体" w:cs="宋体"/>
      <w:color w:val="FF0000"/>
      <w:sz w:val="28"/>
      <w:szCs w:val="28"/>
      <w:u w:val="none"/>
    </w:rPr>
  </w:style>
  <w:style w:type="paragraph" w:customStyle="1" w:styleId="85">
    <w:name w:val="p"/>
    <w:basedOn w:val="1"/>
    <w:autoRedefine/>
    <w:qFormat/>
    <w:uiPriority w:val="0"/>
    <w:pPr>
      <w:widowControl/>
      <w:spacing w:line="432" w:lineRule="auto"/>
      <w:jc w:val="left"/>
    </w:pPr>
    <w:rPr>
      <w:rFonts w:ascii="宋体" w:hAnsi="宋体" w:cs="宋体"/>
      <w:kern w:val="0"/>
      <w:sz w:val="24"/>
    </w:rPr>
  </w:style>
  <w:style w:type="paragraph" w:customStyle="1" w:styleId="86">
    <w:name w:val="WPSOffice手动目录 1"/>
    <w:autoRedefine/>
    <w:qFormat/>
    <w:uiPriority w:val="0"/>
    <w:rPr>
      <w:rFonts w:ascii="Times New Roman" w:hAnsi="Times New Roman" w:eastAsia="宋体" w:cs="Times New Roman"/>
      <w:lang w:val="en-US" w:eastAsia="zh-CN" w:bidi="ar-SA"/>
    </w:rPr>
  </w:style>
  <w:style w:type="paragraph" w:customStyle="1" w:styleId="87">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8">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9">
    <w:name w:val="列表段落1"/>
    <w:basedOn w:val="1"/>
    <w:autoRedefine/>
    <w:qFormat/>
    <w:uiPriority w:val="34"/>
    <w:pPr>
      <w:widowControl/>
      <w:ind w:firstLine="420"/>
      <w:jc w:val="left"/>
    </w:pPr>
    <w:rPr>
      <w:kern w:val="0"/>
    </w:rPr>
  </w:style>
  <w:style w:type="paragraph" w:styleId="90">
    <w:name w:val="List Paragraph"/>
    <w:basedOn w:val="1"/>
    <w:autoRedefine/>
    <w:qFormat/>
    <w:uiPriority w:val="34"/>
    <w:pPr>
      <w:ind w:firstLine="420" w:firstLineChars="200"/>
    </w:pPr>
  </w:style>
  <w:style w:type="character" w:customStyle="1" w:styleId="91">
    <w:name w:val="hover18"/>
    <w:basedOn w:val="35"/>
    <w:autoRedefine/>
    <w:qFormat/>
    <w:uiPriority w:val="0"/>
  </w:style>
  <w:style w:type="table" w:customStyle="1" w:styleId="92">
    <w:name w:val="Table Normal"/>
    <w:autoRedefine/>
    <w:qFormat/>
    <w:uiPriority w:val="0"/>
    <w:tblPr>
      <w:tblCellMar>
        <w:top w:w="0" w:type="dxa"/>
        <w:left w:w="0" w:type="dxa"/>
        <w:bottom w:w="0" w:type="dxa"/>
        <w:right w:w="0" w:type="dxa"/>
      </w:tblCellMar>
    </w:tblPr>
  </w:style>
  <w:style w:type="paragraph" w:customStyle="1" w:styleId="93">
    <w:name w:val="Table Text"/>
    <w:basedOn w:val="1"/>
    <w:autoRedefine/>
    <w:semiHidden/>
    <w:qFormat/>
    <w:uiPriority w:val="0"/>
    <w:rPr>
      <w:rFonts w:ascii="宋体" w:hAnsi="宋体" w:eastAsia="宋体" w:cs="宋体"/>
      <w:sz w:val="45"/>
      <w:szCs w:val="45"/>
      <w:lang w:val="en-US" w:eastAsia="en-US" w:bidi="ar-SA"/>
    </w:rPr>
  </w:style>
  <w:style w:type="character" w:customStyle="1" w:styleId="94">
    <w:name w:val="font11"/>
    <w:basedOn w:val="35"/>
    <w:autoRedefine/>
    <w:qFormat/>
    <w:uiPriority w:val="0"/>
    <w:rPr>
      <w:rFonts w:ascii="Calibri" w:hAnsi="Calibri" w:cs="Calibri"/>
      <w:color w:val="000000"/>
      <w:sz w:val="24"/>
      <w:szCs w:val="24"/>
      <w:u w:val="none"/>
    </w:rPr>
  </w:style>
  <w:style w:type="paragraph" w:customStyle="1" w:styleId="95">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6">
    <w:name w:val="font61"/>
    <w:basedOn w:val="35"/>
    <w:qFormat/>
    <w:uiPriority w:val="0"/>
    <w:rPr>
      <w:rFonts w:ascii="宋体" w:hAnsi="宋体" w:eastAsia="宋体" w:cs="宋体"/>
      <w:color w:val="000000"/>
      <w:sz w:val="24"/>
      <w:szCs w:val="24"/>
      <w:u w:val="none"/>
    </w:rPr>
  </w:style>
  <w:style w:type="character" w:customStyle="1" w:styleId="97">
    <w:name w:val="font81"/>
    <w:basedOn w:val="35"/>
    <w:qFormat/>
    <w:uiPriority w:val="0"/>
    <w:rPr>
      <w:rFonts w:hint="default" w:ascii="Times New Roman" w:hAnsi="Times New Roman" w:cs="Times New Roman"/>
      <w:color w:val="000000"/>
      <w:sz w:val="18"/>
      <w:szCs w:val="18"/>
      <w:u w:val="none"/>
    </w:rPr>
  </w:style>
  <w:style w:type="paragraph" w:customStyle="1" w:styleId="98">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99">
    <w:name w:val="正文 A"/>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100">
    <w:name w:val="章正文"/>
    <w:basedOn w:val="1"/>
    <w:qFormat/>
    <w:locked/>
    <w:uiPriority w:val="99"/>
    <w:pPr>
      <w:spacing w:beforeLines="50" w:after="120" w:line="300" w:lineRule="auto"/>
      <w:ind w:firstLine="480"/>
    </w:pPr>
    <w:rPr>
      <w:rFonts w:ascii="Helvetica" w:hAnsi="Helvetic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14731</Words>
  <Characters>15510</Characters>
  <Lines>50</Lines>
  <Paragraphs>68</Paragraphs>
  <TotalTime>17</TotalTime>
  <ScaleCrop>false</ScaleCrop>
  <LinksUpToDate>false</LinksUpToDate>
  <CharactersWithSpaces>16162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2025-07-21T08:44:00Z</cp:lastPrinted>
  <dcterms:modified xsi:type="dcterms:W3CDTF">2025-08-25T00:51:56Z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8AC1E1A35AC5453FB383F669823124AD_13</vt:lpwstr>
  </property>
  <property fmtid="{D5CDD505-2E9C-101B-9397-08002B2CF9AE}" pid="4" name="KSOTemplateDocerSaveRecord">
    <vt:lpwstr>eyJoZGlkIjoiYzIwMjRmYTY4OTJhZjc1NTA1MGQwNDc0NzZhNTkwMmUiLCJ1c2VySWQiOiIxNjg0NTc5MjM2In0=</vt:lpwstr>
  </property>
</Properties>
</file>