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611CEB">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highlight w:val="none"/>
          <w:lang w:val="en-US" w:eastAsia="zh-CN"/>
        </w:rPr>
      </w:pPr>
      <w:bookmarkStart w:id="0" w:name="_Toc22953395"/>
      <w:bookmarkEnd w:id="0"/>
      <w:bookmarkStart w:id="1" w:name="_Toc22804073"/>
      <w:bookmarkEnd w:id="1"/>
    </w:p>
    <w:p w14:paraId="5ABC8E99">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Style w:val="44"/>
          <w:rFonts w:hint="eastAsia" w:ascii="宋体" w:hAnsi="宋体" w:eastAsia="宋体" w:cs="宋体"/>
          <w:b/>
          <w:bCs/>
          <w:color w:val="auto"/>
          <w:sz w:val="48"/>
          <w:szCs w:val="48"/>
          <w:highlight w:val="none"/>
        </w:rPr>
      </w:pPr>
      <w:r>
        <w:rPr>
          <w:rFonts w:hint="eastAsia" w:cs="宋体"/>
          <w:b/>
          <w:bCs/>
          <w:color w:val="auto"/>
          <w:sz w:val="44"/>
          <w:szCs w:val="44"/>
          <w:highlight w:val="none"/>
          <w:lang w:val="en-US" w:eastAsia="zh-CN"/>
        </w:rPr>
        <w:t>全院水泵维修更换及保养</w:t>
      </w:r>
    </w:p>
    <w:p w14:paraId="20826E73">
      <w:pPr>
        <w:pStyle w:val="19"/>
        <w:bidi w:val="0"/>
        <w:jc w:val="center"/>
        <w:rPr>
          <w:rStyle w:val="44"/>
          <w:rFonts w:hint="eastAsia" w:ascii="宋体" w:hAnsi="宋体" w:eastAsia="宋体" w:cs="宋体"/>
          <w:b/>
          <w:bCs/>
          <w:color w:val="auto"/>
          <w:sz w:val="48"/>
          <w:szCs w:val="48"/>
          <w:highlight w:val="none"/>
        </w:rPr>
      </w:pPr>
    </w:p>
    <w:p w14:paraId="12179BBF">
      <w:pPr>
        <w:pStyle w:val="19"/>
        <w:bidi w:val="0"/>
        <w:jc w:val="center"/>
        <w:rPr>
          <w:rStyle w:val="44"/>
          <w:rFonts w:hint="eastAsia" w:ascii="宋体" w:hAnsi="宋体" w:eastAsia="宋体" w:cs="宋体"/>
          <w:b/>
          <w:bCs/>
          <w:color w:val="auto"/>
          <w:sz w:val="44"/>
          <w:szCs w:val="44"/>
          <w:highlight w:val="none"/>
        </w:rPr>
      </w:pPr>
      <w:r>
        <w:rPr>
          <w:rStyle w:val="44"/>
          <w:rFonts w:hint="eastAsia" w:cs="宋体"/>
          <w:b/>
          <w:bCs/>
          <w:color w:val="auto"/>
          <w:sz w:val="44"/>
          <w:szCs w:val="44"/>
          <w:highlight w:val="none"/>
          <w:lang w:val="en-US" w:eastAsia="zh-CN"/>
        </w:rPr>
        <w:t>竞争性磋商</w:t>
      </w:r>
      <w:r>
        <w:rPr>
          <w:rStyle w:val="44"/>
          <w:rFonts w:hint="eastAsia" w:ascii="宋体" w:hAnsi="宋体" w:eastAsia="宋体" w:cs="宋体"/>
          <w:b/>
          <w:bCs/>
          <w:color w:val="auto"/>
          <w:sz w:val="44"/>
          <w:szCs w:val="44"/>
          <w:highlight w:val="none"/>
        </w:rPr>
        <w:t>文件</w:t>
      </w:r>
    </w:p>
    <w:p w14:paraId="21F3FCCC">
      <w:pPr>
        <w:pStyle w:val="19"/>
        <w:bidi w:val="0"/>
        <w:jc w:val="center"/>
        <w:rPr>
          <w:rStyle w:val="44"/>
          <w:rFonts w:hint="eastAsia" w:ascii="宋体" w:hAnsi="宋体" w:eastAsia="宋体" w:cs="宋体"/>
          <w:b/>
          <w:bCs/>
          <w:color w:val="auto"/>
          <w:szCs w:val="44"/>
          <w:highlight w:val="none"/>
        </w:rPr>
      </w:pPr>
    </w:p>
    <w:p w14:paraId="76626E87">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auto"/>
          <w:spacing w:val="-10"/>
          <w:sz w:val="34"/>
          <w:szCs w:val="34"/>
          <w:highlight w:val="none"/>
          <w:lang w:val="en-US" w:eastAsia="zh-CN"/>
        </w:rPr>
      </w:pPr>
    </w:p>
    <w:p w14:paraId="323E1650">
      <w:pPr>
        <w:pStyle w:val="2"/>
        <w:rPr>
          <w:rFonts w:hint="eastAsia" w:ascii="宋体" w:hAnsi="宋体" w:eastAsia="宋体" w:cs="宋体"/>
          <w:b/>
          <w:bCs/>
          <w:color w:val="auto"/>
          <w:spacing w:val="-10"/>
          <w:sz w:val="34"/>
          <w:szCs w:val="34"/>
          <w:highlight w:val="none"/>
          <w:lang w:val="en-US" w:eastAsia="zh-CN"/>
        </w:rPr>
      </w:pPr>
    </w:p>
    <w:p w14:paraId="08426F8D">
      <w:pPr>
        <w:rPr>
          <w:rFonts w:hint="eastAsia"/>
          <w:color w:val="auto"/>
          <w:lang w:val="en-US" w:eastAsia="zh-CN"/>
        </w:rPr>
      </w:pPr>
    </w:p>
    <w:p w14:paraId="30933B8F">
      <w:pPr>
        <w:snapToGrid w:val="0"/>
        <w:spacing w:line="380" w:lineRule="exact"/>
        <w:jc w:val="center"/>
        <w:rPr>
          <w:rFonts w:hint="eastAsia" w:ascii="宋体" w:hAnsi="宋体" w:eastAsia="宋体" w:cs="宋体"/>
          <w:b/>
          <w:color w:val="auto"/>
          <w:sz w:val="32"/>
          <w:szCs w:val="32"/>
          <w:highlight w:val="none"/>
        </w:rPr>
      </w:pPr>
    </w:p>
    <w:p w14:paraId="41A0088B">
      <w:pPr>
        <w:pStyle w:val="32"/>
        <w:rPr>
          <w:rFonts w:hint="eastAsia" w:ascii="宋体" w:hAnsi="宋体" w:eastAsia="宋体" w:cs="宋体"/>
          <w:color w:val="auto"/>
          <w:highlight w:val="none"/>
        </w:rPr>
      </w:pPr>
    </w:p>
    <w:p w14:paraId="1478C157">
      <w:pPr>
        <w:pStyle w:val="61"/>
        <w:rPr>
          <w:rFonts w:hint="eastAsia" w:ascii="宋体" w:hAnsi="宋体" w:eastAsia="宋体" w:cs="宋体"/>
          <w:bCs/>
          <w:color w:val="auto"/>
          <w:sz w:val="2"/>
          <w:szCs w:val="2"/>
          <w:highlight w:val="none"/>
        </w:rPr>
      </w:pPr>
    </w:p>
    <w:p w14:paraId="6F43A5E5">
      <w:pPr>
        <w:rPr>
          <w:rFonts w:hint="eastAsia" w:ascii="宋体" w:hAnsi="宋体" w:eastAsia="宋体" w:cs="宋体"/>
          <w:bCs/>
          <w:color w:val="auto"/>
          <w:sz w:val="2"/>
          <w:szCs w:val="2"/>
          <w:highlight w:val="none"/>
        </w:rPr>
      </w:pPr>
    </w:p>
    <w:p w14:paraId="21FDF0F3">
      <w:pPr>
        <w:spacing w:line="20" w:lineRule="exact"/>
        <w:rPr>
          <w:rFonts w:hint="eastAsia" w:ascii="宋体" w:hAnsi="宋体" w:eastAsia="宋体" w:cs="宋体"/>
          <w:bCs/>
          <w:color w:val="auto"/>
          <w:sz w:val="2"/>
          <w:szCs w:val="2"/>
          <w:highlight w:val="none"/>
        </w:rPr>
      </w:pPr>
    </w:p>
    <w:p w14:paraId="7B1AF9DD">
      <w:pPr>
        <w:tabs>
          <w:tab w:val="left" w:pos="2700"/>
          <w:tab w:val="left" w:pos="2880"/>
          <w:tab w:val="left" w:pos="3060"/>
          <w:tab w:val="left" w:pos="7560"/>
        </w:tabs>
        <w:snapToGrid w:val="0"/>
        <w:spacing w:line="480" w:lineRule="auto"/>
        <w:ind w:firstLine="1928" w:firstLineChars="600"/>
        <w:rPr>
          <w:rFonts w:hint="eastAsia" w:ascii="宋体" w:hAnsi="宋体" w:cs="宋体"/>
          <w:b/>
          <w:bCs/>
          <w:color w:val="auto"/>
          <w:spacing w:val="-10"/>
          <w:sz w:val="34"/>
          <w:szCs w:val="34"/>
          <w:highlight w:val="none"/>
          <w:lang w:val="en-US" w:eastAsia="zh-CN"/>
        </w:rPr>
      </w:pPr>
      <w:r>
        <w:rPr>
          <w:rFonts w:hint="eastAsia" w:ascii="宋体" w:hAnsi="宋体" w:cs="宋体"/>
          <w:b/>
          <w:bCs/>
          <w:color w:val="auto"/>
          <w:spacing w:val="-10"/>
          <w:sz w:val="34"/>
          <w:szCs w:val="34"/>
          <w:highlight w:val="none"/>
          <w:lang w:val="en-US" w:eastAsia="zh-CN"/>
        </w:rPr>
        <w:t>采   购   人：驻马店市中心医院</w:t>
      </w:r>
    </w:p>
    <w:p w14:paraId="52889C6C">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采购代理机构：河南惠德工程咨询有限公司</w:t>
      </w:r>
    </w:p>
    <w:p w14:paraId="4FCBE59C">
      <w:pPr>
        <w:tabs>
          <w:tab w:val="left" w:pos="2700"/>
          <w:tab w:val="left" w:pos="2880"/>
          <w:tab w:val="left" w:pos="3060"/>
          <w:tab w:val="left" w:pos="7560"/>
        </w:tabs>
        <w:snapToGrid w:val="0"/>
        <w:spacing w:line="480" w:lineRule="auto"/>
        <w:ind w:firstLine="1928" w:firstLineChars="600"/>
        <w:jc w:val="both"/>
        <w:rPr>
          <w:rFonts w:hint="default"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 xml:space="preserve">日        期：2025年  </w:t>
      </w:r>
      <w:r>
        <w:rPr>
          <w:rFonts w:hint="eastAsia" w:ascii="宋体" w:hAnsi="宋体" w:cs="宋体"/>
          <w:b/>
          <w:bCs/>
          <w:color w:val="auto"/>
          <w:spacing w:val="-10"/>
          <w:sz w:val="34"/>
          <w:szCs w:val="34"/>
          <w:highlight w:val="none"/>
          <w:lang w:val="en-US" w:eastAsia="zh-CN"/>
        </w:rPr>
        <w:t>8</w:t>
      </w:r>
      <w:r>
        <w:rPr>
          <w:rFonts w:hint="eastAsia" w:ascii="宋体" w:hAnsi="宋体" w:eastAsia="宋体" w:cs="宋体"/>
          <w:b/>
          <w:bCs/>
          <w:color w:val="auto"/>
          <w:spacing w:val="-10"/>
          <w:sz w:val="34"/>
          <w:szCs w:val="34"/>
          <w:highlight w:val="none"/>
          <w:lang w:val="en-US" w:eastAsia="zh-CN"/>
        </w:rPr>
        <w:t>月</w:t>
      </w:r>
    </w:p>
    <w:p w14:paraId="11E7A050">
      <w:pPr>
        <w:pStyle w:val="2"/>
        <w:pageBreakBefore w:val="0"/>
        <w:widowControl w:val="0"/>
        <w:kinsoku/>
        <w:wordWrap/>
        <w:overflowPunct/>
        <w:topLinePunct w:val="0"/>
        <w:autoSpaceDE/>
        <w:autoSpaceDN/>
        <w:bidi w:val="0"/>
        <w:adjustRightInd/>
        <w:spacing w:before="0" w:after="0" w:line="240" w:lineRule="auto"/>
        <w:ind w:firstLine="2891" w:firstLineChars="800"/>
        <w:jc w:val="both"/>
        <w:textAlignment w:val="auto"/>
        <w:rPr>
          <w:rFonts w:hint="eastAsia" w:ascii="宋体" w:hAnsi="宋体" w:eastAsia="宋体" w:cs="宋体"/>
          <w:b/>
          <w:color w:val="auto"/>
          <w:sz w:val="36"/>
          <w:szCs w:val="36"/>
          <w:highlight w:val="none"/>
        </w:rPr>
      </w:pPr>
    </w:p>
    <w:p w14:paraId="0A189482">
      <w:pPr>
        <w:rPr>
          <w:rFonts w:hint="eastAsia"/>
          <w:color w:val="auto"/>
        </w:rPr>
        <w:sectPr>
          <w:pgSz w:w="11923" w:h="16838"/>
          <w:pgMar w:top="1304" w:right="1417" w:bottom="992" w:left="1417" w:header="720" w:footer="720" w:gutter="0"/>
          <w:pgNumType w:fmt="decimal" w:start="1"/>
          <w:cols w:space="720" w:num="1"/>
          <w:docGrid w:type="lines" w:linePitch="312" w:charSpace="0"/>
        </w:sectPr>
      </w:pPr>
    </w:p>
    <w:p w14:paraId="24C943CC">
      <w:pPr>
        <w:rPr>
          <w:rFonts w:hint="eastAsia" w:ascii="宋体" w:hAnsi="宋体" w:eastAsia="宋体" w:cs="宋体"/>
          <w:bCs/>
          <w:color w:val="auto"/>
          <w:sz w:val="24"/>
          <w:highlight w:val="none"/>
        </w:rPr>
      </w:pPr>
    </w:p>
    <w:p w14:paraId="5FE7AB9D">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目录</w:t>
      </w:r>
    </w:p>
    <w:p w14:paraId="6C886C89">
      <w:pPr>
        <w:pStyle w:val="55"/>
        <w:rPr>
          <w:rFonts w:hint="eastAsia" w:ascii="宋体" w:hAnsi="宋体" w:eastAsia="宋体" w:cs="宋体"/>
          <w:color w:val="auto"/>
          <w:highlight w:val="none"/>
        </w:rPr>
      </w:pPr>
    </w:p>
    <w:p w14:paraId="5621469A">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_Toc26528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第一章  </w:t>
      </w:r>
      <w:r>
        <w:rPr>
          <w:rFonts w:hint="eastAsia" w:ascii="宋体" w:hAnsi="宋体" w:eastAsia="宋体" w:cs="宋体"/>
          <w:color w:val="auto"/>
          <w:szCs w:val="32"/>
          <w:highlight w:val="none"/>
          <w:lang w:val="en-US" w:eastAsia="zh-CN"/>
        </w:rPr>
        <w:t>竞争性磋商</w:t>
      </w:r>
      <w:r>
        <w:rPr>
          <w:rFonts w:hint="eastAsia" w:ascii="宋体" w:hAnsi="宋体" w:eastAsia="宋体" w:cs="宋体"/>
          <w:color w:val="auto"/>
          <w:szCs w:val="32"/>
          <w:highlight w:val="none"/>
        </w:rPr>
        <w:t>公告</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_Toc26528 \h </w:instrText>
      </w:r>
      <w:r>
        <w:rPr>
          <w:rFonts w:hint="eastAsia" w:ascii="宋体" w:hAnsi="宋体" w:eastAsia="宋体" w:cs="宋体"/>
          <w:color w:val="auto"/>
        </w:rPr>
        <w:fldChar w:fldCharType="separate"/>
      </w:r>
      <w:r>
        <w:rPr>
          <w:rFonts w:hint="eastAsia" w:ascii="宋体" w:hAnsi="宋体" w:eastAsia="宋体" w:cs="宋体"/>
          <w:color w:val="auto"/>
        </w:rPr>
        <w:t>2</w:t>
      </w:r>
      <w:r>
        <w:rPr>
          <w:rFonts w:hint="eastAsia" w:ascii="宋体" w:hAnsi="宋体" w:eastAsia="宋体" w:cs="宋体"/>
          <w:color w:val="auto"/>
        </w:rPr>
        <w:fldChar w:fldCharType="end"/>
      </w:r>
      <w:r>
        <w:rPr>
          <w:rFonts w:hint="eastAsia" w:ascii="宋体" w:hAnsi="宋体" w:eastAsia="宋体" w:cs="宋体"/>
          <w:bCs/>
          <w:color w:val="auto"/>
          <w:szCs w:val="32"/>
          <w:highlight w:val="none"/>
        </w:rPr>
        <w:fldChar w:fldCharType="end"/>
      </w:r>
    </w:p>
    <w:p w14:paraId="78C5A8E5">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_Toc19124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第二章  </w:t>
      </w:r>
      <w:r>
        <w:rPr>
          <w:rFonts w:hint="eastAsia" w:ascii="宋体" w:hAnsi="宋体" w:eastAsia="宋体" w:cs="宋体"/>
          <w:color w:val="auto"/>
          <w:szCs w:val="32"/>
          <w:highlight w:val="none"/>
          <w:lang w:eastAsia="zh-CN"/>
        </w:rPr>
        <w:t>采购</w:t>
      </w:r>
      <w:r>
        <w:rPr>
          <w:rFonts w:hint="eastAsia" w:ascii="宋体" w:hAnsi="宋体" w:eastAsia="宋体" w:cs="宋体"/>
          <w:color w:val="auto"/>
          <w:szCs w:val="32"/>
          <w:highlight w:val="none"/>
        </w:rPr>
        <w:t>需求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_Toc19124 \h </w:instrText>
      </w:r>
      <w:r>
        <w:rPr>
          <w:rFonts w:hint="eastAsia" w:ascii="宋体" w:hAnsi="宋体" w:eastAsia="宋体" w:cs="宋体"/>
          <w:color w:val="auto"/>
        </w:rPr>
        <w:fldChar w:fldCharType="separate"/>
      </w:r>
      <w:r>
        <w:rPr>
          <w:rFonts w:hint="eastAsia" w:ascii="宋体" w:hAnsi="宋体" w:eastAsia="宋体" w:cs="宋体"/>
          <w:color w:val="auto"/>
        </w:rPr>
        <w:t>4</w:t>
      </w:r>
      <w:r>
        <w:rPr>
          <w:rFonts w:hint="eastAsia" w:ascii="宋体" w:hAnsi="宋体" w:eastAsia="宋体" w:cs="宋体"/>
          <w:color w:val="auto"/>
        </w:rPr>
        <w:fldChar w:fldCharType="end"/>
      </w:r>
      <w:r>
        <w:rPr>
          <w:rFonts w:hint="eastAsia" w:ascii="宋体" w:hAnsi="宋体" w:eastAsia="宋体" w:cs="宋体"/>
          <w:bCs/>
          <w:color w:val="auto"/>
          <w:szCs w:val="32"/>
          <w:highlight w:val="none"/>
        </w:rPr>
        <w:fldChar w:fldCharType="end"/>
      </w:r>
    </w:p>
    <w:p w14:paraId="2B55758C">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_Toc8501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szCs w:val="32"/>
          <w:highlight w:val="none"/>
        </w:rPr>
        <w:t xml:space="preserve">第三章  </w:t>
      </w:r>
      <w:r>
        <w:rPr>
          <w:rFonts w:hint="eastAsia" w:ascii="宋体" w:hAnsi="宋体" w:eastAsia="宋体" w:cs="宋体"/>
          <w:bCs/>
          <w:color w:val="auto"/>
          <w:szCs w:val="32"/>
          <w:highlight w:val="none"/>
          <w:lang w:eastAsia="zh-CN"/>
        </w:rPr>
        <w:t>供应商</w:t>
      </w:r>
      <w:r>
        <w:rPr>
          <w:rFonts w:hint="eastAsia" w:ascii="宋体" w:hAnsi="宋体" w:eastAsia="宋体" w:cs="宋体"/>
          <w:bCs/>
          <w:color w:val="auto"/>
          <w:szCs w:val="32"/>
          <w:highlight w:val="none"/>
        </w:rPr>
        <w:t>须知</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_Toc8501 \h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r>
        <w:rPr>
          <w:rFonts w:hint="eastAsia" w:ascii="宋体" w:hAnsi="宋体" w:eastAsia="宋体" w:cs="宋体"/>
          <w:bCs/>
          <w:color w:val="auto"/>
          <w:szCs w:val="32"/>
          <w:highlight w:val="none"/>
        </w:rPr>
        <w:fldChar w:fldCharType="end"/>
      </w:r>
    </w:p>
    <w:p w14:paraId="31D52CE9">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_Toc31399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kern w:val="0"/>
          <w:szCs w:val="32"/>
          <w:highlight w:val="none"/>
        </w:rPr>
        <w:t>第四章  评标办法及评分标准</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_Toc31399 \h </w:instrText>
      </w:r>
      <w:r>
        <w:rPr>
          <w:rFonts w:hint="eastAsia" w:ascii="宋体" w:hAnsi="宋体" w:eastAsia="宋体" w:cs="宋体"/>
          <w:color w:val="auto"/>
        </w:rPr>
        <w:fldChar w:fldCharType="separate"/>
      </w:r>
      <w:r>
        <w:rPr>
          <w:rFonts w:hint="eastAsia" w:ascii="宋体" w:hAnsi="宋体" w:eastAsia="宋体" w:cs="宋体"/>
          <w:color w:val="auto"/>
        </w:rPr>
        <w:t>16</w:t>
      </w:r>
      <w:r>
        <w:rPr>
          <w:rFonts w:hint="eastAsia" w:ascii="宋体" w:hAnsi="宋体" w:eastAsia="宋体" w:cs="宋体"/>
          <w:color w:val="auto"/>
        </w:rPr>
        <w:fldChar w:fldCharType="end"/>
      </w:r>
      <w:r>
        <w:rPr>
          <w:rFonts w:hint="eastAsia" w:ascii="宋体" w:hAnsi="宋体" w:eastAsia="宋体" w:cs="宋体"/>
          <w:bCs/>
          <w:color w:val="auto"/>
          <w:szCs w:val="32"/>
          <w:highlight w:val="none"/>
        </w:rPr>
        <w:fldChar w:fldCharType="end"/>
      </w:r>
    </w:p>
    <w:p w14:paraId="5C59EEF9">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_Toc11904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28"/>
          <w:highlight w:val="none"/>
        </w:rPr>
        <w:t>第五章  采购合同</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_Toc11904 \h </w:instrText>
      </w:r>
      <w:r>
        <w:rPr>
          <w:rFonts w:hint="eastAsia" w:ascii="宋体" w:hAnsi="宋体" w:eastAsia="宋体" w:cs="宋体"/>
          <w:color w:val="auto"/>
        </w:rPr>
        <w:fldChar w:fldCharType="separate"/>
      </w:r>
      <w:r>
        <w:rPr>
          <w:rFonts w:hint="eastAsia" w:ascii="宋体" w:hAnsi="宋体" w:eastAsia="宋体" w:cs="宋体"/>
          <w:color w:val="auto"/>
        </w:rPr>
        <w:t>18</w:t>
      </w:r>
      <w:r>
        <w:rPr>
          <w:rFonts w:hint="eastAsia" w:ascii="宋体" w:hAnsi="宋体" w:eastAsia="宋体" w:cs="宋体"/>
          <w:color w:val="auto"/>
        </w:rPr>
        <w:fldChar w:fldCharType="end"/>
      </w:r>
      <w:r>
        <w:rPr>
          <w:rFonts w:hint="eastAsia" w:ascii="宋体" w:hAnsi="宋体" w:eastAsia="宋体" w:cs="宋体"/>
          <w:bCs/>
          <w:color w:val="auto"/>
          <w:szCs w:val="32"/>
          <w:highlight w:val="none"/>
        </w:rPr>
        <w:fldChar w:fldCharType="end"/>
      </w:r>
    </w:p>
    <w:p w14:paraId="399D6560">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color w:val="auto"/>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_Toc18702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第六章  </w:t>
      </w:r>
      <w:r>
        <w:rPr>
          <w:rFonts w:hint="eastAsia" w:ascii="宋体" w:hAnsi="宋体" w:eastAsia="宋体" w:cs="宋体"/>
          <w:color w:val="auto"/>
          <w:szCs w:val="32"/>
          <w:highlight w:val="none"/>
          <w:lang w:val="en-US" w:eastAsia="zh-CN"/>
        </w:rPr>
        <w:t>响应</w:t>
      </w:r>
      <w:r>
        <w:rPr>
          <w:rFonts w:hint="eastAsia" w:ascii="宋体" w:hAnsi="宋体" w:eastAsia="宋体" w:cs="宋体"/>
          <w:color w:val="auto"/>
          <w:szCs w:val="32"/>
          <w:highlight w:val="none"/>
        </w:rPr>
        <w:t>文件格式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_Toc18702 \h </w:instrText>
      </w:r>
      <w:r>
        <w:rPr>
          <w:rFonts w:hint="eastAsia" w:ascii="宋体" w:hAnsi="宋体" w:eastAsia="宋体" w:cs="宋体"/>
          <w:color w:val="auto"/>
        </w:rPr>
        <w:fldChar w:fldCharType="separate"/>
      </w:r>
      <w:r>
        <w:rPr>
          <w:rFonts w:hint="eastAsia" w:ascii="宋体" w:hAnsi="宋体" w:eastAsia="宋体" w:cs="宋体"/>
          <w:color w:val="auto"/>
        </w:rPr>
        <w:t>19</w:t>
      </w:r>
      <w:r>
        <w:rPr>
          <w:rFonts w:hint="eastAsia" w:ascii="宋体" w:hAnsi="宋体" w:eastAsia="宋体" w:cs="宋体"/>
          <w:color w:val="auto"/>
        </w:rPr>
        <w:fldChar w:fldCharType="end"/>
      </w:r>
      <w:r>
        <w:rPr>
          <w:rFonts w:hint="eastAsia" w:ascii="宋体" w:hAnsi="宋体" w:eastAsia="宋体" w:cs="宋体"/>
          <w:bCs/>
          <w:color w:val="auto"/>
          <w:szCs w:val="32"/>
          <w:highlight w:val="none"/>
        </w:rPr>
        <w:fldChar w:fldCharType="end"/>
      </w:r>
    </w:p>
    <w:p w14:paraId="583C03D8">
      <w:pPr>
        <w:pStyle w:val="85"/>
        <w:keepNext w:val="0"/>
        <w:keepLines w:val="0"/>
        <w:pageBreakBefore w:val="0"/>
        <w:tabs>
          <w:tab w:val="right" w:leader="dot" w:pos="830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Cs w:val="32"/>
          <w:highlight w:val="none"/>
        </w:rPr>
        <w:fldChar w:fldCharType="end"/>
      </w:r>
    </w:p>
    <w:p w14:paraId="2DB3124A">
      <w:pPr>
        <w:spacing w:line="440" w:lineRule="exact"/>
        <w:rPr>
          <w:rFonts w:hint="eastAsia" w:ascii="宋体" w:hAnsi="宋体" w:eastAsia="宋体" w:cs="宋体"/>
          <w:b/>
          <w:color w:val="auto"/>
          <w:sz w:val="32"/>
          <w:szCs w:val="32"/>
          <w:highlight w:val="none"/>
        </w:rPr>
      </w:pPr>
    </w:p>
    <w:p w14:paraId="1EB37B1F">
      <w:pPr>
        <w:spacing w:line="360" w:lineRule="auto"/>
        <w:ind w:firstLine="2409" w:firstLineChars="600"/>
        <w:rPr>
          <w:rFonts w:hint="eastAsia" w:ascii="宋体" w:hAnsi="宋体" w:eastAsia="宋体" w:cs="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14:paraId="507E5BEB">
      <w:pPr>
        <w:spacing w:line="360" w:lineRule="auto"/>
        <w:jc w:val="center"/>
        <w:outlineLvl w:val="0"/>
        <w:rPr>
          <w:rFonts w:hint="eastAsia" w:ascii="宋体" w:hAnsi="宋体" w:eastAsia="宋体" w:cs="宋体"/>
          <w:b/>
          <w:color w:val="auto"/>
          <w:sz w:val="32"/>
          <w:szCs w:val="32"/>
          <w:highlight w:val="none"/>
        </w:rPr>
      </w:pPr>
      <w:bookmarkStart w:id="2" w:name="_Toc26528"/>
      <w:r>
        <w:rPr>
          <w:rFonts w:hint="eastAsia" w:ascii="宋体" w:hAnsi="宋体" w:eastAsia="宋体" w:cs="宋体"/>
          <w:b/>
          <w:color w:val="auto"/>
          <w:sz w:val="32"/>
          <w:szCs w:val="32"/>
          <w:highlight w:val="none"/>
        </w:rPr>
        <w:t xml:space="preserve">第一章  </w:t>
      </w:r>
      <w:r>
        <w:rPr>
          <w:rFonts w:hint="eastAsia" w:ascii="宋体" w:hAnsi="宋体" w:eastAsia="宋体" w:cs="宋体"/>
          <w:b/>
          <w:color w:val="auto"/>
          <w:sz w:val="32"/>
          <w:szCs w:val="32"/>
          <w:highlight w:val="none"/>
          <w:lang w:val="en-US" w:eastAsia="zh-CN"/>
        </w:rPr>
        <w:t>竞争性磋商</w:t>
      </w:r>
      <w:r>
        <w:rPr>
          <w:rFonts w:hint="eastAsia" w:ascii="宋体" w:hAnsi="宋体" w:eastAsia="宋体" w:cs="宋体"/>
          <w:b/>
          <w:color w:val="auto"/>
          <w:sz w:val="32"/>
          <w:szCs w:val="32"/>
          <w:highlight w:val="none"/>
        </w:rPr>
        <w:t>公告</w:t>
      </w:r>
      <w:bookmarkEnd w:id="2"/>
    </w:p>
    <w:p w14:paraId="6C730A6D">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rPr>
      </w:pPr>
      <w:r>
        <w:rPr>
          <w:rFonts w:hint="eastAsia" w:ascii="宋体" w:hAnsi="宋体" w:cs="宋体"/>
          <w:b/>
          <w:bCs w:val="0"/>
          <w:color w:val="auto"/>
          <w:kern w:val="0"/>
          <w:sz w:val="28"/>
          <w:szCs w:val="28"/>
          <w:u w:val="none"/>
          <w:lang w:val="en-US" w:eastAsia="zh-CN"/>
        </w:rPr>
        <w:t>全院水泵维修更换及保养</w:t>
      </w:r>
      <w:r>
        <w:rPr>
          <w:rFonts w:hint="eastAsia" w:ascii="宋体" w:hAnsi="宋体" w:eastAsia="宋体" w:cs="宋体"/>
          <w:b/>
          <w:bCs w:val="0"/>
          <w:color w:val="auto"/>
          <w:kern w:val="0"/>
          <w:sz w:val="28"/>
          <w:szCs w:val="28"/>
          <w:u w:val="none"/>
          <w:lang w:val="en-US" w:eastAsia="zh-CN"/>
        </w:rPr>
        <w:t>竞争性磋商</w:t>
      </w:r>
      <w:r>
        <w:rPr>
          <w:rFonts w:hint="eastAsia" w:ascii="宋体" w:hAnsi="宋体" w:eastAsia="宋体" w:cs="宋体"/>
          <w:b/>
          <w:bCs w:val="0"/>
          <w:color w:val="auto"/>
          <w:kern w:val="0"/>
          <w:sz w:val="28"/>
          <w:szCs w:val="28"/>
        </w:rPr>
        <w:t>公告</w:t>
      </w:r>
    </w:p>
    <w:p w14:paraId="0FE28867">
      <w:pPr>
        <w:keepNext w:val="0"/>
        <w:keepLines w:val="0"/>
        <w:pageBreakBefore w:val="0"/>
        <w:kinsoku/>
        <w:overflowPunct/>
        <w:topLinePunct w:val="0"/>
        <w:autoSpaceDE/>
        <w:autoSpaceDN/>
        <w:bidi w:val="0"/>
        <w:snapToGrid w:val="0"/>
        <w:spacing w:line="324" w:lineRule="auto"/>
        <w:ind w:firstLine="420" w:firstLineChars="200"/>
        <w:textAlignment w:val="auto"/>
        <w:rPr>
          <w:rFonts w:hint="eastAsia" w:ascii="宋体" w:hAnsi="宋体" w:eastAsia="宋体" w:cs="宋体"/>
          <w:color w:val="auto"/>
          <w:szCs w:val="21"/>
        </w:rPr>
      </w:pPr>
      <w:bookmarkStart w:id="102" w:name="_GoBack"/>
      <w:r>
        <w:rPr>
          <w:rFonts w:hint="eastAsia" w:ascii="宋体" w:hAnsi="宋体" w:eastAsia="宋体" w:cs="宋体"/>
          <w:color w:val="auto"/>
        </w:rPr>
        <w:t>驻马店市中心医院现对</w:t>
      </w:r>
      <w:r>
        <w:rPr>
          <w:rFonts w:hint="eastAsia" w:ascii="宋体" w:hAnsi="宋体" w:eastAsia="宋体" w:cs="宋体"/>
          <w:color w:val="auto"/>
          <w:u w:val="single"/>
        </w:rPr>
        <w:t>全院水泵维修更换及保养</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获取竞争性磋商文件。</w:t>
      </w:r>
    </w:p>
    <w:p w14:paraId="1CE5C73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14:paraId="440F3AC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1、项目名称：</w:t>
      </w:r>
      <w:r>
        <w:rPr>
          <w:rFonts w:hint="eastAsia" w:ascii="宋体" w:hAnsi="宋体" w:cs="宋体"/>
          <w:color w:val="auto"/>
          <w:szCs w:val="21"/>
          <w:highlight w:val="none"/>
          <w:shd w:val="clear" w:color="auto" w:fill="FFFFFF"/>
          <w:lang w:val="en-US" w:eastAsia="zh-CN"/>
        </w:rPr>
        <w:t>全院水泵维修更换及保养</w:t>
      </w:r>
      <w:r>
        <w:rPr>
          <w:rFonts w:hint="eastAsia" w:ascii="宋体" w:hAnsi="宋体" w:eastAsia="宋体" w:cs="宋体"/>
          <w:color w:val="auto"/>
          <w:szCs w:val="21"/>
          <w:highlight w:val="none"/>
          <w:shd w:val="clear" w:color="auto" w:fill="FFFFFF"/>
          <w:lang w:eastAsia="zh-CN"/>
        </w:rPr>
        <w:t>；</w:t>
      </w:r>
    </w:p>
    <w:p w14:paraId="45C197D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：具体详见磋商文件第二章采购需求；</w:t>
      </w:r>
    </w:p>
    <w:p w14:paraId="4E6B5DB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szCs w:val="21"/>
          <w:highlight w:val="none"/>
          <w:shd w:val="clear" w:color="auto" w:fill="FFFFFF"/>
          <w:lang w:val="en-US" w:eastAsia="zh-CN"/>
        </w:rPr>
        <w:t>10万元</w:t>
      </w:r>
    </w:p>
    <w:p w14:paraId="3B279CB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4、合同履行期限：</w:t>
      </w:r>
      <w:r>
        <w:rPr>
          <w:rFonts w:hint="eastAsia" w:ascii="宋体" w:hAnsi="宋体" w:cs="宋体"/>
          <w:color w:val="auto"/>
          <w:szCs w:val="21"/>
          <w:highlight w:val="none"/>
          <w:shd w:val="clear" w:color="auto" w:fill="FFFFFF"/>
          <w:lang w:val="en-US" w:eastAsia="zh-CN"/>
        </w:rPr>
        <w:t>1年</w:t>
      </w:r>
    </w:p>
    <w:p w14:paraId="4AEC97F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质量要求</w:t>
      </w:r>
      <w:r>
        <w:rPr>
          <w:rFonts w:hint="eastAsia" w:ascii="宋体" w:hAnsi="宋体" w:eastAsia="宋体" w:cs="宋体"/>
          <w:color w:val="auto"/>
          <w:szCs w:val="21"/>
          <w:highlight w:val="none"/>
          <w:shd w:val="clear" w:color="auto" w:fill="FFFFFF"/>
        </w:rPr>
        <w:t>：符合现行国家、省、市地方相关规范和标准，</w:t>
      </w:r>
      <w:r>
        <w:rPr>
          <w:rFonts w:hint="eastAsia" w:ascii="宋体" w:hAnsi="宋体" w:cs="宋体"/>
          <w:color w:val="auto"/>
          <w:szCs w:val="21"/>
          <w:highlight w:val="none"/>
          <w:shd w:val="clear" w:color="auto" w:fill="FFFFFF"/>
          <w:lang w:val="en-US" w:eastAsia="zh-CN"/>
        </w:rPr>
        <w:t>满足磋商文件</w:t>
      </w:r>
      <w:r>
        <w:rPr>
          <w:rFonts w:hint="eastAsia" w:ascii="宋体" w:hAnsi="宋体" w:eastAsia="宋体" w:cs="宋体"/>
          <w:color w:val="auto"/>
          <w:szCs w:val="21"/>
          <w:highlight w:val="none"/>
          <w:shd w:val="clear" w:color="auto" w:fill="FFFFFF"/>
        </w:rPr>
        <w:t>规定标准</w:t>
      </w:r>
    </w:p>
    <w:p w14:paraId="03CB215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shd w:val="clear" w:color="auto" w:fill="FFFFFF"/>
          <w:lang w:val="en-US" w:eastAsia="zh-CN" w:bidi="ar-SA"/>
        </w:rPr>
      </w:pPr>
      <w:bookmarkStart w:id="4" w:name="_Toc18607"/>
      <w:bookmarkStart w:id="5" w:name="_Toc27704"/>
      <w:bookmarkStart w:id="6" w:name="_Toc23626"/>
      <w:bookmarkStart w:id="7" w:name="_Toc16639"/>
      <w:r>
        <w:rPr>
          <w:rFonts w:hint="eastAsia" w:ascii="宋体" w:hAnsi="宋体" w:eastAsia="宋体" w:cs="宋体"/>
          <w:b/>
          <w:bCs/>
          <w:color w:val="auto"/>
          <w:kern w:val="2"/>
          <w:sz w:val="21"/>
          <w:szCs w:val="21"/>
          <w:shd w:val="clear" w:color="auto" w:fill="FFFFFF"/>
          <w:lang w:val="en-US" w:eastAsia="zh-CN" w:bidi="ar-SA"/>
        </w:rPr>
        <w:t>二、</w:t>
      </w:r>
      <w:bookmarkEnd w:id="3"/>
      <w:bookmarkEnd w:id="4"/>
      <w:bookmarkEnd w:id="5"/>
      <w:bookmarkEnd w:id="6"/>
      <w:bookmarkEnd w:id="7"/>
      <w:r>
        <w:rPr>
          <w:rFonts w:hint="eastAsia" w:ascii="宋体" w:hAnsi="宋体" w:eastAsia="宋体" w:cs="宋体"/>
          <w:b/>
          <w:bCs/>
          <w:color w:val="auto"/>
          <w:kern w:val="2"/>
          <w:sz w:val="21"/>
          <w:szCs w:val="21"/>
          <w:shd w:val="clear" w:color="auto" w:fill="FFFFFF"/>
          <w:lang w:val="en-US" w:eastAsia="zh-CN" w:bidi="ar-SA"/>
        </w:rPr>
        <w:t>供应商资格要求：</w:t>
      </w:r>
    </w:p>
    <w:p w14:paraId="740DCAF2">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bookmarkStart w:id="8" w:name="_Toc30643"/>
      <w:bookmarkStart w:id="9" w:name="_Toc7823"/>
      <w:bookmarkStart w:id="10" w:name="_Toc30971"/>
      <w:bookmarkStart w:id="11" w:name="_Toc23395"/>
      <w:bookmarkStart w:id="12" w:name="_Toc9562"/>
      <w:r>
        <w:rPr>
          <w:rFonts w:hint="eastAsia" w:ascii="宋体" w:hAnsi="宋体" w:eastAsia="宋体" w:cs="宋体"/>
          <w:color w:val="auto"/>
          <w:szCs w:val="21"/>
          <w:highlight w:val="none"/>
          <w:shd w:val="clear" w:color="auto" w:fill="FFFFFF"/>
          <w:lang w:val="en-US" w:eastAsia="zh-CN"/>
        </w:rPr>
        <w:t>1、具有独立承担民事责任</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能力</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提供营业执照或其他证明材料</w:t>
      </w:r>
      <w:r>
        <w:rPr>
          <w:rFonts w:hint="eastAsia" w:ascii="宋体" w:hAnsi="宋体" w:cs="宋体"/>
          <w:color w:val="auto"/>
          <w:szCs w:val="21"/>
          <w:highlight w:val="none"/>
          <w:shd w:val="clear" w:color="auto" w:fill="FFFFFF"/>
          <w:lang w:val="en-US" w:eastAsia="zh-CN"/>
        </w:rPr>
        <w:t>）；</w:t>
      </w:r>
    </w:p>
    <w:p w14:paraId="6722F33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2、具有良好的商业信誉和健全的财务会计制度</w:t>
      </w:r>
      <w:r>
        <w:rPr>
          <w:rFonts w:hint="eastAsia" w:ascii="宋体" w:hAnsi="宋体" w:cs="宋体"/>
          <w:color w:val="auto"/>
          <w:szCs w:val="21"/>
          <w:highlight w:val="none"/>
          <w:shd w:val="clear" w:color="auto" w:fill="FFFFFF"/>
          <w:lang w:val="en-US" w:eastAsia="zh-CN"/>
        </w:rPr>
        <w:t>（提供经审计的2024年度财务报告</w:t>
      </w:r>
      <w:r>
        <w:rPr>
          <w:rFonts w:hint="eastAsia" w:ascii="宋体" w:hAnsi="宋体" w:eastAsia="宋体" w:cs="宋体"/>
          <w:color w:val="auto"/>
          <w:szCs w:val="21"/>
          <w:highlight w:val="none"/>
          <w:shd w:val="clear" w:color="auto" w:fill="FFFFFF"/>
          <w:lang w:val="en-US" w:eastAsia="zh-CN"/>
        </w:rPr>
        <w:t>或者其基本开户银行出具的资信证明</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w:t>
      </w:r>
    </w:p>
    <w:p w14:paraId="2DC7632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3、具有依法缴纳税收和社会保障资金的良好记录（提供</w:t>
      </w:r>
      <w:r>
        <w:rPr>
          <w:rFonts w:hint="eastAsia" w:ascii="宋体" w:hAnsi="宋体" w:eastAsia="宋体" w:cs="宋体"/>
          <w:color w:val="auto"/>
          <w:szCs w:val="21"/>
          <w:highlight w:val="none"/>
          <w:shd w:val="clear" w:color="auto" w:fill="FFFFFF"/>
          <w:lang w:val="en-US" w:eastAsia="zh-CN"/>
        </w:rPr>
        <w:t>采购活动近六个月任意一个月的依法缴纳税收和缴纳</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证明</w:t>
      </w:r>
      <w:r>
        <w:rPr>
          <w:rFonts w:hint="eastAsia" w:ascii="宋体" w:hAnsi="宋体" w:eastAsia="宋体" w:cs="宋体"/>
          <w:color w:val="auto"/>
          <w:szCs w:val="21"/>
          <w:highlight w:val="none"/>
          <w:shd w:val="clear" w:color="auto" w:fill="FFFFFF"/>
          <w:lang w:val="en-US" w:eastAsia="zh-CN"/>
        </w:rPr>
        <w:t>；依法免税或不需要缴纳社会保障资金的，应提供相应文件证明其依法免税或不需要缴纳社会保障资金</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w:t>
      </w:r>
    </w:p>
    <w:p w14:paraId="6B7A8614">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7A7E21A1">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color w:val="auto"/>
          <w:lang w:val="en-US" w:eastAsia="zh-CN"/>
        </w:rPr>
      </w:pPr>
      <w:r>
        <w:rPr>
          <w:rFonts w:hint="eastAsia" w:ascii="宋体" w:hAnsi="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6BE761B5">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中国政府采购网</w:t>
      </w:r>
      <w:r>
        <w:rPr>
          <w:rFonts w:hint="eastAsia" w:ascii="宋体" w:hAnsi="宋体" w:cs="宋体"/>
          <w:color w:val="auto"/>
          <w:szCs w:val="21"/>
          <w:highlight w:val="none"/>
          <w:shd w:val="clear" w:color="auto" w:fill="FFFFFF"/>
          <w:lang w:val="en-US" w:eastAsia="zh-CN"/>
        </w:rPr>
        <w:t>”等网站查询的相关材料并加盖公章，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p>
    <w:p w14:paraId="18945812">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lang w:val="en-US" w:eastAsia="zh-CN"/>
        </w:rPr>
        <w:t>提供在“国家企业信用信息公示系统”中查询的相关材料</w:t>
      </w:r>
      <w:r>
        <w:rPr>
          <w:rFonts w:hint="eastAsia" w:ascii="宋体" w:hAnsi="宋体" w:cs="宋体"/>
          <w:color w:val="auto"/>
          <w:kern w:val="0"/>
          <w:szCs w:val="21"/>
          <w:lang w:val="en-US" w:eastAsia="zh-CN"/>
        </w:rPr>
        <w:t>并加盖公章</w:t>
      </w:r>
      <w:r>
        <w:rPr>
          <w:rFonts w:hint="eastAsia" w:ascii="宋体" w:hAnsi="宋体" w:eastAsia="宋体" w:cs="宋体"/>
          <w:color w:val="auto"/>
          <w:kern w:val="0"/>
          <w:szCs w:val="21"/>
          <w:lang w:val="en-US" w:eastAsia="zh-CN"/>
        </w:rPr>
        <w:t>（需包含公司基本信息、股东信息及股权变更信息）或提供承诺</w:t>
      </w:r>
      <w:r>
        <w:rPr>
          <w:rFonts w:hint="eastAsia" w:ascii="宋体" w:hAnsi="宋体" w:cs="宋体"/>
          <w:color w:val="auto"/>
          <w:kern w:val="0"/>
          <w:szCs w:val="21"/>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73273EA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lang w:val="en-US" w:eastAsia="zh-CN"/>
        </w:rPr>
        <w:t>、不接受联合体磋商。</w:t>
      </w:r>
    </w:p>
    <w:p w14:paraId="784D075B">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三、获取</w:t>
      </w:r>
      <w:bookmarkEnd w:id="8"/>
      <w:bookmarkEnd w:id="9"/>
      <w:bookmarkEnd w:id="10"/>
      <w:bookmarkEnd w:id="11"/>
      <w:bookmarkEnd w:id="12"/>
      <w:r>
        <w:rPr>
          <w:rFonts w:hint="eastAsia" w:ascii="宋体" w:hAnsi="宋体" w:cs="宋体"/>
          <w:b/>
          <w:bCs/>
          <w:color w:val="auto"/>
          <w:kern w:val="2"/>
          <w:sz w:val="21"/>
          <w:szCs w:val="24"/>
          <w:highlight w:val="none"/>
          <w:lang w:val="en-US" w:eastAsia="zh-CN" w:bidi="ar-SA"/>
        </w:rPr>
        <w:t>竞争性磋商文件</w:t>
      </w:r>
    </w:p>
    <w:p w14:paraId="638A410B">
      <w:pPr>
        <w:keepNext w:val="0"/>
        <w:keepLines w:val="0"/>
        <w:pageBreakBefore w:val="0"/>
        <w:widowControl/>
        <w:kinsoku/>
        <w:overflowPunct/>
        <w:topLinePunct w:val="0"/>
        <w:autoSpaceDE/>
        <w:autoSpaceDN/>
        <w:bidi w:val="0"/>
        <w:adjustRightInd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 报名</w:t>
      </w:r>
      <w:r>
        <w:rPr>
          <w:rFonts w:hint="eastAsia" w:ascii="宋体" w:hAnsi="宋体" w:eastAsia="宋体" w:cs="宋体"/>
          <w:color w:val="auto"/>
          <w:szCs w:val="21"/>
          <w:highlight w:val="none"/>
          <w:shd w:val="clear" w:color="auto" w:fill="FFFFFF"/>
        </w:rPr>
        <w:t>时间：202</w:t>
      </w: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21</w:t>
      </w:r>
      <w:r>
        <w:rPr>
          <w:rFonts w:hint="eastAsia" w:ascii="宋体" w:hAnsi="宋体" w:eastAsia="宋体" w:cs="宋体"/>
          <w:color w:val="auto"/>
          <w:szCs w:val="21"/>
          <w:highlight w:val="none"/>
          <w:shd w:val="clear" w:color="auto" w:fill="FFFFFF"/>
        </w:rPr>
        <w:t>日-202</w:t>
      </w: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 xml:space="preserve"> 25</w:t>
      </w:r>
      <w:r>
        <w:rPr>
          <w:rFonts w:hint="eastAsia" w:ascii="宋体" w:hAnsi="宋体" w:eastAsia="宋体" w:cs="宋体"/>
          <w:color w:val="auto"/>
          <w:szCs w:val="21"/>
          <w:highlight w:val="none"/>
          <w:shd w:val="clear" w:color="auto" w:fill="FFFFFF"/>
        </w:rPr>
        <w:t>日，上午</w:t>
      </w:r>
      <w:r>
        <w:rPr>
          <w:rFonts w:hint="eastAsia" w:ascii="宋体" w:hAnsi="宋体" w:eastAsia="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8：</w:t>
      </w:r>
      <w:r>
        <w:rPr>
          <w:rFonts w:hint="eastAsia" w:ascii="宋体" w:hAnsi="宋体" w:cs="宋体"/>
          <w:color w:val="auto"/>
          <w:szCs w:val="21"/>
          <w:highlight w:val="none"/>
          <w:shd w:val="clear" w:color="auto" w:fill="FFFFFF"/>
          <w:lang w:val="en-US" w:eastAsia="zh-CN"/>
        </w:rPr>
        <w:t>00</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下午</w:t>
      </w:r>
      <w:r>
        <w:rPr>
          <w:rFonts w:hint="eastAsia" w:ascii="宋体" w:hAnsi="宋体" w:eastAsia="宋体" w:cs="宋体"/>
          <w:color w:val="auto"/>
          <w:szCs w:val="21"/>
          <w:highlight w:val="none"/>
          <w:shd w:val="clear" w:color="auto" w:fill="FFFFFF"/>
        </w:rPr>
        <w:t>1</w:t>
      </w: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0（北京时间，法定节假日除外）</w:t>
      </w:r>
      <w:r>
        <w:rPr>
          <w:rFonts w:hint="eastAsia" w:ascii="宋体" w:hAnsi="宋体" w:eastAsia="宋体" w:cs="宋体"/>
          <w:color w:val="auto"/>
          <w:szCs w:val="21"/>
          <w:highlight w:val="none"/>
          <w:shd w:val="clear" w:color="auto" w:fill="FFFFFF"/>
          <w:lang w:val="en-US" w:eastAsia="zh-CN"/>
        </w:rPr>
        <w:t>。</w:t>
      </w:r>
    </w:p>
    <w:p w14:paraId="035BF3FE">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凡报名成功的供应商无故不来参与投标的，列入我院黑名单，一年内不得参与我院任何采购活动。</w:t>
      </w:r>
    </w:p>
    <w:p w14:paraId="4672A2AB">
      <w:pPr>
        <w:widowControl/>
        <w:wordWrap w:val="0"/>
        <w:snapToGrid w:val="0"/>
        <w:spacing w:before="0" w:beforeAutospacing="0" w:after="0" w:afterAutospacing="0" w:line="360" w:lineRule="auto"/>
        <w:ind w:left="0" w:leftChars="0" w:firstLine="420" w:firstLineChars="200"/>
        <w:jc w:val="left"/>
        <w:rPr>
          <w:rFonts w:ascii="宋体" w:hAnsi="宋体" w:eastAsia="宋体" w:cs="宋体"/>
          <w:color w:val="auto"/>
          <w:kern w:val="0"/>
          <w:sz w:val="21"/>
          <w:szCs w:val="21"/>
          <w:u w:val="singl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 xml:space="preserve">3. </w:t>
      </w:r>
      <w:r>
        <w:rPr>
          <w:rFonts w:hint="eastAsia" w:ascii="宋体" w:hAnsi="宋体" w:cs="宋体"/>
          <w:color w:val="auto"/>
          <w:kern w:val="0"/>
          <w:sz w:val="21"/>
          <w:szCs w:val="21"/>
          <w:highlight w:val="none"/>
          <w:shd w:val="clear" w:color="auto" w:fill="FFFFFF"/>
          <w:lang w:val="en-US" w:eastAsia="zh-CN" w:bidi="ar-SA"/>
        </w:rPr>
        <w:t>竞争性磋商文件</w:t>
      </w:r>
      <w:r>
        <w:rPr>
          <w:rFonts w:hint="eastAsia" w:ascii="宋体" w:hAnsi="宋体" w:eastAsia="宋体" w:cs="宋体"/>
          <w:color w:val="auto"/>
          <w:kern w:val="0"/>
          <w:sz w:val="21"/>
          <w:szCs w:val="21"/>
          <w:highlight w:val="none"/>
          <w:shd w:val="clear" w:color="auto" w:fill="FFFFFF"/>
          <w:lang w:val="en-US" w:eastAsia="zh-CN" w:bidi="ar-SA"/>
        </w:rPr>
        <w:t>获取方式：供应商须把填写完整的报名登记表及本磋商公告第二项供应商资格要求中需提供加盖单位公章的相关资料扫描件按序排版为PDF格式文件，发送至以下邮箱：</w:t>
      </w:r>
      <w:r>
        <w:rPr>
          <w:rFonts w:hint="eastAsia" w:ascii="宋体" w:hAnsi="宋体" w:eastAsia="宋体" w:cs="宋体"/>
          <w:b/>
          <w:bCs/>
          <w:color w:val="auto"/>
          <w:kern w:val="0"/>
          <w:sz w:val="21"/>
          <w:szCs w:val="21"/>
          <w:highlight w:val="none"/>
          <w:shd w:val="clear" w:color="auto" w:fill="FFFFFF"/>
          <w:lang w:val="en-US" w:eastAsia="zh-CN" w:bidi="ar-SA"/>
        </w:rPr>
        <w:t>1436547402@qq.com</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,并标明XX公司XX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eastAsia="宋体" w:cs="宋体"/>
          <w:color w:val="auto"/>
          <w:kern w:val="0"/>
          <w:sz w:val="21"/>
          <w:szCs w:val="21"/>
          <w:shd w:val="clear" w:color="auto" w:fill="FFFFFF"/>
          <w:lang w:val="en-US" w:eastAsia="zh-CN" w:bidi="ar-SA"/>
        </w:rPr>
        <w:t>项目报名资料。</w:t>
      </w:r>
    </w:p>
    <w:p w14:paraId="2BF4F091">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420" w:left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4. 报名登记表：请从附件中下载。</w:t>
      </w:r>
    </w:p>
    <w:p w14:paraId="2B7675CF">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3" w:name="_Toc15135"/>
      <w:bookmarkStart w:id="14" w:name="_Toc27480"/>
      <w:bookmarkStart w:id="15" w:name="_Toc15111"/>
      <w:bookmarkStart w:id="16" w:name="_Toc10738"/>
      <w:bookmarkStart w:id="17" w:name="_Toc25869"/>
      <w:r>
        <w:rPr>
          <w:rFonts w:hint="eastAsia" w:ascii="宋体" w:hAnsi="宋体" w:eastAsia="宋体" w:cs="宋体"/>
          <w:b/>
          <w:bCs/>
          <w:color w:val="auto"/>
          <w:kern w:val="2"/>
          <w:sz w:val="21"/>
          <w:szCs w:val="21"/>
          <w:highlight w:val="none"/>
          <w:shd w:val="clear" w:color="auto" w:fill="FFFFFF"/>
          <w:lang w:val="en-US" w:eastAsia="zh-CN" w:bidi="ar-SA"/>
        </w:rPr>
        <w:t>四、磋商截止时间及地点</w:t>
      </w:r>
      <w:bookmarkEnd w:id="13"/>
      <w:bookmarkEnd w:id="14"/>
      <w:bookmarkEnd w:id="15"/>
      <w:bookmarkEnd w:id="16"/>
      <w:bookmarkEnd w:id="17"/>
    </w:p>
    <w:p w14:paraId="7D796AB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8C4AF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51BE6284">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五、磋商时间及地点</w:t>
      </w:r>
    </w:p>
    <w:p w14:paraId="52FEDFC3">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4454039B">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456729">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8" w:name="_Toc20287"/>
      <w:bookmarkStart w:id="19" w:name="_Toc6523"/>
      <w:bookmarkStart w:id="20" w:name="_Toc29784"/>
      <w:bookmarkStart w:id="21" w:name="_Toc30918"/>
      <w:r>
        <w:rPr>
          <w:rFonts w:hint="eastAsia" w:ascii="宋体" w:hAnsi="宋体" w:eastAsia="宋体" w:cs="宋体"/>
          <w:b/>
          <w:bCs/>
          <w:color w:val="auto"/>
          <w:kern w:val="2"/>
          <w:sz w:val="21"/>
          <w:szCs w:val="21"/>
          <w:highlight w:val="none"/>
          <w:shd w:val="clear" w:color="auto" w:fill="FFFFFF"/>
          <w:lang w:val="en-US" w:eastAsia="zh-CN" w:bidi="ar-SA"/>
        </w:rPr>
        <w:t>六、发布公告的媒介及</w:t>
      </w:r>
      <w:r>
        <w:rPr>
          <w:rFonts w:hint="eastAsia" w:ascii="宋体" w:hAnsi="宋体" w:eastAsia="宋体" w:cs="宋体"/>
          <w:b/>
          <w:bCs/>
          <w:color w:val="auto"/>
          <w:sz w:val="21"/>
          <w:szCs w:val="21"/>
          <w:highlight w:val="none"/>
          <w:shd w:val="clear" w:color="auto" w:fill="auto"/>
          <w:lang w:val="en-US" w:eastAsia="zh-CN"/>
        </w:rPr>
        <w:t>采购</w:t>
      </w:r>
      <w:r>
        <w:rPr>
          <w:rFonts w:hint="eastAsia" w:ascii="宋体" w:hAnsi="宋体" w:eastAsia="宋体" w:cs="宋体"/>
          <w:b/>
          <w:bCs/>
          <w:color w:val="auto"/>
          <w:kern w:val="2"/>
          <w:sz w:val="21"/>
          <w:szCs w:val="21"/>
          <w:highlight w:val="none"/>
          <w:shd w:val="clear" w:color="auto" w:fill="FFFFFF"/>
          <w:lang w:val="en-US" w:eastAsia="zh-CN" w:bidi="ar-SA"/>
        </w:rPr>
        <w:t>公告期限</w:t>
      </w:r>
      <w:bookmarkEnd w:id="18"/>
      <w:bookmarkEnd w:id="19"/>
      <w:bookmarkEnd w:id="20"/>
      <w:bookmarkEnd w:id="21"/>
    </w:p>
    <w:p w14:paraId="33415FE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本次</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kern w:val="0"/>
          <w:sz w:val="21"/>
          <w:szCs w:val="21"/>
          <w:highlight w:val="none"/>
          <w:shd w:val="clear" w:color="auto" w:fill="FFFFFF"/>
          <w:lang w:val="en-US" w:eastAsia="zh-CN" w:bidi="ar-SA"/>
        </w:rPr>
        <w:t>公告在《驻马店市中心医院》院内网</w:t>
      </w:r>
      <w:r>
        <w:rPr>
          <w:rFonts w:hint="eastAsia" w:ascii="宋体" w:hAnsi="宋体" w:eastAsia="宋体" w:cs="宋体"/>
          <w:color w:val="auto"/>
          <w:sz w:val="21"/>
          <w:szCs w:val="21"/>
          <w:highlight w:val="none"/>
          <w:shd w:val="clear" w:color="auto" w:fill="auto"/>
        </w:rPr>
        <w:t>上发布</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sz w:val="21"/>
          <w:szCs w:val="21"/>
          <w:highlight w:val="none"/>
          <w:shd w:val="clear" w:color="auto" w:fill="auto"/>
          <w:lang w:eastAsia="zh-CN"/>
        </w:rPr>
        <w:t>公告期限为</w:t>
      </w:r>
      <w:r>
        <w:rPr>
          <w:rFonts w:hint="eastAsia" w:ascii="宋体" w:hAnsi="宋体" w:eastAsia="宋体" w:cs="宋体"/>
          <w:color w:val="auto"/>
          <w:sz w:val="21"/>
          <w:szCs w:val="21"/>
          <w:highlight w:val="none"/>
          <w:shd w:val="clear" w:color="auto" w:fill="auto"/>
          <w:lang w:val="en-US" w:eastAsia="zh-CN"/>
        </w:rPr>
        <w:t>三</w:t>
      </w:r>
      <w:r>
        <w:rPr>
          <w:rFonts w:hint="eastAsia" w:ascii="宋体" w:hAnsi="宋体" w:eastAsia="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795"/>
      <w:bookmarkStart w:id="23" w:name="_Toc35393626"/>
    </w:p>
    <w:bookmarkEnd w:id="22"/>
    <w:bookmarkEnd w:id="23"/>
    <w:p w14:paraId="5E12EA4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24" w:name="_Toc27370"/>
      <w:bookmarkStart w:id="25" w:name="_Toc16291"/>
      <w:bookmarkStart w:id="26" w:name="_Toc31928"/>
      <w:bookmarkStart w:id="27" w:name="_Toc24274"/>
      <w:bookmarkStart w:id="28" w:name="_Toc3604"/>
      <w:r>
        <w:rPr>
          <w:rFonts w:hint="eastAsia" w:ascii="宋体" w:hAnsi="宋体" w:eastAsia="宋体" w:cs="宋体"/>
          <w:b/>
          <w:bCs/>
          <w:color w:val="auto"/>
          <w:kern w:val="2"/>
          <w:sz w:val="21"/>
          <w:szCs w:val="21"/>
          <w:highlight w:val="none"/>
          <w:shd w:val="clear" w:color="auto" w:fill="FFFFFF"/>
          <w:lang w:val="en-US" w:eastAsia="zh-CN" w:bidi="ar-SA"/>
        </w:rPr>
        <w:t>七、</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14:paraId="468744B1">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1.采购人：驻马店市中心医院</w:t>
      </w:r>
    </w:p>
    <w:p w14:paraId="3389D957">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地址：驻马店市中华大道747号</w:t>
      </w:r>
    </w:p>
    <w:p w14:paraId="56DBFFA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p>
    <w:p w14:paraId="6126721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电话：0396-2726379</w:t>
      </w:r>
    </w:p>
    <w:p w14:paraId="1D623507">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cs="宋体"/>
          <w:color w:val="auto"/>
          <w:kern w:val="0"/>
          <w:sz w:val="21"/>
          <w:szCs w:val="21"/>
          <w:highlight w:val="none"/>
          <w:shd w:val="clear" w:color="auto" w:fill="FFFFFF"/>
          <w:lang w:val="en-US" w:eastAsia="zh-CN" w:bidi="ar-SA"/>
        </w:rPr>
        <w:t>2.</w:t>
      </w:r>
      <w:r>
        <w:rPr>
          <w:rFonts w:hint="eastAsia" w:ascii="宋体" w:hAnsi="宋体" w:eastAsia="宋体" w:cs="宋体"/>
          <w:color w:val="auto"/>
          <w:kern w:val="0"/>
          <w:sz w:val="21"/>
          <w:szCs w:val="21"/>
          <w:highlight w:val="none"/>
          <w:shd w:val="clear" w:color="auto" w:fill="FFFFFF"/>
          <w:lang w:val="en-US" w:eastAsia="zh-CN" w:bidi="ar-SA"/>
        </w:rPr>
        <w:t>采购代理机构：河南惠德工程咨询有限公司</w:t>
      </w:r>
    </w:p>
    <w:p w14:paraId="39A0E473">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地址：河南省郑州市金水区银河路北中方园路西轻科大厦A座19层</w:t>
      </w:r>
    </w:p>
    <w:p w14:paraId="11797609">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w:t>
      </w:r>
      <w:r>
        <w:rPr>
          <w:rFonts w:hint="eastAsia" w:ascii="宋体" w:hAnsi="宋体" w:cs="宋体"/>
          <w:color w:val="auto"/>
          <w:kern w:val="0"/>
          <w:sz w:val="21"/>
          <w:szCs w:val="21"/>
          <w:highlight w:val="none"/>
          <w:shd w:val="clear" w:color="auto" w:fill="FFFFFF"/>
          <w:lang w:val="en-US" w:eastAsia="zh-CN" w:bidi="ar-SA"/>
        </w:rPr>
        <w:t>：张先生</w:t>
      </w:r>
    </w:p>
    <w:p w14:paraId="57A7F33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联系方式：15639678168</w:t>
      </w:r>
    </w:p>
    <w:p w14:paraId="2BB1501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3.监督部门：驻马店市中心医院纪检监察室</w:t>
      </w:r>
    </w:p>
    <w:p w14:paraId="5BB2E39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监督电话：0396-2726678</w:t>
      </w:r>
    </w:p>
    <w:p w14:paraId="189E596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驻马店市中心医院采购科</w:t>
      </w:r>
    </w:p>
    <w:p w14:paraId="2B5979AB">
      <w:pPr>
        <w:pStyle w:val="30"/>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lang w:val="en-US" w:eastAsia="zh-CN" w:bidi="ar-SA"/>
        </w:rPr>
        <w:t xml:space="preserve">                                                         </w:t>
      </w:r>
      <w:r>
        <w:rPr>
          <w:rFonts w:hint="eastAsia" w:ascii="宋体" w:hAnsi="宋体" w:eastAsia="宋体" w:cs="宋体"/>
          <w:color w:val="auto"/>
          <w:sz w:val="21"/>
          <w:szCs w:val="21"/>
          <w:highlight w:val="none"/>
          <w:shd w:val="clear" w:color="auto" w:fill="FFFFFF"/>
        </w:rPr>
        <w:t>202</w:t>
      </w:r>
      <w:r>
        <w:rPr>
          <w:rFonts w:hint="eastAsia" w:ascii="宋体" w:hAnsi="宋体" w:eastAsia="宋体" w:cs="宋体"/>
          <w:color w:val="auto"/>
          <w:sz w:val="21"/>
          <w:szCs w:val="21"/>
          <w:highlight w:val="none"/>
          <w:shd w:val="clear" w:color="auto" w:fill="FFFFFF"/>
          <w:lang w:val="en-US" w:eastAsia="zh-CN"/>
        </w:rPr>
        <w:t>5</w:t>
      </w:r>
      <w:r>
        <w:rPr>
          <w:rFonts w:hint="eastAsia" w:ascii="宋体" w:hAnsi="宋体" w:eastAsia="宋体" w:cs="宋体"/>
          <w:color w:val="auto"/>
          <w:sz w:val="21"/>
          <w:szCs w:val="21"/>
          <w:highlight w:val="none"/>
          <w:shd w:val="clear" w:color="auto" w:fill="FFFFFF"/>
        </w:rPr>
        <w:t>年</w:t>
      </w:r>
      <w:r>
        <w:rPr>
          <w:rFonts w:hint="eastAsia" w:ascii="宋体" w:hAnsi="宋体" w:cs="宋体"/>
          <w:color w:val="auto"/>
          <w:sz w:val="21"/>
          <w:szCs w:val="21"/>
          <w:highlight w:val="none"/>
          <w:shd w:val="clear" w:color="auto" w:fill="FFFFFF"/>
          <w:lang w:val="en-US" w:eastAsia="zh-CN"/>
        </w:rPr>
        <w:t>8</w:t>
      </w:r>
      <w:r>
        <w:rPr>
          <w:rFonts w:hint="eastAsia" w:ascii="宋体" w:hAnsi="宋体" w:eastAsia="宋体" w:cs="宋体"/>
          <w:color w:val="auto"/>
          <w:sz w:val="21"/>
          <w:szCs w:val="21"/>
          <w:highlight w:val="none"/>
          <w:shd w:val="clear" w:color="auto" w:fill="FFFFFF"/>
        </w:rPr>
        <w:t>月</w:t>
      </w:r>
      <w:r>
        <w:rPr>
          <w:rFonts w:hint="eastAsia" w:ascii="宋体" w:hAnsi="宋体" w:cs="宋体"/>
          <w:color w:val="auto"/>
          <w:sz w:val="21"/>
          <w:szCs w:val="21"/>
          <w:highlight w:val="none"/>
          <w:shd w:val="clear" w:color="auto" w:fill="FFFFFF"/>
          <w:lang w:val="en-US" w:eastAsia="zh-CN"/>
        </w:rPr>
        <w:t>20</w:t>
      </w:r>
      <w:r>
        <w:rPr>
          <w:rFonts w:hint="eastAsia" w:ascii="宋体" w:hAnsi="宋体" w:eastAsia="宋体" w:cs="宋体"/>
          <w:color w:val="auto"/>
          <w:sz w:val="21"/>
          <w:szCs w:val="21"/>
          <w:highlight w:val="none"/>
          <w:shd w:val="clear" w:color="auto" w:fill="FFFFFF"/>
        </w:rPr>
        <w:t>日</w:t>
      </w:r>
    </w:p>
    <w:bookmarkEnd w:id="102"/>
    <w:p w14:paraId="1C0E0222">
      <w:pPr>
        <w:rPr>
          <w:rFonts w:hint="eastAsia" w:ascii="宋体" w:hAnsi="宋体" w:eastAsia="宋体" w:cs="宋体"/>
          <w:b/>
          <w:color w:val="auto"/>
          <w:sz w:val="32"/>
          <w:szCs w:val="32"/>
          <w:highlight w:val="none"/>
        </w:rPr>
      </w:pPr>
      <w:bookmarkStart w:id="29" w:name="_Toc23793"/>
      <w:bookmarkStart w:id="30" w:name="_Toc29890"/>
      <w:r>
        <w:rPr>
          <w:rFonts w:hint="eastAsia" w:ascii="宋体" w:hAnsi="宋体" w:eastAsia="宋体" w:cs="宋体"/>
          <w:b/>
          <w:color w:val="auto"/>
          <w:sz w:val="32"/>
          <w:szCs w:val="32"/>
          <w:highlight w:val="none"/>
        </w:rPr>
        <w:br w:type="page"/>
      </w:r>
    </w:p>
    <w:p w14:paraId="32464726">
      <w:pPr>
        <w:widowControl/>
        <w:spacing w:line="360" w:lineRule="auto"/>
        <w:ind w:firstLine="643" w:firstLineChars="200"/>
        <w:jc w:val="center"/>
        <w:outlineLvl w:val="0"/>
        <w:rPr>
          <w:rFonts w:hint="eastAsia" w:ascii="宋体" w:hAnsi="宋体" w:eastAsia="宋体" w:cs="宋体"/>
          <w:b/>
          <w:color w:val="auto"/>
          <w:sz w:val="32"/>
          <w:szCs w:val="32"/>
          <w:highlight w:val="none"/>
        </w:rPr>
      </w:pPr>
      <w:bookmarkStart w:id="31" w:name="_Toc19124"/>
      <w:r>
        <w:rPr>
          <w:rFonts w:hint="eastAsia" w:ascii="宋体" w:hAnsi="宋体" w:eastAsia="宋体" w:cs="宋体"/>
          <w:b/>
          <w:color w:val="auto"/>
          <w:sz w:val="32"/>
          <w:szCs w:val="32"/>
          <w:highlight w:val="none"/>
        </w:rPr>
        <w:t xml:space="preserve">第二章  </w:t>
      </w:r>
      <w:r>
        <w:rPr>
          <w:rFonts w:hint="eastAsia" w:ascii="宋体" w:hAnsi="宋体" w:eastAsia="宋体" w:cs="宋体"/>
          <w:b/>
          <w:color w:val="auto"/>
          <w:sz w:val="32"/>
          <w:szCs w:val="32"/>
          <w:highlight w:val="none"/>
          <w:lang w:eastAsia="zh-CN"/>
        </w:rPr>
        <w:t>采购</w:t>
      </w:r>
      <w:r>
        <w:rPr>
          <w:rFonts w:hint="eastAsia" w:ascii="宋体" w:hAnsi="宋体" w:eastAsia="宋体" w:cs="宋体"/>
          <w:b/>
          <w:color w:val="auto"/>
          <w:sz w:val="32"/>
          <w:szCs w:val="32"/>
          <w:highlight w:val="none"/>
        </w:rPr>
        <w:t>需求</w:t>
      </w:r>
      <w:bookmarkEnd w:id="31"/>
      <w:bookmarkStart w:id="32" w:name="_Toc31536"/>
      <w:bookmarkStart w:id="33" w:name="_Toc9989"/>
      <w:bookmarkStart w:id="34" w:name="_Toc23610"/>
    </w:p>
    <w:bookmarkEnd w:id="29"/>
    <w:bookmarkEnd w:id="30"/>
    <w:bookmarkEnd w:id="32"/>
    <w:bookmarkEnd w:id="33"/>
    <w:bookmarkEnd w:id="34"/>
    <w:p w14:paraId="3052BC61">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heme="minorEastAsia" w:hAnsiTheme="minorEastAsia" w:eastAsiaTheme="minorEastAsia" w:cstheme="minorEastAsia"/>
          <w:b/>
          <w:bCs/>
          <w:i w:val="0"/>
          <w:iCs/>
          <w:color w:val="auto"/>
          <w:sz w:val="28"/>
          <w:szCs w:val="28"/>
          <w:highlight w:val="none"/>
          <w:u w:val="none"/>
          <w:lang w:val="en-US" w:eastAsia="zh-CN"/>
        </w:rPr>
      </w:pPr>
      <w:r>
        <w:rPr>
          <w:rFonts w:hint="eastAsia" w:asciiTheme="minorEastAsia" w:hAnsiTheme="minorEastAsia" w:eastAsiaTheme="minorEastAsia" w:cstheme="minorEastAsia"/>
          <w:b/>
          <w:bCs/>
          <w:i w:val="0"/>
          <w:iCs/>
          <w:color w:val="auto"/>
          <w:sz w:val="28"/>
          <w:szCs w:val="28"/>
          <w:highlight w:val="none"/>
          <w:u w:val="none"/>
          <w:lang w:val="en-US" w:eastAsia="zh-CN"/>
        </w:rPr>
        <w:t>一、项目名称：全院水泵维修更换及保养</w:t>
      </w:r>
    </w:p>
    <w:p w14:paraId="6A1AD237">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heme="minorEastAsia" w:hAnsiTheme="minorEastAsia" w:eastAsiaTheme="minorEastAsia" w:cstheme="minorEastAsia"/>
          <w:b/>
          <w:bCs/>
          <w:i w:val="0"/>
          <w:iCs/>
          <w:color w:val="auto"/>
          <w:sz w:val="28"/>
          <w:szCs w:val="28"/>
          <w:highlight w:val="none"/>
          <w:u w:val="none"/>
          <w:lang w:val="en-US" w:eastAsia="zh-CN"/>
        </w:rPr>
      </w:pPr>
      <w:r>
        <w:rPr>
          <w:rFonts w:hint="eastAsia" w:asciiTheme="minorEastAsia" w:hAnsiTheme="minorEastAsia" w:eastAsiaTheme="minorEastAsia" w:cstheme="minorEastAsia"/>
          <w:b/>
          <w:bCs/>
          <w:i w:val="0"/>
          <w:iCs/>
          <w:color w:val="auto"/>
          <w:sz w:val="28"/>
          <w:szCs w:val="28"/>
          <w:highlight w:val="none"/>
          <w:u w:val="none"/>
          <w:lang w:val="en-US" w:eastAsia="zh-CN"/>
        </w:rPr>
        <w:t>二、服务范围：负责中心院区、妇儿院区各类水泵的日常维修更换及保养工作。</w:t>
      </w:r>
    </w:p>
    <w:p w14:paraId="10E84755">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heme="minorEastAsia" w:hAnsiTheme="minorEastAsia" w:eastAsiaTheme="minorEastAsia" w:cstheme="minorEastAsia"/>
          <w:b/>
          <w:bCs/>
          <w:i w:val="0"/>
          <w:iCs/>
          <w:color w:val="auto"/>
          <w:sz w:val="28"/>
          <w:szCs w:val="28"/>
          <w:highlight w:val="none"/>
          <w:u w:val="none"/>
          <w:lang w:val="en-US" w:eastAsia="zh-CN"/>
        </w:rPr>
      </w:pPr>
      <w:r>
        <w:rPr>
          <w:rFonts w:hint="eastAsia" w:asciiTheme="minorEastAsia" w:hAnsiTheme="minorEastAsia" w:eastAsiaTheme="minorEastAsia" w:cstheme="minorEastAsia"/>
          <w:b/>
          <w:bCs/>
          <w:i w:val="0"/>
          <w:iCs/>
          <w:color w:val="auto"/>
          <w:sz w:val="28"/>
          <w:szCs w:val="28"/>
          <w:highlight w:val="none"/>
          <w:u w:val="none"/>
          <w:lang w:val="en-US" w:eastAsia="zh-CN"/>
        </w:rPr>
        <w:t>三、采购标的清单</w:t>
      </w:r>
    </w:p>
    <w:tbl>
      <w:tblPr>
        <w:tblStyle w:val="34"/>
        <w:tblW w:w="9555"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987"/>
        <w:gridCol w:w="6"/>
        <w:gridCol w:w="2304"/>
        <w:gridCol w:w="777"/>
        <w:gridCol w:w="856"/>
        <w:gridCol w:w="1389"/>
        <w:gridCol w:w="1098"/>
        <w:gridCol w:w="5"/>
        <w:gridCol w:w="1236"/>
      </w:tblGrid>
      <w:tr w14:paraId="77635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897" w:type="dxa"/>
            <w:vAlign w:val="center"/>
          </w:tcPr>
          <w:p w14:paraId="2727B88C">
            <w:pPr>
              <w:pStyle w:val="14"/>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b/>
                <w:bCs/>
                <w:sz w:val="28"/>
                <w:szCs w:val="28"/>
                <w:lang w:val="en-US" w:eastAsia="zh-CN"/>
              </w:rPr>
              <w:t>包号</w:t>
            </w:r>
          </w:p>
        </w:tc>
        <w:tc>
          <w:tcPr>
            <w:tcW w:w="987" w:type="dxa"/>
            <w:vAlign w:val="center"/>
          </w:tcPr>
          <w:p w14:paraId="0A896BB9">
            <w:pPr>
              <w:pStyle w:val="14"/>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b/>
                <w:bCs/>
                <w:sz w:val="28"/>
                <w:szCs w:val="28"/>
              </w:rPr>
              <w:t>序号</w:t>
            </w:r>
          </w:p>
        </w:tc>
        <w:tc>
          <w:tcPr>
            <w:tcW w:w="2310" w:type="dxa"/>
            <w:gridSpan w:val="2"/>
            <w:vAlign w:val="center"/>
          </w:tcPr>
          <w:p w14:paraId="6D071E7B">
            <w:pPr>
              <w:pStyle w:val="14"/>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b/>
                <w:bCs/>
                <w:sz w:val="28"/>
                <w:szCs w:val="28"/>
              </w:rPr>
              <w:t>标的名称</w:t>
            </w:r>
          </w:p>
        </w:tc>
        <w:tc>
          <w:tcPr>
            <w:tcW w:w="777" w:type="dxa"/>
            <w:vAlign w:val="center"/>
          </w:tcPr>
          <w:p w14:paraId="48843129">
            <w:pPr>
              <w:pStyle w:val="14"/>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b/>
                <w:bCs/>
                <w:sz w:val="28"/>
                <w:szCs w:val="28"/>
                <w:lang w:val="en-US" w:eastAsia="zh-CN"/>
              </w:rPr>
              <w:t>单位</w:t>
            </w:r>
          </w:p>
        </w:tc>
        <w:tc>
          <w:tcPr>
            <w:tcW w:w="856" w:type="dxa"/>
            <w:vAlign w:val="center"/>
          </w:tcPr>
          <w:p w14:paraId="31084358">
            <w:pPr>
              <w:pStyle w:val="14"/>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b/>
                <w:bCs/>
                <w:sz w:val="28"/>
                <w:szCs w:val="28"/>
              </w:rPr>
              <w:t>数量</w:t>
            </w:r>
          </w:p>
        </w:tc>
        <w:tc>
          <w:tcPr>
            <w:tcW w:w="1389" w:type="dxa"/>
            <w:vAlign w:val="center"/>
          </w:tcPr>
          <w:p w14:paraId="294B05F0">
            <w:pPr>
              <w:pStyle w:val="14"/>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资金</w:t>
            </w:r>
          </w:p>
          <w:p w14:paraId="54A2AF28">
            <w:pPr>
              <w:pStyle w:val="14"/>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b/>
                <w:bCs/>
                <w:sz w:val="28"/>
                <w:szCs w:val="28"/>
              </w:rPr>
              <w:t>预算</w:t>
            </w:r>
          </w:p>
        </w:tc>
        <w:tc>
          <w:tcPr>
            <w:tcW w:w="1098" w:type="dxa"/>
            <w:vAlign w:val="center"/>
          </w:tcPr>
          <w:p w14:paraId="05B11336">
            <w:pPr>
              <w:pStyle w:val="14"/>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资金</w:t>
            </w:r>
          </w:p>
          <w:p w14:paraId="7AB10208">
            <w:pPr>
              <w:pStyle w:val="14"/>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b/>
                <w:bCs/>
                <w:sz w:val="28"/>
                <w:szCs w:val="28"/>
                <w:lang w:val="en-US" w:eastAsia="zh-CN"/>
              </w:rPr>
              <w:t>性质</w:t>
            </w:r>
          </w:p>
        </w:tc>
        <w:tc>
          <w:tcPr>
            <w:tcW w:w="1241" w:type="dxa"/>
            <w:gridSpan w:val="2"/>
            <w:vAlign w:val="center"/>
          </w:tcPr>
          <w:p w14:paraId="6BBFBACB">
            <w:pPr>
              <w:pStyle w:val="14"/>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国产/</w:t>
            </w:r>
          </w:p>
          <w:p w14:paraId="20AC3B5E">
            <w:pPr>
              <w:pStyle w:val="14"/>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b/>
                <w:bCs/>
                <w:sz w:val="28"/>
                <w:szCs w:val="28"/>
                <w:lang w:val="en-US" w:eastAsia="zh-CN"/>
              </w:rPr>
              <w:t>进口</w:t>
            </w:r>
          </w:p>
        </w:tc>
      </w:tr>
      <w:tr w14:paraId="57C3D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897" w:type="dxa"/>
            <w:vAlign w:val="center"/>
          </w:tcPr>
          <w:p w14:paraId="454AD6AE">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987" w:type="dxa"/>
            <w:vAlign w:val="center"/>
          </w:tcPr>
          <w:p w14:paraId="24321648">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2310" w:type="dxa"/>
            <w:gridSpan w:val="2"/>
            <w:vAlign w:val="center"/>
          </w:tcPr>
          <w:p w14:paraId="5830FF32">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both"/>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全院水泵维修更换及保养</w:t>
            </w:r>
          </w:p>
        </w:tc>
        <w:tc>
          <w:tcPr>
            <w:tcW w:w="777" w:type="dxa"/>
            <w:vAlign w:val="center"/>
          </w:tcPr>
          <w:p w14:paraId="107D2C5A">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年</w:t>
            </w:r>
          </w:p>
        </w:tc>
        <w:tc>
          <w:tcPr>
            <w:tcW w:w="856" w:type="dxa"/>
            <w:vAlign w:val="center"/>
          </w:tcPr>
          <w:p w14:paraId="3A8C555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1389" w:type="dxa"/>
            <w:vAlign w:val="center"/>
          </w:tcPr>
          <w:p w14:paraId="3E95358C">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10万元</w:t>
            </w:r>
          </w:p>
        </w:tc>
        <w:tc>
          <w:tcPr>
            <w:tcW w:w="1098" w:type="dxa"/>
            <w:vAlign w:val="center"/>
          </w:tcPr>
          <w:p w14:paraId="6CF3D44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自筹</w:t>
            </w:r>
          </w:p>
        </w:tc>
        <w:tc>
          <w:tcPr>
            <w:tcW w:w="1241" w:type="dxa"/>
            <w:gridSpan w:val="2"/>
            <w:vAlign w:val="center"/>
          </w:tcPr>
          <w:p w14:paraId="13F8D0B4">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国产</w:t>
            </w:r>
          </w:p>
        </w:tc>
      </w:tr>
      <w:tr w14:paraId="2665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890" w:type="dxa"/>
            <w:gridSpan w:val="3"/>
            <w:vAlign w:val="center"/>
          </w:tcPr>
          <w:p w14:paraId="3709E48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合计</w:t>
            </w:r>
          </w:p>
        </w:tc>
        <w:tc>
          <w:tcPr>
            <w:tcW w:w="2304" w:type="dxa"/>
            <w:vAlign w:val="center"/>
          </w:tcPr>
          <w:p w14:paraId="5151F71C">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b/>
                <w:bCs/>
                <w:sz w:val="28"/>
                <w:szCs w:val="28"/>
                <w:vertAlign w:val="baseline"/>
                <w:lang w:val="en-US" w:eastAsia="zh-CN"/>
              </w:rPr>
            </w:pPr>
          </w:p>
        </w:tc>
        <w:tc>
          <w:tcPr>
            <w:tcW w:w="777" w:type="dxa"/>
            <w:vAlign w:val="center"/>
          </w:tcPr>
          <w:p w14:paraId="4C408693">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年</w:t>
            </w:r>
          </w:p>
        </w:tc>
        <w:tc>
          <w:tcPr>
            <w:tcW w:w="856" w:type="dxa"/>
            <w:vAlign w:val="center"/>
          </w:tcPr>
          <w:p w14:paraId="1DF11130">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1</w:t>
            </w:r>
          </w:p>
        </w:tc>
        <w:tc>
          <w:tcPr>
            <w:tcW w:w="1389" w:type="dxa"/>
            <w:vAlign w:val="center"/>
          </w:tcPr>
          <w:p w14:paraId="0306BC83">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10万元</w:t>
            </w:r>
          </w:p>
        </w:tc>
        <w:tc>
          <w:tcPr>
            <w:tcW w:w="1103" w:type="dxa"/>
            <w:gridSpan w:val="2"/>
            <w:vAlign w:val="center"/>
          </w:tcPr>
          <w:p w14:paraId="6C7B1194">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b/>
                <w:bCs/>
                <w:sz w:val="28"/>
                <w:szCs w:val="28"/>
                <w:vertAlign w:val="baseline"/>
                <w:lang w:val="en-US" w:eastAsia="zh-CN"/>
              </w:rPr>
            </w:pPr>
          </w:p>
        </w:tc>
        <w:tc>
          <w:tcPr>
            <w:tcW w:w="1236" w:type="dxa"/>
            <w:vAlign w:val="center"/>
          </w:tcPr>
          <w:p w14:paraId="658FFDEA">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b/>
                <w:bCs/>
                <w:sz w:val="28"/>
                <w:szCs w:val="28"/>
                <w:vertAlign w:val="baseline"/>
                <w:lang w:val="en-US" w:eastAsia="zh-CN"/>
              </w:rPr>
            </w:pPr>
          </w:p>
        </w:tc>
      </w:tr>
      <w:tr w14:paraId="3A52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84" w:type="dxa"/>
            <w:gridSpan w:val="2"/>
            <w:vAlign w:val="center"/>
          </w:tcPr>
          <w:p w14:paraId="62331FB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备注</w:t>
            </w:r>
          </w:p>
        </w:tc>
        <w:tc>
          <w:tcPr>
            <w:tcW w:w="7671" w:type="dxa"/>
            <w:gridSpan w:val="8"/>
            <w:vAlign w:val="center"/>
          </w:tcPr>
          <w:p w14:paraId="4F1CEB2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招一家供应商，据实结算</w:t>
            </w:r>
          </w:p>
        </w:tc>
      </w:tr>
    </w:tbl>
    <w:p w14:paraId="357761A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b/>
          <w:bCs/>
          <w:i w:val="0"/>
          <w:iCs/>
          <w:color w:val="auto"/>
          <w:sz w:val="28"/>
          <w:szCs w:val="28"/>
          <w:highlight w:val="none"/>
          <w:u w:val="none"/>
          <w:lang w:val="en-US" w:eastAsia="zh-CN"/>
        </w:rPr>
      </w:pPr>
    </w:p>
    <w:p w14:paraId="028B9CE9">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heme="minorEastAsia" w:hAnsiTheme="minorEastAsia" w:eastAsiaTheme="minorEastAsia" w:cstheme="minorEastAsia"/>
          <w:b/>
          <w:bCs/>
          <w:i w:val="0"/>
          <w:iCs/>
          <w:color w:val="auto"/>
          <w:sz w:val="28"/>
          <w:szCs w:val="28"/>
          <w:highlight w:val="none"/>
          <w:u w:val="none"/>
          <w:lang w:val="en-US" w:eastAsia="zh-CN"/>
        </w:rPr>
      </w:pPr>
      <w:r>
        <w:rPr>
          <w:rFonts w:hint="eastAsia" w:asciiTheme="minorEastAsia" w:hAnsiTheme="minorEastAsia" w:eastAsiaTheme="minorEastAsia" w:cstheme="minorEastAsia"/>
          <w:b/>
          <w:bCs/>
          <w:i w:val="0"/>
          <w:iCs/>
          <w:color w:val="auto"/>
          <w:sz w:val="28"/>
          <w:szCs w:val="28"/>
          <w:highlight w:val="none"/>
          <w:u w:val="none"/>
          <w:lang w:val="en-US" w:eastAsia="zh-CN"/>
        </w:rPr>
        <w:t>四、技术要求</w:t>
      </w:r>
    </w:p>
    <w:p w14:paraId="4F48A49C">
      <w:pPr>
        <w:spacing w:line="560" w:lineRule="exact"/>
        <w:ind w:firstLine="560" w:firstLineChars="200"/>
        <w:jc w:val="left"/>
        <w:rPr>
          <w:rFonts w:hint="eastAsia" w:asciiTheme="minorEastAsia" w:hAnsiTheme="minorEastAsia" w:eastAsiaTheme="minorEastAsia" w:cstheme="minorEastAsia"/>
          <w:kern w:val="2"/>
          <w:sz w:val="28"/>
          <w:szCs w:val="28"/>
          <w:u w:val="none"/>
          <w:lang w:val="en-US" w:eastAsia="zh-CN" w:bidi="ar-SA"/>
        </w:rPr>
      </w:pPr>
      <w:r>
        <w:rPr>
          <w:rFonts w:hint="eastAsia" w:asciiTheme="minorEastAsia" w:hAnsiTheme="minorEastAsia" w:eastAsiaTheme="minorEastAsia" w:cstheme="minorEastAsia"/>
          <w:kern w:val="2"/>
          <w:sz w:val="28"/>
          <w:szCs w:val="28"/>
          <w:u w:val="none"/>
          <w:lang w:val="en-US" w:eastAsia="zh-CN" w:bidi="ar-SA"/>
        </w:rPr>
        <w:t xml:space="preserve">（1）所提供人工费须能与我院设备适配。根据医院实际需求，如有不在清单范围内的不常见人工费，医院将以科室议价的方式确定采购价格后加入清单目录。                                                                   </w:t>
      </w:r>
    </w:p>
    <w:p w14:paraId="438FE2EB">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560" w:firstLineChars="200"/>
        <w:jc w:val="left"/>
        <w:textAlignment w:val="auto"/>
        <w:rPr>
          <w:rFonts w:hint="eastAsia" w:asciiTheme="minorEastAsia" w:hAnsiTheme="minorEastAsia" w:eastAsiaTheme="minorEastAsia" w:cstheme="minorEastAsia"/>
          <w:i w:val="0"/>
          <w:iCs/>
          <w:sz w:val="28"/>
          <w:szCs w:val="28"/>
          <w:u w:val="none"/>
          <w:lang w:val="en-US" w:eastAsia="zh-CN"/>
        </w:rPr>
      </w:pPr>
      <w:r>
        <w:rPr>
          <w:rFonts w:hint="eastAsia" w:asciiTheme="minorEastAsia" w:hAnsiTheme="minorEastAsia" w:eastAsiaTheme="minorEastAsia" w:cstheme="minorEastAsia"/>
          <w:kern w:val="2"/>
          <w:sz w:val="28"/>
          <w:szCs w:val="28"/>
          <w:u w:val="none"/>
          <w:lang w:val="en-US" w:eastAsia="zh-CN" w:bidi="ar-SA"/>
        </w:rPr>
        <w:t>（2）接到维修任务，</w:t>
      </w:r>
      <w:r>
        <w:rPr>
          <w:rFonts w:hint="eastAsia" w:asciiTheme="minorEastAsia" w:hAnsiTheme="minorEastAsia" w:eastAsiaTheme="minorEastAsia" w:cstheme="minorEastAsia"/>
          <w:i w:val="0"/>
          <w:iCs/>
          <w:sz w:val="28"/>
          <w:szCs w:val="28"/>
          <w:u w:val="none"/>
          <w:lang w:val="en-US" w:eastAsia="zh-CN"/>
        </w:rPr>
        <w:t xml:space="preserve">供应商须在2小时内及时到达现场，根据工作量合理组织有技术水平的服务人员，按现行国家和行业标准服务，保质保量按时完成；如遇突发事件，供应商在接到医院通知后，应立即到达现场。                                  </w:t>
      </w:r>
    </w:p>
    <w:p w14:paraId="020562CD">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560" w:firstLineChars="200"/>
        <w:jc w:val="left"/>
        <w:textAlignment w:val="auto"/>
        <w:rPr>
          <w:rFonts w:hint="eastAsia" w:asciiTheme="minorEastAsia" w:hAnsiTheme="minorEastAsia" w:eastAsiaTheme="minorEastAsia" w:cstheme="minorEastAsia"/>
          <w:i w:val="0"/>
          <w:iCs/>
          <w:sz w:val="28"/>
          <w:szCs w:val="28"/>
          <w:u w:val="none"/>
          <w:lang w:val="en-US" w:eastAsia="zh-CN"/>
        </w:rPr>
      </w:pPr>
      <w:r>
        <w:rPr>
          <w:rFonts w:hint="eastAsia" w:asciiTheme="minorEastAsia" w:hAnsiTheme="minorEastAsia" w:eastAsiaTheme="minorEastAsia" w:cstheme="minorEastAsia"/>
          <w:i w:val="0"/>
          <w:iCs/>
          <w:sz w:val="28"/>
          <w:szCs w:val="28"/>
          <w:u w:val="none"/>
          <w:lang w:val="en-US" w:eastAsia="zh-CN"/>
        </w:rPr>
        <w:t xml:space="preserve">（3）质保期为自通过验收之日起计算，质保期内，经维修更换后同一部位再次出现同一问题，供应商应立即进行免费维修更换。                                                                 </w:t>
      </w:r>
    </w:p>
    <w:p w14:paraId="3A6EC8E1">
      <w:pPr>
        <w:widowControl w:val="0"/>
        <w:numPr>
          <w:ilvl w:val="0"/>
          <w:numId w:val="0"/>
        </w:numPr>
        <w:spacing w:line="192" w:lineRule="auto"/>
        <w:ind w:firstLine="560" w:firstLineChars="200"/>
        <w:jc w:val="both"/>
        <w:rPr>
          <w:rFonts w:hint="eastAsia" w:asciiTheme="minorEastAsia" w:hAnsiTheme="minorEastAsia" w:eastAsiaTheme="minorEastAsia" w:cstheme="minorEastAsia"/>
          <w:b/>
          <w:bCs/>
          <w:color w:val="auto"/>
          <w:kern w:val="2"/>
          <w:sz w:val="28"/>
          <w:szCs w:val="28"/>
          <w:highlight w:val="none"/>
          <w:u w:val="none"/>
          <w:lang w:val="en-US" w:eastAsia="zh-CN" w:bidi="ar-SA"/>
        </w:rPr>
      </w:pPr>
      <w:r>
        <w:rPr>
          <w:rFonts w:hint="eastAsia" w:asciiTheme="minorEastAsia" w:hAnsiTheme="minorEastAsia" w:eastAsiaTheme="minorEastAsia" w:cstheme="minorEastAsia"/>
          <w:i w:val="0"/>
          <w:iCs/>
          <w:sz w:val="28"/>
          <w:szCs w:val="28"/>
          <w:u w:val="none"/>
          <w:lang w:val="en-US" w:eastAsia="zh-CN"/>
        </w:rPr>
        <w:t xml:space="preserve">（4）服务人员必须严格执行安全操作规程，加强安全防护，在工作中发生的一切事故及纠纷（死亡、伤害、突发事件等），均由供应商负责。                                        </w:t>
      </w:r>
    </w:p>
    <w:p w14:paraId="1D65A59C">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b/>
          <w:bCs/>
          <w:i w:val="0"/>
          <w:iCs/>
          <w:color w:val="auto"/>
          <w:sz w:val="28"/>
          <w:szCs w:val="28"/>
          <w:highlight w:val="none"/>
          <w:u w:val="none"/>
          <w:lang w:val="en-US" w:eastAsia="zh-CN"/>
        </w:rPr>
      </w:pPr>
    </w:p>
    <w:p w14:paraId="2014994A">
      <w:pPr>
        <w:pStyle w:val="21"/>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017377D1">
      <w:pPr>
        <w:pStyle w:val="21"/>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535B6947">
      <w:pPr>
        <w:pStyle w:val="21"/>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234A8232">
      <w:pPr>
        <w:pStyle w:val="21"/>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49650FCE">
      <w:pPr>
        <w:pStyle w:val="21"/>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附件1常见水泵维修更换及保养清单</w:t>
      </w:r>
    </w:p>
    <w:tbl>
      <w:tblPr>
        <w:tblStyle w:val="34"/>
        <w:tblW w:w="9810" w:type="dxa"/>
        <w:tblInd w:w="-5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475"/>
        <w:gridCol w:w="1886"/>
        <w:gridCol w:w="1434"/>
        <w:gridCol w:w="1599"/>
        <w:gridCol w:w="1621"/>
      </w:tblGrid>
      <w:tr w14:paraId="5D1DF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trPr>
        <w:tc>
          <w:tcPr>
            <w:tcW w:w="795" w:type="dxa"/>
            <w:vAlign w:val="center"/>
          </w:tcPr>
          <w:p w14:paraId="639EDAB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b/>
                <w:bCs/>
                <w:sz w:val="24"/>
                <w:szCs w:val="24"/>
                <w:vertAlign w:val="baseline"/>
                <w:lang w:val="en-US" w:eastAsia="zh-CN"/>
              </w:rPr>
              <w:t>序号</w:t>
            </w:r>
          </w:p>
        </w:tc>
        <w:tc>
          <w:tcPr>
            <w:tcW w:w="2475" w:type="dxa"/>
            <w:vAlign w:val="center"/>
          </w:tcPr>
          <w:p w14:paraId="65B4DAF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b/>
                <w:bCs/>
                <w:sz w:val="24"/>
                <w:szCs w:val="24"/>
                <w:vertAlign w:val="baseline"/>
                <w:lang w:val="en-US" w:eastAsia="zh-CN"/>
              </w:rPr>
              <w:t>名称</w:t>
            </w:r>
          </w:p>
        </w:tc>
        <w:tc>
          <w:tcPr>
            <w:tcW w:w="1886" w:type="dxa"/>
            <w:vAlign w:val="center"/>
          </w:tcPr>
          <w:p w14:paraId="1397874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b/>
                <w:bCs/>
                <w:sz w:val="24"/>
                <w:szCs w:val="24"/>
                <w:vertAlign w:val="baseline"/>
                <w:lang w:val="en-US" w:eastAsia="zh-CN"/>
              </w:rPr>
              <w:t>规格</w:t>
            </w:r>
          </w:p>
        </w:tc>
        <w:tc>
          <w:tcPr>
            <w:tcW w:w="1434" w:type="dxa"/>
            <w:vAlign w:val="center"/>
          </w:tcPr>
          <w:p w14:paraId="033843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b/>
                <w:bCs/>
                <w:sz w:val="24"/>
                <w:szCs w:val="24"/>
                <w:vertAlign w:val="baseline"/>
                <w:lang w:val="en-US" w:eastAsia="zh-CN"/>
              </w:rPr>
              <w:t>单价（元）</w:t>
            </w:r>
          </w:p>
        </w:tc>
        <w:tc>
          <w:tcPr>
            <w:tcW w:w="1599" w:type="dxa"/>
            <w:vAlign w:val="center"/>
          </w:tcPr>
          <w:p w14:paraId="6AE2FA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b/>
                <w:bCs/>
                <w:sz w:val="24"/>
                <w:szCs w:val="24"/>
                <w:vertAlign w:val="baseline"/>
                <w:lang w:val="en-US" w:eastAsia="zh-CN"/>
              </w:rPr>
              <w:t>人工费（元）</w:t>
            </w:r>
          </w:p>
        </w:tc>
        <w:tc>
          <w:tcPr>
            <w:tcW w:w="1621" w:type="dxa"/>
            <w:vAlign w:val="center"/>
          </w:tcPr>
          <w:p w14:paraId="6AEE88F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b/>
                <w:bCs/>
                <w:sz w:val="24"/>
                <w:szCs w:val="24"/>
                <w:vertAlign w:val="baseline"/>
                <w:lang w:val="en-US" w:eastAsia="zh-CN"/>
              </w:rPr>
              <w:t>备注</w:t>
            </w:r>
          </w:p>
        </w:tc>
      </w:tr>
      <w:tr w14:paraId="156E9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5" w:type="dxa"/>
            <w:vAlign w:val="center"/>
          </w:tcPr>
          <w:p w14:paraId="2663AE3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w:t>
            </w:r>
          </w:p>
        </w:tc>
        <w:tc>
          <w:tcPr>
            <w:tcW w:w="2475" w:type="dxa"/>
            <w:vAlign w:val="center"/>
          </w:tcPr>
          <w:p w14:paraId="3EC8449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1.5KW水泵</w:t>
            </w:r>
          </w:p>
        </w:tc>
        <w:tc>
          <w:tcPr>
            <w:tcW w:w="1886" w:type="dxa"/>
            <w:vAlign w:val="center"/>
          </w:tcPr>
          <w:p w14:paraId="6102E00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出水口DN50</w:t>
            </w:r>
          </w:p>
        </w:tc>
        <w:tc>
          <w:tcPr>
            <w:tcW w:w="1434" w:type="dxa"/>
            <w:shd w:val="clear" w:color="auto" w:fill="auto"/>
            <w:vAlign w:val="center"/>
          </w:tcPr>
          <w:p w14:paraId="57DD16A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566</w:t>
            </w:r>
          </w:p>
        </w:tc>
        <w:tc>
          <w:tcPr>
            <w:tcW w:w="1599" w:type="dxa"/>
            <w:shd w:val="clear" w:color="auto" w:fill="auto"/>
            <w:vAlign w:val="center"/>
          </w:tcPr>
          <w:p w14:paraId="65EC0749">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430</w:t>
            </w:r>
          </w:p>
        </w:tc>
        <w:tc>
          <w:tcPr>
            <w:tcW w:w="1621" w:type="dxa"/>
            <w:vAlign w:val="center"/>
          </w:tcPr>
          <w:p w14:paraId="05338B7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p>
        </w:tc>
      </w:tr>
      <w:tr w14:paraId="779ED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5" w:type="dxa"/>
            <w:vAlign w:val="center"/>
          </w:tcPr>
          <w:p w14:paraId="33EA927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w:t>
            </w:r>
          </w:p>
        </w:tc>
        <w:tc>
          <w:tcPr>
            <w:tcW w:w="2475" w:type="dxa"/>
            <w:vAlign w:val="center"/>
          </w:tcPr>
          <w:p w14:paraId="1BDC115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1.5KW水泵</w:t>
            </w:r>
          </w:p>
        </w:tc>
        <w:tc>
          <w:tcPr>
            <w:tcW w:w="1886" w:type="dxa"/>
            <w:vAlign w:val="center"/>
          </w:tcPr>
          <w:p w14:paraId="21E8A9A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出水口DN80</w:t>
            </w:r>
          </w:p>
        </w:tc>
        <w:tc>
          <w:tcPr>
            <w:tcW w:w="1434" w:type="dxa"/>
            <w:shd w:val="clear" w:color="auto" w:fill="auto"/>
            <w:vAlign w:val="center"/>
          </w:tcPr>
          <w:p w14:paraId="57C65C9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610</w:t>
            </w:r>
          </w:p>
        </w:tc>
        <w:tc>
          <w:tcPr>
            <w:tcW w:w="1599" w:type="dxa"/>
            <w:shd w:val="clear" w:color="auto" w:fill="auto"/>
            <w:vAlign w:val="center"/>
          </w:tcPr>
          <w:p w14:paraId="076F0976">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430</w:t>
            </w:r>
          </w:p>
        </w:tc>
        <w:tc>
          <w:tcPr>
            <w:tcW w:w="1621" w:type="dxa"/>
            <w:vAlign w:val="center"/>
          </w:tcPr>
          <w:p w14:paraId="02F88E1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p>
        </w:tc>
      </w:tr>
      <w:tr w14:paraId="34F6B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5" w:type="dxa"/>
            <w:vAlign w:val="center"/>
          </w:tcPr>
          <w:p w14:paraId="3382EBC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3</w:t>
            </w:r>
          </w:p>
        </w:tc>
        <w:tc>
          <w:tcPr>
            <w:tcW w:w="2475" w:type="dxa"/>
            <w:vAlign w:val="center"/>
          </w:tcPr>
          <w:p w14:paraId="232443A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2.2KW水泵</w:t>
            </w:r>
          </w:p>
        </w:tc>
        <w:tc>
          <w:tcPr>
            <w:tcW w:w="1886" w:type="dxa"/>
            <w:vAlign w:val="center"/>
          </w:tcPr>
          <w:p w14:paraId="2D57CB0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出水口DN50</w:t>
            </w:r>
          </w:p>
        </w:tc>
        <w:tc>
          <w:tcPr>
            <w:tcW w:w="1434" w:type="dxa"/>
            <w:shd w:val="clear" w:color="auto" w:fill="auto"/>
            <w:vAlign w:val="center"/>
          </w:tcPr>
          <w:p w14:paraId="1F29D08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1220</w:t>
            </w:r>
          </w:p>
        </w:tc>
        <w:tc>
          <w:tcPr>
            <w:tcW w:w="1599" w:type="dxa"/>
            <w:shd w:val="clear" w:color="auto" w:fill="auto"/>
            <w:vAlign w:val="center"/>
          </w:tcPr>
          <w:p w14:paraId="69B07A97">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470</w:t>
            </w:r>
          </w:p>
        </w:tc>
        <w:tc>
          <w:tcPr>
            <w:tcW w:w="1621" w:type="dxa"/>
            <w:vAlign w:val="center"/>
          </w:tcPr>
          <w:p w14:paraId="3514FA9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p>
        </w:tc>
      </w:tr>
      <w:tr w14:paraId="460CF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5" w:type="dxa"/>
            <w:vAlign w:val="center"/>
          </w:tcPr>
          <w:p w14:paraId="46ECF4F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4</w:t>
            </w:r>
          </w:p>
        </w:tc>
        <w:tc>
          <w:tcPr>
            <w:tcW w:w="2475" w:type="dxa"/>
            <w:vAlign w:val="center"/>
          </w:tcPr>
          <w:p w14:paraId="456D800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2.2KW水泵</w:t>
            </w:r>
          </w:p>
        </w:tc>
        <w:tc>
          <w:tcPr>
            <w:tcW w:w="1886" w:type="dxa"/>
            <w:vAlign w:val="center"/>
          </w:tcPr>
          <w:p w14:paraId="6908644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出水口DN80</w:t>
            </w:r>
          </w:p>
        </w:tc>
        <w:tc>
          <w:tcPr>
            <w:tcW w:w="1434" w:type="dxa"/>
            <w:shd w:val="clear" w:color="auto" w:fill="auto"/>
            <w:vAlign w:val="center"/>
          </w:tcPr>
          <w:p w14:paraId="69DDDBC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1220</w:t>
            </w:r>
          </w:p>
        </w:tc>
        <w:tc>
          <w:tcPr>
            <w:tcW w:w="1599" w:type="dxa"/>
            <w:shd w:val="clear" w:color="auto" w:fill="auto"/>
            <w:vAlign w:val="center"/>
          </w:tcPr>
          <w:p w14:paraId="7AEC33B0">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470</w:t>
            </w:r>
          </w:p>
        </w:tc>
        <w:tc>
          <w:tcPr>
            <w:tcW w:w="1621" w:type="dxa"/>
            <w:vAlign w:val="center"/>
          </w:tcPr>
          <w:p w14:paraId="746099D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p>
        </w:tc>
      </w:tr>
      <w:tr w14:paraId="1D1A4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5" w:type="dxa"/>
            <w:vAlign w:val="center"/>
          </w:tcPr>
          <w:p w14:paraId="1B94EAE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5</w:t>
            </w:r>
          </w:p>
        </w:tc>
        <w:tc>
          <w:tcPr>
            <w:tcW w:w="2475" w:type="dxa"/>
            <w:vAlign w:val="center"/>
          </w:tcPr>
          <w:p w14:paraId="1DF644D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2.2KW水泵</w:t>
            </w:r>
          </w:p>
        </w:tc>
        <w:tc>
          <w:tcPr>
            <w:tcW w:w="1886" w:type="dxa"/>
            <w:vAlign w:val="center"/>
          </w:tcPr>
          <w:p w14:paraId="37DCAFF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出水口DN100</w:t>
            </w:r>
          </w:p>
        </w:tc>
        <w:tc>
          <w:tcPr>
            <w:tcW w:w="1434" w:type="dxa"/>
            <w:shd w:val="clear" w:color="auto" w:fill="auto"/>
            <w:vAlign w:val="center"/>
          </w:tcPr>
          <w:p w14:paraId="60DB40F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1264</w:t>
            </w:r>
          </w:p>
        </w:tc>
        <w:tc>
          <w:tcPr>
            <w:tcW w:w="1599" w:type="dxa"/>
            <w:shd w:val="clear" w:color="auto" w:fill="auto"/>
            <w:vAlign w:val="center"/>
          </w:tcPr>
          <w:p w14:paraId="070E5632">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520</w:t>
            </w:r>
          </w:p>
        </w:tc>
        <w:tc>
          <w:tcPr>
            <w:tcW w:w="1621" w:type="dxa"/>
            <w:vAlign w:val="center"/>
          </w:tcPr>
          <w:p w14:paraId="73A8105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p>
        </w:tc>
      </w:tr>
      <w:tr w14:paraId="1AE3F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5" w:type="dxa"/>
            <w:vAlign w:val="center"/>
          </w:tcPr>
          <w:p w14:paraId="6A16B6D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6</w:t>
            </w:r>
          </w:p>
        </w:tc>
        <w:tc>
          <w:tcPr>
            <w:tcW w:w="2475" w:type="dxa"/>
            <w:vAlign w:val="center"/>
          </w:tcPr>
          <w:p w14:paraId="74E169F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3KW水泵</w:t>
            </w:r>
          </w:p>
        </w:tc>
        <w:tc>
          <w:tcPr>
            <w:tcW w:w="1886" w:type="dxa"/>
            <w:vAlign w:val="center"/>
          </w:tcPr>
          <w:p w14:paraId="50AE1A3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出水口DN50</w:t>
            </w:r>
          </w:p>
        </w:tc>
        <w:tc>
          <w:tcPr>
            <w:tcW w:w="1434" w:type="dxa"/>
            <w:shd w:val="clear" w:color="auto" w:fill="auto"/>
            <w:vAlign w:val="center"/>
          </w:tcPr>
          <w:p w14:paraId="1FADBD9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1307</w:t>
            </w:r>
          </w:p>
        </w:tc>
        <w:tc>
          <w:tcPr>
            <w:tcW w:w="1599" w:type="dxa"/>
            <w:shd w:val="clear" w:color="auto" w:fill="auto"/>
            <w:vAlign w:val="center"/>
          </w:tcPr>
          <w:p w14:paraId="408F62B3">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520</w:t>
            </w:r>
          </w:p>
        </w:tc>
        <w:tc>
          <w:tcPr>
            <w:tcW w:w="1621" w:type="dxa"/>
            <w:vAlign w:val="center"/>
          </w:tcPr>
          <w:p w14:paraId="7C7BE33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p>
        </w:tc>
      </w:tr>
      <w:tr w14:paraId="4B1FE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5" w:type="dxa"/>
            <w:vAlign w:val="center"/>
          </w:tcPr>
          <w:p w14:paraId="1E839C8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7</w:t>
            </w:r>
          </w:p>
        </w:tc>
        <w:tc>
          <w:tcPr>
            <w:tcW w:w="2475" w:type="dxa"/>
            <w:vAlign w:val="center"/>
          </w:tcPr>
          <w:p w14:paraId="30A1603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3KW水泵</w:t>
            </w:r>
          </w:p>
        </w:tc>
        <w:tc>
          <w:tcPr>
            <w:tcW w:w="1886" w:type="dxa"/>
            <w:vAlign w:val="center"/>
          </w:tcPr>
          <w:p w14:paraId="35F81CE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出水口DN80</w:t>
            </w:r>
          </w:p>
        </w:tc>
        <w:tc>
          <w:tcPr>
            <w:tcW w:w="1434" w:type="dxa"/>
            <w:shd w:val="clear" w:color="auto" w:fill="auto"/>
            <w:vAlign w:val="center"/>
          </w:tcPr>
          <w:p w14:paraId="4C9D20A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1307</w:t>
            </w:r>
          </w:p>
        </w:tc>
        <w:tc>
          <w:tcPr>
            <w:tcW w:w="1599" w:type="dxa"/>
            <w:shd w:val="clear" w:color="auto" w:fill="auto"/>
            <w:vAlign w:val="center"/>
          </w:tcPr>
          <w:p w14:paraId="63FFF370">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560</w:t>
            </w:r>
          </w:p>
        </w:tc>
        <w:tc>
          <w:tcPr>
            <w:tcW w:w="1621" w:type="dxa"/>
            <w:vAlign w:val="center"/>
          </w:tcPr>
          <w:p w14:paraId="12F8A88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p>
        </w:tc>
      </w:tr>
      <w:tr w14:paraId="48D8E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5" w:type="dxa"/>
            <w:vAlign w:val="center"/>
          </w:tcPr>
          <w:p w14:paraId="17E508A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8</w:t>
            </w:r>
          </w:p>
        </w:tc>
        <w:tc>
          <w:tcPr>
            <w:tcW w:w="2475" w:type="dxa"/>
            <w:vAlign w:val="center"/>
          </w:tcPr>
          <w:p w14:paraId="4521D5A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3KW水泵</w:t>
            </w:r>
          </w:p>
        </w:tc>
        <w:tc>
          <w:tcPr>
            <w:tcW w:w="1886" w:type="dxa"/>
            <w:vAlign w:val="center"/>
          </w:tcPr>
          <w:p w14:paraId="54CAD05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出水口DN100</w:t>
            </w:r>
          </w:p>
        </w:tc>
        <w:tc>
          <w:tcPr>
            <w:tcW w:w="1434" w:type="dxa"/>
            <w:shd w:val="clear" w:color="auto" w:fill="auto"/>
            <w:vAlign w:val="center"/>
          </w:tcPr>
          <w:p w14:paraId="0C469E4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1394</w:t>
            </w:r>
          </w:p>
        </w:tc>
        <w:tc>
          <w:tcPr>
            <w:tcW w:w="1599" w:type="dxa"/>
            <w:shd w:val="clear" w:color="auto" w:fill="auto"/>
            <w:vAlign w:val="center"/>
          </w:tcPr>
          <w:p w14:paraId="47AC7807">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590</w:t>
            </w:r>
          </w:p>
        </w:tc>
        <w:tc>
          <w:tcPr>
            <w:tcW w:w="1621" w:type="dxa"/>
            <w:vAlign w:val="center"/>
          </w:tcPr>
          <w:p w14:paraId="3E20B7A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p>
        </w:tc>
      </w:tr>
      <w:tr w14:paraId="6C597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5" w:type="dxa"/>
            <w:vAlign w:val="center"/>
          </w:tcPr>
          <w:p w14:paraId="221131B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9</w:t>
            </w:r>
          </w:p>
        </w:tc>
        <w:tc>
          <w:tcPr>
            <w:tcW w:w="2475" w:type="dxa"/>
            <w:vAlign w:val="center"/>
          </w:tcPr>
          <w:p w14:paraId="7F60E52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浮球</w:t>
            </w:r>
          </w:p>
        </w:tc>
        <w:tc>
          <w:tcPr>
            <w:tcW w:w="1886" w:type="dxa"/>
            <w:vAlign w:val="center"/>
          </w:tcPr>
          <w:p w14:paraId="324DE7B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w:t>
            </w:r>
          </w:p>
        </w:tc>
        <w:tc>
          <w:tcPr>
            <w:tcW w:w="1434" w:type="dxa"/>
            <w:shd w:val="clear" w:color="auto" w:fill="auto"/>
            <w:vAlign w:val="center"/>
          </w:tcPr>
          <w:p w14:paraId="740DF1C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87</w:t>
            </w:r>
          </w:p>
        </w:tc>
        <w:tc>
          <w:tcPr>
            <w:tcW w:w="1599" w:type="dxa"/>
            <w:shd w:val="clear" w:color="auto" w:fill="auto"/>
            <w:vAlign w:val="center"/>
          </w:tcPr>
          <w:p w14:paraId="4D713BB2">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170</w:t>
            </w:r>
          </w:p>
        </w:tc>
        <w:tc>
          <w:tcPr>
            <w:tcW w:w="1621" w:type="dxa"/>
            <w:vAlign w:val="center"/>
          </w:tcPr>
          <w:p w14:paraId="464E814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p>
        </w:tc>
      </w:tr>
      <w:tr w14:paraId="1B4CA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5" w:type="dxa"/>
            <w:vAlign w:val="center"/>
          </w:tcPr>
          <w:p w14:paraId="2EBD8FF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10</w:t>
            </w:r>
          </w:p>
        </w:tc>
        <w:tc>
          <w:tcPr>
            <w:tcW w:w="2475" w:type="dxa"/>
            <w:vAlign w:val="center"/>
          </w:tcPr>
          <w:p w14:paraId="21D6594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止回阀</w:t>
            </w:r>
          </w:p>
        </w:tc>
        <w:tc>
          <w:tcPr>
            <w:tcW w:w="1886" w:type="dxa"/>
            <w:vAlign w:val="center"/>
          </w:tcPr>
          <w:p w14:paraId="16F6C6E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出水口DN50</w:t>
            </w:r>
          </w:p>
        </w:tc>
        <w:tc>
          <w:tcPr>
            <w:tcW w:w="1434" w:type="dxa"/>
            <w:shd w:val="clear" w:color="auto" w:fill="auto"/>
            <w:vAlign w:val="center"/>
          </w:tcPr>
          <w:p w14:paraId="4B32E1A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1599" w:type="dxa"/>
            <w:shd w:val="clear" w:color="auto" w:fill="auto"/>
            <w:vAlign w:val="center"/>
          </w:tcPr>
          <w:p w14:paraId="447B1ED8">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430</w:t>
            </w:r>
          </w:p>
        </w:tc>
        <w:tc>
          <w:tcPr>
            <w:tcW w:w="1621" w:type="dxa"/>
            <w:vAlign w:val="center"/>
          </w:tcPr>
          <w:p w14:paraId="3552EB8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p>
        </w:tc>
      </w:tr>
      <w:tr w14:paraId="2CEC6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5" w:type="dxa"/>
            <w:vAlign w:val="center"/>
          </w:tcPr>
          <w:p w14:paraId="3F911EB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11</w:t>
            </w:r>
          </w:p>
        </w:tc>
        <w:tc>
          <w:tcPr>
            <w:tcW w:w="2475" w:type="dxa"/>
            <w:vAlign w:val="center"/>
          </w:tcPr>
          <w:p w14:paraId="28E81EC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止回阀</w:t>
            </w:r>
          </w:p>
        </w:tc>
        <w:tc>
          <w:tcPr>
            <w:tcW w:w="1886" w:type="dxa"/>
            <w:vAlign w:val="center"/>
          </w:tcPr>
          <w:p w14:paraId="6B7EF8E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出水口DN80</w:t>
            </w:r>
          </w:p>
        </w:tc>
        <w:tc>
          <w:tcPr>
            <w:tcW w:w="1434" w:type="dxa"/>
            <w:shd w:val="clear" w:color="auto" w:fill="auto"/>
            <w:vAlign w:val="center"/>
          </w:tcPr>
          <w:p w14:paraId="209509F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131</w:t>
            </w:r>
          </w:p>
        </w:tc>
        <w:tc>
          <w:tcPr>
            <w:tcW w:w="1599" w:type="dxa"/>
            <w:shd w:val="clear" w:color="auto" w:fill="auto"/>
            <w:vAlign w:val="center"/>
          </w:tcPr>
          <w:p w14:paraId="46B4E436">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470</w:t>
            </w:r>
          </w:p>
        </w:tc>
        <w:tc>
          <w:tcPr>
            <w:tcW w:w="1621" w:type="dxa"/>
            <w:vAlign w:val="center"/>
          </w:tcPr>
          <w:p w14:paraId="0EBFD57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p>
        </w:tc>
      </w:tr>
      <w:tr w14:paraId="3EC4E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5" w:type="dxa"/>
            <w:vAlign w:val="center"/>
          </w:tcPr>
          <w:p w14:paraId="18A04C1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12</w:t>
            </w:r>
          </w:p>
        </w:tc>
        <w:tc>
          <w:tcPr>
            <w:tcW w:w="2475" w:type="dxa"/>
            <w:vAlign w:val="center"/>
          </w:tcPr>
          <w:p w14:paraId="768ACD7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止回阀</w:t>
            </w:r>
          </w:p>
        </w:tc>
        <w:tc>
          <w:tcPr>
            <w:tcW w:w="1886" w:type="dxa"/>
            <w:vAlign w:val="center"/>
          </w:tcPr>
          <w:p w14:paraId="55913F3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出水口DN100</w:t>
            </w:r>
          </w:p>
        </w:tc>
        <w:tc>
          <w:tcPr>
            <w:tcW w:w="1434" w:type="dxa"/>
            <w:shd w:val="clear" w:color="auto" w:fill="auto"/>
            <w:vAlign w:val="center"/>
          </w:tcPr>
          <w:p w14:paraId="6C85CD3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157</w:t>
            </w:r>
          </w:p>
        </w:tc>
        <w:tc>
          <w:tcPr>
            <w:tcW w:w="1599" w:type="dxa"/>
            <w:shd w:val="clear" w:color="auto" w:fill="auto"/>
            <w:vAlign w:val="center"/>
          </w:tcPr>
          <w:p w14:paraId="22A6EDBB">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520</w:t>
            </w:r>
          </w:p>
        </w:tc>
        <w:tc>
          <w:tcPr>
            <w:tcW w:w="1621" w:type="dxa"/>
            <w:vAlign w:val="center"/>
          </w:tcPr>
          <w:p w14:paraId="364E5F7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p>
        </w:tc>
      </w:tr>
      <w:tr w14:paraId="68A95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5" w:type="dxa"/>
            <w:vAlign w:val="center"/>
          </w:tcPr>
          <w:p w14:paraId="15799A1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13</w:t>
            </w:r>
          </w:p>
        </w:tc>
        <w:tc>
          <w:tcPr>
            <w:tcW w:w="2475" w:type="dxa"/>
            <w:vAlign w:val="center"/>
          </w:tcPr>
          <w:p w14:paraId="24203A5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遥控浮球阀</w:t>
            </w:r>
          </w:p>
        </w:tc>
        <w:tc>
          <w:tcPr>
            <w:tcW w:w="1886" w:type="dxa"/>
            <w:vAlign w:val="center"/>
          </w:tcPr>
          <w:p w14:paraId="0B4011B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DN100</w:t>
            </w:r>
          </w:p>
        </w:tc>
        <w:tc>
          <w:tcPr>
            <w:tcW w:w="1434" w:type="dxa"/>
            <w:shd w:val="clear" w:color="auto" w:fill="auto"/>
            <w:vAlign w:val="center"/>
          </w:tcPr>
          <w:p w14:paraId="50C1E01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741</w:t>
            </w:r>
          </w:p>
        </w:tc>
        <w:tc>
          <w:tcPr>
            <w:tcW w:w="1599" w:type="dxa"/>
            <w:shd w:val="clear" w:color="auto" w:fill="auto"/>
            <w:vAlign w:val="center"/>
          </w:tcPr>
          <w:p w14:paraId="3DE7C9B5">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520</w:t>
            </w:r>
          </w:p>
        </w:tc>
        <w:tc>
          <w:tcPr>
            <w:tcW w:w="1621" w:type="dxa"/>
            <w:vAlign w:val="center"/>
          </w:tcPr>
          <w:p w14:paraId="6AB3328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p>
        </w:tc>
      </w:tr>
      <w:tr w14:paraId="0A981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5" w:type="dxa"/>
            <w:vAlign w:val="center"/>
          </w:tcPr>
          <w:p w14:paraId="1E84905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14</w:t>
            </w:r>
          </w:p>
        </w:tc>
        <w:tc>
          <w:tcPr>
            <w:tcW w:w="2475" w:type="dxa"/>
            <w:vAlign w:val="center"/>
          </w:tcPr>
          <w:p w14:paraId="56B912D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遥控浮球阀</w:t>
            </w:r>
          </w:p>
        </w:tc>
        <w:tc>
          <w:tcPr>
            <w:tcW w:w="1886" w:type="dxa"/>
            <w:vAlign w:val="center"/>
          </w:tcPr>
          <w:p w14:paraId="0138B47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DN150</w:t>
            </w:r>
          </w:p>
        </w:tc>
        <w:tc>
          <w:tcPr>
            <w:tcW w:w="1434" w:type="dxa"/>
            <w:shd w:val="clear" w:color="auto" w:fill="auto"/>
            <w:vAlign w:val="center"/>
          </w:tcPr>
          <w:p w14:paraId="39B0112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1133</w:t>
            </w:r>
          </w:p>
        </w:tc>
        <w:tc>
          <w:tcPr>
            <w:tcW w:w="1599" w:type="dxa"/>
            <w:shd w:val="clear" w:color="auto" w:fill="auto"/>
            <w:vAlign w:val="center"/>
          </w:tcPr>
          <w:p w14:paraId="2671A015">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690</w:t>
            </w:r>
          </w:p>
        </w:tc>
        <w:tc>
          <w:tcPr>
            <w:tcW w:w="1621" w:type="dxa"/>
            <w:vAlign w:val="center"/>
          </w:tcPr>
          <w:p w14:paraId="780ED1C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p>
        </w:tc>
      </w:tr>
      <w:tr w14:paraId="76285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5" w:type="dxa"/>
            <w:vAlign w:val="center"/>
          </w:tcPr>
          <w:p w14:paraId="507CE58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15</w:t>
            </w:r>
          </w:p>
        </w:tc>
        <w:tc>
          <w:tcPr>
            <w:tcW w:w="2475" w:type="dxa"/>
            <w:vAlign w:val="center"/>
          </w:tcPr>
          <w:p w14:paraId="7125306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控制柜</w:t>
            </w:r>
          </w:p>
        </w:tc>
        <w:tc>
          <w:tcPr>
            <w:tcW w:w="1886" w:type="dxa"/>
            <w:vAlign w:val="center"/>
          </w:tcPr>
          <w:p w14:paraId="33FB844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w:t>
            </w:r>
          </w:p>
        </w:tc>
        <w:tc>
          <w:tcPr>
            <w:tcW w:w="1434" w:type="dxa"/>
            <w:shd w:val="clear" w:color="auto" w:fill="auto"/>
            <w:vAlign w:val="center"/>
          </w:tcPr>
          <w:p w14:paraId="1BA9E97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959</w:t>
            </w:r>
          </w:p>
        </w:tc>
        <w:tc>
          <w:tcPr>
            <w:tcW w:w="1599" w:type="dxa"/>
            <w:shd w:val="clear" w:color="auto" w:fill="auto"/>
            <w:vAlign w:val="center"/>
          </w:tcPr>
          <w:p w14:paraId="5DEE7DC3">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430</w:t>
            </w:r>
          </w:p>
        </w:tc>
        <w:tc>
          <w:tcPr>
            <w:tcW w:w="1621" w:type="dxa"/>
            <w:vAlign w:val="center"/>
          </w:tcPr>
          <w:p w14:paraId="4492BDC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p>
        </w:tc>
      </w:tr>
      <w:tr w14:paraId="303EA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5" w:type="dxa"/>
            <w:vAlign w:val="center"/>
          </w:tcPr>
          <w:p w14:paraId="503B98A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16</w:t>
            </w:r>
          </w:p>
        </w:tc>
        <w:tc>
          <w:tcPr>
            <w:tcW w:w="2475" w:type="dxa"/>
            <w:vAlign w:val="center"/>
          </w:tcPr>
          <w:p w14:paraId="4F2D3A7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不锈钢截止阀门</w:t>
            </w:r>
          </w:p>
        </w:tc>
        <w:tc>
          <w:tcPr>
            <w:tcW w:w="1886" w:type="dxa"/>
            <w:vAlign w:val="center"/>
          </w:tcPr>
          <w:p w14:paraId="7EB4347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DN50</w:t>
            </w:r>
          </w:p>
        </w:tc>
        <w:tc>
          <w:tcPr>
            <w:tcW w:w="1434" w:type="dxa"/>
            <w:shd w:val="clear" w:color="auto" w:fill="auto"/>
            <w:vAlign w:val="center"/>
          </w:tcPr>
          <w:p w14:paraId="0714223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697</w:t>
            </w:r>
          </w:p>
        </w:tc>
        <w:tc>
          <w:tcPr>
            <w:tcW w:w="1599" w:type="dxa"/>
            <w:shd w:val="clear" w:color="auto" w:fill="auto"/>
            <w:vAlign w:val="center"/>
          </w:tcPr>
          <w:p w14:paraId="45471A0A">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520</w:t>
            </w:r>
          </w:p>
        </w:tc>
        <w:tc>
          <w:tcPr>
            <w:tcW w:w="1621" w:type="dxa"/>
            <w:vAlign w:val="center"/>
          </w:tcPr>
          <w:p w14:paraId="22A11C2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p>
        </w:tc>
      </w:tr>
      <w:tr w14:paraId="3AF1A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5" w:type="dxa"/>
            <w:vAlign w:val="center"/>
          </w:tcPr>
          <w:p w14:paraId="50C30F4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17</w:t>
            </w:r>
          </w:p>
        </w:tc>
        <w:tc>
          <w:tcPr>
            <w:tcW w:w="2475" w:type="dxa"/>
            <w:vAlign w:val="center"/>
          </w:tcPr>
          <w:p w14:paraId="6692D45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不锈钢截止阀门</w:t>
            </w:r>
          </w:p>
        </w:tc>
        <w:tc>
          <w:tcPr>
            <w:tcW w:w="1886" w:type="dxa"/>
            <w:vAlign w:val="center"/>
          </w:tcPr>
          <w:p w14:paraId="0ECDC50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DN75</w:t>
            </w:r>
          </w:p>
        </w:tc>
        <w:tc>
          <w:tcPr>
            <w:tcW w:w="1434" w:type="dxa"/>
            <w:shd w:val="clear" w:color="auto" w:fill="auto"/>
            <w:vAlign w:val="center"/>
          </w:tcPr>
          <w:p w14:paraId="4338303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959</w:t>
            </w:r>
          </w:p>
        </w:tc>
        <w:tc>
          <w:tcPr>
            <w:tcW w:w="1599" w:type="dxa"/>
            <w:shd w:val="clear" w:color="auto" w:fill="auto"/>
            <w:vAlign w:val="center"/>
          </w:tcPr>
          <w:p w14:paraId="20879D3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610</w:t>
            </w:r>
          </w:p>
        </w:tc>
        <w:tc>
          <w:tcPr>
            <w:tcW w:w="1621" w:type="dxa"/>
            <w:vAlign w:val="center"/>
          </w:tcPr>
          <w:p w14:paraId="52FEAE2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p>
        </w:tc>
      </w:tr>
      <w:tr w14:paraId="007EA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5" w:type="dxa"/>
            <w:vAlign w:val="center"/>
          </w:tcPr>
          <w:p w14:paraId="2904900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18</w:t>
            </w:r>
          </w:p>
        </w:tc>
        <w:tc>
          <w:tcPr>
            <w:tcW w:w="2475" w:type="dxa"/>
            <w:vAlign w:val="center"/>
          </w:tcPr>
          <w:p w14:paraId="3FC28F8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不锈钢截止阀门</w:t>
            </w:r>
          </w:p>
        </w:tc>
        <w:tc>
          <w:tcPr>
            <w:tcW w:w="1886" w:type="dxa"/>
            <w:vAlign w:val="center"/>
          </w:tcPr>
          <w:p w14:paraId="37C81D3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DN100</w:t>
            </w:r>
          </w:p>
        </w:tc>
        <w:tc>
          <w:tcPr>
            <w:tcW w:w="1434" w:type="dxa"/>
            <w:shd w:val="clear" w:color="auto" w:fill="auto"/>
            <w:vAlign w:val="center"/>
          </w:tcPr>
          <w:p w14:paraId="1575D89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1482</w:t>
            </w:r>
          </w:p>
        </w:tc>
        <w:tc>
          <w:tcPr>
            <w:tcW w:w="1599" w:type="dxa"/>
            <w:shd w:val="clear" w:color="auto" w:fill="auto"/>
            <w:vAlign w:val="center"/>
          </w:tcPr>
          <w:p w14:paraId="03CFB620">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690</w:t>
            </w:r>
          </w:p>
        </w:tc>
        <w:tc>
          <w:tcPr>
            <w:tcW w:w="1621" w:type="dxa"/>
            <w:vAlign w:val="center"/>
          </w:tcPr>
          <w:p w14:paraId="2163ED3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p>
        </w:tc>
      </w:tr>
      <w:tr w14:paraId="7ED9D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5" w:type="dxa"/>
            <w:vAlign w:val="center"/>
          </w:tcPr>
          <w:p w14:paraId="505380A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19</w:t>
            </w:r>
          </w:p>
        </w:tc>
        <w:tc>
          <w:tcPr>
            <w:tcW w:w="2475" w:type="dxa"/>
            <w:vAlign w:val="center"/>
          </w:tcPr>
          <w:p w14:paraId="6836CB0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不锈钢法兰闸阀</w:t>
            </w:r>
          </w:p>
        </w:tc>
        <w:tc>
          <w:tcPr>
            <w:tcW w:w="1886" w:type="dxa"/>
            <w:vAlign w:val="center"/>
          </w:tcPr>
          <w:p w14:paraId="044896B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DN50</w:t>
            </w:r>
          </w:p>
        </w:tc>
        <w:tc>
          <w:tcPr>
            <w:tcW w:w="1434" w:type="dxa"/>
            <w:shd w:val="clear" w:color="auto" w:fill="auto"/>
            <w:vAlign w:val="center"/>
          </w:tcPr>
          <w:p w14:paraId="54F3E66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654</w:t>
            </w:r>
          </w:p>
        </w:tc>
        <w:tc>
          <w:tcPr>
            <w:tcW w:w="1599" w:type="dxa"/>
            <w:shd w:val="clear" w:color="auto" w:fill="auto"/>
            <w:vAlign w:val="center"/>
          </w:tcPr>
          <w:p w14:paraId="16D6C68F">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520</w:t>
            </w:r>
          </w:p>
        </w:tc>
        <w:tc>
          <w:tcPr>
            <w:tcW w:w="1621" w:type="dxa"/>
            <w:vAlign w:val="center"/>
          </w:tcPr>
          <w:p w14:paraId="6C5DCB7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p>
        </w:tc>
      </w:tr>
      <w:tr w14:paraId="54849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5" w:type="dxa"/>
            <w:vAlign w:val="center"/>
          </w:tcPr>
          <w:p w14:paraId="39ABAC3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20</w:t>
            </w:r>
          </w:p>
        </w:tc>
        <w:tc>
          <w:tcPr>
            <w:tcW w:w="2475" w:type="dxa"/>
            <w:vAlign w:val="center"/>
          </w:tcPr>
          <w:p w14:paraId="6B66EFF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不锈钢法兰闸阀</w:t>
            </w:r>
          </w:p>
        </w:tc>
        <w:tc>
          <w:tcPr>
            <w:tcW w:w="1886" w:type="dxa"/>
            <w:vAlign w:val="center"/>
          </w:tcPr>
          <w:p w14:paraId="0039DE0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DN100</w:t>
            </w:r>
          </w:p>
        </w:tc>
        <w:tc>
          <w:tcPr>
            <w:tcW w:w="1434" w:type="dxa"/>
            <w:shd w:val="clear" w:color="auto" w:fill="auto"/>
            <w:vAlign w:val="center"/>
          </w:tcPr>
          <w:p w14:paraId="7D5241E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1220</w:t>
            </w:r>
          </w:p>
        </w:tc>
        <w:tc>
          <w:tcPr>
            <w:tcW w:w="1599" w:type="dxa"/>
            <w:shd w:val="clear" w:color="auto" w:fill="auto"/>
            <w:vAlign w:val="center"/>
          </w:tcPr>
          <w:p w14:paraId="44329A8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610</w:t>
            </w:r>
          </w:p>
        </w:tc>
        <w:tc>
          <w:tcPr>
            <w:tcW w:w="1621" w:type="dxa"/>
            <w:vAlign w:val="center"/>
          </w:tcPr>
          <w:p w14:paraId="17C5C4B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p>
        </w:tc>
      </w:tr>
      <w:tr w14:paraId="2106F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5" w:type="dxa"/>
            <w:vAlign w:val="center"/>
          </w:tcPr>
          <w:p w14:paraId="5995FD9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21</w:t>
            </w:r>
          </w:p>
        </w:tc>
        <w:tc>
          <w:tcPr>
            <w:tcW w:w="2475" w:type="dxa"/>
            <w:vAlign w:val="center"/>
          </w:tcPr>
          <w:p w14:paraId="5705ADF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不锈钢法兰闸阀</w:t>
            </w:r>
          </w:p>
        </w:tc>
        <w:tc>
          <w:tcPr>
            <w:tcW w:w="1886" w:type="dxa"/>
            <w:vAlign w:val="center"/>
          </w:tcPr>
          <w:p w14:paraId="1A69F4C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DN150</w:t>
            </w:r>
          </w:p>
        </w:tc>
        <w:tc>
          <w:tcPr>
            <w:tcW w:w="1434" w:type="dxa"/>
            <w:shd w:val="clear" w:color="auto" w:fill="auto"/>
            <w:vAlign w:val="center"/>
          </w:tcPr>
          <w:p w14:paraId="33C819F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2179</w:t>
            </w:r>
          </w:p>
        </w:tc>
        <w:tc>
          <w:tcPr>
            <w:tcW w:w="1599" w:type="dxa"/>
            <w:shd w:val="clear" w:color="auto" w:fill="auto"/>
            <w:vAlign w:val="center"/>
          </w:tcPr>
          <w:p w14:paraId="645863FD">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690</w:t>
            </w:r>
          </w:p>
        </w:tc>
        <w:tc>
          <w:tcPr>
            <w:tcW w:w="1621" w:type="dxa"/>
            <w:vAlign w:val="center"/>
          </w:tcPr>
          <w:p w14:paraId="15875B3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p>
        </w:tc>
      </w:tr>
      <w:tr w14:paraId="2745F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5" w:type="dxa"/>
            <w:vAlign w:val="center"/>
          </w:tcPr>
          <w:p w14:paraId="0FF7127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22</w:t>
            </w:r>
          </w:p>
        </w:tc>
        <w:tc>
          <w:tcPr>
            <w:tcW w:w="2475" w:type="dxa"/>
            <w:vAlign w:val="center"/>
          </w:tcPr>
          <w:p w14:paraId="47F2559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积水井清污保养</w:t>
            </w:r>
          </w:p>
        </w:tc>
        <w:tc>
          <w:tcPr>
            <w:tcW w:w="1886" w:type="dxa"/>
            <w:vAlign w:val="center"/>
          </w:tcPr>
          <w:p w14:paraId="3C503F5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w:t>
            </w:r>
          </w:p>
        </w:tc>
        <w:tc>
          <w:tcPr>
            <w:tcW w:w="1434" w:type="dxa"/>
            <w:shd w:val="clear" w:color="auto" w:fill="auto"/>
            <w:vAlign w:val="center"/>
          </w:tcPr>
          <w:p w14:paraId="544C2A3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w:t>
            </w:r>
          </w:p>
        </w:tc>
        <w:tc>
          <w:tcPr>
            <w:tcW w:w="1599" w:type="dxa"/>
            <w:shd w:val="clear" w:color="auto" w:fill="auto"/>
            <w:vAlign w:val="center"/>
          </w:tcPr>
          <w:p w14:paraId="38D9CA4E">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430</w:t>
            </w:r>
          </w:p>
        </w:tc>
        <w:tc>
          <w:tcPr>
            <w:tcW w:w="1621" w:type="dxa"/>
            <w:vAlign w:val="center"/>
          </w:tcPr>
          <w:p w14:paraId="447D0C9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每处积水井</w:t>
            </w:r>
          </w:p>
        </w:tc>
      </w:tr>
      <w:tr w14:paraId="655A4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trPr>
        <w:tc>
          <w:tcPr>
            <w:tcW w:w="795" w:type="dxa"/>
            <w:vAlign w:val="center"/>
          </w:tcPr>
          <w:p w14:paraId="60A3545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23</w:t>
            </w:r>
          </w:p>
        </w:tc>
        <w:tc>
          <w:tcPr>
            <w:tcW w:w="2475" w:type="dxa"/>
            <w:vAlign w:val="center"/>
          </w:tcPr>
          <w:p w14:paraId="0420CD8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水泵控制柜检修保养</w:t>
            </w:r>
          </w:p>
        </w:tc>
        <w:tc>
          <w:tcPr>
            <w:tcW w:w="1886" w:type="dxa"/>
            <w:vAlign w:val="center"/>
          </w:tcPr>
          <w:p w14:paraId="04E51A8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w:t>
            </w:r>
          </w:p>
        </w:tc>
        <w:tc>
          <w:tcPr>
            <w:tcW w:w="1434" w:type="dxa"/>
            <w:shd w:val="clear" w:color="auto" w:fill="auto"/>
            <w:vAlign w:val="center"/>
          </w:tcPr>
          <w:p w14:paraId="001BAD3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w:t>
            </w:r>
          </w:p>
        </w:tc>
        <w:tc>
          <w:tcPr>
            <w:tcW w:w="1599" w:type="dxa"/>
            <w:shd w:val="clear" w:color="auto" w:fill="auto"/>
            <w:vAlign w:val="center"/>
          </w:tcPr>
          <w:p w14:paraId="6DCB555B">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340</w:t>
            </w:r>
          </w:p>
        </w:tc>
        <w:tc>
          <w:tcPr>
            <w:tcW w:w="1621" w:type="dxa"/>
            <w:vAlign w:val="center"/>
          </w:tcPr>
          <w:p w14:paraId="4BA908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每处积水井控制柜</w:t>
            </w:r>
          </w:p>
        </w:tc>
      </w:tr>
    </w:tbl>
    <w:p w14:paraId="1E70C914">
      <w:pPr>
        <w:pStyle w:val="21"/>
        <w:spacing w:line="240" w:lineRule="auto"/>
        <w:ind w:left="0" w:leftChars="0" w:firstLine="420" w:firstLineChars="200"/>
        <w:jc w:val="both"/>
        <w:rPr>
          <w:rFonts w:hint="eastAsia" w:ascii="方正小标宋简体" w:hAnsi="方正小标宋简体" w:eastAsia="方正小标宋简体" w:cs="方正小标宋简体"/>
          <w:b w:val="0"/>
          <w:bCs w:val="0"/>
          <w:color w:val="auto"/>
          <w:sz w:val="44"/>
          <w:szCs w:val="44"/>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备注：</w:t>
      </w:r>
      <w:r>
        <w:rPr>
          <w:rFonts w:hint="eastAsia" w:ascii="宋体" w:hAnsi="宋体" w:eastAsia="宋体" w:cs="宋体"/>
          <w:sz w:val="21"/>
          <w:szCs w:val="21"/>
          <w:lang w:val="en-US" w:eastAsia="zh-CN"/>
        </w:rPr>
        <w:t>单价为含税费用，人工费用包含水泵拆卸安装所使用的附件等所有费用，医院不再承担其他任何费用。</w:t>
      </w:r>
    </w:p>
    <w:p w14:paraId="542B1FB8">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Theme="minorEastAsia" w:hAnsiTheme="minorEastAsia" w:eastAsiaTheme="minorEastAsia" w:cstheme="minorEastAsia"/>
          <w:b/>
          <w:bCs/>
          <w:i w:val="0"/>
          <w:iCs/>
          <w:color w:val="auto"/>
          <w:sz w:val="28"/>
          <w:szCs w:val="28"/>
          <w:highlight w:val="none"/>
          <w:u w:val="none"/>
          <w:lang w:val="en-US" w:eastAsia="zh-CN"/>
        </w:rPr>
      </w:pPr>
    </w:p>
    <w:p w14:paraId="106ADFC5">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heme="minorEastAsia" w:hAnsiTheme="minorEastAsia" w:eastAsiaTheme="minorEastAsia" w:cstheme="minorEastAsia"/>
          <w:b/>
          <w:bCs/>
          <w:i w:val="0"/>
          <w:iCs/>
          <w:color w:val="auto"/>
          <w:sz w:val="28"/>
          <w:szCs w:val="28"/>
          <w:highlight w:val="none"/>
          <w:u w:val="none"/>
          <w:lang w:val="en-US" w:eastAsia="zh-CN"/>
        </w:rPr>
      </w:pPr>
      <w:r>
        <w:rPr>
          <w:rFonts w:hint="eastAsia" w:asciiTheme="minorEastAsia" w:hAnsiTheme="minorEastAsia" w:eastAsiaTheme="minorEastAsia" w:cstheme="minorEastAsia"/>
          <w:b/>
          <w:bCs/>
          <w:i w:val="0"/>
          <w:iCs/>
          <w:color w:val="auto"/>
          <w:sz w:val="28"/>
          <w:szCs w:val="28"/>
          <w:highlight w:val="none"/>
          <w:u w:val="none"/>
          <w:lang w:val="en-US" w:eastAsia="zh-CN"/>
        </w:rPr>
        <w:t>五、商务要求</w:t>
      </w:r>
    </w:p>
    <w:tbl>
      <w:tblPr>
        <w:tblStyle w:val="33"/>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14:paraId="0FEC3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E0195EC">
            <w:pPr>
              <w:widowControl/>
              <w:spacing w:line="360" w:lineRule="exact"/>
              <w:jc w:val="both"/>
              <w:rPr>
                <w:rFonts w:hint="default"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lang w:val="en-US" w:eastAsia="zh-CN"/>
              </w:rPr>
              <w:t>质量要求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3329FCB0">
            <w:pPr>
              <w:keepNext w:val="0"/>
              <w:keepLines w:val="0"/>
              <w:pageBreakBefore w:val="0"/>
              <w:widowControl/>
              <w:tabs>
                <w:tab w:val="left" w:pos="840"/>
              </w:tabs>
              <w:kinsoku/>
              <w:overflowPunct/>
              <w:topLinePunct w:val="0"/>
              <w:autoSpaceDE/>
              <w:autoSpaceDN/>
              <w:bidi w:val="0"/>
              <w:snapToGrid w:val="0"/>
              <w:spacing w:line="324"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shd w:val="clear" w:color="auto" w:fill="FFFFFF"/>
              </w:rPr>
              <w:t>符合现行国家、省、市地方相关规范和标准，</w:t>
            </w:r>
            <w:r>
              <w:rPr>
                <w:rFonts w:hint="eastAsia" w:ascii="宋体" w:hAnsi="宋体" w:cs="宋体"/>
                <w:color w:val="auto"/>
                <w:szCs w:val="21"/>
                <w:highlight w:val="none"/>
                <w:shd w:val="clear" w:color="auto" w:fill="FFFFFF"/>
                <w:lang w:val="en-US" w:eastAsia="zh-CN"/>
              </w:rPr>
              <w:t>满足磋商文件</w:t>
            </w:r>
            <w:r>
              <w:rPr>
                <w:rFonts w:hint="eastAsia" w:ascii="宋体" w:hAnsi="宋体" w:eastAsia="宋体" w:cs="宋体"/>
                <w:color w:val="auto"/>
                <w:szCs w:val="21"/>
                <w:highlight w:val="none"/>
                <w:shd w:val="clear" w:color="auto" w:fill="FFFFFF"/>
              </w:rPr>
              <w:t>规定标准</w:t>
            </w:r>
          </w:p>
        </w:tc>
      </w:tr>
      <w:tr w14:paraId="15D96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701C2F15">
            <w:pPr>
              <w:widowControl/>
              <w:spacing w:line="360" w:lineRule="exact"/>
              <w:jc w:val="both"/>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服务期限</w:t>
            </w:r>
          </w:p>
        </w:tc>
        <w:tc>
          <w:tcPr>
            <w:tcW w:w="7354" w:type="dxa"/>
            <w:tcBorders>
              <w:top w:val="single" w:color="auto" w:sz="4" w:space="0"/>
              <w:left w:val="single" w:color="auto" w:sz="4" w:space="0"/>
              <w:bottom w:val="single" w:color="auto" w:sz="4" w:space="0"/>
              <w:right w:val="single" w:color="auto" w:sz="4" w:space="0"/>
            </w:tcBorders>
            <w:noWrap/>
            <w:vAlign w:val="center"/>
          </w:tcPr>
          <w:p w14:paraId="25DB0019">
            <w:pPr>
              <w:pStyle w:val="14"/>
              <w:ind w:left="0" w:leftChars="0"/>
              <w:jc w:val="left"/>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一年</w:t>
            </w:r>
          </w:p>
        </w:tc>
      </w:tr>
      <w:tr w14:paraId="66D05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89A1A7B">
            <w:pPr>
              <w:widowControl/>
              <w:spacing w:line="360" w:lineRule="exact"/>
              <w:jc w:val="both"/>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质保期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62D90186">
            <w:pPr>
              <w:pStyle w:val="14"/>
              <w:ind w:left="0" w:leftChars="0"/>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一年</w:t>
            </w:r>
          </w:p>
        </w:tc>
      </w:tr>
      <w:tr w14:paraId="5279F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2CEB21F5">
            <w:pPr>
              <w:widowControl/>
              <w:spacing w:line="360" w:lineRule="exact"/>
              <w:jc w:val="both"/>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支付方式</w:t>
            </w:r>
          </w:p>
        </w:tc>
        <w:tc>
          <w:tcPr>
            <w:tcW w:w="7354" w:type="dxa"/>
            <w:tcBorders>
              <w:top w:val="single" w:color="auto" w:sz="4" w:space="0"/>
              <w:left w:val="single" w:color="auto" w:sz="4" w:space="0"/>
              <w:bottom w:val="single" w:color="auto" w:sz="4" w:space="0"/>
              <w:right w:val="single" w:color="auto" w:sz="4" w:space="0"/>
            </w:tcBorders>
            <w:noWrap/>
            <w:vAlign w:val="center"/>
          </w:tcPr>
          <w:p w14:paraId="7E284E25">
            <w:pPr>
              <w:pStyle w:val="14"/>
              <w:ind w:left="0" w:leftChars="0"/>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经验收合格后据实结算</w:t>
            </w:r>
          </w:p>
        </w:tc>
      </w:tr>
    </w:tbl>
    <w:p w14:paraId="0A207B53">
      <w:pPr>
        <w:pStyle w:val="23"/>
        <w:rPr>
          <w:rFonts w:hint="eastAsia" w:ascii="宋体" w:hAnsi="宋体" w:eastAsia="宋体" w:cs="宋体"/>
          <w:color w:val="auto"/>
          <w:highlight w:val="none"/>
        </w:rPr>
      </w:pPr>
    </w:p>
    <w:p w14:paraId="043827F2">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heme="minorEastAsia" w:hAnsiTheme="minorEastAsia" w:eastAsiaTheme="minorEastAsia" w:cstheme="minorEastAsia"/>
          <w:b/>
          <w:bCs/>
          <w:i w:val="0"/>
          <w:iCs/>
          <w:color w:val="auto"/>
          <w:sz w:val="28"/>
          <w:szCs w:val="28"/>
          <w:highlight w:val="none"/>
          <w:u w:val="none"/>
          <w:lang w:val="en-US" w:eastAsia="zh-CN"/>
        </w:rPr>
      </w:pPr>
      <w:r>
        <w:rPr>
          <w:rFonts w:hint="eastAsia" w:asciiTheme="minorEastAsia" w:hAnsiTheme="minorEastAsia" w:eastAsiaTheme="minorEastAsia" w:cstheme="minorEastAsia"/>
          <w:b/>
          <w:bCs/>
          <w:i w:val="0"/>
          <w:iCs/>
          <w:color w:val="auto"/>
          <w:sz w:val="28"/>
          <w:szCs w:val="28"/>
          <w:highlight w:val="none"/>
          <w:u w:val="none"/>
          <w:lang w:val="en-US" w:eastAsia="zh-CN"/>
        </w:rPr>
        <w:t>六、采购人对项目的特殊要求及说明</w:t>
      </w:r>
    </w:p>
    <w:tbl>
      <w:tblPr>
        <w:tblStyle w:val="33"/>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00DBE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535ACF60">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4AC5D973">
            <w:pPr>
              <w:widowControl/>
              <w:numPr>
                <w:ilvl w:val="0"/>
                <w:numId w:val="1"/>
              </w:num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不接受联合体投标，不允许转包和分包。</w:t>
            </w:r>
          </w:p>
          <w:p w14:paraId="373F1E51">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2、授权磋商小组确定一名成交供应商并推荐</w:t>
            </w:r>
            <w:r>
              <w:rPr>
                <w:rFonts w:hint="eastAsia" w:ascii="宋体" w:hAnsi="宋体" w:cs="宋体"/>
                <w:color w:val="auto"/>
                <w:highlight w:val="none"/>
                <w:lang w:val="en-US" w:eastAsia="zh-CN"/>
              </w:rPr>
              <w:t>一</w:t>
            </w:r>
            <w:r>
              <w:rPr>
                <w:rFonts w:hint="eastAsia" w:ascii="宋体" w:hAnsi="宋体" w:eastAsia="宋体" w:cs="宋体"/>
                <w:color w:val="auto"/>
                <w:highlight w:val="none"/>
                <w:lang w:val="en-US" w:eastAsia="zh-CN"/>
              </w:rPr>
              <w:t>名成交候选供应商。</w:t>
            </w:r>
          </w:p>
          <w:p w14:paraId="06264DAC">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3、供应商应根据</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lang w:val="en-US" w:eastAsia="zh-CN"/>
              </w:rPr>
              <w:t>的要求提供技术响应部分、商务响应部分等内容以对</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lang w:val="en-US" w:eastAsia="zh-CN"/>
              </w:rPr>
              <w:t>作出响应。</w:t>
            </w:r>
          </w:p>
          <w:p w14:paraId="56290533">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r>
              <w:rPr>
                <w:rFonts w:hint="eastAsia" w:cs="Times New Roman"/>
                <w:color w:val="auto"/>
                <w:lang w:val="en-US" w:eastAsia="zh-CN"/>
              </w:rPr>
              <w:t>采购人使用成交供应商成交的技术、资料、服务或其他任何一部分时，享有无偿使用权。免受第三方提出的侵犯其专利权、著作权、商标权或其它知识产权的起诉。如果第三方提出侵权指控，成交供应商应承担由此而引起的一切法律责任和费用。</w:t>
            </w:r>
          </w:p>
        </w:tc>
      </w:tr>
    </w:tbl>
    <w:p w14:paraId="5850CAA7">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bookmarkStart w:id="35" w:name="_Toc8501"/>
      <w:r>
        <w:rPr>
          <w:rFonts w:hint="eastAsia" w:ascii="宋体" w:hAnsi="宋体" w:eastAsia="宋体" w:cs="宋体"/>
          <w:b/>
          <w:bCs/>
          <w:color w:val="auto"/>
          <w:sz w:val="32"/>
          <w:szCs w:val="32"/>
          <w:highlight w:val="none"/>
        </w:rPr>
        <w:t xml:space="preserve">第三章  </w:t>
      </w:r>
      <w:r>
        <w:rPr>
          <w:rFonts w:hint="eastAsia" w:ascii="宋体" w:hAnsi="宋体" w:eastAsia="宋体" w:cs="宋体"/>
          <w:b/>
          <w:bCs/>
          <w:color w:val="auto"/>
          <w:sz w:val="32"/>
          <w:szCs w:val="32"/>
          <w:highlight w:val="none"/>
          <w:lang w:eastAsia="zh-CN"/>
        </w:rPr>
        <w:t>供应商</w:t>
      </w:r>
      <w:r>
        <w:rPr>
          <w:rFonts w:hint="eastAsia" w:ascii="宋体" w:hAnsi="宋体" w:eastAsia="宋体" w:cs="宋体"/>
          <w:b/>
          <w:bCs/>
          <w:color w:val="auto"/>
          <w:sz w:val="32"/>
          <w:szCs w:val="32"/>
          <w:highlight w:val="none"/>
        </w:rPr>
        <w:t>须知</w:t>
      </w:r>
      <w:bookmarkEnd w:id="35"/>
    </w:p>
    <w:p w14:paraId="6CB10D3F">
      <w:pPr>
        <w:snapToGrid w:val="0"/>
        <w:spacing w:beforeLines="50" w:line="360" w:lineRule="auto"/>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须知前附表</w:t>
      </w:r>
    </w:p>
    <w:tbl>
      <w:tblPr>
        <w:tblStyle w:val="33"/>
        <w:tblW w:w="9840" w:type="dxa"/>
        <w:jc w:val="center"/>
        <w:tblLayout w:type="fixed"/>
        <w:tblCellMar>
          <w:top w:w="0" w:type="dxa"/>
          <w:left w:w="0" w:type="dxa"/>
          <w:bottom w:w="0" w:type="dxa"/>
          <w:right w:w="0" w:type="dxa"/>
        </w:tblCellMar>
      </w:tblPr>
      <w:tblGrid>
        <w:gridCol w:w="926"/>
        <w:gridCol w:w="8914"/>
      </w:tblGrid>
      <w:tr w14:paraId="7152AC17">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B1F5D00">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341175A">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内容、要求</w:t>
            </w:r>
          </w:p>
        </w:tc>
      </w:tr>
      <w:tr w14:paraId="6874865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7B2DD48">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E351CFF">
            <w:pPr>
              <w:widowControl/>
              <w:snapToGrid w:val="0"/>
              <w:spacing w:line="440" w:lineRule="exact"/>
              <w:jc w:val="left"/>
              <w:outlineLvl w:val="0"/>
              <w:rPr>
                <w:rFonts w:hint="eastAsia" w:ascii="宋体" w:hAnsi="宋体" w:eastAsia="宋体" w:cs="宋体"/>
                <w:color w:val="auto"/>
                <w:highlight w:val="none"/>
                <w:lang w:val="en-US"/>
              </w:rPr>
            </w:pPr>
            <w:bookmarkStart w:id="36" w:name="_Toc30169"/>
            <w:bookmarkStart w:id="37" w:name="_Toc27817"/>
            <w:bookmarkStart w:id="38" w:name="_Toc9566"/>
            <w:r>
              <w:rPr>
                <w:rFonts w:hint="eastAsia" w:ascii="宋体" w:hAnsi="宋体" w:eastAsia="宋体" w:cs="宋体"/>
                <w:color w:val="auto"/>
                <w:highlight w:val="none"/>
              </w:rPr>
              <w:t>1.1项目名称：</w:t>
            </w:r>
            <w:bookmarkEnd w:id="36"/>
            <w:bookmarkEnd w:id="37"/>
            <w:bookmarkEnd w:id="38"/>
            <w:r>
              <w:rPr>
                <w:rFonts w:hint="eastAsia" w:ascii="宋体" w:hAnsi="宋体" w:cs="宋体"/>
                <w:color w:val="auto"/>
                <w:highlight w:val="none"/>
                <w:lang w:val="en-US" w:eastAsia="zh-CN"/>
              </w:rPr>
              <w:t>全院水泵维修更换及保养</w:t>
            </w:r>
          </w:p>
          <w:p w14:paraId="710A5111">
            <w:pPr>
              <w:widowControl/>
              <w:snapToGrid w:val="0"/>
              <w:spacing w:line="440" w:lineRule="exact"/>
              <w:jc w:val="left"/>
              <w:outlineLvl w:val="0"/>
              <w:rPr>
                <w:rFonts w:hint="eastAsia" w:ascii="宋体" w:hAnsi="宋体" w:eastAsia="宋体" w:cs="宋体"/>
                <w:color w:val="auto"/>
                <w:highlight w:val="none"/>
              </w:rPr>
            </w:pPr>
            <w:bookmarkStart w:id="39" w:name="_Toc29400"/>
            <w:bookmarkStart w:id="40" w:name="_Toc28320"/>
            <w:bookmarkStart w:id="41" w:name="_Toc23424"/>
            <w:r>
              <w:rPr>
                <w:rFonts w:hint="eastAsia" w:ascii="宋体" w:hAnsi="宋体" w:eastAsia="宋体" w:cs="宋体"/>
                <w:color w:val="auto"/>
                <w:highlight w:val="none"/>
              </w:rPr>
              <w:t>1.2采购人名称：</w:t>
            </w:r>
            <w:bookmarkEnd w:id="39"/>
            <w:bookmarkEnd w:id="40"/>
            <w:bookmarkEnd w:id="41"/>
            <w:r>
              <w:rPr>
                <w:rFonts w:hint="eastAsia" w:ascii="宋体" w:hAnsi="宋体" w:eastAsia="宋体" w:cs="宋体"/>
                <w:color w:val="auto"/>
                <w:highlight w:val="none"/>
              </w:rPr>
              <w:t>驻马店市中心医院</w:t>
            </w:r>
          </w:p>
          <w:p w14:paraId="0043921C">
            <w:pPr>
              <w:widowControl/>
              <w:snapToGrid w:val="0"/>
              <w:spacing w:line="440" w:lineRule="exact"/>
              <w:jc w:val="left"/>
              <w:outlineLvl w:val="0"/>
              <w:rPr>
                <w:rFonts w:hint="eastAsia" w:ascii="宋体" w:hAnsi="宋体" w:eastAsia="宋体" w:cs="宋体"/>
                <w:color w:val="auto"/>
                <w:kern w:val="2"/>
                <w:sz w:val="21"/>
                <w:szCs w:val="24"/>
                <w:highlight w:val="none"/>
                <w:lang w:val="en-US" w:eastAsia="zh-CN" w:bidi="ar-SA"/>
              </w:rPr>
            </w:pPr>
            <w:bookmarkStart w:id="42" w:name="_Toc26199"/>
            <w:bookmarkStart w:id="43" w:name="_Toc3148"/>
            <w:bookmarkStart w:id="44" w:name="_Toc24541"/>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采购范围：详</w:t>
            </w:r>
            <w:r>
              <w:rPr>
                <w:rFonts w:hint="eastAsia" w:ascii="宋体" w:hAnsi="宋体" w:eastAsia="宋体" w:cs="宋体"/>
                <w:color w:val="auto"/>
                <w:highlight w:val="none"/>
                <w:lang w:val="en-US" w:eastAsia="zh-CN"/>
              </w:rPr>
              <w:t>见第二章采购</w:t>
            </w:r>
            <w:r>
              <w:rPr>
                <w:rFonts w:hint="eastAsia" w:ascii="宋体" w:hAnsi="宋体" w:eastAsia="宋体" w:cs="宋体"/>
                <w:color w:val="auto"/>
                <w:highlight w:val="none"/>
              </w:rPr>
              <w:t>需求</w:t>
            </w:r>
            <w:bookmarkEnd w:id="42"/>
            <w:bookmarkEnd w:id="43"/>
            <w:bookmarkEnd w:id="44"/>
          </w:p>
        </w:tc>
      </w:tr>
      <w:tr w14:paraId="1A0A6AC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3B86117">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29F9D1B">
            <w:pPr>
              <w:widowControl/>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合格</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公告第二项规定的条件。</w:t>
            </w:r>
          </w:p>
        </w:tc>
      </w:tr>
      <w:tr w14:paraId="165CED55">
        <w:tblPrEx>
          <w:tblCellMar>
            <w:top w:w="0" w:type="dxa"/>
            <w:left w:w="0" w:type="dxa"/>
            <w:bottom w:w="0" w:type="dxa"/>
            <w:right w:w="0" w:type="dxa"/>
          </w:tblCellMar>
        </w:tblPrEx>
        <w:trPr>
          <w:trHeight w:val="181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4AD2E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F12ABCE">
            <w:pPr>
              <w:widowControl/>
              <w:snapToGrid w:val="0"/>
              <w:spacing w:line="440" w:lineRule="exact"/>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采购预算：</w:t>
            </w:r>
            <w:r>
              <w:rPr>
                <w:rFonts w:hint="eastAsia" w:ascii="宋体" w:hAnsi="宋体" w:eastAsia="宋体" w:cs="宋体"/>
                <w:color w:val="auto"/>
                <w:kern w:val="0"/>
                <w:szCs w:val="21"/>
                <w:highlight w:val="none"/>
                <w:lang w:val="en-US" w:eastAsia="zh-CN"/>
              </w:rPr>
              <w:t>10万元</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最高投标限价</w:t>
            </w:r>
            <w:r>
              <w:rPr>
                <w:rFonts w:hint="eastAsia" w:ascii="宋体" w:hAnsi="宋体" w:eastAsia="宋体" w:cs="宋体"/>
                <w:color w:val="auto"/>
                <w:kern w:val="0"/>
                <w:szCs w:val="21"/>
                <w:highlight w:val="none"/>
                <w:lang w:val="en-US" w:eastAsia="zh-CN"/>
              </w:rPr>
              <w:t>:  10万元。</w:t>
            </w:r>
          </w:p>
          <w:p w14:paraId="48644981">
            <w:pPr>
              <w:widowControl/>
              <w:snapToGrid w:val="0"/>
              <w:spacing w:line="440" w:lineRule="exact"/>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 xml:space="preserve">3.1 </w:t>
            </w:r>
            <w:r>
              <w:rPr>
                <w:rFonts w:hint="eastAsia" w:ascii="宋体" w:hAnsi="宋体" w:eastAsia="宋体" w:cs="宋体"/>
                <w:color w:val="auto"/>
                <w:kern w:val="0"/>
                <w:szCs w:val="21"/>
                <w:highlight w:val="none"/>
                <w:lang w:val="en-US" w:eastAsia="zh-CN"/>
              </w:rPr>
              <w:t>水泵和人工费报价要求。。</w:t>
            </w:r>
          </w:p>
          <w:p w14:paraId="65370E93">
            <w:pPr>
              <w:widowControl/>
              <w:snapToGrid w:val="0"/>
              <w:spacing w:line="440" w:lineRule="exact"/>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供应商</w:t>
            </w:r>
            <w:r>
              <w:rPr>
                <w:rFonts w:hint="eastAsia" w:ascii="宋体" w:hAnsi="宋体" w:cs="宋体"/>
                <w:color w:val="auto"/>
                <w:kern w:val="0"/>
                <w:szCs w:val="21"/>
                <w:highlight w:val="none"/>
                <w:lang w:val="en-US" w:eastAsia="zh-CN"/>
              </w:rPr>
              <w:t>的</w:t>
            </w:r>
            <w:r>
              <w:rPr>
                <w:rFonts w:hint="eastAsia" w:ascii="宋体" w:hAnsi="宋体" w:eastAsia="宋体" w:cs="宋体"/>
                <w:color w:val="auto"/>
                <w:kern w:val="0"/>
                <w:szCs w:val="21"/>
                <w:highlight w:val="none"/>
                <w:lang w:val="en-US" w:eastAsia="zh-CN"/>
              </w:rPr>
              <w:t>投标报价以采购文件“第二章采购需求附件1常见水泵维修更换及保养清单”为基准价格，</w:t>
            </w:r>
            <w:r>
              <w:rPr>
                <w:rFonts w:hint="eastAsia" w:ascii="宋体" w:hAnsi="宋体" w:cs="宋体"/>
                <w:color w:val="auto"/>
                <w:kern w:val="0"/>
                <w:szCs w:val="21"/>
                <w:highlight w:val="none"/>
                <w:lang w:val="en-US" w:eastAsia="zh-CN"/>
              </w:rPr>
              <w:t>分别</w:t>
            </w:r>
            <w:r>
              <w:rPr>
                <w:rFonts w:hint="eastAsia" w:ascii="宋体" w:hAnsi="宋体" w:eastAsia="宋体" w:cs="宋体"/>
                <w:color w:val="auto"/>
                <w:kern w:val="0"/>
                <w:szCs w:val="21"/>
                <w:highlight w:val="none"/>
                <w:lang w:val="en-US" w:eastAsia="zh-CN"/>
              </w:rPr>
              <w:t>报出综合折扣率。供应商所报</w:t>
            </w:r>
            <w:r>
              <w:rPr>
                <w:rFonts w:hint="eastAsia" w:ascii="宋体" w:hAnsi="宋体" w:cs="宋体"/>
                <w:color w:val="auto"/>
                <w:kern w:val="0"/>
                <w:szCs w:val="21"/>
                <w:highlight w:val="none"/>
                <w:lang w:val="en-US" w:eastAsia="zh-CN"/>
              </w:rPr>
              <w:t>水泵</w:t>
            </w:r>
            <w:r>
              <w:rPr>
                <w:rFonts w:hint="eastAsia" w:ascii="宋体" w:hAnsi="宋体" w:eastAsia="宋体" w:cs="宋体"/>
                <w:color w:val="auto"/>
                <w:kern w:val="0"/>
                <w:szCs w:val="21"/>
                <w:highlight w:val="none"/>
                <w:lang w:val="en-US" w:eastAsia="zh-CN"/>
              </w:rPr>
              <w:t>和人工费综合折扣率不得大于100%，否则将被作为无效响应。。</w:t>
            </w:r>
          </w:p>
          <w:p w14:paraId="7AFDFAB9">
            <w:pPr>
              <w:widowControl/>
              <w:snapToGrid w:val="0"/>
              <w:spacing w:line="440" w:lineRule="exact"/>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水泵和人工费合同价格计算方法:各单项</w:t>
            </w:r>
            <w:r>
              <w:rPr>
                <w:rFonts w:hint="eastAsia" w:ascii="宋体" w:hAnsi="宋体" w:cs="宋体"/>
                <w:color w:val="auto"/>
                <w:kern w:val="0"/>
                <w:szCs w:val="21"/>
                <w:highlight w:val="none"/>
                <w:lang w:val="en-US" w:eastAsia="zh-CN"/>
              </w:rPr>
              <w:t>水泵</w:t>
            </w:r>
            <w:r>
              <w:rPr>
                <w:rFonts w:hint="eastAsia" w:ascii="宋体" w:hAnsi="宋体" w:eastAsia="宋体" w:cs="宋体"/>
                <w:color w:val="auto"/>
                <w:kern w:val="0"/>
                <w:szCs w:val="21"/>
                <w:highlight w:val="none"/>
                <w:lang w:val="en-US" w:eastAsia="zh-CN"/>
              </w:rPr>
              <w:t>合同价格=水泵维修更换及保养清单对应的综合单价价格</w:t>
            </w:r>
            <w:r>
              <w:rPr>
                <w:rFonts w:hint="eastAsia" w:ascii="宋体" w:hAnsi="宋体" w:cs="宋体"/>
                <w:color w:val="auto"/>
                <w:kern w:val="0"/>
                <w:szCs w:val="21"/>
                <w:highlight w:val="none"/>
                <w:lang w:val="en-US" w:eastAsia="zh-CN"/>
              </w:rPr>
              <w:t>×</w:t>
            </w:r>
            <w:r>
              <w:rPr>
                <w:rFonts w:hint="eastAsia" w:ascii="宋体" w:hAnsi="宋体" w:eastAsia="宋体" w:cs="宋体"/>
                <w:color w:val="auto"/>
                <w:kern w:val="0"/>
                <w:szCs w:val="21"/>
                <w:highlight w:val="none"/>
                <w:lang w:val="en-US" w:eastAsia="zh-CN"/>
              </w:rPr>
              <w:t>综合折扣率。举例如:综合折扣率报价为90%，水泵维修更换及保养清单序号1“1.5KW水泵”综合单价价格为566元，则其合同价格为566元×90%=509.40元(四舍五入保留两位小数)，</w:t>
            </w:r>
            <w:r>
              <w:rPr>
                <w:rFonts w:hint="eastAsia" w:ascii="宋体" w:hAnsi="宋体" w:cs="宋体"/>
                <w:color w:val="auto"/>
                <w:kern w:val="0"/>
                <w:szCs w:val="21"/>
                <w:highlight w:val="none"/>
                <w:lang w:val="en-US" w:eastAsia="zh-CN"/>
              </w:rPr>
              <w:t>人工费</w:t>
            </w:r>
            <w:r>
              <w:rPr>
                <w:rFonts w:hint="eastAsia" w:ascii="宋体" w:hAnsi="宋体" w:eastAsia="宋体" w:cs="宋体"/>
                <w:color w:val="auto"/>
                <w:kern w:val="0"/>
                <w:szCs w:val="21"/>
                <w:highlight w:val="none"/>
                <w:lang w:val="en-US" w:eastAsia="zh-CN"/>
              </w:rPr>
              <w:t>以此类推。</w:t>
            </w:r>
          </w:p>
          <w:p w14:paraId="25F0BC31">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 供应商的报价超过采购预算，采购人不能支付的，按废标处理。</w:t>
            </w:r>
          </w:p>
          <w:p w14:paraId="2834DD74">
            <w:pPr>
              <w:widowControl/>
              <w:snapToGrid w:val="0"/>
              <w:spacing w:line="440" w:lineRule="exact"/>
              <w:jc w:val="left"/>
              <w:rPr>
                <w:rFonts w:hint="eastAsia" w:ascii="宋体" w:hAnsi="宋体" w:cs="宋体"/>
                <w:color w:val="auto"/>
                <w:kern w:val="0"/>
                <w:szCs w:val="21"/>
                <w:highlight w:val="none"/>
                <w:lang w:val="en-US" w:eastAsia="zh-CN"/>
              </w:rPr>
            </w:pPr>
            <w:r>
              <w:rPr>
                <w:rFonts w:hint="eastAsia" w:ascii="宋体" w:hAnsi="宋体" w:eastAsia="宋体" w:cs="宋体"/>
                <w:color w:val="auto"/>
                <w:kern w:val="0"/>
                <w:szCs w:val="21"/>
                <w:highlight w:val="none"/>
              </w:rPr>
              <w:t>3.3 本项目</w:t>
            </w:r>
            <w:r>
              <w:rPr>
                <w:rFonts w:hint="eastAsia" w:ascii="宋体" w:hAnsi="宋体" w:eastAsia="宋体" w:cs="宋体"/>
                <w:color w:val="auto"/>
                <w:kern w:val="0"/>
                <w:szCs w:val="21"/>
                <w:highlight w:val="none"/>
                <w:lang w:val="en-US" w:eastAsia="zh-CN"/>
              </w:rPr>
              <w:t>由成交供应商缴纳</w:t>
            </w:r>
            <w:r>
              <w:rPr>
                <w:rFonts w:hint="eastAsia" w:ascii="宋体" w:hAnsi="宋体" w:eastAsia="宋体" w:cs="宋体"/>
                <w:color w:val="auto"/>
                <w:kern w:val="0"/>
                <w:szCs w:val="21"/>
                <w:highlight w:val="none"/>
              </w:rPr>
              <w:t>招标代理服务费。</w:t>
            </w:r>
            <w:r>
              <w:rPr>
                <w:rFonts w:hint="eastAsia" w:ascii="宋体" w:hAnsi="宋体" w:cs="宋体"/>
                <w:color w:val="auto"/>
                <w:kern w:val="0"/>
                <w:szCs w:val="21"/>
                <w:highlight w:val="none"/>
                <w:lang w:val="en-US" w:eastAsia="zh-CN"/>
              </w:rPr>
              <w:t>代理服务费不得高于《招代理机构服务管理暂行办法》（计价格[2002]1980号）相应标准：</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1605"/>
              <w:gridCol w:w="1560"/>
              <w:gridCol w:w="1380"/>
            </w:tblGrid>
            <w:tr w14:paraId="59D4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559" w:type="dxa"/>
                  <mc:AlternateContent>
                    <mc:Choice Requires="wpsCustomData">
                      <wpsCustomData:diagonals>
                        <wpsCustomData:diagonal from="10000" to="30000">
                          <wpsCustomData:border w:val="single" w:color="auto" w:sz="4" w:space="0"/>
                        </wpsCustomData:diagonal>
                      </wpsCustomData:diagonals>
                    </mc:Choice>
                  </mc:AlternateContent>
                </w:tcPr>
                <w:p w14:paraId="4F740B48">
                  <w:pPr>
                    <w:widowControl/>
                    <w:snapToGrid w:val="0"/>
                    <w:spacing w:line="240" w:lineRule="auto"/>
                    <w:jc w:val="both"/>
                    <mc:AlternateContent>
                      <mc:Choice Requires="wpsCustomData">
                        <wpsCustomData:diagonalParaType/>
                      </mc:Choice>
                    </mc:AlternateContent>
                    <w:rPr>
                      <w:rFonts w:hint="default" w:ascii="宋体" w:hAnsi="宋体" w:cs="宋体"/>
                      <w:b/>
                      <w:bCs/>
                      <w:color w:val="auto"/>
                      <w:kern w:val="0"/>
                      <w:szCs w:val="21"/>
                      <w:highlight w:val="none"/>
                      <w:vertAlign w:val="baseline"/>
                      <w:lang w:val="en-US" w:eastAsia="zh-CN"/>
                    </w:rPr>
                  </w:pPr>
                  <w:r>
                    <w:rPr>
                      <w:b/>
                      <w:bCs/>
                      <w:sz w:val="21"/>
                    </w:rPr>
                    <mc:AlternateContent>
                      <mc:Choice Requires="wps">
                        <w:drawing>
                          <wp:anchor distT="0" distB="0" distL="114300" distR="114300" simplePos="0" relativeHeight="251660288" behindDoc="0" locked="0" layoutInCell="1" allowOverlap="1">
                            <wp:simplePos x="0" y="0"/>
                            <wp:positionH relativeFrom="column">
                              <wp:posOffset>288925</wp:posOffset>
                            </wp:positionH>
                            <wp:positionV relativeFrom="paragraph">
                              <wp:posOffset>381635</wp:posOffset>
                            </wp:positionV>
                            <wp:extent cx="846455" cy="285750"/>
                            <wp:effectExtent l="0" t="0" r="10795" b="0"/>
                            <wp:wrapNone/>
                            <wp:docPr id="4" name="文本框 4"/>
                            <wp:cNvGraphicFramePr/>
                            <a:graphic xmlns:a="http://schemas.openxmlformats.org/drawingml/2006/main">
                              <a:graphicData uri="http://schemas.microsoft.com/office/word/2010/wordprocessingShape">
                                <wps:wsp>
                                  <wps:cNvSpPr txBox="1"/>
                                  <wps:spPr>
                                    <a:xfrm>
                                      <a:off x="1397000" y="5120640"/>
                                      <a:ext cx="846455"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77D337A">
                                        <w:pPr>
                                          <w:rPr>
                                            <w:rFonts w:hint="default" w:eastAsia="宋体"/>
                                            <w:b/>
                                            <w:bCs/>
                                            <w:lang w:val="en-US" w:eastAsia="zh-CN"/>
                                          </w:rPr>
                                        </w:pPr>
                                        <w:r>
                                          <w:rPr>
                                            <w:rFonts w:hint="eastAsia"/>
                                            <w:b/>
                                            <w:bCs/>
                                            <w:lang w:val="en-US" w:eastAsia="zh-CN"/>
                                          </w:rPr>
                                          <w:t>中标金额</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75pt;margin-top:30.05pt;height:22.5pt;width:66.65pt;z-index:251660288;mso-width-relative:page;mso-height-relative:page;" fillcolor="#FFFFFF [3201]" filled="t" stroked="f" coordsize="21600,21600" o:gfxdata="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Yp5Wq1AAA&#10;AAkBAAAPAAAAAAAAAAEAIAAAACIAAABkcnMvZG93bnJldi54bWxQSwECFAAUAAAACACHTuJA3iYh&#10;e1sCAACaBAAADgAAAAAAAAABACAAAAAjAQAAZHJzL2Uyb0RvYy54bWxQSwUGAAAAAAYABgBZAQAA&#10;8AUAAAAA&#10;">
                            <v:fill on="t" focussize="0,0"/>
                            <v:stroke on="f" weight="0.5pt"/>
                            <v:imagedata o:title=""/>
                            <o:lock v:ext="edit" aspectratio="f"/>
                            <v:textbox>
                              <w:txbxContent>
                                <w:p w14:paraId="677D337A">
                                  <w:pPr>
                                    <w:rPr>
                                      <w:rFonts w:hint="default" w:eastAsia="宋体"/>
                                      <w:b/>
                                      <w:bCs/>
                                      <w:lang w:val="en-US" w:eastAsia="zh-CN"/>
                                    </w:rPr>
                                  </w:pPr>
                                  <w:r>
                                    <w:rPr>
                                      <w:rFonts w:hint="eastAsia"/>
                                      <w:b/>
                                      <w:bCs/>
                                      <w:lang w:val="en-US" w:eastAsia="zh-CN"/>
                                    </w:rPr>
                                    <w:t>中标金额</w:t>
                                  </w:r>
                                </w:p>
                              </w:txbxContent>
                            </v:textbox>
                          </v:shape>
                        </w:pict>
                      </mc:Fallback>
                    </mc:AlternateContent>
                  </w:r>
                </w:p>
                <w:p w14:paraId="6CE85D4B">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p>
              </w:tc>
              <w:tc>
                <w:tcPr>
                  <w:tcW w:w="1605" w:type="dxa"/>
                  <w:vAlign w:val="center"/>
                </w:tcPr>
                <w:p w14:paraId="1BA1962A">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货物招标</w:t>
                  </w:r>
                </w:p>
              </w:tc>
              <w:tc>
                <w:tcPr>
                  <w:tcW w:w="1560" w:type="dxa"/>
                  <w:vAlign w:val="center"/>
                </w:tcPr>
                <w:p w14:paraId="5BE93A16">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服务招标</w:t>
                  </w:r>
                </w:p>
              </w:tc>
              <w:tc>
                <w:tcPr>
                  <w:tcW w:w="1380" w:type="dxa"/>
                  <w:vAlign w:val="center"/>
                </w:tcPr>
                <w:p w14:paraId="3ECB263F">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工程招标</w:t>
                  </w:r>
                </w:p>
              </w:tc>
            </w:tr>
            <w:tr w14:paraId="626EC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3559" w:type="dxa"/>
                  <w:vAlign w:val="center"/>
                </w:tcPr>
                <w:p w14:paraId="0EF43D2E">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100万元以下</w:t>
                  </w:r>
                </w:p>
              </w:tc>
              <w:tc>
                <w:tcPr>
                  <w:tcW w:w="1605" w:type="dxa"/>
                  <w:vAlign w:val="center"/>
                </w:tcPr>
                <w:p w14:paraId="0F8F8092">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560" w:type="dxa"/>
                  <w:vAlign w:val="center"/>
                </w:tcPr>
                <w:p w14:paraId="64DFB595">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380" w:type="dxa"/>
                  <w:vAlign w:val="center"/>
                </w:tcPr>
                <w:p w14:paraId="6E9F31B9">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w:t>
                  </w:r>
                </w:p>
              </w:tc>
            </w:tr>
          </w:tbl>
          <w:p w14:paraId="382F1884">
            <w:pPr>
              <w:widowControl/>
              <w:snapToGrid w:val="0"/>
              <w:spacing w:line="440" w:lineRule="exact"/>
              <w:jc w:val="left"/>
              <w:rPr>
                <w:rFonts w:hint="eastAsia" w:ascii="宋体" w:hAnsi="宋体" w:eastAsia="宋体" w:cs="宋体"/>
                <w:color w:val="auto"/>
                <w:kern w:val="0"/>
                <w:szCs w:val="21"/>
                <w:highlight w:val="none"/>
              </w:rPr>
            </w:pPr>
          </w:p>
        </w:tc>
      </w:tr>
      <w:tr w14:paraId="3EE741B2">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1B12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9E33BBE">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现场踏勘或标前答疑：本项目不组织现场踏勘或标前答疑会。</w:t>
            </w:r>
          </w:p>
        </w:tc>
      </w:tr>
      <w:tr w14:paraId="143D1BA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9A5FFD2">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2F7215E">
            <w:pPr>
              <w:widowControl/>
              <w:snapToGrid w:val="0"/>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文件组成：纸质</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文件正本1份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副本2份</w:t>
            </w:r>
            <w:r>
              <w:rPr>
                <w:rFonts w:hint="eastAsia" w:ascii="宋体" w:hAnsi="宋体" w:eastAsia="宋体" w:cs="宋体"/>
                <w:color w:val="auto"/>
                <w:highlight w:val="none"/>
              </w:rPr>
              <w:t>。</w:t>
            </w:r>
          </w:p>
        </w:tc>
      </w:tr>
      <w:tr w14:paraId="752FAAC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CD2BA7A">
            <w:pPr>
              <w:widowControl/>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6A15F0A">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lang w:val="en-US" w:eastAsia="zh-CN"/>
              </w:rPr>
              <w:t>及开标时间</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p>
          <w:p w14:paraId="2952A193">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文件递交地点</w:t>
            </w:r>
            <w:r>
              <w:rPr>
                <w:rFonts w:hint="eastAsia" w:ascii="宋体" w:hAnsi="宋体" w:eastAsia="宋体" w:cs="宋体"/>
                <w:color w:val="auto"/>
                <w:kern w:val="0"/>
                <w:szCs w:val="21"/>
                <w:highlight w:val="none"/>
                <w:lang w:val="en-US" w:eastAsia="zh-CN"/>
              </w:rPr>
              <w:t>及开标地点</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r>
              <w:rPr>
                <w:rFonts w:hint="eastAsia" w:ascii="宋体" w:hAnsi="宋体" w:eastAsia="宋体" w:cs="宋体"/>
                <w:color w:val="auto"/>
                <w:kern w:val="0"/>
                <w:szCs w:val="21"/>
                <w:highlight w:val="none"/>
              </w:rPr>
              <w:t>。</w:t>
            </w:r>
          </w:p>
        </w:tc>
      </w:tr>
      <w:tr w14:paraId="5E101D7D">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3FC9EA6">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AB1A79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w:t>
            </w:r>
            <w:r>
              <w:rPr>
                <w:rFonts w:hint="eastAsia" w:ascii="宋体" w:hAnsi="宋体" w:eastAsia="宋体" w:cs="宋体"/>
                <w:color w:val="auto"/>
                <w:kern w:val="0"/>
                <w:szCs w:val="21"/>
                <w:highlight w:val="none"/>
              </w:rPr>
              <w:t>员：</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rPr>
              <w:t>人</w:t>
            </w:r>
            <w:r>
              <w:rPr>
                <w:rFonts w:hint="eastAsia" w:ascii="宋体" w:hAnsi="宋体" w:eastAsia="宋体" w:cs="宋体"/>
                <w:color w:val="auto"/>
                <w:highlight w:val="none"/>
                <w:lang w:val="en-US" w:eastAsia="zh-CN"/>
              </w:rPr>
              <w:t>及以上单数</w:t>
            </w:r>
            <w:r>
              <w:rPr>
                <w:rFonts w:hint="eastAsia" w:ascii="宋体" w:hAnsi="宋体" w:eastAsia="宋体" w:cs="宋体"/>
                <w:color w:val="auto"/>
                <w:kern w:val="0"/>
                <w:szCs w:val="21"/>
                <w:highlight w:val="none"/>
              </w:rPr>
              <w:t>。</w:t>
            </w:r>
          </w:p>
          <w:p w14:paraId="7255D3CB">
            <w:pPr>
              <w:widowControl/>
              <w:spacing w:line="460" w:lineRule="atLeas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zCs w:val="21"/>
                <w:highlight w:val="none"/>
              </w:rPr>
              <w:t>专家确定</w:t>
            </w:r>
            <w:r>
              <w:rPr>
                <w:rFonts w:hint="eastAsia" w:ascii="宋体" w:hAnsi="宋体" w:eastAsia="宋体" w:cs="宋体"/>
                <w:color w:val="auto"/>
                <w:kern w:val="0"/>
                <w:szCs w:val="21"/>
                <w:highlight w:val="none"/>
              </w:rPr>
              <w:t>方式：由评审专家、采购人代表</w:t>
            </w:r>
            <w:r>
              <w:rPr>
                <w:rFonts w:hint="eastAsia" w:ascii="宋体" w:hAnsi="宋体" w:eastAsia="宋体" w:cs="宋体"/>
                <w:color w:val="auto"/>
                <w:kern w:val="0"/>
                <w:szCs w:val="21"/>
                <w:highlight w:val="none"/>
                <w:lang w:val="en-US" w:eastAsia="zh-CN"/>
              </w:rPr>
              <w:t>组成</w:t>
            </w:r>
          </w:p>
        </w:tc>
      </w:tr>
      <w:tr w14:paraId="0A1264A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DCE24EC">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57DBE17">
            <w:pPr>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评标办法：</w:t>
            </w:r>
            <w:r>
              <w:rPr>
                <w:rFonts w:hint="eastAsia" w:ascii="宋体" w:hAnsi="宋体" w:eastAsia="宋体" w:cs="宋体"/>
                <w:color w:val="auto"/>
                <w:kern w:val="0"/>
                <w:szCs w:val="21"/>
                <w:highlight w:val="none"/>
              </w:rPr>
              <w:t>本项目采用</w:t>
            </w:r>
            <w:r>
              <w:rPr>
                <w:rFonts w:hint="eastAsia" w:ascii="宋体" w:hAnsi="宋体" w:eastAsia="宋体" w:cs="宋体"/>
                <w:color w:val="auto"/>
                <w:szCs w:val="21"/>
                <w:highlight w:val="none"/>
              </w:rPr>
              <w:t>综合评分法</w:t>
            </w:r>
            <w:r>
              <w:rPr>
                <w:rFonts w:hint="eastAsia" w:ascii="宋体" w:hAnsi="宋体" w:eastAsia="宋体" w:cs="宋体"/>
                <w:color w:val="auto"/>
                <w:kern w:val="0"/>
                <w:szCs w:val="21"/>
                <w:highlight w:val="none"/>
              </w:rPr>
              <w:t>。</w:t>
            </w:r>
          </w:p>
        </w:tc>
      </w:tr>
      <w:tr w14:paraId="12DC500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C16E6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6305EFB">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公告及</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通知书：由采购人授权磋商小组确定一名</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并推荐</w:t>
            </w:r>
            <w:r>
              <w:rPr>
                <w:rFonts w:hint="eastAsia" w:ascii="宋体" w:hAnsi="宋体" w:cs="宋体"/>
                <w:color w:val="auto"/>
                <w:kern w:val="0"/>
                <w:szCs w:val="21"/>
                <w:highlight w:val="none"/>
                <w:lang w:val="en-US" w:eastAsia="zh-CN"/>
              </w:rPr>
              <w:t>一</w:t>
            </w:r>
            <w:r>
              <w:rPr>
                <w:rFonts w:hint="eastAsia" w:ascii="宋体" w:hAnsi="宋体" w:eastAsia="宋体" w:cs="宋体"/>
                <w:color w:val="auto"/>
                <w:kern w:val="0"/>
                <w:szCs w:val="21"/>
                <w:highlight w:val="none"/>
              </w:rPr>
              <w:t>名</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。评审结束后在《驻马店市中心医院》官网上发布成交公告，公示期结束后向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发出成交通知书。</w:t>
            </w:r>
          </w:p>
        </w:tc>
      </w:tr>
      <w:tr w14:paraId="3BF8FBD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3462E95">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36C95F">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w:t>
            </w:r>
            <w:r>
              <w:rPr>
                <w:rFonts w:hint="eastAsia" w:ascii="宋体" w:hAnsi="宋体" w:eastAsia="宋体" w:cs="宋体"/>
                <w:color w:val="auto"/>
                <w:kern w:val="0"/>
                <w:szCs w:val="21"/>
                <w:highlight w:val="none"/>
                <w:lang w:val="en-US" w:eastAsia="zh-CN"/>
              </w:rPr>
              <w:t>30日</w:t>
            </w:r>
            <w:r>
              <w:rPr>
                <w:rFonts w:hint="eastAsia" w:ascii="宋体" w:hAnsi="宋体" w:eastAsia="宋体" w:cs="宋体"/>
                <w:color w:val="auto"/>
                <w:kern w:val="0"/>
                <w:szCs w:val="21"/>
                <w:highlight w:val="none"/>
              </w:rPr>
              <w:t>内。</w:t>
            </w:r>
          </w:p>
        </w:tc>
      </w:tr>
      <w:tr w14:paraId="7394CB7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3C3402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F40002">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采购资金来源：自筹资金。</w:t>
            </w:r>
          </w:p>
        </w:tc>
      </w:tr>
      <w:tr w14:paraId="193D7C4F">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E928E7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FAB95A3">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付款方式：详见第二章</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w:t>
            </w:r>
          </w:p>
        </w:tc>
      </w:tr>
      <w:tr w14:paraId="469CA73C">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4D23B4C">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F0B1EE1">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响应文件递交</w:t>
            </w:r>
            <w:r>
              <w:rPr>
                <w:rFonts w:hint="eastAsia" w:ascii="宋体" w:hAnsi="宋体" w:eastAsia="宋体" w:cs="宋体"/>
                <w:color w:val="auto"/>
                <w:kern w:val="0"/>
                <w:szCs w:val="21"/>
                <w:highlight w:val="none"/>
              </w:rPr>
              <w:t>截止期结束后</w:t>
            </w:r>
            <w:r>
              <w:rPr>
                <w:rFonts w:hint="eastAsia" w:ascii="宋体" w:hAnsi="宋体" w:cs="宋体"/>
                <w:color w:val="auto"/>
                <w:kern w:val="0"/>
                <w:szCs w:val="21"/>
                <w:highlight w:val="none"/>
                <w:lang w:val="en-US" w:eastAsia="zh-CN"/>
              </w:rPr>
              <w:t>60</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文件是合同的组成部分,有效期至合同完全履行止。 </w:t>
            </w:r>
          </w:p>
        </w:tc>
      </w:tr>
      <w:tr w14:paraId="7BAD5911">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DDFDC3E">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CF5E78">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2"/>
                <w:sz w:val="21"/>
                <w:szCs w:val="24"/>
                <w:highlight w:val="none"/>
                <w:lang w:val="en-US" w:eastAsia="zh-CN" w:bidi="ar-SA"/>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73ADF773">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BE073D7">
            <w:pPr>
              <w:widowControl/>
              <w:snapToGrid w:val="0"/>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DC2F5E6">
            <w:pPr>
              <w:spacing w:line="360" w:lineRule="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竞争性磋商文件</w:t>
            </w:r>
            <w:r>
              <w:rPr>
                <w:rFonts w:hint="eastAsia" w:ascii="宋体" w:hAnsi="宋体" w:eastAsia="宋体" w:cs="宋体"/>
                <w:bCs/>
                <w:color w:val="auto"/>
                <w:kern w:val="0"/>
                <w:szCs w:val="21"/>
                <w:highlight w:val="none"/>
              </w:rPr>
              <w:t>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bCs/>
                <w:color w:val="auto"/>
                <w:kern w:val="0"/>
                <w:szCs w:val="21"/>
                <w:highlight w:val="none"/>
                <w:lang w:eastAsia="zh-CN"/>
              </w:rPr>
              <w:t>。</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tc>
      </w:tr>
      <w:tr w14:paraId="71A0F8B1">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2C15D76">
            <w:pPr>
              <w:widowControl/>
              <w:spacing w:line="460" w:lineRule="atLeas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8B02A47">
            <w:pPr>
              <w:widowControl/>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解释：1、构成本</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的各个组成文件应互为解释，互为说明；如有不明确或不一致，构成合同文件组成内容的，以合同文件约定内容为准；除</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文件格式的先后顺序解释；同一组成文件中就同一事项的规定或约定不一致的，以编排顺序在后者为准；当</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与</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的澄清、修改或补充通知就同一内容的表述不一致时，以最后发出的书面文件为准。合同文件约定或后者明显错误的除外。</w:t>
            </w:r>
          </w:p>
          <w:p w14:paraId="7E99CCE5">
            <w:pPr>
              <w:widowControl/>
              <w:spacing w:line="360" w:lineRule="auto"/>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解释权归采购人。</w:t>
            </w:r>
          </w:p>
        </w:tc>
      </w:tr>
    </w:tbl>
    <w:p w14:paraId="004A8D42">
      <w:pPr>
        <w:rPr>
          <w:rFonts w:hint="eastAsia" w:ascii="宋体" w:hAnsi="宋体" w:eastAsia="宋体" w:cs="宋体"/>
          <w:color w:val="auto"/>
          <w:highlight w:val="none"/>
        </w:rPr>
      </w:pPr>
    </w:p>
    <w:p w14:paraId="1DF831AE">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color w:val="auto"/>
          <w:kern w:val="0"/>
          <w:sz w:val="24"/>
          <w:highlight w:val="none"/>
        </w:rPr>
      </w:pPr>
      <w:bookmarkStart w:id="45" w:name="_Toc4700"/>
      <w:bookmarkStart w:id="46" w:name="_Toc16669"/>
      <w:r>
        <w:rPr>
          <w:rFonts w:hint="eastAsia" w:ascii="宋体" w:hAnsi="宋体" w:eastAsia="宋体" w:cs="宋体"/>
          <w:b/>
          <w:bCs/>
          <w:color w:val="auto"/>
          <w:kern w:val="0"/>
          <w:sz w:val="28"/>
          <w:szCs w:val="28"/>
          <w:highlight w:val="none"/>
        </w:rPr>
        <w:t>一 、说 明</w:t>
      </w:r>
    </w:p>
    <w:p w14:paraId="63351082">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1.适用范围</w:t>
      </w:r>
    </w:p>
    <w:p w14:paraId="7C54D0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仅适用于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公告中所叙述项目的服务采购。</w:t>
      </w:r>
    </w:p>
    <w:p w14:paraId="4427324A">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2.定义</w:t>
      </w:r>
    </w:p>
    <w:p w14:paraId="6F00ED5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2.1“采购人”系指各级国家机关、事业单位、团体组织。</w:t>
      </w:r>
    </w:p>
    <w:p w14:paraId="4EB832A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”系指</w:t>
      </w:r>
      <w:r>
        <w:rPr>
          <w:rFonts w:hint="eastAsia" w:ascii="宋体" w:hAnsi="宋体" w:eastAsia="宋体" w:cs="宋体"/>
          <w:color w:val="auto"/>
          <w:kern w:val="0"/>
          <w:szCs w:val="21"/>
          <w:highlight w:val="none"/>
          <w:lang w:val="en-US" w:eastAsia="zh-CN"/>
        </w:rPr>
        <w:t>领取</w:t>
      </w:r>
      <w:r>
        <w:rPr>
          <w:rFonts w:hint="eastAsia" w:ascii="宋体" w:hAnsi="宋体" w:eastAsia="宋体" w:cs="宋体"/>
          <w:color w:val="auto"/>
          <w:kern w:val="0"/>
          <w:szCs w:val="21"/>
          <w:highlight w:val="none"/>
        </w:rPr>
        <w:t>了本</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，且已经提交本次</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p>
    <w:p w14:paraId="77F757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代表”系指代表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参加本次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的法定代表人或其委托代理人。</w:t>
      </w:r>
    </w:p>
    <w:p w14:paraId="52CF414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2.4“服务”系指供应商按竞争性磋商文件规定向采购人提供的一切工作内容。</w:t>
      </w:r>
    </w:p>
    <w:p w14:paraId="0DA84DA4">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3.采购预算：</w:t>
      </w:r>
      <w:r>
        <w:rPr>
          <w:rFonts w:hint="eastAsia" w:ascii="宋体" w:hAnsi="宋体" w:cs="宋体"/>
          <w:b/>
          <w:bCs/>
          <w:color w:val="auto"/>
          <w:kern w:val="0"/>
          <w:szCs w:val="21"/>
          <w:highlight w:val="none"/>
          <w:lang w:val="en-US" w:eastAsia="zh-CN"/>
        </w:rPr>
        <w:t>10万元</w:t>
      </w:r>
      <w:r>
        <w:rPr>
          <w:rFonts w:hint="eastAsia" w:ascii="宋体" w:hAnsi="宋体" w:eastAsia="宋体" w:cs="宋体"/>
          <w:b/>
          <w:bCs/>
          <w:color w:val="auto"/>
          <w:kern w:val="0"/>
          <w:szCs w:val="21"/>
          <w:highlight w:val="none"/>
          <w:lang w:eastAsia="zh-CN"/>
        </w:rPr>
        <w:t>；最高投标限价</w:t>
      </w:r>
      <w:r>
        <w:rPr>
          <w:rFonts w:hint="eastAsia" w:ascii="宋体" w:hAnsi="宋体" w:eastAsia="宋体" w:cs="宋体"/>
          <w:b/>
          <w:bCs/>
          <w:color w:val="auto"/>
          <w:kern w:val="0"/>
          <w:szCs w:val="21"/>
          <w:highlight w:val="none"/>
          <w:lang w:val="en-US" w:eastAsia="zh-CN"/>
        </w:rPr>
        <w:t>:</w:t>
      </w:r>
      <w:r>
        <w:rPr>
          <w:rFonts w:hint="eastAsia" w:ascii="宋体" w:hAnsi="宋体" w:cs="宋体"/>
          <w:b/>
          <w:bCs/>
          <w:color w:val="auto"/>
          <w:kern w:val="0"/>
          <w:szCs w:val="21"/>
          <w:highlight w:val="none"/>
          <w:lang w:val="en-US" w:eastAsia="zh-CN"/>
        </w:rPr>
        <w:t>10万元</w:t>
      </w:r>
      <w:r>
        <w:rPr>
          <w:rFonts w:hint="eastAsia" w:ascii="宋体" w:hAnsi="宋体" w:eastAsia="宋体" w:cs="宋体"/>
          <w:b/>
          <w:bCs/>
          <w:color w:val="auto"/>
          <w:kern w:val="0"/>
          <w:szCs w:val="21"/>
          <w:highlight w:val="none"/>
          <w:lang w:eastAsia="zh-CN"/>
        </w:rPr>
        <w:t>；</w:t>
      </w:r>
    </w:p>
    <w:p w14:paraId="1BC87C67">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4.</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应提交的证明文件</w:t>
      </w:r>
    </w:p>
    <w:p w14:paraId="01FEEB74">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1、具有独立承担民事责任</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能力</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提供营业执照或其他证明材料</w:t>
      </w:r>
      <w:r>
        <w:rPr>
          <w:rFonts w:hint="eastAsia" w:ascii="宋体" w:hAnsi="宋体" w:cs="宋体"/>
          <w:color w:val="auto"/>
          <w:szCs w:val="21"/>
          <w:highlight w:val="none"/>
          <w:shd w:val="clear" w:color="auto" w:fill="FFFFFF"/>
          <w:lang w:val="en-US" w:eastAsia="zh-CN"/>
        </w:rPr>
        <w:t>）；</w:t>
      </w:r>
    </w:p>
    <w:p w14:paraId="12458CA1">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2、具有良好的商业信誉和健全的财务会计制度</w:t>
      </w:r>
      <w:r>
        <w:rPr>
          <w:rFonts w:hint="eastAsia" w:ascii="宋体" w:hAnsi="宋体" w:cs="宋体"/>
          <w:color w:val="auto"/>
          <w:szCs w:val="21"/>
          <w:highlight w:val="none"/>
          <w:shd w:val="clear" w:color="auto" w:fill="FFFFFF"/>
          <w:lang w:val="en-US" w:eastAsia="zh-CN"/>
        </w:rPr>
        <w:t>（提供经审计的2024年度财务报告</w:t>
      </w:r>
      <w:r>
        <w:rPr>
          <w:rFonts w:hint="eastAsia" w:ascii="宋体" w:hAnsi="宋体" w:eastAsia="宋体" w:cs="宋体"/>
          <w:color w:val="auto"/>
          <w:szCs w:val="21"/>
          <w:highlight w:val="none"/>
          <w:shd w:val="clear" w:color="auto" w:fill="FFFFFF"/>
          <w:lang w:val="en-US" w:eastAsia="zh-CN"/>
        </w:rPr>
        <w:t>或者其基本开户银行出具的资信证明）；</w:t>
      </w:r>
    </w:p>
    <w:p w14:paraId="4AA1CE4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4.3、具有依法缴纳税收和社会保障资金的良好记录（提供</w:t>
      </w:r>
      <w:r>
        <w:rPr>
          <w:rFonts w:hint="eastAsia" w:ascii="宋体" w:hAnsi="宋体" w:eastAsia="宋体" w:cs="宋体"/>
          <w:color w:val="auto"/>
          <w:szCs w:val="21"/>
          <w:highlight w:val="none"/>
          <w:shd w:val="clear" w:color="auto" w:fill="FFFFFF"/>
          <w:lang w:val="en-US" w:eastAsia="zh-CN"/>
        </w:rPr>
        <w:t>采购活动近六个月任意一个月的依法缴纳税收和缴纳</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证明</w:t>
      </w:r>
      <w:r>
        <w:rPr>
          <w:rFonts w:hint="eastAsia" w:ascii="宋体" w:hAnsi="宋体" w:eastAsia="宋体" w:cs="宋体"/>
          <w:color w:val="auto"/>
          <w:szCs w:val="21"/>
          <w:highlight w:val="none"/>
          <w:shd w:val="clear" w:color="auto" w:fill="FFFFFF"/>
          <w:lang w:val="en-US" w:eastAsia="zh-CN"/>
        </w:rPr>
        <w:t>；依法免税或不需要缴纳社会保障资金的，应提供相应文件证明其依法免税或不需要缴纳社会保障资金）。</w:t>
      </w:r>
    </w:p>
    <w:p w14:paraId="29A7843A">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4.4</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084BCF5B">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color w:val="auto"/>
          <w:lang w:val="en-US" w:eastAsia="zh-CN"/>
        </w:rPr>
      </w:pPr>
      <w:r>
        <w:rPr>
          <w:rFonts w:hint="eastAsia" w:ascii="宋体" w:hAnsi="宋体" w:cs="宋体"/>
          <w:color w:val="auto"/>
          <w:szCs w:val="21"/>
          <w:highlight w:val="none"/>
          <w:shd w:val="clear" w:color="auto" w:fill="FFFFFF"/>
          <w:lang w:val="en-US" w:eastAsia="zh-CN"/>
        </w:rPr>
        <w:t>4.5</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2B56E080">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中国政府采购网</w:t>
      </w:r>
      <w:r>
        <w:rPr>
          <w:rFonts w:hint="eastAsia" w:ascii="宋体" w:hAnsi="宋体" w:cs="宋体"/>
          <w:color w:val="auto"/>
          <w:szCs w:val="21"/>
          <w:highlight w:val="none"/>
          <w:shd w:val="clear" w:color="auto" w:fill="FFFFFF"/>
          <w:lang w:val="en-US" w:eastAsia="zh-CN"/>
        </w:rPr>
        <w:t>”等网站查询的相关材料并加盖公章，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p>
    <w:p w14:paraId="77D9C72E">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lang w:val="en-US" w:eastAsia="zh-CN"/>
        </w:rPr>
        <w:t>提供在“国家企业信用信息公示系统”中查询的相关材料</w:t>
      </w:r>
      <w:r>
        <w:rPr>
          <w:rFonts w:hint="eastAsia" w:ascii="宋体" w:hAnsi="宋体" w:cs="宋体"/>
          <w:color w:val="auto"/>
          <w:kern w:val="0"/>
          <w:szCs w:val="21"/>
          <w:lang w:val="en-US" w:eastAsia="zh-CN"/>
        </w:rPr>
        <w:t>并加盖公章</w:t>
      </w:r>
      <w:r>
        <w:rPr>
          <w:rFonts w:hint="eastAsia" w:ascii="宋体" w:hAnsi="宋体" w:eastAsia="宋体" w:cs="宋体"/>
          <w:color w:val="auto"/>
          <w:kern w:val="0"/>
          <w:szCs w:val="21"/>
          <w:lang w:val="en-US" w:eastAsia="zh-CN"/>
        </w:rPr>
        <w:t>（需包含公司基本信息、股东信息及股权变更信息）或提供承诺</w:t>
      </w:r>
      <w:r>
        <w:rPr>
          <w:rFonts w:hint="eastAsia" w:ascii="宋体" w:hAnsi="宋体" w:cs="宋体"/>
          <w:color w:val="auto"/>
          <w:kern w:val="0"/>
          <w:szCs w:val="21"/>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13292A9E">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5.投标费用</w:t>
      </w:r>
    </w:p>
    <w:p w14:paraId="209E8546">
      <w:pPr>
        <w:keepNext w:val="0"/>
        <w:keepLines w:val="0"/>
        <w:pageBreakBefore w:val="0"/>
        <w:widowControl w:val="0"/>
        <w:kinsoku/>
        <w:wordWrap/>
        <w:overflowPunct/>
        <w:topLinePunct w:val="0"/>
        <w:bidi w:val="0"/>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不论投标结果如何，</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均应自行承担所有与投标有关的全部费用。</w:t>
      </w:r>
    </w:p>
    <w:p w14:paraId="46EC2A9D">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6.联合体投标：本项目不接受联合体投标。</w:t>
      </w:r>
    </w:p>
    <w:p w14:paraId="4B7BBEAF">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7.关联企业投标</w:t>
      </w:r>
    </w:p>
    <w:p w14:paraId="511BE38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 本</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所称关联企业,是指存在关联关系的企业。“关联关系”的界定适用《中华人民共和国公司法》第二百一十六条、《中华人民共和国政府采购法实施条例》第十八条之规定。</w:t>
      </w:r>
    </w:p>
    <w:p w14:paraId="43287587">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r>
        <w:rPr>
          <w:rFonts w:hint="eastAsia" w:ascii="宋体" w:hAnsi="宋体" w:eastAsia="宋体" w:cs="宋体"/>
          <w:color w:val="auto"/>
          <w:kern w:val="0"/>
          <w:szCs w:val="21"/>
          <w:highlight w:val="none"/>
          <w:lang w:eastAsia="zh-CN"/>
        </w:rPr>
        <w:t>。</w:t>
      </w:r>
    </w:p>
    <w:p w14:paraId="2980A7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7.3 为采购项目提供整体设计、规范编制或者项目管理、监理、检测等服务的供应商，不得再参加该采购项目的投标活动。</w:t>
      </w:r>
    </w:p>
    <w:p w14:paraId="2CC2F98E">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8.转包与分包</w:t>
      </w:r>
    </w:p>
    <w:p w14:paraId="1B379BF6">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8.1本项目不允许采取转包方式履行合同。</w:t>
      </w:r>
    </w:p>
    <w:p w14:paraId="2FB26A5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8.2本项目不允许采取分包方式履行合同。</w:t>
      </w:r>
    </w:p>
    <w:p w14:paraId="136411C3">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9.特别说明：</w:t>
      </w:r>
    </w:p>
    <w:p w14:paraId="71C9CA3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9.1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投标所使用的资格、信誉、荣誉、业绩与企业认证必须为本法人所拥有。  </w:t>
      </w:r>
    </w:p>
    <w:p w14:paraId="55FFFC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代表只能接受一个</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的委托参加投标。</w:t>
      </w:r>
    </w:p>
    <w:p w14:paraId="6AC317FA">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《政府采购法》第二十二条第五款“参加政府采购活动前三年内，在经营活动中没有重大违法记录”，“重大违法记录”包括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或其法定代表人、董事、监事、高级管理人员因经营活动中的违法行为受到刑事处罚。</w:t>
      </w:r>
    </w:p>
    <w:p w14:paraId="2827C54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在投标活动中提供虚假材料或从事其他违法活动的,其投标无效，由相关部门查处。</w:t>
      </w:r>
    </w:p>
    <w:p w14:paraId="48BACE8D">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10.质疑和投诉</w:t>
      </w:r>
    </w:p>
    <w:p w14:paraId="0C544B71">
      <w:pPr>
        <w:keepNext w:val="0"/>
        <w:keepLines w:val="0"/>
        <w:pageBreakBefore w:val="0"/>
        <w:widowControl w:val="0"/>
        <w:kinsoku/>
        <w:wordWrap/>
        <w:overflowPunct/>
        <w:topLinePunct w:val="0"/>
        <w:bidi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供应商认为</w:t>
      </w:r>
      <w:r>
        <w:rPr>
          <w:rFonts w:hint="eastAsia" w:ascii="宋体" w:hAnsi="宋体" w:cs="宋体"/>
          <w:bCs/>
          <w:color w:val="auto"/>
          <w:kern w:val="0"/>
          <w:szCs w:val="21"/>
          <w:highlight w:val="none"/>
          <w:lang w:val="en-US" w:eastAsia="zh-CN"/>
        </w:rPr>
        <w:t>竞争性磋商文件</w:t>
      </w:r>
      <w:r>
        <w:rPr>
          <w:rFonts w:hint="eastAsia" w:ascii="宋体" w:hAnsi="宋体" w:eastAsia="宋体" w:cs="宋体"/>
          <w:bCs/>
          <w:color w:val="auto"/>
          <w:kern w:val="0"/>
          <w:szCs w:val="21"/>
          <w:highlight w:val="none"/>
        </w:rPr>
        <w:t>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p w14:paraId="3B893C68">
      <w:pPr>
        <w:keepNext w:val="0"/>
        <w:keepLines w:val="0"/>
        <w:pageBreakBefore w:val="0"/>
        <w:widowControl w:val="0"/>
        <w:shd w:val="clear" w:color="auto" w:fill="FFFFFF"/>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竞争性磋商文件</w:t>
      </w: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结果中使自己合法权益受到损害的实质性内容，提供相关事实、依据和证据及其来源或线索，便于有关单位调查、答复和处理。</w:t>
      </w:r>
    </w:p>
    <w:p w14:paraId="5B8EABB8">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11.</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的风险</w:t>
      </w:r>
    </w:p>
    <w:p w14:paraId="1034A8CB">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没有按照</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要求提供全部资料，或者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在各方面都作出实质性响应是</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的风险，并可能导致其投标被拒绝。</w:t>
      </w:r>
    </w:p>
    <w:p w14:paraId="6670C581">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二、</w:t>
      </w:r>
      <w:r>
        <w:rPr>
          <w:rFonts w:hint="eastAsia" w:ascii="宋体" w:hAnsi="宋体" w:cs="宋体"/>
          <w:b/>
          <w:bCs/>
          <w:color w:val="auto"/>
          <w:kern w:val="0"/>
          <w:sz w:val="28"/>
          <w:szCs w:val="28"/>
          <w:highlight w:val="none"/>
          <w:lang w:val="en-US" w:eastAsia="zh-CN"/>
        </w:rPr>
        <w:t>竞争性磋商文件</w:t>
      </w:r>
    </w:p>
    <w:p w14:paraId="141B3217">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12.</w:t>
      </w:r>
      <w:r>
        <w:rPr>
          <w:rFonts w:hint="eastAsia" w:ascii="宋体" w:hAnsi="宋体" w:cs="宋体"/>
          <w:b/>
          <w:bCs/>
          <w:color w:val="auto"/>
          <w:kern w:val="0"/>
          <w:szCs w:val="21"/>
          <w:highlight w:val="none"/>
          <w:lang w:val="en-US" w:eastAsia="zh-CN"/>
        </w:rPr>
        <w:t>竞争性磋商文件</w:t>
      </w:r>
      <w:r>
        <w:rPr>
          <w:rFonts w:hint="eastAsia" w:ascii="宋体" w:hAnsi="宋体" w:eastAsia="宋体" w:cs="宋体"/>
          <w:b/>
          <w:bCs/>
          <w:color w:val="auto"/>
          <w:kern w:val="0"/>
          <w:szCs w:val="21"/>
          <w:highlight w:val="none"/>
        </w:rPr>
        <w:t>的构成。本</w:t>
      </w:r>
      <w:r>
        <w:rPr>
          <w:rFonts w:hint="eastAsia" w:ascii="宋体" w:hAnsi="宋体" w:cs="宋体"/>
          <w:b/>
          <w:bCs/>
          <w:color w:val="auto"/>
          <w:kern w:val="0"/>
          <w:szCs w:val="21"/>
          <w:highlight w:val="none"/>
          <w:lang w:val="en-US" w:eastAsia="zh-CN"/>
        </w:rPr>
        <w:t>竞争性磋商文件</w:t>
      </w:r>
      <w:r>
        <w:rPr>
          <w:rFonts w:hint="eastAsia" w:ascii="宋体" w:hAnsi="宋体" w:eastAsia="宋体" w:cs="宋体"/>
          <w:b/>
          <w:bCs/>
          <w:color w:val="auto"/>
          <w:kern w:val="0"/>
          <w:szCs w:val="21"/>
          <w:highlight w:val="none"/>
        </w:rPr>
        <w:t>由以下部分组成：</w:t>
      </w:r>
    </w:p>
    <w:p w14:paraId="53295F2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w:t>
      </w:r>
      <w:r>
        <w:rPr>
          <w:rFonts w:hint="eastAsia" w:ascii="宋体" w:hAnsi="宋体" w:eastAsia="宋体" w:cs="宋体"/>
          <w:color w:val="auto"/>
          <w:kern w:val="0"/>
          <w:szCs w:val="21"/>
          <w:highlight w:val="none"/>
          <w:lang w:val="en-US" w:eastAsia="zh-CN"/>
        </w:rPr>
        <w:t>竞争性磋商</w:t>
      </w:r>
      <w:r>
        <w:rPr>
          <w:rFonts w:hint="eastAsia" w:ascii="宋体" w:hAnsi="宋体" w:eastAsia="宋体" w:cs="宋体"/>
          <w:color w:val="auto"/>
          <w:kern w:val="0"/>
          <w:szCs w:val="21"/>
          <w:highlight w:val="none"/>
        </w:rPr>
        <w:t>公告</w:t>
      </w:r>
    </w:p>
    <w:p w14:paraId="4CCDB6F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需求</w:t>
      </w:r>
    </w:p>
    <w:p w14:paraId="3864CDD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w:t>
      </w:r>
    </w:p>
    <w:p w14:paraId="04E3F9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 评标办法</w:t>
      </w:r>
    </w:p>
    <w:p w14:paraId="17F6216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12.5 合同主要条款</w:t>
      </w:r>
    </w:p>
    <w:p w14:paraId="104D084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12.6 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w:t>
      </w:r>
    </w:p>
    <w:p w14:paraId="073B3FE2">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13.</w:t>
      </w:r>
      <w:r>
        <w:rPr>
          <w:rFonts w:hint="eastAsia" w:ascii="宋体" w:hAnsi="宋体" w:cs="宋体"/>
          <w:b/>
          <w:bCs/>
          <w:color w:val="auto"/>
          <w:kern w:val="0"/>
          <w:szCs w:val="21"/>
          <w:highlight w:val="none"/>
          <w:lang w:val="en-US" w:eastAsia="zh-CN"/>
        </w:rPr>
        <w:t>竞争性磋商文件</w:t>
      </w:r>
      <w:r>
        <w:rPr>
          <w:rFonts w:hint="eastAsia" w:ascii="宋体" w:hAnsi="宋体" w:eastAsia="宋体" w:cs="宋体"/>
          <w:b/>
          <w:bCs/>
          <w:color w:val="auto"/>
          <w:kern w:val="0"/>
          <w:szCs w:val="21"/>
          <w:highlight w:val="none"/>
        </w:rPr>
        <w:t>的澄清与修改</w:t>
      </w:r>
    </w:p>
    <w:p w14:paraId="7443463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对已发出的</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进行必要澄清、修改或补充的，应当在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文件截止时间</w:t>
      </w:r>
      <w:r>
        <w:rPr>
          <w:rFonts w:hint="eastAsia" w:ascii="宋体" w:hAnsi="宋体" w:eastAsia="宋体" w:cs="宋体"/>
          <w:color w:val="auto"/>
          <w:kern w:val="0"/>
          <w:szCs w:val="21"/>
          <w:highlight w:val="none"/>
          <w:lang w:val="en-US" w:eastAsia="zh-CN"/>
        </w:rPr>
        <w:t>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前，在</w:t>
      </w:r>
      <w:r>
        <w:rPr>
          <w:rFonts w:hint="eastAsia" w:ascii="宋体" w:hAnsi="宋体" w:eastAsia="宋体" w:cs="宋体"/>
          <w:color w:val="auto"/>
          <w:kern w:val="0"/>
          <w:szCs w:val="21"/>
          <w:highlight w:val="none"/>
          <w:lang w:val="en-US" w:eastAsia="zh-CN"/>
        </w:rPr>
        <w:t>原采购公告发布</w:t>
      </w:r>
      <w:r>
        <w:rPr>
          <w:rFonts w:hint="eastAsia" w:ascii="宋体" w:hAnsi="宋体" w:eastAsia="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公示期间对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进行的澄清、修改或补充不受上述限制。</w:t>
      </w:r>
    </w:p>
    <w:p w14:paraId="672DF54F">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13.2 </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澄清、修改或补充的内容为</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的组成部分。</w:t>
      </w:r>
    </w:p>
    <w:p w14:paraId="66DD997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13.3 </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的澄清、修改或补充都应以法定形式发布。采购人未对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进行的澄清、修改或补充无效，评标时不予认可。</w:t>
      </w:r>
    </w:p>
    <w:p w14:paraId="21EB5A6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13.4 </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可以视</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具体情况延长</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截止时间和</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时间，但至少应当在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文件的截止时间3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前，将变更时间</w:t>
      </w:r>
      <w:r>
        <w:rPr>
          <w:rFonts w:hint="eastAsia" w:ascii="宋体" w:hAnsi="宋体" w:eastAsia="宋体" w:cs="宋体"/>
          <w:color w:val="auto"/>
          <w:kern w:val="0"/>
          <w:szCs w:val="21"/>
          <w:highlight w:val="none"/>
          <w:lang w:val="en-US" w:eastAsia="zh-CN"/>
        </w:rPr>
        <w:t>通知所有潜在供应商</w:t>
      </w:r>
      <w:r>
        <w:rPr>
          <w:rFonts w:hint="eastAsia" w:ascii="宋体" w:hAnsi="宋体" w:eastAsia="宋体" w:cs="宋体"/>
          <w:color w:val="auto"/>
          <w:kern w:val="0"/>
          <w:szCs w:val="21"/>
          <w:highlight w:val="none"/>
        </w:rPr>
        <w:t>。</w:t>
      </w:r>
    </w:p>
    <w:p w14:paraId="28FD75DD">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文件的编制</w:t>
      </w:r>
    </w:p>
    <w:p w14:paraId="4E193EDA">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14.要求</w:t>
      </w:r>
    </w:p>
    <w:p w14:paraId="7F4EF23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应仔细阅读</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的所有内容，按照</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提供的格式编写</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文件，不得缺少或留空任何</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要求填写的表格或提交的资料。</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提供格式的按格式填列，未提供格式的可自行拟定。</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的要求作出实质性响应（包括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资格要求、技术要求、商务要求和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文件格式中对</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对所提供的全部资料的合法性、真实性负责。</w:t>
      </w:r>
    </w:p>
    <w:p w14:paraId="38A56E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应完整签署</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文件格式附件中《</w:t>
      </w:r>
      <w:r>
        <w:rPr>
          <w:rFonts w:hint="eastAsia" w:ascii="宋体" w:hAnsi="宋体" w:cs="宋体"/>
          <w:color w:val="auto"/>
          <w:kern w:val="0"/>
          <w:szCs w:val="21"/>
          <w:highlight w:val="none"/>
          <w:lang w:eastAsia="zh-CN"/>
        </w:rPr>
        <w:t>竞争性磋商响应书</w:t>
      </w:r>
      <w:r>
        <w:rPr>
          <w:rFonts w:hint="eastAsia" w:ascii="宋体" w:hAnsi="宋体" w:eastAsia="宋体" w:cs="宋体"/>
          <w:color w:val="auto"/>
          <w:kern w:val="0"/>
          <w:szCs w:val="21"/>
          <w:highlight w:val="none"/>
        </w:rPr>
        <w:t>》和《抵制商业贿赂承诺》，不得增减或修改内容。否则视为对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未作出实质性响应。</w:t>
      </w:r>
    </w:p>
    <w:p w14:paraId="417073B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15.</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文件的语言和计量单位</w:t>
      </w:r>
    </w:p>
    <w:p w14:paraId="3C0DDC7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w:t>
      </w:r>
      <w:r>
        <w:rPr>
          <w:rFonts w:hint="eastAsia" w:ascii="宋体" w:hAnsi="宋体" w:eastAsia="宋体" w:cs="宋体"/>
          <w:color w:val="auto"/>
          <w:kern w:val="0"/>
          <w:szCs w:val="21"/>
          <w:highlight w:val="none"/>
          <w:lang w:val="en-US" w:eastAsia="zh-CN"/>
        </w:rPr>
        <w:t xml:space="preserve"> 响应</w:t>
      </w:r>
      <w:r>
        <w:rPr>
          <w:rFonts w:hint="eastAsia" w:ascii="宋体" w:hAnsi="宋体" w:eastAsia="宋体" w:cs="宋体"/>
          <w:color w:val="auto"/>
          <w:kern w:val="0"/>
          <w:szCs w:val="21"/>
          <w:highlight w:val="none"/>
        </w:rPr>
        <w:t>文件以及</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与采购人就有关</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事宜的所有来往函电均应使用简体中文书写。</w:t>
      </w:r>
    </w:p>
    <w:p w14:paraId="1A6D7041">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关于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计量单位，</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已有明确规定的，使用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规定的计量单位；</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没有规定的，应采用中华人民共和国法定计量单位。否则视为对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未作出实质性响应。</w:t>
      </w:r>
    </w:p>
    <w:p w14:paraId="608220A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原版为外文的证书类文件，以及由外国人做出的本人签名、外国公司的名称或外国印章等可以是外文，但应当提供中文翻译文件并加盖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公章。必要时</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提供附有公证书的中文翻译文件或者与原版文件签章相一致的中文翻译文件。</w:t>
      </w:r>
    </w:p>
    <w:p w14:paraId="27843369">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16.</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文件的组成</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文件应包括下列部分：</w:t>
      </w:r>
    </w:p>
    <w:p w14:paraId="400CB9C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w:t>
      </w:r>
      <w:r>
        <w:rPr>
          <w:rFonts w:hint="eastAsia" w:ascii="宋体" w:hAnsi="宋体" w:cs="宋体"/>
          <w:color w:val="auto"/>
          <w:kern w:val="0"/>
          <w:szCs w:val="21"/>
          <w:highlight w:val="none"/>
          <w:lang w:val="en-US" w:eastAsia="zh-CN"/>
        </w:rPr>
        <w:t>竞争性磋商响应书</w:t>
      </w:r>
    </w:p>
    <w:p w14:paraId="47976D3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16.2、</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p>
    <w:p w14:paraId="2FB816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0E744A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6C92A00D">
      <w:pPr>
        <w:keepNext w:val="0"/>
        <w:keepLines w:val="0"/>
        <w:pageBreakBefore w:val="0"/>
        <w:widowControl w:val="0"/>
        <w:kinsoku/>
        <w:wordWrap/>
        <w:overflowPunct/>
        <w:topLinePunct w:val="0"/>
        <w:bidi w:val="0"/>
        <w:snapToGrid w:val="0"/>
        <w:spacing w:line="360" w:lineRule="auto"/>
        <w:ind w:left="208" w:leftChars="99"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、法定代表人身份证明</w:t>
      </w:r>
    </w:p>
    <w:p w14:paraId="2979C96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、法定代表人授权书</w:t>
      </w:r>
    </w:p>
    <w:p w14:paraId="6E7D683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、证明文件</w:t>
      </w:r>
    </w:p>
    <w:p w14:paraId="4A0E6A75">
      <w:pPr>
        <w:keepNext w:val="0"/>
        <w:keepLines w:val="0"/>
        <w:pageBreakBefore w:val="0"/>
        <w:widowControl w:val="0"/>
        <w:kinsoku/>
        <w:wordWrap/>
        <w:overflowPunct/>
        <w:topLinePunct w:val="0"/>
        <w:bidi w:val="0"/>
        <w:snapToGrid w:val="0"/>
        <w:spacing w:line="360" w:lineRule="auto"/>
        <w:ind w:firstLine="42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供应商承诺书</w:t>
      </w:r>
    </w:p>
    <w:p w14:paraId="664E58FE">
      <w:pPr>
        <w:pStyle w:val="15"/>
        <w:keepNext w:val="0"/>
        <w:keepLines w:val="0"/>
        <w:pageBreakBefore w:val="0"/>
        <w:widowControl w:val="0"/>
        <w:kinsoku/>
        <w:wordWrap/>
        <w:overflowPunct/>
        <w:topLinePunct w:val="0"/>
        <w:bidi w:val="0"/>
        <w:snapToGrid w:val="0"/>
        <w:spacing w:beforeAutospacing="0" w:afterAutospacing="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供应商信用承诺函</w:t>
      </w:r>
    </w:p>
    <w:p w14:paraId="3B3C118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17.</w:t>
      </w:r>
      <w:r>
        <w:rPr>
          <w:rFonts w:hint="eastAsia" w:ascii="宋体" w:hAnsi="宋体" w:eastAsia="宋体" w:cs="宋体"/>
          <w:b/>
          <w:color w:val="auto"/>
          <w:kern w:val="0"/>
          <w:szCs w:val="21"/>
          <w:highlight w:val="none"/>
          <w:lang w:val="en-US" w:eastAsia="zh-CN"/>
        </w:rPr>
        <w:t>响应文件</w:t>
      </w:r>
      <w:r>
        <w:rPr>
          <w:rFonts w:hint="eastAsia" w:ascii="宋体" w:hAnsi="宋体" w:eastAsia="宋体" w:cs="宋体"/>
          <w:b/>
          <w:color w:val="auto"/>
          <w:kern w:val="0"/>
          <w:szCs w:val="21"/>
          <w:highlight w:val="none"/>
        </w:rPr>
        <w:t>有效期</w:t>
      </w:r>
    </w:p>
    <w:p w14:paraId="4416222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公告所规定的投标截止期之后开始生效，在</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须知前附表</w:t>
      </w:r>
      <w:r>
        <w:rPr>
          <w:rFonts w:hint="eastAsia" w:ascii="宋体" w:hAnsi="宋体" w:eastAsia="宋体" w:cs="宋体"/>
          <w:color w:val="auto"/>
          <w:kern w:val="0"/>
          <w:szCs w:val="21"/>
          <w:highlight w:val="none"/>
        </w:rPr>
        <w:t>第1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项所规定的期限内保持有效。有效期不足将导致其</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文件被拒绝。</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有效期至合同完全履行止。</w:t>
      </w:r>
    </w:p>
    <w:p w14:paraId="7486668D">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17.2特殊情况下</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可于投标有效期满之前书面要求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同意延长有效期，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规定的期限内以书面形式予以答复。</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可以拒绝上述要求。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答复不明确或者逾期未答复的，均视为拒绝上述要求。对于接受该要求的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，既不要求也不允许其修改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4F8F7CF9">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18.投标报价</w:t>
      </w:r>
    </w:p>
    <w:p w14:paraId="446754B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 所有</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报价均以</w:t>
      </w:r>
      <w:r>
        <w:rPr>
          <w:rFonts w:hint="eastAsia" w:ascii="宋体" w:hAnsi="宋体" w:cs="宋体"/>
          <w:color w:val="auto"/>
          <w:kern w:val="0"/>
          <w:szCs w:val="21"/>
          <w:highlight w:val="none"/>
          <w:lang w:val="en-US" w:eastAsia="zh-CN"/>
        </w:rPr>
        <w:t>实行</w:t>
      </w:r>
      <w:r>
        <w:rPr>
          <w:rFonts w:hint="eastAsia" w:ascii="宋体" w:hAnsi="宋体" w:cs="宋体"/>
          <w:color w:val="auto"/>
          <w:sz w:val="21"/>
          <w:szCs w:val="21"/>
          <w:highlight w:val="none"/>
          <w:lang w:val="en-US" w:eastAsia="zh-CN"/>
        </w:rPr>
        <w:t>综合折扣率进行</w:t>
      </w:r>
      <w:r>
        <w:rPr>
          <w:rFonts w:hint="eastAsia" w:ascii="宋体" w:hAnsi="宋体" w:cs="宋体"/>
          <w:color w:val="auto"/>
          <w:kern w:val="0"/>
          <w:szCs w:val="21"/>
          <w:highlight w:val="none"/>
          <w:lang w:val="en-US" w:eastAsia="zh-CN"/>
        </w:rPr>
        <w:t>报价</w:t>
      </w:r>
      <w:r>
        <w:rPr>
          <w:rFonts w:hint="eastAsia" w:ascii="宋体" w:hAnsi="宋体" w:eastAsia="宋体" w:cs="宋体"/>
          <w:color w:val="auto"/>
          <w:kern w:val="0"/>
          <w:szCs w:val="21"/>
          <w:highlight w:val="none"/>
        </w:rPr>
        <w:t>。</w:t>
      </w:r>
    </w:p>
    <w:p w14:paraId="680CBC8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要按</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一览表的内容填写。</w:t>
      </w:r>
    </w:p>
    <w:p w14:paraId="49B4686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18.3 </w:t>
      </w:r>
      <w:r>
        <w:rPr>
          <w:rFonts w:hint="eastAsia" w:ascii="宋体" w:hAnsi="宋体" w:eastAsia="宋体" w:cs="宋体"/>
          <w:color w:val="auto"/>
          <w:spacing w:val="10"/>
          <w:kern w:val="0"/>
          <w:szCs w:val="21"/>
          <w:highlight w:val="none"/>
          <w:lang w:eastAsia="zh-CN"/>
        </w:rPr>
        <w:t>供应商</w:t>
      </w:r>
      <w:r>
        <w:rPr>
          <w:rFonts w:hint="eastAsia" w:ascii="宋体" w:hAnsi="宋体" w:eastAsia="宋体" w:cs="宋体"/>
          <w:color w:val="auto"/>
          <w:spacing w:val="10"/>
          <w:kern w:val="0"/>
          <w:szCs w:val="21"/>
          <w:highlight w:val="none"/>
        </w:rPr>
        <w:t>投报多标包的，应对每标包分别报价并分别填报</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r>
        <w:rPr>
          <w:rFonts w:hint="eastAsia" w:ascii="宋体" w:hAnsi="宋体" w:eastAsia="宋体" w:cs="宋体"/>
          <w:color w:val="auto"/>
          <w:spacing w:val="10"/>
          <w:kern w:val="0"/>
          <w:szCs w:val="21"/>
          <w:highlight w:val="none"/>
        </w:rPr>
        <w:t>。</w:t>
      </w:r>
    </w:p>
    <w:p w14:paraId="4CE9644D">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18.4 </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中标明的价格在政府采购合同执行过程中是固定不变的，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不得以任何理由予以变更。以可调整的价格提交的投标将被作为无效投标处理。</w:t>
      </w:r>
    </w:p>
    <w:p w14:paraId="7D9F74C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18.5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不接受可选择的投标报价。</w:t>
      </w:r>
    </w:p>
    <w:p w14:paraId="05427D8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18.6 对于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文件中列出的赠送条款，在评审时不得作为价格评分因素或者调整评标价格的依据。</w:t>
      </w:r>
    </w:p>
    <w:p w14:paraId="42B9DD16">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19.</w:t>
      </w:r>
      <w:r>
        <w:rPr>
          <w:rFonts w:hint="eastAsia" w:ascii="宋体" w:hAnsi="宋体" w:cs="宋体"/>
          <w:b/>
          <w:color w:val="auto"/>
          <w:kern w:val="0"/>
          <w:szCs w:val="21"/>
          <w:highlight w:val="none"/>
          <w:lang w:val="en-US" w:eastAsia="zh-CN"/>
        </w:rPr>
        <w:t>磋商</w:t>
      </w:r>
      <w:r>
        <w:rPr>
          <w:rFonts w:hint="eastAsia" w:ascii="宋体" w:hAnsi="宋体" w:eastAsia="宋体" w:cs="宋体"/>
          <w:b/>
          <w:color w:val="auto"/>
          <w:kern w:val="0"/>
          <w:szCs w:val="21"/>
          <w:highlight w:val="none"/>
        </w:rPr>
        <w:t>保证金</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lang w:val="en-US" w:eastAsia="zh-CN"/>
        </w:rPr>
        <w:t>无</w:t>
      </w:r>
      <w:r>
        <w:rPr>
          <w:rFonts w:hint="eastAsia" w:ascii="宋体" w:hAnsi="宋体" w:eastAsia="宋体" w:cs="宋体"/>
          <w:b/>
          <w:color w:val="auto"/>
          <w:kern w:val="0"/>
          <w:szCs w:val="21"/>
          <w:highlight w:val="none"/>
          <w:lang w:eastAsia="zh-CN"/>
        </w:rPr>
        <w:t>）</w:t>
      </w:r>
    </w:p>
    <w:p w14:paraId="5BDEFEBB">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rPr>
        <w:t>20.</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color w:val="auto"/>
          <w:kern w:val="0"/>
          <w:szCs w:val="21"/>
          <w:highlight w:val="none"/>
        </w:rPr>
        <w:t>文件的签署</w:t>
      </w:r>
      <w:r>
        <w:rPr>
          <w:rFonts w:hint="eastAsia" w:ascii="宋体" w:hAnsi="宋体" w:eastAsia="宋体" w:cs="宋体"/>
          <w:b/>
          <w:color w:val="auto"/>
          <w:kern w:val="0"/>
          <w:szCs w:val="21"/>
          <w:highlight w:val="none"/>
          <w:lang w:val="en-US" w:eastAsia="zh-CN"/>
        </w:rPr>
        <w:t>及其他规定</w:t>
      </w:r>
    </w:p>
    <w:p w14:paraId="14F451FB">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文件应按第六章“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文件格式”进行编写，如有必要，可以增加附页，作为</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的组成部分。其中，</w:t>
      </w:r>
      <w:r>
        <w:rPr>
          <w:rFonts w:hint="eastAsia" w:ascii="宋体" w:hAnsi="宋体" w:cs="宋体"/>
          <w:color w:val="auto"/>
          <w:kern w:val="0"/>
          <w:szCs w:val="21"/>
          <w:highlight w:val="none"/>
          <w:lang w:val="en-US" w:eastAsia="zh-CN"/>
        </w:rPr>
        <w:t>初次</w:t>
      </w:r>
      <w:r>
        <w:rPr>
          <w:rFonts w:hint="eastAsia" w:ascii="宋体" w:hAnsi="宋体" w:eastAsia="宋体" w:cs="宋体"/>
          <w:color w:val="auto"/>
          <w:kern w:val="0"/>
          <w:szCs w:val="21"/>
          <w:highlight w:val="none"/>
        </w:rPr>
        <w:t>报价一览表在满足</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实质性要求的基础上，可以提出比</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要求更有利于采购人的承诺。</w:t>
      </w:r>
    </w:p>
    <w:p w14:paraId="36EAD0C2">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文件应当对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有关</w:t>
      </w:r>
      <w:r>
        <w:rPr>
          <w:rFonts w:hint="eastAsia" w:ascii="宋体" w:hAnsi="宋体" w:cs="宋体"/>
          <w:color w:val="auto"/>
          <w:kern w:val="0"/>
          <w:szCs w:val="21"/>
          <w:highlight w:val="none"/>
          <w:lang w:val="en-US" w:eastAsia="zh-CN"/>
        </w:rPr>
        <w:t>服务期限</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 w:val="21"/>
          <w:szCs w:val="21"/>
          <w:highlight w:val="none"/>
          <w:lang w:eastAsia="zh-CN"/>
        </w:rPr>
        <w:t>服务质量</w:t>
      </w:r>
      <w:r>
        <w:rPr>
          <w:rFonts w:hint="eastAsia" w:ascii="宋体" w:hAnsi="宋体" w:eastAsia="宋体" w:cs="宋体"/>
          <w:color w:val="auto"/>
          <w:kern w:val="0"/>
          <w:szCs w:val="21"/>
          <w:highlight w:val="none"/>
        </w:rPr>
        <w:t>等实质性内容作出响应。</w:t>
      </w:r>
    </w:p>
    <w:p w14:paraId="214B55FE">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文件应用不褪色的材料书写或打印，并由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文件应尽量避免涂改、行间插字或删除，如果出现上述情况，改动之处应加盖单位公章或由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48E409E1">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文件份数见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文件正本和副本的封面上应清楚地标记“正本”或“副本”的字样。</w:t>
      </w:r>
    </w:p>
    <w:p w14:paraId="426609D8">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文件的具体装订要求见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w:t>
      </w:r>
    </w:p>
    <w:p w14:paraId="2473E976">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四、</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文件的递交</w:t>
      </w:r>
    </w:p>
    <w:p w14:paraId="06D1078F">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21.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文件的密封、标记</w:t>
      </w:r>
    </w:p>
    <w:p w14:paraId="073ADB34">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w:t>
      </w:r>
      <w:r>
        <w:rPr>
          <w:rFonts w:hint="eastAsia" w:ascii="宋体" w:hAnsi="宋体" w:eastAsia="宋体" w:cs="宋体"/>
          <w:color w:val="auto"/>
          <w:highlight w:val="none"/>
        </w:rPr>
        <w:t>响应文件应密封包装，并在封套的封口处加盖供应商单位章或由供应商的法定代表人（单位负责人）或其授权的代理人签字。</w:t>
      </w:r>
    </w:p>
    <w:p w14:paraId="1073C9D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 xml:space="preserve"> 未按本章第2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.1项要求密封的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highlight w:val="none"/>
          <w:lang w:eastAsia="zh-CN"/>
        </w:rPr>
        <w:t>文件，采购人不予受理。</w:t>
      </w:r>
    </w:p>
    <w:p w14:paraId="56E32590">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 xml:space="preserve">22. </w:t>
      </w:r>
      <w:r>
        <w:rPr>
          <w:rFonts w:hint="eastAsia" w:ascii="宋体" w:hAnsi="宋体" w:eastAsia="宋体" w:cs="宋体"/>
          <w:b/>
          <w:bCs w:val="0"/>
          <w:color w:val="auto"/>
          <w:kern w:val="0"/>
          <w:szCs w:val="21"/>
          <w:highlight w:val="none"/>
          <w:lang w:val="en-US" w:eastAsia="zh-CN"/>
        </w:rPr>
        <w:t>响应</w:t>
      </w:r>
      <w:r>
        <w:rPr>
          <w:rFonts w:hint="eastAsia" w:ascii="宋体" w:hAnsi="宋体" w:eastAsia="宋体" w:cs="宋体"/>
          <w:b/>
          <w:bCs w:val="0"/>
          <w:color w:val="auto"/>
          <w:kern w:val="0"/>
          <w:szCs w:val="21"/>
          <w:highlight w:val="none"/>
        </w:rPr>
        <w:t>文件的递交</w:t>
      </w:r>
    </w:p>
    <w:p w14:paraId="315D50D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应在规定的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截止时间前</w:t>
      </w:r>
      <w:r>
        <w:rPr>
          <w:rFonts w:hint="eastAsia" w:ascii="宋体" w:hAnsi="宋体" w:eastAsia="宋体" w:cs="宋体"/>
          <w:color w:val="auto"/>
          <w:kern w:val="0"/>
          <w:szCs w:val="21"/>
          <w:highlight w:val="none"/>
          <w:lang w:eastAsia="zh-CN"/>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7892D43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文件的地点：见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78719BAA">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 除</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须知前附表另有规定外，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所递交的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文件不予退还。</w:t>
      </w:r>
    </w:p>
    <w:p w14:paraId="333575B4">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.4 逾期送达的或者未送达指定地点的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文件，采购人不予受理。</w:t>
      </w:r>
    </w:p>
    <w:p w14:paraId="089256E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23.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文件的修改和撤回</w:t>
      </w:r>
    </w:p>
    <w:p w14:paraId="719856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23.1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在投标截止时间前，可以对所提交的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文件进行补充、修改或者撤回，并书面通知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。补充、修改的内容和撤回通知应当按本须知要求签署、盖章、密封，并作为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文件的组成部分。</w:t>
      </w:r>
    </w:p>
    <w:p w14:paraId="4FECB1E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23.2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截止期后不得修改、撤回</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在投标截止期后修改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文件的，其投标将被拒绝。</w:t>
      </w:r>
    </w:p>
    <w:p w14:paraId="4B6E8295">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五</w:t>
      </w:r>
      <w:r>
        <w:rPr>
          <w:rFonts w:hint="eastAsia" w:ascii="宋体" w:hAnsi="宋体" w:eastAsia="宋体" w:cs="宋体"/>
          <w:b/>
          <w:bCs/>
          <w:color w:val="auto"/>
          <w:kern w:val="0"/>
          <w:sz w:val="28"/>
          <w:szCs w:val="28"/>
          <w:highlight w:val="none"/>
        </w:rPr>
        <w:t>、评标</w:t>
      </w:r>
    </w:p>
    <w:p w14:paraId="520C506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 组建</w:t>
      </w:r>
      <w:r>
        <w:rPr>
          <w:rFonts w:hint="eastAsia" w:ascii="宋体" w:hAnsi="宋体" w:eastAsia="宋体" w:cs="宋体"/>
          <w:b/>
          <w:bCs/>
          <w:color w:val="auto"/>
          <w:kern w:val="0"/>
          <w:szCs w:val="21"/>
          <w:highlight w:val="none"/>
          <w:lang w:eastAsia="zh-CN"/>
        </w:rPr>
        <w:t>磋商小组</w:t>
      </w:r>
    </w:p>
    <w:p w14:paraId="20A8DC5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由采购人代表和评审专家组成。成员由</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人以上单数组成。</w:t>
      </w:r>
      <w:r>
        <w:rPr>
          <w:rFonts w:hint="eastAsia" w:ascii="宋体" w:hAnsi="宋体" w:eastAsia="宋体" w:cs="宋体"/>
          <w:color w:val="auto"/>
          <w:szCs w:val="21"/>
          <w:highlight w:val="none"/>
        </w:rPr>
        <w:t>在开标后由</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szCs w:val="21"/>
          <w:highlight w:val="none"/>
        </w:rPr>
        <w:t>进行审查、质疑、评估和比较，并做合理的建议。</w:t>
      </w:r>
    </w:p>
    <w:p w14:paraId="784A123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成员要依法独立评审，并对评审意见承担个人责任。</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成员对需要共同认定的事项存在争议的，按照少数服从多数的原则</w:t>
      </w:r>
      <w:r>
        <w:rPr>
          <w:rFonts w:hint="eastAsia" w:ascii="宋体" w:hAnsi="宋体" w:eastAsia="宋体" w:cs="宋体"/>
          <w:color w:val="auto"/>
          <w:kern w:val="0"/>
          <w:szCs w:val="21"/>
          <w:highlight w:val="none"/>
        </w:rPr>
        <w:t>做</w:t>
      </w:r>
      <w:r>
        <w:rPr>
          <w:rFonts w:hint="eastAsia" w:ascii="宋体" w:hAnsi="宋体" w:eastAsia="宋体" w:cs="宋体"/>
          <w:color w:val="auto"/>
          <w:szCs w:val="21"/>
          <w:highlight w:val="none"/>
        </w:rPr>
        <w:t>出结论。持不同意见的</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成员应当在评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报告上签署不同意见</w:t>
      </w:r>
      <w:r>
        <w:rPr>
          <w:rFonts w:hint="eastAsia" w:ascii="宋体" w:hAnsi="宋体" w:eastAsia="宋体" w:cs="宋体"/>
          <w:color w:val="auto"/>
          <w:kern w:val="0"/>
          <w:szCs w:val="21"/>
          <w:highlight w:val="none"/>
        </w:rPr>
        <w:t>并说明</w:t>
      </w:r>
      <w:r>
        <w:rPr>
          <w:rFonts w:hint="eastAsia" w:ascii="宋体" w:hAnsi="宋体" w:eastAsia="宋体" w:cs="宋体"/>
          <w:color w:val="auto"/>
          <w:szCs w:val="21"/>
          <w:highlight w:val="none"/>
        </w:rPr>
        <w:t>理由，否则视为同意。</w:t>
      </w:r>
    </w:p>
    <w:p w14:paraId="69F5B638">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szCs w:val="21"/>
          <w:highlight w:val="none"/>
        </w:rPr>
        <w:t>文件的初审</w:t>
      </w:r>
    </w:p>
    <w:p w14:paraId="2FF429BE">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.1对所有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的评估，都采用相同的程序和标准。评标过程将严格按照</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的要求和条件进行。</w:t>
      </w:r>
    </w:p>
    <w:p w14:paraId="598C4B0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.2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进行检查，以确定</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是否完整、有无计算上的错误、文件是否已正确签署等。</w:t>
      </w:r>
    </w:p>
    <w:p w14:paraId="0EA49C9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报价出现前后不一致的，除</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另有规定外，修正错误的原则如下：</w:t>
      </w:r>
    </w:p>
    <w:p w14:paraId="4DF8A71E">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en-US" w:eastAsia="zh-CN"/>
        </w:rPr>
        <w:t>响应文件</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（报价表）内容与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shd w:val="clear" w:color="auto" w:fill="FFFFFF"/>
        </w:rPr>
        <w:t>中相应内容不一致的，以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（报价表）为准；</w:t>
      </w:r>
    </w:p>
    <w:p w14:paraId="0AF4EB71">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shd w:val="clear" w:color="auto" w:fill="FFFFFF"/>
        </w:rPr>
        <w:t>大写金额</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shd w:val="clear" w:color="auto" w:fill="FFFFFF"/>
        </w:rPr>
        <w:t>小写金额不一致的，以大写金额为准；</w:t>
      </w:r>
    </w:p>
    <w:p w14:paraId="7AFACED1">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shd w:val="clear" w:color="auto" w:fill="FFFFFF"/>
        </w:rPr>
        <w:t>单价金额小数点或者百分比有明显错位的，以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的总价为准，并修改单价；</w:t>
      </w:r>
    </w:p>
    <w:p w14:paraId="4657271C">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shd w:val="clear" w:color="auto" w:fill="FFFFFF"/>
        </w:rPr>
        <w:t>总价金额与按单价汇总金额不一致的，以单价金额计算结果为准。</w:t>
      </w:r>
    </w:p>
    <w:p w14:paraId="279D2BF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.3.5对不同文字文本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文件的解释发生异议的，以中文文本为准。</w:t>
      </w:r>
    </w:p>
    <w:p w14:paraId="4C5E5A1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.3.6同时出现两种以上不一致的，按照前款规定的顺序修正。修正后的报价按照财政部87号令第五十一条第二款的规定经</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确认后产生约束力，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不确认的，其投标无效。</w:t>
      </w:r>
    </w:p>
    <w:p w14:paraId="74D8E00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 资格性检查和符合性检查。</w:t>
      </w:r>
    </w:p>
    <w:p w14:paraId="4024825A">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w:t>
      </w:r>
      <w:r>
        <w:rPr>
          <w:rFonts w:hint="eastAsia" w:ascii="宋体" w:hAnsi="宋体" w:eastAsia="宋体" w:cs="宋体"/>
          <w:color w:val="auto"/>
          <w:szCs w:val="21"/>
          <w:highlight w:val="none"/>
        </w:rPr>
        <w:t>资格性检查。依据法规政策和</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的规定，在对</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详细评估之前，采购人将依据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提交的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公告第二项和</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第三章4.</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应提交的证明文件所述的资格标准对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进行资格审查,以确定其是否具备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资格。如果</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资格、不满足</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所规定的资格标准或提供资格证明文件不全,其投标将被作为无效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。在审查过程中，采购人有权要求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按</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的规定提供相关资格证明材料的原件以供审查。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应在规定的时限内提供。</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拒不提供的，或者不能在规定时限内提供的，视为其不具备该资格条件。</w:t>
      </w:r>
    </w:p>
    <w:p w14:paraId="6A6B5FC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.4.2 资格审查后合格的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不足3家的，不得评标。</w:t>
      </w:r>
    </w:p>
    <w:p w14:paraId="49F8D8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 符合性检查。依据</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的规定，</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的有效性、完整性和对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的响应程度进行审查，以确定是否符合对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的实质性要求作出响应。对没有实质性响应的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文件将不进行评估，其投标被作为无效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。凡有下列情况之一者，</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文件也将被视为未实质性响应</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w:t>
      </w:r>
    </w:p>
    <w:p w14:paraId="1C23A94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未按规定签字、盖章的。</w:t>
      </w:r>
    </w:p>
    <w:p w14:paraId="6E4EF709">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未能出具有效身份证明，或与身份不符的。</w:t>
      </w:r>
    </w:p>
    <w:p w14:paraId="73022C2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（3）未按磋商文件规定报价，报价均超过采购预算或最高限价的。</w:t>
      </w:r>
    </w:p>
    <w:p w14:paraId="6909921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（4）响应文件有效期、服务期限等不满足竞争性磋商文件要求的。</w:t>
      </w:r>
    </w:p>
    <w:p w14:paraId="63695260">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（5）未按</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提供的格式填列、项目不齐全或内容虚假的。</w:t>
      </w:r>
    </w:p>
    <w:p w14:paraId="49BC317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的实质性内容未使用中文表述，或意思表述不明确，或前后矛盾，或使用计量单位不符合</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要求的。</w:t>
      </w:r>
    </w:p>
    <w:p w14:paraId="5DD83C6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的关键内容字迹模糊、无法辨认,或</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szCs w:val="21"/>
          <w:highlight w:val="none"/>
        </w:rPr>
        <w:t>文件中经修正的内容字迹模糊无法辩认，或修改处未按规定签名盖章的。</w:t>
      </w:r>
    </w:p>
    <w:p w14:paraId="7DCFCB9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val="en-US" w:eastAsia="zh-CN"/>
        </w:rPr>
        <w:t>响应文件</w:t>
      </w:r>
      <w:r>
        <w:rPr>
          <w:rFonts w:hint="eastAsia" w:ascii="宋体" w:hAnsi="宋体" w:eastAsia="宋体" w:cs="宋体"/>
          <w:color w:val="auto"/>
          <w:szCs w:val="21"/>
          <w:highlight w:val="none"/>
        </w:rPr>
        <w:t>内容未按</w:t>
      </w:r>
      <w:r>
        <w:rPr>
          <w:rFonts w:hint="eastAsia" w:ascii="宋体" w:hAnsi="宋体" w:eastAsia="宋体" w:cs="宋体"/>
          <w:color w:val="auto"/>
          <w:szCs w:val="21"/>
          <w:highlight w:val="none"/>
          <w:lang w:val="en-US" w:eastAsia="zh-CN"/>
        </w:rPr>
        <w:t>竞争性磋商文件</w:t>
      </w:r>
      <w:r>
        <w:rPr>
          <w:rFonts w:hint="eastAsia" w:ascii="宋体" w:hAnsi="宋体" w:eastAsia="宋体" w:cs="宋体"/>
          <w:color w:val="auto"/>
          <w:szCs w:val="21"/>
          <w:highlight w:val="none"/>
        </w:rPr>
        <w:t>响应的。</w:t>
      </w:r>
    </w:p>
    <w:p w14:paraId="01BAF513">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9</w:t>
      </w:r>
      <w:r>
        <w:rPr>
          <w:rFonts w:hint="eastAsia" w:ascii="宋体" w:hAnsi="宋体" w:eastAsia="宋体" w:cs="宋体"/>
          <w:color w:val="auto"/>
          <w:kern w:val="0"/>
          <w:szCs w:val="21"/>
          <w:highlight w:val="none"/>
        </w:rPr>
        <w:t>）不符合</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中规定的其它实质性条款。</w:t>
      </w:r>
    </w:p>
    <w:p w14:paraId="679F4DE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决定投标的响应性只根据</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文件本身的内容，而不寻求其他的外部证据。</w:t>
      </w:r>
    </w:p>
    <w:p w14:paraId="1A62603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.4.4 对资格性检查和符合性检查不合格的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，将</w:t>
      </w:r>
      <w:r>
        <w:rPr>
          <w:rFonts w:hint="eastAsia" w:ascii="宋体" w:hAnsi="宋体" w:eastAsia="宋体" w:cs="宋体"/>
          <w:color w:val="auto"/>
          <w:kern w:val="0"/>
          <w:szCs w:val="21"/>
          <w:highlight w:val="none"/>
          <w:lang w:val="en-US" w:eastAsia="zh-CN"/>
        </w:rPr>
        <w:t>通过评标系统</w:t>
      </w:r>
      <w:r>
        <w:rPr>
          <w:rFonts w:hint="eastAsia" w:ascii="宋体" w:hAnsi="宋体" w:eastAsia="宋体" w:cs="宋体"/>
          <w:color w:val="auto"/>
          <w:kern w:val="0"/>
          <w:szCs w:val="21"/>
          <w:highlight w:val="none"/>
        </w:rPr>
        <w:t>告知其理由。</w:t>
      </w:r>
    </w:p>
    <w:p w14:paraId="74B995EB">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.5 在评审过程中，</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串通投标，其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无效：</w:t>
      </w:r>
    </w:p>
    <w:p w14:paraId="1ED89A2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.5.1不同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异常一致。</w:t>
      </w:r>
    </w:p>
    <w:p w14:paraId="274BE1E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.5.2不同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由同一单位或者个人编制；</w:t>
      </w:r>
    </w:p>
    <w:p w14:paraId="12AF613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.5.3不同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委托同一单位或者个人办理投标事宜；</w:t>
      </w:r>
    </w:p>
    <w:p w14:paraId="6BA5E29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.5.4不同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载明的项目管理成员或者联系人员为同一人；　　</w:t>
      </w:r>
    </w:p>
    <w:p w14:paraId="4F4717B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.5.5不同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相互混装；</w:t>
      </w:r>
    </w:p>
    <w:p w14:paraId="54339768">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.5.6不同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cs="宋体"/>
          <w:color w:val="auto"/>
          <w:szCs w:val="21"/>
          <w:highlight w:val="none"/>
          <w:lang w:val="en-US" w:eastAsia="zh-CN"/>
        </w:rPr>
        <w:t>磋商</w:t>
      </w:r>
      <w:r>
        <w:rPr>
          <w:rFonts w:hint="eastAsia" w:ascii="宋体" w:hAnsi="宋体" w:eastAsia="宋体" w:cs="宋体"/>
          <w:color w:val="auto"/>
          <w:szCs w:val="21"/>
          <w:highlight w:val="none"/>
        </w:rPr>
        <w:t>保证金从同一单位或者个人的账户转出（若收取）。</w:t>
      </w:r>
    </w:p>
    <w:p w14:paraId="5987C29A">
      <w:pPr>
        <w:keepNext w:val="0"/>
        <w:keepLines w:val="0"/>
        <w:pageBreakBefore w:val="0"/>
        <w:widowControl w:val="0"/>
        <w:kinsoku/>
        <w:wordWrap/>
        <w:overflowPunct/>
        <w:topLinePunct w:val="0"/>
        <w:bidi w:val="0"/>
        <w:adjustRightInd w:val="0"/>
        <w:snapToGrid w:val="0"/>
        <w:spacing w:line="360" w:lineRule="auto"/>
        <w:ind w:left="19" w:leftChars="9" w:firstLine="399" w:firstLineChars="19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.5.7 有证据证明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串通投标的其他情形的；</w:t>
      </w:r>
    </w:p>
    <w:p w14:paraId="265D30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 xml:space="preserve">.5.8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认定的其他串通投标情形。</w:t>
      </w:r>
    </w:p>
    <w:p w14:paraId="45E8A6B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文件的澄清</w:t>
      </w:r>
    </w:p>
    <w:p w14:paraId="5137A68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文件中含义不明确、同类问题表述不一致或者有明显文字和计算错误的内容，</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可以书面形式要求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作出必要的澄清。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的澄清应当在</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规定的时间内以书面形式作出，由其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代表签字。但澄清事项不得超出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文件的范围，不得实质性改变</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文件的内容，不得通过澄清等方式对</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实行差别对待。</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不得接受</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主动提出的澄清和解释。</w:t>
      </w:r>
    </w:p>
    <w:p w14:paraId="0216F01B">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比较与评价</w:t>
      </w:r>
    </w:p>
    <w:p w14:paraId="29DCA187">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将按本</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规定的评标方法与标准，对资格性检查和符合性检查合格的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进行商务和技术评估，综合比较与评价。</w:t>
      </w:r>
    </w:p>
    <w:p w14:paraId="68771172">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.2对漏（缺）报项的处理：</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中要求列入报价的费用，漏（缺）报的视同已含在投标总价中。</w:t>
      </w:r>
    </w:p>
    <w:p w14:paraId="4E200004">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不能证明其报价合理性的，</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应当将其作为无效投标处理。</w:t>
      </w:r>
    </w:p>
    <w:p w14:paraId="3A86F42C">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rPr>
        <w:t>. 评标过程及保密原则</w:t>
      </w:r>
    </w:p>
    <w:p w14:paraId="26B5CC7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.1 凡与本次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有关人员对属于审查、澄清、评价和比较</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的有关资料以及定标意向等，均不得向</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或其他人员透露。否则,将按有关规定追究相关人员的责任。</w:t>
      </w:r>
    </w:p>
    <w:p w14:paraId="098EE9D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.2 在评标期间，</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试图影响或干预评审的任何行为，将导致其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，并承担相应的法律责任。</w:t>
      </w:r>
    </w:p>
    <w:p w14:paraId="0DC9F295">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29</w:t>
      </w:r>
      <w:r>
        <w:rPr>
          <w:rFonts w:hint="eastAsia" w:ascii="宋体" w:hAnsi="宋体" w:eastAsia="宋体" w:cs="宋体"/>
          <w:b/>
          <w:color w:val="auto"/>
          <w:kern w:val="0"/>
          <w:szCs w:val="21"/>
          <w:highlight w:val="none"/>
        </w:rPr>
        <w:t>.评标异议登记</w:t>
      </w:r>
    </w:p>
    <w:p w14:paraId="2F71D99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工作人员对评审专家等相关人员在评审过程中发现、提出的异议进行逐项登记。</w:t>
      </w:r>
    </w:p>
    <w:p w14:paraId="49E8DB03">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六</w:t>
      </w:r>
      <w:r>
        <w:rPr>
          <w:rFonts w:hint="eastAsia" w:ascii="宋体" w:hAnsi="宋体" w:eastAsia="宋体" w:cs="宋体"/>
          <w:b/>
          <w:bCs/>
          <w:color w:val="auto"/>
          <w:kern w:val="0"/>
          <w:sz w:val="28"/>
          <w:szCs w:val="28"/>
          <w:highlight w:val="none"/>
        </w:rPr>
        <w:t>、定标</w:t>
      </w:r>
    </w:p>
    <w:p w14:paraId="470BA4A0">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 定标原则</w:t>
      </w:r>
    </w:p>
    <w:p w14:paraId="5AD0191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.1 最低投标价不作为</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的保证。</w:t>
      </w:r>
    </w:p>
    <w:p w14:paraId="4413FFB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竞争性磋商文件</w:t>
      </w:r>
      <w:r>
        <w:rPr>
          <w:rFonts w:hint="eastAsia" w:ascii="宋体" w:hAnsi="宋体" w:eastAsia="宋体" w:cs="宋体"/>
          <w:bCs/>
          <w:color w:val="auto"/>
          <w:kern w:val="0"/>
          <w:szCs w:val="21"/>
          <w:highlight w:val="none"/>
        </w:rPr>
        <w:t>且满足下列条件的为</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bCs/>
          <w:color w:val="auto"/>
          <w:kern w:val="0"/>
          <w:szCs w:val="21"/>
          <w:highlight w:val="none"/>
        </w:rPr>
        <w:t>（或</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w:t>
      </w:r>
    </w:p>
    <w:p w14:paraId="02E8C01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bookmarkStart w:id="47" w:name="_Toc32200"/>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.2.1</w:t>
      </w:r>
      <w:bookmarkEnd w:id="47"/>
      <w:r>
        <w:rPr>
          <w:rFonts w:hint="eastAsia" w:ascii="宋体" w:hAnsi="宋体" w:eastAsia="宋体" w:cs="宋体"/>
          <w:bCs/>
          <w:color w:val="auto"/>
          <w:kern w:val="0"/>
          <w:szCs w:val="21"/>
          <w:highlight w:val="none"/>
        </w:rPr>
        <w:t>本次评标采用</w:t>
      </w:r>
      <w:r>
        <w:rPr>
          <w:rFonts w:hint="eastAsia" w:ascii="宋体" w:hAnsi="宋体" w:eastAsia="宋体" w:cs="宋体"/>
          <w:color w:val="auto"/>
          <w:szCs w:val="21"/>
          <w:highlight w:val="none"/>
        </w:rPr>
        <w:t>综合评分法，是指响应文件满足</w:t>
      </w:r>
      <w:r>
        <w:rPr>
          <w:rFonts w:hint="eastAsia" w:ascii="宋体" w:hAnsi="宋体" w:cs="宋体"/>
          <w:color w:val="auto"/>
          <w:szCs w:val="21"/>
          <w:highlight w:val="none"/>
          <w:lang w:eastAsia="zh-CN"/>
        </w:rPr>
        <w:t>竞争性磋商文件</w:t>
      </w:r>
      <w:r>
        <w:rPr>
          <w:rFonts w:hint="eastAsia" w:ascii="宋体" w:hAnsi="宋体" w:eastAsia="宋体" w:cs="宋体"/>
          <w:color w:val="auto"/>
          <w:szCs w:val="21"/>
          <w:highlight w:val="none"/>
        </w:rPr>
        <w:t>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的评标方法。</w:t>
      </w:r>
    </w:p>
    <w:p w14:paraId="7B136907">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采用综合评分法的，评标结果按评审后得分由高到低顺序排列。</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满足</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为排名第一的</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，以此类推。得分相同的，按</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报价由低到高顺序排列。得分且</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报价相同的，按技术部分得分顺序排列。得分与技术指标优劣均相同的，通过随机抽取产生。</w:t>
      </w:r>
    </w:p>
    <w:p w14:paraId="1362F231">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 确定</w:t>
      </w:r>
      <w:r>
        <w:rPr>
          <w:rFonts w:hint="eastAsia" w:ascii="宋体" w:hAnsi="宋体" w:eastAsia="宋体" w:cs="宋体"/>
          <w:b/>
          <w:bCs/>
          <w:color w:val="auto"/>
          <w:kern w:val="0"/>
          <w:szCs w:val="21"/>
          <w:highlight w:val="none"/>
          <w:lang w:eastAsia="zh-CN"/>
        </w:rPr>
        <w:t>成交供应商</w:t>
      </w:r>
      <w:r>
        <w:rPr>
          <w:rFonts w:hint="eastAsia" w:ascii="宋体" w:hAnsi="宋体" w:eastAsia="宋体" w:cs="宋体"/>
          <w:b/>
          <w:bCs/>
          <w:color w:val="auto"/>
          <w:kern w:val="0"/>
          <w:szCs w:val="21"/>
          <w:highlight w:val="none"/>
        </w:rPr>
        <w:t>和</w:t>
      </w:r>
      <w:r>
        <w:rPr>
          <w:rFonts w:hint="eastAsia" w:ascii="宋体" w:hAnsi="宋体" w:eastAsia="宋体" w:cs="宋体"/>
          <w:b/>
          <w:bCs/>
          <w:color w:val="auto"/>
          <w:kern w:val="0"/>
          <w:szCs w:val="21"/>
          <w:highlight w:val="none"/>
          <w:lang w:eastAsia="zh-CN"/>
        </w:rPr>
        <w:t>成交候选供应商</w:t>
      </w:r>
    </w:p>
    <w:p w14:paraId="1A4C6E5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本项目由采购人授权</w:t>
      </w:r>
      <w:r>
        <w:rPr>
          <w:rFonts w:hint="eastAsia" w:ascii="宋体" w:hAnsi="宋体" w:eastAsia="宋体" w:cs="宋体"/>
          <w:bCs/>
          <w:color w:val="auto"/>
          <w:kern w:val="0"/>
          <w:szCs w:val="21"/>
          <w:highlight w:val="none"/>
          <w:lang w:eastAsia="zh-CN"/>
        </w:rPr>
        <w:t>磋商小组</w:t>
      </w:r>
      <w:r>
        <w:rPr>
          <w:rFonts w:hint="eastAsia" w:ascii="宋体" w:hAnsi="宋体" w:eastAsia="宋体" w:cs="宋体"/>
          <w:bCs/>
          <w:color w:val="auto"/>
          <w:kern w:val="0"/>
          <w:szCs w:val="21"/>
          <w:highlight w:val="none"/>
        </w:rPr>
        <w:t>确定一名</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并推荐</w:t>
      </w:r>
      <w:r>
        <w:rPr>
          <w:rFonts w:hint="eastAsia" w:ascii="宋体" w:hAnsi="宋体" w:cs="宋体"/>
          <w:bCs/>
          <w:color w:val="auto"/>
          <w:kern w:val="0"/>
          <w:szCs w:val="21"/>
          <w:highlight w:val="none"/>
          <w:lang w:val="en-US" w:eastAsia="zh-CN"/>
        </w:rPr>
        <w:t>一</w:t>
      </w:r>
      <w:r>
        <w:rPr>
          <w:rFonts w:hint="eastAsia" w:ascii="宋体" w:hAnsi="宋体" w:eastAsia="宋体" w:cs="宋体"/>
          <w:bCs/>
          <w:color w:val="auto"/>
          <w:kern w:val="0"/>
          <w:szCs w:val="21"/>
          <w:highlight w:val="none"/>
        </w:rPr>
        <w:t>名</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color w:val="auto"/>
          <w:kern w:val="0"/>
          <w:szCs w:val="21"/>
          <w:highlight w:val="none"/>
        </w:rPr>
        <w:t>。</w:t>
      </w:r>
    </w:p>
    <w:p w14:paraId="68B24569">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成交通知书</w:t>
      </w:r>
      <w:r>
        <w:rPr>
          <w:rFonts w:hint="eastAsia" w:ascii="宋体" w:hAnsi="宋体" w:eastAsia="宋体" w:cs="宋体"/>
          <w:b/>
          <w:bCs/>
          <w:color w:val="auto"/>
          <w:kern w:val="0"/>
          <w:szCs w:val="21"/>
          <w:highlight w:val="none"/>
        </w:rPr>
        <w:t>及</w:t>
      </w:r>
      <w:r>
        <w:rPr>
          <w:rFonts w:hint="eastAsia" w:ascii="宋体" w:hAnsi="宋体" w:cs="宋体"/>
          <w:b/>
          <w:bCs/>
          <w:color w:val="auto"/>
          <w:kern w:val="0"/>
          <w:szCs w:val="21"/>
          <w:highlight w:val="none"/>
          <w:lang w:eastAsia="zh-CN"/>
        </w:rPr>
        <w:t>成交</w:t>
      </w:r>
      <w:r>
        <w:rPr>
          <w:rFonts w:hint="eastAsia" w:ascii="宋体" w:hAnsi="宋体" w:cs="宋体"/>
          <w:b/>
          <w:bCs/>
          <w:color w:val="auto"/>
          <w:kern w:val="0"/>
          <w:szCs w:val="21"/>
          <w:highlight w:val="none"/>
          <w:lang w:val="en-US" w:eastAsia="zh-CN"/>
        </w:rPr>
        <w:t>结果</w:t>
      </w:r>
      <w:r>
        <w:rPr>
          <w:rFonts w:hint="eastAsia" w:ascii="宋体" w:hAnsi="宋体" w:eastAsia="宋体" w:cs="宋体"/>
          <w:b/>
          <w:bCs/>
          <w:color w:val="auto"/>
          <w:kern w:val="0"/>
          <w:szCs w:val="21"/>
          <w:highlight w:val="none"/>
        </w:rPr>
        <w:t>公告</w:t>
      </w:r>
    </w:p>
    <w:p w14:paraId="74627CA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.1评审结束后，</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人将</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的情况在本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项目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公告发布的同一媒介予以公示，公示</w:t>
      </w:r>
      <w:r>
        <w:rPr>
          <w:rFonts w:hint="eastAsia" w:ascii="宋体" w:hAnsi="宋体" w:eastAsia="宋体" w:cs="宋体"/>
          <w:color w:val="auto"/>
          <w:kern w:val="0"/>
          <w:szCs w:val="21"/>
          <w:highlight w:val="none"/>
          <w:lang w:eastAsia="zh-CN"/>
        </w:rPr>
        <w:t>期限</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个工作日</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公示期结束后</w:t>
      </w:r>
      <w:r>
        <w:rPr>
          <w:rFonts w:hint="eastAsia" w:ascii="宋体" w:hAnsi="宋体" w:eastAsia="宋体" w:cs="宋体"/>
          <w:color w:val="auto"/>
          <w:kern w:val="0"/>
          <w:szCs w:val="21"/>
          <w:highlight w:val="none"/>
        </w:rPr>
        <w:t>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w:t>
      </w:r>
    </w:p>
    <w:p w14:paraId="16C5689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在规定的时间内不领取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的，视为</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在有效报价中报价最低,非不可抗力放弃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资格的。发生上述情况的承担由此引起的一切后果。</w:t>
      </w:r>
    </w:p>
    <w:p w14:paraId="247B0E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对采购人和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具有同等法律效力。</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发出后，采购人改变</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结果，或者</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，应按相关法律、规章、规范性文件的要求承担相应的法律责任。</w:t>
      </w:r>
    </w:p>
    <w:p w14:paraId="744B013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bCs/>
          <w:color w:val="auto"/>
          <w:kern w:val="0"/>
          <w:szCs w:val="21"/>
          <w:highlight w:val="none"/>
        </w:rPr>
        <w:t>.4</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将作为签订合同的依据。合同签订后，</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成为合同的一部分。</w:t>
      </w:r>
    </w:p>
    <w:p w14:paraId="3650A538">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 采购人宣布废标的权利</w:t>
      </w:r>
    </w:p>
    <w:p w14:paraId="12308D9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.1出现下列情况之一时，采购人有权宣布废标，并将理由通知所有</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w:t>
      </w:r>
    </w:p>
    <w:p w14:paraId="60B7851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.1.1出现影响采购公正的违法、违规行为的。</w:t>
      </w:r>
    </w:p>
    <w:p w14:paraId="47356DB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.1.2</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的报价均超过了</w:t>
      </w:r>
      <w:r>
        <w:rPr>
          <w:rFonts w:hint="eastAsia" w:ascii="宋体" w:hAnsi="宋体" w:eastAsia="宋体" w:cs="宋体"/>
          <w:bCs/>
          <w:color w:val="auto"/>
          <w:kern w:val="0"/>
          <w:szCs w:val="21"/>
          <w:highlight w:val="none"/>
          <w:lang w:val="en-US" w:eastAsia="zh-CN"/>
        </w:rPr>
        <w:t>采购预算金额</w:t>
      </w:r>
      <w:r>
        <w:rPr>
          <w:rFonts w:hint="eastAsia" w:ascii="宋体" w:hAnsi="宋体" w:eastAsia="宋体" w:cs="宋体"/>
          <w:bCs/>
          <w:color w:val="auto"/>
          <w:kern w:val="0"/>
          <w:szCs w:val="21"/>
          <w:highlight w:val="none"/>
        </w:rPr>
        <w:t>，采购人不能支付的。</w:t>
      </w:r>
    </w:p>
    <w:p w14:paraId="4938A69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.1.3因重大变故，采购任务取消的。</w:t>
      </w:r>
    </w:p>
    <w:p w14:paraId="502FEE8F">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szCs w:val="21"/>
          <w:highlight w:val="none"/>
        </w:rPr>
        <w:t>投标截止后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不足3家或通过资格性检查或符合性检查的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不足3家的，除采购任务取消情形外，按照以下方式处理：</w:t>
      </w:r>
    </w:p>
    <w:p w14:paraId="7B1F39BD">
      <w:pPr>
        <w:keepNext w:val="0"/>
        <w:keepLines w:val="0"/>
        <w:pageBreakBefore w:val="0"/>
        <w:widowControl w:val="0"/>
        <w:numPr>
          <w:ilvl w:val="0"/>
          <w:numId w:val="2"/>
        </w:numPr>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存在不合理条款或者招标程序不符合规定的，采购人正后依法重新招标；　</w:t>
      </w:r>
    </w:p>
    <w:p w14:paraId="569FAD42">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b/>
          <w:color w:val="auto"/>
          <w:kern w:val="0"/>
          <w:sz w:val="52"/>
          <w:szCs w:val="52"/>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没有不合理条款、招标程序符合规定，需要采用其他采购方式采购的，采购人应当依法报财政部门批准。</w:t>
      </w:r>
    </w:p>
    <w:p w14:paraId="323567DB">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七</w:t>
      </w:r>
      <w:r>
        <w:rPr>
          <w:rFonts w:hint="eastAsia" w:ascii="宋体" w:hAnsi="宋体" w:eastAsia="宋体" w:cs="宋体"/>
          <w:b/>
          <w:bCs/>
          <w:color w:val="auto"/>
          <w:kern w:val="0"/>
          <w:sz w:val="28"/>
          <w:szCs w:val="28"/>
          <w:highlight w:val="none"/>
        </w:rPr>
        <w:t>、合同授予</w:t>
      </w:r>
    </w:p>
    <w:p w14:paraId="18143EC0">
      <w:pPr>
        <w:keepNext w:val="0"/>
        <w:keepLines w:val="0"/>
        <w:pageBreakBefore w:val="0"/>
        <w:widowControl w:val="0"/>
        <w:kinsoku/>
        <w:wordWrap/>
        <w:overflowPunct/>
        <w:topLinePunct w:val="0"/>
        <w:bidi w:val="0"/>
        <w:snapToGrid w:val="0"/>
        <w:spacing w:line="360" w:lineRule="auto"/>
        <w:ind w:firstLine="472" w:firstLineChars="224"/>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.合同签订</w:t>
      </w:r>
    </w:p>
    <w:p w14:paraId="39FB105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u w:val="single"/>
        </w:rPr>
      </w:pPr>
      <w:bookmarkStart w:id="48" w:name="_Toc8594"/>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 采购人、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第三章《</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须知前附表》规定的时间内，根据</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确定的事项和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签订合同。双方所签订的合同不得对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作实质性修改。</w:t>
      </w:r>
    </w:p>
    <w:p w14:paraId="04D605A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.2 </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的修改文件、</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所列采购项目的互补性法律文件，与合同具有同等法律效力。</w:t>
      </w:r>
    </w:p>
    <w:p w14:paraId="5EC13C8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.3 </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、因不可抗力不能履行合同、不按照</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要求提交履约保证金，或者被查实存在影响</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结果的违法行为等情形，不符合</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条件的，采购人可以按照</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提出的</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名单排序依次确定其他</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，也可以重新招标。</w:t>
      </w:r>
      <w:bookmarkEnd w:id="48"/>
      <w:r>
        <w:rPr>
          <w:rFonts w:hint="eastAsia" w:ascii="宋体" w:hAnsi="宋体" w:eastAsia="宋体" w:cs="宋体"/>
          <w:color w:val="auto"/>
          <w:highlight w:val="none"/>
        </w:rPr>
        <w:br w:type="page"/>
      </w:r>
    </w:p>
    <w:p w14:paraId="305D3E70">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hint="eastAsia" w:ascii="宋体" w:hAnsi="宋体" w:eastAsia="宋体" w:cs="宋体"/>
          <w:color w:val="auto"/>
          <w:kern w:val="0"/>
          <w:sz w:val="24"/>
          <w:highlight w:val="none"/>
        </w:rPr>
      </w:pPr>
      <w:bookmarkStart w:id="49" w:name="_Toc31399"/>
      <w:r>
        <w:rPr>
          <w:rFonts w:hint="eastAsia" w:ascii="宋体" w:hAnsi="宋体" w:eastAsia="宋体" w:cs="宋体"/>
          <w:b/>
          <w:bCs/>
          <w:color w:val="auto"/>
          <w:kern w:val="0"/>
          <w:sz w:val="32"/>
          <w:szCs w:val="32"/>
          <w:highlight w:val="none"/>
        </w:rPr>
        <w:t>第四章  评标办法及评分标准</w:t>
      </w:r>
      <w:bookmarkEnd w:id="45"/>
      <w:bookmarkEnd w:id="49"/>
    </w:p>
    <w:p w14:paraId="6F4C4186">
      <w:pPr>
        <w:rPr>
          <w:rFonts w:hint="eastAsia" w:ascii="宋体" w:hAnsi="宋体" w:eastAsia="宋体" w:cs="宋体"/>
          <w:color w:val="auto"/>
          <w:highlight w:val="none"/>
        </w:rPr>
      </w:pPr>
    </w:p>
    <w:p w14:paraId="5FA8D29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14:paraId="5A6B0AB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竞争性磋商文件</w:t>
      </w:r>
      <w:r>
        <w:rPr>
          <w:rFonts w:hint="eastAsia" w:ascii="宋体" w:hAnsi="宋体" w:eastAsia="宋体" w:cs="宋体"/>
          <w:b w:val="0"/>
          <w:bCs w:val="0"/>
          <w:color w:val="auto"/>
          <w:sz w:val="21"/>
          <w:szCs w:val="21"/>
          <w:highlight w:val="none"/>
        </w:rPr>
        <w:t>的相关规定进行评标、定标。</w:t>
      </w:r>
    </w:p>
    <w:p w14:paraId="2CA30BD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14:paraId="5807D4BC">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14:paraId="3CDF010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竞争性磋商文件</w:t>
      </w:r>
      <w:r>
        <w:rPr>
          <w:rFonts w:hint="eastAsia" w:ascii="宋体" w:hAnsi="宋体" w:eastAsia="宋体" w:cs="宋体"/>
          <w:b w:val="0"/>
          <w:bCs w:val="0"/>
          <w:color w:val="auto"/>
          <w:sz w:val="21"/>
          <w:szCs w:val="21"/>
          <w:highlight w:val="none"/>
        </w:rPr>
        <w:t>中规定的评标方法和标准，对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文件进行综合比较与评价。</w:t>
      </w:r>
    </w:p>
    <w:p w14:paraId="4CECA87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14:paraId="1E8C2FFB">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文件满足</w:t>
      </w:r>
      <w:r>
        <w:rPr>
          <w:rFonts w:hint="eastAsia" w:ascii="宋体" w:hAnsi="宋体" w:cs="宋体"/>
          <w:b w:val="0"/>
          <w:bCs w:val="0"/>
          <w:color w:val="auto"/>
          <w:sz w:val="21"/>
          <w:szCs w:val="21"/>
          <w:highlight w:val="none"/>
          <w:lang w:val="en-US" w:eastAsia="zh-CN"/>
        </w:rPr>
        <w:t>竞争性磋商文件</w:t>
      </w:r>
      <w:r>
        <w:rPr>
          <w:rFonts w:hint="eastAsia" w:ascii="宋体" w:hAnsi="宋体" w:eastAsia="宋体" w:cs="宋体"/>
          <w:b w:val="0"/>
          <w:bCs w:val="0"/>
          <w:color w:val="auto"/>
          <w:sz w:val="21"/>
          <w:szCs w:val="21"/>
          <w:highlight w:val="none"/>
        </w:rPr>
        <w:t>全部实质性要求，且评审得分最高的</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eastAsia="zh-CN"/>
        </w:rPr>
        <w:t>成交供应商</w:t>
      </w:r>
      <w:r>
        <w:rPr>
          <w:rFonts w:hint="eastAsia" w:ascii="宋体" w:hAnsi="宋体" w:eastAsia="宋体" w:cs="宋体"/>
          <w:b w:val="0"/>
          <w:bCs w:val="0"/>
          <w:color w:val="auto"/>
          <w:sz w:val="21"/>
          <w:szCs w:val="21"/>
          <w:highlight w:val="none"/>
        </w:rPr>
        <w:t>。</w:t>
      </w:r>
    </w:p>
    <w:p w14:paraId="328CEB9D">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14:paraId="7CCCB1DD">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详细评审（100分）</w:t>
      </w:r>
    </w:p>
    <w:tbl>
      <w:tblPr>
        <w:tblStyle w:val="33"/>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1362"/>
        <w:gridCol w:w="6922"/>
      </w:tblGrid>
      <w:tr w14:paraId="075DD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482" w:type="dxa"/>
            <w:gridSpan w:val="3"/>
            <w:noWrap w:val="0"/>
            <w:vAlign w:val="center"/>
          </w:tcPr>
          <w:p w14:paraId="3DF9DE90">
            <w:pPr>
              <w:keepNext w:val="0"/>
              <w:keepLines w:val="0"/>
              <w:pageBreakBefore w:val="0"/>
              <w:widowControl w:val="0"/>
              <w:tabs>
                <w:tab w:val="left" w:pos="3000"/>
              </w:tabs>
              <w:kinsoku/>
              <w:wordWrap/>
              <w:overflowPunct/>
              <w:topLinePunct w:val="0"/>
              <w:autoSpaceDE/>
              <w:autoSpaceDN/>
              <w:bidi w:val="0"/>
              <w:adjustRightInd/>
              <w:snapToGrid w:val="0"/>
              <w:spacing w:line="34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14:paraId="29F02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98" w:type="dxa"/>
            <w:noWrap w:val="0"/>
            <w:vAlign w:val="center"/>
          </w:tcPr>
          <w:p w14:paraId="2EEF5365">
            <w:pPr>
              <w:keepNext w:val="0"/>
              <w:keepLines w:val="0"/>
              <w:pageBreakBefore w:val="0"/>
              <w:kinsoku/>
              <w:wordWrap/>
              <w:overflowPunct/>
              <w:topLinePunct w:val="0"/>
              <w:bidi w:val="0"/>
              <w:snapToGrid w:val="0"/>
              <w:spacing w:line="340" w:lineRule="exact"/>
              <w:textAlignment w:val="auto"/>
              <w:rPr>
                <w:rFonts w:hint="eastAsia" w:ascii="宋体" w:hAnsi="宋体" w:eastAsia="宋体" w:cs="宋体"/>
                <w:b w:val="0"/>
                <w:bCs w:val="0"/>
                <w:color w:val="auto"/>
                <w:sz w:val="21"/>
                <w:szCs w:val="21"/>
                <w:highlight w:val="red"/>
                <w:lang w:eastAsia="zh-CN"/>
              </w:rPr>
            </w:pPr>
            <w:r>
              <w:rPr>
                <w:rFonts w:hint="eastAsia" w:ascii="宋体" w:hAnsi="宋体" w:eastAsia="宋体" w:cs="宋体"/>
                <w:b w:val="0"/>
                <w:bCs w:val="0"/>
                <w:color w:val="auto"/>
                <w:sz w:val="21"/>
                <w:szCs w:val="21"/>
                <w:highlight w:val="none"/>
              </w:rPr>
              <w:t>价格标部分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30分</w:t>
            </w:r>
            <w:r>
              <w:rPr>
                <w:rFonts w:hint="eastAsia" w:ascii="宋体" w:hAnsi="宋体" w:eastAsia="宋体" w:cs="宋体"/>
                <w:b w:val="0"/>
                <w:bCs w:val="0"/>
                <w:color w:val="auto"/>
                <w:sz w:val="21"/>
                <w:szCs w:val="21"/>
                <w:highlight w:val="none"/>
                <w:lang w:eastAsia="zh-CN"/>
              </w:rPr>
              <w:t>）</w:t>
            </w:r>
          </w:p>
        </w:tc>
        <w:tc>
          <w:tcPr>
            <w:tcW w:w="8284" w:type="dxa"/>
            <w:gridSpan w:val="2"/>
            <w:noWrap w:val="0"/>
            <w:vAlign w:val="center"/>
          </w:tcPr>
          <w:p w14:paraId="3CE5B2AC">
            <w:pPr>
              <w:pStyle w:val="5"/>
              <w:keepNext w:val="0"/>
              <w:keepLines w:val="0"/>
              <w:pageBreakBefore w:val="0"/>
              <w:kinsoku/>
              <w:wordWrap/>
              <w:overflowPunct/>
              <w:topLinePunct w:val="0"/>
              <w:bidi w:val="0"/>
              <w:snapToGrid w:val="0"/>
              <w:spacing w:line="320" w:lineRule="exact"/>
              <w:ind w:firstLine="420" w:firstLineChars="200"/>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发现</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w:t>
            </w:r>
            <w:r>
              <w:rPr>
                <w:rFonts w:hint="eastAsia" w:hAnsi="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报价明显低于其他</w:t>
            </w:r>
            <w:r>
              <w:rPr>
                <w:rFonts w:hint="eastAsia" w:hAnsi="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报价，使其</w:t>
            </w:r>
            <w:r>
              <w:rPr>
                <w:rFonts w:hint="eastAsia" w:hAnsi="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报价可能低于其个别成本的，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可对其质询，并要求该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做出书面说明和提供相关的证明材料；该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不能合理说明或提供证明材料的，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应按无效投标处理。</w:t>
            </w:r>
          </w:p>
          <w:p w14:paraId="385C4E51">
            <w:pPr>
              <w:keepNext w:val="0"/>
              <w:keepLines w:val="0"/>
              <w:pageBreakBefore w:val="0"/>
              <w:kinsoku/>
              <w:wordWrap/>
              <w:overflowPunct/>
              <w:topLinePunct w:val="0"/>
              <w:bidi w:val="0"/>
              <w:snapToGrid w:val="0"/>
              <w:spacing w:line="34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cs="宋体"/>
                <w:b w:val="0"/>
                <w:bCs w:val="0"/>
                <w:color w:val="auto"/>
                <w:sz w:val="21"/>
                <w:szCs w:val="21"/>
                <w:highlight w:val="none"/>
                <w:lang w:eastAsia="zh-CN"/>
              </w:rPr>
              <w:t>水泵</w:t>
            </w:r>
            <w:r>
              <w:rPr>
                <w:rFonts w:hint="eastAsia" w:ascii="宋体" w:hAnsi="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报价得分计算方法:</w:t>
            </w:r>
          </w:p>
          <w:p w14:paraId="1140D007">
            <w:pPr>
              <w:keepNext w:val="0"/>
              <w:keepLines w:val="0"/>
              <w:pageBreakBefore w:val="0"/>
              <w:kinsoku/>
              <w:wordWrap/>
              <w:overflowPunct/>
              <w:topLinePunct w:val="0"/>
              <w:bidi w:val="0"/>
              <w:snapToGrid w:val="0"/>
              <w:spacing w:line="34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水泵</w:t>
            </w:r>
            <w:r>
              <w:rPr>
                <w:rFonts w:hint="eastAsia" w:ascii="宋体" w:hAnsi="宋体" w:eastAsia="宋体" w:cs="宋体"/>
                <w:b w:val="0"/>
                <w:bCs w:val="0"/>
                <w:color w:val="auto"/>
                <w:sz w:val="21"/>
                <w:szCs w:val="21"/>
                <w:highlight w:val="none"/>
              </w:rPr>
              <w:t>费</w:t>
            </w:r>
            <w:r>
              <w:rPr>
                <w:rFonts w:hint="eastAsia" w:ascii="宋体" w:hAnsi="宋体" w:cs="宋体"/>
                <w:b w:val="0"/>
                <w:bCs w:val="0"/>
                <w:color w:val="auto"/>
                <w:sz w:val="21"/>
                <w:szCs w:val="21"/>
                <w:highlight w:val="none"/>
                <w:lang w:val="en-US" w:eastAsia="zh-CN"/>
              </w:rPr>
              <w:t>磋商报价</w:t>
            </w:r>
            <w:r>
              <w:rPr>
                <w:rFonts w:hint="eastAsia" w:ascii="宋体" w:hAnsi="宋体" w:eastAsia="宋体" w:cs="宋体"/>
                <w:b w:val="0"/>
                <w:bCs w:val="0"/>
                <w:color w:val="auto"/>
                <w:sz w:val="21"/>
                <w:szCs w:val="21"/>
                <w:highlight w:val="none"/>
              </w:rPr>
              <w:t>基准值的确定:满足采购文件要求且投标价格最低的有效</w:t>
            </w:r>
            <w:r>
              <w:rPr>
                <w:rFonts w:hint="eastAsia" w:ascii="宋体" w:hAnsi="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报价为</w:t>
            </w:r>
            <w:r>
              <w:rPr>
                <w:rFonts w:hint="eastAsia" w:ascii="宋体" w:hAnsi="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基准价。</w:t>
            </w:r>
          </w:p>
          <w:p w14:paraId="5CB9DEE1">
            <w:pPr>
              <w:keepNext w:val="0"/>
              <w:keepLines w:val="0"/>
              <w:pageBreakBefore w:val="0"/>
              <w:kinsoku/>
              <w:wordWrap/>
              <w:overflowPunct/>
              <w:topLinePunct w:val="0"/>
              <w:bidi w:val="0"/>
              <w:snapToGrid w:val="0"/>
              <w:spacing w:line="34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水泵</w:t>
            </w:r>
            <w:r>
              <w:rPr>
                <w:rFonts w:hint="eastAsia" w:ascii="宋体" w:hAnsi="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报价得分=(</w:t>
            </w:r>
            <w:r>
              <w:rPr>
                <w:rFonts w:hint="eastAsia" w:ascii="宋体" w:hAnsi="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基准价/有效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15分</w:t>
            </w:r>
          </w:p>
          <w:p w14:paraId="70F80265">
            <w:pPr>
              <w:keepNext w:val="0"/>
              <w:keepLines w:val="0"/>
              <w:pageBreakBefore w:val="0"/>
              <w:kinsoku/>
              <w:wordWrap/>
              <w:overflowPunct/>
              <w:topLinePunct w:val="0"/>
              <w:bidi w:val="0"/>
              <w:snapToGrid w:val="0"/>
              <w:spacing w:line="34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人工费</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报价得分计算方法:</w:t>
            </w:r>
          </w:p>
          <w:p w14:paraId="3EBBAB93">
            <w:pPr>
              <w:keepNext w:val="0"/>
              <w:keepLines w:val="0"/>
              <w:pageBreakBefore w:val="0"/>
              <w:kinsoku/>
              <w:wordWrap/>
              <w:overflowPunct/>
              <w:topLinePunct w:val="0"/>
              <w:bidi w:val="0"/>
              <w:snapToGrid w:val="0"/>
              <w:spacing w:line="34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人工费</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基准值的确定:满足采购文件要求且</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价格(综合单价折扣率)最低的有效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报价为</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基准价。</w:t>
            </w:r>
          </w:p>
          <w:p w14:paraId="14735845">
            <w:pPr>
              <w:keepNext w:val="0"/>
              <w:keepLines w:val="0"/>
              <w:pageBreakBefore w:val="0"/>
              <w:kinsoku/>
              <w:wordWrap/>
              <w:overflowPunct/>
              <w:topLinePunct w:val="0"/>
              <w:bidi w:val="0"/>
              <w:snapToGrid w:val="0"/>
              <w:spacing w:line="34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人工费</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报价得分=(</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基准价/有效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分</w:t>
            </w:r>
          </w:p>
          <w:p w14:paraId="233B4571">
            <w:pPr>
              <w:keepNext w:val="0"/>
              <w:keepLines w:val="0"/>
              <w:pageBreakBefore w:val="0"/>
              <w:kinsoku/>
              <w:wordWrap/>
              <w:overflowPunct/>
              <w:topLinePunct w:val="0"/>
              <w:bidi w:val="0"/>
              <w:snapToGrid w:val="0"/>
              <w:spacing w:line="340" w:lineRule="exact"/>
              <w:textAlignment w:val="auto"/>
              <w:rPr>
                <w:rFonts w:hint="default" w:ascii="宋体" w:hAnsi="宋体" w:eastAsia="宋体" w:cs="宋体"/>
                <w:b w:val="0"/>
                <w:bCs w:val="0"/>
                <w:color w:val="auto"/>
                <w:sz w:val="21"/>
                <w:szCs w:val="21"/>
                <w:highlight w:val="red"/>
                <w:lang w:val="en-US" w:eastAsia="zh-CN"/>
              </w:rPr>
            </w:pPr>
            <w:r>
              <w:rPr>
                <w:rFonts w:hint="eastAsia" w:ascii="宋体" w:hAnsi="宋体" w:cs="宋体"/>
                <w:b w:val="0"/>
                <w:bCs w:val="0"/>
                <w:color w:val="auto"/>
                <w:sz w:val="21"/>
                <w:szCs w:val="21"/>
                <w:highlight w:val="none"/>
                <w:lang w:val="en-US" w:eastAsia="zh-CN"/>
              </w:rPr>
              <w:t>价格</w:t>
            </w:r>
            <w:r>
              <w:rPr>
                <w:rFonts w:hint="eastAsia" w:ascii="宋体" w:hAnsi="宋体" w:eastAsia="宋体" w:cs="宋体"/>
                <w:b w:val="0"/>
                <w:bCs w:val="0"/>
                <w:color w:val="auto"/>
                <w:sz w:val="21"/>
                <w:szCs w:val="21"/>
                <w:highlight w:val="none"/>
              </w:rPr>
              <w:t>分值计算保留小数点后两位，小数点后第三位“四舍五入”。</w:t>
            </w:r>
          </w:p>
        </w:tc>
      </w:tr>
      <w:tr w14:paraId="590F8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198" w:type="dxa"/>
            <w:vMerge w:val="restart"/>
            <w:noWrap w:val="0"/>
            <w:vAlign w:val="center"/>
          </w:tcPr>
          <w:p w14:paraId="5D6001CF">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green"/>
                <w:lang w:eastAsia="zh-CN"/>
              </w:rPr>
            </w:pPr>
            <w:r>
              <w:rPr>
                <w:rFonts w:hint="eastAsia" w:ascii="宋体" w:hAnsi="宋体" w:eastAsia="宋体" w:cs="宋体"/>
                <w:b w:val="0"/>
                <w:bCs w:val="0"/>
                <w:color w:val="auto"/>
                <w:sz w:val="21"/>
                <w:szCs w:val="21"/>
                <w:highlight w:val="none"/>
                <w:lang w:val="en-US" w:eastAsia="zh-CN"/>
              </w:rPr>
              <w:t>技术部分</w:t>
            </w:r>
            <w:r>
              <w:rPr>
                <w:rFonts w:hint="eastAsia" w:ascii="宋体" w:hAnsi="宋体" w:cs="宋体"/>
                <w:b w:val="0"/>
                <w:bCs w:val="0"/>
                <w:color w:val="auto"/>
                <w:sz w:val="21"/>
                <w:szCs w:val="21"/>
                <w:highlight w:val="none"/>
                <w:lang w:val="en-US" w:eastAsia="zh-CN"/>
              </w:rPr>
              <w:t>（50分）</w:t>
            </w:r>
          </w:p>
        </w:tc>
        <w:tc>
          <w:tcPr>
            <w:tcW w:w="1362" w:type="dxa"/>
            <w:noWrap w:val="0"/>
            <w:vAlign w:val="center"/>
          </w:tcPr>
          <w:p w14:paraId="45513028">
            <w:pPr>
              <w:pStyle w:val="98"/>
              <w:wordWrap w:val="0"/>
              <w:spacing w:line="320" w:lineRule="exact"/>
              <w:jc w:val="center"/>
              <w:rPr>
                <w:rFonts w:hint="eastAsia" w:ascii="宋体" w:hAnsi="宋体" w:cs="宋体"/>
                <w:color w:val="auto"/>
                <w:szCs w:val="21"/>
                <w:highlight w:val="none"/>
              </w:rPr>
            </w:pPr>
            <w:r>
              <w:rPr>
                <w:rFonts w:hint="eastAsia" w:ascii="宋体" w:hAnsi="宋体" w:cs="宋体"/>
                <w:color w:val="auto"/>
                <w:sz w:val="21"/>
                <w:szCs w:val="21"/>
                <w:lang w:val="en-US" w:eastAsia="zh-CN"/>
              </w:rPr>
              <w:t>1.技术参数（20分）</w:t>
            </w:r>
          </w:p>
        </w:tc>
        <w:tc>
          <w:tcPr>
            <w:tcW w:w="6922" w:type="dxa"/>
            <w:noWrap w:val="0"/>
            <w:vAlign w:val="center"/>
          </w:tcPr>
          <w:p w14:paraId="7629717D">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供应商对“第二章 采购需求 四、技术要求”技术参数的响应，全部满足磋商文件要求得20分，不满足的扣5分，扣完为止；如得分为0，则磋商文件无效。</w:t>
            </w:r>
          </w:p>
        </w:tc>
      </w:tr>
      <w:tr w14:paraId="66014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4" w:hRule="atLeast"/>
          <w:jc w:val="center"/>
        </w:trPr>
        <w:tc>
          <w:tcPr>
            <w:tcW w:w="1198" w:type="dxa"/>
            <w:vMerge w:val="continue"/>
            <w:noWrap w:val="0"/>
            <w:vAlign w:val="center"/>
          </w:tcPr>
          <w:p w14:paraId="7932009A">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green"/>
                <w:lang w:eastAsia="zh-CN"/>
              </w:rPr>
            </w:pPr>
          </w:p>
        </w:tc>
        <w:tc>
          <w:tcPr>
            <w:tcW w:w="1362" w:type="dxa"/>
            <w:noWrap w:val="0"/>
            <w:vAlign w:val="center"/>
          </w:tcPr>
          <w:p w14:paraId="5CC8FDE5">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color w:val="auto"/>
                <w:szCs w:val="21"/>
                <w:highlight w:val="none"/>
                <w:lang w:val="en-US" w:eastAsia="zh-CN"/>
              </w:rPr>
              <w:t>2</w:t>
            </w:r>
            <w:r>
              <w:rPr>
                <w:rFonts w:ascii="宋体" w:hAnsi="宋体" w:cs="宋体"/>
                <w:color w:val="auto"/>
                <w:szCs w:val="21"/>
                <w:highlight w:val="none"/>
              </w:rPr>
              <w:t>.</w:t>
            </w:r>
            <w:r>
              <w:rPr>
                <w:rFonts w:hint="eastAsia" w:ascii="宋体" w:hAnsi="宋体" w:cs="宋体"/>
                <w:color w:val="auto"/>
                <w:szCs w:val="21"/>
                <w:highlight w:val="none"/>
              </w:rPr>
              <w:t>服务方案（</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tc>
        <w:tc>
          <w:tcPr>
            <w:tcW w:w="6922" w:type="dxa"/>
            <w:noWrap w:val="0"/>
            <w:vAlign w:val="center"/>
          </w:tcPr>
          <w:p w14:paraId="2EAAD00E">
            <w:pPr>
              <w:widowControl/>
              <w:snapToGrid w:val="0"/>
              <w:spacing w:line="320" w:lineRule="exact"/>
              <w:rPr>
                <w:rFonts w:ascii="宋体" w:cs="宋体"/>
                <w:color w:val="auto"/>
                <w:szCs w:val="21"/>
                <w:highlight w:val="none"/>
              </w:rPr>
            </w:pPr>
            <w:r>
              <w:rPr>
                <w:rFonts w:hint="eastAsia" w:ascii="宋体" w:hAnsi="宋体" w:cs="宋体"/>
                <w:color w:val="auto"/>
                <w:szCs w:val="21"/>
                <w:highlight w:val="none"/>
              </w:rPr>
              <w:t>根据供应商制定的服务方案进行打分，包括但不仅限于：</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方案、日常巡查方案、常见故障分析及预防措施、</w:t>
            </w:r>
            <w:r>
              <w:rPr>
                <w:rFonts w:hint="eastAsia" w:ascii="宋体" w:hAnsi="宋体" w:cs="宋体"/>
                <w:color w:val="auto"/>
                <w:szCs w:val="21"/>
                <w:highlight w:val="none"/>
                <w:lang w:val="en-US" w:eastAsia="zh-CN"/>
              </w:rPr>
              <w:t>安全防护方案、</w:t>
            </w:r>
            <w:r>
              <w:rPr>
                <w:rFonts w:hint="eastAsia" w:ascii="宋体" w:hAnsi="宋体" w:cs="宋体"/>
                <w:color w:val="auto"/>
                <w:szCs w:val="21"/>
                <w:highlight w:val="none"/>
              </w:rPr>
              <w:t>质量保证措施、现场维修响应时间等。</w:t>
            </w:r>
          </w:p>
          <w:p w14:paraId="3AA43442">
            <w:pPr>
              <w:widowControl/>
              <w:snapToGrid w:val="0"/>
              <w:spacing w:line="32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内容详实，方案科学、合理，有详细明确的工作计划和严格的管理措施，各服务环节计划方案详细，管理机制齐全，质量控制的重点环节有严格的管理标准，完全能够满足项目</w:t>
            </w:r>
            <w:r>
              <w:rPr>
                <w:rFonts w:hint="eastAsia" w:ascii="宋体" w:hAnsi="宋体" w:cs="宋体"/>
                <w:color w:val="auto"/>
                <w:szCs w:val="21"/>
                <w:highlight w:val="none"/>
                <w:lang w:val="en-US" w:eastAsia="zh-CN"/>
              </w:rPr>
              <w:t>采购需求的</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p w14:paraId="04FCF350">
            <w:pPr>
              <w:widowControl/>
              <w:snapToGrid w:val="0"/>
              <w:spacing w:line="32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内容完整,有完整的工作计划流程和管理措施，有各服务环节计划方案</w:t>
            </w:r>
            <w:r>
              <w:rPr>
                <w:rFonts w:hint="eastAsia" w:ascii="宋体" w:hAnsi="宋体" w:cs="宋体"/>
                <w:color w:val="auto"/>
                <w:szCs w:val="21"/>
                <w:highlight w:val="none"/>
                <w:lang w:eastAsia="zh-CN"/>
              </w:rPr>
              <w:t>，</w:t>
            </w:r>
            <w:r>
              <w:rPr>
                <w:rFonts w:hint="eastAsia" w:ascii="宋体" w:hAnsi="宋体" w:cs="宋体"/>
                <w:color w:val="auto"/>
                <w:szCs w:val="21"/>
                <w:highlight w:val="none"/>
              </w:rPr>
              <w:t>可以满足项目的需要，但有个别细节需要进一步完善或提高者</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p w14:paraId="02DF8042">
            <w:pPr>
              <w:widowControl/>
              <w:snapToGrid w:val="0"/>
              <w:spacing w:line="32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方案不完整、内容简单、未贴合项目实际</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p w14:paraId="6012E57F">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color w:val="auto"/>
                <w:szCs w:val="21"/>
                <w:highlight w:val="none"/>
                <w:lang w:val="en-US" w:eastAsia="zh-CN"/>
              </w:rPr>
              <w:t>5.</w:t>
            </w:r>
            <w:r>
              <w:rPr>
                <w:rFonts w:hint="eastAsia" w:ascii="宋体" w:hAnsi="宋体" w:eastAsia="宋体" w:cs="宋体"/>
                <w:color w:val="auto"/>
                <w:sz w:val="21"/>
                <w:szCs w:val="21"/>
                <w:highlight w:val="none"/>
                <w:lang w:val="en-US" w:eastAsia="zh-CN"/>
              </w:rPr>
              <w:t>无法满足采购需求或缺项的得0分</w:t>
            </w:r>
            <w:r>
              <w:rPr>
                <w:rFonts w:hint="eastAsia" w:ascii="宋体" w:hAnsi="宋体" w:cs="宋体"/>
                <w:color w:val="auto"/>
                <w:szCs w:val="21"/>
                <w:highlight w:val="none"/>
              </w:rPr>
              <w:t>。</w:t>
            </w:r>
          </w:p>
        </w:tc>
      </w:tr>
      <w:tr w14:paraId="6BD8E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198" w:type="dxa"/>
            <w:vMerge w:val="continue"/>
            <w:noWrap w:val="0"/>
            <w:vAlign w:val="center"/>
          </w:tcPr>
          <w:p w14:paraId="515706FB">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b w:val="0"/>
                <w:bCs w:val="0"/>
                <w:color w:val="auto"/>
                <w:sz w:val="21"/>
                <w:szCs w:val="21"/>
                <w:highlight w:val="green"/>
                <w:lang w:val="en-US" w:eastAsia="zh-CN"/>
              </w:rPr>
            </w:pPr>
          </w:p>
        </w:tc>
        <w:tc>
          <w:tcPr>
            <w:tcW w:w="1362" w:type="dxa"/>
            <w:noWrap w:val="0"/>
            <w:vAlign w:val="center"/>
          </w:tcPr>
          <w:p w14:paraId="0A0C920F">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.人员配置方案（</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分）</w:t>
            </w:r>
          </w:p>
        </w:tc>
        <w:tc>
          <w:tcPr>
            <w:tcW w:w="6922" w:type="dxa"/>
            <w:noWrap w:val="0"/>
            <w:vAlign w:val="center"/>
          </w:tcPr>
          <w:p w14:paraId="3471263F">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供应商提供人员配置方案进行评分。</w:t>
            </w:r>
          </w:p>
          <w:p w14:paraId="033F11AD">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1.人员配备合理、人员岗位安排分配计划明确，专业技术能力强、经验丰富且持证上岗，完全满足采购需求的得</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分；</w:t>
            </w:r>
          </w:p>
          <w:p w14:paraId="5964AC00">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2.人员配备基本合理，人员岗位安排分配计划基本明确，专业技术能力及工作经验基本满足采购需求的得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p w14:paraId="00952C52">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3.人员配备不合理，人员岗位安排分配及专业能力有待提升的得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71ABE225">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4.无法满足采购需求或缺项的得0分。</w:t>
            </w:r>
          </w:p>
          <w:p w14:paraId="12850751">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注：提供人员清单及以上所需证明材料。</w:t>
            </w:r>
          </w:p>
        </w:tc>
      </w:tr>
      <w:tr w14:paraId="4B6EC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198" w:type="dxa"/>
            <w:vMerge w:val="continue"/>
            <w:noWrap w:val="0"/>
            <w:vAlign w:val="center"/>
          </w:tcPr>
          <w:p w14:paraId="48112642">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b w:val="0"/>
                <w:bCs w:val="0"/>
                <w:color w:val="auto"/>
                <w:sz w:val="21"/>
                <w:szCs w:val="21"/>
                <w:highlight w:val="green"/>
                <w:lang w:val="en-US" w:eastAsia="zh-CN"/>
              </w:rPr>
            </w:pPr>
          </w:p>
        </w:tc>
        <w:tc>
          <w:tcPr>
            <w:tcW w:w="1362" w:type="dxa"/>
            <w:noWrap w:val="0"/>
            <w:vAlign w:val="center"/>
          </w:tcPr>
          <w:p w14:paraId="64E68B9C">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.备品备件</w:t>
            </w:r>
          </w:p>
          <w:p w14:paraId="682DF0CC">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w:t>
            </w:r>
          </w:p>
        </w:tc>
        <w:tc>
          <w:tcPr>
            <w:tcW w:w="6922" w:type="dxa"/>
            <w:noWrap w:val="0"/>
            <w:vAlign w:val="center"/>
          </w:tcPr>
          <w:p w14:paraId="61C1DAEE">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根据供应商针对本项目提供的备件库距离、备件种类及数量情况、备件质量保证措施进行评分。</w:t>
            </w:r>
          </w:p>
          <w:p w14:paraId="79AFE0EA">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1.备件库备件种类、数量及方便性完全满足采购人需求的得</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w:t>
            </w:r>
          </w:p>
          <w:p w14:paraId="48B8903A">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2.备件库备件种类、数量及方便性基本满足采购人需求的得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26561694">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3.备件库备件种类、数量及方便性能一般满足采购人需求的得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14:paraId="36BFF728">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4.无法满足采购需求或缺项的得0分</w:t>
            </w:r>
          </w:p>
          <w:p w14:paraId="584EB36F">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（注：需提供备件库租赁或买卖合同）。</w:t>
            </w:r>
          </w:p>
        </w:tc>
      </w:tr>
      <w:tr w14:paraId="7F69C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198" w:type="dxa"/>
            <w:vMerge w:val="continue"/>
            <w:noWrap w:val="0"/>
            <w:vAlign w:val="center"/>
          </w:tcPr>
          <w:p w14:paraId="1E3FF680">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b w:val="0"/>
                <w:bCs w:val="0"/>
                <w:color w:val="auto"/>
                <w:sz w:val="21"/>
                <w:szCs w:val="21"/>
                <w:highlight w:val="green"/>
                <w:lang w:val="en-US" w:eastAsia="zh-CN"/>
              </w:rPr>
            </w:pPr>
          </w:p>
        </w:tc>
        <w:tc>
          <w:tcPr>
            <w:tcW w:w="1362" w:type="dxa"/>
            <w:noWrap w:val="0"/>
            <w:vAlign w:val="center"/>
          </w:tcPr>
          <w:p w14:paraId="4C0EA1E8">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.应急响应措施（</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tc>
        <w:tc>
          <w:tcPr>
            <w:tcW w:w="6922" w:type="dxa"/>
            <w:noWrap w:val="0"/>
            <w:vAlign w:val="center"/>
          </w:tcPr>
          <w:p w14:paraId="41205FA2">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针对本项目采购需求，提供应急服务方案及保障措施，包括但不仅限于：应急响应流程及响应时间、应急保障措施等。</w:t>
            </w:r>
          </w:p>
          <w:p w14:paraId="2C528F8B">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1.贴近医院实际情况、科学全面完善、针对性可操作性很强的得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000A3107">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2.贴近医院实际情况、科学全面完善、针对性可操作性较强的得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14:paraId="0B45EC2A">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3.贴近医院实际情况、科学全面完善、针对性可操作性一般的得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p>
          <w:p w14:paraId="02F52F26">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4.无法满足采购需求或缺项的得0分。</w:t>
            </w:r>
          </w:p>
        </w:tc>
      </w:tr>
      <w:tr w14:paraId="00D20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98" w:type="dxa"/>
            <w:vMerge w:val="restart"/>
            <w:noWrap w:val="0"/>
            <w:vAlign w:val="center"/>
          </w:tcPr>
          <w:p w14:paraId="0FCC9D17">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20分</w:t>
            </w:r>
            <w:r>
              <w:rPr>
                <w:rFonts w:hint="eastAsia" w:ascii="宋体" w:hAnsi="宋体" w:cs="宋体"/>
                <w:b w:val="0"/>
                <w:bCs w:val="0"/>
                <w:color w:val="auto"/>
                <w:sz w:val="21"/>
                <w:szCs w:val="21"/>
                <w:highlight w:val="none"/>
                <w:lang w:eastAsia="zh-CN"/>
              </w:rPr>
              <w:t>）</w:t>
            </w:r>
          </w:p>
          <w:p w14:paraId="67C809EF">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rPr>
            </w:pPr>
          </w:p>
        </w:tc>
        <w:tc>
          <w:tcPr>
            <w:tcW w:w="1362" w:type="dxa"/>
            <w:tcBorders>
              <w:top w:val="single" w:color="auto" w:sz="4" w:space="0"/>
            </w:tcBorders>
            <w:noWrap w:val="0"/>
            <w:vAlign w:val="center"/>
          </w:tcPr>
          <w:p w14:paraId="5B3D94CB">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类似业绩（6分）</w:t>
            </w:r>
          </w:p>
        </w:tc>
        <w:tc>
          <w:tcPr>
            <w:tcW w:w="6922" w:type="dxa"/>
            <w:noWrap w:val="0"/>
            <w:vAlign w:val="center"/>
          </w:tcPr>
          <w:p w14:paraId="0B622171">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供应商具有2022年1月1日以来类似业绩，每提供一份得2分，最多得6分。</w:t>
            </w:r>
          </w:p>
          <w:p w14:paraId="58A4B44D">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w:t>
            </w:r>
            <w:r>
              <w:rPr>
                <w:rFonts w:hint="eastAsia" w:ascii="宋体" w:hAnsi="宋体" w:eastAsia="宋体" w:cs="宋体"/>
                <w:color w:val="auto"/>
                <w:sz w:val="21"/>
                <w:szCs w:val="21"/>
                <w:highlight w:val="none"/>
              </w:rPr>
              <w:t>提供合同原件扫描件</w:t>
            </w:r>
            <w:r>
              <w:rPr>
                <w:rFonts w:hint="eastAsia" w:ascii="宋体" w:hAnsi="宋体" w:eastAsia="宋体" w:cs="宋体"/>
                <w:color w:val="auto"/>
                <w:sz w:val="21"/>
                <w:szCs w:val="21"/>
                <w:highlight w:val="none"/>
                <w:lang w:val="en-US" w:eastAsia="zh-CN"/>
              </w:rPr>
              <w:t>，否则不得分。</w:t>
            </w:r>
          </w:p>
        </w:tc>
      </w:tr>
      <w:tr w14:paraId="68F10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98" w:type="dxa"/>
            <w:vMerge w:val="continue"/>
            <w:noWrap w:val="0"/>
            <w:vAlign w:val="center"/>
          </w:tcPr>
          <w:p w14:paraId="412789F9">
            <w:pPr>
              <w:keepNext w:val="0"/>
              <w:keepLines w:val="0"/>
              <w:pageBreakBefore w:val="0"/>
              <w:widowControl/>
              <w:kinsoku/>
              <w:wordWrap/>
              <w:overflowPunct/>
              <w:topLinePunct w:val="0"/>
              <w:autoSpaceDE/>
              <w:autoSpaceDN/>
              <w:bidi w:val="0"/>
              <w:adjustRightInd/>
              <w:snapToGrid w:val="0"/>
              <w:spacing w:line="340" w:lineRule="exact"/>
              <w:jc w:val="both"/>
              <w:textAlignment w:val="auto"/>
              <w:rPr>
                <w:highlight w:val="none"/>
              </w:rPr>
            </w:pPr>
          </w:p>
        </w:tc>
        <w:tc>
          <w:tcPr>
            <w:tcW w:w="1362" w:type="dxa"/>
            <w:tcBorders>
              <w:top w:val="single" w:color="auto" w:sz="4" w:space="0"/>
            </w:tcBorders>
            <w:noWrap w:val="0"/>
            <w:vAlign w:val="center"/>
          </w:tcPr>
          <w:p w14:paraId="6741DEAC">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2.质保期</w:t>
            </w:r>
          </w:p>
          <w:p w14:paraId="2E339884">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（6分）</w:t>
            </w:r>
          </w:p>
        </w:tc>
        <w:tc>
          <w:tcPr>
            <w:tcW w:w="6922" w:type="dxa"/>
            <w:noWrap w:val="0"/>
            <w:vAlign w:val="center"/>
          </w:tcPr>
          <w:p w14:paraId="4539120C">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设备在</w:t>
            </w:r>
            <w:r>
              <w:rPr>
                <w:rFonts w:hint="eastAsia" w:ascii="宋体" w:hAnsi="宋体" w:eastAsia="宋体" w:cs="宋体"/>
                <w:color w:val="auto"/>
                <w:sz w:val="21"/>
                <w:szCs w:val="21"/>
                <w:highlight w:val="none"/>
              </w:rPr>
              <w:t>免费质保服务</w:t>
            </w:r>
            <w:r>
              <w:rPr>
                <w:rFonts w:hint="eastAsia" w:ascii="宋体" w:hAnsi="宋体" w:eastAsia="宋体" w:cs="宋体"/>
                <w:color w:val="auto"/>
                <w:sz w:val="21"/>
                <w:szCs w:val="21"/>
                <w:highlight w:val="none"/>
                <w:lang w:val="en-US" w:eastAsia="zh-CN"/>
              </w:rPr>
              <w:t>满足</w:t>
            </w:r>
            <w:r>
              <w:rPr>
                <w:rFonts w:hint="eastAsia" w:ascii="宋体" w:hAnsi="宋体" w:eastAsia="宋体" w:cs="宋体"/>
                <w:color w:val="auto"/>
                <w:sz w:val="21"/>
                <w:szCs w:val="21"/>
                <w:highlight w:val="none"/>
              </w:rPr>
              <w:t>磋商文件规定的</w:t>
            </w:r>
            <w:r>
              <w:rPr>
                <w:rFonts w:hint="eastAsia" w:ascii="宋体" w:hAnsi="宋体" w:eastAsia="宋体" w:cs="宋体"/>
                <w:color w:val="auto"/>
                <w:sz w:val="21"/>
                <w:szCs w:val="21"/>
                <w:highlight w:val="none"/>
                <w:lang w:val="en-US" w:eastAsia="zh-CN"/>
              </w:rPr>
              <w:t>基础上</w:t>
            </w:r>
            <w:r>
              <w:rPr>
                <w:rFonts w:hint="eastAsia" w:ascii="宋体" w:hAnsi="宋体" w:eastAsia="宋体" w:cs="宋体"/>
                <w:color w:val="auto"/>
                <w:sz w:val="21"/>
                <w:szCs w:val="21"/>
                <w:highlight w:val="none"/>
              </w:rPr>
              <w:t>，每增加</w:t>
            </w:r>
            <w:r>
              <w:rPr>
                <w:rFonts w:hint="eastAsia" w:ascii="宋体" w:hAnsi="宋体" w:eastAsia="宋体" w:cs="宋体"/>
                <w:color w:val="auto"/>
                <w:sz w:val="21"/>
                <w:szCs w:val="21"/>
                <w:highlight w:val="none"/>
                <w:lang w:val="en-US" w:eastAsia="zh-CN"/>
              </w:rPr>
              <w:t>半年质保的</w:t>
            </w:r>
            <w:r>
              <w:rPr>
                <w:rFonts w:hint="eastAsia" w:ascii="宋体" w:hAnsi="宋体" w:eastAsia="宋体" w:cs="宋体"/>
                <w:color w:val="auto"/>
                <w:sz w:val="21"/>
                <w:szCs w:val="21"/>
                <w:highlight w:val="none"/>
              </w:rPr>
              <w:t xml:space="preserve">得 </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分,最多得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分（出具相关服务承诺书）</w:t>
            </w:r>
            <w:r>
              <w:rPr>
                <w:rFonts w:hint="eastAsia" w:ascii="宋体" w:hAnsi="宋体" w:eastAsia="宋体" w:cs="宋体"/>
                <w:color w:val="auto"/>
                <w:sz w:val="21"/>
                <w:szCs w:val="21"/>
                <w:highlight w:val="none"/>
                <w:lang w:eastAsia="zh-CN"/>
              </w:rPr>
              <w:t>。</w:t>
            </w:r>
          </w:p>
        </w:tc>
      </w:tr>
      <w:tr w14:paraId="09908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98" w:type="dxa"/>
            <w:vMerge w:val="continue"/>
            <w:noWrap w:val="0"/>
            <w:vAlign w:val="center"/>
          </w:tcPr>
          <w:p w14:paraId="72B736F6">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b w:val="0"/>
                <w:bCs w:val="0"/>
                <w:color w:val="auto"/>
                <w:sz w:val="21"/>
                <w:szCs w:val="21"/>
                <w:highlight w:val="none"/>
              </w:rPr>
            </w:pPr>
          </w:p>
        </w:tc>
        <w:tc>
          <w:tcPr>
            <w:tcW w:w="1362" w:type="dxa"/>
            <w:tcBorders>
              <w:top w:val="single" w:color="auto" w:sz="4" w:space="0"/>
            </w:tcBorders>
            <w:noWrap w:val="0"/>
            <w:vAlign w:val="center"/>
          </w:tcPr>
          <w:p w14:paraId="70AD4E93">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.售后服务（</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c>
          <w:tcPr>
            <w:tcW w:w="6922" w:type="dxa"/>
            <w:noWrap w:val="0"/>
            <w:vAlign w:val="center"/>
          </w:tcPr>
          <w:p w14:paraId="5F9B8C14">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根据供应商提供的</w:t>
            </w:r>
            <w:r>
              <w:rPr>
                <w:rFonts w:hint="eastAsia" w:ascii="宋体" w:hAnsi="宋体" w:cs="宋体"/>
                <w:color w:val="auto"/>
                <w:sz w:val="21"/>
                <w:szCs w:val="21"/>
                <w:highlight w:val="none"/>
                <w:lang w:val="en-US" w:eastAsia="zh-CN"/>
              </w:rPr>
              <w:t>后期维护方案</w:t>
            </w:r>
            <w:r>
              <w:rPr>
                <w:rFonts w:hint="eastAsia" w:ascii="宋体" w:hAnsi="宋体" w:eastAsia="宋体" w:cs="宋体"/>
                <w:color w:val="auto"/>
                <w:sz w:val="21"/>
                <w:szCs w:val="21"/>
                <w:highlight w:val="none"/>
                <w:lang w:val="en-US" w:eastAsia="zh-CN"/>
              </w:rPr>
              <w:t>、售后服务网点设立、</w:t>
            </w:r>
            <w:r>
              <w:rPr>
                <w:rFonts w:hint="eastAsia" w:ascii="宋体" w:hAnsi="宋体" w:eastAsia="宋体" w:cs="宋体"/>
                <w:color w:val="auto"/>
                <w:sz w:val="21"/>
                <w:szCs w:val="21"/>
                <w:highlight w:val="none"/>
              </w:rPr>
              <w:t>售后服务人员配备及专业技术能力说明、故障响应时间、</w:t>
            </w:r>
            <w:r>
              <w:rPr>
                <w:rFonts w:hint="eastAsia" w:ascii="宋体" w:hAnsi="宋体" w:eastAsia="宋体" w:cs="宋体"/>
                <w:color w:val="auto"/>
                <w:sz w:val="21"/>
                <w:szCs w:val="21"/>
                <w:highlight w:val="none"/>
                <w:lang w:val="en-US" w:eastAsia="zh-CN"/>
              </w:rPr>
              <w:t>售后服务保障措施</w:t>
            </w:r>
            <w:r>
              <w:rPr>
                <w:rFonts w:hint="eastAsia" w:ascii="宋体" w:hAnsi="宋体" w:eastAsia="宋体" w:cs="宋体"/>
                <w:color w:val="auto"/>
                <w:sz w:val="21"/>
                <w:szCs w:val="21"/>
                <w:highlight w:val="none"/>
              </w:rPr>
              <w:t>等进行打分。</w:t>
            </w:r>
          </w:p>
          <w:p w14:paraId="08D8DC78">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服务承诺符合本项目特点，措施详尽、故障响应时间极快、维修措施预案合理且可行，有具体的培训方案，得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p w14:paraId="38110C9B">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服务承诺符合本项目特点，故障响应时间快、维修措施预案较合理，有较具体的培训方案的得 </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3D01AA9F">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服务承诺符合本项目特点，故障响应时间较长、维修措施预案不完备，培训方案不完备的得 2 分；</w:t>
            </w:r>
          </w:p>
          <w:p w14:paraId="1E8D3860">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服务方案无法满足采购需求或缺项的得0分。</w:t>
            </w:r>
          </w:p>
        </w:tc>
      </w:tr>
      <w:tr w14:paraId="6255C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98" w:type="dxa"/>
            <w:noWrap w:val="0"/>
            <w:vAlign w:val="top"/>
          </w:tcPr>
          <w:p w14:paraId="5EFEA57A">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84" w:type="dxa"/>
            <w:gridSpan w:val="2"/>
            <w:noWrap w:val="0"/>
            <w:vAlign w:val="center"/>
          </w:tcPr>
          <w:p w14:paraId="1E472646">
            <w:pPr>
              <w:keepNext w:val="0"/>
              <w:keepLines w:val="0"/>
              <w:pageBreakBefore w:val="0"/>
              <w:kinsoku/>
              <w:wordWrap/>
              <w:overflowPunct/>
              <w:topLinePunct w:val="0"/>
              <w:bidi w:val="0"/>
              <w:snapToGrid w:val="0"/>
              <w:spacing w:line="34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成员评分=各项评分因素的汇总得分。</w:t>
            </w:r>
          </w:p>
          <w:p w14:paraId="62EE83CE">
            <w:pPr>
              <w:keepNext w:val="0"/>
              <w:keepLines w:val="0"/>
              <w:pageBreakBefore w:val="0"/>
              <w:kinsoku/>
              <w:wordWrap/>
              <w:overflowPunct/>
              <w:topLinePunct w:val="0"/>
              <w:bidi w:val="0"/>
              <w:snapToGrid w:val="0"/>
              <w:spacing w:line="34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所有成员合计评分/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组成人员数。</w:t>
            </w:r>
          </w:p>
        </w:tc>
      </w:tr>
    </w:tbl>
    <w:p w14:paraId="0F642DF0">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p>
    <w:p w14:paraId="00AD0828">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0"/>
          <w:szCs w:val="21"/>
          <w:highlight w:val="none"/>
        </w:rPr>
      </w:pPr>
    </w:p>
    <w:p w14:paraId="38C63B20">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bookmarkEnd w:id="46"/>
    <w:p w14:paraId="2CCD7513">
      <w:pPr>
        <w:rPr>
          <w:rFonts w:hint="eastAsia" w:ascii="宋体" w:hAnsi="宋体" w:eastAsia="宋体" w:cs="宋体"/>
          <w:color w:val="auto"/>
          <w:highlight w:val="none"/>
        </w:rPr>
      </w:pPr>
      <w:bookmarkStart w:id="50" w:name="_Toc1482"/>
      <w:bookmarkStart w:id="51" w:name="_Toc1947"/>
      <w:bookmarkStart w:id="52" w:name="_Toc256519703"/>
      <w:bookmarkStart w:id="53" w:name="_Toc326786897"/>
    </w:p>
    <w:p w14:paraId="5A0BE0D1">
      <w:pPr>
        <w:pStyle w:val="3"/>
        <w:snapToGrid w:val="0"/>
        <w:spacing w:before="0" w:after="0" w:line="480" w:lineRule="auto"/>
        <w:jc w:val="center"/>
        <w:rPr>
          <w:rFonts w:hint="eastAsia" w:ascii="宋体" w:hAnsi="宋体" w:eastAsia="宋体" w:cs="宋体"/>
          <w:color w:val="auto"/>
          <w:sz w:val="28"/>
          <w:szCs w:val="28"/>
          <w:highlight w:val="none"/>
        </w:rPr>
      </w:pPr>
      <w:bookmarkStart w:id="54" w:name="_Toc11904"/>
      <w:r>
        <w:rPr>
          <w:rFonts w:hint="eastAsia" w:ascii="宋体" w:hAnsi="宋体" w:eastAsia="宋体" w:cs="宋体"/>
          <w:color w:val="auto"/>
          <w:sz w:val="28"/>
          <w:szCs w:val="28"/>
          <w:highlight w:val="none"/>
        </w:rPr>
        <w:t>第五章  采购合同</w:t>
      </w:r>
      <w:bookmarkEnd w:id="54"/>
    </w:p>
    <w:p w14:paraId="7203F7C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以实际合同为准</w:t>
      </w:r>
      <w:r>
        <w:rPr>
          <w:rFonts w:hint="eastAsia" w:ascii="宋体" w:hAnsi="宋体" w:eastAsia="宋体" w:cs="宋体"/>
          <w:color w:val="auto"/>
          <w:sz w:val="21"/>
          <w:szCs w:val="21"/>
          <w:highlight w:val="none"/>
          <w:lang w:eastAsia="zh-CN"/>
        </w:rPr>
        <w:t>）</w:t>
      </w:r>
    </w:p>
    <w:p w14:paraId="04849F9F">
      <w:pPr>
        <w:rPr>
          <w:rFonts w:hint="eastAsia" w:ascii="宋体" w:hAnsi="宋体" w:eastAsia="宋体" w:cs="宋体"/>
          <w:color w:val="auto"/>
          <w:sz w:val="32"/>
          <w:szCs w:val="32"/>
          <w:highlight w:val="none"/>
        </w:rPr>
      </w:pPr>
    </w:p>
    <w:p w14:paraId="4150DAB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4F83DAA">
      <w:pPr>
        <w:pStyle w:val="32"/>
        <w:rPr>
          <w:rFonts w:hint="eastAsia" w:ascii="宋体" w:hAnsi="宋体" w:eastAsia="宋体" w:cs="宋体"/>
          <w:color w:val="auto"/>
          <w:highlight w:val="none"/>
        </w:rPr>
      </w:pPr>
    </w:p>
    <w:p w14:paraId="30EBB8A6">
      <w:pPr>
        <w:pStyle w:val="3"/>
        <w:jc w:val="center"/>
        <w:rPr>
          <w:rFonts w:hint="eastAsia" w:ascii="宋体" w:hAnsi="宋体" w:eastAsia="宋体" w:cs="宋体"/>
          <w:color w:val="auto"/>
          <w:kern w:val="0"/>
          <w:highlight w:val="none"/>
        </w:rPr>
      </w:pPr>
      <w:bookmarkStart w:id="55" w:name="_Toc18702"/>
      <w:r>
        <w:rPr>
          <w:rFonts w:hint="eastAsia" w:ascii="宋体" w:hAnsi="宋体" w:eastAsia="宋体" w:cs="宋体"/>
          <w:color w:val="auto"/>
          <w:sz w:val="32"/>
          <w:szCs w:val="32"/>
          <w:highlight w:val="none"/>
        </w:rPr>
        <w:t xml:space="preserve">第六章  </w:t>
      </w:r>
      <w:r>
        <w:rPr>
          <w:rFonts w:hint="eastAsia" w:ascii="宋体" w:hAnsi="宋体" w:eastAsia="宋体" w:cs="宋体"/>
          <w:color w:val="auto"/>
          <w:sz w:val="32"/>
          <w:szCs w:val="32"/>
          <w:highlight w:val="none"/>
          <w:lang w:val="en-US" w:eastAsia="zh-CN"/>
        </w:rPr>
        <w:t>响应</w:t>
      </w:r>
      <w:r>
        <w:rPr>
          <w:rFonts w:hint="eastAsia" w:ascii="宋体" w:hAnsi="宋体" w:eastAsia="宋体" w:cs="宋体"/>
          <w:color w:val="auto"/>
          <w:sz w:val="32"/>
          <w:szCs w:val="32"/>
          <w:highlight w:val="none"/>
        </w:rPr>
        <w:t>文件格式</w:t>
      </w:r>
      <w:bookmarkEnd w:id="50"/>
      <w:bookmarkEnd w:id="51"/>
      <w:bookmarkEnd w:id="55"/>
    </w:p>
    <w:p w14:paraId="5164A6B6">
      <w:pPr>
        <w:spacing w:line="440" w:lineRule="exact"/>
        <w:rPr>
          <w:rFonts w:hint="eastAsia" w:ascii="宋体" w:hAnsi="宋体" w:eastAsia="宋体" w:cs="宋体"/>
          <w:color w:val="auto"/>
          <w:sz w:val="24"/>
          <w:highlight w:val="none"/>
        </w:rPr>
      </w:pPr>
    </w:p>
    <w:p w14:paraId="1238A038">
      <w:pPr>
        <w:jc w:val="center"/>
        <w:rPr>
          <w:rFonts w:hint="eastAsia" w:ascii="宋体" w:hAnsi="宋体" w:eastAsia="宋体" w:cs="宋体"/>
          <w:b/>
          <w:bCs/>
          <w:color w:val="auto"/>
          <w:sz w:val="32"/>
          <w:szCs w:val="32"/>
          <w:highlight w:val="none"/>
        </w:rPr>
      </w:pPr>
      <w:bookmarkStart w:id="56" w:name="_Toc13604"/>
      <w:r>
        <w:rPr>
          <w:rFonts w:hint="eastAsia" w:ascii="宋体" w:hAnsi="宋体" w:eastAsia="宋体" w:cs="宋体"/>
          <w:b/>
          <w:bCs/>
          <w:color w:val="auto"/>
          <w:sz w:val="32"/>
          <w:szCs w:val="32"/>
          <w:highlight w:val="none"/>
        </w:rPr>
        <w:t>目    录</w:t>
      </w:r>
      <w:bookmarkEnd w:id="56"/>
    </w:p>
    <w:p w14:paraId="3DEA2778">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4D5CEA98">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02B20E01">
      <w:pPr>
        <w:snapToGrid w:val="0"/>
        <w:spacing w:line="360" w:lineRule="auto"/>
        <w:ind w:firstLine="480" w:firstLineChars="200"/>
        <w:rPr>
          <w:rFonts w:hint="eastAsia" w:ascii="宋体" w:hAnsi="宋体" w:eastAsia="宋体" w:cs="宋体"/>
          <w:color w:val="auto"/>
          <w:sz w:val="24"/>
          <w:highlight w:val="none"/>
        </w:rPr>
      </w:pPr>
      <w:bookmarkStart w:id="57" w:name="_Toc11308"/>
      <w:r>
        <w:rPr>
          <w:rFonts w:hint="eastAsia" w:ascii="宋体" w:hAnsi="宋体" w:eastAsia="宋体" w:cs="宋体"/>
          <w:color w:val="auto"/>
          <w:sz w:val="24"/>
          <w:highlight w:val="none"/>
        </w:rPr>
        <w:t>附件1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文件封面（格式）</w:t>
      </w:r>
      <w:bookmarkEnd w:id="57"/>
    </w:p>
    <w:p w14:paraId="6AB0C51F">
      <w:pPr>
        <w:snapToGrid w:val="0"/>
        <w:spacing w:line="360" w:lineRule="auto"/>
        <w:ind w:firstLine="480" w:firstLineChars="200"/>
        <w:rPr>
          <w:rFonts w:hint="eastAsia" w:ascii="宋体" w:hAnsi="宋体" w:eastAsia="宋体" w:cs="宋体"/>
          <w:color w:val="auto"/>
          <w:sz w:val="24"/>
          <w:highlight w:val="none"/>
        </w:rPr>
      </w:pPr>
      <w:bookmarkStart w:id="58" w:name="_Toc25345"/>
      <w:r>
        <w:rPr>
          <w:rFonts w:hint="eastAsia" w:ascii="宋体" w:hAnsi="宋体" w:eastAsia="宋体" w:cs="宋体"/>
          <w:color w:val="auto"/>
          <w:sz w:val="24"/>
          <w:highlight w:val="none"/>
        </w:rPr>
        <w:t xml:space="preserve">附件2 </w:t>
      </w:r>
      <w:r>
        <w:rPr>
          <w:rFonts w:hint="eastAsia" w:ascii="宋体" w:hAnsi="宋体" w:eastAsia="宋体" w:cs="宋体"/>
          <w:color w:val="auto"/>
          <w:sz w:val="24"/>
          <w:highlight w:val="none"/>
          <w:lang w:val="en-US" w:eastAsia="zh-CN"/>
        </w:rPr>
        <w:t>竞争性磋商响应书</w:t>
      </w:r>
      <w:r>
        <w:rPr>
          <w:rFonts w:hint="eastAsia" w:ascii="宋体" w:hAnsi="宋体" w:eastAsia="宋体" w:cs="宋体"/>
          <w:color w:val="auto"/>
          <w:sz w:val="24"/>
          <w:highlight w:val="none"/>
        </w:rPr>
        <w:t>（格式）</w:t>
      </w:r>
      <w:bookmarkEnd w:id="58"/>
    </w:p>
    <w:p w14:paraId="767965AA">
      <w:pPr>
        <w:snapToGrid w:val="0"/>
        <w:spacing w:line="360" w:lineRule="auto"/>
        <w:ind w:firstLine="480" w:firstLineChars="200"/>
        <w:rPr>
          <w:rFonts w:hint="eastAsia" w:ascii="宋体" w:hAnsi="宋体" w:eastAsia="宋体" w:cs="宋体"/>
          <w:color w:val="auto"/>
          <w:sz w:val="24"/>
          <w:highlight w:val="none"/>
        </w:rPr>
      </w:pPr>
      <w:bookmarkStart w:id="59" w:name="_Toc10217"/>
      <w:r>
        <w:rPr>
          <w:rFonts w:hint="eastAsia" w:ascii="宋体" w:hAnsi="宋体" w:eastAsia="宋体" w:cs="宋体"/>
          <w:color w:val="auto"/>
          <w:sz w:val="24"/>
          <w:highlight w:val="none"/>
        </w:rPr>
        <w:t>附件3 初次报价一览表（格式）</w:t>
      </w:r>
      <w:bookmarkEnd w:id="59"/>
    </w:p>
    <w:p w14:paraId="3691EBDD">
      <w:pPr>
        <w:snapToGrid w:val="0"/>
        <w:spacing w:line="360" w:lineRule="auto"/>
        <w:ind w:firstLine="480" w:firstLineChars="200"/>
        <w:rPr>
          <w:rFonts w:hint="eastAsia" w:ascii="宋体" w:hAnsi="宋体" w:eastAsia="宋体" w:cs="宋体"/>
          <w:color w:val="auto"/>
          <w:sz w:val="24"/>
          <w:highlight w:val="none"/>
          <w:lang w:val="en-US"/>
        </w:rPr>
      </w:pPr>
      <w:bookmarkStart w:id="60" w:name="_Toc9579"/>
      <w:r>
        <w:rPr>
          <w:rFonts w:hint="eastAsia" w:ascii="宋体" w:hAnsi="宋体" w:eastAsia="宋体" w:cs="宋体"/>
          <w:color w:val="auto"/>
          <w:sz w:val="24"/>
          <w:highlight w:val="none"/>
        </w:rPr>
        <w:t xml:space="preserve">附件4 </w:t>
      </w:r>
      <w:bookmarkEnd w:id="60"/>
      <w:r>
        <w:rPr>
          <w:rFonts w:hint="eastAsia" w:ascii="宋体" w:hAnsi="宋体" w:eastAsia="宋体" w:cs="宋体"/>
          <w:color w:val="auto"/>
          <w:sz w:val="24"/>
          <w:highlight w:val="none"/>
          <w:lang w:val="en-US" w:eastAsia="zh-CN"/>
        </w:rPr>
        <w:t>报价明细表（格式）</w:t>
      </w:r>
    </w:p>
    <w:p w14:paraId="1C6066E6">
      <w:pPr>
        <w:snapToGrid w:val="0"/>
        <w:spacing w:line="360" w:lineRule="auto"/>
        <w:ind w:firstLine="480" w:firstLineChars="200"/>
        <w:rPr>
          <w:rFonts w:hint="eastAsia" w:ascii="宋体" w:hAnsi="宋体" w:eastAsia="宋体" w:cs="宋体"/>
          <w:color w:val="auto"/>
          <w:sz w:val="24"/>
          <w:highlight w:val="none"/>
          <w:lang w:val="en-US"/>
        </w:rPr>
      </w:pPr>
      <w:bookmarkStart w:id="61" w:name="_Toc28392"/>
      <w:r>
        <w:rPr>
          <w:rFonts w:hint="eastAsia" w:ascii="宋体" w:hAnsi="宋体" w:eastAsia="宋体" w:cs="宋体"/>
          <w:color w:val="auto"/>
          <w:sz w:val="24"/>
          <w:highlight w:val="none"/>
        </w:rPr>
        <w:t>附件5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技术</w:t>
      </w:r>
      <w:r>
        <w:rPr>
          <w:rFonts w:hint="eastAsia" w:ascii="宋体" w:hAnsi="宋体" w:eastAsia="宋体" w:cs="宋体"/>
          <w:color w:val="auto"/>
          <w:sz w:val="24"/>
          <w:highlight w:val="none"/>
          <w:lang w:val="en-US" w:eastAsia="zh-CN"/>
        </w:rPr>
        <w:t>响应</w:t>
      </w:r>
      <w:bookmarkEnd w:id="61"/>
      <w:r>
        <w:rPr>
          <w:rFonts w:hint="eastAsia" w:ascii="宋体" w:hAnsi="宋体" w:eastAsia="宋体" w:cs="宋体"/>
          <w:color w:val="auto"/>
          <w:sz w:val="24"/>
          <w:highlight w:val="none"/>
          <w:lang w:val="en-US" w:eastAsia="zh-CN"/>
        </w:rPr>
        <w:t>表（格式）</w:t>
      </w:r>
    </w:p>
    <w:p w14:paraId="15A5B1E4">
      <w:pPr>
        <w:snapToGrid w:val="0"/>
        <w:spacing w:line="360" w:lineRule="auto"/>
        <w:ind w:firstLine="480" w:firstLineChars="200"/>
        <w:rPr>
          <w:rFonts w:hint="eastAsia" w:ascii="宋体" w:hAnsi="宋体" w:eastAsia="宋体" w:cs="宋体"/>
          <w:color w:val="auto"/>
          <w:sz w:val="24"/>
          <w:highlight w:val="none"/>
          <w:lang w:val="en-US" w:eastAsia="zh-CN"/>
        </w:rPr>
      </w:pPr>
      <w:bookmarkStart w:id="62" w:name="_Toc6234"/>
      <w:r>
        <w:rPr>
          <w:rFonts w:hint="eastAsia" w:ascii="宋体" w:hAnsi="宋体" w:eastAsia="宋体" w:cs="宋体"/>
          <w:color w:val="auto"/>
          <w:sz w:val="24"/>
          <w:highlight w:val="none"/>
        </w:rPr>
        <w:t>附件6 商务</w:t>
      </w:r>
      <w:bookmarkEnd w:id="62"/>
      <w:r>
        <w:rPr>
          <w:rFonts w:hint="eastAsia" w:ascii="宋体" w:hAnsi="宋体" w:eastAsia="宋体" w:cs="宋体"/>
          <w:color w:val="auto"/>
          <w:sz w:val="24"/>
          <w:highlight w:val="none"/>
          <w:lang w:val="en-US" w:eastAsia="zh-CN"/>
        </w:rPr>
        <w:t>响应表（格式）</w:t>
      </w:r>
    </w:p>
    <w:p w14:paraId="19312541">
      <w:pPr>
        <w:snapToGrid w:val="0"/>
        <w:spacing w:line="360" w:lineRule="auto"/>
        <w:ind w:firstLine="480" w:firstLineChars="200"/>
        <w:rPr>
          <w:rFonts w:hint="eastAsia" w:ascii="宋体" w:hAnsi="宋体" w:eastAsia="宋体" w:cs="宋体"/>
          <w:color w:val="auto"/>
          <w:sz w:val="24"/>
          <w:highlight w:val="none"/>
        </w:rPr>
      </w:pPr>
      <w:bookmarkStart w:id="63" w:name="_Toc26231"/>
      <w:r>
        <w:rPr>
          <w:rFonts w:hint="eastAsia" w:ascii="宋体" w:hAnsi="宋体" w:eastAsia="宋体" w:cs="宋体"/>
          <w:color w:val="auto"/>
          <w:sz w:val="24"/>
          <w:highlight w:val="none"/>
        </w:rPr>
        <w:t>附件7</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法定代表人身份证明（格式）</w:t>
      </w:r>
      <w:bookmarkEnd w:id="63"/>
    </w:p>
    <w:p w14:paraId="73242694">
      <w:pPr>
        <w:snapToGrid w:val="0"/>
        <w:spacing w:line="360" w:lineRule="auto"/>
        <w:ind w:firstLine="480" w:firstLineChars="200"/>
        <w:rPr>
          <w:rFonts w:hint="eastAsia" w:ascii="宋体" w:hAnsi="宋体" w:eastAsia="宋体" w:cs="宋体"/>
          <w:color w:val="auto"/>
          <w:sz w:val="24"/>
          <w:highlight w:val="none"/>
        </w:rPr>
      </w:pPr>
      <w:bookmarkStart w:id="64" w:name="_Toc18484"/>
      <w:r>
        <w:rPr>
          <w:rFonts w:hint="eastAsia" w:ascii="宋体" w:hAnsi="宋体" w:eastAsia="宋体" w:cs="宋体"/>
          <w:color w:val="auto"/>
          <w:sz w:val="24"/>
          <w:highlight w:val="none"/>
        </w:rPr>
        <w:t>附件8</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法定代表人授权书（格式）</w:t>
      </w:r>
      <w:bookmarkEnd w:id="64"/>
    </w:p>
    <w:p w14:paraId="222B26A2">
      <w:pPr>
        <w:snapToGrid w:val="0"/>
        <w:spacing w:line="360" w:lineRule="auto"/>
        <w:ind w:firstLine="480" w:firstLineChars="200"/>
        <w:rPr>
          <w:rFonts w:hint="eastAsia" w:ascii="宋体" w:hAnsi="宋体" w:eastAsia="宋体" w:cs="宋体"/>
          <w:color w:val="auto"/>
          <w:sz w:val="24"/>
          <w:highlight w:val="none"/>
        </w:rPr>
      </w:pPr>
      <w:bookmarkStart w:id="65" w:name="_Toc31857"/>
      <w:r>
        <w:rPr>
          <w:rFonts w:hint="eastAsia" w:ascii="宋体" w:hAnsi="宋体" w:eastAsia="宋体" w:cs="宋体"/>
          <w:color w:val="auto"/>
          <w:sz w:val="24"/>
          <w:highlight w:val="none"/>
        </w:rPr>
        <w:t>附件9 证明文件</w:t>
      </w:r>
      <w:bookmarkEnd w:id="65"/>
    </w:p>
    <w:p w14:paraId="0927E7C0">
      <w:pPr>
        <w:snapToGrid w:val="0"/>
        <w:spacing w:line="360" w:lineRule="auto"/>
        <w:ind w:firstLine="480" w:firstLineChars="200"/>
        <w:rPr>
          <w:rFonts w:hint="eastAsia" w:ascii="宋体" w:hAnsi="宋体" w:eastAsia="宋体" w:cs="宋体"/>
          <w:color w:val="auto"/>
          <w:sz w:val="24"/>
          <w:highlight w:val="none"/>
        </w:rPr>
      </w:pPr>
      <w:bookmarkStart w:id="66" w:name="_Toc23116"/>
      <w:r>
        <w:rPr>
          <w:rFonts w:hint="eastAsia" w:ascii="宋体" w:hAnsi="宋体" w:eastAsia="宋体" w:cs="宋体"/>
          <w:color w:val="auto"/>
          <w:sz w:val="24"/>
          <w:highlight w:val="none"/>
        </w:rPr>
        <w:t>附件10 供应商承诺书（格式）</w:t>
      </w:r>
      <w:bookmarkEnd w:id="66"/>
    </w:p>
    <w:p w14:paraId="7C4E2766">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附件11 供应商信用承诺函（格式）</w:t>
      </w:r>
    </w:p>
    <w:p w14:paraId="3B3D72F2">
      <w:pPr>
        <w:snapToGrid w:val="0"/>
        <w:spacing w:line="360" w:lineRule="auto"/>
        <w:ind w:firstLine="480" w:firstLineChars="200"/>
        <w:rPr>
          <w:rFonts w:hint="eastAsia" w:ascii="宋体" w:hAnsi="宋体" w:eastAsia="宋体" w:cs="宋体"/>
          <w:color w:val="auto"/>
          <w:sz w:val="24"/>
          <w:highlight w:val="none"/>
          <w:lang w:val="en-US" w:eastAsia="zh-CN"/>
        </w:rPr>
      </w:pPr>
    </w:p>
    <w:p w14:paraId="63BA1F9E">
      <w:pPr>
        <w:pStyle w:val="32"/>
        <w:rPr>
          <w:rFonts w:hint="eastAsia" w:ascii="宋体" w:hAnsi="宋体" w:eastAsia="宋体" w:cs="宋体"/>
          <w:color w:val="auto"/>
          <w:highlight w:val="none"/>
        </w:rPr>
      </w:pPr>
    </w:p>
    <w:p w14:paraId="174F59C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6D3C60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43C59F7">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71DFAE3">
      <w:pPr>
        <w:pStyle w:val="4"/>
        <w:rPr>
          <w:rFonts w:hint="eastAsia" w:ascii="宋体" w:hAnsi="宋体" w:eastAsia="宋体" w:cs="宋体"/>
          <w:b/>
          <w:bCs/>
          <w:color w:val="auto"/>
          <w:kern w:val="0"/>
          <w:sz w:val="24"/>
          <w:highlight w:val="none"/>
        </w:rPr>
      </w:pPr>
    </w:p>
    <w:p w14:paraId="736844FA">
      <w:pPr>
        <w:pStyle w:val="5"/>
        <w:rPr>
          <w:rFonts w:hint="eastAsia" w:ascii="宋体" w:hAnsi="宋体" w:eastAsia="宋体" w:cs="宋体"/>
          <w:b/>
          <w:bCs/>
          <w:color w:val="auto"/>
          <w:highlight w:val="none"/>
        </w:rPr>
      </w:pPr>
    </w:p>
    <w:p w14:paraId="7C048156">
      <w:pPr>
        <w:pStyle w:val="5"/>
        <w:rPr>
          <w:rFonts w:hint="eastAsia" w:ascii="宋体" w:hAnsi="宋体" w:eastAsia="宋体" w:cs="宋体"/>
          <w:b/>
          <w:bCs/>
          <w:color w:val="auto"/>
          <w:highlight w:val="none"/>
        </w:rPr>
      </w:pPr>
    </w:p>
    <w:p w14:paraId="6EFF072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CFBE809">
      <w:pPr>
        <w:pStyle w:val="27"/>
        <w:rPr>
          <w:rFonts w:hint="eastAsia" w:ascii="宋体" w:hAnsi="宋体" w:eastAsia="宋体" w:cs="宋体"/>
          <w:color w:val="auto"/>
          <w:highlight w:val="none"/>
        </w:rPr>
      </w:pPr>
    </w:p>
    <w:p w14:paraId="67FE75CD">
      <w:pPr>
        <w:pStyle w:val="2"/>
        <w:keepNext/>
        <w:keepLines/>
        <w:pageBreakBefore w:val="0"/>
        <w:widowControl w:val="0"/>
        <w:kinsoku/>
        <w:wordWrap/>
        <w:overflowPunct/>
        <w:topLinePunct w:val="0"/>
        <w:autoSpaceDE/>
        <w:autoSpaceDN/>
        <w:bidi w:val="0"/>
        <w:adjustRightInd/>
        <w:snapToGrid w:val="0"/>
        <w:spacing w:before="20" w:after="20" w:line="360" w:lineRule="auto"/>
        <w:textAlignment w:val="auto"/>
        <w:rPr>
          <w:rFonts w:hint="eastAsia" w:ascii="宋体" w:hAnsi="宋体" w:eastAsia="宋体" w:cs="宋体"/>
          <w:color w:val="auto"/>
          <w:sz w:val="28"/>
          <w:szCs w:val="28"/>
          <w:highlight w:val="none"/>
        </w:rPr>
      </w:pPr>
      <w:bookmarkStart w:id="67" w:name="_Toc31798"/>
      <w:bookmarkStart w:id="68" w:name="_Toc24743"/>
      <w:r>
        <w:rPr>
          <w:rFonts w:hint="eastAsia" w:ascii="宋体" w:hAnsi="宋体" w:eastAsia="宋体" w:cs="宋体"/>
          <w:color w:val="auto"/>
          <w:sz w:val="28"/>
          <w:szCs w:val="28"/>
          <w:highlight w:val="none"/>
        </w:rPr>
        <w:t xml:space="preserve">附件1               </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文件封面（格式）</w:t>
      </w:r>
      <w:bookmarkEnd w:id="67"/>
      <w:bookmarkEnd w:id="68"/>
    </w:p>
    <w:p w14:paraId="3A0AC99C">
      <w:pPr>
        <w:widowControl/>
        <w:wordWrap w:val="0"/>
        <w:spacing w:line="460" w:lineRule="exact"/>
        <w:ind w:firstLine="482" w:firstLineChars="200"/>
        <w:jc w:val="center"/>
        <w:rPr>
          <w:rFonts w:hint="eastAsia" w:ascii="宋体" w:hAnsi="宋体" w:eastAsia="宋体" w:cs="宋体"/>
          <w:b/>
          <w:color w:val="auto"/>
          <w:kern w:val="0"/>
          <w:sz w:val="24"/>
          <w:highlight w:val="none"/>
        </w:rPr>
      </w:pPr>
    </w:p>
    <w:p w14:paraId="60EF64BA">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snapToGrid w:val="0"/>
          <w:color w:val="auto"/>
          <w:spacing w:val="0"/>
          <w:kern w:val="0"/>
          <w:sz w:val="44"/>
          <w:szCs w:val="44"/>
          <w:highlight w:val="none"/>
          <w:u w:val="none"/>
          <w:lang w:val="en-US" w:eastAsia="zh-CN"/>
        </w:rPr>
        <w:t>驻马店市中心医院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14:paraId="37E7F995">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lang w:val="en-US" w:eastAsia="zh-CN"/>
        </w:rPr>
        <w:t>响应</w:t>
      </w:r>
      <w:r>
        <w:rPr>
          <w:rFonts w:hint="eastAsia" w:ascii="宋体" w:hAnsi="宋体" w:eastAsia="宋体" w:cs="宋体"/>
          <w:b/>
          <w:color w:val="auto"/>
          <w:spacing w:val="90"/>
          <w:sz w:val="52"/>
          <w:szCs w:val="52"/>
          <w:highlight w:val="none"/>
        </w:rPr>
        <w:t>文件</w:t>
      </w:r>
    </w:p>
    <w:p w14:paraId="2A04A499">
      <w:pPr>
        <w:spacing w:line="360" w:lineRule="auto"/>
        <w:rPr>
          <w:rFonts w:hint="eastAsia" w:ascii="宋体" w:hAnsi="宋体" w:eastAsia="宋体" w:cs="宋体"/>
          <w:color w:val="auto"/>
          <w:sz w:val="28"/>
          <w:highlight w:val="none"/>
        </w:rPr>
      </w:pPr>
    </w:p>
    <w:p w14:paraId="596DC1AB">
      <w:pPr>
        <w:pStyle w:val="5"/>
        <w:spacing w:line="360" w:lineRule="auto"/>
        <w:rPr>
          <w:rFonts w:hint="eastAsia" w:ascii="宋体" w:hAnsi="宋体" w:eastAsia="宋体" w:cs="宋体"/>
          <w:color w:val="auto"/>
          <w:highlight w:val="none"/>
        </w:rPr>
      </w:pPr>
    </w:p>
    <w:p w14:paraId="51E48B65">
      <w:pPr>
        <w:pStyle w:val="5"/>
        <w:spacing w:line="360" w:lineRule="auto"/>
        <w:rPr>
          <w:rFonts w:hint="eastAsia" w:ascii="宋体" w:hAnsi="宋体" w:eastAsia="宋体" w:cs="宋体"/>
          <w:color w:val="auto"/>
          <w:highlight w:val="none"/>
        </w:rPr>
      </w:pPr>
    </w:p>
    <w:p w14:paraId="0AF50E0B">
      <w:pPr>
        <w:spacing w:line="360" w:lineRule="auto"/>
        <w:rPr>
          <w:rFonts w:hint="eastAsia" w:ascii="宋体" w:hAnsi="宋体" w:eastAsia="宋体" w:cs="宋体"/>
          <w:color w:val="auto"/>
          <w:sz w:val="28"/>
          <w:highlight w:val="none"/>
        </w:rPr>
      </w:pPr>
    </w:p>
    <w:p w14:paraId="5DD912A3">
      <w:pPr>
        <w:spacing w:line="360" w:lineRule="auto"/>
        <w:rPr>
          <w:rFonts w:hint="eastAsia" w:ascii="宋体" w:hAnsi="宋体" w:eastAsia="宋体" w:cs="宋体"/>
          <w:color w:val="auto"/>
          <w:sz w:val="28"/>
          <w:highlight w:val="none"/>
        </w:rPr>
      </w:pPr>
    </w:p>
    <w:p w14:paraId="5C511D16">
      <w:pPr>
        <w:spacing w:line="360" w:lineRule="auto"/>
        <w:rPr>
          <w:rFonts w:hint="eastAsia" w:ascii="宋体" w:hAnsi="宋体" w:eastAsia="宋体" w:cs="宋体"/>
          <w:color w:val="auto"/>
          <w:sz w:val="28"/>
          <w:highlight w:val="none"/>
        </w:rPr>
      </w:pPr>
    </w:p>
    <w:p w14:paraId="5F7D4E3C">
      <w:pPr>
        <w:spacing w:line="360" w:lineRule="auto"/>
        <w:rPr>
          <w:rFonts w:hint="eastAsia" w:ascii="宋体" w:hAnsi="宋体" w:eastAsia="宋体" w:cs="宋体"/>
          <w:color w:val="auto"/>
          <w:sz w:val="28"/>
          <w:highlight w:val="none"/>
        </w:rPr>
      </w:pPr>
    </w:p>
    <w:p w14:paraId="4A8855A5">
      <w:pPr>
        <w:spacing w:line="360" w:lineRule="auto"/>
        <w:rPr>
          <w:rFonts w:hint="eastAsia" w:ascii="宋体" w:hAnsi="宋体" w:eastAsia="宋体" w:cs="宋体"/>
          <w:color w:val="auto"/>
          <w:sz w:val="28"/>
          <w:highlight w:val="none"/>
        </w:rPr>
      </w:pPr>
    </w:p>
    <w:p w14:paraId="6544AFF1">
      <w:pPr>
        <w:spacing w:line="360" w:lineRule="auto"/>
        <w:rPr>
          <w:rFonts w:hint="eastAsia" w:ascii="宋体" w:hAnsi="宋体" w:eastAsia="宋体" w:cs="宋体"/>
          <w:color w:val="auto"/>
          <w:sz w:val="28"/>
          <w:highlight w:val="none"/>
        </w:rPr>
      </w:pPr>
    </w:p>
    <w:p w14:paraId="26F246B9">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全称并</w:t>
      </w:r>
      <w:r>
        <w:rPr>
          <w:rFonts w:hint="eastAsia" w:ascii="宋体" w:hAnsi="宋体" w:eastAsia="宋体" w:cs="宋体"/>
          <w:color w:val="auto"/>
          <w:sz w:val="28"/>
          <w:szCs w:val="28"/>
          <w:highlight w:val="none"/>
          <w:lang w:val="en-US" w:eastAsia="zh-CN"/>
        </w:rPr>
        <w:t>加</w:t>
      </w:r>
      <w:r>
        <w:rPr>
          <w:rFonts w:hint="eastAsia" w:ascii="宋体" w:hAnsi="宋体" w:eastAsia="宋体" w:cs="宋体"/>
          <w:color w:val="auto"/>
          <w:sz w:val="28"/>
          <w:szCs w:val="28"/>
          <w:highlight w:val="none"/>
          <w:lang w:eastAsia="zh-CN"/>
        </w:rPr>
        <w:t>盖</w:t>
      </w:r>
      <w:r>
        <w:rPr>
          <w:rFonts w:hint="eastAsia" w:ascii="宋体" w:hAnsi="宋体" w:eastAsia="宋体" w:cs="宋体"/>
          <w:color w:val="auto"/>
          <w:sz w:val="28"/>
          <w:szCs w:val="28"/>
          <w:highlight w:val="none"/>
          <w:lang w:val="en-US" w:eastAsia="zh-CN"/>
        </w:rPr>
        <w:t>公</w:t>
      </w:r>
      <w:r>
        <w:rPr>
          <w:rFonts w:hint="eastAsia" w:ascii="宋体" w:hAnsi="宋体" w:eastAsia="宋体" w:cs="宋体"/>
          <w:color w:val="auto"/>
          <w:sz w:val="28"/>
          <w:szCs w:val="28"/>
          <w:highlight w:val="none"/>
          <w:lang w:eastAsia="zh-CN"/>
        </w:rPr>
        <w:t>章</w:t>
      </w:r>
      <w:r>
        <w:rPr>
          <w:rFonts w:hint="eastAsia" w:ascii="宋体" w:hAnsi="宋体" w:eastAsia="宋体" w:cs="宋体"/>
          <w:color w:val="auto"/>
          <w:sz w:val="28"/>
          <w:szCs w:val="28"/>
          <w:highlight w:val="none"/>
        </w:rPr>
        <w:t>）：</w:t>
      </w:r>
    </w:p>
    <w:p w14:paraId="79D76E85">
      <w:pPr>
        <w:widowControl/>
        <w:wordWrap w:val="0"/>
        <w:spacing w:line="460" w:lineRule="exact"/>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14:paraId="4D5E55DE">
      <w:pPr>
        <w:widowControl/>
        <w:wordWrap w:val="0"/>
        <w:spacing w:line="460" w:lineRule="exact"/>
        <w:ind w:left="0" w:leftChars="0" w:firstLine="0" w:firstLineChars="0"/>
        <w:jc w:val="center"/>
        <w:rPr>
          <w:rFonts w:hint="eastAsia" w:ascii="宋体" w:hAnsi="宋体" w:eastAsia="宋体" w:cs="宋体"/>
          <w:b/>
          <w:color w:val="auto"/>
          <w:kern w:val="0"/>
          <w:sz w:val="24"/>
          <w:highlight w:val="none"/>
        </w:rPr>
      </w:pPr>
      <w:r>
        <w:rPr>
          <w:rFonts w:hint="eastAsia" w:ascii="宋体" w:hAnsi="宋体" w:eastAsia="宋体" w:cs="宋体"/>
          <w:color w:val="auto"/>
          <w:sz w:val="28"/>
          <w:szCs w:val="28"/>
          <w:highlight w:val="none"/>
        </w:rPr>
        <w:t>年   月   日</w:t>
      </w:r>
    </w:p>
    <w:p w14:paraId="55BD49F4">
      <w:pPr>
        <w:widowControl/>
        <w:wordWrap w:val="0"/>
        <w:spacing w:line="460" w:lineRule="exact"/>
        <w:ind w:firstLine="482" w:firstLineChars="200"/>
        <w:jc w:val="left"/>
        <w:rPr>
          <w:rFonts w:hint="eastAsia" w:ascii="宋体" w:hAnsi="宋体" w:eastAsia="宋体" w:cs="宋体"/>
          <w:b/>
          <w:color w:val="auto"/>
          <w:kern w:val="0"/>
          <w:sz w:val="24"/>
          <w:highlight w:val="none"/>
        </w:rPr>
      </w:pPr>
    </w:p>
    <w:p w14:paraId="608C8D96">
      <w:pPr>
        <w:pStyle w:val="4"/>
        <w:rPr>
          <w:rFonts w:hint="eastAsia" w:ascii="宋体" w:hAnsi="宋体" w:eastAsia="宋体" w:cs="宋体"/>
          <w:b/>
          <w:color w:val="auto"/>
          <w:kern w:val="0"/>
          <w:sz w:val="24"/>
          <w:highlight w:val="none"/>
        </w:rPr>
      </w:pPr>
    </w:p>
    <w:p w14:paraId="7B4C1E5E">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1AA54C7C">
      <w:pPr>
        <w:pStyle w:val="2"/>
        <w:keepNext w:val="0"/>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69" w:name="_Toc14560"/>
      <w:bookmarkStart w:id="70" w:name="_Toc8818"/>
      <w:r>
        <w:rPr>
          <w:rFonts w:hint="eastAsia" w:ascii="宋体" w:hAnsi="宋体" w:eastAsia="宋体" w:cs="宋体"/>
          <w:color w:val="auto"/>
          <w:sz w:val="28"/>
          <w:szCs w:val="28"/>
          <w:highlight w:val="none"/>
          <w:lang w:val="en-US" w:eastAsia="zh-CN"/>
        </w:rPr>
        <w:t>附件2      竞争性磋商响应书（格式）</w:t>
      </w:r>
      <w:bookmarkEnd w:id="69"/>
      <w:bookmarkEnd w:id="70"/>
    </w:p>
    <w:p w14:paraId="5EB4DF31">
      <w:pPr>
        <w:keepNext w:val="0"/>
        <w:pageBreakBefore w:val="0"/>
        <w:widowControl w:val="0"/>
        <w:wordWrap w:val="0"/>
        <w:overflowPunct/>
        <w:topLinePunct w:val="0"/>
        <w:bidi w:val="0"/>
        <w:snapToGrid w:val="0"/>
        <w:spacing w:line="4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采购人</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w:t>
      </w:r>
    </w:p>
    <w:p w14:paraId="440940C5">
      <w:pPr>
        <w:keepNext w:val="0"/>
        <w:pageBreakBefore w:val="0"/>
        <w:widowControl w:val="0"/>
        <w:wordWrap w:val="0"/>
        <w:overflowPunct/>
        <w:topLinePunct w:val="0"/>
        <w:bidi w:val="0"/>
        <w:spacing w:line="460" w:lineRule="exact"/>
        <w:ind w:firstLine="525" w:firstLine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eastAsia="zh-CN"/>
        </w:rPr>
        <w:t>供应商</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 xml:space="preserve">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（姓名）为我方代理人，参加贵方组织的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。现正式提交下述文件1份：</w:t>
      </w:r>
    </w:p>
    <w:p w14:paraId="3C3C37C3">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1、初次报价一览表。</w:t>
      </w:r>
    </w:p>
    <w:p w14:paraId="3BAB64D0">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2、技术响应表。</w:t>
      </w:r>
    </w:p>
    <w:p w14:paraId="11EF566E">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、商务响应表。</w:t>
      </w:r>
    </w:p>
    <w:p w14:paraId="4429B98C">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、证明文件。</w:t>
      </w:r>
    </w:p>
    <w:p w14:paraId="4835858B">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为便于贵方公正、择优地确定</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供应商，我方就本次投标有关事项郑重声明并宣布同意如下：</w:t>
      </w:r>
    </w:p>
    <w:p w14:paraId="5A53C04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1、我方承诺已经具备</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中规定的参加政府采购活动的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应当具备的条件。我方愿意向贵方提供任何与本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项目投标有关的数据、情况和技术资料，并根据需要提供一切承诺的证明材料，并保证其真实、合法、有效。</w:t>
      </w:r>
    </w:p>
    <w:p w14:paraId="294FA0C1">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活动中提供的各种材料真实有效。</w:t>
      </w:r>
    </w:p>
    <w:p w14:paraId="77530AF8">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3、我方同意在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文件有效期内遵守本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文件中的承诺且在此期限期满之前均具有约束力。如果我方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文件有效期与合同履行期相同。</w:t>
      </w:r>
    </w:p>
    <w:p w14:paraId="098DA80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，包括修改文件（如有的话）和有关附件，将自行承担因对全部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理解不正确或误解而产生的相应后果。</w:t>
      </w:r>
    </w:p>
    <w:p w14:paraId="02BF7D37">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5、我方保证尊重</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的评</w:t>
      </w:r>
      <w:r>
        <w:rPr>
          <w:rFonts w:hint="eastAsia" w:ascii="宋体" w:hAnsi="宋体" w:eastAsia="宋体" w:cs="宋体"/>
          <w:color w:val="auto"/>
          <w:kern w:val="0"/>
          <w:szCs w:val="21"/>
          <w:highlight w:val="none"/>
          <w:lang w:val="en-US" w:eastAsia="zh-CN"/>
        </w:rPr>
        <w:t>审</w:t>
      </w:r>
      <w:r>
        <w:rPr>
          <w:rFonts w:hint="eastAsia" w:ascii="宋体" w:hAnsi="宋体" w:eastAsia="宋体" w:cs="宋体"/>
          <w:color w:val="auto"/>
          <w:kern w:val="0"/>
          <w:szCs w:val="21"/>
          <w:highlight w:val="none"/>
        </w:rPr>
        <w:t>结果，完全理解本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项目最低投标价不作为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的保证。</w:t>
      </w:r>
    </w:p>
    <w:p w14:paraId="0D88221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6、我方理解并遵守</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的全部规定，接受</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中政府采购合同的全部条款且无任何异议。</w:t>
      </w:r>
    </w:p>
    <w:p w14:paraId="01FA5B54">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7、如果我方代表</w:t>
      </w:r>
      <w:r>
        <w:rPr>
          <w:rFonts w:hint="eastAsia" w:ascii="宋体" w:hAnsi="宋体" w:eastAsia="宋体" w:cs="宋体"/>
          <w:bCs/>
          <w:color w:val="auto"/>
          <w:kern w:val="0"/>
          <w:szCs w:val="21"/>
          <w:highlight w:val="none"/>
        </w:rPr>
        <w:t>未按时参加开标的，视同放弃开标监督权利，认可开标结果。</w:t>
      </w:r>
    </w:p>
    <w:p w14:paraId="78C0DD7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8、如果我方存在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须知第9.3项所述情况，同意被认定为在经营活动中有重大违法记录。</w:t>
      </w:r>
    </w:p>
    <w:p w14:paraId="29583A3A">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.4.3项所述情况，同意我方投标被作为无效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处理。</w:t>
      </w:r>
    </w:p>
    <w:p w14:paraId="797392CC">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.5项所述情况，同意</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认定我方的行为属于串通投标的行为，并自愿接受监管部门的处罚。</w:t>
      </w:r>
    </w:p>
    <w:p w14:paraId="02EE2449">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11、如果现场变更采购方式，我方同意在不改变</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需求、资质条件等情况下，按变更后的采购方式的规定程序进行采购。</w:t>
      </w:r>
    </w:p>
    <w:p w14:paraId="16EBA83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供应商，我方同意按</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的规定领取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并缴纳服务费。否则，视为我方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资格，承担由此引起的一切后果。</w:t>
      </w:r>
    </w:p>
    <w:p w14:paraId="3B795BEB">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供应商，我方同意在领取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u w:val="single"/>
          <w:lang w:val="en-US" w:eastAsia="zh-CN"/>
        </w:rPr>
        <w:t xml:space="preserve"> 30  </w:t>
      </w:r>
      <w:r>
        <w:rPr>
          <w:rFonts w:hint="eastAsia" w:ascii="宋体" w:hAnsi="宋体" w:eastAsia="宋体" w:cs="宋体"/>
          <w:color w:val="auto"/>
          <w:kern w:val="0"/>
          <w:szCs w:val="21"/>
          <w:highlight w:val="none"/>
        </w:rPr>
        <w:t>日内，按照</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的规定与采购人签订采购合同。否则，视为我方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后无正当理由不与采购人签订合同并承担相应法律责任。</w:t>
      </w:r>
    </w:p>
    <w:p w14:paraId="1C1BEA7A">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14、我方最近3年内的被公开披露或查处的违法违规行为有：</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若无，则填无；若有，逐一列明</w:t>
      </w:r>
      <w:r>
        <w:rPr>
          <w:rFonts w:hint="eastAsia" w:ascii="宋体" w:hAnsi="宋体" w:cs="宋体"/>
          <w:b/>
          <w:bCs/>
          <w:color w:val="auto"/>
          <w:kern w:val="0"/>
          <w:szCs w:val="21"/>
          <w:highlight w:val="none"/>
          <w:lang w:eastAsia="zh-CN"/>
        </w:rPr>
        <w:t>）</w:t>
      </w:r>
    </w:p>
    <w:p w14:paraId="0D90ED5A">
      <w:pPr>
        <w:keepNext w:val="0"/>
        <w:pageBreakBefore w:val="0"/>
        <w:widowControl w:val="0"/>
        <w:tabs>
          <w:tab w:val="left" w:pos="939"/>
        </w:tabs>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15、以上事项如有虚假或隐瞒，我方愿意承担一切后果和责任。</w:t>
      </w:r>
    </w:p>
    <w:p w14:paraId="2AA43C61">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有关的一切正式往来通讯请寄（地址电话必须为最新并可以联系到）：</w:t>
      </w:r>
    </w:p>
    <w:p w14:paraId="46263E1A">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地址：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邮编：</w:t>
      </w:r>
    </w:p>
    <w:p w14:paraId="44EDD7FD">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电话：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传真： </w:t>
      </w:r>
    </w:p>
    <w:p w14:paraId="1B961AD2">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p>
    <w:p w14:paraId="1370EEFF">
      <w:pPr>
        <w:keepNext w:val="0"/>
        <w:pageBreakBefore w:val="0"/>
        <w:widowControl w:val="0"/>
        <w:wordWrap w:val="0"/>
        <w:overflowPunct/>
        <w:topLinePunct w:val="0"/>
        <w:bidi w:val="0"/>
        <w:spacing w:line="460" w:lineRule="exact"/>
        <w:ind w:firstLine="735" w:firstLineChars="350"/>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 xml:space="preserve">： </w:t>
      </w:r>
    </w:p>
    <w:p w14:paraId="0107FEA8">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w:t>
      </w:r>
    </w:p>
    <w:p w14:paraId="2F6DB91A">
      <w:pPr>
        <w:keepNext w:val="0"/>
        <w:pageBreakBefore w:val="0"/>
        <w:widowControl w:val="0"/>
        <w:overflowPunct/>
        <w:topLinePunct w:val="0"/>
        <w:bidi w:val="0"/>
        <w:snapToGrid w:val="0"/>
        <w:spacing w:line="460" w:lineRule="exact"/>
        <w:ind w:firstLine="1260" w:firstLineChars="60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年    月   日 </w:t>
      </w:r>
    </w:p>
    <w:p w14:paraId="3C459000">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7D79496B">
      <w:pPr>
        <w:spacing w:line="500" w:lineRule="exact"/>
        <w:jc w:val="center"/>
        <w:rPr>
          <w:rFonts w:hint="eastAsia" w:ascii="宋体" w:hAnsi="宋体" w:eastAsia="宋体" w:cs="宋体"/>
          <w:b/>
          <w:bCs/>
          <w:color w:val="auto"/>
          <w:sz w:val="24"/>
          <w:highlight w:val="none"/>
        </w:rPr>
      </w:pPr>
    </w:p>
    <w:p w14:paraId="77439107">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0A09D513">
      <w:pPr>
        <w:rPr>
          <w:rFonts w:hint="eastAsia" w:ascii="宋体" w:hAnsi="宋体" w:eastAsia="宋体" w:cs="宋体"/>
          <w:color w:val="auto"/>
          <w:highlight w:val="none"/>
        </w:rPr>
      </w:pPr>
    </w:p>
    <w:p w14:paraId="12E02C04">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71" w:name="_Toc7838"/>
      <w:r>
        <w:rPr>
          <w:rFonts w:hint="eastAsia" w:ascii="宋体" w:hAnsi="宋体" w:eastAsia="宋体" w:cs="宋体"/>
          <w:color w:val="auto"/>
          <w:sz w:val="28"/>
          <w:szCs w:val="28"/>
          <w:highlight w:val="none"/>
          <w:lang w:val="en-US" w:eastAsia="zh-CN"/>
        </w:rPr>
        <w:t>附件3            初次报价一览表</w:t>
      </w:r>
      <w:bookmarkEnd w:id="71"/>
      <w:r>
        <w:rPr>
          <w:rFonts w:hint="eastAsia" w:ascii="宋体" w:hAnsi="宋体" w:eastAsia="宋体" w:cs="宋体"/>
          <w:color w:val="auto"/>
          <w:sz w:val="28"/>
          <w:szCs w:val="28"/>
          <w:highlight w:val="none"/>
          <w:lang w:val="en-US" w:eastAsia="zh-CN"/>
        </w:rPr>
        <w:t>（格式）</w:t>
      </w:r>
    </w:p>
    <w:p w14:paraId="163DE47D">
      <w:pPr>
        <w:spacing w:line="239" w:lineRule="auto"/>
        <w:jc w:val="righ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单位：</w:t>
      </w:r>
      <w:r>
        <w:rPr>
          <w:rFonts w:hint="eastAsia" w:ascii="宋体" w:hAnsi="宋体" w:cs="宋体"/>
          <w:color w:val="auto"/>
          <w:sz w:val="24"/>
          <w:highlight w:val="none"/>
          <w:lang w:val="en-US" w:eastAsia="zh-CN"/>
        </w:rPr>
        <w:t>%</w:t>
      </w:r>
    </w:p>
    <w:p w14:paraId="7731EC5A">
      <w:pPr>
        <w:rPr>
          <w:rFonts w:hint="eastAsia" w:ascii="宋体" w:hAnsi="宋体" w:eastAsia="宋体" w:cs="宋体"/>
          <w:color w:val="auto"/>
          <w:highlight w:val="none"/>
        </w:rPr>
      </w:pPr>
    </w:p>
    <w:tbl>
      <w:tblPr>
        <w:tblStyle w:val="33"/>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14:paraId="16E5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7D35BE1C">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项目名称</w:t>
            </w:r>
          </w:p>
        </w:tc>
        <w:tc>
          <w:tcPr>
            <w:tcW w:w="7708" w:type="dxa"/>
            <w:noWrap/>
            <w:vAlign w:val="center"/>
          </w:tcPr>
          <w:p w14:paraId="29544E6D">
            <w:pPr>
              <w:rPr>
                <w:rFonts w:hint="eastAsia" w:ascii="宋体" w:hAnsi="宋体" w:eastAsia="宋体" w:cs="宋体"/>
                <w:bCs/>
                <w:color w:val="auto"/>
                <w:szCs w:val="21"/>
                <w:highlight w:val="none"/>
              </w:rPr>
            </w:pPr>
          </w:p>
        </w:tc>
      </w:tr>
      <w:tr w14:paraId="58A9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61935F99">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p>
        </w:tc>
        <w:tc>
          <w:tcPr>
            <w:tcW w:w="7708" w:type="dxa"/>
            <w:noWrap/>
            <w:vAlign w:val="center"/>
          </w:tcPr>
          <w:p w14:paraId="07B627DC">
            <w:pPr>
              <w:rPr>
                <w:rFonts w:hint="eastAsia" w:ascii="宋体" w:hAnsi="宋体" w:eastAsia="宋体" w:cs="宋体"/>
                <w:color w:val="auto"/>
                <w:szCs w:val="21"/>
                <w:highlight w:val="none"/>
              </w:rPr>
            </w:pPr>
          </w:p>
        </w:tc>
      </w:tr>
      <w:tr w14:paraId="362D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978" w:type="dxa"/>
            <w:vMerge w:val="restart"/>
            <w:noWrap/>
            <w:vAlign w:val="center"/>
          </w:tcPr>
          <w:p w14:paraId="2A3EC86B">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磋商报价（综合折扣率）</w:t>
            </w:r>
          </w:p>
        </w:tc>
        <w:tc>
          <w:tcPr>
            <w:tcW w:w="7708" w:type="dxa"/>
            <w:noWrap/>
            <w:vAlign w:val="center"/>
          </w:tcPr>
          <w:p w14:paraId="00599994">
            <w:pPr>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1.水泵：</w:t>
            </w:r>
          </w:p>
          <w:p w14:paraId="1EFDAC4C">
            <w:pPr>
              <w:jc w:val="left"/>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lang w:val="en-US" w:eastAsia="zh-CN"/>
              </w:rPr>
              <w:t>大写：</w:t>
            </w:r>
            <w:r>
              <w:rPr>
                <w:rFonts w:hint="eastAsia" w:ascii="宋体" w:hAnsi="宋体" w:eastAsia="宋体" w:cs="宋体"/>
                <w:color w:val="auto"/>
                <w:szCs w:val="21"/>
                <w:highlight w:val="none"/>
                <w:u w:val="single"/>
                <w:lang w:val="en-US" w:eastAsia="zh-CN"/>
              </w:rPr>
              <w:t xml:space="preserve">          </w:t>
            </w:r>
          </w:p>
          <w:p w14:paraId="6E07632D">
            <w:pPr>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小写：</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w:t>
            </w:r>
          </w:p>
        </w:tc>
      </w:tr>
      <w:tr w14:paraId="7DE68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978" w:type="dxa"/>
            <w:vMerge w:val="continue"/>
            <w:noWrap/>
            <w:vAlign w:val="center"/>
          </w:tcPr>
          <w:p w14:paraId="0B390F86">
            <w:pPr>
              <w:jc w:val="center"/>
              <w:rPr>
                <w:rFonts w:hint="eastAsia" w:ascii="宋体" w:hAnsi="宋体" w:eastAsia="宋体" w:cs="宋体"/>
                <w:color w:val="auto"/>
                <w:szCs w:val="21"/>
                <w:highlight w:val="none"/>
                <w:lang w:val="en-US" w:eastAsia="zh-CN"/>
              </w:rPr>
            </w:pPr>
          </w:p>
        </w:tc>
        <w:tc>
          <w:tcPr>
            <w:tcW w:w="7708" w:type="dxa"/>
            <w:noWrap/>
            <w:vAlign w:val="center"/>
          </w:tcPr>
          <w:p w14:paraId="2F99D189">
            <w:pPr>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2.人工费：</w:t>
            </w:r>
          </w:p>
          <w:p w14:paraId="05ADE95C">
            <w:pPr>
              <w:jc w:val="left"/>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lang w:val="en-US" w:eastAsia="zh-CN"/>
              </w:rPr>
              <w:t>大写：</w:t>
            </w:r>
            <w:r>
              <w:rPr>
                <w:rFonts w:hint="eastAsia" w:ascii="宋体" w:hAnsi="宋体" w:eastAsia="宋体" w:cs="宋体"/>
                <w:color w:val="auto"/>
                <w:szCs w:val="21"/>
                <w:highlight w:val="none"/>
                <w:u w:val="single"/>
                <w:lang w:val="en-US" w:eastAsia="zh-CN"/>
              </w:rPr>
              <w:t xml:space="preserve">          </w:t>
            </w:r>
          </w:p>
          <w:p w14:paraId="1128DCC1">
            <w:pPr>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小写：</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w:t>
            </w:r>
          </w:p>
        </w:tc>
      </w:tr>
      <w:tr w14:paraId="002F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5C47B432">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p>
        </w:tc>
        <w:tc>
          <w:tcPr>
            <w:tcW w:w="7708" w:type="dxa"/>
            <w:noWrap/>
            <w:vAlign w:val="center"/>
          </w:tcPr>
          <w:p w14:paraId="1BE2A112">
            <w:pPr>
              <w:pStyle w:val="20"/>
              <w:ind w:left="0" w:leftChars="0"/>
              <w:rPr>
                <w:rFonts w:hint="eastAsia" w:ascii="宋体" w:hAnsi="宋体" w:eastAsia="宋体" w:cs="宋体"/>
                <w:color w:val="auto"/>
                <w:szCs w:val="21"/>
                <w:highlight w:val="none"/>
                <w:u w:val="single"/>
              </w:rPr>
            </w:pPr>
            <w:r>
              <w:rPr>
                <w:rFonts w:hint="eastAsia" w:ascii="宋体" w:hAnsi="宋体" w:eastAsia="宋体" w:cs="宋体"/>
                <w:color w:val="auto"/>
                <w:kern w:val="0"/>
                <w:sz w:val="21"/>
                <w:szCs w:val="21"/>
                <w:highlight w:val="none"/>
                <w:lang w:val="en-US" w:eastAsia="zh-CN" w:bidi="ar-SA"/>
              </w:rPr>
              <w:t>响应文件递交截止期结束后</w:t>
            </w:r>
            <w:r>
              <w:rPr>
                <w:rFonts w:hint="eastAsia"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0日。</w:t>
            </w:r>
          </w:p>
        </w:tc>
      </w:tr>
      <w:tr w14:paraId="0543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D64A98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  注</w:t>
            </w:r>
          </w:p>
        </w:tc>
        <w:tc>
          <w:tcPr>
            <w:tcW w:w="7708" w:type="dxa"/>
            <w:noWrap/>
            <w:vAlign w:val="center"/>
          </w:tcPr>
          <w:p w14:paraId="0FDD4FAD">
            <w:pPr>
              <w:pStyle w:val="20"/>
              <w:ind w:left="0" w:leftChars="0"/>
              <w:rPr>
                <w:rFonts w:hint="eastAsia" w:ascii="宋体" w:hAnsi="宋体" w:eastAsia="宋体" w:cs="宋体"/>
                <w:color w:val="auto"/>
                <w:sz w:val="21"/>
                <w:szCs w:val="21"/>
                <w:highlight w:val="none"/>
              </w:rPr>
            </w:pPr>
          </w:p>
        </w:tc>
      </w:tr>
    </w:tbl>
    <w:p w14:paraId="41762F7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w:t>
      </w:r>
    </w:p>
    <w:p w14:paraId="6634024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bookmarkStart w:id="72" w:name="_Toc11620"/>
      <w:bookmarkStart w:id="73" w:name="_Toc20877"/>
      <w:r>
        <w:rPr>
          <w:rFonts w:hint="eastAsia" w:ascii="宋体" w:hAnsi="宋体" w:eastAsia="宋体" w:cs="宋体"/>
          <w:color w:val="auto"/>
          <w:sz w:val="21"/>
          <w:szCs w:val="21"/>
          <w:highlight w:val="none"/>
        </w:rPr>
        <w:t>1、报价一经涂改，应在涂改处加盖单位公章或</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代表签字或盖章，否则其</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作无效标处理。</w:t>
      </w:r>
    </w:p>
    <w:p w14:paraId="686A404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bookmarkStart w:id="74" w:name="_Toc2747"/>
      <w:r>
        <w:rPr>
          <w:rFonts w:hint="eastAsia" w:ascii="宋体" w:hAnsi="宋体" w:eastAsia="宋体" w:cs="宋体"/>
          <w:color w:val="auto"/>
          <w:sz w:val="21"/>
          <w:szCs w:val="21"/>
          <w:highlight w:val="none"/>
          <w:lang w:val="en-US" w:eastAsia="zh-CN"/>
        </w:rPr>
        <w:t>2、以上报价应与“投标报价明细表”中的报价相一致。</w:t>
      </w:r>
      <w:bookmarkEnd w:id="74"/>
    </w:p>
    <w:p w14:paraId="5DCFBC4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若认为符合价格折扣条件的，在“备注”栏内注明符合何种折扣条件，以方便评委评审。 </w:t>
      </w:r>
    </w:p>
    <w:p w14:paraId="19BDE8E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按格式填列，不得自行更改。否则引起的不利后果由</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承担。</w:t>
      </w:r>
    </w:p>
    <w:p w14:paraId="2D5BCB5F">
      <w:pPr>
        <w:spacing w:line="360" w:lineRule="auto"/>
        <w:ind w:firstLine="420" w:firstLineChars="200"/>
        <w:jc w:val="both"/>
        <w:rPr>
          <w:rFonts w:hint="eastAsia" w:ascii="宋体" w:hAnsi="宋体" w:eastAsia="宋体" w:cs="宋体"/>
          <w:color w:val="auto"/>
          <w:szCs w:val="21"/>
          <w:highlight w:val="none"/>
          <w:lang w:eastAsia="zh-CN"/>
        </w:rPr>
      </w:pPr>
    </w:p>
    <w:p w14:paraId="3A5C10C0">
      <w:pPr>
        <w:spacing w:line="360" w:lineRule="auto"/>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（全称并加盖公章）：</w:t>
      </w:r>
      <w:bookmarkEnd w:id="72"/>
      <w:bookmarkEnd w:id="73"/>
    </w:p>
    <w:p w14:paraId="1523170F">
      <w:pPr>
        <w:spacing w:line="360" w:lineRule="auto"/>
        <w:ind w:firstLine="420" w:firstLineChars="200"/>
        <w:jc w:val="center"/>
        <w:rPr>
          <w:rFonts w:hint="eastAsia" w:ascii="宋体" w:hAnsi="宋体" w:eastAsia="宋体" w:cs="宋体"/>
          <w:color w:val="auto"/>
          <w:szCs w:val="21"/>
          <w:highlight w:val="none"/>
          <w:u w:val="single"/>
        </w:rPr>
      </w:pPr>
      <w:bookmarkStart w:id="75" w:name="_Toc12222"/>
      <w:bookmarkStart w:id="76" w:name="_Toc625"/>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bookmarkEnd w:id="75"/>
      <w:bookmarkEnd w:id="76"/>
    </w:p>
    <w:p w14:paraId="2959E3BC">
      <w:pPr>
        <w:jc w:val="center"/>
        <w:rPr>
          <w:rFonts w:hint="eastAsia" w:ascii="宋体" w:hAnsi="宋体" w:eastAsia="宋体" w:cs="宋体"/>
          <w:color w:val="auto"/>
          <w:szCs w:val="21"/>
          <w:highlight w:val="none"/>
        </w:rPr>
      </w:pPr>
    </w:p>
    <w:p w14:paraId="64AF2685">
      <w:pPr>
        <w:spacing w:line="360" w:lineRule="auto"/>
        <w:ind w:firstLine="420" w:firstLineChars="200"/>
        <w:jc w:val="center"/>
        <w:rPr>
          <w:rFonts w:hint="eastAsia" w:ascii="宋体" w:hAnsi="宋体" w:eastAsia="宋体" w:cs="宋体"/>
          <w:color w:val="auto"/>
          <w:highlight w:val="none"/>
        </w:rPr>
      </w:pPr>
      <w:bookmarkStart w:id="77" w:name="_Toc1330"/>
      <w:bookmarkStart w:id="78" w:name="_Toc9950"/>
      <w:r>
        <w:rPr>
          <w:rFonts w:hint="eastAsia" w:ascii="宋体" w:hAnsi="宋体" w:eastAsia="宋体" w:cs="宋体"/>
          <w:color w:val="auto"/>
          <w:szCs w:val="21"/>
          <w:highlight w:val="none"/>
        </w:rPr>
        <w:t>年  月  日</w:t>
      </w:r>
      <w:bookmarkEnd w:id="77"/>
      <w:bookmarkEnd w:id="78"/>
    </w:p>
    <w:p w14:paraId="75AF52ED">
      <w:pPr>
        <w:rPr>
          <w:rFonts w:hint="eastAsia" w:ascii="宋体" w:hAnsi="宋体" w:eastAsia="宋体" w:cs="宋体"/>
          <w:color w:val="auto"/>
          <w:highlight w:val="none"/>
        </w:rPr>
      </w:pPr>
    </w:p>
    <w:bookmarkEnd w:id="52"/>
    <w:bookmarkEnd w:id="53"/>
    <w:p w14:paraId="32162F70">
      <w:pPr>
        <w:spacing w:before="20" w:after="20"/>
        <w:outlineLvl w:val="9"/>
        <w:rPr>
          <w:rFonts w:hint="eastAsia" w:ascii="宋体" w:hAnsi="宋体" w:eastAsia="宋体" w:cs="宋体"/>
          <w:color w:val="auto"/>
          <w:highlight w:val="none"/>
          <w:lang w:eastAsia="zh-CN"/>
        </w:rPr>
      </w:pPr>
      <w:bookmarkStart w:id="79" w:name="_Toc22004"/>
      <w:bookmarkStart w:id="80" w:name="_Toc24984"/>
    </w:p>
    <w:p w14:paraId="35B35CE5">
      <w:pPr>
        <w:outlineLvl w:val="9"/>
        <w:rPr>
          <w:rFonts w:hint="eastAsia" w:ascii="宋体" w:hAnsi="宋体" w:eastAsia="宋体" w:cs="宋体"/>
          <w:color w:val="auto"/>
          <w:highlight w:val="none"/>
          <w:lang w:eastAsia="zh-CN"/>
        </w:rPr>
      </w:pPr>
    </w:p>
    <w:p w14:paraId="55668C71">
      <w:pPr>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79"/>
    <w:bookmarkEnd w:id="80"/>
    <w:p w14:paraId="3A621A8C">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1" w:name="_Toc15804"/>
      <w:bookmarkStart w:id="82" w:name="_Toc226"/>
      <w:r>
        <w:rPr>
          <w:rFonts w:hint="eastAsia" w:ascii="宋体" w:hAnsi="宋体" w:eastAsia="宋体" w:cs="宋体"/>
          <w:color w:val="auto"/>
          <w:sz w:val="28"/>
          <w:szCs w:val="28"/>
          <w:highlight w:val="none"/>
          <w:lang w:val="en-US" w:eastAsia="zh-CN"/>
        </w:rPr>
        <w:t>附件4            报价明细表（格式）</w:t>
      </w:r>
    </w:p>
    <w:p w14:paraId="05DE44B9">
      <w:pPr>
        <w:jc w:val="righ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金额单位：</w:t>
      </w:r>
      <w:r>
        <w:rPr>
          <w:rFonts w:hint="eastAsia" w:ascii="宋体" w:hAnsi="宋体" w:cs="宋体"/>
          <w:color w:val="auto"/>
          <w:kern w:val="0"/>
          <w:sz w:val="24"/>
          <w:highlight w:val="none"/>
          <w:lang w:val="en-US" w:eastAsia="zh-CN"/>
        </w:rPr>
        <w:t>（元）</w:t>
      </w:r>
    </w:p>
    <w:tbl>
      <w:tblPr>
        <w:tblStyle w:val="33"/>
        <w:tblW w:w="9205" w:type="dxa"/>
        <w:tblInd w:w="13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8"/>
        <w:gridCol w:w="1694"/>
        <w:gridCol w:w="787"/>
        <w:gridCol w:w="831"/>
        <w:gridCol w:w="847"/>
        <w:gridCol w:w="1237"/>
        <w:gridCol w:w="1065"/>
        <w:gridCol w:w="1250"/>
        <w:gridCol w:w="916"/>
      </w:tblGrid>
      <w:tr w14:paraId="1CC2E8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78" w:type="dxa"/>
            <w:tcBorders>
              <w:top w:val="single" w:color="auto" w:sz="4" w:space="0"/>
              <w:left w:val="single" w:color="auto" w:sz="4" w:space="0"/>
              <w:bottom w:val="nil"/>
              <w:right w:val="single" w:color="auto" w:sz="4" w:space="0"/>
            </w:tcBorders>
            <w:vAlign w:val="center"/>
          </w:tcPr>
          <w:p w14:paraId="042F9A88">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r>
              <w:rPr>
                <w:rFonts w:hint="eastAsia" w:ascii="宋体" w:hAnsi="宋体" w:eastAsia="宋体" w:cs="宋体"/>
                <w:color w:val="auto"/>
                <w:kern w:val="0"/>
                <w:sz w:val="24"/>
                <w:highlight w:val="none"/>
              </w:rPr>
              <w:t>序号</w:t>
            </w:r>
          </w:p>
        </w:tc>
        <w:tc>
          <w:tcPr>
            <w:tcW w:w="1694" w:type="dxa"/>
            <w:tcBorders>
              <w:top w:val="single" w:color="auto" w:sz="4" w:space="0"/>
              <w:left w:val="single" w:color="auto" w:sz="4" w:space="0"/>
              <w:bottom w:val="nil"/>
              <w:right w:val="single" w:color="auto" w:sz="4" w:space="0"/>
            </w:tcBorders>
            <w:vAlign w:val="center"/>
          </w:tcPr>
          <w:p w14:paraId="0429A38F">
            <w:pPr>
              <w:widowControl/>
              <w:tabs>
                <w:tab w:val="left" w:pos="1418"/>
              </w:tabs>
              <w:snapToGrid w:val="0"/>
              <w:spacing w:before="50" w:after="50" w:line="360" w:lineRule="exact"/>
              <w:jc w:val="center"/>
              <w:rPr>
                <w:rFonts w:hint="eastAsia" w:ascii="宋体" w:hAnsi="宋体" w:eastAsia="宋体" w:cs="宋体"/>
                <w:color w:val="auto"/>
                <w:spacing w:val="20"/>
                <w:kern w:val="0"/>
                <w:sz w:val="24"/>
                <w:szCs w:val="24"/>
                <w:highlight w:val="none"/>
                <w:lang w:val="en-US" w:eastAsia="zh-CN" w:bidi="ar-SA"/>
              </w:rPr>
            </w:pPr>
            <w:r>
              <w:rPr>
                <w:rFonts w:hint="eastAsia" w:ascii="宋体" w:hAnsi="宋体" w:eastAsia="宋体" w:cs="宋体"/>
                <w:color w:val="auto"/>
                <w:spacing w:val="20"/>
                <w:kern w:val="0"/>
                <w:sz w:val="24"/>
                <w:szCs w:val="24"/>
                <w:highlight w:val="none"/>
                <w:lang w:val="en-US" w:eastAsia="zh-CN" w:bidi="ar-SA"/>
              </w:rPr>
              <w:t>名称</w:t>
            </w:r>
          </w:p>
        </w:tc>
        <w:tc>
          <w:tcPr>
            <w:tcW w:w="787" w:type="dxa"/>
            <w:tcBorders>
              <w:top w:val="single" w:color="auto" w:sz="4" w:space="0"/>
              <w:left w:val="single" w:color="auto" w:sz="4" w:space="0"/>
              <w:bottom w:val="nil"/>
              <w:right w:val="single" w:color="auto" w:sz="4" w:space="0"/>
            </w:tcBorders>
            <w:vAlign w:val="center"/>
          </w:tcPr>
          <w:p w14:paraId="55B67F5E">
            <w:pPr>
              <w:widowControl/>
              <w:tabs>
                <w:tab w:val="left" w:pos="1418"/>
              </w:tabs>
              <w:snapToGrid w:val="0"/>
              <w:spacing w:before="50" w:after="50" w:line="360" w:lineRule="exact"/>
              <w:jc w:val="center"/>
              <w:rPr>
                <w:rFonts w:hint="eastAsia" w:ascii="宋体" w:hAnsi="宋体" w:eastAsia="宋体" w:cs="宋体"/>
                <w:color w:val="auto"/>
                <w:spacing w:val="20"/>
                <w:kern w:val="0"/>
                <w:sz w:val="24"/>
                <w:szCs w:val="24"/>
                <w:highlight w:val="none"/>
                <w:lang w:val="en-US" w:eastAsia="zh-CN" w:bidi="ar-SA"/>
              </w:rPr>
            </w:pPr>
            <w:r>
              <w:rPr>
                <w:rFonts w:hint="eastAsia" w:ascii="宋体" w:hAnsi="宋体" w:eastAsia="宋体" w:cs="宋体"/>
                <w:color w:val="auto"/>
                <w:spacing w:val="20"/>
                <w:kern w:val="0"/>
                <w:sz w:val="24"/>
                <w:szCs w:val="24"/>
                <w:highlight w:val="none"/>
                <w:lang w:val="en-US" w:eastAsia="zh-CN" w:bidi="ar-SA"/>
              </w:rPr>
              <w:t>品牌</w:t>
            </w:r>
          </w:p>
        </w:tc>
        <w:tc>
          <w:tcPr>
            <w:tcW w:w="831" w:type="dxa"/>
            <w:tcBorders>
              <w:top w:val="single" w:color="auto" w:sz="4" w:space="0"/>
              <w:left w:val="single" w:color="auto" w:sz="4" w:space="0"/>
              <w:bottom w:val="nil"/>
              <w:right w:val="single" w:color="auto" w:sz="4" w:space="0"/>
            </w:tcBorders>
            <w:vAlign w:val="center"/>
          </w:tcPr>
          <w:p w14:paraId="73018628">
            <w:pPr>
              <w:widowControl/>
              <w:tabs>
                <w:tab w:val="left" w:pos="1418"/>
              </w:tabs>
              <w:snapToGrid w:val="0"/>
              <w:spacing w:before="50" w:after="50" w:line="360" w:lineRule="exact"/>
              <w:jc w:val="center"/>
              <w:rPr>
                <w:rFonts w:hint="eastAsia" w:ascii="宋体" w:hAnsi="宋体" w:eastAsia="宋体" w:cs="宋体"/>
                <w:color w:val="auto"/>
                <w:spacing w:val="20"/>
                <w:kern w:val="0"/>
                <w:sz w:val="24"/>
                <w:szCs w:val="24"/>
                <w:highlight w:val="none"/>
                <w:lang w:val="en-US" w:eastAsia="zh-CN" w:bidi="ar-SA"/>
              </w:rPr>
            </w:pPr>
            <w:r>
              <w:rPr>
                <w:rFonts w:hint="eastAsia" w:ascii="宋体" w:hAnsi="宋体" w:eastAsia="宋体" w:cs="宋体"/>
                <w:color w:val="auto"/>
                <w:spacing w:val="20"/>
                <w:kern w:val="0"/>
                <w:sz w:val="24"/>
                <w:szCs w:val="24"/>
                <w:highlight w:val="none"/>
                <w:lang w:val="en-US" w:eastAsia="zh-CN" w:bidi="ar-SA"/>
              </w:rPr>
              <w:t>规格</w:t>
            </w:r>
          </w:p>
        </w:tc>
        <w:tc>
          <w:tcPr>
            <w:tcW w:w="847" w:type="dxa"/>
            <w:tcBorders>
              <w:top w:val="single" w:color="auto" w:sz="4" w:space="0"/>
              <w:left w:val="single" w:color="auto" w:sz="4" w:space="0"/>
              <w:bottom w:val="nil"/>
              <w:right w:val="single" w:color="auto" w:sz="4" w:space="0"/>
            </w:tcBorders>
            <w:vAlign w:val="center"/>
          </w:tcPr>
          <w:p w14:paraId="61FBDDA4">
            <w:pPr>
              <w:widowControl/>
              <w:tabs>
                <w:tab w:val="left" w:pos="1418"/>
              </w:tabs>
              <w:snapToGrid w:val="0"/>
              <w:spacing w:before="50" w:after="50" w:line="360" w:lineRule="exact"/>
              <w:jc w:val="center"/>
              <w:rPr>
                <w:rFonts w:hint="eastAsia" w:ascii="宋体" w:hAnsi="宋体" w:eastAsia="宋体" w:cs="宋体"/>
                <w:color w:val="auto"/>
                <w:spacing w:val="20"/>
                <w:kern w:val="0"/>
                <w:sz w:val="24"/>
                <w:szCs w:val="24"/>
                <w:highlight w:val="none"/>
                <w:lang w:val="en-US" w:eastAsia="zh-CN" w:bidi="ar-SA"/>
              </w:rPr>
            </w:pPr>
            <w:r>
              <w:rPr>
                <w:rFonts w:hint="eastAsia" w:ascii="宋体" w:hAnsi="宋体" w:eastAsia="宋体" w:cs="宋体"/>
                <w:color w:val="auto"/>
                <w:spacing w:val="20"/>
                <w:kern w:val="0"/>
                <w:sz w:val="24"/>
                <w:szCs w:val="24"/>
                <w:highlight w:val="none"/>
                <w:lang w:val="en-US" w:eastAsia="zh-CN" w:bidi="ar-SA"/>
              </w:rPr>
              <w:t>单位</w:t>
            </w:r>
          </w:p>
        </w:tc>
        <w:tc>
          <w:tcPr>
            <w:tcW w:w="1237" w:type="dxa"/>
            <w:tcBorders>
              <w:top w:val="single" w:color="auto" w:sz="4" w:space="0"/>
              <w:left w:val="single" w:color="auto" w:sz="4" w:space="0"/>
              <w:bottom w:val="nil"/>
              <w:right w:val="single" w:color="auto" w:sz="4" w:space="0"/>
            </w:tcBorders>
            <w:vAlign w:val="center"/>
          </w:tcPr>
          <w:p w14:paraId="4A785C56">
            <w:pPr>
              <w:widowControl/>
              <w:tabs>
                <w:tab w:val="left" w:pos="1418"/>
              </w:tabs>
              <w:snapToGrid w:val="0"/>
              <w:spacing w:before="50" w:after="50" w:line="360" w:lineRule="exact"/>
              <w:jc w:val="center"/>
              <w:rPr>
                <w:rFonts w:hint="eastAsia" w:ascii="宋体" w:hAnsi="宋体" w:eastAsia="宋体" w:cs="宋体"/>
                <w:color w:val="auto"/>
                <w:spacing w:val="20"/>
                <w:kern w:val="0"/>
                <w:sz w:val="24"/>
                <w:szCs w:val="24"/>
                <w:highlight w:val="none"/>
                <w:lang w:val="en-US" w:eastAsia="zh-CN" w:bidi="ar-SA"/>
              </w:rPr>
            </w:pPr>
            <w:r>
              <w:rPr>
                <w:rFonts w:hint="eastAsia" w:ascii="宋体" w:hAnsi="宋体" w:eastAsia="宋体" w:cs="宋体"/>
                <w:color w:val="auto"/>
                <w:kern w:val="0"/>
                <w:sz w:val="24"/>
                <w:highlight w:val="none"/>
              </w:rPr>
              <w:t>数量</w:t>
            </w:r>
          </w:p>
        </w:tc>
        <w:tc>
          <w:tcPr>
            <w:tcW w:w="1065" w:type="dxa"/>
            <w:tcBorders>
              <w:top w:val="single" w:color="auto" w:sz="4" w:space="0"/>
              <w:left w:val="single" w:color="auto" w:sz="4" w:space="0"/>
              <w:bottom w:val="nil"/>
              <w:right w:val="single" w:color="auto" w:sz="4" w:space="0"/>
            </w:tcBorders>
            <w:vAlign w:val="center"/>
          </w:tcPr>
          <w:p w14:paraId="452C0561">
            <w:pPr>
              <w:widowControl/>
              <w:tabs>
                <w:tab w:val="left" w:pos="1418"/>
              </w:tabs>
              <w:snapToGrid w:val="0"/>
              <w:spacing w:before="50" w:after="50" w:line="360" w:lineRule="exact"/>
              <w:jc w:val="center"/>
              <w:rPr>
                <w:rFonts w:hint="eastAsia" w:ascii="宋体" w:hAnsi="宋体" w:eastAsia="宋体" w:cs="宋体"/>
                <w:color w:val="auto"/>
                <w:spacing w:val="20"/>
                <w:kern w:val="0"/>
                <w:sz w:val="24"/>
                <w:szCs w:val="24"/>
                <w:highlight w:val="none"/>
                <w:lang w:val="en-US" w:eastAsia="zh-CN" w:bidi="ar-SA"/>
              </w:rPr>
            </w:pPr>
            <w:r>
              <w:rPr>
                <w:rFonts w:hint="eastAsia" w:ascii="宋体" w:hAnsi="宋体" w:eastAsia="宋体" w:cs="宋体"/>
                <w:color w:val="auto"/>
                <w:kern w:val="0"/>
                <w:sz w:val="24"/>
                <w:highlight w:val="none"/>
              </w:rPr>
              <w:t>单价</w:t>
            </w:r>
          </w:p>
        </w:tc>
        <w:tc>
          <w:tcPr>
            <w:tcW w:w="1250" w:type="dxa"/>
            <w:tcBorders>
              <w:top w:val="single" w:color="auto" w:sz="4" w:space="0"/>
              <w:left w:val="single" w:color="auto" w:sz="4" w:space="0"/>
              <w:bottom w:val="nil"/>
              <w:right w:val="single" w:color="auto" w:sz="4" w:space="0"/>
            </w:tcBorders>
            <w:vAlign w:val="center"/>
          </w:tcPr>
          <w:p w14:paraId="0D592C49">
            <w:pPr>
              <w:widowControl/>
              <w:tabs>
                <w:tab w:val="left" w:pos="1418"/>
              </w:tabs>
              <w:snapToGrid w:val="0"/>
              <w:spacing w:before="50" w:after="50" w:line="360" w:lineRule="exact"/>
              <w:jc w:val="center"/>
              <w:rPr>
                <w:rFonts w:hint="eastAsia" w:ascii="宋体" w:hAnsi="宋体" w:eastAsia="宋体" w:cs="宋体"/>
                <w:color w:val="auto"/>
                <w:spacing w:val="20"/>
                <w:kern w:val="0"/>
                <w:sz w:val="24"/>
                <w:szCs w:val="24"/>
                <w:highlight w:val="none"/>
                <w:lang w:val="en-US" w:eastAsia="zh-CN" w:bidi="ar-SA"/>
              </w:rPr>
            </w:pPr>
            <w:r>
              <w:rPr>
                <w:rFonts w:hint="eastAsia" w:ascii="宋体" w:hAnsi="宋体" w:cs="宋体"/>
                <w:color w:val="auto"/>
                <w:spacing w:val="20"/>
                <w:kern w:val="0"/>
                <w:sz w:val="24"/>
                <w:highlight w:val="none"/>
                <w:lang w:val="en-US" w:eastAsia="zh-CN"/>
              </w:rPr>
              <w:t>人工费</w:t>
            </w:r>
          </w:p>
        </w:tc>
        <w:tc>
          <w:tcPr>
            <w:tcW w:w="916" w:type="dxa"/>
            <w:tcBorders>
              <w:top w:val="single" w:color="auto" w:sz="4" w:space="0"/>
              <w:left w:val="single" w:color="auto" w:sz="4" w:space="0"/>
              <w:bottom w:val="nil"/>
              <w:right w:val="single" w:color="auto" w:sz="4" w:space="0"/>
            </w:tcBorders>
            <w:vAlign w:val="center"/>
          </w:tcPr>
          <w:p w14:paraId="705B4AE3">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lang w:val="en-US" w:eastAsia="zh-CN"/>
              </w:rPr>
            </w:pPr>
            <w:r>
              <w:rPr>
                <w:rFonts w:hint="eastAsia" w:ascii="宋体" w:hAnsi="宋体" w:eastAsia="宋体" w:cs="宋体"/>
                <w:color w:val="auto"/>
                <w:spacing w:val="20"/>
                <w:kern w:val="0"/>
                <w:sz w:val="24"/>
                <w:highlight w:val="none"/>
                <w:lang w:val="en-US" w:eastAsia="zh-CN"/>
              </w:rPr>
              <w:t>备注</w:t>
            </w:r>
          </w:p>
        </w:tc>
      </w:tr>
      <w:tr w14:paraId="6E6C80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78" w:type="dxa"/>
            <w:tcBorders>
              <w:top w:val="single" w:color="auto" w:sz="4" w:space="0"/>
              <w:left w:val="single" w:color="auto" w:sz="4" w:space="0"/>
              <w:bottom w:val="single" w:color="auto" w:sz="4" w:space="0"/>
              <w:right w:val="single" w:color="auto" w:sz="4" w:space="0"/>
            </w:tcBorders>
          </w:tcPr>
          <w:p w14:paraId="49ACE487">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694" w:type="dxa"/>
            <w:tcBorders>
              <w:top w:val="single" w:color="auto" w:sz="4" w:space="0"/>
              <w:left w:val="single" w:color="auto" w:sz="4" w:space="0"/>
              <w:bottom w:val="single" w:color="auto" w:sz="4" w:space="0"/>
              <w:right w:val="single" w:color="auto" w:sz="4" w:space="0"/>
            </w:tcBorders>
          </w:tcPr>
          <w:p w14:paraId="1B35349A">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787" w:type="dxa"/>
            <w:tcBorders>
              <w:top w:val="single" w:color="auto" w:sz="4" w:space="0"/>
              <w:left w:val="single" w:color="auto" w:sz="4" w:space="0"/>
              <w:bottom w:val="single" w:color="auto" w:sz="4" w:space="0"/>
              <w:right w:val="single" w:color="auto" w:sz="4" w:space="0"/>
            </w:tcBorders>
          </w:tcPr>
          <w:p w14:paraId="381A2973">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green"/>
              </w:rPr>
            </w:pPr>
          </w:p>
        </w:tc>
        <w:tc>
          <w:tcPr>
            <w:tcW w:w="831" w:type="dxa"/>
            <w:tcBorders>
              <w:top w:val="single" w:color="auto" w:sz="4" w:space="0"/>
              <w:left w:val="single" w:color="auto" w:sz="4" w:space="0"/>
              <w:bottom w:val="single" w:color="auto" w:sz="4" w:space="0"/>
              <w:right w:val="single" w:color="auto" w:sz="4" w:space="0"/>
            </w:tcBorders>
          </w:tcPr>
          <w:p w14:paraId="25AB65DE">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green"/>
              </w:rPr>
            </w:pPr>
          </w:p>
        </w:tc>
        <w:tc>
          <w:tcPr>
            <w:tcW w:w="847" w:type="dxa"/>
            <w:tcBorders>
              <w:top w:val="single" w:color="auto" w:sz="4" w:space="0"/>
              <w:left w:val="single" w:color="auto" w:sz="4" w:space="0"/>
              <w:bottom w:val="single" w:color="auto" w:sz="4" w:space="0"/>
              <w:right w:val="single" w:color="auto" w:sz="4" w:space="0"/>
            </w:tcBorders>
          </w:tcPr>
          <w:p w14:paraId="0F965782">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237" w:type="dxa"/>
            <w:tcBorders>
              <w:top w:val="single" w:color="auto" w:sz="4" w:space="0"/>
              <w:left w:val="single" w:color="auto" w:sz="4" w:space="0"/>
              <w:bottom w:val="single" w:color="auto" w:sz="4" w:space="0"/>
              <w:right w:val="single" w:color="auto" w:sz="4" w:space="0"/>
            </w:tcBorders>
          </w:tcPr>
          <w:p w14:paraId="31C8B197">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065" w:type="dxa"/>
            <w:tcBorders>
              <w:top w:val="single" w:color="auto" w:sz="4" w:space="0"/>
              <w:left w:val="single" w:color="auto" w:sz="4" w:space="0"/>
              <w:bottom w:val="single" w:color="auto" w:sz="4" w:space="0"/>
              <w:right w:val="single" w:color="auto" w:sz="4" w:space="0"/>
            </w:tcBorders>
          </w:tcPr>
          <w:p w14:paraId="1B135B37">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250" w:type="dxa"/>
            <w:tcBorders>
              <w:top w:val="single" w:color="auto" w:sz="4" w:space="0"/>
              <w:left w:val="single" w:color="auto" w:sz="4" w:space="0"/>
              <w:bottom w:val="single" w:color="auto" w:sz="4" w:space="0"/>
              <w:right w:val="single" w:color="auto" w:sz="4" w:space="0"/>
            </w:tcBorders>
          </w:tcPr>
          <w:p w14:paraId="03DA12B1">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916" w:type="dxa"/>
            <w:tcBorders>
              <w:top w:val="single" w:color="auto" w:sz="4" w:space="0"/>
              <w:left w:val="single" w:color="auto" w:sz="4" w:space="0"/>
              <w:bottom w:val="single" w:color="auto" w:sz="4" w:space="0"/>
              <w:right w:val="single" w:color="auto" w:sz="4" w:space="0"/>
            </w:tcBorders>
          </w:tcPr>
          <w:p w14:paraId="2B594DA6">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r>
      <w:tr w14:paraId="1169A9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78" w:type="dxa"/>
            <w:tcBorders>
              <w:top w:val="single" w:color="auto" w:sz="4" w:space="0"/>
              <w:left w:val="single" w:color="auto" w:sz="4" w:space="0"/>
              <w:bottom w:val="single" w:color="auto" w:sz="4" w:space="0"/>
              <w:right w:val="single" w:color="auto" w:sz="4" w:space="0"/>
            </w:tcBorders>
          </w:tcPr>
          <w:p w14:paraId="2BF50610">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694" w:type="dxa"/>
            <w:tcBorders>
              <w:top w:val="single" w:color="auto" w:sz="4" w:space="0"/>
              <w:left w:val="single" w:color="auto" w:sz="4" w:space="0"/>
              <w:bottom w:val="single" w:color="auto" w:sz="4" w:space="0"/>
              <w:right w:val="single" w:color="auto" w:sz="4" w:space="0"/>
            </w:tcBorders>
          </w:tcPr>
          <w:p w14:paraId="4A80A9CC">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787" w:type="dxa"/>
            <w:tcBorders>
              <w:top w:val="single" w:color="auto" w:sz="4" w:space="0"/>
              <w:left w:val="single" w:color="auto" w:sz="4" w:space="0"/>
              <w:bottom w:val="single" w:color="auto" w:sz="4" w:space="0"/>
              <w:right w:val="single" w:color="auto" w:sz="4" w:space="0"/>
            </w:tcBorders>
          </w:tcPr>
          <w:p w14:paraId="7D35C230">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green"/>
              </w:rPr>
            </w:pPr>
          </w:p>
        </w:tc>
        <w:tc>
          <w:tcPr>
            <w:tcW w:w="831" w:type="dxa"/>
            <w:tcBorders>
              <w:top w:val="single" w:color="auto" w:sz="4" w:space="0"/>
              <w:left w:val="single" w:color="auto" w:sz="4" w:space="0"/>
              <w:bottom w:val="single" w:color="auto" w:sz="4" w:space="0"/>
              <w:right w:val="single" w:color="auto" w:sz="4" w:space="0"/>
            </w:tcBorders>
          </w:tcPr>
          <w:p w14:paraId="5912B16B">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green"/>
              </w:rPr>
            </w:pPr>
          </w:p>
        </w:tc>
        <w:tc>
          <w:tcPr>
            <w:tcW w:w="847" w:type="dxa"/>
            <w:tcBorders>
              <w:top w:val="single" w:color="auto" w:sz="4" w:space="0"/>
              <w:left w:val="single" w:color="auto" w:sz="4" w:space="0"/>
              <w:bottom w:val="single" w:color="auto" w:sz="4" w:space="0"/>
              <w:right w:val="single" w:color="auto" w:sz="4" w:space="0"/>
            </w:tcBorders>
          </w:tcPr>
          <w:p w14:paraId="61C8D1D0">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237" w:type="dxa"/>
            <w:tcBorders>
              <w:top w:val="single" w:color="auto" w:sz="4" w:space="0"/>
              <w:left w:val="single" w:color="auto" w:sz="4" w:space="0"/>
              <w:bottom w:val="single" w:color="auto" w:sz="4" w:space="0"/>
              <w:right w:val="single" w:color="auto" w:sz="4" w:space="0"/>
            </w:tcBorders>
          </w:tcPr>
          <w:p w14:paraId="42D25186">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065" w:type="dxa"/>
            <w:tcBorders>
              <w:top w:val="single" w:color="auto" w:sz="4" w:space="0"/>
              <w:left w:val="single" w:color="auto" w:sz="4" w:space="0"/>
              <w:bottom w:val="single" w:color="auto" w:sz="4" w:space="0"/>
              <w:right w:val="single" w:color="auto" w:sz="4" w:space="0"/>
            </w:tcBorders>
          </w:tcPr>
          <w:p w14:paraId="12300C7D">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250" w:type="dxa"/>
            <w:tcBorders>
              <w:top w:val="single" w:color="auto" w:sz="4" w:space="0"/>
              <w:left w:val="single" w:color="auto" w:sz="4" w:space="0"/>
              <w:bottom w:val="single" w:color="auto" w:sz="4" w:space="0"/>
              <w:right w:val="single" w:color="auto" w:sz="4" w:space="0"/>
            </w:tcBorders>
          </w:tcPr>
          <w:p w14:paraId="57D53AA2">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916" w:type="dxa"/>
            <w:tcBorders>
              <w:top w:val="single" w:color="auto" w:sz="4" w:space="0"/>
              <w:left w:val="single" w:color="auto" w:sz="4" w:space="0"/>
              <w:bottom w:val="single" w:color="auto" w:sz="4" w:space="0"/>
              <w:right w:val="single" w:color="auto" w:sz="4" w:space="0"/>
            </w:tcBorders>
          </w:tcPr>
          <w:p w14:paraId="30379DA0">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r>
      <w:tr w14:paraId="04F2B0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78" w:type="dxa"/>
            <w:tcBorders>
              <w:top w:val="single" w:color="auto" w:sz="4" w:space="0"/>
              <w:left w:val="single" w:color="auto" w:sz="4" w:space="0"/>
              <w:bottom w:val="single" w:color="auto" w:sz="4" w:space="0"/>
              <w:right w:val="single" w:color="auto" w:sz="4" w:space="0"/>
            </w:tcBorders>
          </w:tcPr>
          <w:p w14:paraId="500FC976">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694" w:type="dxa"/>
            <w:tcBorders>
              <w:top w:val="single" w:color="auto" w:sz="4" w:space="0"/>
              <w:left w:val="single" w:color="auto" w:sz="4" w:space="0"/>
              <w:bottom w:val="single" w:color="auto" w:sz="4" w:space="0"/>
              <w:right w:val="single" w:color="auto" w:sz="4" w:space="0"/>
            </w:tcBorders>
          </w:tcPr>
          <w:p w14:paraId="08EEEC49">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787" w:type="dxa"/>
            <w:tcBorders>
              <w:top w:val="single" w:color="auto" w:sz="4" w:space="0"/>
              <w:left w:val="single" w:color="auto" w:sz="4" w:space="0"/>
              <w:bottom w:val="single" w:color="auto" w:sz="4" w:space="0"/>
              <w:right w:val="single" w:color="auto" w:sz="4" w:space="0"/>
            </w:tcBorders>
          </w:tcPr>
          <w:p w14:paraId="6A44CD47">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green"/>
              </w:rPr>
            </w:pPr>
          </w:p>
        </w:tc>
        <w:tc>
          <w:tcPr>
            <w:tcW w:w="831" w:type="dxa"/>
            <w:tcBorders>
              <w:top w:val="single" w:color="auto" w:sz="4" w:space="0"/>
              <w:left w:val="single" w:color="auto" w:sz="4" w:space="0"/>
              <w:bottom w:val="single" w:color="auto" w:sz="4" w:space="0"/>
              <w:right w:val="single" w:color="auto" w:sz="4" w:space="0"/>
            </w:tcBorders>
          </w:tcPr>
          <w:p w14:paraId="2E76BAF6">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green"/>
              </w:rPr>
            </w:pPr>
          </w:p>
        </w:tc>
        <w:tc>
          <w:tcPr>
            <w:tcW w:w="847" w:type="dxa"/>
            <w:tcBorders>
              <w:top w:val="single" w:color="auto" w:sz="4" w:space="0"/>
              <w:left w:val="single" w:color="auto" w:sz="4" w:space="0"/>
              <w:bottom w:val="single" w:color="auto" w:sz="4" w:space="0"/>
              <w:right w:val="single" w:color="auto" w:sz="4" w:space="0"/>
            </w:tcBorders>
          </w:tcPr>
          <w:p w14:paraId="35C63ED0">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237" w:type="dxa"/>
            <w:tcBorders>
              <w:top w:val="single" w:color="auto" w:sz="4" w:space="0"/>
              <w:left w:val="single" w:color="auto" w:sz="4" w:space="0"/>
              <w:bottom w:val="single" w:color="auto" w:sz="4" w:space="0"/>
              <w:right w:val="single" w:color="auto" w:sz="4" w:space="0"/>
            </w:tcBorders>
          </w:tcPr>
          <w:p w14:paraId="1EEA2F87">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065" w:type="dxa"/>
            <w:tcBorders>
              <w:top w:val="single" w:color="auto" w:sz="4" w:space="0"/>
              <w:left w:val="single" w:color="auto" w:sz="4" w:space="0"/>
              <w:bottom w:val="single" w:color="auto" w:sz="4" w:space="0"/>
              <w:right w:val="single" w:color="auto" w:sz="4" w:space="0"/>
            </w:tcBorders>
          </w:tcPr>
          <w:p w14:paraId="506E081A">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250" w:type="dxa"/>
            <w:tcBorders>
              <w:top w:val="single" w:color="auto" w:sz="4" w:space="0"/>
              <w:left w:val="single" w:color="auto" w:sz="4" w:space="0"/>
              <w:bottom w:val="single" w:color="auto" w:sz="4" w:space="0"/>
              <w:right w:val="single" w:color="auto" w:sz="4" w:space="0"/>
            </w:tcBorders>
          </w:tcPr>
          <w:p w14:paraId="32EF9196">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916" w:type="dxa"/>
            <w:tcBorders>
              <w:top w:val="single" w:color="auto" w:sz="4" w:space="0"/>
              <w:left w:val="single" w:color="auto" w:sz="4" w:space="0"/>
              <w:bottom w:val="single" w:color="auto" w:sz="4" w:space="0"/>
              <w:right w:val="single" w:color="auto" w:sz="4" w:space="0"/>
            </w:tcBorders>
          </w:tcPr>
          <w:p w14:paraId="7C4218BA">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r>
      <w:tr w14:paraId="146FAB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78" w:type="dxa"/>
            <w:tcBorders>
              <w:top w:val="single" w:color="auto" w:sz="4" w:space="0"/>
              <w:left w:val="single" w:color="auto" w:sz="4" w:space="0"/>
              <w:bottom w:val="single" w:color="auto" w:sz="4" w:space="0"/>
              <w:right w:val="single" w:color="auto" w:sz="4" w:space="0"/>
            </w:tcBorders>
          </w:tcPr>
          <w:p w14:paraId="324B7CB6">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694" w:type="dxa"/>
            <w:tcBorders>
              <w:top w:val="single" w:color="auto" w:sz="4" w:space="0"/>
              <w:left w:val="single" w:color="auto" w:sz="4" w:space="0"/>
              <w:bottom w:val="single" w:color="auto" w:sz="4" w:space="0"/>
              <w:right w:val="single" w:color="auto" w:sz="4" w:space="0"/>
            </w:tcBorders>
          </w:tcPr>
          <w:p w14:paraId="6F77A51A">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787" w:type="dxa"/>
            <w:tcBorders>
              <w:top w:val="single" w:color="auto" w:sz="4" w:space="0"/>
              <w:left w:val="single" w:color="auto" w:sz="4" w:space="0"/>
              <w:bottom w:val="single" w:color="auto" w:sz="4" w:space="0"/>
              <w:right w:val="single" w:color="auto" w:sz="4" w:space="0"/>
            </w:tcBorders>
          </w:tcPr>
          <w:p w14:paraId="2ACA3E83">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green"/>
              </w:rPr>
            </w:pPr>
          </w:p>
        </w:tc>
        <w:tc>
          <w:tcPr>
            <w:tcW w:w="831" w:type="dxa"/>
            <w:tcBorders>
              <w:top w:val="single" w:color="auto" w:sz="4" w:space="0"/>
              <w:left w:val="single" w:color="auto" w:sz="4" w:space="0"/>
              <w:bottom w:val="single" w:color="auto" w:sz="4" w:space="0"/>
              <w:right w:val="single" w:color="auto" w:sz="4" w:space="0"/>
            </w:tcBorders>
          </w:tcPr>
          <w:p w14:paraId="6846A926">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green"/>
              </w:rPr>
            </w:pPr>
          </w:p>
        </w:tc>
        <w:tc>
          <w:tcPr>
            <w:tcW w:w="847" w:type="dxa"/>
            <w:tcBorders>
              <w:top w:val="single" w:color="auto" w:sz="4" w:space="0"/>
              <w:left w:val="single" w:color="auto" w:sz="4" w:space="0"/>
              <w:bottom w:val="single" w:color="auto" w:sz="4" w:space="0"/>
              <w:right w:val="single" w:color="auto" w:sz="4" w:space="0"/>
            </w:tcBorders>
          </w:tcPr>
          <w:p w14:paraId="0097BF6E">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237" w:type="dxa"/>
            <w:tcBorders>
              <w:top w:val="single" w:color="auto" w:sz="4" w:space="0"/>
              <w:left w:val="single" w:color="auto" w:sz="4" w:space="0"/>
              <w:bottom w:val="single" w:color="auto" w:sz="4" w:space="0"/>
              <w:right w:val="single" w:color="auto" w:sz="4" w:space="0"/>
            </w:tcBorders>
          </w:tcPr>
          <w:p w14:paraId="1A595B25">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065" w:type="dxa"/>
            <w:tcBorders>
              <w:top w:val="single" w:color="auto" w:sz="4" w:space="0"/>
              <w:left w:val="single" w:color="auto" w:sz="4" w:space="0"/>
              <w:bottom w:val="single" w:color="auto" w:sz="4" w:space="0"/>
              <w:right w:val="single" w:color="auto" w:sz="4" w:space="0"/>
            </w:tcBorders>
          </w:tcPr>
          <w:p w14:paraId="594EA3B7">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250" w:type="dxa"/>
            <w:tcBorders>
              <w:top w:val="single" w:color="auto" w:sz="4" w:space="0"/>
              <w:left w:val="single" w:color="auto" w:sz="4" w:space="0"/>
              <w:bottom w:val="single" w:color="auto" w:sz="4" w:space="0"/>
              <w:right w:val="single" w:color="auto" w:sz="4" w:space="0"/>
            </w:tcBorders>
          </w:tcPr>
          <w:p w14:paraId="7A3A17CE">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916" w:type="dxa"/>
            <w:tcBorders>
              <w:top w:val="single" w:color="auto" w:sz="4" w:space="0"/>
              <w:left w:val="single" w:color="auto" w:sz="4" w:space="0"/>
              <w:bottom w:val="single" w:color="auto" w:sz="4" w:space="0"/>
              <w:right w:val="single" w:color="auto" w:sz="4" w:space="0"/>
            </w:tcBorders>
          </w:tcPr>
          <w:p w14:paraId="156268FB">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r>
      <w:tr w14:paraId="62247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78" w:type="dxa"/>
            <w:tcBorders>
              <w:top w:val="single" w:color="auto" w:sz="4" w:space="0"/>
              <w:left w:val="single" w:color="auto" w:sz="4" w:space="0"/>
              <w:bottom w:val="single" w:color="auto" w:sz="4" w:space="0"/>
              <w:right w:val="single" w:color="auto" w:sz="4" w:space="0"/>
            </w:tcBorders>
          </w:tcPr>
          <w:p w14:paraId="2F1314DC">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694" w:type="dxa"/>
            <w:tcBorders>
              <w:top w:val="single" w:color="auto" w:sz="4" w:space="0"/>
              <w:left w:val="single" w:color="auto" w:sz="4" w:space="0"/>
              <w:bottom w:val="single" w:color="auto" w:sz="4" w:space="0"/>
              <w:right w:val="single" w:color="auto" w:sz="4" w:space="0"/>
            </w:tcBorders>
          </w:tcPr>
          <w:p w14:paraId="059CBB4B">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787" w:type="dxa"/>
            <w:tcBorders>
              <w:top w:val="single" w:color="auto" w:sz="4" w:space="0"/>
              <w:left w:val="single" w:color="auto" w:sz="4" w:space="0"/>
              <w:bottom w:val="single" w:color="auto" w:sz="4" w:space="0"/>
              <w:right w:val="single" w:color="auto" w:sz="4" w:space="0"/>
            </w:tcBorders>
          </w:tcPr>
          <w:p w14:paraId="3A9CB1F4">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green"/>
              </w:rPr>
            </w:pPr>
          </w:p>
        </w:tc>
        <w:tc>
          <w:tcPr>
            <w:tcW w:w="831" w:type="dxa"/>
            <w:tcBorders>
              <w:top w:val="single" w:color="auto" w:sz="4" w:space="0"/>
              <w:left w:val="single" w:color="auto" w:sz="4" w:space="0"/>
              <w:bottom w:val="single" w:color="auto" w:sz="4" w:space="0"/>
              <w:right w:val="single" w:color="auto" w:sz="4" w:space="0"/>
            </w:tcBorders>
          </w:tcPr>
          <w:p w14:paraId="2AD02467">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green"/>
              </w:rPr>
            </w:pPr>
          </w:p>
        </w:tc>
        <w:tc>
          <w:tcPr>
            <w:tcW w:w="847" w:type="dxa"/>
            <w:tcBorders>
              <w:top w:val="single" w:color="auto" w:sz="4" w:space="0"/>
              <w:left w:val="single" w:color="auto" w:sz="4" w:space="0"/>
              <w:bottom w:val="single" w:color="auto" w:sz="4" w:space="0"/>
              <w:right w:val="single" w:color="auto" w:sz="4" w:space="0"/>
            </w:tcBorders>
          </w:tcPr>
          <w:p w14:paraId="5A76571F">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237" w:type="dxa"/>
            <w:tcBorders>
              <w:top w:val="single" w:color="auto" w:sz="4" w:space="0"/>
              <w:left w:val="single" w:color="auto" w:sz="4" w:space="0"/>
              <w:bottom w:val="single" w:color="auto" w:sz="4" w:space="0"/>
              <w:right w:val="single" w:color="auto" w:sz="4" w:space="0"/>
            </w:tcBorders>
          </w:tcPr>
          <w:p w14:paraId="0B955202">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065" w:type="dxa"/>
            <w:tcBorders>
              <w:top w:val="single" w:color="auto" w:sz="4" w:space="0"/>
              <w:left w:val="single" w:color="auto" w:sz="4" w:space="0"/>
              <w:bottom w:val="single" w:color="auto" w:sz="4" w:space="0"/>
              <w:right w:val="single" w:color="auto" w:sz="4" w:space="0"/>
            </w:tcBorders>
          </w:tcPr>
          <w:p w14:paraId="2CAA5B6E">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250" w:type="dxa"/>
            <w:tcBorders>
              <w:top w:val="single" w:color="auto" w:sz="4" w:space="0"/>
              <w:left w:val="single" w:color="auto" w:sz="4" w:space="0"/>
              <w:bottom w:val="single" w:color="auto" w:sz="4" w:space="0"/>
              <w:right w:val="single" w:color="auto" w:sz="4" w:space="0"/>
            </w:tcBorders>
          </w:tcPr>
          <w:p w14:paraId="3DF68A5E">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916" w:type="dxa"/>
            <w:tcBorders>
              <w:top w:val="single" w:color="auto" w:sz="4" w:space="0"/>
              <w:left w:val="single" w:color="auto" w:sz="4" w:space="0"/>
              <w:bottom w:val="single" w:color="auto" w:sz="4" w:space="0"/>
              <w:right w:val="single" w:color="auto" w:sz="4" w:space="0"/>
            </w:tcBorders>
          </w:tcPr>
          <w:p w14:paraId="30A3B6EB">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r>
      <w:tr w14:paraId="77844A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78" w:type="dxa"/>
            <w:tcBorders>
              <w:top w:val="single" w:color="auto" w:sz="4" w:space="0"/>
              <w:left w:val="single" w:color="auto" w:sz="4" w:space="0"/>
              <w:bottom w:val="single" w:color="auto" w:sz="4" w:space="0"/>
              <w:right w:val="single" w:color="auto" w:sz="4" w:space="0"/>
            </w:tcBorders>
          </w:tcPr>
          <w:p w14:paraId="6A23FE36">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694" w:type="dxa"/>
            <w:tcBorders>
              <w:top w:val="single" w:color="auto" w:sz="4" w:space="0"/>
              <w:left w:val="single" w:color="auto" w:sz="4" w:space="0"/>
              <w:bottom w:val="single" w:color="auto" w:sz="4" w:space="0"/>
              <w:right w:val="single" w:color="auto" w:sz="4" w:space="0"/>
            </w:tcBorders>
          </w:tcPr>
          <w:p w14:paraId="2B847A9E">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r>
              <w:rPr>
                <w:rFonts w:hint="eastAsia" w:ascii="宋体" w:hAnsi="宋体" w:eastAsia="宋体" w:cs="宋体"/>
                <w:color w:val="auto"/>
                <w:spacing w:val="20"/>
                <w:kern w:val="0"/>
                <w:sz w:val="24"/>
                <w:highlight w:val="none"/>
              </w:rPr>
              <w:t xml:space="preserve">…… </w:t>
            </w:r>
          </w:p>
        </w:tc>
        <w:tc>
          <w:tcPr>
            <w:tcW w:w="787" w:type="dxa"/>
            <w:tcBorders>
              <w:top w:val="single" w:color="auto" w:sz="4" w:space="0"/>
              <w:left w:val="single" w:color="auto" w:sz="4" w:space="0"/>
              <w:bottom w:val="single" w:color="auto" w:sz="4" w:space="0"/>
              <w:right w:val="single" w:color="auto" w:sz="4" w:space="0"/>
            </w:tcBorders>
          </w:tcPr>
          <w:p w14:paraId="55595C9A">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831" w:type="dxa"/>
            <w:tcBorders>
              <w:top w:val="single" w:color="auto" w:sz="4" w:space="0"/>
              <w:left w:val="single" w:color="auto" w:sz="4" w:space="0"/>
              <w:bottom w:val="single" w:color="auto" w:sz="4" w:space="0"/>
              <w:right w:val="single" w:color="auto" w:sz="4" w:space="0"/>
            </w:tcBorders>
          </w:tcPr>
          <w:p w14:paraId="6A948FA1">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847" w:type="dxa"/>
            <w:tcBorders>
              <w:top w:val="single" w:color="auto" w:sz="4" w:space="0"/>
              <w:left w:val="single" w:color="auto" w:sz="4" w:space="0"/>
              <w:bottom w:val="single" w:color="auto" w:sz="4" w:space="0"/>
              <w:right w:val="single" w:color="auto" w:sz="4" w:space="0"/>
            </w:tcBorders>
          </w:tcPr>
          <w:p w14:paraId="27C9FB98">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237" w:type="dxa"/>
            <w:tcBorders>
              <w:top w:val="single" w:color="auto" w:sz="4" w:space="0"/>
              <w:left w:val="single" w:color="auto" w:sz="4" w:space="0"/>
              <w:bottom w:val="single" w:color="auto" w:sz="4" w:space="0"/>
              <w:right w:val="single" w:color="auto" w:sz="4" w:space="0"/>
            </w:tcBorders>
          </w:tcPr>
          <w:p w14:paraId="58FE35F5">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065" w:type="dxa"/>
            <w:tcBorders>
              <w:top w:val="single" w:color="auto" w:sz="4" w:space="0"/>
              <w:left w:val="single" w:color="auto" w:sz="4" w:space="0"/>
              <w:bottom w:val="single" w:color="auto" w:sz="4" w:space="0"/>
              <w:right w:val="single" w:color="auto" w:sz="4" w:space="0"/>
            </w:tcBorders>
          </w:tcPr>
          <w:p w14:paraId="35D3F7BC">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250" w:type="dxa"/>
            <w:tcBorders>
              <w:top w:val="single" w:color="auto" w:sz="4" w:space="0"/>
              <w:left w:val="single" w:color="auto" w:sz="4" w:space="0"/>
              <w:bottom w:val="single" w:color="auto" w:sz="4" w:space="0"/>
              <w:right w:val="single" w:color="auto" w:sz="4" w:space="0"/>
            </w:tcBorders>
          </w:tcPr>
          <w:p w14:paraId="67D0BDF4">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916" w:type="dxa"/>
            <w:tcBorders>
              <w:top w:val="single" w:color="auto" w:sz="4" w:space="0"/>
              <w:left w:val="single" w:color="auto" w:sz="4" w:space="0"/>
              <w:bottom w:val="single" w:color="auto" w:sz="4" w:space="0"/>
              <w:right w:val="single" w:color="auto" w:sz="4" w:space="0"/>
            </w:tcBorders>
          </w:tcPr>
          <w:p w14:paraId="543395D1">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r>
      <w:tr w14:paraId="78F695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7039" w:type="dxa"/>
            <w:gridSpan w:val="7"/>
            <w:tcBorders>
              <w:top w:val="single" w:color="auto" w:sz="4" w:space="0"/>
              <w:left w:val="single" w:color="auto" w:sz="4" w:space="0"/>
              <w:bottom w:val="single" w:color="auto" w:sz="4" w:space="0"/>
              <w:right w:val="single" w:color="auto" w:sz="4" w:space="0"/>
            </w:tcBorders>
            <w:vAlign w:val="top"/>
          </w:tcPr>
          <w:p w14:paraId="76BA9DC0">
            <w:pPr>
              <w:widowControl/>
              <w:tabs>
                <w:tab w:val="left" w:pos="1418"/>
              </w:tabs>
              <w:snapToGrid w:val="0"/>
              <w:spacing w:before="50" w:after="50" w:line="360" w:lineRule="exact"/>
              <w:jc w:val="left"/>
              <w:rPr>
                <w:rFonts w:hint="eastAsia" w:ascii="宋体" w:hAnsi="宋体" w:eastAsia="宋体" w:cs="宋体"/>
                <w:color w:val="auto"/>
                <w:spacing w:val="20"/>
                <w:kern w:val="0"/>
                <w:sz w:val="24"/>
                <w:highlight w:val="none"/>
                <w:lang w:val="en-US" w:eastAsia="zh-CN"/>
              </w:rPr>
            </w:pPr>
            <w:r>
              <w:rPr>
                <w:rFonts w:hint="eastAsia" w:ascii="宋体" w:hAnsi="宋体" w:eastAsia="宋体" w:cs="宋体"/>
                <w:color w:val="auto"/>
                <w:spacing w:val="20"/>
                <w:kern w:val="0"/>
                <w:sz w:val="24"/>
                <w:highlight w:val="none"/>
              </w:rPr>
              <w:t>投标</w:t>
            </w:r>
            <w:r>
              <w:rPr>
                <w:rFonts w:hint="eastAsia" w:ascii="宋体" w:hAnsi="宋体" w:eastAsia="宋体" w:cs="宋体"/>
                <w:color w:val="auto"/>
                <w:spacing w:val="20"/>
                <w:kern w:val="0"/>
                <w:sz w:val="24"/>
                <w:highlight w:val="none"/>
                <w:lang w:val="en-US" w:eastAsia="zh-CN"/>
              </w:rPr>
              <w:t>总</w:t>
            </w:r>
            <w:r>
              <w:rPr>
                <w:rFonts w:hint="eastAsia" w:ascii="宋体" w:hAnsi="宋体" w:eastAsia="宋体" w:cs="宋体"/>
                <w:color w:val="auto"/>
                <w:spacing w:val="20"/>
                <w:kern w:val="0"/>
                <w:sz w:val="24"/>
                <w:highlight w:val="none"/>
              </w:rPr>
              <w:t>价</w:t>
            </w:r>
            <w:r>
              <w:rPr>
                <w:rFonts w:hint="eastAsia" w:ascii="宋体" w:hAnsi="宋体" w:eastAsia="宋体" w:cs="宋体"/>
                <w:color w:val="auto"/>
                <w:spacing w:val="20"/>
                <w:kern w:val="0"/>
                <w:sz w:val="24"/>
                <w:highlight w:val="none"/>
                <w:lang w:eastAsia="zh-CN"/>
              </w:rPr>
              <w:t>（</w:t>
            </w:r>
            <w:r>
              <w:rPr>
                <w:rFonts w:hint="eastAsia" w:ascii="宋体" w:hAnsi="宋体" w:eastAsia="宋体" w:cs="宋体"/>
                <w:color w:val="auto"/>
                <w:spacing w:val="20"/>
                <w:kern w:val="0"/>
                <w:sz w:val="24"/>
                <w:highlight w:val="none"/>
                <w:lang w:val="en-US" w:eastAsia="zh-CN"/>
              </w:rPr>
              <w:t>综合折扣率）</w:t>
            </w:r>
            <w:r>
              <w:rPr>
                <w:rFonts w:hint="eastAsia" w:ascii="宋体" w:hAnsi="宋体" w:eastAsia="宋体" w:cs="宋体"/>
                <w:color w:val="auto"/>
                <w:kern w:val="0"/>
                <w:sz w:val="24"/>
                <w:szCs w:val="21"/>
                <w:highlight w:val="none"/>
              </w:rPr>
              <w:t>大</w:t>
            </w:r>
            <w:r>
              <w:rPr>
                <w:rFonts w:hint="eastAsia" w:ascii="宋体" w:hAnsi="宋体" w:cs="宋体"/>
                <w:color w:val="auto"/>
                <w:kern w:val="0"/>
                <w:sz w:val="24"/>
                <w:szCs w:val="21"/>
                <w:highlight w:val="none"/>
                <w:lang w:val="en-US" w:eastAsia="zh-CN"/>
              </w:rPr>
              <w:t>写</w:t>
            </w:r>
            <w:r>
              <w:rPr>
                <w:rFonts w:hint="eastAsia" w:ascii="宋体" w:hAnsi="宋体" w:eastAsia="宋体" w:cs="宋体"/>
                <w:color w:val="auto"/>
                <w:kern w:val="0"/>
                <w:sz w:val="24"/>
                <w:szCs w:val="21"/>
                <w:highlight w:val="none"/>
              </w:rPr>
              <w:t>：</w:t>
            </w:r>
          </w:p>
        </w:tc>
        <w:tc>
          <w:tcPr>
            <w:tcW w:w="1250" w:type="dxa"/>
            <w:tcBorders>
              <w:top w:val="single" w:color="auto" w:sz="4" w:space="0"/>
              <w:left w:val="single" w:color="auto" w:sz="4" w:space="0"/>
              <w:bottom w:val="single" w:color="auto" w:sz="4" w:space="0"/>
              <w:right w:val="single" w:color="auto" w:sz="4" w:space="0"/>
            </w:tcBorders>
            <w:vAlign w:val="top"/>
          </w:tcPr>
          <w:p w14:paraId="6DD4CCBF">
            <w:pPr>
              <w:widowControl/>
              <w:tabs>
                <w:tab w:val="left" w:pos="1418"/>
              </w:tabs>
              <w:snapToGrid w:val="0"/>
              <w:spacing w:before="50" w:after="50" w:line="360" w:lineRule="exact"/>
              <w:jc w:val="left"/>
              <w:rPr>
                <w:rFonts w:hint="eastAsia" w:ascii="宋体" w:hAnsi="宋体" w:eastAsia="宋体" w:cs="宋体"/>
                <w:color w:val="auto"/>
                <w:spacing w:val="20"/>
                <w:kern w:val="0"/>
                <w:sz w:val="24"/>
                <w:highlight w:val="none"/>
                <w:lang w:val="en-US" w:eastAsia="zh-CN"/>
              </w:rPr>
            </w:pPr>
            <w:r>
              <w:rPr>
                <w:rFonts w:hint="eastAsia" w:ascii="宋体" w:hAnsi="宋体" w:eastAsia="宋体" w:cs="宋体"/>
                <w:color w:val="auto"/>
                <w:kern w:val="0"/>
                <w:sz w:val="24"/>
                <w:szCs w:val="21"/>
                <w:highlight w:val="none"/>
              </w:rPr>
              <w:t>￥</w:t>
            </w:r>
          </w:p>
        </w:tc>
        <w:tc>
          <w:tcPr>
            <w:tcW w:w="916" w:type="dxa"/>
            <w:tcBorders>
              <w:top w:val="single" w:color="auto" w:sz="4" w:space="0"/>
              <w:left w:val="single" w:color="auto" w:sz="4" w:space="0"/>
              <w:bottom w:val="single" w:color="auto" w:sz="4" w:space="0"/>
              <w:right w:val="single" w:color="auto" w:sz="4" w:space="0"/>
            </w:tcBorders>
            <w:vAlign w:val="top"/>
          </w:tcPr>
          <w:p w14:paraId="75A6F221">
            <w:pPr>
              <w:widowControl/>
              <w:tabs>
                <w:tab w:val="left" w:pos="1418"/>
              </w:tabs>
              <w:snapToGrid w:val="0"/>
              <w:spacing w:before="50" w:after="50" w:line="360" w:lineRule="exact"/>
              <w:jc w:val="left"/>
              <w:rPr>
                <w:rFonts w:hint="eastAsia" w:ascii="宋体" w:hAnsi="宋体" w:eastAsia="宋体" w:cs="宋体"/>
                <w:color w:val="auto"/>
                <w:kern w:val="0"/>
                <w:sz w:val="24"/>
                <w:szCs w:val="21"/>
                <w:highlight w:val="none"/>
              </w:rPr>
            </w:pPr>
          </w:p>
        </w:tc>
      </w:tr>
    </w:tbl>
    <w:p w14:paraId="3C53A5A9">
      <w:pPr>
        <w:pStyle w:val="32"/>
        <w:ind w:firstLine="3990" w:firstLineChars="1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（全称并加盖公章）：</w:t>
      </w:r>
    </w:p>
    <w:p w14:paraId="343B3390">
      <w:pPr>
        <w:widowControl/>
        <w:shd w:val="clear" w:color="auto" w:fill="FFFFFF"/>
        <w:spacing w:line="360" w:lineRule="auto"/>
        <w:ind w:left="1480" w:leftChars="705" w:firstLine="1524" w:firstLineChars="726"/>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法定代表人或委托代理人（签字</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p>
    <w:p w14:paraId="3603295E">
      <w:pPr>
        <w:widowControl/>
        <w:wordWrap w:val="0"/>
        <w:spacing w:line="460" w:lineRule="exact"/>
        <w:ind w:firstLine="4410" w:firstLineChars="2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年    月    日</w:t>
      </w:r>
    </w:p>
    <w:p w14:paraId="220BA8D1">
      <w:pPr>
        <w:widowControl/>
        <w:wordWrap w:val="0"/>
        <w:spacing w:line="460" w:lineRule="exact"/>
        <w:ind w:firstLine="4800" w:firstLineChars="20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0"/>
          <w:sz w:val="24"/>
          <w:highlight w:val="none"/>
        </w:rPr>
        <w:t xml:space="preserve">     </w:t>
      </w:r>
    </w:p>
    <w:p w14:paraId="50CE31F5">
      <w:pPr>
        <w:pStyle w:val="23"/>
        <w:rPr>
          <w:rFonts w:hint="eastAsia" w:ascii="宋体" w:hAnsi="宋体" w:eastAsia="宋体" w:cs="宋体"/>
          <w:color w:val="auto"/>
          <w:kern w:val="0"/>
          <w:sz w:val="24"/>
          <w:highlight w:val="none"/>
        </w:rPr>
        <w:sectPr>
          <w:footerReference r:id="rId5" w:type="default"/>
          <w:pgSz w:w="11906" w:h="16838"/>
          <w:pgMar w:top="1417" w:right="1474" w:bottom="1417" w:left="1474" w:header="851" w:footer="624" w:gutter="0"/>
          <w:pgNumType w:fmt="decimal"/>
          <w:cols w:space="720" w:num="1"/>
          <w:docGrid w:type="lines" w:linePitch="319" w:charSpace="0"/>
        </w:sectPr>
      </w:pPr>
    </w:p>
    <w:p w14:paraId="0687C2CA">
      <w:pPr>
        <w:pStyle w:val="23"/>
        <w:rPr>
          <w:rFonts w:hint="default" w:ascii="宋体" w:hAnsi="宋体" w:cs="宋体"/>
          <w:color w:val="auto"/>
          <w:kern w:val="0"/>
          <w:sz w:val="24"/>
          <w:highlight w:val="none"/>
          <w:lang w:val="en-US" w:eastAsia="zh-CN"/>
        </w:rPr>
      </w:pPr>
    </w:p>
    <w:p w14:paraId="568848E2">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附件5         </w:t>
      </w:r>
      <w:bookmarkEnd w:id="81"/>
      <w:bookmarkEnd w:id="82"/>
      <w:r>
        <w:rPr>
          <w:rFonts w:hint="eastAsia" w:ascii="宋体" w:hAnsi="宋体" w:eastAsia="宋体" w:cs="宋体"/>
          <w:color w:val="auto"/>
          <w:sz w:val="28"/>
          <w:szCs w:val="28"/>
          <w:highlight w:val="none"/>
          <w:lang w:val="en-US" w:eastAsia="zh-CN"/>
        </w:rPr>
        <w:t xml:space="preserve">  技术响应表（格式）</w:t>
      </w:r>
    </w:p>
    <w:tbl>
      <w:tblPr>
        <w:tblStyle w:val="91"/>
        <w:tblW w:w="991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2625"/>
        <w:gridCol w:w="2379"/>
        <w:gridCol w:w="1468"/>
        <w:gridCol w:w="1468"/>
        <w:gridCol w:w="1202"/>
      </w:tblGrid>
      <w:tr w14:paraId="6DB65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772" w:type="dxa"/>
            <w:noWrap w:val="0"/>
            <w:vAlign w:val="center"/>
          </w:tcPr>
          <w:p w14:paraId="60FD45C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625" w:type="dxa"/>
            <w:noWrap w:val="0"/>
            <w:vAlign w:val="center"/>
          </w:tcPr>
          <w:p w14:paraId="1E05216D">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服务名称</w:t>
            </w:r>
          </w:p>
        </w:tc>
        <w:tc>
          <w:tcPr>
            <w:tcW w:w="2379" w:type="dxa"/>
            <w:noWrap w:val="0"/>
            <w:vAlign w:val="center"/>
          </w:tcPr>
          <w:p w14:paraId="45AB098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文件要求</w:t>
            </w:r>
          </w:p>
        </w:tc>
        <w:tc>
          <w:tcPr>
            <w:tcW w:w="1468" w:type="dxa"/>
            <w:noWrap w:val="0"/>
            <w:vAlign w:val="center"/>
          </w:tcPr>
          <w:p w14:paraId="1DC5ED4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文件响应</w:t>
            </w:r>
          </w:p>
        </w:tc>
        <w:tc>
          <w:tcPr>
            <w:tcW w:w="1468" w:type="dxa"/>
            <w:noWrap w:val="0"/>
            <w:vAlign w:val="center"/>
          </w:tcPr>
          <w:p w14:paraId="0737D61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偏离情况</w:t>
            </w:r>
          </w:p>
        </w:tc>
        <w:tc>
          <w:tcPr>
            <w:tcW w:w="1202" w:type="dxa"/>
            <w:noWrap w:val="0"/>
            <w:vAlign w:val="center"/>
          </w:tcPr>
          <w:p w14:paraId="0DDC226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14:paraId="05817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72" w:type="dxa"/>
            <w:noWrap w:val="0"/>
            <w:vAlign w:val="center"/>
          </w:tcPr>
          <w:p w14:paraId="4CAE8DF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625" w:type="dxa"/>
            <w:noWrap w:val="0"/>
            <w:vAlign w:val="center"/>
          </w:tcPr>
          <w:p w14:paraId="3FAF8A9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7FEC7AE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5F9E9EF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1EC9202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202" w:type="dxa"/>
            <w:noWrap w:val="0"/>
            <w:vAlign w:val="center"/>
          </w:tcPr>
          <w:p w14:paraId="69EF382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7F87A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772" w:type="dxa"/>
            <w:noWrap w:val="0"/>
            <w:vAlign w:val="center"/>
          </w:tcPr>
          <w:p w14:paraId="5B7E79D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625" w:type="dxa"/>
            <w:noWrap w:val="0"/>
            <w:vAlign w:val="center"/>
          </w:tcPr>
          <w:p w14:paraId="6E51C8A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6A985AC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6A0A4DE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423C197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202" w:type="dxa"/>
            <w:noWrap w:val="0"/>
            <w:vAlign w:val="center"/>
          </w:tcPr>
          <w:p w14:paraId="7144DA4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427C5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772" w:type="dxa"/>
            <w:noWrap w:val="0"/>
            <w:vAlign w:val="center"/>
          </w:tcPr>
          <w:p w14:paraId="73A8F70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2625" w:type="dxa"/>
            <w:noWrap w:val="0"/>
            <w:vAlign w:val="center"/>
          </w:tcPr>
          <w:p w14:paraId="32FA510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01A6296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69FA959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49A10E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202" w:type="dxa"/>
            <w:noWrap w:val="0"/>
            <w:vAlign w:val="center"/>
          </w:tcPr>
          <w:p w14:paraId="572BDE6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7157CA27">
      <w:pPr>
        <w:widowControl/>
        <w:wordWrap w:val="0"/>
        <w:spacing w:line="460" w:lineRule="exact"/>
        <w:ind w:firstLine="422" w:firstLineChars="200"/>
        <w:jc w:val="left"/>
        <w:rPr>
          <w:rFonts w:hint="eastAsia" w:ascii="宋体" w:hAnsi="宋体" w:eastAsia="宋体" w:cs="宋体"/>
          <w:b/>
          <w:color w:val="auto"/>
          <w:kern w:val="0"/>
          <w:sz w:val="21"/>
          <w:szCs w:val="21"/>
          <w:highlight w:val="none"/>
          <w:lang w:val="en-US" w:eastAsia="zh-CN"/>
        </w:rPr>
      </w:pPr>
    </w:p>
    <w:p w14:paraId="75C7CAD4">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注：供应商必须如实完整填写表格，“偏离情况”是指“正偏离”、“负偏离”或“无偏离”。</w:t>
      </w:r>
    </w:p>
    <w:p w14:paraId="253A2AFC">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79247D3">
      <w:pPr>
        <w:pageBreakBefore w:val="0"/>
        <w:widowControl/>
        <w:wordWrap/>
        <w:overflowPunct/>
        <w:topLinePunct w:val="0"/>
        <w:bidi w:val="0"/>
        <w:spacing w:line="360" w:lineRule="auto"/>
        <w:ind w:firstLine="2100" w:firstLineChars="10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2C0005D5">
      <w:pPr>
        <w:widowControl/>
        <w:wordWrap w:val="0"/>
        <w:spacing w:line="460" w:lineRule="exact"/>
        <w:ind w:firstLine="3570" w:firstLineChars="1700"/>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color w:val="auto"/>
          <w:sz w:val="21"/>
          <w:szCs w:val="21"/>
          <w:highlight w:val="none"/>
        </w:rPr>
        <w:t>年    月    日</w:t>
      </w:r>
    </w:p>
    <w:p w14:paraId="0E8A4B7C">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sectPr>
          <w:pgSz w:w="11906" w:h="16838"/>
          <w:pgMar w:top="1417" w:right="1474" w:bottom="1417" w:left="1474" w:header="851" w:footer="624" w:gutter="0"/>
          <w:pgNumType w:fmt="decimal"/>
          <w:cols w:space="720" w:num="1"/>
          <w:docGrid w:type="lines" w:linePitch="319" w:charSpace="0"/>
        </w:sectPr>
      </w:pPr>
    </w:p>
    <w:p w14:paraId="3C754F10">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3" w:name="_Toc20420"/>
      <w:bookmarkStart w:id="84" w:name="_Toc24168"/>
      <w:bookmarkStart w:id="85" w:name="_Toc29960"/>
      <w:r>
        <w:rPr>
          <w:rFonts w:hint="eastAsia" w:ascii="宋体" w:hAnsi="宋体" w:eastAsia="宋体" w:cs="宋体"/>
          <w:color w:val="auto"/>
          <w:sz w:val="28"/>
          <w:szCs w:val="28"/>
          <w:highlight w:val="none"/>
          <w:lang w:val="en-US" w:eastAsia="zh-CN"/>
        </w:rPr>
        <w:t>附件6            商务响应</w:t>
      </w:r>
      <w:bookmarkEnd w:id="83"/>
      <w:bookmarkEnd w:id="84"/>
      <w:bookmarkEnd w:id="85"/>
      <w:r>
        <w:rPr>
          <w:rFonts w:hint="eastAsia" w:ascii="宋体" w:hAnsi="宋体" w:eastAsia="宋体" w:cs="宋体"/>
          <w:color w:val="auto"/>
          <w:sz w:val="28"/>
          <w:szCs w:val="28"/>
          <w:highlight w:val="none"/>
          <w:lang w:val="en-US" w:eastAsia="zh-CN"/>
        </w:rPr>
        <w:t>表（格式）</w:t>
      </w:r>
    </w:p>
    <w:p w14:paraId="6D8CC24E">
      <w:pPr>
        <w:widowControl/>
        <w:wordWrap w:val="0"/>
        <w:spacing w:line="460" w:lineRule="exact"/>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 xml:space="preserve">  </w:t>
      </w:r>
    </w:p>
    <w:tbl>
      <w:tblPr>
        <w:tblStyle w:val="91"/>
        <w:tblW w:w="1024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11"/>
        <w:gridCol w:w="2301"/>
        <w:gridCol w:w="2198"/>
        <w:gridCol w:w="2038"/>
        <w:gridCol w:w="1349"/>
        <w:gridCol w:w="1349"/>
      </w:tblGrid>
      <w:tr w14:paraId="6427C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jc w:val="center"/>
        </w:trPr>
        <w:tc>
          <w:tcPr>
            <w:tcW w:w="1011" w:type="dxa"/>
            <w:noWrap w:val="0"/>
            <w:vAlign w:val="center"/>
          </w:tcPr>
          <w:p w14:paraId="4D3BB03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2301" w:type="dxa"/>
            <w:noWrap w:val="0"/>
            <w:vAlign w:val="center"/>
          </w:tcPr>
          <w:p w14:paraId="2F7728F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项目</w:t>
            </w:r>
          </w:p>
        </w:tc>
        <w:tc>
          <w:tcPr>
            <w:tcW w:w="2198" w:type="dxa"/>
            <w:noWrap w:val="0"/>
            <w:vAlign w:val="center"/>
          </w:tcPr>
          <w:p w14:paraId="6986079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要求</w:t>
            </w:r>
          </w:p>
        </w:tc>
        <w:tc>
          <w:tcPr>
            <w:tcW w:w="2038" w:type="dxa"/>
            <w:noWrap w:val="0"/>
            <w:vAlign w:val="center"/>
          </w:tcPr>
          <w:p w14:paraId="433E3ED6">
            <w:pPr>
              <w:widowControl/>
              <w:snapToGrid w:val="0"/>
              <w:spacing w:before="156" w:beforeLines="50" w:line="360" w:lineRule="auto"/>
              <w:jc w:val="center"/>
              <w:rPr>
                <w:rFonts w:hint="default" w:ascii="宋体" w:hAnsi="宋体" w:eastAsia="宋体" w:cs="宋体"/>
                <w:color w:val="auto"/>
                <w:sz w:val="21"/>
                <w:szCs w:val="21"/>
                <w:highlight w:val="none"/>
                <w:lang w:val="en-US" w:eastAsia="zh-CN"/>
              </w:rPr>
            </w:pPr>
            <w:r>
              <w:rPr>
                <w:rFonts w:hint="eastAsia" w:ascii="仿宋_GB2312" w:hAnsi="宋体" w:cs="宋体"/>
                <w:color w:val="auto"/>
                <w:kern w:val="0"/>
                <w:sz w:val="24"/>
                <w:highlight w:val="none"/>
                <w:lang w:val="en-US" w:eastAsia="zh-CN"/>
              </w:rPr>
              <w:t>响应文件响应</w:t>
            </w:r>
          </w:p>
        </w:tc>
        <w:tc>
          <w:tcPr>
            <w:tcW w:w="1349" w:type="dxa"/>
            <w:noWrap w:val="0"/>
            <w:vAlign w:val="center"/>
          </w:tcPr>
          <w:p w14:paraId="76FA13D4">
            <w:pPr>
              <w:widowControl/>
              <w:snapToGrid w:val="0"/>
              <w:spacing w:before="156" w:beforeLines="50" w:line="360" w:lineRule="auto"/>
              <w:jc w:val="center"/>
              <w:rPr>
                <w:rFonts w:hint="default" w:ascii="宋体" w:hAnsi="宋体" w:eastAsia="宋体" w:cs="宋体"/>
                <w:color w:val="auto"/>
                <w:sz w:val="21"/>
                <w:szCs w:val="21"/>
                <w:highlight w:val="none"/>
                <w:lang w:val="en-US" w:eastAsia="zh-CN"/>
              </w:rPr>
            </w:pPr>
            <w:r>
              <w:rPr>
                <w:rFonts w:hint="eastAsia" w:ascii="仿宋_GB2312" w:hAnsi="宋体" w:cs="宋体"/>
                <w:color w:val="auto"/>
                <w:kern w:val="0"/>
                <w:sz w:val="24"/>
                <w:highlight w:val="none"/>
                <w:lang w:val="en-US" w:eastAsia="zh-CN"/>
              </w:rPr>
              <w:t>偏离情况</w:t>
            </w:r>
          </w:p>
        </w:tc>
        <w:tc>
          <w:tcPr>
            <w:tcW w:w="1349" w:type="dxa"/>
            <w:noWrap w:val="0"/>
            <w:vAlign w:val="center"/>
          </w:tcPr>
          <w:p w14:paraId="1363C87C">
            <w:pPr>
              <w:widowControl/>
              <w:snapToGrid w:val="0"/>
              <w:spacing w:before="156" w:beforeLines="50" w:line="360" w:lineRule="auto"/>
              <w:jc w:val="center"/>
              <w:rPr>
                <w:rFonts w:hint="default" w:ascii="仿宋_GB2312" w:hAnsi="宋体" w:cs="宋体"/>
                <w:color w:val="auto"/>
                <w:kern w:val="0"/>
                <w:sz w:val="24"/>
                <w:highlight w:val="none"/>
                <w:lang w:val="en-US" w:eastAsia="zh-CN"/>
              </w:rPr>
            </w:pPr>
            <w:r>
              <w:rPr>
                <w:rFonts w:hint="eastAsia" w:ascii="仿宋_GB2312" w:hAnsi="宋体" w:cs="宋体"/>
                <w:color w:val="auto"/>
                <w:kern w:val="0"/>
                <w:sz w:val="24"/>
                <w:highlight w:val="none"/>
                <w:lang w:val="en-US" w:eastAsia="zh-CN"/>
              </w:rPr>
              <w:t>备注</w:t>
            </w:r>
          </w:p>
        </w:tc>
      </w:tr>
      <w:tr w14:paraId="0693B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1DD3322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01" w:type="dxa"/>
            <w:noWrap w:val="0"/>
            <w:vAlign w:val="center"/>
          </w:tcPr>
          <w:p w14:paraId="7A24A9AD">
            <w:pPr>
              <w:pStyle w:val="14"/>
              <w:ind w:left="0" w:leftChars="0"/>
              <w:jc w:val="center"/>
              <w:rPr>
                <w:rFonts w:hint="eastAsia" w:ascii="宋体" w:hAnsi="宋体" w:eastAsia="宋体" w:cs="宋体"/>
                <w:color w:val="auto"/>
                <w:sz w:val="21"/>
                <w:szCs w:val="21"/>
                <w:highlight w:val="none"/>
              </w:rPr>
            </w:pPr>
          </w:p>
        </w:tc>
        <w:tc>
          <w:tcPr>
            <w:tcW w:w="2198" w:type="dxa"/>
            <w:noWrap w:val="0"/>
            <w:vAlign w:val="center"/>
          </w:tcPr>
          <w:p w14:paraId="493156F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6A3103D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69D8C2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326A35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1600C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34AEC88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32D265A2">
            <w:pPr>
              <w:pStyle w:val="14"/>
              <w:ind w:left="0" w:leftChars="0"/>
              <w:jc w:val="center"/>
              <w:rPr>
                <w:rFonts w:hint="eastAsia" w:ascii="宋体" w:hAnsi="宋体" w:eastAsia="宋体" w:cs="宋体"/>
                <w:color w:val="auto"/>
                <w:sz w:val="21"/>
                <w:szCs w:val="21"/>
                <w:highlight w:val="none"/>
                <w:lang w:val="en-US" w:eastAsia="zh-CN"/>
              </w:rPr>
            </w:pPr>
          </w:p>
        </w:tc>
        <w:tc>
          <w:tcPr>
            <w:tcW w:w="2198" w:type="dxa"/>
            <w:noWrap w:val="0"/>
            <w:vAlign w:val="center"/>
          </w:tcPr>
          <w:p w14:paraId="549C2C7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7759A7A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76BF81A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7F48B4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2922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250354C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eastAsia="zh-CN"/>
              </w:rPr>
            </w:pPr>
          </w:p>
        </w:tc>
        <w:tc>
          <w:tcPr>
            <w:tcW w:w="2301" w:type="dxa"/>
            <w:noWrap w:val="0"/>
            <w:vAlign w:val="center"/>
          </w:tcPr>
          <w:p w14:paraId="5FBC217B">
            <w:pPr>
              <w:pStyle w:val="14"/>
              <w:ind w:left="0" w:leftChars="0"/>
              <w:jc w:val="center"/>
              <w:rPr>
                <w:rFonts w:hint="eastAsia" w:ascii="宋体" w:hAnsi="宋体" w:eastAsia="宋体" w:cs="宋体"/>
                <w:color w:val="auto"/>
                <w:sz w:val="21"/>
                <w:szCs w:val="21"/>
                <w:highlight w:val="none"/>
              </w:rPr>
            </w:pPr>
          </w:p>
        </w:tc>
        <w:tc>
          <w:tcPr>
            <w:tcW w:w="2198" w:type="dxa"/>
            <w:noWrap w:val="0"/>
            <w:vAlign w:val="center"/>
          </w:tcPr>
          <w:p w14:paraId="2E1B9C1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5ABEA9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6FACE7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F8A754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60139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26E42AE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72B55C4B">
            <w:pPr>
              <w:pStyle w:val="14"/>
              <w:ind w:left="0" w:leftChars="0"/>
              <w:jc w:val="center"/>
              <w:rPr>
                <w:rFonts w:hint="eastAsia" w:ascii="宋体" w:hAnsi="宋体" w:eastAsia="宋体" w:cs="宋体"/>
                <w:color w:val="auto"/>
                <w:sz w:val="21"/>
                <w:szCs w:val="21"/>
                <w:highlight w:val="none"/>
              </w:rPr>
            </w:pPr>
          </w:p>
        </w:tc>
        <w:tc>
          <w:tcPr>
            <w:tcW w:w="2198" w:type="dxa"/>
            <w:noWrap w:val="0"/>
            <w:vAlign w:val="center"/>
          </w:tcPr>
          <w:p w14:paraId="7B7CA4D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7A6BF6A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64AB354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22D878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73484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2F22E84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4446CD0C">
            <w:pPr>
              <w:pStyle w:val="14"/>
              <w:ind w:left="0" w:leftChars="0"/>
              <w:jc w:val="center"/>
              <w:rPr>
                <w:rFonts w:hint="eastAsia" w:ascii="宋体" w:hAnsi="宋体" w:eastAsia="宋体" w:cs="宋体"/>
                <w:color w:val="auto"/>
                <w:sz w:val="21"/>
                <w:szCs w:val="21"/>
                <w:highlight w:val="none"/>
              </w:rPr>
            </w:pPr>
          </w:p>
        </w:tc>
        <w:tc>
          <w:tcPr>
            <w:tcW w:w="2198" w:type="dxa"/>
            <w:noWrap w:val="0"/>
            <w:vAlign w:val="center"/>
          </w:tcPr>
          <w:p w14:paraId="756D891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5B39FB7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0AFD578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3F3F08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222C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jc w:val="center"/>
        </w:trPr>
        <w:tc>
          <w:tcPr>
            <w:tcW w:w="1011" w:type="dxa"/>
            <w:noWrap w:val="0"/>
            <w:vAlign w:val="center"/>
          </w:tcPr>
          <w:p w14:paraId="548262D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4AAABEAA">
            <w:pPr>
              <w:pStyle w:val="14"/>
              <w:ind w:left="0" w:leftChars="0"/>
              <w:jc w:val="center"/>
              <w:rPr>
                <w:rFonts w:hint="eastAsia" w:ascii="宋体" w:hAnsi="宋体" w:eastAsia="宋体" w:cs="宋体"/>
                <w:color w:val="auto"/>
                <w:sz w:val="21"/>
                <w:szCs w:val="21"/>
                <w:highlight w:val="none"/>
              </w:rPr>
            </w:pPr>
          </w:p>
        </w:tc>
        <w:tc>
          <w:tcPr>
            <w:tcW w:w="2198" w:type="dxa"/>
            <w:noWrap w:val="0"/>
            <w:vAlign w:val="center"/>
          </w:tcPr>
          <w:p w14:paraId="5CE7866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1E3CDDB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0D54F14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32BB797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7704A3BE">
      <w:pPr>
        <w:rPr>
          <w:rFonts w:hint="eastAsia" w:ascii="宋体" w:hAnsi="宋体" w:eastAsia="宋体" w:cs="宋体"/>
          <w:b/>
          <w:color w:val="auto"/>
          <w:kern w:val="0"/>
          <w:sz w:val="21"/>
          <w:szCs w:val="21"/>
          <w:highlight w:val="none"/>
        </w:rPr>
      </w:pPr>
    </w:p>
    <w:p w14:paraId="3FD13902">
      <w:pPr>
        <w:pStyle w:val="32"/>
        <w:rPr>
          <w:rFonts w:hint="eastAsia" w:ascii="宋体" w:hAnsi="宋体" w:eastAsia="宋体" w:cs="宋体"/>
          <w:color w:val="auto"/>
          <w:sz w:val="21"/>
          <w:szCs w:val="21"/>
          <w:highlight w:val="none"/>
        </w:rPr>
      </w:pPr>
    </w:p>
    <w:p w14:paraId="0A635B83">
      <w:pPr>
        <w:pageBreakBefore w:val="0"/>
        <w:widowControl/>
        <w:wordWrap/>
        <w:overflowPunct/>
        <w:topLinePunct w:val="0"/>
        <w:bidi w:val="0"/>
        <w:spacing w:line="360" w:lineRule="auto"/>
        <w:ind w:firstLine="3360" w:firstLineChars="1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50A32A50">
      <w:pPr>
        <w:pageBreakBefore w:val="0"/>
        <w:widowControl/>
        <w:wordWrap/>
        <w:overflowPunct/>
        <w:topLinePunct w:val="0"/>
        <w:bidi w:val="0"/>
        <w:spacing w:line="360" w:lineRule="auto"/>
        <w:ind w:firstLine="4410" w:firstLineChars="2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年    月    日</w:t>
      </w:r>
    </w:p>
    <w:p w14:paraId="1443043E">
      <w:pPr>
        <w:outlineLvl w:val="9"/>
        <w:rPr>
          <w:rFonts w:hint="eastAsia" w:ascii="宋体" w:hAnsi="宋体" w:eastAsia="宋体" w:cs="宋体"/>
          <w:color w:val="auto"/>
          <w:highlight w:val="none"/>
        </w:rPr>
      </w:pPr>
    </w:p>
    <w:p w14:paraId="01B51371">
      <w:pPr>
        <w:outlineLvl w:val="9"/>
        <w:rPr>
          <w:rFonts w:hint="eastAsia" w:ascii="宋体" w:hAnsi="宋体" w:eastAsia="宋体" w:cs="宋体"/>
          <w:color w:val="auto"/>
          <w:highlight w:val="none"/>
        </w:rPr>
      </w:pPr>
    </w:p>
    <w:p w14:paraId="63CC00FA">
      <w:pPr>
        <w:outlineLvl w:val="9"/>
        <w:rPr>
          <w:rFonts w:hint="eastAsia" w:ascii="宋体" w:hAnsi="宋体" w:eastAsia="宋体" w:cs="宋体"/>
          <w:color w:val="auto"/>
          <w:highlight w:val="none"/>
        </w:rPr>
      </w:pPr>
    </w:p>
    <w:p w14:paraId="6CCCA408">
      <w:pPr>
        <w:outlineLvl w:val="9"/>
        <w:rPr>
          <w:rFonts w:hint="eastAsia" w:ascii="宋体" w:hAnsi="宋体" w:eastAsia="宋体" w:cs="宋体"/>
          <w:color w:val="auto"/>
          <w:highlight w:val="none"/>
        </w:rPr>
      </w:pPr>
    </w:p>
    <w:p w14:paraId="68650ED4">
      <w:pPr>
        <w:outlineLvl w:val="9"/>
        <w:rPr>
          <w:rFonts w:hint="eastAsia" w:ascii="宋体" w:hAnsi="宋体" w:eastAsia="宋体" w:cs="宋体"/>
          <w:color w:val="auto"/>
          <w:highlight w:val="none"/>
        </w:rPr>
      </w:pPr>
    </w:p>
    <w:p w14:paraId="7A7472C6">
      <w:pPr>
        <w:outlineLvl w:val="9"/>
        <w:rPr>
          <w:rFonts w:hint="eastAsia" w:ascii="宋体" w:hAnsi="宋体" w:eastAsia="宋体" w:cs="宋体"/>
          <w:color w:val="auto"/>
          <w:highlight w:val="none"/>
        </w:rPr>
      </w:pPr>
    </w:p>
    <w:p w14:paraId="602BD040">
      <w:pPr>
        <w:outlineLvl w:val="9"/>
        <w:rPr>
          <w:rFonts w:hint="eastAsia" w:ascii="宋体" w:hAnsi="宋体" w:eastAsia="宋体" w:cs="宋体"/>
          <w:color w:val="auto"/>
          <w:highlight w:val="none"/>
        </w:rPr>
      </w:pPr>
    </w:p>
    <w:p w14:paraId="28936226">
      <w:pPr>
        <w:outlineLvl w:val="9"/>
        <w:rPr>
          <w:rFonts w:hint="eastAsia" w:ascii="宋体" w:hAnsi="宋体" w:eastAsia="宋体" w:cs="宋体"/>
          <w:color w:val="auto"/>
          <w:highlight w:val="none"/>
        </w:rPr>
      </w:pPr>
    </w:p>
    <w:p w14:paraId="4E851B2D">
      <w:pPr>
        <w:outlineLvl w:val="9"/>
        <w:rPr>
          <w:rFonts w:hint="eastAsia" w:ascii="宋体" w:hAnsi="宋体" w:eastAsia="宋体" w:cs="宋体"/>
          <w:color w:val="auto"/>
          <w:highlight w:val="none"/>
        </w:rPr>
      </w:pPr>
    </w:p>
    <w:p w14:paraId="41A3FBDB">
      <w:pPr>
        <w:outlineLvl w:val="9"/>
        <w:rPr>
          <w:rFonts w:hint="eastAsia" w:ascii="宋体" w:hAnsi="宋体" w:eastAsia="宋体" w:cs="宋体"/>
          <w:color w:val="auto"/>
          <w:highlight w:val="none"/>
        </w:rPr>
      </w:pPr>
    </w:p>
    <w:p w14:paraId="40CD9C9C">
      <w:pPr>
        <w:outlineLvl w:val="9"/>
        <w:rPr>
          <w:rFonts w:hint="eastAsia" w:ascii="宋体" w:hAnsi="宋体" w:eastAsia="宋体" w:cs="宋体"/>
          <w:color w:val="auto"/>
          <w:highlight w:val="none"/>
        </w:rPr>
      </w:pPr>
    </w:p>
    <w:p w14:paraId="086CDF95">
      <w:pPr>
        <w:outlineLvl w:val="9"/>
        <w:rPr>
          <w:rFonts w:hint="eastAsia" w:ascii="宋体" w:hAnsi="宋体" w:eastAsia="宋体" w:cs="宋体"/>
          <w:color w:val="auto"/>
          <w:highlight w:val="none"/>
        </w:rPr>
      </w:pPr>
    </w:p>
    <w:p w14:paraId="4687954A">
      <w:pPr>
        <w:outlineLvl w:val="9"/>
        <w:rPr>
          <w:rFonts w:hint="eastAsia" w:ascii="宋体" w:hAnsi="宋体" w:eastAsia="宋体" w:cs="宋体"/>
          <w:color w:val="auto"/>
          <w:highlight w:val="none"/>
        </w:rPr>
      </w:pPr>
    </w:p>
    <w:p w14:paraId="14741946">
      <w:pPr>
        <w:outlineLvl w:val="9"/>
        <w:rPr>
          <w:rFonts w:hint="eastAsia" w:ascii="宋体" w:hAnsi="宋体" w:eastAsia="宋体" w:cs="宋体"/>
          <w:color w:val="auto"/>
          <w:highlight w:val="none"/>
        </w:rPr>
      </w:pPr>
    </w:p>
    <w:p w14:paraId="5FAC0DBC">
      <w:pPr>
        <w:outlineLvl w:val="9"/>
        <w:rPr>
          <w:rFonts w:hint="eastAsia" w:ascii="宋体" w:hAnsi="宋体" w:eastAsia="宋体" w:cs="宋体"/>
          <w:color w:val="auto"/>
          <w:highlight w:val="none"/>
        </w:rPr>
      </w:pPr>
    </w:p>
    <w:p w14:paraId="4006A082">
      <w:pPr>
        <w:rPr>
          <w:rFonts w:hint="eastAsia" w:ascii="宋体" w:hAnsi="宋体" w:eastAsia="宋体" w:cs="宋体"/>
          <w:b/>
          <w:color w:val="auto"/>
          <w:sz w:val="28"/>
          <w:highlight w:val="none"/>
        </w:rPr>
      </w:pPr>
      <w:bookmarkStart w:id="86" w:name="_Toc28621"/>
      <w:bookmarkStart w:id="87" w:name="_Toc31526"/>
      <w:r>
        <w:rPr>
          <w:rFonts w:hint="eastAsia" w:ascii="宋体" w:hAnsi="宋体" w:eastAsia="宋体" w:cs="宋体"/>
          <w:b/>
          <w:color w:val="auto"/>
          <w:sz w:val="28"/>
          <w:highlight w:val="none"/>
        </w:rPr>
        <w:br w:type="page"/>
      </w:r>
    </w:p>
    <w:p w14:paraId="40257B96">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8" w:name="_Toc29406"/>
      <w:r>
        <w:rPr>
          <w:rFonts w:hint="eastAsia" w:ascii="宋体" w:hAnsi="宋体" w:eastAsia="宋体" w:cs="宋体"/>
          <w:color w:val="auto"/>
          <w:sz w:val="28"/>
          <w:szCs w:val="28"/>
          <w:highlight w:val="none"/>
          <w:lang w:val="en-US" w:eastAsia="zh-CN"/>
        </w:rPr>
        <w:t>附件7         法定代表人身份证明（格式）</w:t>
      </w:r>
      <w:bookmarkEnd w:id="86"/>
      <w:bookmarkEnd w:id="87"/>
      <w:bookmarkEnd w:id="88"/>
    </w:p>
    <w:p w14:paraId="566EF75F">
      <w:pPr>
        <w:widowControl/>
        <w:wordWrap w:val="0"/>
        <w:spacing w:line="460" w:lineRule="exact"/>
        <w:jc w:val="left"/>
        <w:rPr>
          <w:rFonts w:hint="eastAsia" w:ascii="宋体" w:hAnsi="宋体" w:eastAsia="宋体" w:cs="宋体"/>
          <w:color w:val="auto"/>
          <w:kern w:val="0"/>
          <w:sz w:val="24"/>
          <w:highlight w:val="none"/>
        </w:rPr>
      </w:pPr>
    </w:p>
    <w:p w14:paraId="64E6DF5B">
      <w:pPr>
        <w:widowControl/>
        <w:wordWrap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名称：</w:t>
      </w:r>
      <w:r>
        <w:rPr>
          <w:rFonts w:hint="eastAsia" w:ascii="宋体" w:hAnsi="宋体" w:eastAsia="宋体" w:cs="宋体"/>
          <w:color w:val="auto"/>
          <w:kern w:val="0"/>
          <w:szCs w:val="21"/>
          <w:highlight w:val="none"/>
          <w:u w:val="single"/>
          <w:lang w:val="en-US" w:eastAsia="zh-CN"/>
        </w:rPr>
        <w:t xml:space="preserve">                                </w:t>
      </w:r>
    </w:p>
    <w:p w14:paraId="718D7915">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Cs w:val="21"/>
          <w:highlight w:val="none"/>
          <w:u w:val="single"/>
          <w:lang w:val="en-US" w:eastAsia="zh-CN"/>
        </w:rPr>
        <w:t xml:space="preserve">                                        </w:t>
      </w:r>
    </w:p>
    <w:p w14:paraId="2C11F584">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年</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月</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日</w:t>
      </w:r>
    </w:p>
    <w:p w14:paraId="63386B5D">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szCs w:val="20"/>
          <w:highlight w:val="none"/>
        </w:rPr>
        <w:t>经营期限：</w:t>
      </w:r>
      <w:r>
        <w:rPr>
          <w:rFonts w:hint="eastAsia" w:ascii="宋体" w:hAnsi="宋体" w:eastAsia="宋体" w:cs="宋体"/>
          <w:color w:val="auto"/>
          <w:kern w:val="0"/>
          <w:szCs w:val="21"/>
          <w:highlight w:val="none"/>
          <w:u w:val="single"/>
          <w:lang w:val="en-US" w:eastAsia="zh-CN"/>
        </w:rPr>
        <w:t xml:space="preserve">                        </w:t>
      </w:r>
    </w:p>
    <w:p w14:paraId="2F81B036">
      <w:pPr>
        <w:widowControl/>
        <w:wordWrap w:val="0"/>
        <w:spacing w:line="460" w:lineRule="exact"/>
        <w:ind w:firstLine="48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 w:val="24"/>
          <w:highlight w:val="none"/>
        </w:rPr>
        <w:t>姓名：</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，性别：</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，年龄：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，职务：</w:t>
      </w:r>
      <w:r>
        <w:rPr>
          <w:rFonts w:hint="eastAsia" w:ascii="宋体" w:hAnsi="宋体" w:eastAsia="宋体" w:cs="宋体"/>
          <w:color w:val="auto"/>
          <w:kern w:val="0"/>
          <w:szCs w:val="21"/>
          <w:highlight w:val="none"/>
          <w:u w:val="single"/>
          <w:lang w:val="en-US" w:eastAsia="zh-CN"/>
        </w:rPr>
        <w:t xml:space="preserve">        </w:t>
      </w:r>
    </w:p>
    <w:p w14:paraId="7C90C00B">
      <w:pPr>
        <w:widowControl/>
        <w:wordWrap w:val="0"/>
        <w:spacing w:line="460" w:lineRule="exact"/>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w:t>
      </w:r>
      <w:r>
        <w:rPr>
          <w:rFonts w:hint="eastAsia" w:ascii="宋体" w:hAnsi="宋体" w:eastAsia="宋体" w:cs="宋体"/>
          <w:color w:val="auto"/>
          <w:kern w:val="0"/>
          <w:sz w:val="24"/>
          <w:szCs w:val="20"/>
          <w:highlight w:val="none"/>
          <w:lang w:eastAsia="zh-CN"/>
        </w:rPr>
        <w:t>供应商</w:t>
      </w:r>
      <w:r>
        <w:rPr>
          <w:rFonts w:hint="eastAsia" w:ascii="宋体" w:hAnsi="宋体" w:eastAsia="宋体" w:cs="宋体"/>
          <w:color w:val="auto"/>
          <w:kern w:val="0"/>
          <w:sz w:val="24"/>
          <w:szCs w:val="20"/>
          <w:highlight w:val="none"/>
        </w:rPr>
        <w:t>名称）的法定代表人。</w:t>
      </w:r>
    </w:p>
    <w:p w14:paraId="4FE062B6">
      <w:pPr>
        <w:widowControl/>
        <w:wordWrap w:val="0"/>
        <w:spacing w:line="460" w:lineRule="exact"/>
        <w:jc w:val="left"/>
        <w:rPr>
          <w:rFonts w:hint="eastAsia" w:ascii="宋体" w:hAnsi="宋体" w:eastAsia="宋体" w:cs="宋体"/>
          <w:color w:val="auto"/>
          <w:kern w:val="0"/>
          <w:sz w:val="24"/>
          <w:szCs w:val="20"/>
          <w:highlight w:val="none"/>
        </w:rPr>
      </w:pPr>
    </w:p>
    <w:p w14:paraId="30B3A2FC">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特此证明。</w:t>
      </w:r>
    </w:p>
    <w:p w14:paraId="5CBF5780">
      <w:pPr>
        <w:widowControl/>
        <w:wordWrap w:val="0"/>
        <w:spacing w:line="460" w:lineRule="exact"/>
        <w:jc w:val="left"/>
        <w:rPr>
          <w:rFonts w:hint="eastAsia" w:ascii="宋体" w:hAnsi="宋体" w:eastAsia="宋体" w:cs="宋体"/>
          <w:color w:val="auto"/>
          <w:kern w:val="0"/>
          <w:sz w:val="24"/>
          <w:szCs w:val="20"/>
          <w:highlight w:val="none"/>
        </w:rPr>
      </w:pPr>
    </w:p>
    <w:p w14:paraId="5DBEE591">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tbl>
      <w:tblPr>
        <w:tblStyle w:val="33"/>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14:paraId="2952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6860" w:type="dxa"/>
            <w:tcBorders>
              <w:top w:val="single" w:color="auto" w:sz="4" w:space="0"/>
              <w:left w:val="single" w:color="auto" w:sz="4" w:space="0"/>
              <w:bottom w:val="single" w:color="auto" w:sz="4" w:space="0"/>
              <w:right w:val="single" w:color="auto" w:sz="4" w:space="0"/>
            </w:tcBorders>
          </w:tcPr>
          <w:p w14:paraId="0AA5E577">
            <w:pPr>
              <w:widowControl/>
              <w:spacing w:line="480" w:lineRule="exact"/>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此处请粘贴法定代表人身份证复印件</w:t>
            </w:r>
          </w:p>
          <w:p w14:paraId="608D1BA3">
            <w:pPr>
              <w:widowControl/>
              <w:spacing w:line="480" w:lineRule="exact"/>
              <w:jc w:val="left"/>
              <w:rPr>
                <w:rFonts w:hint="eastAsia" w:ascii="宋体" w:hAnsi="宋体" w:eastAsia="宋体" w:cs="宋体"/>
                <w:color w:val="auto"/>
                <w:kern w:val="0"/>
                <w:sz w:val="24"/>
                <w:highlight w:val="none"/>
              </w:rPr>
            </w:pPr>
          </w:p>
          <w:p w14:paraId="425F1145">
            <w:pPr>
              <w:widowControl/>
              <w:spacing w:line="480" w:lineRule="exact"/>
              <w:jc w:val="left"/>
              <w:rPr>
                <w:rFonts w:hint="eastAsia" w:ascii="宋体" w:hAnsi="宋体" w:eastAsia="宋体" w:cs="宋体"/>
                <w:color w:val="auto"/>
                <w:kern w:val="0"/>
                <w:sz w:val="24"/>
                <w:highlight w:val="none"/>
              </w:rPr>
            </w:pPr>
          </w:p>
        </w:tc>
      </w:tr>
    </w:tbl>
    <w:p w14:paraId="43EC0505">
      <w:pPr>
        <w:widowControl/>
        <w:wordWrap w:val="0"/>
        <w:spacing w:beforeLines="100" w:afterLines="100" w:line="480" w:lineRule="exact"/>
        <w:jc w:val="center"/>
        <w:rPr>
          <w:rFonts w:hint="eastAsia" w:ascii="宋体" w:hAnsi="宋体" w:eastAsia="宋体" w:cs="宋体"/>
          <w:b/>
          <w:color w:val="auto"/>
          <w:kern w:val="0"/>
          <w:sz w:val="24"/>
          <w:highlight w:val="none"/>
        </w:rPr>
      </w:pPr>
    </w:p>
    <w:p w14:paraId="7DE72753">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42F8CBEC">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7F75A711">
      <w:pPr>
        <w:widowControl/>
        <w:wordWrap w:val="0"/>
        <w:spacing w:line="480" w:lineRule="exact"/>
        <w:jc w:val="right"/>
        <w:rPr>
          <w:rFonts w:hint="eastAsia" w:ascii="宋体" w:hAnsi="宋体" w:eastAsia="宋体" w:cs="宋体"/>
          <w:color w:val="auto"/>
          <w:kern w:val="0"/>
          <w:sz w:val="24"/>
          <w:highlight w:val="none"/>
        </w:rPr>
      </w:pPr>
    </w:p>
    <w:p w14:paraId="4EC9ECDA">
      <w:pPr>
        <w:widowControl/>
        <w:wordWrap w:val="0"/>
        <w:spacing w:line="480" w:lineRule="exact"/>
        <w:jc w:val="right"/>
        <w:rPr>
          <w:rFonts w:hint="eastAsia" w:ascii="宋体" w:hAnsi="宋体" w:eastAsia="宋体" w:cs="宋体"/>
          <w:color w:val="auto"/>
          <w:kern w:val="0"/>
          <w:sz w:val="24"/>
          <w:highlight w:val="none"/>
        </w:rPr>
      </w:pPr>
    </w:p>
    <w:p w14:paraId="137FFC23">
      <w:pPr>
        <w:widowControl/>
        <w:wordWrap w:val="0"/>
        <w:snapToGrid w:val="0"/>
        <w:spacing w:line="460" w:lineRule="exact"/>
        <w:ind w:firstLine="2760" w:firstLineChars="11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3C284A57">
      <w:pPr>
        <w:widowControl/>
        <w:wordWrap w:val="0"/>
        <w:spacing w:line="460" w:lineRule="exact"/>
        <w:ind w:left="3780" w:leftChars="180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    月    日</w:t>
      </w:r>
    </w:p>
    <w:p w14:paraId="06A5A9BF">
      <w:pPr>
        <w:rPr>
          <w:rFonts w:hint="eastAsia" w:ascii="宋体" w:hAnsi="宋体" w:eastAsia="宋体" w:cs="宋体"/>
          <w:color w:val="auto"/>
          <w:highlight w:val="none"/>
        </w:rPr>
      </w:pPr>
    </w:p>
    <w:p w14:paraId="24E0BC4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DDD2863">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9" w:name="_Toc13976"/>
      <w:bookmarkStart w:id="90" w:name="_Toc12939"/>
      <w:bookmarkStart w:id="91" w:name="_Toc30519"/>
      <w:r>
        <w:rPr>
          <w:rFonts w:hint="eastAsia" w:ascii="宋体" w:hAnsi="宋体" w:eastAsia="宋体" w:cs="宋体"/>
          <w:color w:val="auto"/>
          <w:sz w:val="28"/>
          <w:szCs w:val="28"/>
          <w:highlight w:val="none"/>
          <w:lang w:val="en-US" w:eastAsia="zh-CN"/>
        </w:rPr>
        <w:t>附件8         法定代表人授权书（格式）</w:t>
      </w:r>
      <w:bookmarkEnd w:id="89"/>
      <w:bookmarkEnd w:id="90"/>
      <w:bookmarkEnd w:id="91"/>
    </w:p>
    <w:p w14:paraId="26F37052">
      <w:pPr>
        <w:widowControl/>
        <w:tabs>
          <w:tab w:val="left" w:pos="420"/>
          <w:tab w:val="left" w:pos="2160"/>
        </w:tabs>
        <w:wordWrap w:val="0"/>
        <w:spacing w:line="460" w:lineRule="exact"/>
        <w:ind w:firstLine="480" w:firstLineChars="200"/>
        <w:jc w:val="left"/>
        <w:rPr>
          <w:rFonts w:hint="eastAsia" w:ascii="宋体" w:hAnsi="宋体" w:eastAsia="宋体" w:cs="宋体"/>
          <w:color w:val="auto"/>
          <w:kern w:val="0"/>
          <w:sz w:val="24"/>
          <w:highlight w:val="none"/>
        </w:rPr>
      </w:pPr>
    </w:p>
    <w:p w14:paraId="20CFE6F1">
      <w:pPr>
        <w:widowControl/>
        <w:wordWrap w:val="0"/>
        <w:snapToGrid w:val="0"/>
        <w:spacing w:line="460" w:lineRule="exact"/>
        <w:jc w:val="left"/>
        <w:rPr>
          <w:rFonts w:hint="eastAsia" w:ascii="宋体" w:hAnsi="宋体" w:eastAsia="宋体" w:cs="宋体"/>
          <w:b/>
          <w:bCs/>
          <w:color w:val="auto"/>
          <w:kern w:val="0"/>
          <w:sz w:val="24"/>
          <w:highlight w:val="none"/>
        </w:rPr>
      </w:pPr>
      <w:r>
        <w:rPr>
          <w:rFonts w:hint="eastAsia" w:ascii="宋体" w:hAnsi="宋体" w:eastAsia="宋体" w:cs="宋体"/>
          <w:bCs/>
          <w:color w:val="auto"/>
          <w:kern w:val="0"/>
          <w:sz w:val="24"/>
          <w:highlight w:val="none"/>
        </w:rPr>
        <w:t>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名称）：</w:t>
      </w:r>
    </w:p>
    <w:p w14:paraId="07D8310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 xml:space="preserve">名称）的法定代表人，现委托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（姓名）为我方代理人。代理人根据本授权，以我方的名义参加</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项目的投标活动，并代表我方全权办理针对上述项目的</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、开标、评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kern w:val="0"/>
          <w:sz w:val="24"/>
          <w:highlight w:val="none"/>
        </w:rPr>
        <w:t>、签约等具体事务和签署相关文件。</w:t>
      </w:r>
    </w:p>
    <w:p w14:paraId="3311EE7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14:paraId="2E14D7BF">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如果本次采购活动现场变更采购方式，本授权书有效。</w:t>
      </w:r>
    </w:p>
    <w:p w14:paraId="44AA202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代理人无转委托权。</w:t>
      </w:r>
    </w:p>
    <w:p w14:paraId="7CE853A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委托期限：</w:t>
      </w:r>
    </w:p>
    <w:p w14:paraId="409406BE">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p>
    <w:p w14:paraId="208D12AA">
      <w:pPr>
        <w:widowControl/>
        <w:wordWrap w:val="0"/>
        <w:snapToGrid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委托代理人签名：             法定代表人签名</w:t>
      </w:r>
      <w:r>
        <w:rPr>
          <w:rFonts w:hint="eastAsia" w:ascii="宋体" w:hAnsi="宋体" w:eastAsia="宋体" w:cs="宋体"/>
          <w:color w:val="auto"/>
          <w:kern w:val="0"/>
          <w:sz w:val="24"/>
          <w:highlight w:val="none"/>
          <w:lang w:val="en-US" w:eastAsia="zh-CN"/>
        </w:rPr>
        <w:t>或盖章</w:t>
      </w:r>
      <w:r>
        <w:rPr>
          <w:rFonts w:hint="eastAsia" w:ascii="宋体" w:hAnsi="宋体" w:eastAsia="宋体" w:cs="宋体"/>
          <w:color w:val="auto"/>
          <w:kern w:val="0"/>
          <w:sz w:val="24"/>
          <w:highlight w:val="none"/>
        </w:rPr>
        <w:t>：</w:t>
      </w:r>
    </w:p>
    <w:p w14:paraId="414CFA2B">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职务：                      职务：</w:t>
      </w:r>
    </w:p>
    <w:tbl>
      <w:tblPr>
        <w:tblStyle w:val="33"/>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tblGrid>
      <w:tr w14:paraId="6E7E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6780" w:type="dxa"/>
            <w:tcBorders>
              <w:top w:val="single" w:color="auto" w:sz="4" w:space="0"/>
              <w:left w:val="single" w:color="auto" w:sz="4" w:space="0"/>
              <w:bottom w:val="single" w:color="auto" w:sz="4" w:space="0"/>
              <w:right w:val="single" w:color="auto" w:sz="4" w:space="0"/>
            </w:tcBorders>
          </w:tcPr>
          <w:p w14:paraId="58C9EA2A">
            <w:pPr>
              <w:widowControl/>
              <w:spacing w:line="480" w:lineRule="exact"/>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此处请粘贴</w:t>
            </w:r>
            <w:r>
              <w:rPr>
                <w:rFonts w:hint="eastAsia" w:ascii="宋体" w:hAnsi="宋体" w:eastAsia="宋体" w:cs="宋体"/>
                <w:color w:val="auto"/>
                <w:kern w:val="0"/>
                <w:sz w:val="24"/>
                <w:highlight w:val="none"/>
              </w:rPr>
              <w:t>委托代理人</w:t>
            </w:r>
            <w:r>
              <w:rPr>
                <w:rFonts w:hint="eastAsia" w:ascii="宋体" w:hAnsi="宋体" w:eastAsia="宋体" w:cs="宋体"/>
                <w:bCs/>
                <w:color w:val="auto"/>
                <w:kern w:val="0"/>
                <w:sz w:val="24"/>
                <w:highlight w:val="none"/>
              </w:rPr>
              <w:t>身份证复印件</w:t>
            </w:r>
          </w:p>
        </w:tc>
      </w:tr>
    </w:tbl>
    <w:p w14:paraId="527C7F41">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委托代理人身份证号码：</w:t>
      </w:r>
    </w:p>
    <w:p w14:paraId="3F0C663B">
      <w:pPr>
        <w:widowControl/>
        <w:wordWrap w:val="0"/>
        <w:spacing w:line="460" w:lineRule="exact"/>
        <w:ind w:firstLine="4800" w:firstLineChars="2000"/>
        <w:jc w:val="left"/>
        <w:rPr>
          <w:rFonts w:hint="eastAsia" w:ascii="宋体" w:hAnsi="宋体" w:eastAsia="宋体" w:cs="宋体"/>
          <w:color w:val="auto"/>
          <w:kern w:val="0"/>
          <w:sz w:val="24"/>
          <w:highlight w:val="none"/>
        </w:rPr>
      </w:pPr>
    </w:p>
    <w:p w14:paraId="47490F48">
      <w:pPr>
        <w:widowControl/>
        <w:wordWrap w:val="0"/>
        <w:spacing w:line="360" w:lineRule="auto"/>
        <w:jc w:val="center"/>
        <w:rPr>
          <w:rFonts w:hint="eastAsia" w:ascii="宋体" w:hAnsi="宋体" w:eastAsia="宋体" w:cs="宋体"/>
          <w:color w:val="auto"/>
          <w:kern w:val="0"/>
          <w:sz w:val="24"/>
          <w:highlight w:val="none"/>
        </w:rPr>
      </w:pPr>
    </w:p>
    <w:p w14:paraId="10F674C3">
      <w:pPr>
        <w:widowControl/>
        <w:wordWrap w:val="0"/>
        <w:spacing w:line="360" w:lineRule="auto"/>
        <w:jc w:val="right"/>
        <w:rPr>
          <w:rFonts w:hint="eastAsia" w:ascii="宋体" w:hAnsi="宋体" w:eastAsia="宋体" w:cs="宋体"/>
          <w:color w:val="auto"/>
          <w:kern w:val="0"/>
          <w:sz w:val="24"/>
          <w:highlight w:val="none"/>
        </w:rPr>
      </w:pPr>
    </w:p>
    <w:p w14:paraId="64EEE987">
      <w:pPr>
        <w:widowControl/>
        <w:wordWrap w:val="0"/>
        <w:spacing w:line="360" w:lineRule="auto"/>
        <w:jc w:val="right"/>
        <w:rPr>
          <w:rFonts w:hint="eastAsia" w:ascii="宋体" w:hAnsi="宋体" w:eastAsia="宋体" w:cs="宋体"/>
          <w:color w:val="auto"/>
          <w:kern w:val="0"/>
          <w:sz w:val="24"/>
          <w:highlight w:val="none"/>
        </w:rPr>
      </w:pPr>
    </w:p>
    <w:p w14:paraId="1DA78FC1">
      <w:pPr>
        <w:widowControl/>
        <w:wordWrap w:val="0"/>
        <w:spacing w:line="360" w:lineRule="auto"/>
        <w:jc w:val="right"/>
        <w:rPr>
          <w:rFonts w:hint="eastAsia" w:ascii="宋体" w:hAnsi="宋体" w:eastAsia="宋体" w:cs="宋体"/>
          <w:color w:val="auto"/>
          <w:kern w:val="0"/>
          <w:sz w:val="24"/>
          <w:highlight w:val="none"/>
        </w:rPr>
      </w:pPr>
    </w:p>
    <w:p w14:paraId="03DDFB0A">
      <w:pPr>
        <w:widowControl/>
        <w:wordWrap w:val="0"/>
        <w:spacing w:line="360" w:lineRule="auto"/>
        <w:jc w:val="right"/>
        <w:rPr>
          <w:rFonts w:hint="eastAsia" w:ascii="宋体" w:hAnsi="宋体" w:eastAsia="宋体" w:cs="宋体"/>
          <w:color w:val="auto"/>
          <w:kern w:val="0"/>
          <w:sz w:val="24"/>
          <w:highlight w:val="none"/>
        </w:rPr>
      </w:pPr>
    </w:p>
    <w:p w14:paraId="44C38315">
      <w:pPr>
        <w:widowControl/>
        <w:wordWrap w:val="0"/>
        <w:spacing w:line="360" w:lineRule="auto"/>
        <w:jc w:val="right"/>
        <w:rPr>
          <w:rFonts w:hint="eastAsia" w:ascii="宋体" w:hAnsi="宋体" w:eastAsia="宋体" w:cs="宋体"/>
          <w:color w:val="auto"/>
          <w:kern w:val="0"/>
          <w:sz w:val="24"/>
          <w:highlight w:val="none"/>
        </w:rPr>
      </w:pPr>
    </w:p>
    <w:p w14:paraId="37BFC090">
      <w:pPr>
        <w:widowControl/>
        <w:wordWrap/>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65EA290B">
      <w:pPr>
        <w:widowControl/>
        <w:wordWrap w:val="0"/>
        <w:spacing w:line="460" w:lineRule="exact"/>
        <w:ind w:firstLine="3840" w:firstLineChars="1600"/>
        <w:jc w:val="left"/>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t>年    月    日</w:t>
      </w:r>
    </w:p>
    <w:p w14:paraId="6933104B">
      <w:pPr>
        <w:widowControl/>
        <w:spacing w:line="360" w:lineRule="auto"/>
        <w:ind w:firstLine="7228" w:firstLineChars="2250"/>
        <w:jc w:val="left"/>
        <w:rPr>
          <w:rFonts w:hint="eastAsia" w:ascii="宋体" w:hAnsi="宋体" w:eastAsia="宋体" w:cs="宋体"/>
          <w:b/>
          <w:color w:val="auto"/>
          <w:kern w:val="0"/>
          <w:sz w:val="32"/>
          <w:szCs w:val="32"/>
          <w:highlight w:val="none"/>
        </w:rPr>
      </w:pPr>
    </w:p>
    <w:p w14:paraId="04D315BF">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D24408E">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2" w:name="_Toc24693"/>
      <w:bookmarkStart w:id="93" w:name="_Toc18105"/>
      <w:bookmarkStart w:id="94" w:name="_Toc3342"/>
      <w:r>
        <w:rPr>
          <w:rFonts w:hint="eastAsia" w:ascii="宋体" w:hAnsi="宋体" w:eastAsia="宋体" w:cs="宋体"/>
          <w:color w:val="auto"/>
          <w:sz w:val="28"/>
          <w:szCs w:val="28"/>
          <w:highlight w:val="none"/>
          <w:lang w:val="en-US" w:eastAsia="zh-CN"/>
        </w:rPr>
        <w:t>附件9          证明文件</w:t>
      </w:r>
      <w:bookmarkEnd w:id="92"/>
      <w:bookmarkEnd w:id="93"/>
      <w:bookmarkEnd w:id="94"/>
    </w:p>
    <w:p w14:paraId="34A13265">
      <w:pPr>
        <w:pStyle w:val="10"/>
        <w:spacing w:beforeAutospacing="0" w:afterAutospacing="0" w:line="480" w:lineRule="auto"/>
        <w:ind w:firstLine="470" w:firstLineChars="224"/>
        <w:jc w:val="both"/>
        <w:rPr>
          <w:rFonts w:hint="eastAsia" w:cs="宋体"/>
          <w:bCs/>
          <w:color w:val="auto"/>
          <w:sz w:val="21"/>
          <w:szCs w:val="21"/>
          <w:highlight w:val="none"/>
          <w:lang w:val="en-US" w:eastAsia="zh-CN"/>
        </w:rPr>
      </w:pPr>
    </w:p>
    <w:p w14:paraId="644D293B">
      <w:pPr>
        <w:pStyle w:val="10"/>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cs="宋体"/>
          <w:b/>
          <w:bCs w:val="0"/>
          <w:color w:val="auto"/>
          <w:sz w:val="21"/>
          <w:szCs w:val="21"/>
          <w:highlight w:val="none"/>
          <w:lang w:val="en-US" w:eastAsia="zh-CN"/>
        </w:rPr>
        <w:t>9</w:t>
      </w:r>
      <w:r>
        <w:rPr>
          <w:rFonts w:hint="eastAsia" w:ascii="宋体" w:hAnsi="宋体" w:eastAsia="宋体" w:cs="宋体"/>
          <w:b/>
          <w:bCs w:val="0"/>
          <w:color w:val="auto"/>
          <w:sz w:val="21"/>
          <w:szCs w:val="21"/>
          <w:highlight w:val="none"/>
        </w:rPr>
        <w:t>.1</w:t>
      </w:r>
      <w:r>
        <w:rPr>
          <w:rFonts w:hint="eastAsia" w:ascii="宋体" w:hAnsi="宋体" w:eastAsia="宋体" w:cs="宋体"/>
          <w:b/>
          <w:bCs w:val="0"/>
          <w:color w:val="auto"/>
          <w:sz w:val="21"/>
          <w:szCs w:val="21"/>
          <w:highlight w:val="none"/>
          <w:lang w:val="en-US" w:eastAsia="zh-CN"/>
        </w:rPr>
        <w:t xml:space="preserve"> </w:t>
      </w:r>
      <w:r>
        <w:rPr>
          <w:rFonts w:hint="eastAsia" w:ascii="宋体" w:hAnsi="宋体" w:eastAsia="宋体" w:cs="宋体"/>
          <w:b/>
          <w:bCs w:val="0"/>
          <w:color w:val="auto"/>
          <w:sz w:val="21"/>
          <w:szCs w:val="21"/>
          <w:highlight w:val="none"/>
        </w:rPr>
        <w:t>资格审查资料</w:t>
      </w:r>
    </w:p>
    <w:p w14:paraId="091126FA">
      <w:pPr>
        <w:pStyle w:val="10"/>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02DCBE42">
      <w:pPr>
        <w:pStyle w:val="10"/>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00828F39">
      <w:pPr>
        <w:pStyle w:val="10"/>
        <w:spacing w:beforeAutospacing="0" w:afterAutospacing="0" w:line="480" w:lineRule="auto"/>
        <w:ind w:firstLine="472" w:firstLineChars="224"/>
        <w:jc w:val="both"/>
        <w:rPr>
          <w:rFonts w:hint="eastAsia" w:cs="宋体"/>
          <w:b/>
          <w:bCs w:val="0"/>
          <w:color w:val="auto"/>
          <w:sz w:val="21"/>
          <w:szCs w:val="21"/>
          <w:highlight w:val="none"/>
          <w:lang w:val="en-US" w:eastAsia="zh-CN"/>
        </w:rPr>
      </w:pPr>
      <w:r>
        <w:rPr>
          <w:rFonts w:hint="eastAsia" w:cs="宋体"/>
          <w:b/>
          <w:bCs w:val="0"/>
          <w:color w:val="auto"/>
          <w:sz w:val="21"/>
          <w:szCs w:val="21"/>
          <w:highlight w:val="none"/>
          <w:lang w:val="en-US" w:eastAsia="zh-CN"/>
        </w:rPr>
        <w:t>9</w:t>
      </w:r>
      <w:r>
        <w:rPr>
          <w:rFonts w:hint="eastAsia" w:ascii="宋体" w:hAnsi="宋体" w:eastAsia="宋体" w:cs="宋体"/>
          <w:b/>
          <w:bCs w:val="0"/>
          <w:color w:val="auto"/>
          <w:sz w:val="21"/>
          <w:szCs w:val="21"/>
          <w:highlight w:val="none"/>
          <w:lang w:val="en-US" w:eastAsia="zh-CN"/>
        </w:rPr>
        <w:t>.2</w:t>
      </w:r>
      <w:bookmarkStart w:id="95" w:name="_Toc17966"/>
      <w:r>
        <w:rPr>
          <w:rFonts w:hint="eastAsia" w:ascii="宋体" w:hAnsi="宋体" w:eastAsia="宋体" w:cs="宋体"/>
          <w:b/>
          <w:bCs w:val="0"/>
          <w:color w:val="auto"/>
          <w:sz w:val="21"/>
          <w:szCs w:val="21"/>
          <w:highlight w:val="none"/>
          <w:lang w:val="en-US" w:eastAsia="zh-CN"/>
        </w:rPr>
        <w:t>评分标准中需提供的</w:t>
      </w:r>
      <w:r>
        <w:rPr>
          <w:rFonts w:hint="eastAsia" w:cs="宋体"/>
          <w:b/>
          <w:bCs w:val="0"/>
          <w:color w:val="auto"/>
          <w:sz w:val="21"/>
          <w:szCs w:val="21"/>
          <w:highlight w:val="none"/>
          <w:lang w:val="en-US" w:eastAsia="zh-CN"/>
        </w:rPr>
        <w:t>相关</w:t>
      </w:r>
      <w:r>
        <w:rPr>
          <w:rFonts w:hint="eastAsia" w:ascii="宋体" w:hAnsi="宋体" w:eastAsia="宋体" w:cs="宋体"/>
          <w:b/>
          <w:bCs w:val="0"/>
          <w:color w:val="auto"/>
          <w:sz w:val="21"/>
          <w:szCs w:val="21"/>
          <w:highlight w:val="none"/>
          <w:lang w:val="en-US" w:eastAsia="zh-CN"/>
        </w:rPr>
        <w:t>材料</w:t>
      </w:r>
      <w:r>
        <w:rPr>
          <w:rFonts w:hint="eastAsia" w:cs="宋体"/>
          <w:b/>
          <w:bCs w:val="0"/>
          <w:color w:val="auto"/>
          <w:sz w:val="21"/>
          <w:szCs w:val="21"/>
          <w:highlight w:val="none"/>
          <w:lang w:val="en-US" w:eastAsia="zh-CN"/>
        </w:rPr>
        <w:t>、业绩等</w:t>
      </w:r>
    </w:p>
    <w:p w14:paraId="160AB2D8">
      <w:pPr>
        <w:pStyle w:val="10"/>
        <w:spacing w:beforeAutospacing="0" w:afterAutospacing="0" w:line="480" w:lineRule="auto"/>
        <w:ind w:firstLine="470" w:firstLineChars="224"/>
        <w:jc w:val="both"/>
        <w:rPr>
          <w:rFonts w:hint="eastAsia" w:cs="宋体"/>
          <w:bCs/>
          <w:color w:val="auto"/>
          <w:sz w:val="21"/>
          <w:szCs w:val="21"/>
          <w:highlight w:val="none"/>
          <w:lang w:val="en-US" w:eastAsia="zh-CN"/>
        </w:rPr>
      </w:pPr>
    </w:p>
    <w:p w14:paraId="5C1D60CF">
      <w:pPr>
        <w:pStyle w:val="10"/>
        <w:spacing w:beforeAutospacing="0" w:afterAutospacing="0" w:line="480" w:lineRule="auto"/>
        <w:ind w:firstLine="470" w:firstLineChars="224"/>
        <w:jc w:val="both"/>
        <w:rPr>
          <w:rFonts w:hint="eastAsia" w:cs="宋体"/>
          <w:bCs/>
          <w:color w:val="auto"/>
          <w:sz w:val="21"/>
          <w:szCs w:val="21"/>
          <w:highlight w:val="none"/>
          <w:lang w:val="en-US" w:eastAsia="zh-CN"/>
        </w:rPr>
      </w:pPr>
    </w:p>
    <w:p w14:paraId="401A2B52">
      <w:pPr>
        <w:pStyle w:val="10"/>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cs="宋体"/>
          <w:b/>
          <w:bCs w:val="0"/>
          <w:color w:val="auto"/>
          <w:sz w:val="21"/>
          <w:szCs w:val="21"/>
          <w:highlight w:val="none"/>
          <w:lang w:val="en-US" w:eastAsia="zh-CN"/>
        </w:rPr>
        <w:t>9</w:t>
      </w:r>
      <w:r>
        <w:rPr>
          <w:rFonts w:hint="eastAsia" w:ascii="宋体" w:hAnsi="宋体" w:eastAsia="宋体" w:cs="宋体"/>
          <w:b/>
          <w:bCs w:val="0"/>
          <w:color w:val="auto"/>
          <w:sz w:val="21"/>
          <w:szCs w:val="21"/>
          <w:highlight w:val="none"/>
        </w:rPr>
        <w:t>.</w:t>
      </w:r>
      <w:r>
        <w:rPr>
          <w:rFonts w:hint="eastAsia" w:cs="宋体"/>
          <w:b/>
          <w:bCs w:val="0"/>
          <w:color w:val="auto"/>
          <w:sz w:val="21"/>
          <w:szCs w:val="21"/>
          <w:highlight w:val="none"/>
          <w:lang w:val="en-US" w:eastAsia="zh-CN"/>
        </w:rPr>
        <w:t>3</w:t>
      </w:r>
      <w:r>
        <w:rPr>
          <w:rFonts w:hint="eastAsia" w:ascii="宋体" w:hAnsi="宋体" w:eastAsia="宋体" w:cs="宋体"/>
          <w:b/>
          <w:bCs w:val="0"/>
          <w:color w:val="auto"/>
          <w:sz w:val="21"/>
          <w:szCs w:val="21"/>
          <w:highlight w:val="none"/>
          <w:lang w:val="en-US" w:eastAsia="zh-CN"/>
        </w:rPr>
        <w:t>供应商认为其他需要提供的证明材料</w:t>
      </w:r>
      <w:r>
        <w:rPr>
          <w:rFonts w:hint="eastAsia" w:ascii="宋体" w:hAnsi="宋体" w:eastAsia="宋体" w:cs="宋体"/>
          <w:b/>
          <w:bCs w:val="0"/>
          <w:color w:val="auto"/>
          <w:sz w:val="21"/>
          <w:szCs w:val="21"/>
          <w:highlight w:val="none"/>
        </w:rPr>
        <w:t>。</w:t>
      </w:r>
    </w:p>
    <w:p w14:paraId="38997C36">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63B9045E">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0CF185C0">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5A38418C">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6EE51B98">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4DBE70D8">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45048D1C">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4FD293BC">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2AFAC9D1">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0629ABF5">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66177CA2">
      <w:pPr>
        <w:rPr>
          <w:rFonts w:hint="eastAsia" w:ascii="宋体" w:hAnsi="宋体" w:eastAsia="宋体" w:cs="宋体"/>
          <w:color w:val="auto"/>
          <w:sz w:val="28"/>
          <w:szCs w:val="28"/>
          <w:highlight w:val="none"/>
          <w:lang w:val="en-US" w:eastAsia="zh-CN"/>
        </w:rPr>
      </w:pPr>
      <w:bookmarkStart w:id="96" w:name="_Toc16083"/>
      <w:bookmarkStart w:id="97" w:name="_Toc13726"/>
      <w:bookmarkStart w:id="98" w:name="_Toc12888"/>
      <w:r>
        <w:rPr>
          <w:rFonts w:hint="eastAsia" w:ascii="宋体" w:hAnsi="宋体" w:eastAsia="宋体" w:cs="宋体"/>
          <w:color w:val="auto"/>
          <w:sz w:val="28"/>
          <w:szCs w:val="28"/>
          <w:highlight w:val="none"/>
          <w:lang w:val="en-US" w:eastAsia="zh-CN"/>
        </w:rPr>
        <w:br w:type="page"/>
      </w:r>
    </w:p>
    <w:p w14:paraId="3BB81C13">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附件10      </w:t>
      </w:r>
      <w:bookmarkEnd w:id="95"/>
      <w:r>
        <w:rPr>
          <w:rFonts w:hint="eastAsia" w:ascii="宋体" w:hAnsi="宋体" w:eastAsia="宋体" w:cs="宋体"/>
          <w:color w:val="auto"/>
          <w:sz w:val="28"/>
          <w:szCs w:val="28"/>
          <w:highlight w:val="none"/>
          <w:lang w:val="en-US" w:eastAsia="zh-CN"/>
        </w:rPr>
        <w:t>供 应 商 承 诺 书 （格式）</w:t>
      </w:r>
      <w:bookmarkEnd w:id="96"/>
      <w:bookmarkEnd w:id="97"/>
      <w:bookmarkEnd w:id="98"/>
    </w:p>
    <w:p w14:paraId="02DAF775">
      <w:pPr>
        <w:bidi w:val="0"/>
        <w:rPr>
          <w:rFonts w:hint="eastAsia" w:ascii="宋体" w:hAnsi="宋体" w:eastAsia="宋体" w:cs="宋体"/>
          <w:color w:val="auto"/>
          <w:highlight w:val="none"/>
        </w:rPr>
      </w:pPr>
    </w:p>
    <w:p w14:paraId="068327A4">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我院（以下简称甲方）组织的本次采购，在遵守《政府采购法》、《</w:t>
      </w:r>
      <w:r>
        <w:rPr>
          <w:rFonts w:hint="eastAsia" w:ascii="宋体" w:hAnsi="宋体"/>
          <w:color w:val="auto"/>
          <w:kern w:val="0"/>
          <w:sz w:val="21"/>
          <w:szCs w:val="21"/>
          <w:highlight w:val="none"/>
        </w:rPr>
        <w:t>中华人民共和国民法典</w:t>
      </w:r>
      <w:r>
        <w:rPr>
          <w:rFonts w:hint="eastAsia" w:ascii="宋体" w:hAnsi="宋体" w:eastAsia="宋体" w:cs="宋体"/>
          <w:color w:val="auto"/>
          <w:sz w:val="21"/>
          <w:szCs w:val="21"/>
          <w:highlight w:val="none"/>
        </w:rPr>
        <w:t>》、《反不正当竞争法》和《关于推进招投标监督领域诚信建设的意见》等法律法规的基础上，要求贵方（以下简称乙方）做出如下承诺：</w:t>
      </w:r>
    </w:p>
    <w:p w14:paraId="0C418C4C">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1、遵循公开、公平、公正和诚实信用的原则自愿参加，所提供的一切材料真实、有效、合法。</w:t>
      </w:r>
    </w:p>
    <w:p w14:paraId="4ADAE269">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2、遵守甲方采购纪律，诚实守信地为甲方提供安全可靠的服务及相关技术，保证</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质量并主动做好售后服务工作。</w:t>
      </w:r>
    </w:p>
    <w:p w14:paraId="25862B72">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3、杜绝利用提供财物或给予其他不正当利益谋取中标的不良行为。</w:t>
      </w:r>
    </w:p>
    <w:p w14:paraId="54B1AF16">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4、不发生其他任何可能影响甲方工作人员公正执行公务或者职务廉洁的行为。</w:t>
      </w:r>
    </w:p>
    <w:p w14:paraId="545BED46">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5、不参与串标、围标或其他不正当竞争行为；杜绝以虚报资质、业绩或其他弄虚作假等方式骗取中标。</w:t>
      </w:r>
    </w:p>
    <w:p w14:paraId="4A8907A2">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6、响应时，杜绝擅自修改</w:t>
      </w:r>
      <w:r>
        <w:rPr>
          <w:rFonts w:hint="eastAsia" w:ascii="宋体" w:hAnsi="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或技术标准（包括差异表）技术配置的行为。</w:t>
      </w:r>
    </w:p>
    <w:p w14:paraId="0F6AC67C">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7、严格按照采购、</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文件要求签订合同，不违反法律无故拒签合同，不签订背离合同（或技术协议书）实质性内容的协议。</w:t>
      </w:r>
    </w:p>
    <w:p w14:paraId="4F121AA1">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p>
    <w:p w14:paraId="330FDCCA">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公司名称</w:t>
      </w:r>
      <w:r>
        <w:rPr>
          <w:rFonts w:hint="eastAsia" w:ascii="宋体" w:hAnsi="宋体" w:eastAsia="宋体" w:cs="宋体"/>
          <w:color w:val="auto"/>
          <w:sz w:val="21"/>
          <w:szCs w:val="21"/>
          <w:highlight w:val="none"/>
        </w:rPr>
        <w:t xml:space="preserve">）：               </w:t>
      </w:r>
    </w:p>
    <w:p w14:paraId="340B8D12">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法定代表人或委托人（签字或盖章）：                   年   月   日</w:t>
      </w:r>
    </w:p>
    <w:p w14:paraId="6CCC32DA">
      <w:pPr>
        <w:widowControl/>
        <w:spacing w:line="360" w:lineRule="auto"/>
        <w:ind w:firstLine="4305" w:firstLineChars="2050"/>
        <w:jc w:val="left"/>
        <w:rPr>
          <w:rFonts w:hint="eastAsia" w:ascii="宋体" w:hAnsi="宋体" w:eastAsia="宋体" w:cs="宋体"/>
          <w:color w:val="auto"/>
          <w:kern w:val="0"/>
          <w:szCs w:val="21"/>
          <w:highlight w:val="none"/>
        </w:rPr>
      </w:pPr>
    </w:p>
    <w:p w14:paraId="2B1C72AF">
      <w:pPr>
        <w:pStyle w:val="32"/>
        <w:rPr>
          <w:rFonts w:hint="eastAsia" w:ascii="宋体" w:hAnsi="宋体" w:eastAsia="宋体" w:cs="宋体"/>
          <w:color w:val="auto"/>
          <w:kern w:val="0"/>
          <w:szCs w:val="21"/>
          <w:highlight w:val="none"/>
        </w:rPr>
        <w:sectPr>
          <w:pgSz w:w="11906" w:h="16838"/>
          <w:pgMar w:top="1417" w:right="1474" w:bottom="1417" w:left="1474" w:header="851" w:footer="624" w:gutter="0"/>
          <w:pgNumType w:fmt="decimal"/>
          <w:cols w:space="720" w:num="1"/>
          <w:docGrid w:type="lines" w:linePitch="319" w:charSpace="0"/>
        </w:sectPr>
      </w:pPr>
    </w:p>
    <w:p w14:paraId="5CAC53F3">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附件11     供应商信用承诺函（格式）</w:t>
      </w:r>
    </w:p>
    <w:p w14:paraId="11D54CC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致（采购人或政府采购代理机构）：</w:t>
      </w:r>
    </w:p>
    <w:p w14:paraId="5B15E3F4">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单位名称（自然人姓名）：</w:t>
      </w:r>
    </w:p>
    <w:p w14:paraId="796876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统一社会信用代码（身份证号码）：</w:t>
      </w:r>
    </w:p>
    <w:p w14:paraId="571F940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法定代表人（负责人）：</w:t>
      </w:r>
    </w:p>
    <w:p w14:paraId="35ABFF3F">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联系地址和电话：</w:t>
      </w:r>
    </w:p>
    <w:p w14:paraId="55C26F3B">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76CA75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（一）具有独立承担民事责任的能力；</w:t>
      </w:r>
    </w:p>
    <w:p w14:paraId="0CBDAC0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（二）具有良好的商业信誉和健全的财务会计制度；</w:t>
      </w:r>
    </w:p>
    <w:p w14:paraId="2394BAF5">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（三）具有履行合同所必需的设备和专业技术能力；</w:t>
      </w:r>
    </w:p>
    <w:p w14:paraId="2ABB3196">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（四）有依法缴纳税收和社会保障资金的良好记录；</w:t>
      </w:r>
    </w:p>
    <w:p w14:paraId="465F180E">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（五）参加政府采购活动前三年内，在经营活动中没有重大违法记录；</w:t>
      </w:r>
    </w:p>
    <w:p w14:paraId="2A428F7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（六）未被列入严重失信主体名单、失信被执行人、税收违法黑名单、政府采购严重违法失信行为记录名单，未曾作出虚假承诺；</w:t>
      </w:r>
    </w:p>
    <w:p w14:paraId="28C5766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（七）符合法律、行政法规规定的其他条件。</w:t>
      </w:r>
    </w:p>
    <w:p w14:paraId="281F3A9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我单位（本人）保证上述承诺事项的真实性，如有弄虚作假或其他违法违规行为，愿意承担一切法律责任，并承担因此所造成的一切损失。</w:t>
      </w:r>
    </w:p>
    <w:p w14:paraId="5D94361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7D8C474A">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供应商名称（盖章）：</w:t>
      </w:r>
    </w:p>
    <w:p w14:paraId="6B3DF1A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法定代表人、负责人、自然人或授权代表(签字或盖章)：</w:t>
      </w:r>
    </w:p>
    <w:p w14:paraId="50178CB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       年      月       日</w:t>
      </w:r>
    </w:p>
    <w:p w14:paraId="5A75BB3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19ACDF2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3D986FD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注：1.供应商须在投标（响应性）文件中按此模板提供承诺函，未提供视为未实质性响应招标文件要求，按无效投标（响应）处理。</w:t>
      </w:r>
    </w:p>
    <w:p w14:paraId="10787DD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2.供应商的法定代表人或者授权代表的签字或盖章应真实、有效，如由授权代表签字或盖章的，应提供“法定代表人授权书”。</w:t>
      </w:r>
    </w:p>
    <w:p w14:paraId="76231F70">
      <w:pPr>
        <w:pStyle w:val="10"/>
        <w:spacing w:beforeAutospacing="0" w:afterAutospacing="0" w:line="460" w:lineRule="atLeast"/>
        <w:jc w:val="both"/>
        <w:rPr>
          <w:rFonts w:hint="eastAsia" w:ascii="宋体" w:hAnsi="宋体" w:eastAsia="宋体" w:cs="宋体"/>
          <w:b/>
          <w:bCs/>
          <w:color w:val="auto"/>
          <w:sz w:val="28"/>
          <w:szCs w:val="28"/>
          <w:highlight w:val="none"/>
        </w:rPr>
        <w:sectPr>
          <w:pgSz w:w="11906" w:h="16838"/>
          <w:pgMar w:top="1417" w:right="1474" w:bottom="1417" w:left="1474" w:header="851" w:footer="624" w:gutter="0"/>
          <w:pgNumType w:fmt="decimal"/>
          <w:cols w:space="720" w:num="1"/>
          <w:docGrid w:type="lines" w:linePitch="319" w:charSpace="0"/>
        </w:sectPr>
      </w:pPr>
    </w:p>
    <w:p w14:paraId="36FCA787">
      <w:pPr>
        <w:bidi w:val="0"/>
        <w:rPr>
          <w:rFonts w:hint="eastAsia" w:ascii="宋体" w:hAnsi="宋体" w:eastAsia="宋体" w:cs="宋体"/>
          <w:color w:val="auto"/>
          <w:highlight w:val="none"/>
          <w:lang w:eastAsia="zh-CN"/>
        </w:rPr>
      </w:pPr>
      <w:bookmarkStart w:id="99" w:name="_Toc31685"/>
      <w:bookmarkStart w:id="100" w:name="_Toc23394"/>
      <w:bookmarkStart w:id="101" w:name="_Toc25094"/>
    </w:p>
    <w:p w14:paraId="24DE6E54">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rPr>
      </w:pPr>
      <w:r>
        <w:rPr>
          <w:rFonts w:hint="eastAsia" w:ascii="宋体" w:hAnsi="宋体" w:eastAsia="宋体" w:cs="宋体"/>
          <w:color w:val="auto"/>
          <w:lang w:eastAsia="zh-CN"/>
        </w:rPr>
        <w:t>供应商</w:t>
      </w:r>
      <w:r>
        <w:rPr>
          <w:rFonts w:hint="eastAsia" w:ascii="宋体" w:hAnsi="宋体" w:eastAsia="宋体" w:cs="宋体"/>
          <w:color w:val="auto"/>
        </w:rPr>
        <w:t>认为有必要的其他资料</w:t>
      </w:r>
      <w:bookmarkEnd w:id="99"/>
      <w:bookmarkEnd w:id="100"/>
      <w:bookmarkEnd w:id="101"/>
    </w:p>
    <w:p w14:paraId="6AA68725">
      <w:pPr>
        <w:widowControl/>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备注：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应当仔细核对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中有关废标条款和评</w:t>
      </w:r>
      <w:r>
        <w:rPr>
          <w:rFonts w:hint="eastAsia" w:ascii="宋体" w:hAnsi="宋体" w:cs="宋体"/>
          <w:color w:val="auto"/>
          <w:kern w:val="0"/>
          <w:szCs w:val="21"/>
          <w:highlight w:val="none"/>
          <w:lang w:val="en-US" w:eastAsia="zh-CN"/>
        </w:rPr>
        <w:t>审</w:t>
      </w:r>
      <w:r>
        <w:rPr>
          <w:rFonts w:hint="eastAsia" w:ascii="宋体" w:hAnsi="宋体" w:eastAsia="宋体" w:cs="宋体"/>
          <w:color w:val="auto"/>
          <w:kern w:val="0"/>
          <w:szCs w:val="21"/>
          <w:highlight w:val="none"/>
        </w:rPr>
        <w:t>标准，提供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认为应当附加的其它内容，以充分证明其投标符合</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规定，并为评</w:t>
      </w:r>
      <w:r>
        <w:rPr>
          <w:rFonts w:hint="eastAsia" w:ascii="宋体" w:hAnsi="宋体" w:cs="宋体"/>
          <w:color w:val="auto"/>
          <w:kern w:val="0"/>
          <w:szCs w:val="21"/>
          <w:highlight w:val="none"/>
          <w:lang w:val="en-US" w:eastAsia="zh-CN"/>
        </w:rPr>
        <w:t>审</w:t>
      </w:r>
      <w:r>
        <w:rPr>
          <w:rFonts w:hint="eastAsia" w:ascii="宋体" w:hAnsi="宋体" w:eastAsia="宋体" w:cs="宋体"/>
          <w:color w:val="auto"/>
          <w:kern w:val="0"/>
          <w:szCs w:val="21"/>
          <w:highlight w:val="none"/>
        </w:rPr>
        <w:t>提供充分依据。如果</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未能提供相关证明文件，将有可能导致废标或者无法得分。</w:t>
      </w:r>
    </w:p>
    <w:p w14:paraId="2406CF5D">
      <w:pPr>
        <w:pStyle w:val="10"/>
        <w:spacing w:beforeAutospacing="0" w:afterAutospacing="0" w:line="460" w:lineRule="atLeast"/>
        <w:jc w:val="both"/>
        <w:rPr>
          <w:rFonts w:hint="eastAsia" w:ascii="宋体" w:hAnsi="宋体" w:eastAsia="宋体" w:cs="宋体"/>
          <w:b/>
          <w:bCs/>
          <w:color w:val="auto"/>
          <w:sz w:val="28"/>
          <w:szCs w:val="28"/>
          <w:highlight w:val="none"/>
        </w:rPr>
      </w:pPr>
    </w:p>
    <w:sectPr>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20089">
    <w:pPr>
      <w:pStyle w:val="22"/>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2EF6B5B">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14:paraId="62EF6B5B">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ABC57">
    <w:pPr>
      <w:pStyle w:val="22"/>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7922D42A">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fZpqzUAAAABAEAAA8AAAAAAAAAAQAgAAAAIgAAAGRycy9kb3ducmV2LnhtbFBLAQIUABQA&#10;AAAIAIdO4kD24QW7uwEAAHQDAAAOAAAAAAAAAAEAIAAAACMBAABkcnMvZTJvRG9jLnhtbFBLBQYA&#10;AAAABgAGAFkBAABQBQAAAAA=&#10;">
              <v:fill on="f" focussize="0,0"/>
              <v:stroke on="f"/>
              <v:imagedata o:title=""/>
              <o:lock v:ext="edit" aspectratio="f"/>
              <v:textbox inset="0mm,0mm,0mm,0mm">
                <w:txbxContent>
                  <w:p w14:paraId="7922D42A">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00536A9D">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1D8B">
    <w:pPr>
      <w:pStyle w:val="24"/>
      <w:jc w:val="right"/>
      <w:rPr>
        <w:rFonts w:hint="eastAsia"/>
      </w:rPr>
    </w:pPr>
    <w:r>
      <w:rPr>
        <w:rFonts w:hint="eastAsia" w:ascii="宋体" w:hAnsi="宋体" w:cs="宋体"/>
        <w:color w:val="auto"/>
        <w:szCs w:val="21"/>
        <w:highlight w:val="none"/>
        <w:u w:val="none"/>
        <w:shd w:val="clear" w:color="auto" w:fill="FFFFFF"/>
        <w:lang w:val="en-US" w:eastAsia="zh-CN"/>
      </w:rPr>
      <w:t>全院水泵维修更换及保养竞争性磋商文件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954FB"/>
    <w:multiLevelType w:val="singleLevel"/>
    <w:tmpl w:val="E8A954FB"/>
    <w:lvl w:ilvl="0" w:tentative="0">
      <w:start w:val="1"/>
      <w:numFmt w:val="decimal"/>
      <w:suff w:val="nothing"/>
      <w:lvlText w:val="%1、"/>
      <w:lvlJc w:val="left"/>
    </w:lvl>
  </w:abstractNum>
  <w:abstractNum w:abstractNumId="1">
    <w:nsid w:val="59B6410A"/>
    <w:multiLevelType w:val="singleLevel"/>
    <w:tmpl w:val="59B6410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ZTMwNmMyMDcwMThhNDM2NzZhZjYxYzY5Y2VkNzQ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1344"/>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3F46"/>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4795"/>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46918"/>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5500"/>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0D7DD7"/>
    <w:rsid w:val="01146397"/>
    <w:rsid w:val="011E110B"/>
    <w:rsid w:val="01525212"/>
    <w:rsid w:val="01564054"/>
    <w:rsid w:val="015C0A67"/>
    <w:rsid w:val="01745FBF"/>
    <w:rsid w:val="017E6D95"/>
    <w:rsid w:val="01830099"/>
    <w:rsid w:val="018D0058"/>
    <w:rsid w:val="01976717"/>
    <w:rsid w:val="01D715BE"/>
    <w:rsid w:val="01EB45BC"/>
    <w:rsid w:val="01F04981"/>
    <w:rsid w:val="01F9035B"/>
    <w:rsid w:val="01FA63A5"/>
    <w:rsid w:val="02011C7D"/>
    <w:rsid w:val="02035523"/>
    <w:rsid w:val="021C6E40"/>
    <w:rsid w:val="02222FF2"/>
    <w:rsid w:val="023615AF"/>
    <w:rsid w:val="02384FF4"/>
    <w:rsid w:val="023B5157"/>
    <w:rsid w:val="023D0B8F"/>
    <w:rsid w:val="023F67A9"/>
    <w:rsid w:val="0247575A"/>
    <w:rsid w:val="025235B1"/>
    <w:rsid w:val="0262674D"/>
    <w:rsid w:val="02747B01"/>
    <w:rsid w:val="027619AC"/>
    <w:rsid w:val="02890D36"/>
    <w:rsid w:val="02B97DFD"/>
    <w:rsid w:val="02C866AB"/>
    <w:rsid w:val="02CB7F49"/>
    <w:rsid w:val="02D92EF7"/>
    <w:rsid w:val="02DA4630"/>
    <w:rsid w:val="02DA4665"/>
    <w:rsid w:val="02F40325"/>
    <w:rsid w:val="02F70D3E"/>
    <w:rsid w:val="02FA082F"/>
    <w:rsid w:val="031126C4"/>
    <w:rsid w:val="033124A2"/>
    <w:rsid w:val="034733B8"/>
    <w:rsid w:val="03475E56"/>
    <w:rsid w:val="034877EC"/>
    <w:rsid w:val="0353518A"/>
    <w:rsid w:val="035E4919"/>
    <w:rsid w:val="0362419F"/>
    <w:rsid w:val="03675F31"/>
    <w:rsid w:val="036A009A"/>
    <w:rsid w:val="037A734D"/>
    <w:rsid w:val="03844805"/>
    <w:rsid w:val="03845791"/>
    <w:rsid w:val="03A011E9"/>
    <w:rsid w:val="03AE7F27"/>
    <w:rsid w:val="03BD2BCD"/>
    <w:rsid w:val="03CC058D"/>
    <w:rsid w:val="03E017D2"/>
    <w:rsid w:val="03F447E2"/>
    <w:rsid w:val="03F77068"/>
    <w:rsid w:val="03FB660C"/>
    <w:rsid w:val="042E37DB"/>
    <w:rsid w:val="04416C20"/>
    <w:rsid w:val="04732647"/>
    <w:rsid w:val="047968B1"/>
    <w:rsid w:val="04870542"/>
    <w:rsid w:val="04B30F7A"/>
    <w:rsid w:val="050B6D23"/>
    <w:rsid w:val="050E236F"/>
    <w:rsid w:val="054C0111"/>
    <w:rsid w:val="05545DD3"/>
    <w:rsid w:val="05574DA8"/>
    <w:rsid w:val="056E2AD6"/>
    <w:rsid w:val="05720B50"/>
    <w:rsid w:val="05806815"/>
    <w:rsid w:val="058251D3"/>
    <w:rsid w:val="058C28F1"/>
    <w:rsid w:val="05945CCE"/>
    <w:rsid w:val="059D05A4"/>
    <w:rsid w:val="059D5E17"/>
    <w:rsid w:val="059E1E1A"/>
    <w:rsid w:val="05AB0A28"/>
    <w:rsid w:val="05AB0F81"/>
    <w:rsid w:val="05B93D6B"/>
    <w:rsid w:val="05C23EEE"/>
    <w:rsid w:val="05CA4074"/>
    <w:rsid w:val="05D53002"/>
    <w:rsid w:val="05D75738"/>
    <w:rsid w:val="05EB110D"/>
    <w:rsid w:val="05EB4481"/>
    <w:rsid w:val="05F17CC7"/>
    <w:rsid w:val="061E7D14"/>
    <w:rsid w:val="0624009C"/>
    <w:rsid w:val="06446B44"/>
    <w:rsid w:val="06560AED"/>
    <w:rsid w:val="066469C9"/>
    <w:rsid w:val="066646A1"/>
    <w:rsid w:val="066E164D"/>
    <w:rsid w:val="068E7B23"/>
    <w:rsid w:val="06983B20"/>
    <w:rsid w:val="069A3B66"/>
    <w:rsid w:val="06A869D6"/>
    <w:rsid w:val="06A9264E"/>
    <w:rsid w:val="06B31420"/>
    <w:rsid w:val="06B91765"/>
    <w:rsid w:val="06CA2AD2"/>
    <w:rsid w:val="06CB0D68"/>
    <w:rsid w:val="06CE3071"/>
    <w:rsid w:val="06D33DBA"/>
    <w:rsid w:val="06D73361"/>
    <w:rsid w:val="06E13F9F"/>
    <w:rsid w:val="06FB0AC5"/>
    <w:rsid w:val="06FE7278"/>
    <w:rsid w:val="070D2D5D"/>
    <w:rsid w:val="07104A12"/>
    <w:rsid w:val="07111B8D"/>
    <w:rsid w:val="072916E2"/>
    <w:rsid w:val="072C5514"/>
    <w:rsid w:val="0737768A"/>
    <w:rsid w:val="0748003D"/>
    <w:rsid w:val="074A5B92"/>
    <w:rsid w:val="0757624F"/>
    <w:rsid w:val="075D0147"/>
    <w:rsid w:val="075E3193"/>
    <w:rsid w:val="078E18EB"/>
    <w:rsid w:val="07AA2823"/>
    <w:rsid w:val="07B02D9F"/>
    <w:rsid w:val="07B10EA5"/>
    <w:rsid w:val="07C510CB"/>
    <w:rsid w:val="07CD6512"/>
    <w:rsid w:val="07CE3FA1"/>
    <w:rsid w:val="07D4095D"/>
    <w:rsid w:val="07EC2ECB"/>
    <w:rsid w:val="07FE66CB"/>
    <w:rsid w:val="080B4D47"/>
    <w:rsid w:val="081B727D"/>
    <w:rsid w:val="081D2FF5"/>
    <w:rsid w:val="08321601"/>
    <w:rsid w:val="08326375"/>
    <w:rsid w:val="083D5C91"/>
    <w:rsid w:val="0847191F"/>
    <w:rsid w:val="08591DC3"/>
    <w:rsid w:val="085B58CB"/>
    <w:rsid w:val="08621F15"/>
    <w:rsid w:val="08672793"/>
    <w:rsid w:val="08695E80"/>
    <w:rsid w:val="087B41C0"/>
    <w:rsid w:val="087C4541"/>
    <w:rsid w:val="087E5595"/>
    <w:rsid w:val="08BC0A60"/>
    <w:rsid w:val="08C52D6F"/>
    <w:rsid w:val="08E42BE4"/>
    <w:rsid w:val="08EF0201"/>
    <w:rsid w:val="08F41DE8"/>
    <w:rsid w:val="08FA3336"/>
    <w:rsid w:val="093D1475"/>
    <w:rsid w:val="094840A2"/>
    <w:rsid w:val="09523172"/>
    <w:rsid w:val="09644C54"/>
    <w:rsid w:val="09737462"/>
    <w:rsid w:val="099156C3"/>
    <w:rsid w:val="09A33F5B"/>
    <w:rsid w:val="09A53F39"/>
    <w:rsid w:val="09A60E13"/>
    <w:rsid w:val="09A82D92"/>
    <w:rsid w:val="09AB2883"/>
    <w:rsid w:val="09B71227"/>
    <w:rsid w:val="09BC4A90"/>
    <w:rsid w:val="09CD0A4B"/>
    <w:rsid w:val="09D206F0"/>
    <w:rsid w:val="0A321AC2"/>
    <w:rsid w:val="0A343D4E"/>
    <w:rsid w:val="0A344626"/>
    <w:rsid w:val="0A3E6D2E"/>
    <w:rsid w:val="0A4232E4"/>
    <w:rsid w:val="0A4F145F"/>
    <w:rsid w:val="0A5D1DCF"/>
    <w:rsid w:val="0A8455AD"/>
    <w:rsid w:val="0A8729A8"/>
    <w:rsid w:val="0AD13A85"/>
    <w:rsid w:val="0AE0655C"/>
    <w:rsid w:val="0B091954"/>
    <w:rsid w:val="0B195776"/>
    <w:rsid w:val="0B1A7CC0"/>
    <w:rsid w:val="0B34773E"/>
    <w:rsid w:val="0B3B7D65"/>
    <w:rsid w:val="0B3C7C36"/>
    <w:rsid w:val="0B434C20"/>
    <w:rsid w:val="0B5F0822"/>
    <w:rsid w:val="0B637D77"/>
    <w:rsid w:val="0B7006C4"/>
    <w:rsid w:val="0B726646"/>
    <w:rsid w:val="0B7606E8"/>
    <w:rsid w:val="0B7F7B23"/>
    <w:rsid w:val="0B8B471A"/>
    <w:rsid w:val="0B924545"/>
    <w:rsid w:val="0BAC324F"/>
    <w:rsid w:val="0BB40DF1"/>
    <w:rsid w:val="0BC11EE9"/>
    <w:rsid w:val="0BF16C73"/>
    <w:rsid w:val="0BF72F1E"/>
    <w:rsid w:val="0C0A7D34"/>
    <w:rsid w:val="0C14470F"/>
    <w:rsid w:val="0C230DF6"/>
    <w:rsid w:val="0C3152C1"/>
    <w:rsid w:val="0C3957A5"/>
    <w:rsid w:val="0C507E2F"/>
    <w:rsid w:val="0C600D66"/>
    <w:rsid w:val="0C626DA7"/>
    <w:rsid w:val="0C6876AE"/>
    <w:rsid w:val="0C71390F"/>
    <w:rsid w:val="0C720EC8"/>
    <w:rsid w:val="0C942042"/>
    <w:rsid w:val="0C9D50DC"/>
    <w:rsid w:val="0CA5271D"/>
    <w:rsid w:val="0CAC4D10"/>
    <w:rsid w:val="0CC53C5B"/>
    <w:rsid w:val="0CC72121"/>
    <w:rsid w:val="0CEE5A21"/>
    <w:rsid w:val="0D05268E"/>
    <w:rsid w:val="0D0646E7"/>
    <w:rsid w:val="0D0C38CA"/>
    <w:rsid w:val="0D206810"/>
    <w:rsid w:val="0D444B80"/>
    <w:rsid w:val="0D474670"/>
    <w:rsid w:val="0D4861FD"/>
    <w:rsid w:val="0D735465"/>
    <w:rsid w:val="0D9D64FE"/>
    <w:rsid w:val="0DBE37FF"/>
    <w:rsid w:val="0DC577E0"/>
    <w:rsid w:val="0DDC6319"/>
    <w:rsid w:val="0DE1181F"/>
    <w:rsid w:val="0DF96A5F"/>
    <w:rsid w:val="0DFA5B87"/>
    <w:rsid w:val="0DFE4F67"/>
    <w:rsid w:val="0E0C0D4C"/>
    <w:rsid w:val="0E115DA1"/>
    <w:rsid w:val="0E1409F6"/>
    <w:rsid w:val="0E162D6D"/>
    <w:rsid w:val="0E460DCC"/>
    <w:rsid w:val="0E541CA2"/>
    <w:rsid w:val="0E576B35"/>
    <w:rsid w:val="0E594756"/>
    <w:rsid w:val="0E95596D"/>
    <w:rsid w:val="0EAE6205"/>
    <w:rsid w:val="0EAE6579"/>
    <w:rsid w:val="0EAF71BF"/>
    <w:rsid w:val="0EC95C85"/>
    <w:rsid w:val="0ECE6257"/>
    <w:rsid w:val="0EE4129D"/>
    <w:rsid w:val="0F171032"/>
    <w:rsid w:val="0F335E69"/>
    <w:rsid w:val="0F372614"/>
    <w:rsid w:val="0F3D59C9"/>
    <w:rsid w:val="0F516D5A"/>
    <w:rsid w:val="0F565B36"/>
    <w:rsid w:val="0F684933"/>
    <w:rsid w:val="0F6E2388"/>
    <w:rsid w:val="0F73799F"/>
    <w:rsid w:val="0F76123D"/>
    <w:rsid w:val="0F821E7D"/>
    <w:rsid w:val="0FC91CB4"/>
    <w:rsid w:val="0FCA42ED"/>
    <w:rsid w:val="0FDB5F4F"/>
    <w:rsid w:val="0FE7592C"/>
    <w:rsid w:val="0FFC17A5"/>
    <w:rsid w:val="0FFD20F0"/>
    <w:rsid w:val="10142F30"/>
    <w:rsid w:val="10352857"/>
    <w:rsid w:val="103E6E57"/>
    <w:rsid w:val="1041497B"/>
    <w:rsid w:val="10425FF6"/>
    <w:rsid w:val="104A4BA3"/>
    <w:rsid w:val="104B4477"/>
    <w:rsid w:val="106612B1"/>
    <w:rsid w:val="109010E6"/>
    <w:rsid w:val="10B271F4"/>
    <w:rsid w:val="10B537CC"/>
    <w:rsid w:val="10BD35C7"/>
    <w:rsid w:val="10C61D50"/>
    <w:rsid w:val="10C8275C"/>
    <w:rsid w:val="10C86D3B"/>
    <w:rsid w:val="10E03539"/>
    <w:rsid w:val="10E82D1F"/>
    <w:rsid w:val="10E943BC"/>
    <w:rsid w:val="10EE5C94"/>
    <w:rsid w:val="10F5757C"/>
    <w:rsid w:val="10F93ED3"/>
    <w:rsid w:val="111D7BC2"/>
    <w:rsid w:val="1122342A"/>
    <w:rsid w:val="11250F40"/>
    <w:rsid w:val="113329E7"/>
    <w:rsid w:val="113F294C"/>
    <w:rsid w:val="11437C85"/>
    <w:rsid w:val="11575085"/>
    <w:rsid w:val="1166372C"/>
    <w:rsid w:val="11700D10"/>
    <w:rsid w:val="1178125A"/>
    <w:rsid w:val="118441E0"/>
    <w:rsid w:val="1196056D"/>
    <w:rsid w:val="11B322D4"/>
    <w:rsid w:val="11B85B3D"/>
    <w:rsid w:val="11CD20A0"/>
    <w:rsid w:val="11D34654"/>
    <w:rsid w:val="12010480"/>
    <w:rsid w:val="120E707F"/>
    <w:rsid w:val="121A2353"/>
    <w:rsid w:val="121D0051"/>
    <w:rsid w:val="12413D84"/>
    <w:rsid w:val="127A7D1C"/>
    <w:rsid w:val="12836D8B"/>
    <w:rsid w:val="12993BC0"/>
    <w:rsid w:val="12AB0349"/>
    <w:rsid w:val="12B66520"/>
    <w:rsid w:val="12CD57F1"/>
    <w:rsid w:val="12CE5941"/>
    <w:rsid w:val="12CE7AFA"/>
    <w:rsid w:val="12D67466"/>
    <w:rsid w:val="13036052"/>
    <w:rsid w:val="13272A5D"/>
    <w:rsid w:val="132A2A6A"/>
    <w:rsid w:val="133C40E3"/>
    <w:rsid w:val="133F4BFF"/>
    <w:rsid w:val="13410069"/>
    <w:rsid w:val="13493108"/>
    <w:rsid w:val="134A4EBA"/>
    <w:rsid w:val="13713CFE"/>
    <w:rsid w:val="13733928"/>
    <w:rsid w:val="13741F37"/>
    <w:rsid w:val="13857CA0"/>
    <w:rsid w:val="13920D68"/>
    <w:rsid w:val="139C16C9"/>
    <w:rsid w:val="13A5238E"/>
    <w:rsid w:val="13B63CE1"/>
    <w:rsid w:val="13BC6684"/>
    <w:rsid w:val="13C72B3A"/>
    <w:rsid w:val="13D12EE6"/>
    <w:rsid w:val="13DF575E"/>
    <w:rsid w:val="13E470BD"/>
    <w:rsid w:val="13EE3A98"/>
    <w:rsid w:val="13F3280A"/>
    <w:rsid w:val="142123F7"/>
    <w:rsid w:val="142A11D8"/>
    <w:rsid w:val="144B544C"/>
    <w:rsid w:val="145B7B45"/>
    <w:rsid w:val="14627FE2"/>
    <w:rsid w:val="14717443"/>
    <w:rsid w:val="147F0B94"/>
    <w:rsid w:val="14825F8A"/>
    <w:rsid w:val="148C70AD"/>
    <w:rsid w:val="148D52E3"/>
    <w:rsid w:val="14992B90"/>
    <w:rsid w:val="149A750C"/>
    <w:rsid w:val="149F10C7"/>
    <w:rsid w:val="14AF1856"/>
    <w:rsid w:val="14AF19A3"/>
    <w:rsid w:val="14B22D17"/>
    <w:rsid w:val="14B53957"/>
    <w:rsid w:val="14C53ECE"/>
    <w:rsid w:val="14CF6CB0"/>
    <w:rsid w:val="14D10E8D"/>
    <w:rsid w:val="14DB04C0"/>
    <w:rsid w:val="14DC5FE6"/>
    <w:rsid w:val="14E002E6"/>
    <w:rsid w:val="14FC36BD"/>
    <w:rsid w:val="14FF5EA7"/>
    <w:rsid w:val="15063063"/>
    <w:rsid w:val="15127C5A"/>
    <w:rsid w:val="151E3A0F"/>
    <w:rsid w:val="152534E9"/>
    <w:rsid w:val="153A36AA"/>
    <w:rsid w:val="15477903"/>
    <w:rsid w:val="15542020"/>
    <w:rsid w:val="1557566D"/>
    <w:rsid w:val="1565422D"/>
    <w:rsid w:val="156E0971"/>
    <w:rsid w:val="15785B3E"/>
    <w:rsid w:val="15811F1B"/>
    <w:rsid w:val="159B37AB"/>
    <w:rsid w:val="15A30135"/>
    <w:rsid w:val="15A34015"/>
    <w:rsid w:val="15BB487B"/>
    <w:rsid w:val="15CE086D"/>
    <w:rsid w:val="15E2236F"/>
    <w:rsid w:val="16005D04"/>
    <w:rsid w:val="161D09ED"/>
    <w:rsid w:val="16223ECC"/>
    <w:rsid w:val="162323A3"/>
    <w:rsid w:val="162F30B1"/>
    <w:rsid w:val="1650762F"/>
    <w:rsid w:val="16510F12"/>
    <w:rsid w:val="166448F9"/>
    <w:rsid w:val="1677211D"/>
    <w:rsid w:val="16774218"/>
    <w:rsid w:val="167954F9"/>
    <w:rsid w:val="169311EC"/>
    <w:rsid w:val="169C5A2D"/>
    <w:rsid w:val="169F7296"/>
    <w:rsid w:val="16A060BA"/>
    <w:rsid w:val="16A57EAF"/>
    <w:rsid w:val="16A668AC"/>
    <w:rsid w:val="16A918E4"/>
    <w:rsid w:val="16AC6E3F"/>
    <w:rsid w:val="16B56AEF"/>
    <w:rsid w:val="16BF34C9"/>
    <w:rsid w:val="16C872D5"/>
    <w:rsid w:val="16D54FA3"/>
    <w:rsid w:val="16D84D9F"/>
    <w:rsid w:val="16E94D3E"/>
    <w:rsid w:val="170D06E0"/>
    <w:rsid w:val="17233E03"/>
    <w:rsid w:val="17332185"/>
    <w:rsid w:val="17475951"/>
    <w:rsid w:val="175C542D"/>
    <w:rsid w:val="175D0ED4"/>
    <w:rsid w:val="17793FC0"/>
    <w:rsid w:val="179D33A9"/>
    <w:rsid w:val="179F2E61"/>
    <w:rsid w:val="17A06264"/>
    <w:rsid w:val="17BE19D3"/>
    <w:rsid w:val="17C227C0"/>
    <w:rsid w:val="17D66D7C"/>
    <w:rsid w:val="17DE0EDF"/>
    <w:rsid w:val="17EE5BFF"/>
    <w:rsid w:val="18097740"/>
    <w:rsid w:val="18136133"/>
    <w:rsid w:val="184055B9"/>
    <w:rsid w:val="18420856"/>
    <w:rsid w:val="184A2082"/>
    <w:rsid w:val="185D3C42"/>
    <w:rsid w:val="185F38AF"/>
    <w:rsid w:val="188F0211"/>
    <w:rsid w:val="18AD1BEB"/>
    <w:rsid w:val="18B3004A"/>
    <w:rsid w:val="18B31B6D"/>
    <w:rsid w:val="18B96080"/>
    <w:rsid w:val="18C66D91"/>
    <w:rsid w:val="18CE20EA"/>
    <w:rsid w:val="18DB2CD8"/>
    <w:rsid w:val="18F67868"/>
    <w:rsid w:val="1901426D"/>
    <w:rsid w:val="190B0C48"/>
    <w:rsid w:val="190B2D88"/>
    <w:rsid w:val="190E6B63"/>
    <w:rsid w:val="19123928"/>
    <w:rsid w:val="19194264"/>
    <w:rsid w:val="19283048"/>
    <w:rsid w:val="19420786"/>
    <w:rsid w:val="19427EC0"/>
    <w:rsid w:val="195711D7"/>
    <w:rsid w:val="195D2A3F"/>
    <w:rsid w:val="198310E9"/>
    <w:rsid w:val="198D747A"/>
    <w:rsid w:val="19A15638"/>
    <w:rsid w:val="19A35324"/>
    <w:rsid w:val="19A74DFE"/>
    <w:rsid w:val="19A753EF"/>
    <w:rsid w:val="19DF45AE"/>
    <w:rsid w:val="1A125525"/>
    <w:rsid w:val="1A2226ED"/>
    <w:rsid w:val="1A564145"/>
    <w:rsid w:val="1A5F4342"/>
    <w:rsid w:val="1A616E2C"/>
    <w:rsid w:val="1A715D02"/>
    <w:rsid w:val="1A7C5F3D"/>
    <w:rsid w:val="1A7F369B"/>
    <w:rsid w:val="1A8C5D82"/>
    <w:rsid w:val="1A994988"/>
    <w:rsid w:val="1A9B546C"/>
    <w:rsid w:val="1A9E141F"/>
    <w:rsid w:val="1AA3511F"/>
    <w:rsid w:val="1AAE3B54"/>
    <w:rsid w:val="1AC10987"/>
    <w:rsid w:val="1AEB6F83"/>
    <w:rsid w:val="1AF423FA"/>
    <w:rsid w:val="1B0C5B32"/>
    <w:rsid w:val="1B0D3E82"/>
    <w:rsid w:val="1B1464DA"/>
    <w:rsid w:val="1B1652AB"/>
    <w:rsid w:val="1B181CD5"/>
    <w:rsid w:val="1B265306"/>
    <w:rsid w:val="1B4346C9"/>
    <w:rsid w:val="1B486183"/>
    <w:rsid w:val="1B4F2450"/>
    <w:rsid w:val="1B50619C"/>
    <w:rsid w:val="1B530868"/>
    <w:rsid w:val="1B6573E8"/>
    <w:rsid w:val="1B6922A5"/>
    <w:rsid w:val="1B721452"/>
    <w:rsid w:val="1B8C18B7"/>
    <w:rsid w:val="1BB73AE1"/>
    <w:rsid w:val="1BDA6D68"/>
    <w:rsid w:val="1BF14125"/>
    <w:rsid w:val="1C002CEE"/>
    <w:rsid w:val="1C157783"/>
    <w:rsid w:val="1C4032FE"/>
    <w:rsid w:val="1C555978"/>
    <w:rsid w:val="1C6554A1"/>
    <w:rsid w:val="1C7971B7"/>
    <w:rsid w:val="1C8036FB"/>
    <w:rsid w:val="1C8651B5"/>
    <w:rsid w:val="1C917D91"/>
    <w:rsid w:val="1CA94A00"/>
    <w:rsid w:val="1CAB2820"/>
    <w:rsid w:val="1CD402EC"/>
    <w:rsid w:val="1CED16EF"/>
    <w:rsid w:val="1CF02333"/>
    <w:rsid w:val="1D047E88"/>
    <w:rsid w:val="1D0C33A2"/>
    <w:rsid w:val="1D0C4F8F"/>
    <w:rsid w:val="1D113E6E"/>
    <w:rsid w:val="1D114E5E"/>
    <w:rsid w:val="1D1F0050"/>
    <w:rsid w:val="1D214EDE"/>
    <w:rsid w:val="1D2222DC"/>
    <w:rsid w:val="1D5144F7"/>
    <w:rsid w:val="1D5B3CDE"/>
    <w:rsid w:val="1D5D0701"/>
    <w:rsid w:val="1D6E2950"/>
    <w:rsid w:val="1D79298C"/>
    <w:rsid w:val="1D98209B"/>
    <w:rsid w:val="1D9A259A"/>
    <w:rsid w:val="1DA23746"/>
    <w:rsid w:val="1DAA14B9"/>
    <w:rsid w:val="1DD04513"/>
    <w:rsid w:val="1DD8524D"/>
    <w:rsid w:val="1DDD2BCB"/>
    <w:rsid w:val="1E0345E3"/>
    <w:rsid w:val="1E1B7B7F"/>
    <w:rsid w:val="1E443370"/>
    <w:rsid w:val="1E656063"/>
    <w:rsid w:val="1E672DC4"/>
    <w:rsid w:val="1E6B06A5"/>
    <w:rsid w:val="1E7554E1"/>
    <w:rsid w:val="1E7F7D9E"/>
    <w:rsid w:val="1E840DA4"/>
    <w:rsid w:val="1EA5444C"/>
    <w:rsid w:val="1EA5569B"/>
    <w:rsid w:val="1EB350EF"/>
    <w:rsid w:val="1EC21749"/>
    <w:rsid w:val="1ECC1684"/>
    <w:rsid w:val="1EEB7C4E"/>
    <w:rsid w:val="1F072441"/>
    <w:rsid w:val="1F171B83"/>
    <w:rsid w:val="1F2D4691"/>
    <w:rsid w:val="1F2D491A"/>
    <w:rsid w:val="1F3F789D"/>
    <w:rsid w:val="1F4E5D32"/>
    <w:rsid w:val="1F604708"/>
    <w:rsid w:val="1F66355F"/>
    <w:rsid w:val="1F7369C7"/>
    <w:rsid w:val="1F9113A9"/>
    <w:rsid w:val="1F94547B"/>
    <w:rsid w:val="1FA47700"/>
    <w:rsid w:val="1FAF308C"/>
    <w:rsid w:val="1FB64FF9"/>
    <w:rsid w:val="1FC11109"/>
    <w:rsid w:val="1FDA3223"/>
    <w:rsid w:val="1FDE2C12"/>
    <w:rsid w:val="1FEF08C8"/>
    <w:rsid w:val="1FF72E6A"/>
    <w:rsid w:val="1FFB6F12"/>
    <w:rsid w:val="201B3ED4"/>
    <w:rsid w:val="20230F6D"/>
    <w:rsid w:val="20310B02"/>
    <w:rsid w:val="20344F28"/>
    <w:rsid w:val="206F0406"/>
    <w:rsid w:val="207417C9"/>
    <w:rsid w:val="20784063"/>
    <w:rsid w:val="207E346A"/>
    <w:rsid w:val="20871A60"/>
    <w:rsid w:val="208E12C3"/>
    <w:rsid w:val="209502A3"/>
    <w:rsid w:val="209558F1"/>
    <w:rsid w:val="20EA3839"/>
    <w:rsid w:val="2100305C"/>
    <w:rsid w:val="210F579E"/>
    <w:rsid w:val="21163FF0"/>
    <w:rsid w:val="211B39F2"/>
    <w:rsid w:val="212550B5"/>
    <w:rsid w:val="212B632B"/>
    <w:rsid w:val="21592B62"/>
    <w:rsid w:val="21600CBF"/>
    <w:rsid w:val="2172049B"/>
    <w:rsid w:val="21747CD2"/>
    <w:rsid w:val="2180610B"/>
    <w:rsid w:val="219263AA"/>
    <w:rsid w:val="219E5782"/>
    <w:rsid w:val="21C85928"/>
    <w:rsid w:val="21D10545"/>
    <w:rsid w:val="21E72B0B"/>
    <w:rsid w:val="21E76A4A"/>
    <w:rsid w:val="21EE607E"/>
    <w:rsid w:val="21F66F4C"/>
    <w:rsid w:val="221F2D96"/>
    <w:rsid w:val="22246DB1"/>
    <w:rsid w:val="22440067"/>
    <w:rsid w:val="225A6017"/>
    <w:rsid w:val="22631AF5"/>
    <w:rsid w:val="227A5532"/>
    <w:rsid w:val="22843A03"/>
    <w:rsid w:val="228E5C2C"/>
    <w:rsid w:val="22A338AB"/>
    <w:rsid w:val="22AD37A2"/>
    <w:rsid w:val="22B31E8A"/>
    <w:rsid w:val="22C05285"/>
    <w:rsid w:val="22C735BD"/>
    <w:rsid w:val="22CF0F38"/>
    <w:rsid w:val="22D729A8"/>
    <w:rsid w:val="22F01E21"/>
    <w:rsid w:val="22F06957"/>
    <w:rsid w:val="23057681"/>
    <w:rsid w:val="230C5CE8"/>
    <w:rsid w:val="23122833"/>
    <w:rsid w:val="231D4917"/>
    <w:rsid w:val="23223458"/>
    <w:rsid w:val="23225D32"/>
    <w:rsid w:val="23357BE6"/>
    <w:rsid w:val="2342574E"/>
    <w:rsid w:val="2355143D"/>
    <w:rsid w:val="236D1BFA"/>
    <w:rsid w:val="236D331D"/>
    <w:rsid w:val="2377331D"/>
    <w:rsid w:val="237D43DE"/>
    <w:rsid w:val="238A5E5E"/>
    <w:rsid w:val="23940114"/>
    <w:rsid w:val="239A1546"/>
    <w:rsid w:val="23B57016"/>
    <w:rsid w:val="23C4797E"/>
    <w:rsid w:val="23CD5478"/>
    <w:rsid w:val="23D4764B"/>
    <w:rsid w:val="23EC3718"/>
    <w:rsid w:val="23EE304F"/>
    <w:rsid w:val="23FD7010"/>
    <w:rsid w:val="240243FC"/>
    <w:rsid w:val="24044EF2"/>
    <w:rsid w:val="2407139D"/>
    <w:rsid w:val="240B04F4"/>
    <w:rsid w:val="240E369A"/>
    <w:rsid w:val="241E2177"/>
    <w:rsid w:val="242805EF"/>
    <w:rsid w:val="242A0646"/>
    <w:rsid w:val="2435301D"/>
    <w:rsid w:val="243A0633"/>
    <w:rsid w:val="243D6E1A"/>
    <w:rsid w:val="24453D05"/>
    <w:rsid w:val="244A2F6C"/>
    <w:rsid w:val="244D480A"/>
    <w:rsid w:val="24607F91"/>
    <w:rsid w:val="246C581B"/>
    <w:rsid w:val="247C52A2"/>
    <w:rsid w:val="24885842"/>
    <w:rsid w:val="24942917"/>
    <w:rsid w:val="24AE34FB"/>
    <w:rsid w:val="24CC106B"/>
    <w:rsid w:val="24D00598"/>
    <w:rsid w:val="24D725E9"/>
    <w:rsid w:val="24EC31CF"/>
    <w:rsid w:val="25045F70"/>
    <w:rsid w:val="250474F1"/>
    <w:rsid w:val="25056E93"/>
    <w:rsid w:val="25092EBA"/>
    <w:rsid w:val="250E5D48"/>
    <w:rsid w:val="25241020"/>
    <w:rsid w:val="25302410"/>
    <w:rsid w:val="257572C3"/>
    <w:rsid w:val="25790E85"/>
    <w:rsid w:val="25965D3D"/>
    <w:rsid w:val="25972C60"/>
    <w:rsid w:val="25974C6F"/>
    <w:rsid w:val="259D1676"/>
    <w:rsid w:val="25A353EB"/>
    <w:rsid w:val="25B87B65"/>
    <w:rsid w:val="25BC39F6"/>
    <w:rsid w:val="25CB78C3"/>
    <w:rsid w:val="25D54390"/>
    <w:rsid w:val="25D6438C"/>
    <w:rsid w:val="261879A7"/>
    <w:rsid w:val="261A071C"/>
    <w:rsid w:val="26395046"/>
    <w:rsid w:val="264B0BA4"/>
    <w:rsid w:val="264F4111"/>
    <w:rsid w:val="265E0AEC"/>
    <w:rsid w:val="2661459D"/>
    <w:rsid w:val="268B161A"/>
    <w:rsid w:val="268C5256"/>
    <w:rsid w:val="268E455B"/>
    <w:rsid w:val="26912B30"/>
    <w:rsid w:val="269772F0"/>
    <w:rsid w:val="26997893"/>
    <w:rsid w:val="26A30712"/>
    <w:rsid w:val="26AC0C27"/>
    <w:rsid w:val="26C807A6"/>
    <w:rsid w:val="26D1527F"/>
    <w:rsid w:val="26D23F28"/>
    <w:rsid w:val="26DB67BA"/>
    <w:rsid w:val="26DE3298"/>
    <w:rsid w:val="26E311CD"/>
    <w:rsid w:val="26EF24ED"/>
    <w:rsid w:val="26F1408A"/>
    <w:rsid w:val="26F86CAF"/>
    <w:rsid w:val="26F96584"/>
    <w:rsid w:val="26FC4FA5"/>
    <w:rsid w:val="27015370"/>
    <w:rsid w:val="270513CC"/>
    <w:rsid w:val="270B421F"/>
    <w:rsid w:val="271F6B87"/>
    <w:rsid w:val="274E2228"/>
    <w:rsid w:val="27517A93"/>
    <w:rsid w:val="27565784"/>
    <w:rsid w:val="275E53AF"/>
    <w:rsid w:val="27606603"/>
    <w:rsid w:val="276658E8"/>
    <w:rsid w:val="276F6846"/>
    <w:rsid w:val="2775116C"/>
    <w:rsid w:val="277E30D2"/>
    <w:rsid w:val="27803F2A"/>
    <w:rsid w:val="278A18D2"/>
    <w:rsid w:val="27983FEE"/>
    <w:rsid w:val="27A34941"/>
    <w:rsid w:val="27A97FAA"/>
    <w:rsid w:val="27EE3A7B"/>
    <w:rsid w:val="27FA25B3"/>
    <w:rsid w:val="28033B5E"/>
    <w:rsid w:val="28100029"/>
    <w:rsid w:val="28125B4F"/>
    <w:rsid w:val="282B09BF"/>
    <w:rsid w:val="282E4F00"/>
    <w:rsid w:val="283C23DF"/>
    <w:rsid w:val="283D69F1"/>
    <w:rsid w:val="283F090E"/>
    <w:rsid w:val="284C16F5"/>
    <w:rsid w:val="28570AB5"/>
    <w:rsid w:val="285F2CDC"/>
    <w:rsid w:val="28622C36"/>
    <w:rsid w:val="2869172C"/>
    <w:rsid w:val="288C2D07"/>
    <w:rsid w:val="289E7E22"/>
    <w:rsid w:val="28C2534B"/>
    <w:rsid w:val="28C5525A"/>
    <w:rsid w:val="28D14B96"/>
    <w:rsid w:val="29020C46"/>
    <w:rsid w:val="290240C7"/>
    <w:rsid w:val="291713AF"/>
    <w:rsid w:val="291A2B97"/>
    <w:rsid w:val="29274EE0"/>
    <w:rsid w:val="294F692F"/>
    <w:rsid w:val="295029E3"/>
    <w:rsid w:val="29514455"/>
    <w:rsid w:val="29543A59"/>
    <w:rsid w:val="29670ED3"/>
    <w:rsid w:val="296879F1"/>
    <w:rsid w:val="2969197F"/>
    <w:rsid w:val="29746E87"/>
    <w:rsid w:val="297939AC"/>
    <w:rsid w:val="297C03C2"/>
    <w:rsid w:val="299573AB"/>
    <w:rsid w:val="29B05804"/>
    <w:rsid w:val="29BE5BD0"/>
    <w:rsid w:val="29C01572"/>
    <w:rsid w:val="29C25353"/>
    <w:rsid w:val="29CA4207"/>
    <w:rsid w:val="29D82DC8"/>
    <w:rsid w:val="29DA08EE"/>
    <w:rsid w:val="29DB6414"/>
    <w:rsid w:val="29E74CE2"/>
    <w:rsid w:val="2A133E00"/>
    <w:rsid w:val="2A1F4553"/>
    <w:rsid w:val="2A241B69"/>
    <w:rsid w:val="2A306A36"/>
    <w:rsid w:val="2A355B25"/>
    <w:rsid w:val="2A375015"/>
    <w:rsid w:val="2A41271B"/>
    <w:rsid w:val="2A457300"/>
    <w:rsid w:val="2A5372C6"/>
    <w:rsid w:val="2A5A558B"/>
    <w:rsid w:val="2A5B03D8"/>
    <w:rsid w:val="2A6F6D07"/>
    <w:rsid w:val="2A852253"/>
    <w:rsid w:val="2A882500"/>
    <w:rsid w:val="2AA35184"/>
    <w:rsid w:val="2AAB4E76"/>
    <w:rsid w:val="2AB63ABC"/>
    <w:rsid w:val="2AB63D0A"/>
    <w:rsid w:val="2AC31382"/>
    <w:rsid w:val="2AD0584D"/>
    <w:rsid w:val="2AD549F8"/>
    <w:rsid w:val="2AEA74E5"/>
    <w:rsid w:val="2AFB4FC0"/>
    <w:rsid w:val="2B003D00"/>
    <w:rsid w:val="2B074D5E"/>
    <w:rsid w:val="2B0A6991"/>
    <w:rsid w:val="2B100BA9"/>
    <w:rsid w:val="2B1B5825"/>
    <w:rsid w:val="2B1E3AFC"/>
    <w:rsid w:val="2B4A5600"/>
    <w:rsid w:val="2B574FD9"/>
    <w:rsid w:val="2B642979"/>
    <w:rsid w:val="2B681F2A"/>
    <w:rsid w:val="2B8D373E"/>
    <w:rsid w:val="2B9E4F56"/>
    <w:rsid w:val="2BD96984"/>
    <w:rsid w:val="2BDB5A88"/>
    <w:rsid w:val="2BDB6BA0"/>
    <w:rsid w:val="2BE91C37"/>
    <w:rsid w:val="2BEC3F72"/>
    <w:rsid w:val="2C083572"/>
    <w:rsid w:val="2C185F94"/>
    <w:rsid w:val="2C1F1AC4"/>
    <w:rsid w:val="2C2945BA"/>
    <w:rsid w:val="2C2E71FC"/>
    <w:rsid w:val="2C3F3A41"/>
    <w:rsid w:val="2C4431C4"/>
    <w:rsid w:val="2C55747C"/>
    <w:rsid w:val="2C62059F"/>
    <w:rsid w:val="2C6634FA"/>
    <w:rsid w:val="2C7566AC"/>
    <w:rsid w:val="2C7843EE"/>
    <w:rsid w:val="2CA25191"/>
    <w:rsid w:val="2CAC022C"/>
    <w:rsid w:val="2CC11807"/>
    <w:rsid w:val="2CC66CD6"/>
    <w:rsid w:val="2CE327BC"/>
    <w:rsid w:val="2CF16074"/>
    <w:rsid w:val="2CF241A1"/>
    <w:rsid w:val="2CF81D1B"/>
    <w:rsid w:val="2D1F5B4E"/>
    <w:rsid w:val="2D3F2453"/>
    <w:rsid w:val="2D6F134E"/>
    <w:rsid w:val="2D835174"/>
    <w:rsid w:val="2D9331F9"/>
    <w:rsid w:val="2D956230"/>
    <w:rsid w:val="2DD90B7B"/>
    <w:rsid w:val="2DD92C6B"/>
    <w:rsid w:val="2DDD3FC1"/>
    <w:rsid w:val="2DE531B8"/>
    <w:rsid w:val="2DEA131C"/>
    <w:rsid w:val="2DF701D8"/>
    <w:rsid w:val="2DF970A1"/>
    <w:rsid w:val="2E0665A9"/>
    <w:rsid w:val="2E085834"/>
    <w:rsid w:val="2E1034F8"/>
    <w:rsid w:val="2E112405"/>
    <w:rsid w:val="2E120D8E"/>
    <w:rsid w:val="2E1B46D1"/>
    <w:rsid w:val="2E310CF9"/>
    <w:rsid w:val="2E3B56D4"/>
    <w:rsid w:val="2E443652"/>
    <w:rsid w:val="2E505773"/>
    <w:rsid w:val="2E5C0A3D"/>
    <w:rsid w:val="2E742F70"/>
    <w:rsid w:val="2E8E7EF9"/>
    <w:rsid w:val="2E9077CD"/>
    <w:rsid w:val="2E9574DA"/>
    <w:rsid w:val="2E9A689E"/>
    <w:rsid w:val="2ED61D9E"/>
    <w:rsid w:val="2EDC2A13"/>
    <w:rsid w:val="2EFD7DB9"/>
    <w:rsid w:val="2F1A081D"/>
    <w:rsid w:val="2F1C72B3"/>
    <w:rsid w:val="2F1E1306"/>
    <w:rsid w:val="2F1E3DC0"/>
    <w:rsid w:val="2F2D326E"/>
    <w:rsid w:val="2F3112DE"/>
    <w:rsid w:val="2F3B6922"/>
    <w:rsid w:val="2F3D7B25"/>
    <w:rsid w:val="2F480119"/>
    <w:rsid w:val="2F506C6D"/>
    <w:rsid w:val="2F512253"/>
    <w:rsid w:val="2F51291F"/>
    <w:rsid w:val="2F55758A"/>
    <w:rsid w:val="2F68074A"/>
    <w:rsid w:val="2F7F15AE"/>
    <w:rsid w:val="2F7F6886"/>
    <w:rsid w:val="2F912594"/>
    <w:rsid w:val="2FA54796"/>
    <w:rsid w:val="2FA674E2"/>
    <w:rsid w:val="2FEE6EA1"/>
    <w:rsid w:val="2FFE7D49"/>
    <w:rsid w:val="3002294D"/>
    <w:rsid w:val="3011153D"/>
    <w:rsid w:val="30142680"/>
    <w:rsid w:val="302567CF"/>
    <w:rsid w:val="302A11B1"/>
    <w:rsid w:val="302A5C42"/>
    <w:rsid w:val="30340091"/>
    <w:rsid w:val="30662043"/>
    <w:rsid w:val="306D3B35"/>
    <w:rsid w:val="307153DD"/>
    <w:rsid w:val="3083092C"/>
    <w:rsid w:val="30930D2E"/>
    <w:rsid w:val="30B8125D"/>
    <w:rsid w:val="30B87D63"/>
    <w:rsid w:val="30BF439A"/>
    <w:rsid w:val="30CF6A37"/>
    <w:rsid w:val="30D250CF"/>
    <w:rsid w:val="30E7260A"/>
    <w:rsid w:val="30EA0C38"/>
    <w:rsid w:val="31002970"/>
    <w:rsid w:val="311016AD"/>
    <w:rsid w:val="31220DA0"/>
    <w:rsid w:val="31253A1B"/>
    <w:rsid w:val="3136622A"/>
    <w:rsid w:val="31393501"/>
    <w:rsid w:val="3139422E"/>
    <w:rsid w:val="31496359"/>
    <w:rsid w:val="314D19A6"/>
    <w:rsid w:val="31580A38"/>
    <w:rsid w:val="316177A4"/>
    <w:rsid w:val="31700E4B"/>
    <w:rsid w:val="3172683C"/>
    <w:rsid w:val="318F773E"/>
    <w:rsid w:val="3194356F"/>
    <w:rsid w:val="31A359FC"/>
    <w:rsid w:val="31A65BBC"/>
    <w:rsid w:val="31AD0D61"/>
    <w:rsid w:val="31C150FE"/>
    <w:rsid w:val="31C42968"/>
    <w:rsid w:val="31CD297B"/>
    <w:rsid w:val="31CD73BD"/>
    <w:rsid w:val="31D66571"/>
    <w:rsid w:val="31DB4220"/>
    <w:rsid w:val="31DC56CD"/>
    <w:rsid w:val="31E63B94"/>
    <w:rsid w:val="31EA3699"/>
    <w:rsid w:val="31F27AF7"/>
    <w:rsid w:val="31FA74CA"/>
    <w:rsid w:val="32176602"/>
    <w:rsid w:val="322A7699"/>
    <w:rsid w:val="322B25C6"/>
    <w:rsid w:val="32422E70"/>
    <w:rsid w:val="324F79A0"/>
    <w:rsid w:val="325E56C6"/>
    <w:rsid w:val="325F5E35"/>
    <w:rsid w:val="3275698A"/>
    <w:rsid w:val="327C0679"/>
    <w:rsid w:val="32870EE7"/>
    <w:rsid w:val="32943B86"/>
    <w:rsid w:val="32A93829"/>
    <w:rsid w:val="32B943EC"/>
    <w:rsid w:val="32B9519B"/>
    <w:rsid w:val="32BA12BD"/>
    <w:rsid w:val="32BF68D3"/>
    <w:rsid w:val="32CC7242"/>
    <w:rsid w:val="32D85BE7"/>
    <w:rsid w:val="32DC63A0"/>
    <w:rsid w:val="32E429C1"/>
    <w:rsid w:val="330503EE"/>
    <w:rsid w:val="33274478"/>
    <w:rsid w:val="334045BE"/>
    <w:rsid w:val="334A3B2A"/>
    <w:rsid w:val="3365592E"/>
    <w:rsid w:val="336A31F3"/>
    <w:rsid w:val="336F6533"/>
    <w:rsid w:val="337E5E2F"/>
    <w:rsid w:val="3384610D"/>
    <w:rsid w:val="33AA5979"/>
    <w:rsid w:val="33C03E90"/>
    <w:rsid w:val="33C96649"/>
    <w:rsid w:val="33CC3D88"/>
    <w:rsid w:val="33D939C5"/>
    <w:rsid w:val="33DD0306"/>
    <w:rsid w:val="33F627C9"/>
    <w:rsid w:val="33FD722F"/>
    <w:rsid w:val="3400362D"/>
    <w:rsid w:val="340B09C5"/>
    <w:rsid w:val="34135655"/>
    <w:rsid w:val="341E4CAB"/>
    <w:rsid w:val="34584EE2"/>
    <w:rsid w:val="347A1C51"/>
    <w:rsid w:val="347D373F"/>
    <w:rsid w:val="34922A93"/>
    <w:rsid w:val="34956481"/>
    <w:rsid w:val="34A35871"/>
    <w:rsid w:val="34B432CE"/>
    <w:rsid w:val="34C06C9D"/>
    <w:rsid w:val="34D36666"/>
    <w:rsid w:val="34DF24AE"/>
    <w:rsid w:val="34E00D83"/>
    <w:rsid w:val="351C4931"/>
    <w:rsid w:val="351C4EAC"/>
    <w:rsid w:val="351D4C26"/>
    <w:rsid w:val="352B46F4"/>
    <w:rsid w:val="352E7D40"/>
    <w:rsid w:val="35361A77"/>
    <w:rsid w:val="353E3C50"/>
    <w:rsid w:val="35461A22"/>
    <w:rsid w:val="35483CC9"/>
    <w:rsid w:val="354B08F2"/>
    <w:rsid w:val="35571045"/>
    <w:rsid w:val="356E46AA"/>
    <w:rsid w:val="357235B0"/>
    <w:rsid w:val="3578502D"/>
    <w:rsid w:val="357C6CFE"/>
    <w:rsid w:val="3586192A"/>
    <w:rsid w:val="358625C7"/>
    <w:rsid w:val="35A815CB"/>
    <w:rsid w:val="35A85BD0"/>
    <w:rsid w:val="35AA1B9C"/>
    <w:rsid w:val="35D501BC"/>
    <w:rsid w:val="35DB09A6"/>
    <w:rsid w:val="36080591"/>
    <w:rsid w:val="3609472F"/>
    <w:rsid w:val="36183AA2"/>
    <w:rsid w:val="361F13AE"/>
    <w:rsid w:val="36203B2D"/>
    <w:rsid w:val="36257395"/>
    <w:rsid w:val="363E0457"/>
    <w:rsid w:val="365B4B65"/>
    <w:rsid w:val="36806379"/>
    <w:rsid w:val="369B4CF0"/>
    <w:rsid w:val="36D62629"/>
    <w:rsid w:val="36D76172"/>
    <w:rsid w:val="36D84407"/>
    <w:rsid w:val="36E833BB"/>
    <w:rsid w:val="36EB1E1B"/>
    <w:rsid w:val="36F17F0D"/>
    <w:rsid w:val="36FB00F6"/>
    <w:rsid w:val="37103BA1"/>
    <w:rsid w:val="37224581"/>
    <w:rsid w:val="3735197D"/>
    <w:rsid w:val="373756A2"/>
    <w:rsid w:val="374A416C"/>
    <w:rsid w:val="375E0DA6"/>
    <w:rsid w:val="377639AE"/>
    <w:rsid w:val="378142CB"/>
    <w:rsid w:val="378B61A6"/>
    <w:rsid w:val="37A442EA"/>
    <w:rsid w:val="37B90F0B"/>
    <w:rsid w:val="37CD3F98"/>
    <w:rsid w:val="37DE77FC"/>
    <w:rsid w:val="37DF75BA"/>
    <w:rsid w:val="37E148E2"/>
    <w:rsid w:val="37F848EE"/>
    <w:rsid w:val="37F912FC"/>
    <w:rsid w:val="380D59EE"/>
    <w:rsid w:val="381F5999"/>
    <w:rsid w:val="38304889"/>
    <w:rsid w:val="3836588A"/>
    <w:rsid w:val="38382675"/>
    <w:rsid w:val="383B7B0D"/>
    <w:rsid w:val="3848553B"/>
    <w:rsid w:val="3851700B"/>
    <w:rsid w:val="385246B6"/>
    <w:rsid w:val="385E6B8E"/>
    <w:rsid w:val="3876113B"/>
    <w:rsid w:val="38883C0B"/>
    <w:rsid w:val="38A53DB7"/>
    <w:rsid w:val="38BF3388"/>
    <w:rsid w:val="38CC268D"/>
    <w:rsid w:val="38DF1FDA"/>
    <w:rsid w:val="38EC2960"/>
    <w:rsid w:val="390069DD"/>
    <w:rsid w:val="39030CF9"/>
    <w:rsid w:val="39091F35"/>
    <w:rsid w:val="390A63CE"/>
    <w:rsid w:val="391B368D"/>
    <w:rsid w:val="392536E2"/>
    <w:rsid w:val="39465F15"/>
    <w:rsid w:val="39505209"/>
    <w:rsid w:val="396453C5"/>
    <w:rsid w:val="39922CCF"/>
    <w:rsid w:val="39A24859"/>
    <w:rsid w:val="39A65327"/>
    <w:rsid w:val="39A65C9B"/>
    <w:rsid w:val="39BC591B"/>
    <w:rsid w:val="39BC5ED6"/>
    <w:rsid w:val="39D27231"/>
    <w:rsid w:val="39E6508D"/>
    <w:rsid w:val="39E82BB3"/>
    <w:rsid w:val="39EB39E0"/>
    <w:rsid w:val="39EF02D4"/>
    <w:rsid w:val="3A11342A"/>
    <w:rsid w:val="3A153110"/>
    <w:rsid w:val="3A2149EA"/>
    <w:rsid w:val="3A2507C0"/>
    <w:rsid w:val="3A285AD8"/>
    <w:rsid w:val="3A393FA7"/>
    <w:rsid w:val="3A3A5A22"/>
    <w:rsid w:val="3A524858"/>
    <w:rsid w:val="3A64203E"/>
    <w:rsid w:val="3A663D00"/>
    <w:rsid w:val="3A7428D0"/>
    <w:rsid w:val="3A747EDD"/>
    <w:rsid w:val="3A923AE4"/>
    <w:rsid w:val="3AA50E25"/>
    <w:rsid w:val="3AC566E3"/>
    <w:rsid w:val="3AD6747A"/>
    <w:rsid w:val="3AD95C48"/>
    <w:rsid w:val="3ADF5D0A"/>
    <w:rsid w:val="3AE83F75"/>
    <w:rsid w:val="3B312338"/>
    <w:rsid w:val="3B3C5B77"/>
    <w:rsid w:val="3B3D0FF2"/>
    <w:rsid w:val="3B501351"/>
    <w:rsid w:val="3B521A18"/>
    <w:rsid w:val="3B8D2B96"/>
    <w:rsid w:val="3B923660"/>
    <w:rsid w:val="3BC35686"/>
    <w:rsid w:val="3BCA44BE"/>
    <w:rsid w:val="3BDE296C"/>
    <w:rsid w:val="3BF03FA1"/>
    <w:rsid w:val="3C061F3A"/>
    <w:rsid w:val="3C0A04F9"/>
    <w:rsid w:val="3C0D4B53"/>
    <w:rsid w:val="3C495480"/>
    <w:rsid w:val="3C4C3A42"/>
    <w:rsid w:val="3C557EA4"/>
    <w:rsid w:val="3C6F0167"/>
    <w:rsid w:val="3C71667B"/>
    <w:rsid w:val="3C7C75E3"/>
    <w:rsid w:val="3C8A61A4"/>
    <w:rsid w:val="3C914F3B"/>
    <w:rsid w:val="3CC17F13"/>
    <w:rsid w:val="3CD15B81"/>
    <w:rsid w:val="3CD50B40"/>
    <w:rsid w:val="3CE320A3"/>
    <w:rsid w:val="3CE9196C"/>
    <w:rsid w:val="3CF15105"/>
    <w:rsid w:val="3D0C04B9"/>
    <w:rsid w:val="3D1414C5"/>
    <w:rsid w:val="3D1C763E"/>
    <w:rsid w:val="3D201AA5"/>
    <w:rsid w:val="3D2B37EA"/>
    <w:rsid w:val="3D2F7FF3"/>
    <w:rsid w:val="3D3B56F0"/>
    <w:rsid w:val="3D3D1507"/>
    <w:rsid w:val="3D62085B"/>
    <w:rsid w:val="3D6B12FD"/>
    <w:rsid w:val="3D7B4622"/>
    <w:rsid w:val="3D8E5820"/>
    <w:rsid w:val="3D942E29"/>
    <w:rsid w:val="3DA53531"/>
    <w:rsid w:val="3DB54E0C"/>
    <w:rsid w:val="3DB900C1"/>
    <w:rsid w:val="3DE51866"/>
    <w:rsid w:val="3DE91725"/>
    <w:rsid w:val="3DF159B1"/>
    <w:rsid w:val="3E135D25"/>
    <w:rsid w:val="3E196FEC"/>
    <w:rsid w:val="3E1A106E"/>
    <w:rsid w:val="3E36303B"/>
    <w:rsid w:val="3E526044"/>
    <w:rsid w:val="3E5C591E"/>
    <w:rsid w:val="3E6C2B3A"/>
    <w:rsid w:val="3E8C5311"/>
    <w:rsid w:val="3E8E7E55"/>
    <w:rsid w:val="3EB61473"/>
    <w:rsid w:val="3EC66011"/>
    <w:rsid w:val="3ED25BE0"/>
    <w:rsid w:val="3ED75B7F"/>
    <w:rsid w:val="3EF9316D"/>
    <w:rsid w:val="3F315E6B"/>
    <w:rsid w:val="3F5175E2"/>
    <w:rsid w:val="3F56276A"/>
    <w:rsid w:val="3F6C10E0"/>
    <w:rsid w:val="3F963015"/>
    <w:rsid w:val="3F964D35"/>
    <w:rsid w:val="3FA327ED"/>
    <w:rsid w:val="3FB11738"/>
    <w:rsid w:val="3FB5581B"/>
    <w:rsid w:val="3FC33D05"/>
    <w:rsid w:val="3FDB0AC5"/>
    <w:rsid w:val="3FF46B18"/>
    <w:rsid w:val="3FF74A2E"/>
    <w:rsid w:val="3FFC36E2"/>
    <w:rsid w:val="4005572D"/>
    <w:rsid w:val="402833BA"/>
    <w:rsid w:val="40283C2B"/>
    <w:rsid w:val="40394FD1"/>
    <w:rsid w:val="40425879"/>
    <w:rsid w:val="4044666A"/>
    <w:rsid w:val="40460634"/>
    <w:rsid w:val="404C551E"/>
    <w:rsid w:val="405C1C05"/>
    <w:rsid w:val="40765D15"/>
    <w:rsid w:val="407B4FC1"/>
    <w:rsid w:val="407F2DE9"/>
    <w:rsid w:val="40866C82"/>
    <w:rsid w:val="4091073C"/>
    <w:rsid w:val="40920B61"/>
    <w:rsid w:val="40953369"/>
    <w:rsid w:val="40991379"/>
    <w:rsid w:val="409B3C3D"/>
    <w:rsid w:val="409F1D81"/>
    <w:rsid w:val="40EB6898"/>
    <w:rsid w:val="40F701DF"/>
    <w:rsid w:val="40FD480A"/>
    <w:rsid w:val="411B59C4"/>
    <w:rsid w:val="412546ED"/>
    <w:rsid w:val="412A32F8"/>
    <w:rsid w:val="4135001C"/>
    <w:rsid w:val="41401527"/>
    <w:rsid w:val="417F433E"/>
    <w:rsid w:val="418A1D66"/>
    <w:rsid w:val="41913B31"/>
    <w:rsid w:val="419C4043"/>
    <w:rsid w:val="41B7239D"/>
    <w:rsid w:val="41C95079"/>
    <w:rsid w:val="41D852BC"/>
    <w:rsid w:val="41FF3845"/>
    <w:rsid w:val="42072045"/>
    <w:rsid w:val="420E33D3"/>
    <w:rsid w:val="42101488"/>
    <w:rsid w:val="421104A9"/>
    <w:rsid w:val="42143B88"/>
    <w:rsid w:val="42164586"/>
    <w:rsid w:val="422E75D1"/>
    <w:rsid w:val="42475850"/>
    <w:rsid w:val="424C7A58"/>
    <w:rsid w:val="424E1A22"/>
    <w:rsid w:val="425B5DD1"/>
    <w:rsid w:val="4260300C"/>
    <w:rsid w:val="42755200"/>
    <w:rsid w:val="42772802"/>
    <w:rsid w:val="427C799E"/>
    <w:rsid w:val="427F607F"/>
    <w:rsid w:val="42800B9B"/>
    <w:rsid w:val="4281223D"/>
    <w:rsid w:val="428E62C2"/>
    <w:rsid w:val="42A06B6C"/>
    <w:rsid w:val="42A27996"/>
    <w:rsid w:val="42A45E72"/>
    <w:rsid w:val="42AA04E2"/>
    <w:rsid w:val="42EA5650"/>
    <w:rsid w:val="431408DA"/>
    <w:rsid w:val="431B7C78"/>
    <w:rsid w:val="4331401E"/>
    <w:rsid w:val="43486FC5"/>
    <w:rsid w:val="43591DDA"/>
    <w:rsid w:val="435A0DF2"/>
    <w:rsid w:val="435B43F6"/>
    <w:rsid w:val="436C42E1"/>
    <w:rsid w:val="437102E7"/>
    <w:rsid w:val="437C210F"/>
    <w:rsid w:val="43847F02"/>
    <w:rsid w:val="438F113C"/>
    <w:rsid w:val="439E7EFB"/>
    <w:rsid w:val="43B1568A"/>
    <w:rsid w:val="43B64E08"/>
    <w:rsid w:val="43BD7F58"/>
    <w:rsid w:val="43D43ECA"/>
    <w:rsid w:val="43DD452F"/>
    <w:rsid w:val="43DE6CD4"/>
    <w:rsid w:val="43E51150"/>
    <w:rsid w:val="43EE12FB"/>
    <w:rsid w:val="43EF28BB"/>
    <w:rsid w:val="43EF56D3"/>
    <w:rsid w:val="43F47D80"/>
    <w:rsid w:val="43F565F9"/>
    <w:rsid w:val="44095C00"/>
    <w:rsid w:val="440A6FD2"/>
    <w:rsid w:val="442A1797"/>
    <w:rsid w:val="44366C11"/>
    <w:rsid w:val="444946CA"/>
    <w:rsid w:val="444B3F54"/>
    <w:rsid w:val="445D7CFA"/>
    <w:rsid w:val="4476661F"/>
    <w:rsid w:val="447E3AC5"/>
    <w:rsid w:val="44805ED4"/>
    <w:rsid w:val="448E5DEE"/>
    <w:rsid w:val="449E4142"/>
    <w:rsid w:val="44A90BAA"/>
    <w:rsid w:val="44B24A20"/>
    <w:rsid w:val="44BC0BEE"/>
    <w:rsid w:val="44BF6C07"/>
    <w:rsid w:val="44C24001"/>
    <w:rsid w:val="44C55A88"/>
    <w:rsid w:val="44FB1C9C"/>
    <w:rsid w:val="45392A13"/>
    <w:rsid w:val="453E3FCF"/>
    <w:rsid w:val="454F1836"/>
    <w:rsid w:val="45566A25"/>
    <w:rsid w:val="45887B45"/>
    <w:rsid w:val="458B66DF"/>
    <w:rsid w:val="45940F0E"/>
    <w:rsid w:val="45AC5DBA"/>
    <w:rsid w:val="45C647AF"/>
    <w:rsid w:val="45DD529D"/>
    <w:rsid w:val="45E57886"/>
    <w:rsid w:val="45E945CC"/>
    <w:rsid w:val="46003076"/>
    <w:rsid w:val="46026F63"/>
    <w:rsid w:val="46113492"/>
    <w:rsid w:val="46177E29"/>
    <w:rsid w:val="46205B7F"/>
    <w:rsid w:val="462A6010"/>
    <w:rsid w:val="465D501C"/>
    <w:rsid w:val="466367DB"/>
    <w:rsid w:val="46686D18"/>
    <w:rsid w:val="466D15DA"/>
    <w:rsid w:val="46853538"/>
    <w:rsid w:val="46BF7E28"/>
    <w:rsid w:val="46C3037C"/>
    <w:rsid w:val="46EF26BD"/>
    <w:rsid w:val="46FF15E0"/>
    <w:rsid w:val="4700581C"/>
    <w:rsid w:val="4702516A"/>
    <w:rsid w:val="471E5E67"/>
    <w:rsid w:val="4724600B"/>
    <w:rsid w:val="472E597E"/>
    <w:rsid w:val="47461B9F"/>
    <w:rsid w:val="474A4B33"/>
    <w:rsid w:val="47665A15"/>
    <w:rsid w:val="47677941"/>
    <w:rsid w:val="477F1660"/>
    <w:rsid w:val="4788232A"/>
    <w:rsid w:val="478B0398"/>
    <w:rsid w:val="478F5D0B"/>
    <w:rsid w:val="479D5A47"/>
    <w:rsid w:val="47A11E6C"/>
    <w:rsid w:val="47A31F5F"/>
    <w:rsid w:val="47A84BA6"/>
    <w:rsid w:val="47B52444"/>
    <w:rsid w:val="47B8724E"/>
    <w:rsid w:val="47ED7BCA"/>
    <w:rsid w:val="48016F34"/>
    <w:rsid w:val="480556DB"/>
    <w:rsid w:val="48185C56"/>
    <w:rsid w:val="481E5F97"/>
    <w:rsid w:val="48254C34"/>
    <w:rsid w:val="48450F81"/>
    <w:rsid w:val="48455675"/>
    <w:rsid w:val="484E729D"/>
    <w:rsid w:val="48566773"/>
    <w:rsid w:val="485A23C2"/>
    <w:rsid w:val="48623B31"/>
    <w:rsid w:val="48691107"/>
    <w:rsid w:val="48711FC6"/>
    <w:rsid w:val="48895289"/>
    <w:rsid w:val="489363E0"/>
    <w:rsid w:val="48A16B62"/>
    <w:rsid w:val="48AE0D54"/>
    <w:rsid w:val="48BC6222"/>
    <w:rsid w:val="48C245E9"/>
    <w:rsid w:val="48DB312A"/>
    <w:rsid w:val="48DF49D9"/>
    <w:rsid w:val="48E45842"/>
    <w:rsid w:val="492108CC"/>
    <w:rsid w:val="49413F52"/>
    <w:rsid w:val="494F6304"/>
    <w:rsid w:val="49555444"/>
    <w:rsid w:val="49792B95"/>
    <w:rsid w:val="49F11610"/>
    <w:rsid w:val="4A05334F"/>
    <w:rsid w:val="4A060864"/>
    <w:rsid w:val="4A244932"/>
    <w:rsid w:val="4A2922C8"/>
    <w:rsid w:val="4A4117B2"/>
    <w:rsid w:val="4A4A6F73"/>
    <w:rsid w:val="4A7A4350"/>
    <w:rsid w:val="4A7B1703"/>
    <w:rsid w:val="4A7E2497"/>
    <w:rsid w:val="4A896826"/>
    <w:rsid w:val="4ABF5E17"/>
    <w:rsid w:val="4AC46D25"/>
    <w:rsid w:val="4ACB00B3"/>
    <w:rsid w:val="4ACF7478"/>
    <w:rsid w:val="4AD52CE0"/>
    <w:rsid w:val="4ADB1B7B"/>
    <w:rsid w:val="4AE01A66"/>
    <w:rsid w:val="4AE104D6"/>
    <w:rsid w:val="4AE724D1"/>
    <w:rsid w:val="4AE77140"/>
    <w:rsid w:val="4AEA4061"/>
    <w:rsid w:val="4AEB3612"/>
    <w:rsid w:val="4AED707B"/>
    <w:rsid w:val="4AFA2F07"/>
    <w:rsid w:val="4AFF7D5D"/>
    <w:rsid w:val="4B015D61"/>
    <w:rsid w:val="4B0B7979"/>
    <w:rsid w:val="4B1530DD"/>
    <w:rsid w:val="4B487753"/>
    <w:rsid w:val="4B520DF4"/>
    <w:rsid w:val="4B603107"/>
    <w:rsid w:val="4B7A5635"/>
    <w:rsid w:val="4B8E10E1"/>
    <w:rsid w:val="4B9802B0"/>
    <w:rsid w:val="4B9E65BE"/>
    <w:rsid w:val="4B9F33A8"/>
    <w:rsid w:val="4BA80AFD"/>
    <w:rsid w:val="4BAD1567"/>
    <w:rsid w:val="4BB033BA"/>
    <w:rsid w:val="4BB469AD"/>
    <w:rsid w:val="4BC06040"/>
    <w:rsid w:val="4BC66ACD"/>
    <w:rsid w:val="4BCF5981"/>
    <w:rsid w:val="4BD846DB"/>
    <w:rsid w:val="4BDA60D4"/>
    <w:rsid w:val="4BF441D2"/>
    <w:rsid w:val="4C1C2A09"/>
    <w:rsid w:val="4C284AD9"/>
    <w:rsid w:val="4C393F36"/>
    <w:rsid w:val="4C423098"/>
    <w:rsid w:val="4C694192"/>
    <w:rsid w:val="4C7964D9"/>
    <w:rsid w:val="4C8C5620"/>
    <w:rsid w:val="4C9269F6"/>
    <w:rsid w:val="4CB75F07"/>
    <w:rsid w:val="4CC84335"/>
    <w:rsid w:val="4CD22B0F"/>
    <w:rsid w:val="4CDA3E72"/>
    <w:rsid w:val="4CE4545C"/>
    <w:rsid w:val="4CE9350A"/>
    <w:rsid w:val="4D014937"/>
    <w:rsid w:val="4D156927"/>
    <w:rsid w:val="4D1E2466"/>
    <w:rsid w:val="4D225F85"/>
    <w:rsid w:val="4D297BF3"/>
    <w:rsid w:val="4D2D0EAF"/>
    <w:rsid w:val="4D795A49"/>
    <w:rsid w:val="4D7F0082"/>
    <w:rsid w:val="4D952FD9"/>
    <w:rsid w:val="4D970662"/>
    <w:rsid w:val="4D9A1FBF"/>
    <w:rsid w:val="4D9F40B3"/>
    <w:rsid w:val="4DB33393"/>
    <w:rsid w:val="4DBC3CE3"/>
    <w:rsid w:val="4DCB51C5"/>
    <w:rsid w:val="4DCF1E0D"/>
    <w:rsid w:val="4DD21759"/>
    <w:rsid w:val="4DD632D9"/>
    <w:rsid w:val="4DE05D9E"/>
    <w:rsid w:val="4DE05DF9"/>
    <w:rsid w:val="4DE44800"/>
    <w:rsid w:val="4DEE0709"/>
    <w:rsid w:val="4DF26A56"/>
    <w:rsid w:val="4DF47921"/>
    <w:rsid w:val="4DFC14EA"/>
    <w:rsid w:val="4DFF6815"/>
    <w:rsid w:val="4E0A3427"/>
    <w:rsid w:val="4E124B64"/>
    <w:rsid w:val="4E2423AC"/>
    <w:rsid w:val="4E261AA5"/>
    <w:rsid w:val="4E287F63"/>
    <w:rsid w:val="4E304B5D"/>
    <w:rsid w:val="4E3F66C2"/>
    <w:rsid w:val="4E611B8B"/>
    <w:rsid w:val="4E6279D7"/>
    <w:rsid w:val="4E682F8C"/>
    <w:rsid w:val="4E6A7BB7"/>
    <w:rsid w:val="4E6C5D89"/>
    <w:rsid w:val="4E9133C2"/>
    <w:rsid w:val="4EB23220"/>
    <w:rsid w:val="4EE661F8"/>
    <w:rsid w:val="4EF27A04"/>
    <w:rsid w:val="4F0773B4"/>
    <w:rsid w:val="4F241019"/>
    <w:rsid w:val="4F307BB1"/>
    <w:rsid w:val="4F336227"/>
    <w:rsid w:val="4F3C3EF2"/>
    <w:rsid w:val="4F3D562D"/>
    <w:rsid w:val="4F5C4EE0"/>
    <w:rsid w:val="4F5D14F6"/>
    <w:rsid w:val="4F681AF1"/>
    <w:rsid w:val="4F6E1972"/>
    <w:rsid w:val="4F943166"/>
    <w:rsid w:val="4F9C19A5"/>
    <w:rsid w:val="4FBA02A1"/>
    <w:rsid w:val="4FCB3ED2"/>
    <w:rsid w:val="4FE7106E"/>
    <w:rsid w:val="4FF82FCD"/>
    <w:rsid w:val="50053943"/>
    <w:rsid w:val="50260569"/>
    <w:rsid w:val="50374A3C"/>
    <w:rsid w:val="50487AB0"/>
    <w:rsid w:val="50550E55"/>
    <w:rsid w:val="50901457"/>
    <w:rsid w:val="509F43E4"/>
    <w:rsid w:val="50A54D3E"/>
    <w:rsid w:val="50B82E88"/>
    <w:rsid w:val="50BB32A7"/>
    <w:rsid w:val="50CC5CB2"/>
    <w:rsid w:val="50F1402B"/>
    <w:rsid w:val="50FD2AD9"/>
    <w:rsid w:val="51081E85"/>
    <w:rsid w:val="51097D9A"/>
    <w:rsid w:val="511A650F"/>
    <w:rsid w:val="51237D2E"/>
    <w:rsid w:val="515B06D0"/>
    <w:rsid w:val="51764AF1"/>
    <w:rsid w:val="51996737"/>
    <w:rsid w:val="51B408B8"/>
    <w:rsid w:val="51B80848"/>
    <w:rsid w:val="51CB0999"/>
    <w:rsid w:val="51CC0868"/>
    <w:rsid w:val="51D5340F"/>
    <w:rsid w:val="52287B99"/>
    <w:rsid w:val="522E717A"/>
    <w:rsid w:val="52382F2A"/>
    <w:rsid w:val="52386E3D"/>
    <w:rsid w:val="523A7DD1"/>
    <w:rsid w:val="523B7711"/>
    <w:rsid w:val="52495D62"/>
    <w:rsid w:val="5271774C"/>
    <w:rsid w:val="527A416D"/>
    <w:rsid w:val="528D7B65"/>
    <w:rsid w:val="52AA11D3"/>
    <w:rsid w:val="52DE008D"/>
    <w:rsid w:val="52EE341E"/>
    <w:rsid w:val="52F37FE6"/>
    <w:rsid w:val="52FC1CAF"/>
    <w:rsid w:val="52FE08FA"/>
    <w:rsid w:val="52FF22FE"/>
    <w:rsid w:val="53004672"/>
    <w:rsid w:val="530B071F"/>
    <w:rsid w:val="531A330F"/>
    <w:rsid w:val="532B6CAF"/>
    <w:rsid w:val="53350D91"/>
    <w:rsid w:val="53412644"/>
    <w:rsid w:val="53433903"/>
    <w:rsid w:val="53517A72"/>
    <w:rsid w:val="5361549D"/>
    <w:rsid w:val="536220DA"/>
    <w:rsid w:val="53650637"/>
    <w:rsid w:val="536A5F90"/>
    <w:rsid w:val="537155BE"/>
    <w:rsid w:val="53757C6B"/>
    <w:rsid w:val="537E1075"/>
    <w:rsid w:val="53835884"/>
    <w:rsid w:val="539A4AC7"/>
    <w:rsid w:val="53A44D07"/>
    <w:rsid w:val="53A46AC8"/>
    <w:rsid w:val="53AB7F1F"/>
    <w:rsid w:val="53AC6F7B"/>
    <w:rsid w:val="53C01F4F"/>
    <w:rsid w:val="53EB297B"/>
    <w:rsid w:val="53EC4BF7"/>
    <w:rsid w:val="53F671DE"/>
    <w:rsid w:val="53F758A1"/>
    <w:rsid w:val="540D5A7F"/>
    <w:rsid w:val="542E2BC2"/>
    <w:rsid w:val="54352A96"/>
    <w:rsid w:val="54447390"/>
    <w:rsid w:val="54484523"/>
    <w:rsid w:val="544B514D"/>
    <w:rsid w:val="545E1D01"/>
    <w:rsid w:val="54674051"/>
    <w:rsid w:val="54935B8F"/>
    <w:rsid w:val="549D3677"/>
    <w:rsid w:val="54A87049"/>
    <w:rsid w:val="54B03E76"/>
    <w:rsid w:val="54BF230B"/>
    <w:rsid w:val="54CC6227"/>
    <w:rsid w:val="54D10F9B"/>
    <w:rsid w:val="54D97871"/>
    <w:rsid w:val="550B5550"/>
    <w:rsid w:val="551D586C"/>
    <w:rsid w:val="55200298"/>
    <w:rsid w:val="55335E1B"/>
    <w:rsid w:val="5536079B"/>
    <w:rsid w:val="553C395C"/>
    <w:rsid w:val="554B7EF0"/>
    <w:rsid w:val="556F3D99"/>
    <w:rsid w:val="55720837"/>
    <w:rsid w:val="55860894"/>
    <w:rsid w:val="558F6181"/>
    <w:rsid w:val="55B02DF1"/>
    <w:rsid w:val="55D47A00"/>
    <w:rsid w:val="55D5456D"/>
    <w:rsid w:val="55DC290C"/>
    <w:rsid w:val="55E71B19"/>
    <w:rsid w:val="55EA5D64"/>
    <w:rsid w:val="55F01FA1"/>
    <w:rsid w:val="55FC19B9"/>
    <w:rsid w:val="56130B60"/>
    <w:rsid w:val="56234F28"/>
    <w:rsid w:val="562C1C22"/>
    <w:rsid w:val="56717635"/>
    <w:rsid w:val="56990B7C"/>
    <w:rsid w:val="569E1126"/>
    <w:rsid w:val="56A8690E"/>
    <w:rsid w:val="56B679AB"/>
    <w:rsid w:val="56B80DEB"/>
    <w:rsid w:val="56E0560F"/>
    <w:rsid w:val="56E06E61"/>
    <w:rsid w:val="56EF3C74"/>
    <w:rsid w:val="56F653FE"/>
    <w:rsid w:val="57007337"/>
    <w:rsid w:val="574448FC"/>
    <w:rsid w:val="57561D39"/>
    <w:rsid w:val="575B7AFD"/>
    <w:rsid w:val="575F3FAD"/>
    <w:rsid w:val="57660D3F"/>
    <w:rsid w:val="57824FAE"/>
    <w:rsid w:val="5785783C"/>
    <w:rsid w:val="578F06BB"/>
    <w:rsid w:val="57CC4BC2"/>
    <w:rsid w:val="57D10760"/>
    <w:rsid w:val="57D1153D"/>
    <w:rsid w:val="57D77297"/>
    <w:rsid w:val="57FA3774"/>
    <w:rsid w:val="58084A3C"/>
    <w:rsid w:val="582772A7"/>
    <w:rsid w:val="5847689F"/>
    <w:rsid w:val="58531B77"/>
    <w:rsid w:val="585D2975"/>
    <w:rsid w:val="585E3492"/>
    <w:rsid w:val="585F64F9"/>
    <w:rsid w:val="586E3E23"/>
    <w:rsid w:val="58782EFD"/>
    <w:rsid w:val="587E3341"/>
    <w:rsid w:val="587F428B"/>
    <w:rsid w:val="58843A9C"/>
    <w:rsid w:val="58B31855"/>
    <w:rsid w:val="58CF56D8"/>
    <w:rsid w:val="58D31010"/>
    <w:rsid w:val="58D6741E"/>
    <w:rsid w:val="58DB0535"/>
    <w:rsid w:val="58E467E4"/>
    <w:rsid w:val="58E62E0E"/>
    <w:rsid w:val="58EA3D0E"/>
    <w:rsid w:val="58F24A5D"/>
    <w:rsid w:val="58F71269"/>
    <w:rsid w:val="58FE045E"/>
    <w:rsid w:val="58FE78A6"/>
    <w:rsid w:val="59014CEF"/>
    <w:rsid w:val="59017396"/>
    <w:rsid w:val="59561946"/>
    <w:rsid w:val="59670F51"/>
    <w:rsid w:val="596A44F9"/>
    <w:rsid w:val="596C19BB"/>
    <w:rsid w:val="59790BDB"/>
    <w:rsid w:val="597E3F42"/>
    <w:rsid w:val="598653AC"/>
    <w:rsid w:val="598F6750"/>
    <w:rsid w:val="59936099"/>
    <w:rsid w:val="59AC3C86"/>
    <w:rsid w:val="59B817D3"/>
    <w:rsid w:val="59C11856"/>
    <w:rsid w:val="59C153AB"/>
    <w:rsid w:val="59D42FDA"/>
    <w:rsid w:val="59DA4E01"/>
    <w:rsid w:val="59F64E82"/>
    <w:rsid w:val="5A025174"/>
    <w:rsid w:val="5A0A5DD6"/>
    <w:rsid w:val="5A10435C"/>
    <w:rsid w:val="5A2654CC"/>
    <w:rsid w:val="5A323A44"/>
    <w:rsid w:val="5A395E66"/>
    <w:rsid w:val="5A476FBE"/>
    <w:rsid w:val="5A484352"/>
    <w:rsid w:val="5A5321A5"/>
    <w:rsid w:val="5A783688"/>
    <w:rsid w:val="5A8734AF"/>
    <w:rsid w:val="5A9D3E45"/>
    <w:rsid w:val="5AA4101D"/>
    <w:rsid w:val="5AB17576"/>
    <w:rsid w:val="5ABA59C8"/>
    <w:rsid w:val="5ABD68E6"/>
    <w:rsid w:val="5ABF73D2"/>
    <w:rsid w:val="5ACB3D8A"/>
    <w:rsid w:val="5ACE32A8"/>
    <w:rsid w:val="5AE12FDB"/>
    <w:rsid w:val="5AE1508F"/>
    <w:rsid w:val="5AF80256"/>
    <w:rsid w:val="5B110CC9"/>
    <w:rsid w:val="5B136165"/>
    <w:rsid w:val="5B1851F5"/>
    <w:rsid w:val="5B1F7B5D"/>
    <w:rsid w:val="5B585171"/>
    <w:rsid w:val="5B585B78"/>
    <w:rsid w:val="5B6D62B9"/>
    <w:rsid w:val="5B746CFA"/>
    <w:rsid w:val="5B9A2B59"/>
    <w:rsid w:val="5BA652E6"/>
    <w:rsid w:val="5BC0085A"/>
    <w:rsid w:val="5BE03293"/>
    <w:rsid w:val="5BEF7953"/>
    <w:rsid w:val="5BF03D58"/>
    <w:rsid w:val="5BF20AFB"/>
    <w:rsid w:val="5BF31218"/>
    <w:rsid w:val="5C1A6BB2"/>
    <w:rsid w:val="5C292E8C"/>
    <w:rsid w:val="5C306D31"/>
    <w:rsid w:val="5C37233A"/>
    <w:rsid w:val="5C5355FE"/>
    <w:rsid w:val="5C5A49A5"/>
    <w:rsid w:val="5C6519EA"/>
    <w:rsid w:val="5C6715FE"/>
    <w:rsid w:val="5C6F4105"/>
    <w:rsid w:val="5C936557"/>
    <w:rsid w:val="5CBB7F6F"/>
    <w:rsid w:val="5CC248CE"/>
    <w:rsid w:val="5CEE378D"/>
    <w:rsid w:val="5D042FB1"/>
    <w:rsid w:val="5D080CF3"/>
    <w:rsid w:val="5D3A4C25"/>
    <w:rsid w:val="5D442CB4"/>
    <w:rsid w:val="5D7869AF"/>
    <w:rsid w:val="5D7C3F11"/>
    <w:rsid w:val="5D971C5A"/>
    <w:rsid w:val="5D9D49E0"/>
    <w:rsid w:val="5DA01E9E"/>
    <w:rsid w:val="5DAD3649"/>
    <w:rsid w:val="5DC310BE"/>
    <w:rsid w:val="5DDF1821"/>
    <w:rsid w:val="5DE2656A"/>
    <w:rsid w:val="5DEA2F91"/>
    <w:rsid w:val="5DF94AE0"/>
    <w:rsid w:val="5DFA5883"/>
    <w:rsid w:val="5E127950"/>
    <w:rsid w:val="5E224037"/>
    <w:rsid w:val="5E3146A3"/>
    <w:rsid w:val="5E442F62"/>
    <w:rsid w:val="5E6C2C5B"/>
    <w:rsid w:val="5E6E2DD8"/>
    <w:rsid w:val="5E7251A2"/>
    <w:rsid w:val="5E7C3591"/>
    <w:rsid w:val="5E9842F9"/>
    <w:rsid w:val="5E9B5B97"/>
    <w:rsid w:val="5E9D0E18"/>
    <w:rsid w:val="5EA26F25"/>
    <w:rsid w:val="5EA341D7"/>
    <w:rsid w:val="5EA755DE"/>
    <w:rsid w:val="5EAE7678"/>
    <w:rsid w:val="5ED35F0E"/>
    <w:rsid w:val="5EDF7832"/>
    <w:rsid w:val="5EFC1390"/>
    <w:rsid w:val="5EFC3EB6"/>
    <w:rsid w:val="5F03335D"/>
    <w:rsid w:val="5F0368C7"/>
    <w:rsid w:val="5F1544E7"/>
    <w:rsid w:val="5F197EE8"/>
    <w:rsid w:val="5F304531"/>
    <w:rsid w:val="5F312D8D"/>
    <w:rsid w:val="5F3C4923"/>
    <w:rsid w:val="5F4160B0"/>
    <w:rsid w:val="5F5A7800"/>
    <w:rsid w:val="5F6368E9"/>
    <w:rsid w:val="5F7811D3"/>
    <w:rsid w:val="5F9A65E6"/>
    <w:rsid w:val="5F9B2627"/>
    <w:rsid w:val="5FA66B60"/>
    <w:rsid w:val="5FAC7B1F"/>
    <w:rsid w:val="5FB5266F"/>
    <w:rsid w:val="5FB80E3D"/>
    <w:rsid w:val="5FB831B4"/>
    <w:rsid w:val="5FD40999"/>
    <w:rsid w:val="5FE5522B"/>
    <w:rsid w:val="5FF03F08"/>
    <w:rsid w:val="5FF2548E"/>
    <w:rsid w:val="5FF313D3"/>
    <w:rsid w:val="600F05EB"/>
    <w:rsid w:val="602610FD"/>
    <w:rsid w:val="602808B2"/>
    <w:rsid w:val="602C2F4B"/>
    <w:rsid w:val="602D0A71"/>
    <w:rsid w:val="60307A2A"/>
    <w:rsid w:val="603814FF"/>
    <w:rsid w:val="604109A8"/>
    <w:rsid w:val="6051475F"/>
    <w:rsid w:val="605D2617"/>
    <w:rsid w:val="60616CDC"/>
    <w:rsid w:val="60624E53"/>
    <w:rsid w:val="606319E5"/>
    <w:rsid w:val="607A77D8"/>
    <w:rsid w:val="607B3C50"/>
    <w:rsid w:val="608B6567"/>
    <w:rsid w:val="60902A4E"/>
    <w:rsid w:val="60AA3E6F"/>
    <w:rsid w:val="60D84E80"/>
    <w:rsid w:val="60FF21D9"/>
    <w:rsid w:val="610C0686"/>
    <w:rsid w:val="611E37D0"/>
    <w:rsid w:val="612C6F7A"/>
    <w:rsid w:val="613021B3"/>
    <w:rsid w:val="61306A6A"/>
    <w:rsid w:val="6131633F"/>
    <w:rsid w:val="613253FD"/>
    <w:rsid w:val="61421F29"/>
    <w:rsid w:val="61637D56"/>
    <w:rsid w:val="61712185"/>
    <w:rsid w:val="618B7207"/>
    <w:rsid w:val="61907E69"/>
    <w:rsid w:val="61A90D68"/>
    <w:rsid w:val="61B43A15"/>
    <w:rsid w:val="61B825BC"/>
    <w:rsid w:val="61DA0425"/>
    <w:rsid w:val="62065A1D"/>
    <w:rsid w:val="6213792C"/>
    <w:rsid w:val="621775E2"/>
    <w:rsid w:val="621C0D9D"/>
    <w:rsid w:val="622F7552"/>
    <w:rsid w:val="6250406E"/>
    <w:rsid w:val="6256605D"/>
    <w:rsid w:val="6267666C"/>
    <w:rsid w:val="627D6831"/>
    <w:rsid w:val="62811B1C"/>
    <w:rsid w:val="62A20409"/>
    <w:rsid w:val="62B54B44"/>
    <w:rsid w:val="62E045DA"/>
    <w:rsid w:val="62E454A1"/>
    <w:rsid w:val="62E95123"/>
    <w:rsid w:val="62EF025F"/>
    <w:rsid w:val="62F36E4C"/>
    <w:rsid w:val="62F47F8F"/>
    <w:rsid w:val="62F7233F"/>
    <w:rsid w:val="631D4DCC"/>
    <w:rsid w:val="631F3FB4"/>
    <w:rsid w:val="63273E9D"/>
    <w:rsid w:val="63364F75"/>
    <w:rsid w:val="6340438B"/>
    <w:rsid w:val="6353238E"/>
    <w:rsid w:val="63612AB8"/>
    <w:rsid w:val="63640C4D"/>
    <w:rsid w:val="6379289B"/>
    <w:rsid w:val="637D0978"/>
    <w:rsid w:val="638906B4"/>
    <w:rsid w:val="638968B0"/>
    <w:rsid w:val="638A282C"/>
    <w:rsid w:val="6393508F"/>
    <w:rsid w:val="639A3568"/>
    <w:rsid w:val="63A75341"/>
    <w:rsid w:val="63A85E90"/>
    <w:rsid w:val="63A962DB"/>
    <w:rsid w:val="63AB1A91"/>
    <w:rsid w:val="63B75221"/>
    <w:rsid w:val="63B82D47"/>
    <w:rsid w:val="63C74D38"/>
    <w:rsid w:val="63EA73A4"/>
    <w:rsid w:val="63EE4692"/>
    <w:rsid w:val="63FD622D"/>
    <w:rsid w:val="64177A6E"/>
    <w:rsid w:val="64395C36"/>
    <w:rsid w:val="643F32F9"/>
    <w:rsid w:val="64582686"/>
    <w:rsid w:val="64673C87"/>
    <w:rsid w:val="64877733"/>
    <w:rsid w:val="64925346"/>
    <w:rsid w:val="64964E36"/>
    <w:rsid w:val="64A170D2"/>
    <w:rsid w:val="64A251DD"/>
    <w:rsid w:val="64B654D9"/>
    <w:rsid w:val="64BC182A"/>
    <w:rsid w:val="650242F0"/>
    <w:rsid w:val="65222B6E"/>
    <w:rsid w:val="65365B2B"/>
    <w:rsid w:val="653F447E"/>
    <w:rsid w:val="65542778"/>
    <w:rsid w:val="655829AF"/>
    <w:rsid w:val="656B70C3"/>
    <w:rsid w:val="658E1FB1"/>
    <w:rsid w:val="658F4798"/>
    <w:rsid w:val="659B1EBA"/>
    <w:rsid w:val="65A11CE5"/>
    <w:rsid w:val="65A83379"/>
    <w:rsid w:val="65B461E9"/>
    <w:rsid w:val="65B80DDC"/>
    <w:rsid w:val="65BE39A8"/>
    <w:rsid w:val="65C23A09"/>
    <w:rsid w:val="65FB3FBE"/>
    <w:rsid w:val="66101A71"/>
    <w:rsid w:val="66171FA7"/>
    <w:rsid w:val="662326FA"/>
    <w:rsid w:val="66247D11"/>
    <w:rsid w:val="663B3EC9"/>
    <w:rsid w:val="665A1E94"/>
    <w:rsid w:val="66736112"/>
    <w:rsid w:val="667F5B5B"/>
    <w:rsid w:val="668F1B3D"/>
    <w:rsid w:val="6694262A"/>
    <w:rsid w:val="66990381"/>
    <w:rsid w:val="66B31B01"/>
    <w:rsid w:val="66CE1E80"/>
    <w:rsid w:val="66DB2FD4"/>
    <w:rsid w:val="66E362F9"/>
    <w:rsid w:val="66E47FD9"/>
    <w:rsid w:val="66E520A5"/>
    <w:rsid w:val="66F04175"/>
    <w:rsid w:val="66F127F8"/>
    <w:rsid w:val="67071922"/>
    <w:rsid w:val="673B73C0"/>
    <w:rsid w:val="674743C8"/>
    <w:rsid w:val="675608B6"/>
    <w:rsid w:val="67754402"/>
    <w:rsid w:val="677D54ED"/>
    <w:rsid w:val="678B726C"/>
    <w:rsid w:val="679D472E"/>
    <w:rsid w:val="679E40A4"/>
    <w:rsid w:val="67AF39A5"/>
    <w:rsid w:val="67B25E27"/>
    <w:rsid w:val="67B4646D"/>
    <w:rsid w:val="67B464CA"/>
    <w:rsid w:val="67C4383B"/>
    <w:rsid w:val="67D35E1A"/>
    <w:rsid w:val="67D839B8"/>
    <w:rsid w:val="67F35317"/>
    <w:rsid w:val="67F73E3E"/>
    <w:rsid w:val="68016A6B"/>
    <w:rsid w:val="680201B7"/>
    <w:rsid w:val="68040309"/>
    <w:rsid w:val="68060525"/>
    <w:rsid w:val="68362BFB"/>
    <w:rsid w:val="683D085A"/>
    <w:rsid w:val="683F1130"/>
    <w:rsid w:val="684456A1"/>
    <w:rsid w:val="68573C08"/>
    <w:rsid w:val="685E1363"/>
    <w:rsid w:val="687731D1"/>
    <w:rsid w:val="6878475E"/>
    <w:rsid w:val="688E1089"/>
    <w:rsid w:val="68993219"/>
    <w:rsid w:val="689E42BA"/>
    <w:rsid w:val="68A026F3"/>
    <w:rsid w:val="68AF6C13"/>
    <w:rsid w:val="68C77CB4"/>
    <w:rsid w:val="68F25680"/>
    <w:rsid w:val="69074555"/>
    <w:rsid w:val="690E07C7"/>
    <w:rsid w:val="69140A20"/>
    <w:rsid w:val="69236A65"/>
    <w:rsid w:val="692E469B"/>
    <w:rsid w:val="69315C48"/>
    <w:rsid w:val="694019EC"/>
    <w:rsid w:val="694841AF"/>
    <w:rsid w:val="69584DB4"/>
    <w:rsid w:val="695B5B89"/>
    <w:rsid w:val="695D5F23"/>
    <w:rsid w:val="696C3D80"/>
    <w:rsid w:val="696D7E94"/>
    <w:rsid w:val="698A5EE4"/>
    <w:rsid w:val="69934A52"/>
    <w:rsid w:val="69C811ED"/>
    <w:rsid w:val="69D33070"/>
    <w:rsid w:val="69E97E75"/>
    <w:rsid w:val="69FB573C"/>
    <w:rsid w:val="69FB5D9E"/>
    <w:rsid w:val="69FF6FDA"/>
    <w:rsid w:val="6A1A3007"/>
    <w:rsid w:val="6A1A5408"/>
    <w:rsid w:val="6A1E645E"/>
    <w:rsid w:val="6A3C6480"/>
    <w:rsid w:val="6A417049"/>
    <w:rsid w:val="6A576E16"/>
    <w:rsid w:val="6A7903E5"/>
    <w:rsid w:val="6A8219B9"/>
    <w:rsid w:val="6A8641F2"/>
    <w:rsid w:val="6A9701A5"/>
    <w:rsid w:val="6AA03032"/>
    <w:rsid w:val="6AA86FEC"/>
    <w:rsid w:val="6ACB20F7"/>
    <w:rsid w:val="6ADA6AC4"/>
    <w:rsid w:val="6ADB11D6"/>
    <w:rsid w:val="6ADF0BB9"/>
    <w:rsid w:val="6B1A2C3C"/>
    <w:rsid w:val="6B221F4E"/>
    <w:rsid w:val="6B31644D"/>
    <w:rsid w:val="6B486C86"/>
    <w:rsid w:val="6B554C72"/>
    <w:rsid w:val="6B680BAF"/>
    <w:rsid w:val="6B774DF2"/>
    <w:rsid w:val="6B847AD7"/>
    <w:rsid w:val="6B961F07"/>
    <w:rsid w:val="6B9A2DF9"/>
    <w:rsid w:val="6BA56BC7"/>
    <w:rsid w:val="6BAA566B"/>
    <w:rsid w:val="6BAC4619"/>
    <w:rsid w:val="6BB118FD"/>
    <w:rsid w:val="6BC60150"/>
    <w:rsid w:val="6BCD2823"/>
    <w:rsid w:val="6BDD15DD"/>
    <w:rsid w:val="6BDF2966"/>
    <w:rsid w:val="6BE86A5F"/>
    <w:rsid w:val="6C053C7D"/>
    <w:rsid w:val="6C0D357A"/>
    <w:rsid w:val="6C197958"/>
    <w:rsid w:val="6C2076DB"/>
    <w:rsid w:val="6C234DED"/>
    <w:rsid w:val="6C29198B"/>
    <w:rsid w:val="6C3A67D1"/>
    <w:rsid w:val="6C3D2157"/>
    <w:rsid w:val="6C3D2D5C"/>
    <w:rsid w:val="6C4800AA"/>
    <w:rsid w:val="6C4D28F8"/>
    <w:rsid w:val="6C573E9C"/>
    <w:rsid w:val="6C5C23DC"/>
    <w:rsid w:val="6C6D1126"/>
    <w:rsid w:val="6C986334"/>
    <w:rsid w:val="6CA35B3A"/>
    <w:rsid w:val="6CA41A5D"/>
    <w:rsid w:val="6CA479DF"/>
    <w:rsid w:val="6CAF588C"/>
    <w:rsid w:val="6CB4638E"/>
    <w:rsid w:val="6CBF3C6A"/>
    <w:rsid w:val="6CBF5306"/>
    <w:rsid w:val="6CD81D64"/>
    <w:rsid w:val="6CD930DF"/>
    <w:rsid w:val="6CDC1854"/>
    <w:rsid w:val="6CE70FA1"/>
    <w:rsid w:val="6CF05300"/>
    <w:rsid w:val="6CFA6351"/>
    <w:rsid w:val="6CFC3C40"/>
    <w:rsid w:val="6D0B5AEF"/>
    <w:rsid w:val="6D2F6F7D"/>
    <w:rsid w:val="6D480984"/>
    <w:rsid w:val="6D8079F9"/>
    <w:rsid w:val="6D8A5754"/>
    <w:rsid w:val="6DB13E57"/>
    <w:rsid w:val="6DC245A2"/>
    <w:rsid w:val="6DC71662"/>
    <w:rsid w:val="6DCD5126"/>
    <w:rsid w:val="6DDB6CB0"/>
    <w:rsid w:val="6DE21877"/>
    <w:rsid w:val="6DE52ACD"/>
    <w:rsid w:val="6DF36E56"/>
    <w:rsid w:val="6DFC0B44"/>
    <w:rsid w:val="6E0458E7"/>
    <w:rsid w:val="6E212037"/>
    <w:rsid w:val="6E263D90"/>
    <w:rsid w:val="6E3B221B"/>
    <w:rsid w:val="6E475779"/>
    <w:rsid w:val="6E51424D"/>
    <w:rsid w:val="6E663C68"/>
    <w:rsid w:val="6E6A3D7F"/>
    <w:rsid w:val="6E7764EF"/>
    <w:rsid w:val="6E8403F6"/>
    <w:rsid w:val="6E963C85"/>
    <w:rsid w:val="6EAD447C"/>
    <w:rsid w:val="6EAE5472"/>
    <w:rsid w:val="6EBC069A"/>
    <w:rsid w:val="6EBE7228"/>
    <w:rsid w:val="6ECD7F59"/>
    <w:rsid w:val="6ECF449B"/>
    <w:rsid w:val="6ED975CA"/>
    <w:rsid w:val="6EED7C80"/>
    <w:rsid w:val="6EF773A4"/>
    <w:rsid w:val="6F1E2E65"/>
    <w:rsid w:val="6F2F2D9E"/>
    <w:rsid w:val="6F343BCA"/>
    <w:rsid w:val="6F4147D9"/>
    <w:rsid w:val="6F581F47"/>
    <w:rsid w:val="6F5B0D5A"/>
    <w:rsid w:val="6F5C35EA"/>
    <w:rsid w:val="6F6B6A15"/>
    <w:rsid w:val="6F947E4B"/>
    <w:rsid w:val="6FA30BDA"/>
    <w:rsid w:val="6FB21D4C"/>
    <w:rsid w:val="6FB80698"/>
    <w:rsid w:val="6FFD5E0F"/>
    <w:rsid w:val="701021F4"/>
    <w:rsid w:val="701C29A6"/>
    <w:rsid w:val="7024611F"/>
    <w:rsid w:val="7038498C"/>
    <w:rsid w:val="70637B96"/>
    <w:rsid w:val="70797317"/>
    <w:rsid w:val="707E201F"/>
    <w:rsid w:val="7099044B"/>
    <w:rsid w:val="709A06E1"/>
    <w:rsid w:val="709D518F"/>
    <w:rsid w:val="70A42248"/>
    <w:rsid w:val="70B76860"/>
    <w:rsid w:val="70C759D3"/>
    <w:rsid w:val="70CD7E32"/>
    <w:rsid w:val="70CF2B23"/>
    <w:rsid w:val="70D70CB1"/>
    <w:rsid w:val="70D80585"/>
    <w:rsid w:val="70E2315F"/>
    <w:rsid w:val="70FA674D"/>
    <w:rsid w:val="710952C1"/>
    <w:rsid w:val="713954C7"/>
    <w:rsid w:val="713F70AB"/>
    <w:rsid w:val="71452CD8"/>
    <w:rsid w:val="71583F2D"/>
    <w:rsid w:val="7158683A"/>
    <w:rsid w:val="715B2F52"/>
    <w:rsid w:val="71615C3D"/>
    <w:rsid w:val="7167680B"/>
    <w:rsid w:val="71764F23"/>
    <w:rsid w:val="71881188"/>
    <w:rsid w:val="718F158B"/>
    <w:rsid w:val="71946576"/>
    <w:rsid w:val="71967E84"/>
    <w:rsid w:val="7197629F"/>
    <w:rsid w:val="71A61873"/>
    <w:rsid w:val="71AF4936"/>
    <w:rsid w:val="71B12351"/>
    <w:rsid w:val="71BB4E1E"/>
    <w:rsid w:val="71D07496"/>
    <w:rsid w:val="71D75D0F"/>
    <w:rsid w:val="71F437A4"/>
    <w:rsid w:val="721919B3"/>
    <w:rsid w:val="721970A7"/>
    <w:rsid w:val="721A6098"/>
    <w:rsid w:val="721D18D3"/>
    <w:rsid w:val="72310D1A"/>
    <w:rsid w:val="725D6B54"/>
    <w:rsid w:val="727644F9"/>
    <w:rsid w:val="72986FA0"/>
    <w:rsid w:val="729D1A86"/>
    <w:rsid w:val="72A17C99"/>
    <w:rsid w:val="72A2709C"/>
    <w:rsid w:val="72A5093A"/>
    <w:rsid w:val="72AD7197"/>
    <w:rsid w:val="72AF6F7E"/>
    <w:rsid w:val="72BD2C86"/>
    <w:rsid w:val="72CD226C"/>
    <w:rsid w:val="72D27981"/>
    <w:rsid w:val="73047407"/>
    <w:rsid w:val="73047904"/>
    <w:rsid w:val="73090EC9"/>
    <w:rsid w:val="731A4E85"/>
    <w:rsid w:val="73253EFA"/>
    <w:rsid w:val="73353A6C"/>
    <w:rsid w:val="734C1A6A"/>
    <w:rsid w:val="735663B7"/>
    <w:rsid w:val="735C5949"/>
    <w:rsid w:val="735E5ED7"/>
    <w:rsid w:val="73671287"/>
    <w:rsid w:val="73737DA5"/>
    <w:rsid w:val="73740A39"/>
    <w:rsid w:val="73783823"/>
    <w:rsid w:val="73840550"/>
    <w:rsid w:val="73887B3E"/>
    <w:rsid w:val="73892412"/>
    <w:rsid w:val="73AF2114"/>
    <w:rsid w:val="73AF381F"/>
    <w:rsid w:val="73E159A2"/>
    <w:rsid w:val="73E96BCA"/>
    <w:rsid w:val="73EE4A6E"/>
    <w:rsid w:val="741048BC"/>
    <w:rsid w:val="742E78D4"/>
    <w:rsid w:val="74317498"/>
    <w:rsid w:val="74335A84"/>
    <w:rsid w:val="743A6A13"/>
    <w:rsid w:val="74676A28"/>
    <w:rsid w:val="747E40B6"/>
    <w:rsid w:val="7481790F"/>
    <w:rsid w:val="74A43991"/>
    <w:rsid w:val="74AA2238"/>
    <w:rsid w:val="74AC3224"/>
    <w:rsid w:val="74B21065"/>
    <w:rsid w:val="74BB2C83"/>
    <w:rsid w:val="74C33758"/>
    <w:rsid w:val="74D476FB"/>
    <w:rsid w:val="74D72451"/>
    <w:rsid w:val="74DE4E5F"/>
    <w:rsid w:val="74EB54AB"/>
    <w:rsid w:val="74F0689A"/>
    <w:rsid w:val="74FF6D43"/>
    <w:rsid w:val="750201A2"/>
    <w:rsid w:val="750E70AC"/>
    <w:rsid w:val="75137DDD"/>
    <w:rsid w:val="751A76AF"/>
    <w:rsid w:val="75241FEA"/>
    <w:rsid w:val="75250574"/>
    <w:rsid w:val="75306BE1"/>
    <w:rsid w:val="753649D0"/>
    <w:rsid w:val="754459E0"/>
    <w:rsid w:val="7550443E"/>
    <w:rsid w:val="755F0BCC"/>
    <w:rsid w:val="7561323F"/>
    <w:rsid w:val="756C298A"/>
    <w:rsid w:val="756F17F9"/>
    <w:rsid w:val="757E5B9F"/>
    <w:rsid w:val="75825461"/>
    <w:rsid w:val="75907680"/>
    <w:rsid w:val="75916599"/>
    <w:rsid w:val="759926FC"/>
    <w:rsid w:val="75A24276"/>
    <w:rsid w:val="75AA231D"/>
    <w:rsid w:val="75AD6340"/>
    <w:rsid w:val="75DF5F11"/>
    <w:rsid w:val="75E8633A"/>
    <w:rsid w:val="76360227"/>
    <w:rsid w:val="76393874"/>
    <w:rsid w:val="763F09AA"/>
    <w:rsid w:val="764F3FCC"/>
    <w:rsid w:val="7650339F"/>
    <w:rsid w:val="76603C9A"/>
    <w:rsid w:val="766B00E5"/>
    <w:rsid w:val="76832D41"/>
    <w:rsid w:val="768B2C28"/>
    <w:rsid w:val="76AA29C3"/>
    <w:rsid w:val="76BB1CAB"/>
    <w:rsid w:val="76C04050"/>
    <w:rsid w:val="76D67314"/>
    <w:rsid w:val="76E00193"/>
    <w:rsid w:val="76E65049"/>
    <w:rsid w:val="76FA74A7"/>
    <w:rsid w:val="77076007"/>
    <w:rsid w:val="771A36A5"/>
    <w:rsid w:val="773F310C"/>
    <w:rsid w:val="77413F7E"/>
    <w:rsid w:val="77464076"/>
    <w:rsid w:val="7758241F"/>
    <w:rsid w:val="777A2396"/>
    <w:rsid w:val="777A7D22"/>
    <w:rsid w:val="777E28EC"/>
    <w:rsid w:val="77835654"/>
    <w:rsid w:val="7797109C"/>
    <w:rsid w:val="779A2A38"/>
    <w:rsid w:val="77B4450A"/>
    <w:rsid w:val="77B46E73"/>
    <w:rsid w:val="77CE088D"/>
    <w:rsid w:val="77D575CC"/>
    <w:rsid w:val="77E37A12"/>
    <w:rsid w:val="77F42148"/>
    <w:rsid w:val="77FE3468"/>
    <w:rsid w:val="78000AED"/>
    <w:rsid w:val="78250553"/>
    <w:rsid w:val="782642CC"/>
    <w:rsid w:val="783B17B1"/>
    <w:rsid w:val="784E2046"/>
    <w:rsid w:val="78546F0C"/>
    <w:rsid w:val="786778FE"/>
    <w:rsid w:val="78830961"/>
    <w:rsid w:val="789D588A"/>
    <w:rsid w:val="78B65E3A"/>
    <w:rsid w:val="78E0091E"/>
    <w:rsid w:val="78EE1C79"/>
    <w:rsid w:val="78F85605"/>
    <w:rsid w:val="78FA66FA"/>
    <w:rsid w:val="790463BB"/>
    <w:rsid w:val="79345B6A"/>
    <w:rsid w:val="79424F6E"/>
    <w:rsid w:val="795F3706"/>
    <w:rsid w:val="797239CC"/>
    <w:rsid w:val="797F54AB"/>
    <w:rsid w:val="79831473"/>
    <w:rsid w:val="79983E9C"/>
    <w:rsid w:val="7999527A"/>
    <w:rsid w:val="79AF76C5"/>
    <w:rsid w:val="79C25EE1"/>
    <w:rsid w:val="79CE2967"/>
    <w:rsid w:val="79E30EE8"/>
    <w:rsid w:val="79E34934"/>
    <w:rsid w:val="79EA1A55"/>
    <w:rsid w:val="79EA664C"/>
    <w:rsid w:val="79F9627A"/>
    <w:rsid w:val="79FF6948"/>
    <w:rsid w:val="7A044199"/>
    <w:rsid w:val="7A0657CF"/>
    <w:rsid w:val="7A2F3BBF"/>
    <w:rsid w:val="7A2F459A"/>
    <w:rsid w:val="7A322A39"/>
    <w:rsid w:val="7A517022"/>
    <w:rsid w:val="7A542B32"/>
    <w:rsid w:val="7A6F5001"/>
    <w:rsid w:val="7A7720A0"/>
    <w:rsid w:val="7A837B2B"/>
    <w:rsid w:val="7A9635B3"/>
    <w:rsid w:val="7AA2343E"/>
    <w:rsid w:val="7AD60EB8"/>
    <w:rsid w:val="7ADA73A4"/>
    <w:rsid w:val="7ADB139D"/>
    <w:rsid w:val="7AE66B99"/>
    <w:rsid w:val="7AF34646"/>
    <w:rsid w:val="7AFE508C"/>
    <w:rsid w:val="7B0A3BCA"/>
    <w:rsid w:val="7B1C0EF4"/>
    <w:rsid w:val="7B2014A6"/>
    <w:rsid w:val="7B345AA9"/>
    <w:rsid w:val="7B4048C1"/>
    <w:rsid w:val="7B4C5DF7"/>
    <w:rsid w:val="7B73082F"/>
    <w:rsid w:val="7B7B492E"/>
    <w:rsid w:val="7B9A3D1D"/>
    <w:rsid w:val="7BB46FBD"/>
    <w:rsid w:val="7BC462D5"/>
    <w:rsid w:val="7BC62E00"/>
    <w:rsid w:val="7BC73B55"/>
    <w:rsid w:val="7BCB5B3D"/>
    <w:rsid w:val="7BE35E2A"/>
    <w:rsid w:val="7BF538C2"/>
    <w:rsid w:val="7BF66C24"/>
    <w:rsid w:val="7BFA1CC7"/>
    <w:rsid w:val="7BFB70B3"/>
    <w:rsid w:val="7BFD3595"/>
    <w:rsid w:val="7C0251DA"/>
    <w:rsid w:val="7C0C0E4A"/>
    <w:rsid w:val="7C0E41D1"/>
    <w:rsid w:val="7C1052F2"/>
    <w:rsid w:val="7C21292C"/>
    <w:rsid w:val="7C2668D9"/>
    <w:rsid w:val="7C32497F"/>
    <w:rsid w:val="7C3C69AE"/>
    <w:rsid w:val="7C691974"/>
    <w:rsid w:val="7C817D22"/>
    <w:rsid w:val="7C8A6570"/>
    <w:rsid w:val="7C8B7390"/>
    <w:rsid w:val="7C9B0D0E"/>
    <w:rsid w:val="7CA42B03"/>
    <w:rsid w:val="7CC55E61"/>
    <w:rsid w:val="7CCC5441"/>
    <w:rsid w:val="7CD2318A"/>
    <w:rsid w:val="7CD2702A"/>
    <w:rsid w:val="7CD34C42"/>
    <w:rsid w:val="7CD46B29"/>
    <w:rsid w:val="7CDE3FF9"/>
    <w:rsid w:val="7CE26EBF"/>
    <w:rsid w:val="7CEE3130"/>
    <w:rsid w:val="7CF95B0B"/>
    <w:rsid w:val="7CFC08E8"/>
    <w:rsid w:val="7D0C1CE2"/>
    <w:rsid w:val="7D1E1A15"/>
    <w:rsid w:val="7D1F6674"/>
    <w:rsid w:val="7D475E29"/>
    <w:rsid w:val="7D480B34"/>
    <w:rsid w:val="7D777A3E"/>
    <w:rsid w:val="7D9005BC"/>
    <w:rsid w:val="7D9F0AD0"/>
    <w:rsid w:val="7DB22BDF"/>
    <w:rsid w:val="7DD12BB7"/>
    <w:rsid w:val="7DF223A2"/>
    <w:rsid w:val="7DFF0955"/>
    <w:rsid w:val="7E0B750E"/>
    <w:rsid w:val="7E1939E8"/>
    <w:rsid w:val="7E2400E7"/>
    <w:rsid w:val="7E2822EA"/>
    <w:rsid w:val="7E2A20CE"/>
    <w:rsid w:val="7E355A7B"/>
    <w:rsid w:val="7E455322"/>
    <w:rsid w:val="7E682F48"/>
    <w:rsid w:val="7E6E3E85"/>
    <w:rsid w:val="7E953F59"/>
    <w:rsid w:val="7E991353"/>
    <w:rsid w:val="7E9C184B"/>
    <w:rsid w:val="7EA72948"/>
    <w:rsid w:val="7EB31EDB"/>
    <w:rsid w:val="7ED61132"/>
    <w:rsid w:val="7EE70CC0"/>
    <w:rsid w:val="7EEB48DB"/>
    <w:rsid w:val="7EF27444"/>
    <w:rsid w:val="7F185A04"/>
    <w:rsid w:val="7F2257ED"/>
    <w:rsid w:val="7F265C58"/>
    <w:rsid w:val="7F3B240A"/>
    <w:rsid w:val="7F4C4618"/>
    <w:rsid w:val="7F4D13A6"/>
    <w:rsid w:val="7F582CF2"/>
    <w:rsid w:val="7F951B40"/>
    <w:rsid w:val="7FA501CC"/>
    <w:rsid w:val="7FA820A8"/>
    <w:rsid w:val="7FAF2DF8"/>
    <w:rsid w:val="7FB90D50"/>
    <w:rsid w:val="7FBE053E"/>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autoRedefine/>
    <w:qFormat/>
    <w:uiPriority w:val="0"/>
    <w:pPr>
      <w:keepNext/>
      <w:keepLines/>
      <w:spacing w:before="340" w:after="330" w:line="576" w:lineRule="auto"/>
      <w:outlineLvl w:val="0"/>
    </w:pPr>
    <w:rPr>
      <w:b/>
      <w:bCs/>
      <w:kern w:val="44"/>
      <w:sz w:val="44"/>
      <w:szCs w:val="44"/>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paragraph" w:styleId="7">
    <w:name w:val="heading 4"/>
    <w:basedOn w:val="1"/>
    <w:next w:val="1"/>
    <w:autoRedefine/>
    <w:qFormat/>
    <w:uiPriority w:val="0"/>
    <w:pPr>
      <w:keepNext/>
      <w:keepLines/>
      <w:spacing w:line="360" w:lineRule="auto"/>
      <w:outlineLvl w:val="3"/>
    </w:pPr>
    <w:rPr>
      <w:rFonts w:ascii="Arial" w:hAnsi="Arial"/>
      <w:b/>
      <w:bCs/>
      <w:szCs w:val="28"/>
    </w:rPr>
  </w:style>
  <w:style w:type="paragraph" w:styleId="8">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next w:val="5"/>
    <w:link w:val="76"/>
    <w:autoRedefine/>
    <w:qFormat/>
    <w:uiPriority w:val="0"/>
  </w:style>
  <w:style w:type="paragraph" w:customStyle="1" w:styleId="5">
    <w:name w:val="Default"/>
    <w:next w:val="1"/>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9">
    <w:name w:val="List Number"/>
    <w:basedOn w:val="1"/>
    <w:autoRedefine/>
    <w:qFormat/>
    <w:uiPriority w:val="0"/>
    <w:pPr>
      <w:widowControl/>
      <w:spacing w:beforeAutospacing="1" w:afterAutospacing="1"/>
      <w:jc w:val="left"/>
    </w:pPr>
    <w:rPr>
      <w:rFonts w:ascii="宋体" w:hAnsi="宋体" w:cs="宋体"/>
      <w:kern w:val="0"/>
      <w:sz w:val="24"/>
    </w:rPr>
  </w:style>
  <w:style w:type="paragraph" w:styleId="10">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1">
    <w:name w:val="Document Map"/>
    <w:basedOn w:val="1"/>
    <w:link w:val="78"/>
    <w:autoRedefine/>
    <w:qFormat/>
    <w:uiPriority w:val="0"/>
    <w:rPr>
      <w:rFonts w:ascii="宋体" w:hAnsi="Calibri"/>
      <w:sz w:val="18"/>
      <w:szCs w:val="18"/>
    </w:rPr>
  </w:style>
  <w:style w:type="paragraph" w:styleId="12">
    <w:name w:val="annotation text"/>
    <w:basedOn w:val="1"/>
    <w:autoRedefine/>
    <w:qFormat/>
    <w:uiPriority w:val="0"/>
    <w:pPr>
      <w:jc w:val="left"/>
    </w:pPr>
  </w:style>
  <w:style w:type="paragraph" w:styleId="13">
    <w:name w:val="Body Text 3"/>
    <w:basedOn w:val="1"/>
    <w:autoRedefine/>
    <w:qFormat/>
    <w:uiPriority w:val="0"/>
    <w:rPr>
      <w:sz w:val="16"/>
      <w:szCs w:val="16"/>
    </w:rPr>
  </w:style>
  <w:style w:type="paragraph" w:styleId="14">
    <w:name w:val="Body Text Indent"/>
    <w:basedOn w:val="1"/>
    <w:next w:val="15"/>
    <w:autoRedefine/>
    <w:qFormat/>
    <w:uiPriority w:val="0"/>
    <w:pPr>
      <w:widowControl/>
      <w:spacing w:beforeAutospacing="1" w:afterAutospacing="1"/>
      <w:jc w:val="left"/>
    </w:pPr>
    <w:rPr>
      <w:rFonts w:ascii="宋体" w:hAnsi="宋体" w:cs="宋体"/>
      <w:kern w:val="0"/>
      <w:sz w:val="24"/>
    </w:rPr>
  </w:style>
  <w:style w:type="paragraph" w:styleId="15">
    <w:name w:val="Body Text First Indent 2"/>
    <w:basedOn w:val="14"/>
    <w:autoRedefine/>
    <w:qFormat/>
    <w:uiPriority w:val="0"/>
    <w:pPr>
      <w:ind w:firstLine="420" w:firstLineChars="200"/>
    </w:pPr>
  </w:style>
  <w:style w:type="paragraph" w:styleId="16">
    <w:name w:val="List 2"/>
    <w:basedOn w:val="1"/>
    <w:autoRedefine/>
    <w:qFormat/>
    <w:uiPriority w:val="0"/>
    <w:pPr>
      <w:ind w:left="100" w:leftChars="200" w:hanging="200" w:hangingChars="200"/>
    </w:pPr>
  </w:style>
  <w:style w:type="paragraph" w:styleId="17">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8">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19">
    <w:name w:val="Plain Text"/>
    <w:basedOn w:val="1"/>
    <w:autoRedefine/>
    <w:qFormat/>
    <w:uiPriority w:val="0"/>
    <w:pPr>
      <w:widowControl/>
      <w:spacing w:beforeAutospacing="1" w:afterAutospacing="1"/>
      <w:jc w:val="left"/>
    </w:pPr>
    <w:rPr>
      <w:rFonts w:ascii="宋体" w:hAnsi="宋体" w:cs="宋体"/>
      <w:kern w:val="0"/>
      <w:sz w:val="24"/>
    </w:rPr>
  </w:style>
  <w:style w:type="paragraph" w:styleId="20">
    <w:name w:val="Date"/>
    <w:basedOn w:val="1"/>
    <w:next w:val="1"/>
    <w:autoRedefine/>
    <w:qFormat/>
    <w:uiPriority w:val="0"/>
    <w:pPr>
      <w:ind w:left="100" w:leftChars="2500"/>
    </w:pPr>
    <w:rPr>
      <w:rFonts w:ascii="宋体" w:hAnsi="宋体"/>
      <w:sz w:val="28"/>
    </w:rPr>
  </w:style>
  <w:style w:type="paragraph" w:styleId="21">
    <w:name w:val="Body Text Indent 2"/>
    <w:basedOn w:val="1"/>
    <w:autoRedefine/>
    <w:qFormat/>
    <w:uiPriority w:val="0"/>
    <w:pPr>
      <w:spacing w:line="480" w:lineRule="auto"/>
      <w:ind w:left="420" w:leftChars="200"/>
    </w:pPr>
  </w:style>
  <w:style w:type="paragraph" w:styleId="22">
    <w:name w:val="footer"/>
    <w:basedOn w:val="1"/>
    <w:autoRedefine/>
    <w:qFormat/>
    <w:uiPriority w:val="0"/>
    <w:pPr>
      <w:tabs>
        <w:tab w:val="center" w:pos="4153"/>
        <w:tab w:val="right" w:pos="8306"/>
      </w:tabs>
      <w:snapToGrid w:val="0"/>
      <w:jc w:val="left"/>
    </w:pPr>
    <w:rPr>
      <w:sz w:val="18"/>
      <w:szCs w:val="18"/>
    </w:rPr>
  </w:style>
  <w:style w:type="paragraph" w:styleId="23">
    <w:name w:val="envelope return"/>
    <w:basedOn w:val="1"/>
    <w:autoRedefine/>
    <w:unhideWhenUsed/>
    <w:qFormat/>
    <w:uiPriority w:val="99"/>
    <w:pPr>
      <w:snapToGrid w:val="0"/>
    </w:pPr>
    <w:rPr>
      <w:rFonts w:ascii="Arial" w:hAnsi="Arial"/>
    </w:rPr>
  </w:style>
  <w:style w:type="paragraph" w:styleId="2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style>
  <w:style w:type="paragraph" w:styleId="26">
    <w:name w:val="List"/>
    <w:basedOn w:val="1"/>
    <w:autoRedefine/>
    <w:qFormat/>
    <w:uiPriority w:val="0"/>
    <w:pPr>
      <w:ind w:left="200" w:hanging="200" w:hangingChars="200"/>
    </w:pPr>
  </w:style>
  <w:style w:type="paragraph" w:styleId="27">
    <w:name w:val="Body Text 2"/>
    <w:basedOn w:val="1"/>
    <w:autoRedefine/>
    <w:qFormat/>
    <w:uiPriority w:val="0"/>
    <w:pPr>
      <w:spacing w:line="480" w:lineRule="auto"/>
    </w:pPr>
  </w:style>
  <w:style w:type="paragraph" w:styleId="28">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0">
    <w:name w:val="Normal (Web)"/>
    <w:basedOn w:val="1"/>
    <w:autoRedefine/>
    <w:qFormat/>
    <w:uiPriority w:val="99"/>
    <w:pPr>
      <w:spacing w:before="100" w:beforeAutospacing="1" w:after="100" w:afterAutospacing="1"/>
      <w:jc w:val="left"/>
    </w:pPr>
    <w:rPr>
      <w:kern w:val="0"/>
      <w:sz w:val="24"/>
    </w:rPr>
  </w:style>
  <w:style w:type="paragraph" w:styleId="31">
    <w:name w:val="Title"/>
    <w:basedOn w:val="1"/>
    <w:autoRedefine/>
    <w:qFormat/>
    <w:uiPriority w:val="0"/>
    <w:pPr>
      <w:jc w:val="center"/>
      <w:outlineLvl w:val="0"/>
    </w:pPr>
    <w:rPr>
      <w:rFonts w:ascii="Arial" w:hAnsi="Arial" w:cs="Arial"/>
      <w:b/>
      <w:bCs/>
      <w:sz w:val="32"/>
      <w:szCs w:val="32"/>
    </w:rPr>
  </w:style>
  <w:style w:type="paragraph" w:styleId="32">
    <w:name w:val="Body Text First Indent"/>
    <w:basedOn w:val="4"/>
    <w:next w:val="15"/>
    <w:autoRedefine/>
    <w:qFormat/>
    <w:uiPriority w:val="0"/>
    <w:pPr>
      <w:spacing w:line="360" w:lineRule="auto"/>
      <w:ind w:firstLine="420" w:firstLineChars="100"/>
    </w:pPr>
    <w:rPr>
      <w:szCs w:val="21"/>
    </w:rPr>
  </w:style>
  <w:style w:type="table" w:styleId="34">
    <w:name w:val="Table Grid"/>
    <w:basedOn w:val="33"/>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autoRedefine/>
    <w:qFormat/>
    <w:uiPriority w:val="0"/>
    <w:rPr>
      <w:b/>
      <w:bCs/>
      <w:szCs w:val="24"/>
    </w:rPr>
  </w:style>
  <w:style w:type="character" w:styleId="37">
    <w:name w:val="page number"/>
    <w:basedOn w:val="35"/>
    <w:autoRedefine/>
    <w:qFormat/>
    <w:uiPriority w:val="0"/>
  </w:style>
  <w:style w:type="character" w:styleId="38">
    <w:name w:val="FollowedHyperlink"/>
    <w:autoRedefine/>
    <w:qFormat/>
    <w:uiPriority w:val="0"/>
    <w:rPr>
      <w:color w:val="333333"/>
      <w:szCs w:val="24"/>
      <w:u w:val="none"/>
    </w:rPr>
  </w:style>
  <w:style w:type="character" w:styleId="39">
    <w:name w:val="Emphasis"/>
    <w:basedOn w:val="35"/>
    <w:autoRedefine/>
    <w:qFormat/>
    <w:uiPriority w:val="0"/>
  </w:style>
  <w:style w:type="character" w:styleId="40">
    <w:name w:val="HTML Definition"/>
    <w:basedOn w:val="35"/>
    <w:autoRedefine/>
    <w:qFormat/>
    <w:uiPriority w:val="0"/>
  </w:style>
  <w:style w:type="character" w:styleId="41">
    <w:name w:val="HTML Typewriter"/>
    <w:basedOn w:val="35"/>
    <w:autoRedefine/>
    <w:qFormat/>
    <w:uiPriority w:val="0"/>
    <w:rPr>
      <w:rFonts w:hint="default" w:ascii="monospace" w:hAnsi="monospace" w:eastAsia="monospace" w:cs="monospace"/>
      <w:sz w:val="20"/>
    </w:rPr>
  </w:style>
  <w:style w:type="character" w:styleId="42">
    <w:name w:val="HTML Acronym"/>
    <w:basedOn w:val="35"/>
    <w:autoRedefine/>
    <w:qFormat/>
    <w:uiPriority w:val="0"/>
  </w:style>
  <w:style w:type="character" w:styleId="43">
    <w:name w:val="HTML Variable"/>
    <w:basedOn w:val="35"/>
    <w:autoRedefine/>
    <w:qFormat/>
    <w:uiPriority w:val="0"/>
  </w:style>
  <w:style w:type="character" w:styleId="44">
    <w:name w:val="Hyperlink"/>
    <w:basedOn w:val="35"/>
    <w:autoRedefine/>
    <w:qFormat/>
    <w:uiPriority w:val="0"/>
    <w:rPr>
      <w:color w:val="333333"/>
      <w:szCs w:val="24"/>
      <w:u w:val="none"/>
    </w:rPr>
  </w:style>
  <w:style w:type="character" w:styleId="45">
    <w:name w:val="HTML Code"/>
    <w:basedOn w:val="35"/>
    <w:autoRedefine/>
    <w:qFormat/>
    <w:uiPriority w:val="0"/>
    <w:rPr>
      <w:rFonts w:ascii="monospace" w:hAnsi="monospace" w:eastAsia="monospace" w:cs="monospace"/>
      <w:sz w:val="20"/>
    </w:rPr>
  </w:style>
  <w:style w:type="character" w:styleId="46">
    <w:name w:val="HTML Cite"/>
    <w:basedOn w:val="35"/>
    <w:autoRedefine/>
    <w:qFormat/>
    <w:uiPriority w:val="0"/>
  </w:style>
  <w:style w:type="character" w:styleId="47">
    <w:name w:val="HTML Keyboard"/>
    <w:basedOn w:val="35"/>
    <w:autoRedefine/>
    <w:qFormat/>
    <w:uiPriority w:val="0"/>
    <w:rPr>
      <w:rFonts w:hint="default" w:ascii="monospace" w:hAnsi="monospace" w:eastAsia="monospace" w:cs="monospace"/>
      <w:sz w:val="20"/>
    </w:rPr>
  </w:style>
  <w:style w:type="character" w:styleId="48">
    <w:name w:val="HTML Sample"/>
    <w:basedOn w:val="35"/>
    <w:autoRedefine/>
    <w:qFormat/>
    <w:uiPriority w:val="0"/>
    <w:rPr>
      <w:rFonts w:hint="default" w:ascii="monospace" w:hAnsi="monospace" w:eastAsia="monospace" w:cs="monospace"/>
    </w:rPr>
  </w:style>
  <w:style w:type="paragraph" w:customStyle="1" w:styleId="49">
    <w:name w:val="表格文字"/>
    <w:basedOn w:val="1"/>
    <w:next w:val="4"/>
    <w:autoRedefine/>
    <w:qFormat/>
    <w:uiPriority w:val="0"/>
    <w:pPr>
      <w:adjustRightInd w:val="0"/>
      <w:spacing w:line="420" w:lineRule="atLeast"/>
      <w:jc w:val="left"/>
      <w:textAlignment w:val="baseline"/>
    </w:pPr>
    <w:rPr>
      <w:kern w:val="0"/>
      <w:szCs w:val="20"/>
    </w:rPr>
  </w:style>
  <w:style w:type="paragraph" w:customStyle="1" w:styleId="50">
    <w:name w:val="大标题"/>
    <w:basedOn w:val="1"/>
    <w:next w:val="15"/>
    <w:autoRedefine/>
    <w:qFormat/>
    <w:uiPriority w:val="0"/>
    <w:pPr>
      <w:jc w:val="center"/>
    </w:pPr>
    <w:rPr>
      <w:rFonts w:ascii="Arial" w:hAnsi="Arial"/>
      <w:b/>
      <w:sz w:val="28"/>
    </w:rPr>
  </w:style>
  <w:style w:type="paragraph" w:customStyle="1" w:styleId="51">
    <w:name w:val="正文文本缩进 21"/>
    <w:basedOn w:val="1"/>
    <w:autoRedefine/>
    <w:qFormat/>
    <w:uiPriority w:val="0"/>
    <w:pPr>
      <w:ind w:firstLine="570"/>
    </w:pPr>
    <w:rPr>
      <w:sz w:val="32"/>
    </w:rPr>
  </w:style>
  <w:style w:type="paragraph" w:customStyle="1" w:styleId="52">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3">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4">
    <w:name w:val="No Spacing1"/>
    <w:basedOn w:val="1"/>
    <w:autoRedefine/>
    <w:qFormat/>
    <w:uiPriority w:val="0"/>
    <w:pPr>
      <w:spacing w:line="400" w:lineRule="exact"/>
    </w:pPr>
    <w:rPr>
      <w:sz w:val="24"/>
    </w:rPr>
  </w:style>
  <w:style w:type="paragraph" w:customStyle="1" w:styleId="55">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6">
    <w:name w:val="Char"/>
    <w:basedOn w:val="1"/>
    <w:autoRedefine/>
    <w:qFormat/>
    <w:uiPriority w:val="0"/>
  </w:style>
  <w:style w:type="paragraph" w:customStyle="1" w:styleId="57">
    <w:name w:val="正文缩进1"/>
    <w:basedOn w:val="1"/>
    <w:autoRedefine/>
    <w:qFormat/>
    <w:uiPriority w:val="0"/>
    <w:pPr>
      <w:widowControl/>
      <w:ind w:firstLine="420"/>
      <w:jc w:val="left"/>
    </w:pPr>
    <w:rPr>
      <w:kern w:val="0"/>
      <w:szCs w:val="20"/>
    </w:rPr>
  </w:style>
  <w:style w:type="paragraph" w:customStyle="1" w:styleId="58">
    <w:name w:val="列出段落2"/>
    <w:basedOn w:val="1"/>
    <w:autoRedefine/>
    <w:qFormat/>
    <w:uiPriority w:val="34"/>
    <w:pPr>
      <w:ind w:firstLine="420" w:firstLineChars="200"/>
    </w:pPr>
  </w:style>
  <w:style w:type="paragraph" w:customStyle="1" w:styleId="59">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60">
    <w:name w:val="1"/>
    <w:basedOn w:val="1"/>
    <w:autoRedefine/>
    <w:qFormat/>
    <w:uiPriority w:val="0"/>
    <w:pPr>
      <w:widowControl/>
      <w:spacing w:beforeAutospacing="1" w:afterAutospacing="1"/>
      <w:jc w:val="left"/>
    </w:pPr>
    <w:rPr>
      <w:rFonts w:ascii="宋体" w:hAnsi="宋体" w:cs="宋体"/>
      <w:kern w:val="0"/>
      <w:sz w:val="24"/>
    </w:rPr>
  </w:style>
  <w:style w:type="paragraph" w:styleId="61">
    <w:name w:val="No Spacing"/>
    <w:autoRedefine/>
    <w:qFormat/>
    <w:uiPriority w:val="1"/>
    <w:rPr>
      <w:rFonts w:ascii="Calibri" w:hAnsi="Calibri" w:eastAsia="宋体" w:cs="Times New Roman"/>
      <w:sz w:val="22"/>
      <w:szCs w:val="22"/>
      <w:lang w:val="en-US" w:eastAsia="zh-CN" w:bidi="ar-SA"/>
    </w:rPr>
  </w:style>
  <w:style w:type="paragraph" w:customStyle="1" w:styleId="62">
    <w:name w:val="_Style 2"/>
    <w:basedOn w:val="1"/>
    <w:autoRedefine/>
    <w:qFormat/>
    <w:uiPriority w:val="34"/>
    <w:pPr>
      <w:ind w:firstLine="420" w:firstLineChars="200"/>
    </w:pPr>
    <w:rPr>
      <w:rFonts w:ascii="Calibri" w:hAnsi="Calibri"/>
    </w:rPr>
  </w:style>
  <w:style w:type="paragraph" w:customStyle="1" w:styleId="63">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4">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5">
    <w:name w:val="Char1"/>
    <w:basedOn w:val="1"/>
    <w:autoRedefine/>
    <w:qFormat/>
    <w:uiPriority w:val="0"/>
  </w:style>
  <w:style w:type="paragraph" w:customStyle="1" w:styleId="66">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7">
    <w:name w:val="Table Paragraph"/>
    <w:basedOn w:val="1"/>
    <w:autoRedefine/>
    <w:qFormat/>
    <w:uiPriority w:val="1"/>
    <w:pPr>
      <w:jc w:val="left"/>
    </w:pPr>
    <w:rPr>
      <w:rFonts w:ascii="宋体" w:hAnsi="宋体" w:cs="宋体"/>
      <w:kern w:val="0"/>
      <w:sz w:val="22"/>
      <w:szCs w:val="22"/>
      <w:lang w:eastAsia="en-US"/>
    </w:rPr>
  </w:style>
  <w:style w:type="paragraph" w:customStyle="1" w:styleId="68">
    <w:name w:val="无间隔1"/>
    <w:basedOn w:val="1"/>
    <w:autoRedefine/>
    <w:qFormat/>
    <w:uiPriority w:val="1"/>
    <w:pPr>
      <w:spacing w:line="400" w:lineRule="exact"/>
    </w:pPr>
    <w:rPr>
      <w:sz w:val="24"/>
    </w:rPr>
  </w:style>
  <w:style w:type="paragraph" w:customStyle="1" w:styleId="69">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70">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71">
    <w:name w:val="列出段落1"/>
    <w:basedOn w:val="1"/>
    <w:autoRedefine/>
    <w:qFormat/>
    <w:uiPriority w:val="34"/>
    <w:pPr>
      <w:ind w:firstLine="420" w:firstLineChars="200"/>
    </w:pPr>
  </w:style>
  <w:style w:type="paragraph" w:customStyle="1" w:styleId="72">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3">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4">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5">
    <w:name w:val="列出段落11"/>
    <w:basedOn w:val="1"/>
    <w:autoRedefine/>
    <w:qFormat/>
    <w:uiPriority w:val="0"/>
    <w:pPr>
      <w:ind w:firstLine="420" w:firstLineChars="200"/>
    </w:pPr>
    <w:rPr>
      <w:rFonts w:ascii="Calibri" w:hAnsi="Calibri"/>
      <w:szCs w:val="22"/>
    </w:rPr>
  </w:style>
  <w:style w:type="character" w:customStyle="1" w:styleId="76">
    <w:name w:val="正文文本 Char"/>
    <w:basedOn w:val="35"/>
    <w:link w:val="4"/>
    <w:autoRedefine/>
    <w:qFormat/>
    <w:uiPriority w:val="0"/>
  </w:style>
  <w:style w:type="character" w:customStyle="1" w:styleId="77">
    <w:name w:val="apple-converted-space"/>
    <w:basedOn w:val="35"/>
    <w:autoRedefine/>
    <w:qFormat/>
    <w:uiPriority w:val="0"/>
  </w:style>
  <w:style w:type="character" w:customStyle="1" w:styleId="78">
    <w:name w:val="文档结构图 Char"/>
    <w:link w:val="11"/>
    <w:autoRedefine/>
    <w:qFormat/>
    <w:uiPriority w:val="0"/>
    <w:rPr>
      <w:rFonts w:ascii="宋体"/>
      <w:kern w:val="2"/>
      <w:sz w:val="18"/>
      <w:szCs w:val="18"/>
    </w:rPr>
  </w:style>
  <w:style w:type="character" w:customStyle="1" w:styleId="79">
    <w:name w:val="不明显强调1"/>
    <w:autoRedefine/>
    <w:qFormat/>
    <w:uiPriority w:val="19"/>
    <w:rPr>
      <w:i/>
      <w:iCs/>
      <w:color w:val="7F7F7F"/>
      <w:szCs w:val="24"/>
    </w:rPr>
  </w:style>
  <w:style w:type="character" w:customStyle="1" w:styleId="80">
    <w:name w:val="font71"/>
    <w:basedOn w:val="35"/>
    <w:autoRedefine/>
    <w:qFormat/>
    <w:uiPriority w:val="0"/>
    <w:rPr>
      <w:rFonts w:hint="eastAsia" w:ascii="宋体" w:hAnsi="宋体" w:eastAsia="宋体" w:cs="宋体"/>
      <w:color w:val="000000"/>
      <w:sz w:val="28"/>
      <w:szCs w:val="28"/>
      <w:u w:val="none"/>
    </w:rPr>
  </w:style>
  <w:style w:type="character" w:customStyle="1" w:styleId="81">
    <w:name w:val="font21"/>
    <w:autoRedefine/>
    <w:qFormat/>
    <w:uiPriority w:val="0"/>
    <w:rPr>
      <w:rFonts w:hint="default" w:ascii="Calibri" w:hAnsi="Calibri" w:cs="Calibri"/>
      <w:color w:val="000000"/>
      <w:sz w:val="28"/>
      <w:szCs w:val="28"/>
      <w:u w:val="none"/>
    </w:rPr>
  </w:style>
  <w:style w:type="character" w:customStyle="1" w:styleId="82">
    <w:name w:val="17"/>
    <w:autoRedefine/>
    <w:qFormat/>
    <w:uiPriority w:val="0"/>
    <w:rPr>
      <w:rFonts w:hint="eastAsia" w:ascii="宋体" w:hAnsi="宋体" w:eastAsia="宋体"/>
      <w:color w:val="000000"/>
    </w:rPr>
  </w:style>
  <w:style w:type="character" w:customStyle="1" w:styleId="83">
    <w:name w:val="font91"/>
    <w:autoRedefine/>
    <w:qFormat/>
    <w:uiPriority w:val="0"/>
    <w:rPr>
      <w:rFonts w:hint="eastAsia" w:ascii="宋体" w:hAnsi="宋体" w:eastAsia="宋体" w:cs="宋体"/>
      <w:color w:val="FF0000"/>
      <w:sz w:val="28"/>
      <w:szCs w:val="28"/>
      <w:u w:val="none"/>
    </w:rPr>
  </w:style>
  <w:style w:type="paragraph" w:customStyle="1" w:styleId="84">
    <w:name w:val="p"/>
    <w:basedOn w:val="1"/>
    <w:autoRedefine/>
    <w:qFormat/>
    <w:uiPriority w:val="0"/>
    <w:pPr>
      <w:widowControl/>
      <w:spacing w:line="432" w:lineRule="auto"/>
      <w:jc w:val="left"/>
    </w:pPr>
    <w:rPr>
      <w:rFonts w:ascii="宋体" w:hAnsi="宋体" w:cs="宋体"/>
      <w:kern w:val="0"/>
      <w:sz w:val="24"/>
    </w:rPr>
  </w:style>
  <w:style w:type="paragraph" w:customStyle="1" w:styleId="85">
    <w:name w:val="WPSOffice手动目录 1"/>
    <w:autoRedefine/>
    <w:qFormat/>
    <w:uiPriority w:val="0"/>
    <w:rPr>
      <w:rFonts w:ascii="Times New Roman" w:hAnsi="Times New Roman" w:eastAsia="宋体" w:cs="Times New Roman"/>
      <w:lang w:val="en-US" w:eastAsia="zh-CN" w:bidi="ar-SA"/>
    </w:rPr>
  </w:style>
  <w:style w:type="paragraph" w:customStyle="1" w:styleId="86">
    <w:name w:val="*正文_1"/>
    <w:basedOn w:val="1"/>
    <w:next w:val="1"/>
    <w:autoRedefine/>
    <w:qFormat/>
    <w:uiPriority w:val="0"/>
    <w:pPr>
      <w:widowControl/>
      <w:ind w:firstLine="482"/>
    </w:pPr>
    <w:rPr>
      <w:rFonts w:ascii="微软雅黑" w:hAnsi="微软雅黑" w:eastAsia="微软雅黑"/>
      <w:kern w:val="0"/>
      <w:szCs w:val="20"/>
    </w:rPr>
  </w:style>
  <w:style w:type="character" w:customStyle="1" w:styleId="87">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8">
    <w:name w:val="列表段落1"/>
    <w:basedOn w:val="1"/>
    <w:autoRedefine/>
    <w:qFormat/>
    <w:uiPriority w:val="34"/>
    <w:pPr>
      <w:widowControl/>
      <w:ind w:firstLine="420"/>
      <w:jc w:val="left"/>
    </w:pPr>
    <w:rPr>
      <w:kern w:val="0"/>
    </w:rPr>
  </w:style>
  <w:style w:type="paragraph" w:styleId="89">
    <w:name w:val="List Paragraph"/>
    <w:basedOn w:val="1"/>
    <w:autoRedefine/>
    <w:qFormat/>
    <w:uiPriority w:val="34"/>
    <w:pPr>
      <w:ind w:firstLine="420" w:firstLineChars="200"/>
    </w:pPr>
  </w:style>
  <w:style w:type="character" w:customStyle="1" w:styleId="90">
    <w:name w:val="hover18"/>
    <w:basedOn w:val="35"/>
    <w:autoRedefine/>
    <w:qFormat/>
    <w:uiPriority w:val="0"/>
  </w:style>
  <w:style w:type="table" w:customStyle="1" w:styleId="91">
    <w:name w:val="Table Normal"/>
    <w:autoRedefine/>
    <w:qFormat/>
    <w:uiPriority w:val="0"/>
    <w:tblPr>
      <w:tblCellMar>
        <w:top w:w="0" w:type="dxa"/>
        <w:left w:w="0" w:type="dxa"/>
        <w:bottom w:w="0" w:type="dxa"/>
        <w:right w:w="0" w:type="dxa"/>
      </w:tblCellMar>
    </w:tblPr>
  </w:style>
  <w:style w:type="paragraph" w:customStyle="1" w:styleId="92">
    <w:name w:val="Table Text"/>
    <w:basedOn w:val="1"/>
    <w:autoRedefine/>
    <w:semiHidden/>
    <w:qFormat/>
    <w:uiPriority w:val="0"/>
    <w:rPr>
      <w:rFonts w:ascii="宋体" w:hAnsi="宋体" w:eastAsia="宋体" w:cs="宋体"/>
      <w:sz w:val="45"/>
      <w:szCs w:val="45"/>
      <w:lang w:val="en-US" w:eastAsia="en-US" w:bidi="ar-SA"/>
    </w:rPr>
  </w:style>
  <w:style w:type="character" w:customStyle="1" w:styleId="93">
    <w:name w:val="font11"/>
    <w:basedOn w:val="35"/>
    <w:autoRedefine/>
    <w:qFormat/>
    <w:uiPriority w:val="0"/>
    <w:rPr>
      <w:rFonts w:ascii="Calibri" w:hAnsi="Calibri" w:cs="Calibri"/>
      <w:color w:val="000000"/>
      <w:sz w:val="24"/>
      <w:szCs w:val="24"/>
      <w:u w:val="none"/>
    </w:rPr>
  </w:style>
  <w:style w:type="paragraph" w:customStyle="1" w:styleId="94">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5">
    <w:name w:val="font61"/>
    <w:basedOn w:val="35"/>
    <w:qFormat/>
    <w:uiPriority w:val="0"/>
    <w:rPr>
      <w:rFonts w:ascii="宋体" w:hAnsi="宋体" w:eastAsia="宋体" w:cs="宋体"/>
      <w:color w:val="000000"/>
      <w:sz w:val="24"/>
      <w:szCs w:val="24"/>
      <w:u w:val="none"/>
    </w:rPr>
  </w:style>
  <w:style w:type="character" w:customStyle="1" w:styleId="96">
    <w:name w:val="font81"/>
    <w:basedOn w:val="35"/>
    <w:qFormat/>
    <w:uiPriority w:val="0"/>
    <w:rPr>
      <w:rFonts w:hint="default" w:ascii="Times New Roman" w:hAnsi="Times New Roman" w:cs="Times New Roman"/>
      <w:color w:val="000000"/>
      <w:sz w:val="18"/>
      <w:szCs w:val="18"/>
      <w:u w:val="none"/>
    </w:rPr>
  </w:style>
  <w:style w:type="paragraph" w:customStyle="1" w:styleId="97">
    <w:name w:val="表内文字居左"/>
    <w:qFormat/>
    <w:uiPriority w:val="0"/>
    <w:pPr>
      <w:widowControl w:val="0"/>
      <w:adjustRightInd w:val="0"/>
      <w:snapToGrid w:val="0"/>
      <w:jc w:val="both"/>
    </w:pPr>
    <w:rPr>
      <w:rFonts w:ascii="Times New Roman" w:hAnsi="Times New Roman" w:eastAsia="宋体" w:cs="Times New Roman"/>
      <w:kern w:val="2"/>
      <w:sz w:val="24"/>
      <w:szCs w:val="24"/>
      <w:lang w:val="en-US" w:eastAsia="zh-CN" w:bidi="ar-SA"/>
    </w:rPr>
  </w:style>
  <w:style w:type="paragraph" w:customStyle="1" w:styleId="98">
    <w:name w:val="正文 A"/>
    <w:qFormat/>
    <w:uiPriority w:val="99"/>
    <w:pPr>
      <w:widowControl w:val="0"/>
      <w:jc w:val="both"/>
    </w:pPr>
    <w:rPr>
      <w:rFonts w:ascii="Times New Roman" w:hAnsi="Times New Roman" w:eastAsia="宋体" w:cs="Times New Roman"/>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35</Pages>
  <Words>13100</Words>
  <Characters>13991</Characters>
  <Lines>50</Lines>
  <Paragraphs>68</Paragraphs>
  <TotalTime>3</TotalTime>
  <ScaleCrop>false</ScaleCrop>
  <LinksUpToDate>false</LinksUpToDate>
  <CharactersWithSpaces>14421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潘艳红</cp:lastModifiedBy>
  <cp:lastPrinted>2025-07-21T08:44:00Z</cp:lastPrinted>
  <dcterms:modified xsi:type="dcterms:W3CDTF">2025-08-20T01:15:22Z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EBF246139B8A40CA849391AE041D1247_13</vt:lpwstr>
  </property>
  <property fmtid="{D5CDD505-2E9C-101B-9397-08002B2CF9AE}" pid="4" name="KSOTemplateDocerSaveRecord">
    <vt:lpwstr>eyJoZGlkIjoiYzIwMjRmYTY4OTJhZjc1NTA1MGQwNDc0NzZhNTkwMmUiLCJ1c2VySWQiOiIxNjg0NTc5MjM2In0=</vt:lpwstr>
  </property>
</Properties>
</file>