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15EF9C66">
      <w:pPr>
        <w:pStyle w:val="21"/>
        <w:bidi w:val="0"/>
        <w:jc w:val="center"/>
        <w:rPr>
          <w:rFonts w:hint="eastAsia"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驻马店市中心医院电子牙周探针、冲洗吸引仪等医疗设备采购项目</w:t>
      </w:r>
    </w:p>
    <w:p w14:paraId="72164425">
      <w:pPr>
        <w:pStyle w:val="21"/>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中信诚项目管理有限公司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   </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 xml:space="preserve">  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bookmarkStart w:id="101" w:name="_GoBack"/>
      <w:r>
        <w:rPr>
          <w:rFonts w:hint="eastAsia" w:ascii="宋体" w:hAnsi="宋体" w:cs="宋体"/>
          <w:b/>
          <w:bCs w:val="0"/>
          <w:color w:val="auto"/>
          <w:kern w:val="0"/>
          <w:sz w:val="28"/>
          <w:szCs w:val="28"/>
          <w:highlight w:val="none"/>
          <w:u w:val="none"/>
          <w:lang w:val="en-US" w:eastAsia="zh-CN"/>
        </w:rPr>
        <w:t>驻马店市中心医院电子牙周探针、冲洗吸引仪等医疗设备采购项目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bookmarkEnd w:id="101"/>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电子牙周探针、冲洗吸引仪等医疗设备采购项目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w:t>
      </w:r>
      <w:r>
        <w:rPr>
          <w:rFonts w:hint="eastAsia" w:ascii="宋体" w:hAnsi="宋体" w:cs="宋体"/>
          <w:color w:val="auto"/>
          <w:szCs w:val="21"/>
          <w:highlight w:val="none"/>
          <w:shd w:val="clear" w:color="auto" w:fill="FFFFFF"/>
          <w:lang w:val="en-US" w:eastAsia="zh-CN"/>
        </w:rPr>
        <w:t>电子牙周探针、冲洗吸引仪等医疗设备采购项目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、预算金额：预算金额：</w:t>
      </w:r>
      <w:r>
        <w:rPr>
          <w:rFonts w:hint="eastAsia" w:ascii="宋体" w:hAnsi="宋体" w:cs="宋体"/>
          <w:color w:val="auto"/>
          <w:szCs w:val="21"/>
          <w:highlight w:val="none"/>
          <w:shd w:val="clear" w:color="auto" w:fill="FFFFFF"/>
          <w:lang w:val="en-US" w:eastAsia="zh-CN"/>
        </w:rPr>
        <w:t>34万元</w:t>
      </w:r>
    </w:p>
    <w:p w14:paraId="6719D3F7">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A包：牙周电子探针预算金额13万元；</w:t>
      </w:r>
    </w:p>
    <w:p w14:paraId="3F5D57E8">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default"/>
          <w:lang w:val="en-US" w:eastAsia="zh-CN"/>
        </w:rPr>
      </w:pPr>
      <w:r>
        <w:rPr>
          <w:rFonts w:hint="eastAsia" w:ascii="宋体" w:hAnsi="宋体" w:cs="宋体"/>
          <w:color w:val="auto"/>
          <w:szCs w:val="21"/>
          <w:highlight w:val="none"/>
          <w:shd w:val="clear" w:color="auto" w:fill="FFFFFF"/>
          <w:lang w:val="en-US" w:eastAsia="zh-CN"/>
        </w:rPr>
        <w:t>B包：冲洗吸引仪预算金额4万元；</w:t>
      </w:r>
    </w:p>
    <w:p w14:paraId="7DBA9B01">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default"/>
          <w:lang w:val="en-US" w:eastAsia="zh-CN"/>
        </w:rPr>
      </w:pPr>
      <w:r>
        <w:rPr>
          <w:rFonts w:hint="eastAsia" w:ascii="宋体" w:hAnsi="宋体" w:cs="宋体"/>
          <w:color w:val="auto"/>
          <w:szCs w:val="21"/>
          <w:highlight w:val="none"/>
          <w:shd w:val="clear" w:color="auto" w:fill="FFFFFF"/>
          <w:lang w:val="en-US" w:eastAsia="zh-CN"/>
        </w:rPr>
        <w:t>C包：无菌洁净层流装置预算金额8万元；</w:t>
      </w:r>
    </w:p>
    <w:p w14:paraId="6190B1C4">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D包：医用干燥柜预算金额9万元。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i w:val="0"/>
          <w:iCs w:val="0"/>
          <w:caps w:val="0"/>
          <w:color w:val="4C4B4B"/>
          <w:spacing w:val="0"/>
          <w:sz w:val="21"/>
          <w:szCs w:val="21"/>
          <w:shd w:val="clear" w:fill="FFFFFF"/>
        </w:rPr>
        <w:t>合同签订后30日内交货，最终以合同约定内容为准；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3626"/>
      <w:bookmarkStart w:id="5" w:name="_Toc18607"/>
      <w:bookmarkStart w:id="6" w:name="_Toc27704"/>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23395"/>
      <w:bookmarkStart w:id="10" w:name="_Toc7823"/>
      <w:bookmarkStart w:id="11" w:name="_Toc9562"/>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1"/>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yellow"/>
          <w:shd w:val="clear" w:color="auto" w:fill="FFFFFF"/>
          <w:lang w:val="en-US" w:eastAsia="zh-CN"/>
        </w:rPr>
        <w:t xml:space="preserve">8 </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19</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yellow"/>
          <w:shd w:val="clear" w:color="auto" w:fill="FFFFFF"/>
          <w:lang w:val="en-US" w:eastAsia="zh-CN"/>
        </w:rPr>
        <w:t>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21</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zxcxmglyxgs@163.com,并标明XX公司</w:t>
      </w:r>
      <w:r>
        <w:rPr>
          <w:rFonts w:hint="eastAsia" w:ascii="宋体" w:hAnsi="宋体" w:cs="宋体"/>
          <w:color w:val="auto"/>
          <w:szCs w:val="21"/>
          <w:highlight w:val="none"/>
          <w:shd w:val="clear" w:color="auto" w:fill="FFFFFF"/>
          <w:lang w:val="en-US" w:eastAsia="zh-CN"/>
        </w:rPr>
        <w:t>牙周电子探针</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cs="宋体"/>
          <w:color w:val="auto"/>
          <w:kern w:val="0"/>
          <w:sz w:val="21"/>
          <w:szCs w:val="21"/>
          <w:highlight w:val="none"/>
          <w:shd w:val="clear" w:color="auto" w:fill="FFFFFF"/>
          <w:lang w:val="en-US" w:eastAsia="zh-CN" w:bidi="ar-SA"/>
        </w:rPr>
        <w:t>、</w:t>
      </w:r>
      <w:r>
        <w:rPr>
          <w:rFonts w:hint="eastAsia" w:ascii="宋体" w:hAnsi="宋体" w:cs="宋体"/>
          <w:color w:val="auto"/>
          <w:szCs w:val="21"/>
          <w:highlight w:val="none"/>
          <w:shd w:val="clear" w:color="auto" w:fill="FFFFFF"/>
          <w:lang w:val="en-US" w:eastAsia="zh-CN"/>
        </w:rPr>
        <w:t>冲洗吸引仪、无菌洁净层流装置、医用干燥柜</w:t>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15111"/>
      <w:bookmarkStart w:id="15" w:name="_Toc25869"/>
      <w:bookmarkStart w:id="16" w:name="_Toc10738"/>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30918"/>
      <w:bookmarkStart w:id="20" w:name="_Toc6523"/>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16291"/>
      <w:bookmarkStart w:id="27" w:name="_Toc24274"/>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6FC4B40">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采购代理机构：中信诚项目管理有限公司</w:t>
      </w:r>
    </w:p>
    <w:p w14:paraId="5A1DD49A">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地址：驻马店市置地华庭B座</w:t>
      </w:r>
    </w:p>
    <w:p w14:paraId="3E1D3BF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 xml:space="preserve">：李女士 </w:t>
      </w:r>
    </w:p>
    <w:p w14:paraId="545598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联系方式：0396-3676106　</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yellow"/>
          <w:shd w:val="clear" w:color="auto" w:fill="FFFFFF"/>
        </w:rPr>
        <w:t>202</w:t>
      </w:r>
      <w:r>
        <w:rPr>
          <w:rFonts w:hint="eastAsia" w:ascii="宋体" w:hAnsi="宋体" w:eastAsia="宋体" w:cs="宋体"/>
          <w:color w:val="auto"/>
          <w:sz w:val="21"/>
          <w:szCs w:val="21"/>
          <w:highlight w:val="yellow"/>
          <w:shd w:val="clear" w:color="auto" w:fill="FFFFFF"/>
          <w:lang w:val="en-US" w:eastAsia="zh-CN"/>
        </w:rPr>
        <w:t>5</w:t>
      </w:r>
      <w:r>
        <w:rPr>
          <w:rFonts w:hint="eastAsia" w:ascii="宋体" w:hAnsi="宋体" w:eastAsia="宋体" w:cs="宋体"/>
          <w:color w:val="auto"/>
          <w:sz w:val="21"/>
          <w:szCs w:val="21"/>
          <w:highlight w:val="yellow"/>
          <w:shd w:val="clear" w:color="auto" w:fill="FFFFFF"/>
        </w:rPr>
        <w:t>年</w:t>
      </w:r>
      <w:r>
        <w:rPr>
          <w:rFonts w:hint="eastAsia" w:ascii="宋体" w:hAnsi="宋体" w:cs="宋体"/>
          <w:color w:val="auto"/>
          <w:sz w:val="21"/>
          <w:szCs w:val="21"/>
          <w:highlight w:val="yellow"/>
          <w:shd w:val="clear" w:color="auto" w:fill="FFFFFF"/>
          <w:lang w:val="en-US" w:eastAsia="zh-CN"/>
        </w:rPr>
        <w:t>8</w:t>
      </w:r>
      <w:r>
        <w:rPr>
          <w:rFonts w:hint="eastAsia" w:ascii="宋体" w:hAnsi="宋体" w:eastAsia="宋体" w:cs="宋体"/>
          <w:color w:val="auto"/>
          <w:sz w:val="21"/>
          <w:szCs w:val="21"/>
          <w:highlight w:val="yellow"/>
          <w:shd w:val="clear" w:color="auto" w:fill="FFFFFF"/>
        </w:rPr>
        <w:t>月</w:t>
      </w:r>
      <w:r>
        <w:rPr>
          <w:rFonts w:hint="eastAsia" w:ascii="宋体" w:hAnsi="宋体" w:cs="宋体"/>
          <w:color w:val="auto"/>
          <w:sz w:val="21"/>
          <w:szCs w:val="21"/>
          <w:highlight w:val="yellow"/>
          <w:shd w:val="clear" w:color="auto" w:fill="FFFFFF"/>
          <w:lang w:val="en-US" w:eastAsia="zh-CN"/>
        </w:rPr>
        <w:t xml:space="preserve">18 </w:t>
      </w:r>
      <w:r>
        <w:rPr>
          <w:rFonts w:hint="eastAsia" w:ascii="宋体" w:hAnsi="宋体" w:eastAsia="宋体" w:cs="宋体"/>
          <w:color w:val="auto"/>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6295320D">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驻马店市中心医院电子牙周探针、冲洗吸引仪等医疗设备采购项目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A</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牙周电子探针</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台</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13万元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国产</w:t>
            </w:r>
          </w:p>
        </w:tc>
      </w:tr>
      <w:tr w14:paraId="3560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D0B36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B</w:t>
            </w:r>
          </w:p>
        </w:tc>
        <w:tc>
          <w:tcPr>
            <w:tcW w:w="990" w:type="dxa"/>
            <w:shd w:val="clear" w:color="auto" w:fill="auto"/>
            <w:vAlign w:val="center"/>
          </w:tcPr>
          <w:p w14:paraId="7786772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w:t>
            </w:r>
          </w:p>
        </w:tc>
        <w:tc>
          <w:tcPr>
            <w:tcW w:w="2139" w:type="dxa"/>
            <w:gridSpan w:val="2"/>
            <w:shd w:val="clear" w:color="auto" w:fill="auto"/>
            <w:vAlign w:val="center"/>
          </w:tcPr>
          <w:p w14:paraId="2C5510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冲洗吸引仪</w:t>
            </w:r>
          </w:p>
        </w:tc>
        <w:tc>
          <w:tcPr>
            <w:tcW w:w="850" w:type="dxa"/>
            <w:shd w:val="clear" w:color="auto" w:fill="auto"/>
            <w:vAlign w:val="center"/>
          </w:tcPr>
          <w:p w14:paraId="61E208F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台</w:t>
            </w:r>
          </w:p>
        </w:tc>
        <w:tc>
          <w:tcPr>
            <w:tcW w:w="967" w:type="dxa"/>
            <w:shd w:val="clear" w:color="auto" w:fill="auto"/>
            <w:vAlign w:val="center"/>
          </w:tcPr>
          <w:p w14:paraId="20D0B13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2</w:t>
            </w:r>
          </w:p>
        </w:tc>
        <w:tc>
          <w:tcPr>
            <w:tcW w:w="1384" w:type="dxa"/>
            <w:shd w:val="clear" w:color="auto" w:fill="auto"/>
            <w:vAlign w:val="center"/>
          </w:tcPr>
          <w:p w14:paraId="37C7C5F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4万元</w:t>
            </w:r>
          </w:p>
        </w:tc>
        <w:tc>
          <w:tcPr>
            <w:tcW w:w="1110" w:type="dxa"/>
            <w:shd w:val="clear" w:color="auto" w:fill="auto"/>
            <w:vAlign w:val="center"/>
          </w:tcPr>
          <w:p w14:paraId="0E5576E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自筹</w:t>
            </w:r>
          </w:p>
        </w:tc>
        <w:tc>
          <w:tcPr>
            <w:tcW w:w="1245" w:type="dxa"/>
            <w:shd w:val="clear" w:color="auto" w:fill="auto"/>
            <w:vAlign w:val="center"/>
          </w:tcPr>
          <w:p w14:paraId="57604AB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国产</w:t>
            </w:r>
          </w:p>
        </w:tc>
      </w:tr>
      <w:tr w14:paraId="6A58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B2717B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C</w:t>
            </w:r>
          </w:p>
        </w:tc>
        <w:tc>
          <w:tcPr>
            <w:tcW w:w="990" w:type="dxa"/>
            <w:shd w:val="clear" w:color="auto" w:fill="auto"/>
            <w:vAlign w:val="center"/>
          </w:tcPr>
          <w:p w14:paraId="7D2A110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w:t>
            </w:r>
          </w:p>
        </w:tc>
        <w:tc>
          <w:tcPr>
            <w:tcW w:w="2139" w:type="dxa"/>
            <w:gridSpan w:val="2"/>
            <w:shd w:val="clear" w:color="auto" w:fill="auto"/>
            <w:vAlign w:val="center"/>
          </w:tcPr>
          <w:p w14:paraId="693032A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无菌洁净层流装置</w:t>
            </w:r>
          </w:p>
        </w:tc>
        <w:tc>
          <w:tcPr>
            <w:tcW w:w="850" w:type="dxa"/>
            <w:shd w:val="clear" w:color="auto" w:fill="auto"/>
            <w:vAlign w:val="center"/>
          </w:tcPr>
          <w:p w14:paraId="6476191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台</w:t>
            </w:r>
          </w:p>
        </w:tc>
        <w:tc>
          <w:tcPr>
            <w:tcW w:w="967" w:type="dxa"/>
            <w:shd w:val="clear" w:color="auto" w:fill="auto"/>
            <w:vAlign w:val="center"/>
          </w:tcPr>
          <w:p w14:paraId="237EBA1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4</w:t>
            </w:r>
          </w:p>
        </w:tc>
        <w:tc>
          <w:tcPr>
            <w:tcW w:w="1384" w:type="dxa"/>
            <w:shd w:val="clear" w:color="auto" w:fill="auto"/>
            <w:vAlign w:val="center"/>
          </w:tcPr>
          <w:p w14:paraId="7BE5D9E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8万元</w:t>
            </w:r>
          </w:p>
        </w:tc>
        <w:tc>
          <w:tcPr>
            <w:tcW w:w="1110" w:type="dxa"/>
            <w:shd w:val="clear" w:color="auto" w:fill="auto"/>
            <w:vAlign w:val="center"/>
          </w:tcPr>
          <w:p w14:paraId="35316E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自筹</w:t>
            </w:r>
          </w:p>
        </w:tc>
        <w:tc>
          <w:tcPr>
            <w:tcW w:w="1245" w:type="dxa"/>
            <w:shd w:val="clear" w:color="auto" w:fill="auto"/>
            <w:vAlign w:val="center"/>
          </w:tcPr>
          <w:p w14:paraId="251F9DC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国产</w:t>
            </w:r>
          </w:p>
        </w:tc>
      </w:tr>
      <w:tr w14:paraId="5808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8FD767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D</w:t>
            </w:r>
          </w:p>
        </w:tc>
        <w:tc>
          <w:tcPr>
            <w:tcW w:w="990" w:type="dxa"/>
            <w:shd w:val="clear" w:color="auto" w:fill="auto"/>
            <w:vAlign w:val="center"/>
          </w:tcPr>
          <w:p w14:paraId="7B86DD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w:t>
            </w:r>
          </w:p>
        </w:tc>
        <w:tc>
          <w:tcPr>
            <w:tcW w:w="2139" w:type="dxa"/>
            <w:gridSpan w:val="2"/>
            <w:shd w:val="clear" w:color="auto" w:fill="auto"/>
            <w:vAlign w:val="center"/>
          </w:tcPr>
          <w:p w14:paraId="0CCFEC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医用干燥柜</w:t>
            </w:r>
          </w:p>
        </w:tc>
        <w:tc>
          <w:tcPr>
            <w:tcW w:w="850" w:type="dxa"/>
            <w:shd w:val="clear" w:color="auto" w:fill="auto"/>
            <w:vAlign w:val="center"/>
          </w:tcPr>
          <w:p w14:paraId="6DE6ED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台</w:t>
            </w:r>
          </w:p>
        </w:tc>
        <w:tc>
          <w:tcPr>
            <w:tcW w:w="967" w:type="dxa"/>
            <w:shd w:val="clear" w:color="auto" w:fill="auto"/>
            <w:vAlign w:val="center"/>
          </w:tcPr>
          <w:p w14:paraId="4FB1ACE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1</w:t>
            </w:r>
          </w:p>
        </w:tc>
        <w:tc>
          <w:tcPr>
            <w:tcW w:w="1384" w:type="dxa"/>
            <w:shd w:val="clear" w:color="auto" w:fill="auto"/>
            <w:vAlign w:val="center"/>
          </w:tcPr>
          <w:p w14:paraId="2692B7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9万元</w:t>
            </w:r>
          </w:p>
        </w:tc>
        <w:tc>
          <w:tcPr>
            <w:tcW w:w="1110" w:type="dxa"/>
            <w:shd w:val="clear" w:color="auto" w:fill="auto"/>
            <w:vAlign w:val="center"/>
          </w:tcPr>
          <w:p w14:paraId="7533A6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自筹</w:t>
            </w:r>
          </w:p>
        </w:tc>
        <w:tc>
          <w:tcPr>
            <w:tcW w:w="1245" w:type="dxa"/>
            <w:shd w:val="clear" w:color="auto" w:fill="auto"/>
            <w:vAlign w:val="center"/>
          </w:tcPr>
          <w:p w14:paraId="3D922E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sz w:val="28"/>
                <w:szCs w:val="28"/>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sz w:val="21"/>
                <w:szCs w:val="21"/>
                <w:vertAlign w:val="baseline"/>
                <w:lang w:val="en-US" w:eastAsia="zh-CN"/>
              </w:rPr>
              <w:t>34万元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208463FC">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2"/>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3820FF6">
      <w:pPr>
        <w:numPr>
          <w:ilvl w:val="0"/>
          <w:numId w:val="0"/>
        </w:numPr>
        <w:shd w:val="clear" w:color="auto" w:fill="auto"/>
        <w:spacing w:line="360" w:lineRule="auto"/>
        <w:ind w:firstLine="422" w:firstLineChars="200"/>
        <w:jc w:val="lef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color w:val="auto"/>
          <w:sz w:val="21"/>
          <w:szCs w:val="21"/>
          <w:highlight w:val="none"/>
          <w:lang w:val="en-US" w:eastAsia="zh-CN"/>
        </w:rPr>
        <w:t>（一）技术参数</w:t>
      </w:r>
    </w:p>
    <w:p w14:paraId="0F1C390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28"/>
          <w:szCs w:val="36"/>
          <w:highlight w:val="none"/>
          <w:lang w:val="en-US" w:eastAsia="zh-CN" w:bidi="ar-SA"/>
        </w:rPr>
      </w:pPr>
      <w:r>
        <w:rPr>
          <w:rFonts w:hint="eastAsia" w:ascii="宋体" w:hAnsi="宋体" w:cs="宋体"/>
          <w:b/>
          <w:bCs/>
          <w:color w:val="auto"/>
          <w:kern w:val="2"/>
          <w:sz w:val="28"/>
          <w:szCs w:val="36"/>
          <w:highlight w:val="none"/>
          <w:lang w:val="en-US" w:eastAsia="zh-CN" w:bidi="ar-SA"/>
        </w:rPr>
        <w:t>A包：</w:t>
      </w:r>
      <w:r>
        <w:rPr>
          <w:rFonts w:hint="eastAsia" w:ascii="宋体" w:hAnsi="宋体" w:eastAsia="宋体" w:cs="宋体"/>
          <w:b/>
          <w:bCs/>
          <w:color w:val="auto"/>
          <w:kern w:val="2"/>
          <w:sz w:val="28"/>
          <w:szCs w:val="36"/>
          <w:highlight w:val="none"/>
          <w:lang w:val="en-US" w:eastAsia="zh-CN" w:bidi="ar-SA"/>
        </w:rPr>
        <w:t>电子牙周探针参数</w:t>
      </w:r>
    </w:p>
    <w:p w14:paraId="11B105C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1.测量过程中探针工作尖端探诊压力为15gf±2gf。</w:t>
      </w:r>
    </w:p>
    <w:p w14:paraId="027C241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2.深度测量范围：0mm-12mm。</w:t>
      </w:r>
    </w:p>
    <w:p w14:paraId="529F3BB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3.测量显示精度：0.1mm。</w:t>
      </w:r>
    </w:p>
    <w:p w14:paraId="6DA03B1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4.探针直径：0.5mm，探针材料：钛合金（可探测种植体）。</w:t>
      </w:r>
    </w:p>
    <w:p w14:paraId="7DB8D3C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5.测量结果显示方式：探针手柄上的OLED屏幕和电脑同步显示。</w:t>
      </w:r>
    </w:p>
    <w:p w14:paraId="0C08A33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6.探针手柄与电脑连接方式：无线连接。</w:t>
      </w:r>
    </w:p>
    <w:p w14:paraId="7838BCF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针对系统性牙周检查而设计。具备牙列检查，牙周袋深度，牙龈退缩或增生，出血，溢脓，根分叉，牙结石，松动度等测量与记录。同上能够自动制图，自动生成报告，风险因素评估，导出PDF文件、邮件分享等功能。</w:t>
      </w:r>
    </w:p>
    <w:p w14:paraId="6311BB5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8.记录全口牙列情况包括：缺失、种植体、桥体、修复体、乳牙滞留、龋齿等。</w:t>
      </w:r>
    </w:p>
    <w:p w14:paraId="0499EC5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9.探诊过程支持语音播报。</w:t>
      </w:r>
    </w:p>
    <w:p w14:paraId="58A0D01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10.可手动编辑牙周袋深度值和牙龈增生/退缩值。</w:t>
      </w:r>
    </w:p>
    <w:p w14:paraId="7F39557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11.支持2018年牙周病国际新分类智能智能诊断。</w:t>
      </w:r>
    </w:p>
    <w:p w14:paraId="6B11ECC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12.支持出血指数、菌斑指数、咬合关系记录。 </w:t>
      </w:r>
    </w:p>
    <w:p w14:paraId="152BFB8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13.</w:t>
      </w:r>
      <w:r>
        <w:rPr>
          <w:rFonts w:hint="eastAsia" w:ascii="Times New Roman" w:hAnsi="Times New Roman" w:eastAsia="宋体" w:cs="Times New Roman"/>
          <w:sz w:val="21"/>
          <w:szCs w:val="21"/>
          <w:lang w:val="en-US" w:eastAsia="zh-CN"/>
        </w:rPr>
        <w:t>配置清单（包含但不限于）：主机、单子探针头（可灭菌探针头10支）、无线模块、充电电池/电源适配器；校准工具，消毒盒/灭菌袋，便携存储箱，数据线/USB适配器。软件系统：数据管理软件，牙科影像集成模块，云存储/备份服务，彩色激光打印机。</w:t>
      </w:r>
    </w:p>
    <w:p w14:paraId="1649E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B包：</w:t>
      </w:r>
      <w:r>
        <w:rPr>
          <w:rFonts w:hint="eastAsia" w:ascii="宋体" w:hAnsi="宋体" w:eastAsia="宋体" w:cs="宋体"/>
          <w:b/>
          <w:bCs/>
          <w:color w:val="auto"/>
          <w:kern w:val="2"/>
          <w:sz w:val="28"/>
          <w:szCs w:val="28"/>
          <w:highlight w:val="none"/>
          <w:lang w:val="en-US" w:eastAsia="zh-CN" w:bidi="ar-SA"/>
        </w:rPr>
        <w:t>电子牙周探针参数</w:t>
      </w:r>
    </w:p>
    <w:p w14:paraId="07F6A2A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1.电源：220V±10%，50HZ±10%；</w:t>
      </w:r>
    </w:p>
    <w:p w14:paraId="3A6D95E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2.冲洗压力： 60mmHg-500mmHg；</w:t>
      </w:r>
    </w:p>
    <w:p w14:paraId="52058E0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3.最大流量： ＜900ml/min；</w:t>
      </w:r>
    </w:p>
    <w:p w14:paraId="5235CC7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4.工作模式： 压力/流量  数字可调；</w:t>
      </w:r>
    </w:p>
    <w:p w14:paraId="2EA437E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eastAsia" w:ascii="Times New Roman" w:hAnsi="Times New Roman" w:eastAsia="宋体" w:cs="Times New Roman"/>
          <w:sz w:val="21"/>
          <w:szCs w:val="21"/>
          <w:lang w:val="en-US" w:eastAsia="zh-CN"/>
        </w:rPr>
        <w:t>配置清单（包含但不限于）：冲洗吸引仪主机1台；电源线1根；硅胶管1套；压力感应座1个。</w:t>
      </w:r>
    </w:p>
    <w:p w14:paraId="5244B689">
      <w:pPr>
        <w:bidi w:val="0"/>
        <w:jc w:val="center"/>
        <w:rPr>
          <w:rFonts w:hint="eastAsia"/>
          <w:b/>
          <w:bCs/>
          <w:sz w:val="28"/>
          <w:szCs w:val="28"/>
          <w:lang w:val="en-US" w:eastAsia="zh-CN"/>
        </w:rPr>
      </w:pPr>
      <w:r>
        <w:rPr>
          <w:rFonts w:hint="eastAsia" w:ascii="宋体" w:hAnsi="宋体" w:cs="宋体"/>
          <w:b/>
          <w:bCs/>
          <w:color w:val="auto"/>
          <w:kern w:val="2"/>
          <w:sz w:val="28"/>
          <w:szCs w:val="28"/>
          <w:highlight w:val="none"/>
          <w:lang w:val="en-US" w:eastAsia="zh-CN" w:bidi="ar-SA"/>
        </w:rPr>
        <w:t>C包：</w:t>
      </w:r>
      <w:r>
        <w:rPr>
          <w:rFonts w:hint="eastAsia"/>
          <w:b/>
          <w:bCs/>
          <w:sz w:val="28"/>
          <w:szCs w:val="28"/>
          <w:lang w:val="en-US" w:eastAsia="zh-CN"/>
        </w:rPr>
        <w:t>无菌洁净层流装置参数</w:t>
      </w:r>
    </w:p>
    <w:p w14:paraId="5137CA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1.产品用途 适用于血液病治疗的患者。</w:t>
      </w:r>
    </w:p>
    <w:p w14:paraId="0C7D83D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2.外形尺寸：长×宽×高：≥  2200×1100×2200（mm）  </w:t>
      </w:r>
    </w:p>
    <w:p w14:paraId="4AC637F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3.工作区尺寸：长×宽×高：≥ 2200×1000×1800（mm）</w:t>
      </w:r>
    </w:p>
    <w:p w14:paraId="18AC8A1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4.机器工作方式为垂直送风型。</w:t>
      </w:r>
    </w:p>
    <w:p w14:paraId="01E715C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5.空气洁净度：无菌室内洁净度 100 级（即 ISO5 级）。</w:t>
      </w:r>
    </w:p>
    <w:p w14:paraId="15088A6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6.沉降菌：平均数≤1 个 CFU/平皿，提供沉降菌检测皿。</w:t>
      </w:r>
    </w:p>
    <w:p w14:paraId="48929FD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7.拥有完整的初级、中级、高级三级过滤系统，初级过滤网可反复多次清洗使用。</w:t>
      </w:r>
    </w:p>
    <w:p w14:paraId="0E9B240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8.风速风量可调节：风速0.15-0.35m/s、高中低三档可调节风量600-1200m³。围帘内维持正压、自净时间≤5分钟。</w:t>
      </w:r>
    </w:p>
    <w:p w14:paraId="53A3D3C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9.控制方式 配备机械式应急控制器，隐藏式紫外线控制器。</w:t>
      </w:r>
    </w:p>
    <w:p w14:paraId="5BFC2DC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10.沉降菌与验证：≤1个CFU/平皿、提供沉降菌检测皿</w:t>
      </w:r>
    </w:p>
    <w:p w14:paraId="329C467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11.拥有 LED 照明系统和紫外线辅助杀菌功能。</w:t>
      </w:r>
    </w:p>
    <w:p w14:paraId="5A1B41B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12.配件齐全</w:t>
      </w:r>
    </w:p>
    <w:p w14:paraId="1E6B8ED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12.1 输液悬挂为 S 挂钩或升降旋转支架。</w:t>
      </w:r>
    </w:p>
    <w:p w14:paraId="35F08D5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12.2 食品级无味透明环保软围帘。</w:t>
      </w:r>
    </w:p>
    <w:p w14:paraId="03924C1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val="en-US" w:eastAsia="zh-CN"/>
        </w:rPr>
      </w:pPr>
      <w:r>
        <w:rPr>
          <w:rFonts w:hint="eastAsia" w:ascii="Times New Roman" w:hAnsi="Times New Roman" w:eastAsia="宋体" w:cs="Times New Roman"/>
          <w:sz w:val="21"/>
          <w:szCs w:val="21"/>
          <w:lang w:val="en-US" w:eastAsia="zh-CN"/>
        </w:rPr>
        <w:t xml:space="preserve">12.3 环保软围帘 </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 套，初效过滤器</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3 套，电源线、照明灯、紫外线各 </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 套。</w:t>
      </w:r>
    </w:p>
    <w:p w14:paraId="38D9A145">
      <w:pPr>
        <w:bidi w:val="0"/>
        <w:jc w:val="center"/>
        <w:rPr>
          <w:rFonts w:hint="eastAsia"/>
          <w:b/>
          <w:bCs/>
          <w:sz w:val="28"/>
          <w:szCs w:val="28"/>
          <w:lang w:val="en-US" w:eastAsia="zh-CN"/>
        </w:rPr>
      </w:pPr>
      <w:r>
        <w:rPr>
          <w:rFonts w:hint="eastAsia" w:ascii="宋体" w:hAnsi="宋体" w:cs="宋体"/>
          <w:b/>
          <w:bCs/>
          <w:color w:val="auto"/>
          <w:kern w:val="2"/>
          <w:sz w:val="28"/>
          <w:szCs w:val="28"/>
          <w:highlight w:val="none"/>
          <w:lang w:val="en-US" w:eastAsia="zh-CN" w:bidi="ar-SA"/>
        </w:rPr>
        <w:t>D包：</w:t>
      </w:r>
      <w:r>
        <w:rPr>
          <w:rFonts w:hint="eastAsia"/>
          <w:b/>
          <w:bCs/>
          <w:sz w:val="28"/>
          <w:szCs w:val="28"/>
          <w:lang w:val="en-US" w:eastAsia="zh-CN"/>
        </w:rPr>
        <w:t>医用干燥柜参数</w:t>
      </w:r>
    </w:p>
    <w:p w14:paraId="51127B0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1.容积≥500L</w:t>
      </w:r>
    </w:p>
    <w:p w14:paraId="5536D52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2.装载容量≥18个DIN标准器械托盘</w:t>
      </w:r>
    </w:p>
    <w:p w14:paraId="1114397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3.外形尺寸≤1050（宽）×2050（高）×700（深）mm</w:t>
      </w:r>
    </w:p>
    <w:p w14:paraId="4708B7B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4.外罩、柜体采用304不锈钢拉丝板，板材厚度≥1.2mm，带侧部除湿功能，显示屏和控制面板位于侧维修门处。</w:t>
      </w:r>
    </w:p>
    <w:p w14:paraId="1DCD815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5.腔体外壁包覆玻璃丝毡保温层，厚度≥10mm。</w:t>
      </w:r>
    </w:p>
    <w:p w14:paraId="783B02B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6.密封门门体中部采用双层PC透明玻璃结构。</w:t>
      </w:r>
    </w:p>
    <w:p w14:paraId="21B399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7.密封门采用电磁锁，电磁锁吸合处位于门体上部和下部，密封胶条嵌于密封门内板处；密封门固定采用上下转轴方式，隐藏式结构。</w:t>
      </w:r>
    </w:p>
    <w:p w14:paraId="379DA6F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8.双门，带有双门互锁功能，非电插锁。</w:t>
      </w:r>
    </w:p>
    <w:p w14:paraId="3E6FBD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9.采用交流离心风机，顶风机风量≥1900m³/h，最大静压≥700Pa，噪音≤75dB；侧风机风量≥570m³/h，最大静压≥450Pa，噪音≤72dB。</w:t>
      </w:r>
    </w:p>
    <w:p w14:paraId="0E71BC9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风压开关最小启动压力20Pa，设定点及间隙可调整，最小启动间隙10Pa，范围20～300Pa。当风机故障或运行中密封门开启时，风压过低，风压开关启动，蜂鸣器报警，显示屏提示报警信息，程序停止运行，直至故障排除。</w:t>
      </w:r>
    </w:p>
    <w:p w14:paraId="11B909E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11.设备具有加热系统故障检测、保护、报警功能，保护阶段，程序停止运行，排出故障后，方可正常使用</w:t>
      </w:r>
    </w:p>
    <w:p w14:paraId="66A1A08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12.采用电加热方式，分布在侧风道内，加热器数量≥7根，设备整体加热功率≥4.5kw，加热箱具备温度探头，测量空气温度，加热管含过热保护。加热箱外部粘贴隔热保温层。</w:t>
      </w:r>
    </w:p>
    <w:p w14:paraId="6510E22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13.采用风冷换热结构，密闭结构。</w:t>
      </w:r>
    </w:p>
    <w:p w14:paraId="3802B40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14.采用≥7英寸彩色触摸屏，显示程序类型、实时温度、运行时间、报警信息提示等内容。</w:t>
      </w:r>
    </w:p>
    <w:p w14:paraId="5AB8AF3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采用相互独立的开放程序，内置≥4套默认程序（器械、玻璃器皿、湿化瓶、导管等）、≥2套自动程序、≥4套自定义程序。干燥温度设置范围40℃～99℃，干燥时间设置范围1～999min，各程序参数均可调节，用户可根据需求自行设置</w:t>
      </w:r>
    </w:p>
    <w:p w14:paraId="6513190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16.采用双芯温度采集系统，控温精度≤±1℃。</w:t>
      </w:r>
    </w:p>
    <w:p w14:paraId="3A598DF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17.拥有超温保护、过热保护、风压保护、过载保护等多重安全防护措施，程序运行结束后，若温度过高，设备自动冷却，设备断电后可以记忆断电前的运行状态，恢复供电后继续断电前的程序。</w:t>
      </w:r>
    </w:p>
    <w:p w14:paraId="7C54764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Arial" w:hAnsi="Arial" w:eastAsia="宋体" w:cs="Times New Roman"/>
          <w:b/>
          <w:bCs/>
          <w:kern w:val="2"/>
          <w:sz w:val="21"/>
          <w:szCs w:val="21"/>
          <w:lang w:val="en-US" w:eastAsia="zh-CN" w:bidi="ar-SA"/>
        </w:rPr>
      </w:pPr>
      <w:r>
        <w:rPr>
          <w:rFonts w:hint="eastAsia" w:cs="Times New Roman"/>
          <w:sz w:val="21"/>
          <w:szCs w:val="21"/>
          <w:lang w:val="en-US" w:eastAsia="zh-CN"/>
        </w:rPr>
        <w:t>18.</w:t>
      </w:r>
      <w:r>
        <w:rPr>
          <w:rFonts w:hint="eastAsia" w:ascii="Times New Roman" w:hAnsi="Times New Roman" w:eastAsia="宋体" w:cs="Times New Roman"/>
          <w:sz w:val="21"/>
          <w:szCs w:val="21"/>
          <w:lang w:val="en-US" w:eastAsia="zh-CN"/>
        </w:rPr>
        <w:t>配置清单（包含但不限于）：主机 1台；格栅 9个；DIN标准器械托盘 9个；导管干燥架 1个；湿化瓶干燥架 1个；积水盒 1个</w:t>
      </w:r>
    </w:p>
    <w:p w14:paraId="2ABD016A">
      <w:pPr>
        <w:pStyle w:val="24"/>
        <w:numPr>
          <w:ilvl w:val="0"/>
          <w:numId w:val="0"/>
        </w:numPr>
        <w:rPr>
          <w:rFonts w:hint="eastAsia"/>
          <w:b/>
          <w:bCs/>
          <w:sz w:val="21"/>
          <w:szCs w:val="21"/>
          <w:lang w:val="en-US" w:eastAsia="zh-CN"/>
        </w:rPr>
      </w:pPr>
      <w:r>
        <w:rPr>
          <w:rFonts w:hint="eastAsia" w:ascii="Arial" w:hAnsi="Arial" w:eastAsia="宋体" w:cs="Times New Roman"/>
          <w:b/>
          <w:bCs/>
          <w:kern w:val="2"/>
          <w:sz w:val="21"/>
          <w:szCs w:val="21"/>
          <w:lang w:val="en-US" w:eastAsia="zh-CN" w:bidi="ar-SA"/>
        </w:rPr>
        <w:t>（二）</w:t>
      </w:r>
      <w:r>
        <w:rPr>
          <w:rFonts w:hint="eastAsia"/>
          <w:b/>
          <w:bCs/>
          <w:sz w:val="21"/>
          <w:szCs w:val="21"/>
          <w:lang w:val="en-US" w:eastAsia="zh-CN"/>
        </w:rPr>
        <w:t>、其他要求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质量要求：</w:t>
      </w:r>
      <w:r>
        <w:rPr>
          <w:rFonts w:hint="eastAsia"/>
          <w:sz w:val="21"/>
          <w:szCs w:val="21"/>
          <w:lang w:val="en-US" w:eastAsia="zh-CN"/>
        </w:rPr>
        <w:t>供应商</w:t>
      </w:r>
      <w:r>
        <w:rPr>
          <w:rFonts w:hint="default"/>
          <w:sz w:val="21"/>
          <w:szCs w:val="21"/>
          <w:lang w:val="en-US" w:eastAsia="zh-CN"/>
        </w:rPr>
        <w:t xml:space="preserve">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sz w:val="21"/>
          <w:szCs w:val="21"/>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default"/>
          <w:sz w:val="21"/>
          <w:szCs w:val="21"/>
          <w:lang w:val="en-US" w:eastAsia="zh-CN"/>
        </w:rPr>
        <w:t xml:space="preserve"> </w:t>
      </w:r>
      <w:r>
        <w:rPr>
          <w:rFonts w:hint="eastAsia"/>
          <w:sz w:val="21"/>
          <w:szCs w:val="21"/>
          <w:lang w:val="en-US" w:eastAsia="zh-CN"/>
        </w:rPr>
        <w:t>2.商品包装和快递包装应符合《商品包装政府采购需求标准（试行）》和《快递包装政府采购需求标准（试行）》规定。</w:t>
      </w:r>
    </w:p>
    <w:p w14:paraId="106ADFC5">
      <w:pPr>
        <w:pageBreakBefore w:val="0"/>
        <w:widowControl w:val="0"/>
        <w:kinsoku/>
        <w:wordWrap/>
        <w:overflowPunct/>
        <w:topLinePunct w:val="0"/>
        <w:autoSpaceDE/>
        <w:autoSpaceDN/>
        <w:bidi w:val="0"/>
        <w:adjustRightInd/>
        <w:spacing w:line="360" w:lineRule="auto"/>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符合国家质量标准、部颁标准、行业标准，满足磋商文件规定标准。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3D9CE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1.质保期内应当为采购人提供以下技术支持和服务：a、现场响应：供应商应保证在12小时内对用户提出的问题或故障予以响应及处理。可提供备用设备或核心部件应急使用。b、中标人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中标人应及时通知采购人，如采购人有相应要求，中标人和制造商应对采购人购买的产品进行免费升级服务。e、投标人交付设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w:t>
            </w:r>
          </w:p>
          <w:p w14:paraId="2FB078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color w:val="auto"/>
                <w:sz w:val="21"/>
                <w:szCs w:val="21"/>
                <w:lang w:val="en-US" w:eastAsia="zh-CN"/>
              </w:rPr>
            </w:pPr>
            <w:r>
              <w:rPr>
                <w:rFonts w:hint="eastAsia"/>
                <w:color w:val="auto"/>
                <w:sz w:val="21"/>
                <w:szCs w:val="21"/>
                <w:lang w:val="en-US" w:eastAsia="zh-CN"/>
              </w:rPr>
              <w:t>2.培训：免费提供操作培训和维修培训。</w:t>
            </w:r>
          </w:p>
          <w:p w14:paraId="2A00B4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olor w:val="auto"/>
                <w:sz w:val="21"/>
                <w:szCs w:val="21"/>
                <w:lang w:val="en-US" w:eastAsia="zh-CN"/>
              </w:rPr>
              <w:t>3.所有设备按照医院实际要求免费开放端口，免费为医院对接院内信息系统。质保期内免费进行软件升级。</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8"/>
              <w:ind w:left="0" w:lef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textAlignment w:val="auto"/>
              <w:rPr>
                <w:rFonts w:hint="eastAsia"/>
                <w:sz w:val="21"/>
                <w:szCs w:val="21"/>
                <w:lang w:val="en-US" w:eastAsia="zh-CN"/>
              </w:rPr>
            </w:pPr>
            <w:r>
              <w:rPr>
                <w:rFonts w:hint="eastAsia"/>
                <w:sz w:val="21"/>
                <w:szCs w:val="21"/>
                <w:lang w:val="en-US" w:eastAsia="zh-CN"/>
              </w:rPr>
              <w:t xml:space="preserve">要求设备为最新出厂设备，出厂日期不得早于招标日期6个月。 </w:t>
            </w:r>
          </w:p>
        </w:tc>
      </w:tr>
    </w:tbl>
    <w:p w14:paraId="6993D5FE">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bookmarkStart w:id="39" w:name="_Toc28320"/>
            <w:bookmarkStart w:id="40" w:name="_Toc23424"/>
            <w:bookmarkStart w:id="41" w:name="_Toc29400"/>
            <w:r>
              <w:rPr>
                <w:rFonts w:hint="eastAsia" w:ascii="宋体" w:hAnsi="宋体" w:cs="宋体"/>
                <w:color w:val="auto"/>
                <w:highlight w:val="none"/>
                <w:lang w:val="en-US" w:eastAsia="zh-CN"/>
              </w:rPr>
              <w:t>驻马店市中心医院电子牙周探针、冲洗吸引仪等医疗设备采购项目</w:t>
            </w:r>
          </w:p>
          <w:p w14:paraId="710A5111">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F231B9">
            <w:pPr>
              <w:widowControl/>
              <w:snapToGrid w:val="0"/>
              <w:spacing w:line="440" w:lineRule="exact"/>
              <w:jc w:val="left"/>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采购预算：</w:t>
            </w:r>
            <w:r>
              <w:rPr>
                <w:rFonts w:hint="eastAsia" w:ascii="宋体" w:hAnsi="宋体" w:cs="宋体"/>
                <w:b/>
                <w:bCs/>
                <w:color w:val="auto"/>
                <w:kern w:val="0"/>
                <w:szCs w:val="21"/>
                <w:highlight w:val="none"/>
                <w:lang w:val="en-US" w:eastAsia="zh-CN"/>
              </w:rPr>
              <w:t>34万元</w:t>
            </w:r>
            <w:r>
              <w:rPr>
                <w:rFonts w:hint="eastAsia" w:ascii="宋体" w:hAnsi="宋体" w:eastAsia="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13</w:t>
            </w:r>
            <w:r>
              <w:rPr>
                <w:rFonts w:hint="eastAsia" w:ascii="宋体" w:hAnsi="宋体" w:cs="宋体"/>
                <w:b/>
                <w:bCs/>
                <w:color w:val="auto"/>
                <w:highlight w:val="none"/>
                <w:lang w:val="en-US" w:eastAsia="zh-CN"/>
              </w:rPr>
              <w:t>万元；</w:t>
            </w:r>
            <w:r>
              <w:rPr>
                <w:rFonts w:hint="eastAsia" w:ascii="宋体" w:hAnsi="宋体" w:cs="宋体"/>
                <w:b/>
                <w:bCs/>
                <w:color w:val="auto"/>
                <w:kern w:val="0"/>
                <w:szCs w:val="21"/>
                <w:highlight w:val="none"/>
                <w:lang w:val="en-US" w:eastAsia="zh-CN"/>
              </w:rPr>
              <w:t>B包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4</w:t>
            </w:r>
            <w:r>
              <w:rPr>
                <w:rFonts w:hint="eastAsia" w:ascii="宋体" w:hAnsi="宋体" w:cs="宋体"/>
                <w:b/>
                <w:bCs/>
                <w:color w:val="auto"/>
                <w:highlight w:val="none"/>
                <w:lang w:val="en-US" w:eastAsia="zh-CN"/>
              </w:rPr>
              <w:t>万元；</w:t>
            </w:r>
            <w:r>
              <w:rPr>
                <w:rFonts w:hint="eastAsia" w:ascii="宋体" w:hAnsi="宋体" w:cs="宋体"/>
                <w:b/>
                <w:bCs/>
                <w:color w:val="auto"/>
                <w:kern w:val="0"/>
                <w:szCs w:val="21"/>
                <w:highlight w:val="none"/>
                <w:lang w:val="en-US" w:eastAsia="zh-CN"/>
              </w:rPr>
              <w:t>C包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8</w:t>
            </w:r>
            <w:r>
              <w:rPr>
                <w:rFonts w:hint="eastAsia" w:ascii="宋体" w:hAnsi="宋体" w:cs="宋体"/>
                <w:b/>
                <w:bCs/>
                <w:color w:val="auto"/>
                <w:highlight w:val="none"/>
                <w:lang w:val="en-US" w:eastAsia="zh-CN"/>
              </w:rPr>
              <w:t>万元；</w:t>
            </w:r>
            <w:r>
              <w:rPr>
                <w:rFonts w:hint="eastAsia" w:ascii="宋体" w:hAnsi="宋体" w:cs="宋体"/>
                <w:b/>
                <w:bCs/>
                <w:color w:val="auto"/>
                <w:kern w:val="0"/>
                <w:szCs w:val="21"/>
                <w:highlight w:val="none"/>
                <w:lang w:val="en-US" w:eastAsia="zh-CN"/>
              </w:rPr>
              <w:t>D包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9</w:t>
            </w:r>
            <w:r>
              <w:rPr>
                <w:rFonts w:hint="eastAsia" w:ascii="宋体" w:hAnsi="宋体" w:cs="宋体"/>
                <w:b/>
                <w:bCs/>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EFEA3CC">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3.采购预算：34万元；A包最高投标限价13万元；B包最高投标限价4万元；C包最高投标限价8万元；D包最高投标限价9万元。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7EB46EE2">
      <w:pPr>
        <w:keepNext w:val="0"/>
        <w:keepLines w:val="0"/>
        <w:pageBreakBefore w:val="0"/>
        <w:numPr>
          <w:ilvl w:val="0"/>
          <w:numId w:val="0"/>
        </w:numPr>
        <w:kinsoku/>
        <w:overflowPunct/>
        <w:topLinePunct w:val="0"/>
        <w:bidi w:val="0"/>
        <w:snapToGrid w:val="0"/>
        <w:spacing w:line="360" w:lineRule="auto"/>
        <w:ind w:firstLine="562" w:firstLineChars="200"/>
        <w:textAlignment w:val="auto"/>
        <w:rPr>
          <w:rFonts w:hint="default" w:eastAsia="宋体"/>
          <w:b/>
          <w:bCs/>
          <w:sz w:val="28"/>
          <w:szCs w:val="28"/>
          <w:lang w:val="en-US" w:eastAsia="zh-CN"/>
        </w:rPr>
      </w:pPr>
      <w:r>
        <w:rPr>
          <w:rFonts w:hint="eastAsia" w:ascii="宋体" w:hAnsi="宋体" w:cs="宋体"/>
          <w:b/>
          <w:bCs/>
          <w:color w:val="auto"/>
          <w:sz w:val="28"/>
          <w:szCs w:val="28"/>
          <w:highlight w:val="none"/>
          <w:lang w:val="en-US" w:eastAsia="zh-CN"/>
        </w:rPr>
        <w:t>A包、C包、D包：</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1E5873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分，技术参数有一项不满足的扣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分，扣完为止；如得分为0，则磋商无效。 </w:t>
            </w:r>
          </w:p>
          <w:p w14:paraId="7B47EA7F">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lang w:val="en-US" w:eastAsia="zh-CN"/>
              </w:rPr>
            </w:pPr>
            <w:r>
              <w:rPr>
                <w:rFonts w:hint="eastAsia" w:ascii="Times New Roman" w:hAnsi="Times New Roman" w:eastAsia="宋体" w:cs="Times New Roman"/>
                <w:kern w:val="2"/>
                <w:sz w:val="21"/>
                <w:szCs w:val="24"/>
                <w:lang w:val="en-US" w:eastAsia="zh-CN" w:bidi="ar-SA"/>
              </w:rPr>
              <w:t>1）</w:t>
            </w:r>
            <w:r>
              <w:rPr>
                <w:rFonts w:hint="eastAsia" w:ascii="宋体" w:hAnsi="宋体" w:eastAsia="宋体" w:cs="宋体"/>
                <w:color w:val="auto"/>
                <w:sz w:val="21"/>
                <w:szCs w:val="21"/>
                <w:highlight w:val="none"/>
                <w:lang w:val="en-US" w:eastAsia="zh-CN"/>
              </w:rPr>
              <w:t>供应商需如实填写技术偏离表。</w:t>
            </w:r>
          </w:p>
          <w:p w14:paraId="0F859C38">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b/>
                <w:bCs/>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r>
              <w:rPr>
                <w:rFonts w:hint="eastAsia" w:ascii="宋体" w:hAnsi="宋体" w:cs="宋体"/>
                <w:b/>
                <w:bCs/>
                <w:color w:val="auto"/>
                <w:sz w:val="21"/>
                <w:szCs w:val="21"/>
                <w:highlight w:val="none"/>
                <w:lang w:val="en-US" w:eastAsia="zh-CN"/>
              </w:rPr>
              <w:t>，如未按要求提供，则磋商无效。</w:t>
            </w:r>
          </w:p>
          <w:p w14:paraId="5487334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6804357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62414A3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安全性较高的得 </w:t>
            </w:r>
            <w:r>
              <w:rPr>
                <w:rFonts w:hint="eastAsia" w:ascii="宋体" w:hAnsi="宋体" w:cs="宋体"/>
                <w:b w:val="0"/>
                <w:bCs w:val="0"/>
                <w:color w:val="000000"/>
                <w:sz w:val="21"/>
                <w:szCs w:val="21"/>
                <w:lang w:val="en-US" w:eastAsia="zh-CN"/>
              </w:rPr>
              <w:t>3</w:t>
            </w:r>
            <w:r>
              <w:rPr>
                <w:rFonts w:hint="eastAsia" w:ascii="宋体" w:hAnsi="宋体" w:eastAsia="宋体" w:cs="宋体"/>
                <w:b w:val="0"/>
                <w:bCs w:val="0"/>
                <w:color w:val="000000"/>
                <w:sz w:val="21"/>
                <w:szCs w:val="21"/>
              </w:rPr>
              <w:t>分；投标产品制造工艺、稳定性、安全性一般的得 1 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66D586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1723DA0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分；所投产品较好，操控性较强、性能较好、技术较先进的得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3868535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4A469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具体详实，完全满足采购需求的得4分；有较具体的供货保障措施，基本满足采购需求的得2分；供货保障措施不完备，不能满足采购需求的得1分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EC1D4F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E0711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1835DB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0B2D1BB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6DC6C22C">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25E2A8A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05884B7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1B9D3D63">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20DC065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51772AC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5099510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035110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1BD2FC0B">
      <w:pPr>
        <w:pStyle w:val="9"/>
        <w:rPr>
          <w:rFonts w:hint="eastAsia"/>
        </w:rPr>
      </w:pPr>
      <w:r>
        <w:rPr>
          <w:rFonts w:hint="eastAsia" w:ascii="宋体" w:hAnsi="宋体" w:cs="宋体"/>
          <w:b/>
          <w:bCs/>
          <w:color w:val="auto"/>
          <w:sz w:val="28"/>
          <w:szCs w:val="28"/>
          <w:highlight w:val="none"/>
          <w:lang w:val="en-US" w:eastAsia="zh-CN"/>
        </w:rPr>
        <w:t>B包：</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583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7D20016C">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1A29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63D092A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3FF779AC">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2B8EE0E">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79E40EF0">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3A7B5539">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6F33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3A02A0C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6BD6441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30BA86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分，技术参数有一项不满足的扣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分，扣完为止；如得分为0，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则磋商无效。 </w:t>
            </w:r>
          </w:p>
          <w:p w14:paraId="678F33DE">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lang w:val="en-US" w:eastAsia="zh-CN"/>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w:t>
            </w:r>
            <w:r>
              <w:rPr>
                <w:rFonts w:hint="eastAsia" w:ascii="宋体" w:hAnsi="宋体" w:eastAsia="宋体" w:cs="宋体"/>
                <w:color w:val="auto"/>
                <w:sz w:val="21"/>
                <w:szCs w:val="21"/>
                <w:highlight w:val="none"/>
                <w:lang w:val="en-US" w:eastAsia="zh-CN"/>
              </w:rPr>
              <w:t>供应商需如实填写技术偏离表。</w:t>
            </w:r>
          </w:p>
          <w:p w14:paraId="6DEF92F9">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b/>
                <w:bCs/>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r>
              <w:rPr>
                <w:rFonts w:hint="eastAsia" w:ascii="宋体" w:hAnsi="宋体" w:cs="宋体"/>
                <w:b/>
                <w:bCs/>
                <w:color w:val="auto"/>
                <w:sz w:val="21"/>
                <w:szCs w:val="21"/>
                <w:highlight w:val="none"/>
                <w:lang w:val="en-US" w:eastAsia="zh-CN"/>
              </w:rPr>
              <w:t>，如未按要求提供，则磋商无效。</w:t>
            </w:r>
          </w:p>
          <w:p w14:paraId="5B2815B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4D1E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92E3D3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063EC37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c>
          <w:tcPr>
            <w:tcW w:w="6770" w:type="dxa"/>
            <w:noWrap w:val="0"/>
            <w:vAlign w:val="center"/>
          </w:tcPr>
          <w:p w14:paraId="2A87B71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5FA1E33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安全性较高的得 </w:t>
            </w:r>
            <w:r>
              <w:rPr>
                <w:rFonts w:hint="eastAsia" w:ascii="宋体" w:hAnsi="宋体" w:cs="宋体"/>
                <w:b w:val="0"/>
                <w:bCs w:val="0"/>
                <w:color w:val="000000"/>
                <w:sz w:val="21"/>
                <w:szCs w:val="21"/>
                <w:lang w:val="en-US" w:eastAsia="zh-CN"/>
              </w:rPr>
              <w:t>4</w:t>
            </w:r>
            <w:r>
              <w:rPr>
                <w:rFonts w:hint="eastAsia" w:ascii="宋体" w:hAnsi="宋体" w:eastAsia="宋体" w:cs="宋体"/>
                <w:b w:val="0"/>
                <w:bCs w:val="0"/>
                <w:color w:val="000000"/>
                <w:sz w:val="21"/>
                <w:szCs w:val="21"/>
              </w:rPr>
              <w:t>分；投标产品制造工艺、稳定性、安全性一般的得 1 分。</w:t>
            </w:r>
          </w:p>
        </w:tc>
      </w:tr>
      <w:tr w14:paraId="1BCD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4A85D3F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1170730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05E053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73A2C7A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分；所投产品较好，操控性较强、性能较好、技术较先进的得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237C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21A61A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0F43AC7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89E42D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6C84422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具体详实，完全满足采购需求的得6分；有较具体的供货保障措施，基本满足采购需求的得4分；供货保障措施不完备，不能满足采购需求的得1分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0351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D2F34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DE20B4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122B494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43F1413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分，缺项得0分。</w:t>
            </w:r>
          </w:p>
        </w:tc>
      </w:tr>
      <w:tr w14:paraId="11A5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39" w:type="dxa"/>
            <w:vMerge w:val="continue"/>
            <w:noWrap w:val="0"/>
            <w:vAlign w:val="center"/>
          </w:tcPr>
          <w:p w14:paraId="440D181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0887A8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2400BD2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2FAC3ED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1F38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07B7EB6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57F71F0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A584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133024FB">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206F50C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分（出具相关服务承诺书）。</w:t>
            </w:r>
          </w:p>
        </w:tc>
      </w:tr>
      <w:tr w14:paraId="397A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2BE1AB7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DDE3A8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950A71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78AF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6850689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596F600">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5665975D">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6DEE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1FFF6EA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2A10F1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2046134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3F654081">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16DCFAAD">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230A6CF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101EF23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35F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76AE5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2B99FE1E">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57F84C3D">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594139E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0" w:name="_Toc15804"/>
      <w:bookmarkStart w:id="81"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省、市、县</w:t>
            </w:r>
          </w:p>
          <w:p w14:paraId="1EA388BB">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收费编码</w:t>
            </w:r>
          </w:p>
          <w:p w14:paraId="0E7218A7">
            <w:pPr>
              <w:widowControl w:val="0"/>
              <w:spacing w:line="320" w:lineRule="exact"/>
              <w:jc w:val="center"/>
              <w:outlineLvl w:val="0"/>
              <w:rPr>
                <w:color w:val="auto"/>
                <w:sz w:val="21"/>
                <w:szCs w:val="21"/>
                <w:highlight w:val="none"/>
                <w:vertAlign w:val="baseline"/>
              </w:rPr>
            </w:pPr>
            <w:r>
              <w:rPr>
                <w:rFonts w:hint="eastAsia" w:ascii="宋体" w:hAnsi="宋体" w:eastAsia="宋体" w:cs="宋体"/>
                <w:b/>
                <w:color w:val="auto"/>
                <w:sz w:val="21"/>
                <w:szCs w:val="21"/>
                <w:highlight w:val="none"/>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238" w:type="dxa"/>
            <w:vAlign w:val="center"/>
          </w:tcPr>
          <w:p w14:paraId="25AACED3">
            <w:pPr>
              <w:widowControl w:val="0"/>
              <w:jc w:val="center"/>
              <w:rPr>
                <w:rFonts w:hint="default"/>
                <w:color w:val="auto"/>
                <w:highlight w:val="none"/>
                <w:vertAlign w:val="baseline"/>
                <w:lang w:val="en-US" w:eastAsia="zh-CN"/>
              </w:rPr>
            </w:pPr>
          </w:p>
        </w:tc>
        <w:tc>
          <w:tcPr>
            <w:tcW w:w="1023" w:type="dxa"/>
            <w:vAlign w:val="center"/>
          </w:tcPr>
          <w:p w14:paraId="749D014C">
            <w:pPr>
              <w:widowControl w:val="0"/>
              <w:jc w:val="center"/>
              <w:rPr>
                <w:rFonts w:hint="default"/>
                <w:color w:val="auto"/>
                <w:highlight w:val="none"/>
                <w:vertAlign w:val="baseline"/>
                <w:lang w:val="en-US" w:eastAsia="zh-CN"/>
              </w:rPr>
            </w:pPr>
          </w:p>
        </w:tc>
        <w:tc>
          <w:tcPr>
            <w:tcW w:w="1800"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238" w:type="dxa"/>
            <w:vAlign w:val="center"/>
          </w:tcPr>
          <w:p w14:paraId="439C5F96">
            <w:pPr>
              <w:widowControl w:val="0"/>
              <w:jc w:val="center"/>
              <w:rPr>
                <w:rFonts w:hint="default"/>
                <w:color w:val="auto"/>
                <w:highlight w:val="none"/>
                <w:vertAlign w:val="baseline"/>
                <w:lang w:val="en-US" w:eastAsia="zh-CN"/>
              </w:rPr>
            </w:pPr>
          </w:p>
        </w:tc>
        <w:tc>
          <w:tcPr>
            <w:tcW w:w="1023" w:type="dxa"/>
            <w:vAlign w:val="center"/>
          </w:tcPr>
          <w:p w14:paraId="674CDC80">
            <w:pPr>
              <w:widowControl w:val="0"/>
              <w:jc w:val="center"/>
              <w:rPr>
                <w:rFonts w:hint="default"/>
                <w:color w:val="auto"/>
                <w:highlight w:val="none"/>
                <w:vertAlign w:val="baseline"/>
                <w:lang w:val="en-US" w:eastAsia="zh-CN"/>
              </w:rPr>
            </w:pPr>
          </w:p>
        </w:tc>
        <w:tc>
          <w:tcPr>
            <w:tcW w:w="1800"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238" w:type="dxa"/>
            <w:vAlign w:val="center"/>
          </w:tcPr>
          <w:p w14:paraId="72E86AD5">
            <w:pPr>
              <w:widowControl w:val="0"/>
              <w:jc w:val="center"/>
              <w:rPr>
                <w:rFonts w:hint="default"/>
                <w:color w:val="auto"/>
                <w:highlight w:val="none"/>
                <w:vertAlign w:val="baseline"/>
                <w:lang w:val="en-US" w:eastAsia="zh-CN"/>
              </w:rPr>
            </w:pPr>
          </w:p>
        </w:tc>
        <w:tc>
          <w:tcPr>
            <w:tcW w:w="1023" w:type="dxa"/>
            <w:vAlign w:val="center"/>
          </w:tcPr>
          <w:p w14:paraId="7134BF0D">
            <w:pPr>
              <w:widowControl w:val="0"/>
              <w:jc w:val="center"/>
              <w:rPr>
                <w:rFonts w:hint="default"/>
                <w:color w:val="auto"/>
                <w:highlight w:val="none"/>
                <w:vertAlign w:val="baseline"/>
                <w:lang w:val="en-US" w:eastAsia="zh-CN"/>
              </w:rPr>
            </w:pPr>
          </w:p>
        </w:tc>
        <w:tc>
          <w:tcPr>
            <w:tcW w:w="1800"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238" w:type="dxa"/>
            <w:vAlign w:val="center"/>
          </w:tcPr>
          <w:p w14:paraId="161FB83F">
            <w:pPr>
              <w:widowControl w:val="0"/>
              <w:jc w:val="center"/>
              <w:rPr>
                <w:rFonts w:hint="default"/>
                <w:color w:val="auto"/>
                <w:highlight w:val="none"/>
                <w:vertAlign w:val="baseline"/>
                <w:lang w:val="en-US" w:eastAsia="zh-CN"/>
              </w:rPr>
            </w:pPr>
          </w:p>
        </w:tc>
        <w:tc>
          <w:tcPr>
            <w:tcW w:w="1023" w:type="dxa"/>
            <w:vAlign w:val="center"/>
          </w:tcPr>
          <w:p w14:paraId="77DF5323">
            <w:pPr>
              <w:widowControl w:val="0"/>
              <w:jc w:val="center"/>
              <w:rPr>
                <w:rFonts w:hint="default"/>
                <w:color w:val="auto"/>
                <w:highlight w:val="none"/>
                <w:vertAlign w:val="baseline"/>
                <w:lang w:val="en-US" w:eastAsia="zh-CN"/>
              </w:rPr>
            </w:pPr>
          </w:p>
        </w:tc>
        <w:tc>
          <w:tcPr>
            <w:tcW w:w="1800"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238" w:type="dxa"/>
            <w:vAlign w:val="center"/>
          </w:tcPr>
          <w:p w14:paraId="17137530">
            <w:pPr>
              <w:widowControl w:val="0"/>
              <w:jc w:val="center"/>
              <w:rPr>
                <w:rFonts w:hint="default"/>
                <w:color w:val="auto"/>
                <w:highlight w:val="none"/>
                <w:vertAlign w:val="baseline"/>
                <w:lang w:val="en-US" w:eastAsia="zh-CN"/>
              </w:rPr>
            </w:pPr>
          </w:p>
        </w:tc>
        <w:tc>
          <w:tcPr>
            <w:tcW w:w="1023" w:type="dxa"/>
            <w:vAlign w:val="center"/>
          </w:tcPr>
          <w:p w14:paraId="1138018C">
            <w:pPr>
              <w:widowControl w:val="0"/>
              <w:jc w:val="center"/>
              <w:rPr>
                <w:rFonts w:hint="default"/>
                <w:color w:val="auto"/>
                <w:highlight w:val="none"/>
                <w:vertAlign w:val="baseline"/>
                <w:lang w:val="en-US" w:eastAsia="zh-CN"/>
              </w:rPr>
            </w:pPr>
          </w:p>
        </w:tc>
        <w:tc>
          <w:tcPr>
            <w:tcW w:w="1800"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042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30519"/>
      <w:bookmarkStart w:id="90" w:name="_Toc1293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3342"/>
      <w:bookmarkStart w:id="93" w:name="_Toc18105"/>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3726"/>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25094"/>
      <w:bookmarkStart w:id="100" w:name="_Toc31685"/>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驻马店市中心医院电子牙周探针、冲洗吸引仪等医疗设备采购项目采购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11DF9338"/>
    <w:multiLevelType w:val="singleLevel"/>
    <w:tmpl w:val="11DF9338"/>
    <w:lvl w:ilvl="0" w:tentative="0">
      <w:start w:val="9"/>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40D82"/>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616720"/>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2375A"/>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884DBD"/>
    <w:rsid w:val="2E8C3288"/>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95634"/>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11BE3"/>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1C479E"/>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55DED"/>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7"/>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5"/>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16965</Words>
  <Characters>17926</Characters>
  <Lines>50</Lines>
  <Paragraphs>68</Paragraphs>
  <TotalTime>2</TotalTime>
  <ScaleCrop>false</ScaleCrop>
  <LinksUpToDate>false</LinksUpToDate>
  <CharactersWithSpaces>18303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2025-08-18T01:38:46Z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378A3AB75345486899207D43FF9978F1_13</vt:lpwstr>
  </property>
  <property fmtid="{D5CDD505-2E9C-101B-9397-08002B2CF9AE}" pid="4" name="KSOTemplateDocerSaveRecord">
    <vt:lpwstr>eyJoZGlkIjoiYzIwMjRmYTY4OTJhZjc1NTA1MGQwNDc0NzZhNTkwMmUiLCJ1c2VySWQiOiIxNjg0NTc5MjM2In0=</vt:lpwstr>
  </property>
</Properties>
</file>