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361ED1">
      <w:pPr>
        <w:pStyle w:val="20"/>
        <w:widowControl w:val="0"/>
        <w:spacing w:beforeLines="50"/>
        <w:jc w:val="center"/>
        <w:rPr>
          <w:b/>
          <w:bCs/>
          <w:sz w:val="48"/>
          <w:szCs w:val="48"/>
          <w:highlight w:val="none"/>
        </w:rPr>
      </w:pPr>
      <w:bookmarkStart w:id="0" w:name="_Toc22804073"/>
      <w:bookmarkEnd w:id="0"/>
      <w:bookmarkStart w:id="1" w:name="_Toc22953395"/>
      <w:bookmarkEnd w:id="1"/>
    </w:p>
    <w:p w14:paraId="7ABD7137">
      <w:pPr>
        <w:pStyle w:val="20"/>
        <w:widowControl w:val="0"/>
        <w:spacing w:beforeLines="50"/>
        <w:jc w:val="center"/>
        <w:rPr>
          <w:rFonts w:hint="eastAsia" w:eastAsia="宋体"/>
          <w:b/>
          <w:bCs/>
          <w:sz w:val="44"/>
          <w:szCs w:val="44"/>
          <w:highlight w:val="none"/>
          <w:lang w:eastAsia="zh-CN"/>
        </w:rPr>
      </w:pPr>
      <w:r>
        <w:rPr>
          <w:rFonts w:hint="eastAsia"/>
          <w:b/>
          <w:bCs/>
          <w:sz w:val="44"/>
          <w:szCs w:val="44"/>
          <w:highlight w:val="none"/>
        </w:rPr>
        <w:t>驻马店市中心医院前庭诱发肌源性诱发电位仪采购项目</w:t>
      </w:r>
      <w:r>
        <w:rPr>
          <w:rFonts w:hint="eastAsia"/>
          <w:b/>
          <w:bCs/>
          <w:sz w:val="44"/>
          <w:szCs w:val="44"/>
          <w:highlight w:val="none"/>
          <w:lang w:eastAsia="zh-CN"/>
        </w:rPr>
        <w:t>（</w:t>
      </w:r>
      <w:r>
        <w:rPr>
          <w:rFonts w:hint="eastAsia"/>
          <w:b/>
          <w:bCs/>
          <w:sz w:val="44"/>
          <w:szCs w:val="44"/>
          <w:highlight w:val="none"/>
          <w:lang w:val="en-US" w:eastAsia="zh-CN"/>
        </w:rPr>
        <w:t>二次</w:t>
      </w:r>
      <w:r>
        <w:rPr>
          <w:rFonts w:hint="eastAsia"/>
          <w:b/>
          <w:bCs/>
          <w:sz w:val="44"/>
          <w:szCs w:val="44"/>
          <w:highlight w:val="none"/>
          <w:lang w:eastAsia="zh-CN"/>
        </w:rPr>
        <w:t>）</w:t>
      </w:r>
    </w:p>
    <w:p w14:paraId="1490974B">
      <w:pPr>
        <w:pStyle w:val="20"/>
        <w:jc w:val="center"/>
        <w:rPr>
          <w:rStyle w:val="45"/>
          <w:b/>
          <w:bCs/>
          <w:color w:val="auto"/>
          <w:sz w:val="48"/>
          <w:szCs w:val="48"/>
          <w:highlight w:val="none"/>
        </w:rPr>
      </w:pPr>
      <w:bookmarkStart w:id="101" w:name="_GoBack"/>
      <w:bookmarkEnd w:id="101"/>
    </w:p>
    <w:p w14:paraId="2DE6C582">
      <w:pPr>
        <w:pStyle w:val="20"/>
        <w:jc w:val="center"/>
        <w:rPr>
          <w:rStyle w:val="45"/>
          <w:b/>
          <w:bCs/>
          <w:color w:val="auto"/>
          <w:sz w:val="48"/>
          <w:szCs w:val="48"/>
          <w:highlight w:val="none"/>
        </w:rPr>
      </w:pPr>
    </w:p>
    <w:p w14:paraId="5968205E">
      <w:pPr>
        <w:pStyle w:val="20"/>
        <w:jc w:val="center"/>
        <w:rPr>
          <w:rStyle w:val="45"/>
          <w:b/>
          <w:bCs/>
          <w:color w:val="auto"/>
          <w:sz w:val="48"/>
          <w:szCs w:val="48"/>
          <w:highlight w:val="none"/>
        </w:rPr>
      </w:pPr>
    </w:p>
    <w:p w14:paraId="410F3D4D">
      <w:pPr>
        <w:pStyle w:val="20"/>
        <w:jc w:val="center"/>
        <w:rPr>
          <w:rStyle w:val="45"/>
          <w:b/>
          <w:bCs/>
          <w:color w:val="auto"/>
          <w:sz w:val="48"/>
          <w:szCs w:val="48"/>
          <w:highlight w:val="none"/>
        </w:rPr>
      </w:pPr>
    </w:p>
    <w:p w14:paraId="34BB840D">
      <w:pPr>
        <w:pStyle w:val="20"/>
        <w:jc w:val="center"/>
        <w:rPr>
          <w:rStyle w:val="45"/>
          <w:b/>
          <w:bCs/>
          <w:color w:val="auto"/>
          <w:szCs w:val="44"/>
          <w:highlight w:val="none"/>
        </w:rPr>
      </w:pPr>
      <w:r>
        <w:rPr>
          <w:rStyle w:val="45"/>
          <w:rFonts w:hint="eastAsia"/>
          <w:b/>
          <w:bCs/>
          <w:color w:val="auto"/>
          <w:sz w:val="72"/>
          <w:szCs w:val="72"/>
          <w:highlight w:val="none"/>
        </w:rPr>
        <w:t>采购文件</w:t>
      </w:r>
    </w:p>
    <w:p w14:paraId="56EC88D3">
      <w:pPr>
        <w:tabs>
          <w:tab w:val="left" w:pos="2700"/>
          <w:tab w:val="left" w:pos="2880"/>
          <w:tab w:val="left" w:pos="3060"/>
          <w:tab w:val="left" w:pos="7560"/>
        </w:tabs>
        <w:snapToGrid w:val="0"/>
        <w:spacing w:line="360" w:lineRule="auto"/>
        <w:ind w:firstLine="1928" w:firstLineChars="600"/>
        <w:rPr>
          <w:rFonts w:ascii="宋体" w:hAnsi="宋体" w:cs="宋体"/>
          <w:b/>
          <w:bCs/>
          <w:spacing w:val="-10"/>
          <w:sz w:val="34"/>
          <w:szCs w:val="34"/>
          <w:highlight w:val="none"/>
        </w:rPr>
      </w:pPr>
    </w:p>
    <w:p w14:paraId="2D9A059E">
      <w:pPr>
        <w:snapToGrid w:val="0"/>
        <w:spacing w:line="380" w:lineRule="exact"/>
        <w:jc w:val="center"/>
        <w:rPr>
          <w:rFonts w:ascii="宋体" w:hAnsi="宋体" w:cs="宋体"/>
          <w:b/>
          <w:sz w:val="32"/>
          <w:szCs w:val="32"/>
          <w:highlight w:val="none"/>
        </w:rPr>
      </w:pPr>
    </w:p>
    <w:p w14:paraId="7E33BAB5">
      <w:pPr>
        <w:pStyle w:val="33"/>
        <w:ind w:firstLine="210"/>
        <w:rPr>
          <w:rFonts w:ascii="宋体" w:hAnsi="宋体" w:cs="宋体"/>
          <w:highlight w:val="none"/>
        </w:rPr>
      </w:pPr>
    </w:p>
    <w:p w14:paraId="76844ADA">
      <w:pPr>
        <w:pStyle w:val="60"/>
        <w:rPr>
          <w:rFonts w:ascii="宋体" w:hAnsi="宋体" w:cs="宋体"/>
          <w:bCs/>
          <w:sz w:val="2"/>
          <w:szCs w:val="2"/>
          <w:highlight w:val="none"/>
        </w:rPr>
      </w:pPr>
    </w:p>
    <w:p w14:paraId="549AA901">
      <w:pPr>
        <w:rPr>
          <w:rFonts w:ascii="宋体" w:hAnsi="宋体" w:cs="宋体"/>
          <w:bCs/>
          <w:sz w:val="2"/>
          <w:szCs w:val="2"/>
          <w:highlight w:val="none"/>
        </w:rPr>
      </w:pPr>
    </w:p>
    <w:p w14:paraId="6A4085DE">
      <w:pPr>
        <w:spacing w:line="20" w:lineRule="exact"/>
        <w:rPr>
          <w:rFonts w:ascii="宋体" w:hAnsi="宋体" w:cs="宋体"/>
          <w:bCs/>
          <w:sz w:val="2"/>
          <w:szCs w:val="2"/>
          <w:highlight w:val="none"/>
        </w:rPr>
      </w:pPr>
    </w:p>
    <w:p w14:paraId="60BDBB4B">
      <w:pPr>
        <w:tabs>
          <w:tab w:val="left" w:pos="2700"/>
          <w:tab w:val="left" w:pos="2880"/>
          <w:tab w:val="left" w:pos="3060"/>
          <w:tab w:val="left" w:pos="7560"/>
        </w:tabs>
        <w:snapToGrid w:val="0"/>
        <w:spacing w:line="480" w:lineRule="auto"/>
        <w:ind w:firstLine="1928" w:firstLineChars="600"/>
        <w:rPr>
          <w:rFonts w:ascii="宋体" w:hAnsi="宋体" w:cs="宋体"/>
          <w:b/>
          <w:bCs/>
          <w:spacing w:val="-10"/>
          <w:sz w:val="34"/>
          <w:szCs w:val="34"/>
          <w:highlight w:val="none"/>
        </w:rPr>
      </w:pPr>
    </w:p>
    <w:p w14:paraId="4487245B">
      <w:pPr>
        <w:tabs>
          <w:tab w:val="left" w:pos="2700"/>
          <w:tab w:val="left" w:pos="2880"/>
          <w:tab w:val="left" w:pos="3060"/>
          <w:tab w:val="left" w:pos="7560"/>
        </w:tabs>
        <w:snapToGrid w:val="0"/>
        <w:spacing w:line="480" w:lineRule="auto"/>
        <w:ind w:firstLine="1928" w:firstLineChars="600"/>
        <w:rPr>
          <w:rFonts w:ascii="宋体" w:hAnsi="宋体" w:cs="宋体"/>
          <w:b/>
          <w:bCs/>
          <w:spacing w:val="-10"/>
          <w:sz w:val="34"/>
          <w:szCs w:val="34"/>
          <w:highlight w:val="none"/>
        </w:rPr>
      </w:pPr>
    </w:p>
    <w:p w14:paraId="06B3B2EA">
      <w:pPr>
        <w:tabs>
          <w:tab w:val="left" w:pos="2700"/>
          <w:tab w:val="left" w:pos="2880"/>
          <w:tab w:val="left" w:pos="3060"/>
          <w:tab w:val="left" w:pos="7560"/>
        </w:tabs>
        <w:snapToGrid w:val="0"/>
        <w:spacing w:line="480" w:lineRule="auto"/>
        <w:jc w:val="center"/>
        <w:rPr>
          <w:rFonts w:ascii="宋体" w:hAnsi="宋体" w:cs="宋体"/>
          <w:b/>
          <w:bCs/>
          <w:spacing w:val="-10"/>
          <w:sz w:val="34"/>
          <w:szCs w:val="34"/>
          <w:highlight w:val="none"/>
        </w:rPr>
      </w:pPr>
    </w:p>
    <w:p w14:paraId="789422CC">
      <w:pPr>
        <w:tabs>
          <w:tab w:val="left" w:pos="2700"/>
          <w:tab w:val="left" w:pos="2880"/>
          <w:tab w:val="left" w:pos="3060"/>
          <w:tab w:val="left" w:pos="7560"/>
        </w:tabs>
        <w:snapToGrid w:val="0"/>
        <w:spacing w:line="480" w:lineRule="auto"/>
        <w:jc w:val="center"/>
        <w:rPr>
          <w:rFonts w:ascii="宋体" w:hAnsi="宋体" w:cs="宋体"/>
          <w:b/>
          <w:bCs/>
          <w:spacing w:val="80"/>
          <w:sz w:val="34"/>
          <w:szCs w:val="34"/>
          <w:highlight w:val="none"/>
        </w:rPr>
      </w:pPr>
      <w:r>
        <w:rPr>
          <w:rFonts w:hint="eastAsia" w:ascii="宋体" w:hAnsi="宋体" w:cs="宋体"/>
          <w:b/>
          <w:bCs/>
          <w:spacing w:val="-10"/>
          <w:sz w:val="34"/>
          <w:szCs w:val="34"/>
          <w:highlight w:val="none"/>
        </w:rPr>
        <w:t>采 购 人：驻马店市中心医院</w:t>
      </w:r>
    </w:p>
    <w:p w14:paraId="09BE3751">
      <w:pPr>
        <w:tabs>
          <w:tab w:val="left" w:pos="2505"/>
          <w:tab w:val="center" w:pos="4535"/>
        </w:tabs>
        <w:snapToGrid w:val="0"/>
        <w:spacing w:line="480" w:lineRule="auto"/>
        <w:jc w:val="center"/>
        <w:rPr>
          <w:rFonts w:ascii="宋体" w:hAnsi="宋体" w:cs="宋体"/>
          <w:b/>
          <w:sz w:val="36"/>
          <w:szCs w:val="36"/>
          <w:highlight w:val="none"/>
        </w:rPr>
        <w:sectPr>
          <w:pgSz w:w="11923" w:h="16838"/>
          <w:pgMar w:top="1304" w:right="1417" w:bottom="992" w:left="1417" w:header="720" w:footer="720" w:gutter="0"/>
          <w:pgNumType w:start="1"/>
          <w:cols w:space="720" w:num="1"/>
          <w:docGrid w:type="lines" w:linePitch="312" w:charSpace="0"/>
        </w:sectPr>
      </w:pPr>
      <w:r>
        <w:rPr>
          <w:rFonts w:hint="eastAsia" w:ascii="宋体" w:hAnsi="宋体" w:cs="宋体"/>
          <w:b/>
          <w:bCs/>
          <w:spacing w:val="40"/>
          <w:sz w:val="34"/>
          <w:szCs w:val="34"/>
          <w:highlight w:val="none"/>
        </w:rPr>
        <w:t>2025年7月</w:t>
      </w:r>
    </w:p>
    <w:p w14:paraId="2E05C1A9">
      <w:pPr>
        <w:rPr>
          <w:rFonts w:ascii="宋体" w:hAnsi="宋体" w:cs="宋体"/>
          <w:bCs/>
          <w:sz w:val="24"/>
          <w:highlight w:val="none"/>
        </w:rPr>
      </w:pPr>
    </w:p>
    <w:p w14:paraId="601C02EA">
      <w:pPr>
        <w:jc w:val="center"/>
        <w:rPr>
          <w:rFonts w:ascii="宋体" w:hAnsi="宋体" w:cs="宋体"/>
          <w:b/>
          <w:bCs/>
          <w:sz w:val="36"/>
          <w:szCs w:val="36"/>
          <w:highlight w:val="none"/>
        </w:rPr>
      </w:pPr>
      <w:r>
        <w:rPr>
          <w:rFonts w:hint="eastAsia" w:ascii="宋体" w:hAnsi="宋体" w:cs="宋体"/>
          <w:b/>
          <w:bCs/>
          <w:sz w:val="36"/>
          <w:szCs w:val="36"/>
          <w:highlight w:val="none"/>
        </w:rPr>
        <w:t>目录</w:t>
      </w:r>
    </w:p>
    <w:p w14:paraId="387A844C">
      <w:pPr>
        <w:pStyle w:val="54"/>
        <w:rPr>
          <w:color w:val="auto"/>
          <w:highlight w:val="none"/>
        </w:rPr>
      </w:pPr>
    </w:p>
    <w:p w14:paraId="7158E197">
      <w:pPr>
        <w:pStyle w:val="26"/>
        <w:tabs>
          <w:tab w:val="right" w:leader="dot" w:pos="8958"/>
        </w:tabs>
        <w:spacing w:line="500" w:lineRule="exact"/>
        <w:rPr>
          <w:rFonts w:ascii="宋体" w:hAnsi="宋体" w:cs="宋体"/>
          <w:highlight w:val="none"/>
        </w:rPr>
      </w:pP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TOC \o "1-1" \h \u </w:instrText>
      </w:r>
      <w:r>
        <w:rPr>
          <w:rFonts w:hint="eastAsia" w:ascii="宋体" w:hAnsi="宋体" w:cs="宋体"/>
          <w:b/>
          <w:bCs/>
          <w:sz w:val="32"/>
          <w:szCs w:val="32"/>
          <w:highlight w:val="none"/>
        </w:rPr>
        <w:fldChar w:fldCharType="separate"/>
      </w:r>
      <w:r>
        <w:rPr>
          <w:highlight w:val="none"/>
        </w:rPr>
        <w:fldChar w:fldCharType="begin"/>
      </w:r>
      <w:r>
        <w:rPr>
          <w:highlight w:val="none"/>
        </w:rPr>
        <w:instrText xml:space="preserve"> HYPERLINK \l "_Toc26528" </w:instrText>
      </w:r>
      <w:r>
        <w:rPr>
          <w:highlight w:val="none"/>
        </w:rPr>
        <w:fldChar w:fldCharType="separate"/>
      </w:r>
      <w:r>
        <w:rPr>
          <w:rFonts w:hint="eastAsia" w:ascii="宋体" w:hAnsi="宋体" w:cs="宋体"/>
          <w:szCs w:val="32"/>
          <w:highlight w:val="none"/>
        </w:rPr>
        <w:t>第一章  竞争性磋商采购公告</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_Toc26528 \h </w:instrText>
      </w:r>
      <w:r>
        <w:rPr>
          <w:rFonts w:hint="eastAsia" w:ascii="宋体" w:hAnsi="宋体" w:cs="宋体"/>
          <w:highlight w:val="none"/>
        </w:rPr>
        <w:fldChar w:fldCharType="separate"/>
      </w:r>
      <w:r>
        <w:rPr>
          <w:rFonts w:hint="eastAsia" w:ascii="宋体" w:hAnsi="宋体" w:cs="宋体"/>
          <w:highlight w:val="none"/>
        </w:rPr>
        <w:t>2</w:t>
      </w:r>
      <w:r>
        <w:rPr>
          <w:rFonts w:hint="eastAsia" w:ascii="宋体" w:hAnsi="宋体" w:cs="宋体"/>
          <w:highlight w:val="none"/>
        </w:rPr>
        <w:fldChar w:fldCharType="end"/>
      </w:r>
      <w:r>
        <w:rPr>
          <w:rFonts w:hint="eastAsia" w:ascii="宋体" w:hAnsi="宋体" w:cs="宋体"/>
          <w:highlight w:val="none"/>
        </w:rPr>
        <w:fldChar w:fldCharType="end"/>
      </w:r>
    </w:p>
    <w:p w14:paraId="7EEF6CF0">
      <w:pPr>
        <w:pStyle w:val="26"/>
        <w:tabs>
          <w:tab w:val="right" w:leader="dot" w:pos="8958"/>
        </w:tabs>
        <w:spacing w:line="500" w:lineRule="exact"/>
        <w:rPr>
          <w:rFonts w:ascii="宋体" w:hAnsi="宋体" w:cs="宋体"/>
          <w:highlight w:val="none"/>
        </w:rPr>
      </w:pPr>
      <w:r>
        <w:rPr>
          <w:highlight w:val="none"/>
        </w:rPr>
        <w:fldChar w:fldCharType="begin"/>
      </w:r>
      <w:r>
        <w:rPr>
          <w:highlight w:val="none"/>
        </w:rPr>
        <w:instrText xml:space="preserve"> HYPERLINK \l "_Toc19124" </w:instrText>
      </w:r>
      <w:r>
        <w:rPr>
          <w:highlight w:val="none"/>
        </w:rPr>
        <w:fldChar w:fldCharType="separate"/>
      </w:r>
      <w:r>
        <w:rPr>
          <w:rFonts w:hint="eastAsia" w:ascii="宋体" w:hAnsi="宋体" w:cs="宋体"/>
          <w:szCs w:val="32"/>
          <w:highlight w:val="none"/>
        </w:rPr>
        <w:t>第二章  采购需求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_Toc19124 \h </w:instrText>
      </w:r>
      <w:r>
        <w:rPr>
          <w:rFonts w:hint="eastAsia" w:ascii="宋体" w:hAnsi="宋体" w:cs="宋体"/>
          <w:highlight w:val="none"/>
        </w:rPr>
        <w:fldChar w:fldCharType="separate"/>
      </w:r>
      <w:r>
        <w:rPr>
          <w:rFonts w:hint="eastAsia" w:ascii="宋体" w:hAnsi="宋体" w:cs="宋体"/>
          <w:highlight w:val="none"/>
        </w:rPr>
        <w:t>4</w:t>
      </w:r>
      <w:r>
        <w:rPr>
          <w:rFonts w:hint="eastAsia" w:ascii="宋体" w:hAnsi="宋体" w:cs="宋体"/>
          <w:highlight w:val="none"/>
        </w:rPr>
        <w:fldChar w:fldCharType="end"/>
      </w:r>
      <w:r>
        <w:rPr>
          <w:rFonts w:hint="eastAsia" w:ascii="宋体" w:hAnsi="宋体" w:cs="宋体"/>
          <w:highlight w:val="none"/>
        </w:rPr>
        <w:fldChar w:fldCharType="end"/>
      </w:r>
    </w:p>
    <w:p w14:paraId="5F4C85AF">
      <w:pPr>
        <w:pStyle w:val="26"/>
        <w:tabs>
          <w:tab w:val="right" w:leader="dot" w:pos="8958"/>
        </w:tabs>
        <w:spacing w:line="500" w:lineRule="exact"/>
        <w:rPr>
          <w:rFonts w:ascii="宋体" w:hAnsi="宋体" w:cs="宋体"/>
          <w:highlight w:val="none"/>
        </w:rPr>
      </w:pPr>
      <w:r>
        <w:rPr>
          <w:highlight w:val="none"/>
        </w:rPr>
        <w:fldChar w:fldCharType="begin"/>
      </w:r>
      <w:r>
        <w:rPr>
          <w:highlight w:val="none"/>
        </w:rPr>
        <w:instrText xml:space="preserve"> HYPERLINK \l "_Toc8501" </w:instrText>
      </w:r>
      <w:r>
        <w:rPr>
          <w:highlight w:val="none"/>
        </w:rPr>
        <w:fldChar w:fldCharType="separate"/>
      </w:r>
      <w:r>
        <w:rPr>
          <w:rFonts w:hint="eastAsia" w:ascii="宋体" w:hAnsi="宋体" w:cs="宋体"/>
          <w:bCs/>
          <w:szCs w:val="32"/>
          <w:highlight w:val="none"/>
        </w:rPr>
        <w:t>第三章  供应商须知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_Toc8501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316BB3B5">
      <w:pPr>
        <w:pStyle w:val="26"/>
        <w:tabs>
          <w:tab w:val="right" w:leader="dot" w:pos="8958"/>
        </w:tabs>
        <w:spacing w:line="500" w:lineRule="exact"/>
        <w:rPr>
          <w:rFonts w:ascii="宋体" w:hAnsi="宋体" w:cs="宋体"/>
          <w:highlight w:val="none"/>
        </w:rPr>
      </w:pPr>
      <w:r>
        <w:rPr>
          <w:highlight w:val="none"/>
        </w:rPr>
        <w:fldChar w:fldCharType="begin"/>
      </w:r>
      <w:r>
        <w:rPr>
          <w:highlight w:val="none"/>
        </w:rPr>
        <w:instrText xml:space="preserve"> HYPERLINK \l "_Toc31399" </w:instrText>
      </w:r>
      <w:r>
        <w:rPr>
          <w:highlight w:val="none"/>
        </w:rPr>
        <w:fldChar w:fldCharType="separate"/>
      </w:r>
      <w:r>
        <w:rPr>
          <w:rFonts w:hint="eastAsia" w:ascii="宋体" w:hAnsi="宋体" w:cs="宋体"/>
          <w:bCs/>
          <w:kern w:val="0"/>
          <w:szCs w:val="32"/>
          <w:highlight w:val="none"/>
        </w:rPr>
        <w:t>第四章  评标办法及评分标准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_Toc31399 \h </w:instrText>
      </w:r>
      <w:r>
        <w:rPr>
          <w:rFonts w:hint="eastAsia" w:ascii="宋体" w:hAnsi="宋体" w:cs="宋体"/>
          <w:highlight w:val="none"/>
        </w:rPr>
        <w:fldChar w:fldCharType="separate"/>
      </w:r>
      <w:r>
        <w:rPr>
          <w:rFonts w:hint="eastAsia" w:ascii="宋体" w:hAnsi="宋体" w:cs="宋体"/>
          <w:highlight w:val="none"/>
        </w:rPr>
        <w:t>18</w:t>
      </w:r>
      <w:r>
        <w:rPr>
          <w:rFonts w:hint="eastAsia" w:ascii="宋体" w:hAnsi="宋体" w:cs="宋体"/>
          <w:highlight w:val="none"/>
        </w:rPr>
        <w:fldChar w:fldCharType="end"/>
      </w:r>
      <w:r>
        <w:rPr>
          <w:rFonts w:hint="eastAsia" w:ascii="宋体" w:hAnsi="宋体" w:cs="宋体"/>
          <w:highlight w:val="none"/>
        </w:rPr>
        <w:fldChar w:fldCharType="end"/>
      </w:r>
    </w:p>
    <w:p w14:paraId="294220C0">
      <w:pPr>
        <w:pStyle w:val="26"/>
        <w:tabs>
          <w:tab w:val="right" w:leader="dot" w:pos="8958"/>
        </w:tabs>
        <w:spacing w:line="500" w:lineRule="exact"/>
        <w:rPr>
          <w:rFonts w:ascii="宋体" w:hAnsi="宋体" w:cs="宋体"/>
          <w:highlight w:val="none"/>
        </w:rPr>
      </w:pPr>
      <w:r>
        <w:rPr>
          <w:highlight w:val="none"/>
        </w:rPr>
        <w:fldChar w:fldCharType="begin"/>
      </w:r>
      <w:r>
        <w:rPr>
          <w:highlight w:val="none"/>
        </w:rPr>
        <w:instrText xml:space="preserve"> HYPERLINK \l "_Toc11904" </w:instrText>
      </w:r>
      <w:r>
        <w:rPr>
          <w:highlight w:val="none"/>
        </w:rPr>
        <w:fldChar w:fldCharType="separate"/>
      </w:r>
      <w:r>
        <w:rPr>
          <w:rFonts w:hint="eastAsia" w:ascii="宋体" w:hAnsi="宋体" w:cs="宋体"/>
          <w:szCs w:val="28"/>
          <w:highlight w:val="none"/>
        </w:rPr>
        <w:t>第五章  采购合同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_Toc11904 \h </w:instrText>
      </w:r>
      <w:r>
        <w:rPr>
          <w:rFonts w:hint="eastAsia" w:ascii="宋体" w:hAnsi="宋体" w:cs="宋体"/>
          <w:highlight w:val="none"/>
        </w:rPr>
        <w:fldChar w:fldCharType="separate"/>
      </w:r>
      <w:r>
        <w:rPr>
          <w:rFonts w:hint="eastAsia" w:ascii="宋体" w:hAnsi="宋体" w:cs="宋体"/>
          <w:highlight w:val="none"/>
        </w:rPr>
        <w:t>20</w:t>
      </w:r>
      <w:r>
        <w:rPr>
          <w:rFonts w:hint="eastAsia" w:ascii="宋体" w:hAnsi="宋体" w:cs="宋体"/>
          <w:highlight w:val="none"/>
        </w:rPr>
        <w:fldChar w:fldCharType="end"/>
      </w:r>
      <w:r>
        <w:rPr>
          <w:rFonts w:hint="eastAsia" w:ascii="宋体" w:hAnsi="宋体" w:cs="宋体"/>
          <w:highlight w:val="none"/>
        </w:rPr>
        <w:fldChar w:fldCharType="end"/>
      </w:r>
    </w:p>
    <w:p w14:paraId="5C8C6003">
      <w:pPr>
        <w:pStyle w:val="26"/>
        <w:tabs>
          <w:tab w:val="right" w:leader="dot" w:pos="8958"/>
        </w:tabs>
        <w:spacing w:line="500" w:lineRule="exact"/>
        <w:rPr>
          <w:highlight w:val="none"/>
        </w:rPr>
      </w:pPr>
      <w:r>
        <w:rPr>
          <w:highlight w:val="none"/>
        </w:rPr>
        <w:fldChar w:fldCharType="begin"/>
      </w:r>
      <w:r>
        <w:rPr>
          <w:highlight w:val="none"/>
        </w:rPr>
        <w:instrText xml:space="preserve"> HYPERLINK \l "_Toc18702" </w:instrText>
      </w:r>
      <w:r>
        <w:rPr>
          <w:highlight w:val="none"/>
        </w:rPr>
        <w:fldChar w:fldCharType="separate"/>
      </w:r>
      <w:r>
        <w:rPr>
          <w:rFonts w:hint="eastAsia" w:ascii="宋体" w:hAnsi="宋体" w:cs="宋体"/>
          <w:szCs w:val="32"/>
          <w:highlight w:val="none"/>
        </w:rPr>
        <w:t>第六章  响应文件格式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_Toc18702 \h </w:instrText>
      </w:r>
      <w:r>
        <w:rPr>
          <w:rFonts w:hint="eastAsia" w:ascii="宋体" w:hAnsi="宋体" w:cs="宋体"/>
          <w:highlight w:val="none"/>
        </w:rPr>
        <w:fldChar w:fldCharType="separate"/>
      </w:r>
      <w:r>
        <w:rPr>
          <w:rFonts w:hint="eastAsia" w:ascii="宋体" w:hAnsi="宋体" w:cs="宋体"/>
          <w:highlight w:val="none"/>
        </w:rPr>
        <w:t>21</w:t>
      </w:r>
      <w:r>
        <w:rPr>
          <w:rFonts w:hint="eastAsia" w:ascii="宋体" w:hAnsi="宋体" w:cs="宋体"/>
          <w:highlight w:val="none"/>
        </w:rPr>
        <w:fldChar w:fldCharType="end"/>
      </w:r>
      <w:r>
        <w:rPr>
          <w:rFonts w:hint="eastAsia" w:ascii="宋体" w:hAnsi="宋体" w:cs="宋体"/>
          <w:highlight w:val="none"/>
        </w:rPr>
        <w:fldChar w:fldCharType="end"/>
      </w:r>
    </w:p>
    <w:p w14:paraId="3CF45328">
      <w:pPr>
        <w:pStyle w:val="84"/>
        <w:tabs>
          <w:tab w:val="right" w:leader="dot" w:pos="8300"/>
        </w:tabs>
        <w:snapToGrid w:val="0"/>
        <w:spacing w:line="360" w:lineRule="auto"/>
        <w:rPr>
          <w:rFonts w:ascii="宋体" w:hAnsi="宋体" w:cs="宋体"/>
          <w:sz w:val="32"/>
          <w:szCs w:val="32"/>
          <w:highlight w:val="none"/>
        </w:rPr>
      </w:pPr>
      <w:r>
        <w:rPr>
          <w:rFonts w:hint="eastAsia" w:ascii="宋体" w:hAnsi="宋体" w:cs="宋体"/>
          <w:bCs/>
          <w:szCs w:val="32"/>
          <w:highlight w:val="none"/>
        </w:rPr>
        <w:fldChar w:fldCharType="end"/>
      </w:r>
    </w:p>
    <w:p w14:paraId="5B34D8D9">
      <w:pPr>
        <w:spacing w:line="440" w:lineRule="exact"/>
        <w:rPr>
          <w:rFonts w:ascii="宋体" w:hAnsi="宋体" w:cs="宋体"/>
          <w:b/>
          <w:sz w:val="32"/>
          <w:szCs w:val="32"/>
          <w:highlight w:val="none"/>
        </w:rPr>
      </w:pPr>
    </w:p>
    <w:p w14:paraId="2C105358">
      <w:pPr>
        <w:spacing w:line="360" w:lineRule="auto"/>
        <w:ind w:firstLine="2409" w:firstLineChars="600"/>
        <w:rPr>
          <w:rFonts w:ascii="宋体" w:hAnsi="宋体" w:cs="宋体"/>
          <w:b/>
          <w:sz w:val="40"/>
          <w:szCs w:val="40"/>
          <w:highlight w:val="none"/>
        </w:rPr>
        <w:sectPr>
          <w:headerReference r:id="rId3" w:type="default"/>
          <w:footerReference r:id="rId4" w:type="default"/>
          <w:pgSz w:w="11906" w:h="16838"/>
          <w:pgMar w:top="1417" w:right="1474" w:bottom="1417" w:left="1474" w:header="851" w:footer="624" w:gutter="0"/>
          <w:pgNumType w:start="1"/>
          <w:cols w:space="720" w:num="1"/>
          <w:docGrid w:type="lines" w:linePitch="319" w:charSpace="0"/>
        </w:sectPr>
      </w:pPr>
    </w:p>
    <w:p w14:paraId="68EEACD6">
      <w:pPr>
        <w:spacing w:line="360" w:lineRule="auto"/>
        <w:jc w:val="center"/>
        <w:outlineLvl w:val="0"/>
        <w:rPr>
          <w:rFonts w:ascii="宋体" w:hAnsi="宋体" w:cs="宋体"/>
          <w:b/>
          <w:sz w:val="32"/>
          <w:szCs w:val="32"/>
          <w:highlight w:val="none"/>
        </w:rPr>
      </w:pPr>
      <w:bookmarkStart w:id="2" w:name="_Toc26528"/>
      <w:r>
        <w:rPr>
          <w:rFonts w:hint="eastAsia" w:ascii="宋体" w:hAnsi="宋体" w:cs="宋体"/>
          <w:b/>
          <w:sz w:val="32"/>
          <w:szCs w:val="32"/>
          <w:highlight w:val="none"/>
        </w:rPr>
        <w:t>第一章  竞争性磋商采购公告</w:t>
      </w:r>
      <w:bookmarkEnd w:id="2"/>
    </w:p>
    <w:p w14:paraId="1A58B0A9">
      <w:pPr>
        <w:widowControl/>
        <w:adjustRightInd w:val="0"/>
        <w:snapToGrid w:val="0"/>
        <w:spacing w:line="324" w:lineRule="auto"/>
        <w:jc w:val="center"/>
        <w:rPr>
          <w:rFonts w:hint="eastAsia" w:ascii="宋体" w:hAnsi="宋体" w:eastAsia="宋体" w:cs="宋体"/>
          <w:b/>
          <w:kern w:val="0"/>
          <w:sz w:val="28"/>
          <w:szCs w:val="28"/>
          <w:highlight w:val="none"/>
          <w:lang w:eastAsia="zh-CN"/>
        </w:rPr>
      </w:pPr>
      <w:r>
        <w:rPr>
          <w:rFonts w:hint="eastAsia" w:ascii="宋体" w:hAnsi="宋体" w:cs="宋体"/>
          <w:b/>
          <w:kern w:val="0"/>
          <w:sz w:val="28"/>
          <w:szCs w:val="28"/>
          <w:highlight w:val="none"/>
        </w:rPr>
        <w:t>驻马店市中心医院前庭诱发肌源性诱发电位仪采购项目</w:t>
      </w:r>
      <w:r>
        <w:rPr>
          <w:rFonts w:hint="eastAsia" w:ascii="宋体" w:hAnsi="宋体" w:cs="宋体"/>
          <w:b/>
          <w:kern w:val="0"/>
          <w:sz w:val="28"/>
          <w:szCs w:val="28"/>
          <w:highlight w:val="none"/>
          <w:lang w:eastAsia="zh-CN"/>
        </w:rPr>
        <w:t>（</w:t>
      </w:r>
      <w:r>
        <w:rPr>
          <w:rFonts w:hint="eastAsia" w:ascii="宋体" w:hAnsi="宋体" w:cs="宋体"/>
          <w:b/>
          <w:kern w:val="0"/>
          <w:sz w:val="28"/>
          <w:szCs w:val="28"/>
          <w:highlight w:val="none"/>
          <w:lang w:val="en-US" w:eastAsia="zh-CN"/>
        </w:rPr>
        <w:t>二次</w:t>
      </w:r>
      <w:r>
        <w:rPr>
          <w:rFonts w:hint="eastAsia" w:ascii="宋体" w:hAnsi="宋体" w:cs="宋体"/>
          <w:b/>
          <w:kern w:val="0"/>
          <w:sz w:val="28"/>
          <w:szCs w:val="28"/>
          <w:highlight w:val="none"/>
          <w:lang w:eastAsia="zh-CN"/>
        </w:rPr>
        <w:t>）</w:t>
      </w:r>
    </w:p>
    <w:p w14:paraId="2A094C39">
      <w:pPr>
        <w:widowControl/>
        <w:adjustRightInd w:val="0"/>
        <w:snapToGrid w:val="0"/>
        <w:spacing w:line="324"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竞争性磋商公告</w:t>
      </w:r>
    </w:p>
    <w:p w14:paraId="562315AF">
      <w:pPr>
        <w:snapToGrid w:val="0"/>
        <w:spacing w:line="324" w:lineRule="auto"/>
        <w:ind w:firstLine="420" w:firstLineChars="200"/>
        <w:rPr>
          <w:rFonts w:ascii="宋体" w:hAnsi="宋体" w:cs="宋体"/>
          <w:szCs w:val="21"/>
          <w:highlight w:val="none"/>
        </w:rPr>
      </w:pPr>
      <w:r>
        <w:rPr>
          <w:rFonts w:hint="eastAsia" w:ascii="宋体" w:hAnsi="宋体" w:cs="宋体"/>
          <w:highlight w:val="none"/>
        </w:rPr>
        <w:t>驻马店市中心医院现对驻马店市中心医院</w:t>
      </w:r>
      <w:r>
        <w:rPr>
          <w:rFonts w:hint="eastAsia" w:ascii="宋体" w:hAnsi="宋体" w:cs="宋体"/>
          <w:szCs w:val="21"/>
          <w:highlight w:val="none"/>
          <w:shd w:val="clear" w:color="auto" w:fill="FFFFFF"/>
        </w:rPr>
        <w:t>前庭诱发肌源性诱发电位仪采购项目</w:t>
      </w:r>
      <w:r>
        <w:rPr>
          <w:rFonts w:hint="eastAsia" w:ascii="宋体" w:hAnsi="宋体" w:cs="宋体"/>
          <w:highlight w:val="none"/>
        </w:rPr>
        <w:t>进行院内竞争性磋商采购，欢迎符合资格条件的供应商前来报名并</w:t>
      </w:r>
      <w:r>
        <w:rPr>
          <w:rFonts w:hint="eastAsia" w:ascii="宋体" w:hAnsi="宋体" w:cs="宋体"/>
          <w:szCs w:val="21"/>
          <w:highlight w:val="none"/>
        </w:rPr>
        <w:t>获取采购文件。</w:t>
      </w:r>
    </w:p>
    <w:p w14:paraId="494CB16D">
      <w:pPr>
        <w:widowControl/>
        <w:snapToGrid w:val="0"/>
        <w:spacing w:line="324" w:lineRule="auto"/>
        <w:jc w:val="left"/>
        <w:outlineLvl w:val="1"/>
        <w:rPr>
          <w:rFonts w:ascii="宋体" w:hAnsi="宋体" w:cs="宋体"/>
          <w:b/>
          <w:bCs/>
          <w:szCs w:val="21"/>
          <w:highlight w:val="none"/>
          <w:shd w:val="clear" w:color="auto" w:fill="FFFFFF"/>
        </w:rPr>
      </w:pPr>
      <w:r>
        <w:rPr>
          <w:rFonts w:hint="eastAsia" w:ascii="宋体" w:hAnsi="宋体" w:cs="宋体"/>
          <w:b/>
          <w:bCs/>
          <w:szCs w:val="21"/>
          <w:highlight w:val="none"/>
          <w:shd w:val="clear" w:color="auto" w:fill="FFFFFF"/>
        </w:rPr>
        <w:t>一、项目基本情况</w:t>
      </w:r>
    </w:p>
    <w:p w14:paraId="6B960767">
      <w:pPr>
        <w:widowControl/>
        <w:tabs>
          <w:tab w:val="left" w:pos="840"/>
        </w:tabs>
        <w:snapToGrid w:val="0"/>
        <w:spacing w:line="324" w:lineRule="auto"/>
        <w:ind w:firstLine="420" w:firstLineChars="200"/>
        <w:jc w:val="left"/>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rPr>
        <w:t>1、采购项目名称：</w:t>
      </w:r>
      <w:r>
        <w:rPr>
          <w:rFonts w:hint="eastAsia" w:ascii="宋体" w:hAnsi="宋体" w:cs="宋体"/>
          <w:highlight w:val="none"/>
        </w:rPr>
        <w:t>驻马店市中心医院</w:t>
      </w:r>
      <w:r>
        <w:rPr>
          <w:rFonts w:hint="eastAsia" w:ascii="宋体" w:hAnsi="宋体" w:cs="宋体"/>
          <w:szCs w:val="21"/>
          <w:highlight w:val="none"/>
          <w:shd w:val="clear" w:color="auto" w:fill="FFFFFF"/>
        </w:rPr>
        <w:t>前庭诱发肌源性诱发电位仪采购项目</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二次</w:t>
      </w:r>
      <w:r>
        <w:rPr>
          <w:rFonts w:hint="eastAsia" w:ascii="宋体" w:hAnsi="宋体" w:cs="宋体"/>
          <w:szCs w:val="21"/>
          <w:highlight w:val="none"/>
          <w:shd w:val="clear" w:color="auto" w:fill="FFFFFF"/>
          <w:lang w:eastAsia="zh-CN"/>
        </w:rPr>
        <w:t>）</w:t>
      </w:r>
    </w:p>
    <w:p w14:paraId="65BC3A43">
      <w:pPr>
        <w:widowControl/>
        <w:tabs>
          <w:tab w:val="left" w:pos="840"/>
        </w:tabs>
        <w:snapToGrid w:val="0"/>
        <w:spacing w:line="324" w:lineRule="auto"/>
        <w:ind w:firstLine="420" w:firstLineChars="200"/>
        <w:jc w:val="left"/>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rPr>
        <w:t>2、采购需求：</w:t>
      </w:r>
      <w:r>
        <w:rPr>
          <w:rFonts w:hint="eastAsia" w:ascii="宋体" w:hAnsi="宋体" w:cs="宋体"/>
          <w:highlight w:val="none"/>
          <w:lang w:val="en-US" w:eastAsia="zh-CN"/>
        </w:rPr>
        <w:t>详见第二章采购需求</w:t>
      </w:r>
    </w:p>
    <w:p w14:paraId="645C20F8">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bookmarkStart w:id="3" w:name="_Toc26725"/>
      <w:r>
        <w:rPr>
          <w:rFonts w:hint="eastAsia" w:ascii="宋体" w:hAnsi="宋体" w:cs="宋体"/>
          <w:szCs w:val="21"/>
          <w:highlight w:val="none"/>
          <w:shd w:val="clear" w:color="auto" w:fill="FFFFFF"/>
        </w:rPr>
        <w:t>、预算金额：285000元</w:t>
      </w:r>
    </w:p>
    <w:p w14:paraId="009E5272">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4、交货期：</w:t>
      </w:r>
      <w:r>
        <w:rPr>
          <w:rFonts w:hint="eastAsia" w:ascii="宋体" w:hAnsi="宋体" w:cs="宋体"/>
          <w:highlight w:val="none"/>
        </w:rPr>
        <w:t>合同签订后30日内交货，最终以合同约定内容为准</w:t>
      </w:r>
    </w:p>
    <w:p w14:paraId="05E68D17">
      <w:pPr>
        <w:widowControl/>
        <w:tabs>
          <w:tab w:val="left" w:pos="840"/>
        </w:tabs>
        <w:snapToGrid w:val="0"/>
        <w:spacing w:line="324" w:lineRule="auto"/>
        <w:ind w:firstLine="420" w:firstLineChars="200"/>
        <w:jc w:val="left"/>
        <w:rPr>
          <w:rFonts w:ascii="宋体" w:hAnsi="宋体" w:cs="宋体"/>
          <w:highlight w:val="none"/>
        </w:rPr>
      </w:pPr>
      <w:r>
        <w:rPr>
          <w:rFonts w:hint="eastAsia" w:ascii="宋体" w:hAnsi="宋体" w:cs="宋体"/>
          <w:szCs w:val="21"/>
          <w:highlight w:val="none"/>
          <w:shd w:val="clear" w:color="auto" w:fill="FFFFFF"/>
        </w:rPr>
        <w:t>5、质量要求：</w:t>
      </w:r>
      <w:r>
        <w:rPr>
          <w:rFonts w:hint="eastAsia" w:ascii="宋体" w:hAnsi="宋体" w:cs="宋体"/>
          <w:highlight w:val="none"/>
        </w:rPr>
        <w:t>符合国家质量标准、部颁标准、行业标准，且满足采购人要求。</w:t>
      </w:r>
    </w:p>
    <w:p w14:paraId="3A59FE49">
      <w:pPr>
        <w:widowControl/>
        <w:snapToGrid w:val="0"/>
        <w:spacing w:line="324" w:lineRule="auto"/>
        <w:jc w:val="left"/>
        <w:outlineLvl w:val="1"/>
        <w:rPr>
          <w:rFonts w:ascii="宋体" w:hAnsi="宋体" w:cs="宋体"/>
          <w:b/>
          <w:bCs/>
          <w:color w:val="000000" w:themeColor="text1"/>
          <w:szCs w:val="21"/>
          <w:highlight w:val="none"/>
          <w:shd w:val="clear" w:color="auto" w:fill="FFFFFF"/>
          <w14:textFill>
            <w14:solidFill>
              <w14:schemeClr w14:val="tx1"/>
            </w14:solidFill>
          </w14:textFill>
        </w:rPr>
      </w:pPr>
      <w:bookmarkStart w:id="4" w:name="_Toc23626"/>
      <w:bookmarkStart w:id="5" w:name="_Toc18607"/>
      <w:bookmarkStart w:id="6" w:name="_Toc27704"/>
      <w:bookmarkStart w:id="7" w:name="_Toc16639"/>
      <w:r>
        <w:rPr>
          <w:rFonts w:hint="eastAsia" w:ascii="宋体" w:hAnsi="宋体" w:cs="宋体"/>
          <w:b/>
          <w:bCs/>
          <w:color w:val="000000" w:themeColor="text1"/>
          <w:szCs w:val="21"/>
          <w:highlight w:val="none"/>
          <w:shd w:val="clear" w:color="auto" w:fill="FFFFFF"/>
          <w14:textFill>
            <w14:solidFill>
              <w14:schemeClr w14:val="tx1"/>
            </w14:solidFill>
          </w14:textFill>
        </w:rPr>
        <w:t>二、</w:t>
      </w:r>
      <w:bookmarkEnd w:id="3"/>
      <w:bookmarkEnd w:id="4"/>
      <w:bookmarkEnd w:id="5"/>
      <w:bookmarkEnd w:id="6"/>
      <w:bookmarkEnd w:id="7"/>
      <w:r>
        <w:rPr>
          <w:rFonts w:hint="eastAsia" w:ascii="宋体" w:hAnsi="宋体" w:cs="宋体"/>
          <w:b/>
          <w:bCs/>
          <w:color w:val="000000" w:themeColor="text1"/>
          <w:szCs w:val="21"/>
          <w:highlight w:val="none"/>
          <w:shd w:val="clear" w:color="auto" w:fill="FFFFFF"/>
          <w14:textFill>
            <w14:solidFill>
              <w14:schemeClr w14:val="tx1"/>
            </w14:solidFill>
          </w14:textFill>
        </w:rPr>
        <w:t>供应商资格要求：</w:t>
      </w:r>
    </w:p>
    <w:p w14:paraId="640BA17C">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bookmarkStart w:id="8" w:name="_Toc30643"/>
      <w:bookmarkStart w:id="9" w:name="_Toc7823"/>
      <w:bookmarkStart w:id="10" w:name="_Toc23395"/>
      <w:bookmarkStart w:id="11" w:name="_Toc9562"/>
      <w:bookmarkStart w:id="12" w:name="_Toc30971"/>
      <w:r>
        <w:rPr>
          <w:rFonts w:hint="eastAsia" w:ascii="宋体" w:hAnsi="宋体" w:cs="宋体"/>
          <w:szCs w:val="21"/>
          <w:highlight w:val="none"/>
          <w:shd w:val="clear" w:color="auto" w:fill="FFFFFF"/>
        </w:rPr>
        <w:t>1、供应商具有独立承担民事责任能力，提供营业执照或其他证明材料。</w:t>
      </w:r>
    </w:p>
    <w:p w14:paraId="628FF313">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2、供应商应提供2023年或2024年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338BB047">
      <w:pPr>
        <w:widowControl/>
        <w:tabs>
          <w:tab w:val="left" w:pos="840"/>
        </w:tabs>
        <w:snapToGri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3、具有履行合同所必需的设备和专业技术能力（提供书面承诺函）；</w:t>
      </w:r>
    </w:p>
    <w:p w14:paraId="56265526">
      <w:pPr>
        <w:widowControl/>
        <w:tabs>
          <w:tab w:val="left" w:pos="840"/>
        </w:tabs>
        <w:snapToGrid w:val="0"/>
        <w:spacing w:line="360" w:lineRule="auto"/>
        <w:ind w:firstLine="420" w:firstLineChars="200"/>
        <w:jc w:val="left"/>
        <w:rPr>
          <w:highlight w:val="none"/>
        </w:rPr>
      </w:pPr>
      <w:r>
        <w:rPr>
          <w:rFonts w:hint="eastAsia" w:ascii="宋体" w:hAnsi="宋体" w:cs="宋体"/>
          <w:szCs w:val="21"/>
          <w:highlight w:val="none"/>
          <w:shd w:val="clear" w:color="auto" w:fill="FFFFFF"/>
        </w:rPr>
        <w:t>4、参加本采购活动前三年内，在经营活动中没有重大违法记录（提供书面承诺函）；</w:t>
      </w:r>
    </w:p>
    <w:p w14:paraId="1F2CE4D9">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5、特定资格要求：</w:t>
      </w:r>
    </w:p>
    <w:p w14:paraId="32D84A71">
      <w:pPr>
        <w:widowControl/>
        <w:tabs>
          <w:tab w:val="left" w:pos="840"/>
        </w:tabs>
        <w:snapToGrid w:val="0"/>
        <w:spacing w:line="324" w:lineRule="auto"/>
        <w:ind w:firstLine="420" w:firstLineChars="200"/>
        <w:jc w:val="left"/>
        <w:rPr>
          <w:rFonts w:hint="eastAsia" w:ascii="宋体" w:hAnsi="宋体" w:cs="宋体"/>
          <w:highlight w:val="none"/>
        </w:rPr>
      </w:pPr>
      <w:r>
        <w:rPr>
          <w:rFonts w:hint="eastAsia" w:ascii="宋体" w:hAnsi="宋体" w:cs="宋体"/>
          <w:highlight w:val="none"/>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509F92EB">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6、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7199BEE1">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7、单位负责人为同一人或者存在直接控股、管理关系的不同供应商，不得参加同一合同项下的磋商（</w:t>
      </w:r>
      <w:r>
        <w:rPr>
          <w:rFonts w:hint="eastAsia" w:ascii="宋体" w:hAnsi="宋体" w:cs="宋体"/>
          <w:color w:val="000000" w:themeColor="text1"/>
          <w:kern w:val="0"/>
          <w:szCs w:val="21"/>
          <w:highlight w:val="none"/>
          <w14:textFill>
            <w14:solidFill>
              <w14:schemeClr w14:val="tx1"/>
            </w14:solidFill>
          </w14:textFill>
        </w:rPr>
        <w:t>提供在“国家企业信用信息公示系统”中查询的相关材料并加盖公章（需包含公司基本信息、股东信息及股权变更信息）或提供承诺函</w:t>
      </w:r>
      <w:r>
        <w:rPr>
          <w:rFonts w:hint="eastAsia" w:ascii="宋体" w:hAnsi="宋体" w:cs="宋体"/>
          <w:szCs w:val="21"/>
          <w:highlight w:val="none"/>
          <w:shd w:val="clear" w:color="auto" w:fill="FFFFFF"/>
        </w:rPr>
        <w:t>）。一经发现，将导致投标同时被拒绝。</w:t>
      </w:r>
    </w:p>
    <w:p w14:paraId="5A89E764">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8、不接受联合体磋商。</w:t>
      </w:r>
    </w:p>
    <w:p w14:paraId="11CA0175">
      <w:pPr>
        <w:widowControl/>
        <w:snapToGrid w:val="0"/>
        <w:spacing w:line="324" w:lineRule="auto"/>
        <w:jc w:val="left"/>
        <w:outlineLvl w:val="1"/>
        <w:rPr>
          <w:rFonts w:ascii="宋体" w:hAnsi="宋体" w:cs="宋体"/>
          <w:b/>
          <w:bCs/>
          <w:highlight w:val="none"/>
        </w:rPr>
      </w:pPr>
      <w:r>
        <w:rPr>
          <w:rFonts w:hint="eastAsia" w:ascii="宋体" w:hAnsi="宋体" w:cs="宋体"/>
          <w:b/>
          <w:bCs/>
          <w:highlight w:val="none"/>
        </w:rPr>
        <w:t>三、获取采购文件</w:t>
      </w:r>
      <w:bookmarkEnd w:id="8"/>
      <w:bookmarkEnd w:id="9"/>
      <w:bookmarkEnd w:id="10"/>
      <w:bookmarkEnd w:id="11"/>
      <w:bookmarkEnd w:id="12"/>
    </w:p>
    <w:p w14:paraId="1C8A412A">
      <w:pPr>
        <w:widowControl/>
        <w:adjustRightInd w:val="0"/>
        <w:snapToGrid w:val="0"/>
        <w:spacing w:line="324" w:lineRule="auto"/>
        <w:ind w:firstLine="420" w:firstLineChars="200"/>
        <w:jc w:val="left"/>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szCs w:val="21"/>
          <w:highlight w:val="none"/>
          <w:shd w:val="clear" w:color="auto" w:fill="FFFFFF"/>
        </w:rPr>
        <w:t xml:space="preserve">1. </w:t>
      </w:r>
      <w:r>
        <w:rPr>
          <w:rFonts w:hint="eastAsia" w:ascii="宋体" w:hAnsi="宋体" w:cs="宋体"/>
          <w:color w:val="000000" w:themeColor="text1"/>
          <w:szCs w:val="21"/>
          <w:highlight w:val="none"/>
          <w:shd w:val="clear" w:color="auto" w:fill="FFFFFF"/>
          <w14:textFill>
            <w14:solidFill>
              <w14:schemeClr w14:val="tx1"/>
            </w14:solidFill>
          </w14:textFill>
        </w:rPr>
        <w:t>报名时间：2025年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08</w:t>
      </w:r>
      <w:r>
        <w:rPr>
          <w:rFonts w:hint="eastAsia" w:ascii="宋体" w:hAnsi="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w:t>
      </w:r>
      <w:r>
        <w:rPr>
          <w:rFonts w:hint="eastAsia" w:ascii="宋体" w:hAnsi="宋体" w:cs="宋体"/>
          <w:color w:val="000000" w:themeColor="text1"/>
          <w:szCs w:val="21"/>
          <w:highlight w:val="none"/>
          <w:shd w:val="clear" w:color="auto" w:fill="FFFFFF"/>
          <w14:textFill>
            <w14:solidFill>
              <w14:schemeClr w14:val="tx1"/>
            </w14:solidFill>
          </w14:textFill>
        </w:rPr>
        <w:t>日-2025年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08</w:t>
      </w:r>
      <w:r>
        <w:rPr>
          <w:rFonts w:hint="eastAsia" w:ascii="宋体" w:hAnsi="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cs="宋体"/>
          <w:color w:val="000000" w:themeColor="text1"/>
          <w:szCs w:val="21"/>
          <w:highlight w:val="none"/>
          <w:shd w:val="clear" w:color="auto" w:fill="FFFFFF"/>
          <w14:textFill>
            <w14:solidFill>
              <w14:schemeClr w14:val="tx1"/>
            </w14:solidFill>
          </w14:textFill>
        </w:rPr>
        <w:t>日，上午08：00-下午1</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8:00</w:t>
      </w:r>
      <w:r>
        <w:rPr>
          <w:rFonts w:hint="eastAsia" w:ascii="宋体" w:hAnsi="宋体" w:cs="宋体"/>
          <w:color w:val="000000" w:themeColor="text1"/>
          <w:szCs w:val="21"/>
          <w:highlight w:val="none"/>
          <w:shd w:val="clear" w:color="auto" w:fill="FFFFFF"/>
          <w14:textFill>
            <w14:solidFill>
              <w14:schemeClr w14:val="tx1"/>
            </w14:solidFill>
          </w14:textFill>
        </w:rPr>
        <w:t>（北京时间，法定节假日除外）。</w:t>
      </w:r>
    </w:p>
    <w:p w14:paraId="0242F35B">
      <w:pPr>
        <w:widowControl/>
        <w:snapToGrid w:val="0"/>
        <w:spacing w:line="324" w:lineRule="auto"/>
        <w:ind w:firstLine="420" w:firstLineChars="200"/>
        <w:jc w:val="left"/>
        <w:rPr>
          <w:rFonts w:ascii="宋体" w:hAnsi="宋体" w:cs="宋体"/>
          <w:kern w:val="0"/>
          <w:szCs w:val="21"/>
          <w:highlight w:val="none"/>
        </w:rPr>
      </w:pPr>
      <w:r>
        <w:rPr>
          <w:rFonts w:hint="eastAsia" w:ascii="宋体" w:hAnsi="宋体" w:cs="宋体"/>
          <w:color w:val="000000" w:themeColor="text1"/>
          <w:kern w:val="0"/>
          <w:szCs w:val="21"/>
          <w:highlight w:val="none"/>
          <w:shd w:val="clear" w:color="auto" w:fill="FFFFFF"/>
          <w14:textFill>
            <w14:solidFill>
              <w14:schemeClr w14:val="tx1"/>
            </w14:solidFill>
          </w14:textFill>
        </w:rPr>
        <w:t>2. 凡报名成功的供应商无故不来参与投标的，列入我院黑名</w:t>
      </w:r>
      <w:r>
        <w:rPr>
          <w:rFonts w:hint="eastAsia" w:ascii="宋体" w:hAnsi="宋体" w:cs="宋体"/>
          <w:kern w:val="0"/>
          <w:szCs w:val="21"/>
          <w:highlight w:val="none"/>
          <w:shd w:val="clear" w:color="auto" w:fill="FFFFFF"/>
        </w:rPr>
        <w:t xml:space="preserve">单，一年内不得参与我院任何采购活动。成交供应商缴纳相应服务费。 </w:t>
      </w:r>
    </w:p>
    <w:p w14:paraId="276C88BE">
      <w:pPr>
        <w:widowControl/>
        <w:wordWrap w:val="0"/>
        <w:snapToGrid w:val="0"/>
        <w:spacing w:line="324" w:lineRule="auto"/>
        <w:ind w:firstLine="420" w:firstLineChars="200"/>
        <w:jc w:val="left"/>
        <w:rPr>
          <w:rFonts w:ascii="宋体" w:hAnsi="宋体" w:cs="宋体"/>
          <w:kern w:val="0"/>
          <w:szCs w:val="21"/>
          <w:highlight w:val="none"/>
          <w:u w:val="single"/>
          <w:shd w:val="clear" w:color="auto" w:fill="FFFFFF"/>
        </w:rPr>
      </w:pPr>
      <w:r>
        <w:rPr>
          <w:rFonts w:hint="eastAsia" w:ascii="宋体" w:hAnsi="宋体" w:cs="宋体"/>
          <w:kern w:val="0"/>
          <w:szCs w:val="21"/>
          <w:highlight w:val="none"/>
          <w:shd w:val="clear" w:color="auto" w:fill="FFFFFF"/>
        </w:rPr>
        <w:t>3. 采购文件获取方式：供应商须把填写完整的报名登记表及本磋商公告第二项供应商资格要求中需提供加盖单位公章的相关资料扫描件按序排版为PDF格式文件，发送至以下邮箱：</w:t>
      </w:r>
      <w:r>
        <w:rPr>
          <w:highlight w:val="none"/>
        </w:rPr>
        <w:fldChar w:fldCharType="begin"/>
      </w:r>
      <w:r>
        <w:rPr>
          <w:highlight w:val="none"/>
        </w:rPr>
        <w:instrText xml:space="preserve"> HYPERLINK "mailto:hnwxzb2@163.com并标明XX" </w:instrText>
      </w:r>
      <w:r>
        <w:rPr>
          <w:highlight w:val="none"/>
        </w:rPr>
        <w:fldChar w:fldCharType="separate"/>
      </w:r>
      <w:r>
        <w:rPr>
          <w:rFonts w:hint="eastAsia" w:ascii="宋体" w:hAnsi="宋体" w:cs="宋体"/>
          <w:kern w:val="0"/>
          <w:szCs w:val="21"/>
          <w:highlight w:val="none"/>
          <w:shd w:val="clear" w:color="auto" w:fill="FFFFFF"/>
        </w:rPr>
        <w:t>2155019208@qq.com,并标明XX公司XX</w:t>
      </w:r>
      <w:r>
        <w:rPr>
          <w:rFonts w:hint="eastAsia" w:ascii="宋体" w:hAnsi="宋体" w:cs="宋体"/>
          <w:kern w:val="0"/>
          <w:szCs w:val="21"/>
          <w:highlight w:val="none"/>
          <w:shd w:val="clear" w:color="auto" w:fill="FFFFFF"/>
        </w:rPr>
        <w:fldChar w:fldCharType="end"/>
      </w:r>
      <w:r>
        <w:rPr>
          <w:rFonts w:hint="eastAsia" w:ascii="宋体" w:hAnsi="宋体" w:cs="宋体"/>
          <w:kern w:val="0"/>
          <w:szCs w:val="21"/>
          <w:highlight w:val="none"/>
          <w:shd w:val="clear" w:color="auto" w:fill="FFFFFF"/>
        </w:rPr>
        <w:t>项目报名资料。</w:t>
      </w:r>
    </w:p>
    <w:p w14:paraId="688AA380">
      <w:pPr>
        <w:widowControl/>
        <w:wordWrap w:val="0"/>
        <w:snapToGrid w:val="0"/>
        <w:spacing w:line="324" w:lineRule="auto"/>
        <w:ind w:left="420" w:leftChars="200"/>
        <w:jc w:val="left"/>
        <w:rPr>
          <w:rFonts w:ascii="宋体" w:hAnsi="宋体" w:cs="宋体"/>
          <w:kern w:val="0"/>
          <w:szCs w:val="21"/>
          <w:highlight w:val="none"/>
        </w:rPr>
      </w:pPr>
      <w:r>
        <w:rPr>
          <w:rFonts w:hint="eastAsia" w:ascii="宋体" w:hAnsi="宋体" w:cs="宋体"/>
          <w:kern w:val="0"/>
          <w:szCs w:val="21"/>
          <w:highlight w:val="none"/>
          <w:shd w:val="clear" w:color="auto" w:fill="FFFFFF"/>
        </w:rPr>
        <w:t>4. 报名登记表：请从附件中下载。</w:t>
      </w:r>
    </w:p>
    <w:p w14:paraId="134CEFA8">
      <w:pPr>
        <w:widowControl/>
        <w:snapToGrid w:val="0"/>
        <w:spacing w:line="324" w:lineRule="auto"/>
        <w:jc w:val="left"/>
        <w:outlineLvl w:val="1"/>
        <w:rPr>
          <w:rFonts w:ascii="宋体" w:hAnsi="宋体" w:cs="宋体"/>
          <w:b/>
          <w:bCs/>
          <w:szCs w:val="21"/>
          <w:highlight w:val="none"/>
        </w:rPr>
      </w:pPr>
      <w:bookmarkStart w:id="13" w:name="_Toc10738"/>
      <w:bookmarkStart w:id="14" w:name="_Toc27480"/>
      <w:bookmarkStart w:id="15" w:name="_Toc25869"/>
      <w:bookmarkStart w:id="16" w:name="_Toc15135"/>
      <w:bookmarkStart w:id="17" w:name="_Toc15111"/>
      <w:r>
        <w:rPr>
          <w:rFonts w:hint="eastAsia" w:ascii="宋体" w:hAnsi="宋体" w:cs="宋体"/>
          <w:b/>
          <w:bCs/>
          <w:szCs w:val="21"/>
          <w:highlight w:val="none"/>
          <w:shd w:val="clear" w:color="auto" w:fill="FFFFFF"/>
        </w:rPr>
        <w:t>四、磋商截止时间及地点</w:t>
      </w:r>
      <w:bookmarkEnd w:id="13"/>
      <w:bookmarkEnd w:id="14"/>
      <w:bookmarkEnd w:id="15"/>
      <w:bookmarkEnd w:id="16"/>
      <w:bookmarkEnd w:id="17"/>
    </w:p>
    <w:p w14:paraId="36CCAF9E">
      <w:pPr>
        <w:widowControl/>
        <w:snapToGrid w:val="0"/>
        <w:spacing w:line="324"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shd w:val="clear" w:color="auto" w:fill="FFFFFF"/>
        </w:rPr>
        <w:t>1. 时间：</w:t>
      </w:r>
      <w:r>
        <w:rPr>
          <w:rFonts w:hint="eastAsia" w:ascii="宋体" w:hAnsi="宋体" w:cs="宋体"/>
          <w:szCs w:val="21"/>
          <w:highlight w:val="none"/>
        </w:rPr>
        <w:t>另行通知</w:t>
      </w:r>
      <w:r>
        <w:rPr>
          <w:rFonts w:hint="eastAsia" w:ascii="宋体" w:hAnsi="宋体" w:cs="宋体"/>
          <w:kern w:val="0"/>
          <w:szCs w:val="21"/>
          <w:highlight w:val="none"/>
          <w:shd w:val="clear" w:color="auto" w:fill="FFFFFF"/>
        </w:rPr>
        <w:t>。</w:t>
      </w:r>
    </w:p>
    <w:p w14:paraId="58338946">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2. 地点：</w:t>
      </w:r>
      <w:r>
        <w:rPr>
          <w:rFonts w:hint="eastAsia" w:ascii="宋体" w:hAnsi="宋体" w:cs="宋体"/>
          <w:szCs w:val="21"/>
          <w:highlight w:val="none"/>
        </w:rPr>
        <w:t>另行通知</w:t>
      </w:r>
      <w:r>
        <w:rPr>
          <w:rFonts w:hint="eastAsia" w:ascii="宋体" w:hAnsi="宋体" w:cs="宋体"/>
          <w:kern w:val="0"/>
          <w:szCs w:val="21"/>
          <w:highlight w:val="none"/>
          <w:shd w:val="clear" w:color="auto" w:fill="FFFFFF"/>
        </w:rPr>
        <w:t>。</w:t>
      </w:r>
    </w:p>
    <w:p w14:paraId="6B243970">
      <w:pPr>
        <w:widowControl/>
        <w:snapToGrid w:val="0"/>
        <w:spacing w:line="324" w:lineRule="auto"/>
        <w:jc w:val="left"/>
        <w:outlineLvl w:val="1"/>
        <w:rPr>
          <w:rFonts w:ascii="宋体" w:hAnsi="宋体" w:cs="宋体"/>
          <w:b/>
          <w:bCs/>
          <w:szCs w:val="21"/>
          <w:highlight w:val="none"/>
        </w:rPr>
      </w:pPr>
      <w:r>
        <w:rPr>
          <w:rFonts w:hint="eastAsia" w:ascii="宋体" w:hAnsi="宋体" w:cs="宋体"/>
          <w:b/>
          <w:bCs/>
          <w:szCs w:val="21"/>
          <w:highlight w:val="none"/>
          <w:shd w:val="clear" w:color="auto" w:fill="FFFFFF"/>
        </w:rPr>
        <w:t>五、磋商时间及地点</w:t>
      </w:r>
    </w:p>
    <w:p w14:paraId="53388322">
      <w:pPr>
        <w:widowControl/>
        <w:snapToGrid w:val="0"/>
        <w:spacing w:line="324"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shd w:val="clear" w:color="auto" w:fill="FFFFFF"/>
        </w:rPr>
        <w:t>1. 时间：</w:t>
      </w:r>
      <w:r>
        <w:rPr>
          <w:rFonts w:hint="eastAsia" w:ascii="宋体" w:hAnsi="宋体" w:cs="宋体"/>
          <w:szCs w:val="21"/>
          <w:highlight w:val="none"/>
        </w:rPr>
        <w:t>另行通知</w:t>
      </w:r>
      <w:r>
        <w:rPr>
          <w:rFonts w:hint="eastAsia" w:ascii="宋体" w:hAnsi="宋体" w:cs="宋体"/>
          <w:kern w:val="0"/>
          <w:szCs w:val="21"/>
          <w:highlight w:val="none"/>
          <w:shd w:val="clear" w:color="auto" w:fill="FFFFFF"/>
        </w:rPr>
        <w:t>。</w:t>
      </w:r>
    </w:p>
    <w:p w14:paraId="2255982C">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2. 地点：</w:t>
      </w:r>
      <w:r>
        <w:rPr>
          <w:rFonts w:hint="eastAsia" w:ascii="宋体" w:hAnsi="宋体" w:cs="宋体"/>
          <w:szCs w:val="21"/>
          <w:highlight w:val="none"/>
        </w:rPr>
        <w:t>另行通知</w:t>
      </w:r>
      <w:r>
        <w:rPr>
          <w:rFonts w:hint="eastAsia" w:ascii="宋体" w:hAnsi="宋体" w:cs="宋体"/>
          <w:kern w:val="0"/>
          <w:szCs w:val="21"/>
          <w:highlight w:val="none"/>
          <w:shd w:val="clear" w:color="auto" w:fill="FFFFFF"/>
        </w:rPr>
        <w:t>。</w:t>
      </w:r>
    </w:p>
    <w:p w14:paraId="26B0D89E">
      <w:pPr>
        <w:widowControl/>
        <w:snapToGrid w:val="0"/>
        <w:spacing w:line="324" w:lineRule="auto"/>
        <w:jc w:val="left"/>
        <w:outlineLvl w:val="1"/>
        <w:rPr>
          <w:rFonts w:ascii="宋体" w:hAnsi="宋体" w:cs="宋体"/>
          <w:b/>
          <w:bCs/>
          <w:szCs w:val="21"/>
          <w:highlight w:val="none"/>
        </w:rPr>
      </w:pPr>
      <w:bookmarkStart w:id="18" w:name="_Toc20287"/>
      <w:bookmarkStart w:id="19" w:name="_Toc29784"/>
      <w:bookmarkStart w:id="20" w:name="_Toc6523"/>
      <w:bookmarkStart w:id="21" w:name="_Toc30918"/>
      <w:r>
        <w:rPr>
          <w:rFonts w:hint="eastAsia" w:ascii="宋体" w:hAnsi="宋体" w:cs="宋体"/>
          <w:b/>
          <w:bCs/>
          <w:szCs w:val="21"/>
          <w:highlight w:val="none"/>
          <w:shd w:val="clear" w:color="auto" w:fill="FFFFFF"/>
        </w:rPr>
        <w:t>六、发布公告的媒介及</w:t>
      </w:r>
      <w:r>
        <w:rPr>
          <w:rFonts w:hint="eastAsia" w:ascii="宋体" w:hAnsi="宋体" w:cs="宋体"/>
          <w:b/>
          <w:bCs/>
          <w:szCs w:val="21"/>
          <w:highlight w:val="none"/>
        </w:rPr>
        <w:t>采购</w:t>
      </w:r>
      <w:r>
        <w:rPr>
          <w:rFonts w:hint="eastAsia" w:ascii="宋体" w:hAnsi="宋体" w:cs="宋体"/>
          <w:b/>
          <w:bCs/>
          <w:szCs w:val="21"/>
          <w:highlight w:val="none"/>
          <w:shd w:val="clear" w:color="auto" w:fill="FFFFFF"/>
        </w:rPr>
        <w:t>公告期限</w:t>
      </w:r>
      <w:bookmarkEnd w:id="18"/>
      <w:bookmarkEnd w:id="19"/>
      <w:bookmarkEnd w:id="20"/>
      <w:bookmarkEnd w:id="21"/>
    </w:p>
    <w:p w14:paraId="6D8FD841">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本次</w:t>
      </w:r>
      <w:r>
        <w:rPr>
          <w:rFonts w:hint="eastAsia" w:ascii="宋体" w:hAnsi="宋体" w:cs="宋体"/>
          <w:szCs w:val="21"/>
          <w:highlight w:val="none"/>
        </w:rPr>
        <w:t>采购</w:t>
      </w:r>
      <w:r>
        <w:rPr>
          <w:rFonts w:hint="eastAsia" w:ascii="宋体" w:hAnsi="宋体" w:cs="宋体"/>
          <w:kern w:val="0"/>
          <w:szCs w:val="21"/>
          <w:highlight w:val="none"/>
          <w:shd w:val="clear" w:color="auto" w:fill="FFFFFF"/>
        </w:rPr>
        <w:t>公告在《驻马店市中心医院》院内网</w:t>
      </w:r>
      <w:r>
        <w:rPr>
          <w:rFonts w:hint="eastAsia" w:ascii="宋体" w:hAnsi="宋体" w:cs="宋体"/>
          <w:szCs w:val="21"/>
          <w:highlight w:val="none"/>
        </w:rPr>
        <w:t>上发布，采购公告期限为三个工作日</w:t>
      </w:r>
      <w:r>
        <w:rPr>
          <w:rFonts w:hint="eastAsia" w:ascii="宋体" w:hAnsi="宋体" w:cs="宋体"/>
          <w:kern w:val="0"/>
          <w:szCs w:val="21"/>
          <w:highlight w:val="none"/>
          <w:shd w:val="clear" w:color="auto" w:fill="FFFFFF"/>
        </w:rPr>
        <w:t>。</w:t>
      </w:r>
      <w:bookmarkStart w:id="22" w:name="_Toc35393626"/>
      <w:bookmarkStart w:id="23" w:name="_Toc35393795"/>
    </w:p>
    <w:bookmarkEnd w:id="22"/>
    <w:bookmarkEnd w:id="23"/>
    <w:p w14:paraId="1728A2F5">
      <w:pPr>
        <w:widowControl/>
        <w:snapToGrid w:val="0"/>
        <w:spacing w:line="324" w:lineRule="auto"/>
        <w:jc w:val="left"/>
        <w:outlineLvl w:val="1"/>
        <w:rPr>
          <w:rFonts w:ascii="宋体" w:hAnsi="宋体" w:cs="宋体"/>
          <w:b/>
          <w:bCs/>
          <w:szCs w:val="21"/>
          <w:highlight w:val="none"/>
        </w:rPr>
      </w:pPr>
      <w:bookmarkStart w:id="24" w:name="_Toc31928"/>
      <w:bookmarkStart w:id="25" w:name="_Toc16291"/>
      <w:bookmarkStart w:id="26" w:name="_Toc27370"/>
      <w:bookmarkStart w:id="27" w:name="_Toc3604"/>
      <w:bookmarkStart w:id="28" w:name="_Toc24274"/>
      <w:r>
        <w:rPr>
          <w:rFonts w:hint="eastAsia" w:ascii="宋体" w:hAnsi="宋体" w:cs="宋体"/>
          <w:b/>
          <w:bCs/>
          <w:szCs w:val="21"/>
          <w:highlight w:val="none"/>
          <w:shd w:val="clear" w:color="auto" w:fill="FFFFFF"/>
        </w:rPr>
        <w:t>七、</w:t>
      </w:r>
      <w:bookmarkEnd w:id="24"/>
      <w:bookmarkEnd w:id="25"/>
      <w:bookmarkEnd w:id="26"/>
      <w:bookmarkEnd w:id="27"/>
      <w:bookmarkEnd w:id="28"/>
      <w:r>
        <w:rPr>
          <w:rFonts w:hint="eastAsia" w:ascii="宋体" w:hAnsi="宋体" w:cs="宋体"/>
          <w:b/>
          <w:bCs/>
          <w:szCs w:val="21"/>
          <w:highlight w:val="none"/>
          <w:shd w:val="clear" w:color="auto" w:fill="FFFFFF"/>
        </w:rPr>
        <w:t>凡对本次招标提出询问，请按照以下方式联系</w:t>
      </w:r>
    </w:p>
    <w:p w14:paraId="7DB268FA">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1.采购人：驻马店市中心医院</w:t>
      </w:r>
    </w:p>
    <w:p w14:paraId="4992DDEC">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地址：驻马店市中华大道747号</w:t>
      </w:r>
    </w:p>
    <w:p w14:paraId="7FB9E6DB">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联系人：陈先生</w:t>
      </w:r>
    </w:p>
    <w:p w14:paraId="39A1B2D2">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电话：0396-2726379</w:t>
      </w:r>
    </w:p>
    <w:p w14:paraId="26EA683C">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2.采购代理机构：驻马店市成浩招投标代理有限公司</w:t>
      </w:r>
    </w:p>
    <w:p w14:paraId="712F9BFE">
      <w:pPr>
        <w:widowControl/>
        <w:shd w:val="clear" w:color="auto" w:fill="FFFFFF"/>
        <w:spacing w:line="360" w:lineRule="auto"/>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地址：驻马店市金盾路8号开发区五小公寓楼东单元6楼西户</w:t>
      </w:r>
    </w:p>
    <w:p w14:paraId="377193B3">
      <w:pPr>
        <w:widowControl/>
        <w:shd w:val="clear" w:color="auto" w:fill="FFFFFF"/>
        <w:spacing w:line="360" w:lineRule="auto"/>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联系人：方女士</w:t>
      </w:r>
    </w:p>
    <w:p w14:paraId="086D0949">
      <w:pPr>
        <w:widowControl/>
        <w:shd w:val="clear" w:color="auto" w:fill="FFFFFF"/>
        <w:spacing w:line="360" w:lineRule="auto"/>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联系方式：17739698825</w:t>
      </w:r>
    </w:p>
    <w:p w14:paraId="0A5E6AF8">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3.监督部门：驻马店市中心医院纪检监察室</w:t>
      </w:r>
    </w:p>
    <w:p w14:paraId="53C23AE5">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监督电话：0396-2726678</w:t>
      </w:r>
    </w:p>
    <w:p w14:paraId="4BE06E19">
      <w:pPr>
        <w:widowControl/>
        <w:snapToGrid w:val="0"/>
        <w:spacing w:line="324" w:lineRule="auto"/>
        <w:ind w:firstLine="420" w:firstLineChars="200"/>
        <w:jc w:val="right"/>
        <w:rPr>
          <w:rFonts w:ascii="宋体" w:hAnsi="宋体" w:cs="宋体"/>
          <w:color w:val="000000" w:themeColor="text1"/>
          <w:kern w:val="0"/>
          <w:szCs w:val="21"/>
          <w:highlight w:val="none"/>
          <w:shd w:val="clear" w:color="auto" w:fill="FFFFFF"/>
          <w14:textFill>
            <w14:solidFill>
              <w14:schemeClr w14:val="tx1"/>
            </w14:solidFill>
          </w14:textFill>
        </w:rPr>
      </w:pPr>
      <w:r>
        <w:rPr>
          <w:rFonts w:hint="eastAsia" w:ascii="宋体" w:hAnsi="宋体" w:cs="宋体"/>
          <w:kern w:val="0"/>
          <w:szCs w:val="21"/>
          <w:highlight w:val="none"/>
          <w:shd w:val="clear" w:color="auto" w:fill="FFFFFF"/>
        </w:rPr>
        <w:t>驻马</w:t>
      </w:r>
      <w:r>
        <w:rPr>
          <w:rFonts w:hint="eastAsia" w:ascii="宋体" w:hAnsi="宋体" w:cs="宋体"/>
          <w:color w:val="000000" w:themeColor="text1"/>
          <w:kern w:val="0"/>
          <w:szCs w:val="21"/>
          <w:highlight w:val="none"/>
          <w:shd w:val="clear" w:color="auto" w:fill="FFFFFF"/>
          <w14:textFill>
            <w14:solidFill>
              <w14:schemeClr w14:val="tx1"/>
            </w14:solidFill>
          </w14:textFill>
        </w:rPr>
        <w:t>店市中心医院采购科</w:t>
      </w:r>
    </w:p>
    <w:p w14:paraId="120E0513">
      <w:pPr>
        <w:pStyle w:val="31"/>
        <w:widowControl/>
        <w:snapToGrid w:val="0"/>
        <w:spacing w:before="0" w:beforeAutospacing="0" w:after="0" w:afterAutospacing="0" w:line="324" w:lineRule="auto"/>
        <w:ind w:firstLine="420" w:firstLineChars="200"/>
        <w:jc w:val="center"/>
        <w:rPr>
          <w:rFonts w:ascii="宋体" w:hAnsi="宋体" w:cs="宋体"/>
          <w:sz w:val="21"/>
          <w:szCs w:val="21"/>
          <w:highlight w:val="none"/>
          <w:shd w:val="clear" w:color="auto" w:fill="FFFFFF"/>
        </w:rPr>
      </w:pPr>
      <w:r>
        <w:rPr>
          <w:rFonts w:hint="eastAsia" w:ascii="宋体" w:hAnsi="宋体" w:cs="宋体"/>
          <w:color w:val="000000" w:themeColor="text1"/>
          <w:sz w:val="21"/>
          <w:szCs w:val="21"/>
          <w:highlight w:val="none"/>
          <w:shd w:val="clear" w:color="auto" w:fill="FFFFFF"/>
          <w14:textFill>
            <w14:solidFill>
              <w14:schemeClr w14:val="tx1"/>
            </w14:solidFill>
          </w14:textFill>
        </w:rPr>
        <w:t xml:space="preserve">                                                             2025年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07</w:t>
      </w:r>
      <w:r>
        <w:rPr>
          <w:rFonts w:hint="eastAsia" w:ascii="宋体" w:hAnsi="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31</w:t>
      </w:r>
      <w:r>
        <w:rPr>
          <w:rFonts w:hint="eastAsia" w:ascii="宋体" w:hAnsi="宋体" w:cs="宋体"/>
          <w:color w:val="000000" w:themeColor="text1"/>
          <w:sz w:val="21"/>
          <w:szCs w:val="21"/>
          <w:highlight w:val="none"/>
          <w:shd w:val="clear" w:color="auto" w:fill="FFFFFF"/>
          <w14:textFill>
            <w14:solidFill>
              <w14:schemeClr w14:val="tx1"/>
            </w14:solidFill>
          </w14:textFill>
        </w:rPr>
        <w:t>日</w:t>
      </w:r>
    </w:p>
    <w:p w14:paraId="5B180EFF">
      <w:pPr>
        <w:jc w:val="center"/>
        <w:rPr>
          <w:rFonts w:ascii="宋体" w:hAnsi="宋体" w:cs="宋体"/>
          <w:b/>
          <w:sz w:val="32"/>
          <w:szCs w:val="32"/>
          <w:highlight w:val="none"/>
        </w:rPr>
      </w:pPr>
      <w:bookmarkStart w:id="29" w:name="_Toc29890"/>
      <w:bookmarkStart w:id="30" w:name="_Toc23793"/>
      <w:r>
        <w:rPr>
          <w:rFonts w:hint="eastAsia" w:ascii="宋体" w:hAnsi="宋体" w:cs="宋体"/>
          <w:b/>
          <w:sz w:val="32"/>
          <w:szCs w:val="32"/>
          <w:highlight w:val="none"/>
        </w:rPr>
        <w:br w:type="page"/>
      </w:r>
      <w:bookmarkStart w:id="31" w:name="_Toc19124"/>
      <w:r>
        <w:rPr>
          <w:rFonts w:hint="eastAsia" w:ascii="宋体" w:hAnsi="宋体" w:cs="宋体"/>
          <w:b/>
          <w:sz w:val="32"/>
          <w:szCs w:val="32"/>
          <w:highlight w:val="none"/>
        </w:rPr>
        <w:t>第二章  采购需求</w:t>
      </w:r>
      <w:bookmarkEnd w:id="31"/>
      <w:bookmarkStart w:id="32" w:name="_Toc31536"/>
      <w:bookmarkStart w:id="33" w:name="_Toc23610"/>
      <w:bookmarkStart w:id="34" w:name="_Toc9989"/>
    </w:p>
    <w:bookmarkEnd w:id="29"/>
    <w:bookmarkEnd w:id="30"/>
    <w:bookmarkEnd w:id="32"/>
    <w:bookmarkEnd w:id="33"/>
    <w:bookmarkEnd w:id="34"/>
    <w:p w14:paraId="2145B501">
      <w:pPr>
        <w:snapToGrid w:val="0"/>
        <w:spacing w:line="360" w:lineRule="auto"/>
        <w:rPr>
          <w:rFonts w:ascii="宋体" w:hAnsi="宋体" w:cs="宋体"/>
          <w:iCs/>
          <w:szCs w:val="21"/>
          <w:highlight w:val="none"/>
        </w:rPr>
      </w:pPr>
      <w:r>
        <w:rPr>
          <w:rFonts w:hint="eastAsia" w:ascii="宋体" w:hAnsi="宋体" w:cs="宋体"/>
          <w:b/>
          <w:bCs/>
          <w:iCs/>
          <w:szCs w:val="21"/>
          <w:highlight w:val="none"/>
        </w:rPr>
        <w:t>一、项目名称：</w:t>
      </w:r>
      <w:r>
        <w:rPr>
          <w:rFonts w:hint="eastAsia" w:ascii="宋体" w:hAnsi="宋体" w:cs="宋体"/>
          <w:highlight w:val="none"/>
        </w:rPr>
        <w:t>驻马店市中心医院</w:t>
      </w:r>
      <w:r>
        <w:rPr>
          <w:rFonts w:hint="eastAsia" w:ascii="宋体" w:hAnsi="宋体" w:cs="宋体"/>
          <w:szCs w:val="21"/>
          <w:highlight w:val="none"/>
          <w:shd w:val="clear" w:color="auto" w:fill="FFFFFF"/>
        </w:rPr>
        <w:t>前庭诱发肌源性诱发电位仪采购项目</w:t>
      </w:r>
    </w:p>
    <w:p w14:paraId="0069CA02">
      <w:pPr>
        <w:pStyle w:val="8"/>
        <w:snapToGrid w:val="0"/>
        <w:spacing w:beforeAutospacing="0" w:afterAutospacing="0" w:line="360" w:lineRule="auto"/>
        <w:jc w:val="both"/>
        <w:rPr>
          <w:b/>
          <w:bCs/>
          <w:kern w:val="2"/>
          <w:sz w:val="21"/>
          <w:highlight w:val="none"/>
        </w:rPr>
      </w:pPr>
      <w:r>
        <w:rPr>
          <w:rFonts w:hint="eastAsia"/>
          <w:b/>
          <w:bCs/>
          <w:kern w:val="2"/>
          <w:sz w:val="21"/>
          <w:highlight w:val="none"/>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995"/>
        <w:gridCol w:w="2138"/>
        <w:gridCol w:w="850"/>
        <w:gridCol w:w="967"/>
        <w:gridCol w:w="1383"/>
        <w:gridCol w:w="1109"/>
        <w:gridCol w:w="1244"/>
      </w:tblGrid>
      <w:tr w14:paraId="18F3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14:paraId="2F434537">
            <w:pPr>
              <w:pStyle w:val="8"/>
              <w:widowControl w:val="0"/>
              <w:spacing w:beforeAutospacing="0" w:line="400" w:lineRule="exact"/>
              <w:jc w:val="center"/>
              <w:rPr>
                <w:sz w:val="21"/>
                <w:szCs w:val="21"/>
                <w:highlight w:val="none"/>
              </w:rPr>
            </w:pPr>
            <w:r>
              <w:rPr>
                <w:rFonts w:hint="eastAsia"/>
                <w:b/>
                <w:bCs/>
                <w:sz w:val="21"/>
                <w:szCs w:val="21"/>
                <w:highlight w:val="none"/>
              </w:rPr>
              <w:t>包号</w:t>
            </w:r>
          </w:p>
        </w:tc>
        <w:tc>
          <w:tcPr>
            <w:tcW w:w="995" w:type="dxa"/>
            <w:vAlign w:val="center"/>
          </w:tcPr>
          <w:p w14:paraId="1A3DA714">
            <w:pPr>
              <w:pStyle w:val="8"/>
              <w:widowControl w:val="0"/>
              <w:spacing w:beforeAutospacing="0" w:line="400" w:lineRule="exact"/>
              <w:jc w:val="center"/>
              <w:rPr>
                <w:sz w:val="21"/>
                <w:szCs w:val="21"/>
                <w:highlight w:val="none"/>
              </w:rPr>
            </w:pPr>
            <w:r>
              <w:rPr>
                <w:rFonts w:hint="eastAsia"/>
                <w:b/>
                <w:bCs/>
                <w:sz w:val="21"/>
                <w:szCs w:val="21"/>
                <w:highlight w:val="none"/>
              </w:rPr>
              <w:t>序号</w:t>
            </w:r>
          </w:p>
        </w:tc>
        <w:tc>
          <w:tcPr>
            <w:tcW w:w="2138" w:type="dxa"/>
            <w:vAlign w:val="center"/>
          </w:tcPr>
          <w:p w14:paraId="28578493">
            <w:pPr>
              <w:pStyle w:val="8"/>
              <w:widowControl w:val="0"/>
              <w:spacing w:beforeAutospacing="0" w:line="400" w:lineRule="exact"/>
              <w:jc w:val="center"/>
              <w:rPr>
                <w:sz w:val="21"/>
                <w:szCs w:val="21"/>
                <w:highlight w:val="none"/>
              </w:rPr>
            </w:pPr>
            <w:r>
              <w:rPr>
                <w:rFonts w:hint="eastAsia"/>
                <w:b/>
                <w:bCs/>
                <w:sz w:val="21"/>
                <w:szCs w:val="21"/>
                <w:highlight w:val="none"/>
              </w:rPr>
              <w:t>标的名称</w:t>
            </w:r>
          </w:p>
        </w:tc>
        <w:tc>
          <w:tcPr>
            <w:tcW w:w="850" w:type="dxa"/>
            <w:vAlign w:val="center"/>
          </w:tcPr>
          <w:p w14:paraId="6677D1E0">
            <w:pPr>
              <w:pStyle w:val="8"/>
              <w:widowControl w:val="0"/>
              <w:spacing w:beforeAutospacing="0" w:line="400" w:lineRule="exact"/>
              <w:jc w:val="center"/>
              <w:rPr>
                <w:sz w:val="21"/>
                <w:szCs w:val="21"/>
                <w:highlight w:val="none"/>
              </w:rPr>
            </w:pPr>
            <w:r>
              <w:rPr>
                <w:rFonts w:hint="eastAsia"/>
                <w:b/>
                <w:bCs/>
                <w:sz w:val="21"/>
                <w:szCs w:val="21"/>
                <w:highlight w:val="none"/>
              </w:rPr>
              <w:t>单位</w:t>
            </w:r>
          </w:p>
        </w:tc>
        <w:tc>
          <w:tcPr>
            <w:tcW w:w="967" w:type="dxa"/>
            <w:vAlign w:val="center"/>
          </w:tcPr>
          <w:p w14:paraId="5912632A">
            <w:pPr>
              <w:pStyle w:val="8"/>
              <w:widowControl w:val="0"/>
              <w:spacing w:beforeAutospacing="0" w:line="400" w:lineRule="exact"/>
              <w:jc w:val="center"/>
              <w:rPr>
                <w:sz w:val="21"/>
                <w:szCs w:val="21"/>
                <w:highlight w:val="none"/>
              </w:rPr>
            </w:pPr>
            <w:r>
              <w:rPr>
                <w:rFonts w:hint="eastAsia"/>
                <w:b/>
                <w:bCs/>
                <w:sz w:val="21"/>
                <w:szCs w:val="21"/>
                <w:highlight w:val="none"/>
              </w:rPr>
              <w:t>数量</w:t>
            </w:r>
          </w:p>
        </w:tc>
        <w:tc>
          <w:tcPr>
            <w:tcW w:w="1383" w:type="dxa"/>
            <w:vAlign w:val="center"/>
          </w:tcPr>
          <w:p w14:paraId="7EF56A62">
            <w:pPr>
              <w:pStyle w:val="8"/>
              <w:widowControl w:val="0"/>
              <w:spacing w:beforeAutospacing="0" w:line="400" w:lineRule="exact"/>
              <w:jc w:val="center"/>
              <w:rPr>
                <w:b/>
                <w:bCs/>
                <w:sz w:val="21"/>
                <w:szCs w:val="21"/>
                <w:highlight w:val="none"/>
              </w:rPr>
            </w:pPr>
            <w:r>
              <w:rPr>
                <w:rFonts w:hint="eastAsia"/>
                <w:b/>
                <w:bCs/>
                <w:sz w:val="21"/>
                <w:szCs w:val="21"/>
                <w:highlight w:val="none"/>
              </w:rPr>
              <w:t>资金</w:t>
            </w:r>
          </w:p>
          <w:p w14:paraId="00B307FF">
            <w:pPr>
              <w:pStyle w:val="8"/>
              <w:widowControl w:val="0"/>
              <w:spacing w:beforeAutospacing="0" w:line="400" w:lineRule="exact"/>
              <w:jc w:val="center"/>
              <w:rPr>
                <w:sz w:val="21"/>
                <w:szCs w:val="21"/>
                <w:highlight w:val="none"/>
              </w:rPr>
            </w:pPr>
            <w:r>
              <w:rPr>
                <w:rFonts w:hint="eastAsia"/>
                <w:b/>
                <w:bCs/>
                <w:sz w:val="21"/>
                <w:szCs w:val="21"/>
                <w:highlight w:val="none"/>
              </w:rPr>
              <w:t>预算</w:t>
            </w:r>
          </w:p>
        </w:tc>
        <w:tc>
          <w:tcPr>
            <w:tcW w:w="1109" w:type="dxa"/>
            <w:vAlign w:val="center"/>
          </w:tcPr>
          <w:p w14:paraId="60D276C2">
            <w:pPr>
              <w:pStyle w:val="8"/>
              <w:widowControl w:val="0"/>
              <w:spacing w:beforeAutospacing="0" w:line="400" w:lineRule="exact"/>
              <w:jc w:val="center"/>
              <w:rPr>
                <w:b/>
                <w:bCs/>
                <w:sz w:val="21"/>
                <w:szCs w:val="21"/>
                <w:highlight w:val="none"/>
              </w:rPr>
            </w:pPr>
            <w:r>
              <w:rPr>
                <w:rFonts w:hint="eastAsia"/>
                <w:b/>
                <w:bCs/>
                <w:sz w:val="21"/>
                <w:szCs w:val="21"/>
                <w:highlight w:val="none"/>
              </w:rPr>
              <w:t>资金</w:t>
            </w:r>
          </w:p>
          <w:p w14:paraId="576729E5">
            <w:pPr>
              <w:pStyle w:val="8"/>
              <w:widowControl w:val="0"/>
              <w:spacing w:beforeAutospacing="0" w:line="400" w:lineRule="exact"/>
              <w:jc w:val="center"/>
              <w:rPr>
                <w:sz w:val="21"/>
                <w:szCs w:val="21"/>
                <w:highlight w:val="none"/>
              </w:rPr>
            </w:pPr>
            <w:r>
              <w:rPr>
                <w:rFonts w:hint="eastAsia"/>
                <w:b/>
                <w:bCs/>
                <w:sz w:val="21"/>
                <w:szCs w:val="21"/>
                <w:highlight w:val="none"/>
              </w:rPr>
              <w:t>性质</w:t>
            </w:r>
          </w:p>
        </w:tc>
        <w:tc>
          <w:tcPr>
            <w:tcW w:w="1244" w:type="dxa"/>
            <w:vAlign w:val="center"/>
          </w:tcPr>
          <w:p w14:paraId="54A3D5B4">
            <w:pPr>
              <w:pStyle w:val="8"/>
              <w:widowControl w:val="0"/>
              <w:spacing w:beforeAutospacing="0" w:line="400" w:lineRule="exact"/>
              <w:jc w:val="center"/>
              <w:rPr>
                <w:b/>
                <w:bCs/>
                <w:sz w:val="21"/>
                <w:szCs w:val="21"/>
                <w:highlight w:val="none"/>
              </w:rPr>
            </w:pPr>
            <w:r>
              <w:rPr>
                <w:rFonts w:hint="eastAsia"/>
                <w:b/>
                <w:bCs/>
                <w:sz w:val="21"/>
                <w:szCs w:val="21"/>
                <w:highlight w:val="none"/>
              </w:rPr>
              <w:t>国产/</w:t>
            </w:r>
          </w:p>
          <w:p w14:paraId="03FC37A6">
            <w:pPr>
              <w:pStyle w:val="8"/>
              <w:widowControl w:val="0"/>
              <w:spacing w:beforeAutospacing="0" w:line="400" w:lineRule="exact"/>
              <w:jc w:val="center"/>
              <w:rPr>
                <w:sz w:val="21"/>
                <w:szCs w:val="21"/>
                <w:highlight w:val="none"/>
              </w:rPr>
            </w:pPr>
            <w:r>
              <w:rPr>
                <w:rFonts w:hint="eastAsia"/>
                <w:b/>
                <w:bCs/>
                <w:sz w:val="21"/>
                <w:szCs w:val="21"/>
                <w:highlight w:val="none"/>
              </w:rPr>
              <w:t>进口</w:t>
            </w:r>
          </w:p>
        </w:tc>
      </w:tr>
      <w:tr w14:paraId="4635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14:paraId="5CC154B2">
            <w:pPr>
              <w:spacing w:line="560" w:lineRule="exact"/>
              <w:jc w:val="center"/>
              <w:rPr>
                <w:rFonts w:ascii="宋体" w:hAnsi="宋体" w:cs="宋体"/>
                <w:sz w:val="24"/>
                <w:highlight w:val="none"/>
              </w:rPr>
            </w:pPr>
            <w:r>
              <w:rPr>
                <w:rFonts w:hint="eastAsia" w:ascii="宋体" w:hAnsi="宋体" w:cs="宋体"/>
                <w:sz w:val="24"/>
                <w:highlight w:val="none"/>
              </w:rPr>
              <w:t>1</w:t>
            </w:r>
          </w:p>
        </w:tc>
        <w:tc>
          <w:tcPr>
            <w:tcW w:w="995" w:type="dxa"/>
            <w:shd w:val="clear" w:color="auto" w:fill="auto"/>
            <w:vAlign w:val="center"/>
          </w:tcPr>
          <w:p w14:paraId="7C38089F">
            <w:pPr>
              <w:spacing w:line="560" w:lineRule="exact"/>
              <w:jc w:val="center"/>
              <w:rPr>
                <w:rFonts w:ascii="宋体" w:hAnsi="宋体" w:cs="宋体"/>
                <w:sz w:val="24"/>
                <w:highlight w:val="none"/>
              </w:rPr>
            </w:pPr>
            <w:r>
              <w:rPr>
                <w:rFonts w:hint="eastAsia" w:ascii="宋体" w:hAnsi="宋体" w:cs="宋体"/>
                <w:sz w:val="24"/>
                <w:highlight w:val="none"/>
              </w:rPr>
              <w:t>1</w:t>
            </w:r>
          </w:p>
        </w:tc>
        <w:tc>
          <w:tcPr>
            <w:tcW w:w="2138" w:type="dxa"/>
            <w:shd w:val="clear" w:color="auto" w:fill="auto"/>
            <w:vAlign w:val="center"/>
          </w:tcPr>
          <w:p w14:paraId="0844D4DF">
            <w:pPr>
              <w:spacing w:line="560" w:lineRule="exact"/>
              <w:jc w:val="center"/>
              <w:rPr>
                <w:rFonts w:ascii="宋体" w:hAnsi="宋体" w:cs="宋体"/>
                <w:szCs w:val="21"/>
                <w:highlight w:val="none"/>
              </w:rPr>
            </w:pPr>
            <w:r>
              <w:rPr>
                <w:rFonts w:hint="eastAsia" w:ascii="宋体" w:hAnsi="宋体"/>
                <w:sz w:val="24"/>
                <w:highlight w:val="none"/>
              </w:rPr>
              <w:t>前庭诱发肌源性诱发电位仪</w:t>
            </w:r>
          </w:p>
        </w:tc>
        <w:tc>
          <w:tcPr>
            <w:tcW w:w="850" w:type="dxa"/>
            <w:shd w:val="clear" w:color="auto" w:fill="auto"/>
            <w:vAlign w:val="center"/>
          </w:tcPr>
          <w:p w14:paraId="09F7BC39">
            <w:pPr>
              <w:spacing w:line="560" w:lineRule="exact"/>
              <w:jc w:val="center"/>
              <w:rPr>
                <w:rFonts w:ascii="宋体" w:hAnsi="宋体"/>
                <w:sz w:val="24"/>
                <w:highlight w:val="none"/>
              </w:rPr>
            </w:pPr>
            <w:r>
              <w:rPr>
                <w:rFonts w:hint="eastAsia" w:ascii="宋体" w:hAnsi="宋体"/>
                <w:sz w:val="24"/>
                <w:highlight w:val="none"/>
              </w:rPr>
              <w:t>套</w:t>
            </w:r>
          </w:p>
        </w:tc>
        <w:tc>
          <w:tcPr>
            <w:tcW w:w="967" w:type="dxa"/>
            <w:shd w:val="clear" w:color="auto" w:fill="auto"/>
            <w:vAlign w:val="center"/>
          </w:tcPr>
          <w:p w14:paraId="4EB47BC4">
            <w:pPr>
              <w:spacing w:line="560" w:lineRule="exact"/>
              <w:jc w:val="center"/>
              <w:rPr>
                <w:rFonts w:ascii="宋体" w:hAnsi="宋体"/>
                <w:sz w:val="24"/>
                <w:highlight w:val="none"/>
              </w:rPr>
            </w:pPr>
            <w:r>
              <w:rPr>
                <w:rFonts w:hint="eastAsia" w:ascii="宋体" w:hAnsi="宋体"/>
                <w:sz w:val="24"/>
                <w:highlight w:val="none"/>
              </w:rPr>
              <w:t>1</w:t>
            </w:r>
          </w:p>
        </w:tc>
        <w:tc>
          <w:tcPr>
            <w:tcW w:w="1383" w:type="dxa"/>
            <w:shd w:val="clear" w:color="auto" w:fill="auto"/>
            <w:vAlign w:val="center"/>
          </w:tcPr>
          <w:p w14:paraId="64784500">
            <w:pPr>
              <w:spacing w:line="560" w:lineRule="exact"/>
              <w:jc w:val="center"/>
              <w:rPr>
                <w:rFonts w:ascii="宋体" w:hAnsi="宋体"/>
                <w:sz w:val="24"/>
                <w:highlight w:val="none"/>
              </w:rPr>
            </w:pPr>
            <w:r>
              <w:rPr>
                <w:rFonts w:hint="eastAsia" w:ascii="宋体" w:hAnsi="宋体"/>
                <w:sz w:val="24"/>
                <w:highlight w:val="none"/>
              </w:rPr>
              <w:t>285000元</w:t>
            </w:r>
          </w:p>
        </w:tc>
        <w:tc>
          <w:tcPr>
            <w:tcW w:w="1109" w:type="dxa"/>
            <w:shd w:val="clear" w:color="auto" w:fill="auto"/>
            <w:vAlign w:val="center"/>
          </w:tcPr>
          <w:p w14:paraId="3A19AC8A">
            <w:pPr>
              <w:spacing w:line="560" w:lineRule="exact"/>
              <w:jc w:val="center"/>
              <w:rPr>
                <w:rFonts w:ascii="宋体" w:hAnsi="宋体"/>
                <w:sz w:val="24"/>
                <w:highlight w:val="none"/>
              </w:rPr>
            </w:pPr>
            <w:r>
              <w:rPr>
                <w:rFonts w:hint="eastAsia" w:ascii="宋体" w:hAnsi="宋体"/>
                <w:sz w:val="24"/>
                <w:highlight w:val="none"/>
              </w:rPr>
              <w:t>自筹</w:t>
            </w:r>
          </w:p>
        </w:tc>
        <w:tc>
          <w:tcPr>
            <w:tcW w:w="1244" w:type="dxa"/>
            <w:shd w:val="clear" w:color="auto" w:fill="auto"/>
            <w:vAlign w:val="center"/>
          </w:tcPr>
          <w:p w14:paraId="7DB834D0">
            <w:pPr>
              <w:spacing w:line="560" w:lineRule="exact"/>
              <w:jc w:val="center"/>
              <w:rPr>
                <w:rFonts w:ascii="宋体" w:hAnsi="宋体"/>
                <w:sz w:val="24"/>
                <w:highlight w:val="none"/>
              </w:rPr>
            </w:pPr>
            <w:r>
              <w:rPr>
                <w:rFonts w:hint="eastAsia" w:ascii="宋体" w:hAnsi="宋体"/>
                <w:sz w:val="24"/>
                <w:highlight w:val="none"/>
              </w:rPr>
              <w:t>国产</w:t>
            </w:r>
          </w:p>
        </w:tc>
      </w:tr>
      <w:tr w14:paraId="7EA2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gridSpan w:val="2"/>
            <w:vAlign w:val="center"/>
          </w:tcPr>
          <w:p w14:paraId="49FA4D7E">
            <w:pPr>
              <w:spacing w:line="560" w:lineRule="exact"/>
              <w:jc w:val="center"/>
              <w:rPr>
                <w:rFonts w:ascii="宋体" w:hAnsi="宋体" w:cs="宋体"/>
                <w:b/>
                <w:bCs/>
                <w:szCs w:val="21"/>
                <w:highlight w:val="none"/>
              </w:rPr>
            </w:pPr>
            <w:r>
              <w:rPr>
                <w:rFonts w:hint="eastAsia" w:ascii="宋体" w:hAnsi="宋体" w:cs="宋体"/>
                <w:b/>
                <w:bCs/>
                <w:szCs w:val="21"/>
                <w:highlight w:val="none"/>
              </w:rPr>
              <w:t>合计</w:t>
            </w:r>
          </w:p>
        </w:tc>
        <w:tc>
          <w:tcPr>
            <w:tcW w:w="7691" w:type="dxa"/>
            <w:gridSpan w:val="6"/>
            <w:vAlign w:val="center"/>
          </w:tcPr>
          <w:p w14:paraId="084C6214">
            <w:pPr>
              <w:spacing w:line="560" w:lineRule="exact"/>
              <w:jc w:val="center"/>
              <w:rPr>
                <w:rFonts w:ascii="宋体" w:hAnsi="宋体" w:cs="宋体"/>
                <w:b/>
                <w:bCs/>
                <w:szCs w:val="21"/>
                <w:highlight w:val="none"/>
              </w:rPr>
            </w:pPr>
            <w:r>
              <w:rPr>
                <w:rFonts w:hint="eastAsia" w:ascii="宋体" w:hAnsi="宋体"/>
                <w:sz w:val="24"/>
                <w:highlight w:val="none"/>
              </w:rPr>
              <w:t>285000元</w:t>
            </w:r>
          </w:p>
        </w:tc>
      </w:tr>
      <w:tr w14:paraId="0719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gridSpan w:val="2"/>
            <w:vAlign w:val="center"/>
          </w:tcPr>
          <w:p w14:paraId="5E50E86E">
            <w:pPr>
              <w:spacing w:line="560" w:lineRule="exact"/>
              <w:jc w:val="center"/>
              <w:rPr>
                <w:rFonts w:ascii="宋体" w:hAnsi="宋体" w:cs="宋体"/>
                <w:b/>
                <w:bCs/>
                <w:szCs w:val="21"/>
                <w:highlight w:val="none"/>
              </w:rPr>
            </w:pPr>
            <w:r>
              <w:rPr>
                <w:rFonts w:hint="eastAsia" w:ascii="宋体" w:hAnsi="宋体" w:cs="宋体"/>
                <w:b/>
                <w:bCs/>
                <w:szCs w:val="21"/>
                <w:highlight w:val="none"/>
              </w:rPr>
              <w:t>备注</w:t>
            </w:r>
          </w:p>
        </w:tc>
        <w:tc>
          <w:tcPr>
            <w:tcW w:w="7691" w:type="dxa"/>
            <w:gridSpan w:val="6"/>
            <w:vAlign w:val="center"/>
          </w:tcPr>
          <w:p w14:paraId="10B76A8E">
            <w:pPr>
              <w:spacing w:line="560" w:lineRule="exact"/>
              <w:jc w:val="center"/>
              <w:rPr>
                <w:rFonts w:ascii="宋体" w:hAnsi="宋体" w:cs="宋体"/>
                <w:bCs/>
                <w:szCs w:val="21"/>
                <w:highlight w:val="none"/>
              </w:rPr>
            </w:pPr>
            <w:r>
              <w:rPr>
                <w:rFonts w:hint="eastAsia" w:ascii="宋体" w:hAnsi="宋体" w:cs="宋体"/>
                <w:bCs/>
                <w:szCs w:val="21"/>
                <w:highlight w:val="none"/>
              </w:rPr>
              <w:t>无</w:t>
            </w:r>
          </w:p>
        </w:tc>
      </w:tr>
    </w:tbl>
    <w:p w14:paraId="198C53B7">
      <w:pPr>
        <w:spacing w:line="192" w:lineRule="auto"/>
        <w:rPr>
          <w:rFonts w:ascii="宋体" w:hAnsi="宋体" w:cs="宋体"/>
          <w:b/>
          <w:bCs/>
          <w:highlight w:val="none"/>
        </w:rPr>
      </w:pPr>
    </w:p>
    <w:p w14:paraId="08231A6C">
      <w:pPr>
        <w:numPr>
          <w:ilvl w:val="0"/>
          <w:numId w:val="1"/>
        </w:numPr>
        <w:spacing w:line="192" w:lineRule="auto"/>
        <w:rPr>
          <w:rFonts w:ascii="宋体" w:hAnsi="宋体" w:cs="宋体"/>
          <w:b/>
          <w:bCs/>
          <w:highlight w:val="none"/>
        </w:rPr>
      </w:pPr>
      <w:r>
        <w:rPr>
          <w:rFonts w:hint="eastAsia" w:ascii="宋体" w:hAnsi="宋体" w:cs="宋体"/>
          <w:b/>
          <w:bCs/>
          <w:highlight w:val="none"/>
        </w:rPr>
        <w:t>技术要求：</w:t>
      </w:r>
    </w:p>
    <w:p w14:paraId="49372D79">
      <w:pPr>
        <w:spacing w:line="400" w:lineRule="exact"/>
        <w:rPr>
          <w:b/>
          <w:szCs w:val="21"/>
          <w:highlight w:val="none"/>
        </w:rPr>
      </w:pPr>
      <w:r>
        <w:rPr>
          <w:rFonts w:hint="eastAsia"/>
          <w:b/>
          <w:szCs w:val="21"/>
          <w:highlight w:val="none"/>
        </w:rPr>
        <w:t>（一）检查项目应具备</w:t>
      </w:r>
    </w:p>
    <w:p w14:paraId="5C8BA3C0">
      <w:pPr>
        <w:spacing w:line="400" w:lineRule="exact"/>
        <w:rPr>
          <w:bCs/>
          <w:szCs w:val="21"/>
          <w:highlight w:val="none"/>
        </w:rPr>
      </w:pPr>
      <w:r>
        <w:rPr>
          <w:bCs/>
          <w:szCs w:val="21"/>
          <w:highlight w:val="none"/>
        </w:rPr>
        <w:t>1、</w:t>
      </w:r>
      <w:r>
        <w:rPr>
          <w:rFonts w:hint="eastAsia"/>
          <w:bCs/>
          <w:szCs w:val="21"/>
          <w:highlight w:val="none"/>
        </w:rPr>
        <w:t>前庭诱发肌源性电位（VEMP）</w:t>
      </w:r>
    </w:p>
    <w:p w14:paraId="5D35527C">
      <w:pPr>
        <w:spacing w:line="400" w:lineRule="exact"/>
        <w:rPr>
          <w:bCs/>
          <w:szCs w:val="21"/>
          <w:highlight w:val="none"/>
        </w:rPr>
      </w:pPr>
      <w:r>
        <w:rPr>
          <w:rFonts w:hint="eastAsia"/>
          <w:bCs/>
          <w:szCs w:val="21"/>
          <w:highlight w:val="none"/>
        </w:rPr>
        <w:t>2、</w:t>
      </w:r>
      <w:r>
        <w:rPr>
          <w:bCs/>
          <w:szCs w:val="21"/>
          <w:highlight w:val="none"/>
        </w:rPr>
        <w:t>听性脑干反应（ABR）</w:t>
      </w:r>
    </w:p>
    <w:p w14:paraId="6A451ACC">
      <w:pPr>
        <w:spacing w:line="400" w:lineRule="exact"/>
        <w:rPr>
          <w:bCs/>
          <w:szCs w:val="21"/>
          <w:highlight w:val="none"/>
        </w:rPr>
      </w:pPr>
      <w:r>
        <w:rPr>
          <w:rFonts w:hint="eastAsia"/>
          <w:bCs/>
          <w:szCs w:val="21"/>
          <w:highlight w:val="none"/>
        </w:rPr>
        <w:t>3、</w:t>
      </w:r>
      <w:r>
        <w:rPr>
          <w:bCs/>
          <w:szCs w:val="21"/>
          <w:highlight w:val="none"/>
        </w:rPr>
        <w:t>Chirp声刺激ABR（iChirp）</w:t>
      </w:r>
    </w:p>
    <w:p w14:paraId="3253075F">
      <w:pPr>
        <w:spacing w:line="400" w:lineRule="exact"/>
        <w:rPr>
          <w:bCs/>
          <w:szCs w:val="21"/>
          <w:highlight w:val="none"/>
        </w:rPr>
      </w:pPr>
      <w:r>
        <w:rPr>
          <w:rFonts w:hint="eastAsia"/>
          <w:bCs/>
          <w:szCs w:val="21"/>
          <w:highlight w:val="none"/>
        </w:rPr>
        <w:t>4、</w:t>
      </w:r>
      <w:r>
        <w:rPr>
          <w:bCs/>
          <w:szCs w:val="21"/>
          <w:highlight w:val="none"/>
        </w:rPr>
        <w:t>40Hz听觉相关电位（40Hz-AEP）</w:t>
      </w:r>
    </w:p>
    <w:p w14:paraId="3560CDD8">
      <w:pPr>
        <w:spacing w:line="400" w:lineRule="exact"/>
        <w:rPr>
          <w:bCs/>
          <w:szCs w:val="21"/>
          <w:highlight w:val="none"/>
        </w:rPr>
      </w:pPr>
      <w:r>
        <w:rPr>
          <w:rFonts w:hint="eastAsia"/>
          <w:bCs/>
          <w:szCs w:val="21"/>
          <w:highlight w:val="none"/>
        </w:rPr>
        <w:t>5、</w:t>
      </w:r>
      <w:r>
        <w:rPr>
          <w:bCs/>
          <w:szCs w:val="21"/>
          <w:highlight w:val="none"/>
        </w:rPr>
        <w:t>中潜伏期诱发反应（MLR）</w:t>
      </w:r>
    </w:p>
    <w:p w14:paraId="52326239">
      <w:pPr>
        <w:spacing w:line="400" w:lineRule="exact"/>
        <w:rPr>
          <w:bCs/>
          <w:szCs w:val="21"/>
          <w:highlight w:val="none"/>
        </w:rPr>
      </w:pPr>
      <w:r>
        <w:rPr>
          <w:rFonts w:hint="eastAsia"/>
          <w:bCs/>
          <w:szCs w:val="21"/>
          <w:highlight w:val="none"/>
        </w:rPr>
        <w:t>6、</w:t>
      </w:r>
      <w:r>
        <w:rPr>
          <w:bCs/>
          <w:szCs w:val="21"/>
          <w:highlight w:val="none"/>
        </w:rPr>
        <w:t>长潜伏期诱发电位（LLR）</w:t>
      </w:r>
    </w:p>
    <w:p w14:paraId="0D07767E">
      <w:pPr>
        <w:spacing w:line="400" w:lineRule="exact"/>
        <w:rPr>
          <w:rFonts w:ascii="Calibri" w:hAnsi="Calibri"/>
          <w:b/>
          <w:szCs w:val="21"/>
          <w:highlight w:val="none"/>
        </w:rPr>
      </w:pPr>
      <w:r>
        <w:rPr>
          <w:rFonts w:hint="eastAsia" w:ascii="Calibri" w:hAnsi="Calibri"/>
          <w:b/>
          <w:szCs w:val="21"/>
          <w:highlight w:val="none"/>
        </w:rPr>
        <w:t>（二）</w:t>
      </w:r>
      <w:r>
        <w:rPr>
          <w:rFonts w:ascii="Calibri" w:hAnsi="Calibri"/>
          <w:b/>
          <w:szCs w:val="21"/>
          <w:highlight w:val="none"/>
        </w:rPr>
        <w:t>技术参数</w:t>
      </w:r>
    </w:p>
    <w:p w14:paraId="1423312D">
      <w:pPr>
        <w:numPr>
          <w:ilvl w:val="0"/>
          <w:numId w:val="2"/>
        </w:numPr>
        <w:spacing w:line="400" w:lineRule="exact"/>
        <w:rPr>
          <w:rFonts w:ascii="Calibri" w:hAnsi="Calibri"/>
          <w:szCs w:val="22"/>
          <w:highlight w:val="none"/>
        </w:rPr>
      </w:pPr>
      <w:r>
        <w:rPr>
          <w:rFonts w:ascii="Calibri" w:hAnsi="Calibri"/>
          <w:szCs w:val="22"/>
          <w:highlight w:val="none"/>
        </w:rPr>
        <w:t>通道数：双通道采集</w:t>
      </w:r>
    </w:p>
    <w:p w14:paraId="5973538B">
      <w:pPr>
        <w:numPr>
          <w:ilvl w:val="0"/>
          <w:numId w:val="2"/>
        </w:numPr>
        <w:spacing w:line="400" w:lineRule="exact"/>
        <w:rPr>
          <w:rFonts w:ascii="Calibri" w:hAnsi="Calibri"/>
          <w:szCs w:val="22"/>
          <w:highlight w:val="none"/>
        </w:rPr>
      </w:pPr>
      <w:r>
        <w:rPr>
          <w:rFonts w:ascii="Calibri" w:hAnsi="Calibri"/>
          <w:szCs w:val="22"/>
          <w:highlight w:val="none"/>
        </w:rPr>
        <w:t>输入阻抗：≥10Mohm</w:t>
      </w:r>
    </w:p>
    <w:p w14:paraId="31E7CF61">
      <w:pPr>
        <w:numPr>
          <w:ilvl w:val="0"/>
          <w:numId w:val="2"/>
        </w:numPr>
        <w:spacing w:line="400" w:lineRule="exact"/>
        <w:rPr>
          <w:rFonts w:ascii="Calibri" w:hAnsi="Calibri"/>
          <w:szCs w:val="22"/>
          <w:highlight w:val="none"/>
        </w:rPr>
      </w:pPr>
      <w:r>
        <w:rPr>
          <w:rFonts w:ascii="Calibri" w:hAnsi="Calibri"/>
          <w:szCs w:val="22"/>
          <w:highlight w:val="none"/>
        </w:rPr>
        <w:t>A/D分辨率：≥16比特</w:t>
      </w:r>
    </w:p>
    <w:p w14:paraId="3B67EC07">
      <w:pPr>
        <w:numPr>
          <w:ilvl w:val="0"/>
          <w:numId w:val="2"/>
        </w:numPr>
        <w:spacing w:line="400" w:lineRule="exact"/>
        <w:rPr>
          <w:rFonts w:ascii="Calibri" w:hAnsi="Calibri"/>
          <w:szCs w:val="22"/>
          <w:highlight w:val="none"/>
        </w:rPr>
      </w:pPr>
      <w:r>
        <w:rPr>
          <w:rFonts w:ascii="Calibri" w:hAnsi="Calibri"/>
          <w:b/>
          <w:sz w:val="32"/>
          <w:szCs w:val="28"/>
          <w:highlight w:val="none"/>
        </w:rPr>
        <w:t>*</w:t>
      </w:r>
      <w:r>
        <w:rPr>
          <w:rFonts w:hint="eastAsia" w:ascii="Calibri" w:hAnsi="Calibri"/>
          <w:szCs w:val="22"/>
          <w:highlight w:val="none"/>
        </w:rPr>
        <w:t>分析时窗：</w:t>
      </w:r>
      <w:r>
        <w:rPr>
          <w:rFonts w:ascii="Calibri" w:hAnsi="Calibri"/>
          <w:szCs w:val="22"/>
          <w:highlight w:val="none"/>
        </w:rPr>
        <w:t>≥</w:t>
      </w:r>
      <w:r>
        <w:rPr>
          <w:rFonts w:hint="eastAsia" w:ascii="Calibri" w:hAnsi="Calibri"/>
          <w:szCs w:val="22"/>
          <w:highlight w:val="none"/>
        </w:rPr>
        <w:t>-8000ms ~ 8000ms</w:t>
      </w:r>
    </w:p>
    <w:p w14:paraId="615C557E">
      <w:pPr>
        <w:numPr>
          <w:ilvl w:val="0"/>
          <w:numId w:val="2"/>
        </w:numPr>
        <w:spacing w:line="400" w:lineRule="exact"/>
        <w:rPr>
          <w:rFonts w:ascii="Calibri" w:hAnsi="Calibri"/>
          <w:szCs w:val="22"/>
          <w:highlight w:val="none"/>
        </w:rPr>
      </w:pPr>
      <w:r>
        <w:rPr>
          <w:rFonts w:ascii="Calibri" w:hAnsi="Calibri"/>
          <w:szCs w:val="22"/>
          <w:highlight w:val="none"/>
        </w:rPr>
        <w:t>增益范围</w:t>
      </w:r>
      <w:r>
        <w:rPr>
          <w:rFonts w:hint="eastAsia" w:ascii="Calibri" w:hAnsi="Calibri"/>
          <w:szCs w:val="22"/>
          <w:highlight w:val="none"/>
        </w:rPr>
        <w:t>：5</w:t>
      </w:r>
      <w:r>
        <w:rPr>
          <w:rFonts w:ascii="Calibri" w:hAnsi="Calibri"/>
          <w:szCs w:val="22"/>
          <w:highlight w:val="none"/>
        </w:rPr>
        <w:t>K</w:t>
      </w:r>
      <w:r>
        <w:rPr>
          <w:rFonts w:hint="eastAsia" w:ascii="Calibri" w:hAnsi="Calibri"/>
          <w:szCs w:val="22"/>
          <w:highlight w:val="none"/>
        </w:rPr>
        <w:t xml:space="preserve"> ~ 2</w:t>
      </w:r>
      <w:r>
        <w:rPr>
          <w:rFonts w:ascii="Calibri" w:hAnsi="Calibri"/>
          <w:szCs w:val="22"/>
          <w:highlight w:val="none"/>
        </w:rPr>
        <w:t>00K</w:t>
      </w:r>
    </w:p>
    <w:p w14:paraId="5669C66C">
      <w:pPr>
        <w:numPr>
          <w:ilvl w:val="0"/>
          <w:numId w:val="2"/>
        </w:numPr>
        <w:spacing w:line="400" w:lineRule="exact"/>
        <w:rPr>
          <w:rFonts w:ascii="Calibri" w:hAnsi="Calibri"/>
          <w:szCs w:val="22"/>
          <w:highlight w:val="none"/>
        </w:rPr>
      </w:pPr>
      <w:r>
        <w:rPr>
          <w:rFonts w:ascii="Calibri" w:hAnsi="Calibri"/>
          <w:szCs w:val="22"/>
          <w:highlight w:val="none"/>
        </w:rPr>
        <w:t>滤波方式：高通滤波器</w:t>
      </w:r>
      <w:r>
        <w:rPr>
          <w:rFonts w:hint="eastAsia" w:ascii="Calibri" w:hAnsi="Calibri"/>
          <w:szCs w:val="22"/>
          <w:highlight w:val="none"/>
        </w:rPr>
        <w:t>、</w:t>
      </w:r>
      <w:r>
        <w:rPr>
          <w:rFonts w:ascii="Calibri" w:hAnsi="Calibri"/>
          <w:szCs w:val="22"/>
          <w:highlight w:val="none"/>
        </w:rPr>
        <w:t>低通滤波器</w:t>
      </w:r>
      <w:r>
        <w:rPr>
          <w:rFonts w:hint="eastAsia" w:ascii="Calibri" w:hAnsi="Calibri"/>
          <w:szCs w:val="22"/>
          <w:highlight w:val="none"/>
        </w:rPr>
        <w:t>、陷波滤波器等</w:t>
      </w:r>
    </w:p>
    <w:p w14:paraId="0E345C3B">
      <w:pPr>
        <w:numPr>
          <w:ilvl w:val="0"/>
          <w:numId w:val="2"/>
        </w:numPr>
        <w:spacing w:line="400" w:lineRule="exact"/>
        <w:rPr>
          <w:rFonts w:ascii="Calibri" w:hAnsi="Calibri"/>
          <w:szCs w:val="22"/>
          <w:highlight w:val="none"/>
        </w:rPr>
      </w:pPr>
      <w:r>
        <w:rPr>
          <w:rFonts w:hint="eastAsia" w:ascii="Calibri" w:hAnsi="Calibri"/>
          <w:szCs w:val="22"/>
          <w:highlight w:val="none"/>
        </w:rPr>
        <w:t>采集叠加：1 ~ 50000次</w:t>
      </w:r>
    </w:p>
    <w:p w14:paraId="17E7F596">
      <w:pPr>
        <w:numPr>
          <w:ilvl w:val="0"/>
          <w:numId w:val="2"/>
        </w:numPr>
        <w:spacing w:line="400" w:lineRule="exact"/>
        <w:rPr>
          <w:rFonts w:ascii="Calibri" w:hAnsi="Calibri"/>
          <w:szCs w:val="22"/>
          <w:highlight w:val="none"/>
        </w:rPr>
      </w:pPr>
      <w:r>
        <w:rPr>
          <w:rFonts w:ascii="Calibri" w:hAnsi="Calibri"/>
          <w:b/>
          <w:sz w:val="32"/>
          <w:szCs w:val="28"/>
          <w:highlight w:val="none"/>
        </w:rPr>
        <w:t>*</w:t>
      </w:r>
      <w:r>
        <w:rPr>
          <w:rFonts w:hint="eastAsia" w:ascii="Calibri" w:hAnsi="Calibri"/>
          <w:szCs w:val="22"/>
          <w:highlight w:val="none"/>
        </w:rPr>
        <w:t>共模抑制比：</w:t>
      </w:r>
      <w:r>
        <w:rPr>
          <w:rFonts w:ascii="Calibri" w:hAnsi="Calibri"/>
          <w:szCs w:val="22"/>
          <w:highlight w:val="none"/>
        </w:rPr>
        <w:t>≥</w:t>
      </w:r>
      <w:r>
        <w:rPr>
          <w:rFonts w:hint="eastAsia" w:ascii="Calibri" w:hAnsi="Calibri"/>
          <w:szCs w:val="22"/>
          <w:highlight w:val="none"/>
        </w:rPr>
        <w:t>110dB</w:t>
      </w:r>
    </w:p>
    <w:p w14:paraId="13B362BF">
      <w:pPr>
        <w:numPr>
          <w:ilvl w:val="0"/>
          <w:numId w:val="2"/>
        </w:numPr>
        <w:spacing w:line="400" w:lineRule="exact"/>
        <w:rPr>
          <w:rFonts w:ascii="Calibri" w:hAnsi="Calibri"/>
          <w:szCs w:val="22"/>
          <w:highlight w:val="none"/>
        </w:rPr>
      </w:pPr>
      <w:r>
        <w:rPr>
          <w:rFonts w:ascii="Calibri" w:hAnsi="Calibri"/>
          <w:b/>
          <w:sz w:val="32"/>
          <w:szCs w:val="28"/>
          <w:highlight w:val="none"/>
        </w:rPr>
        <w:t>*</w:t>
      </w:r>
      <w:r>
        <w:rPr>
          <w:rFonts w:ascii="Calibri" w:hAnsi="Calibri"/>
          <w:szCs w:val="22"/>
          <w:highlight w:val="none"/>
        </w:rPr>
        <w:t>刺激声强：</w:t>
      </w:r>
      <w:r>
        <w:rPr>
          <w:rFonts w:hint="eastAsia" w:ascii="Calibri" w:hAnsi="Calibri"/>
          <w:szCs w:val="22"/>
          <w:highlight w:val="none"/>
        </w:rPr>
        <w:t>0dB SP</w:t>
      </w:r>
      <w:r>
        <w:rPr>
          <w:rFonts w:ascii="Calibri" w:hAnsi="Calibri"/>
          <w:szCs w:val="22"/>
          <w:highlight w:val="none"/>
        </w:rPr>
        <w:t>L ~ 1</w:t>
      </w:r>
      <w:r>
        <w:rPr>
          <w:rFonts w:hint="eastAsia" w:ascii="Calibri" w:hAnsi="Calibri"/>
          <w:szCs w:val="22"/>
          <w:highlight w:val="none"/>
        </w:rPr>
        <w:t>30dB SP</w:t>
      </w:r>
      <w:r>
        <w:rPr>
          <w:rFonts w:ascii="Calibri" w:hAnsi="Calibri"/>
          <w:szCs w:val="22"/>
          <w:highlight w:val="none"/>
        </w:rPr>
        <w:t>L，1dB步进</w:t>
      </w:r>
    </w:p>
    <w:p w14:paraId="65666BB9">
      <w:pPr>
        <w:numPr>
          <w:ilvl w:val="0"/>
          <w:numId w:val="2"/>
        </w:numPr>
        <w:spacing w:line="400" w:lineRule="exact"/>
        <w:rPr>
          <w:rFonts w:ascii="Calibri" w:hAnsi="Calibri"/>
          <w:szCs w:val="22"/>
          <w:highlight w:val="none"/>
        </w:rPr>
      </w:pPr>
      <w:r>
        <w:rPr>
          <w:rFonts w:ascii="Calibri" w:hAnsi="Calibri"/>
          <w:b/>
          <w:sz w:val="32"/>
          <w:szCs w:val="28"/>
          <w:highlight w:val="none"/>
        </w:rPr>
        <w:t>*</w:t>
      </w:r>
      <w:r>
        <w:rPr>
          <w:rFonts w:hint="eastAsia" w:ascii="Calibri" w:hAnsi="Calibri"/>
          <w:szCs w:val="22"/>
          <w:highlight w:val="none"/>
        </w:rPr>
        <w:t>刺激频率：0Hz ~ 16kHz</w:t>
      </w:r>
    </w:p>
    <w:p w14:paraId="73707A32">
      <w:pPr>
        <w:numPr>
          <w:ilvl w:val="0"/>
          <w:numId w:val="2"/>
        </w:numPr>
        <w:spacing w:line="400" w:lineRule="exact"/>
        <w:rPr>
          <w:rFonts w:ascii="Calibri" w:hAnsi="Calibri"/>
          <w:szCs w:val="22"/>
          <w:highlight w:val="none"/>
        </w:rPr>
      </w:pPr>
      <w:r>
        <w:rPr>
          <w:rFonts w:hint="eastAsia" w:ascii="Calibri" w:hAnsi="Calibri"/>
          <w:szCs w:val="22"/>
          <w:highlight w:val="none"/>
        </w:rPr>
        <w:t>刺激速率：0 ~ 1000次/秒</w:t>
      </w:r>
    </w:p>
    <w:p w14:paraId="40ED75A2">
      <w:pPr>
        <w:numPr>
          <w:ilvl w:val="0"/>
          <w:numId w:val="2"/>
        </w:numPr>
        <w:spacing w:line="400" w:lineRule="exact"/>
        <w:rPr>
          <w:rFonts w:ascii="Calibri" w:hAnsi="Calibri"/>
          <w:szCs w:val="22"/>
          <w:highlight w:val="none"/>
        </w:rPr>
      </w:pPr>
      <w:r>
        <w:rPr>
          <w:rFonts w:ascii="Calibri" w:hAnsi="Calibri"/>
          <w:szCs w:val="22"/>
          <w:highlight w:val="none"/>
        </w:rPr>
        <w:t>掩蔽</w:t>
      </w:r>
      <w:r>
        <w:rPr>
          <w:rFonts w:hint="eastAsia" w:ascii="Calibri" w:hAnsi="Calibri"/>
          <w:szCs w:val="22"/>
          <w:highlight w:val="none"/>
        </w:rPr>
        <w:t>信号</w:t>
      </w:r>
      <w:r>
        <w:rPr>
          <w:rFonts w:ascii="Calibri" w:hAnsi="Calibri"/>
          <w:szCs w:val="22"/>
          <w:highlight w:val="none"/>
        </w:rPr>
        <w:t>：白噪声（宽带噪声）或自定义</w:t>
      </w:r>
    </w:p>
    <w:p w14:paraId="1FC457C1">
      <w:pPr>
        <w:numPr>
          <w:ilvl w:val="0"/>
          <w:numId w:val="2"/>
        </w:numPr>
        <w:spacing w:line="400" w:lineRule="exact"/>
        <w:rPr>
          <w:rFonts w:ascii="Calibri" w:hAnsi="Calibri"/>
          <w:szCs w:val="22"/>
          <w:highlight w:val="none"/>
        </w:rPr>
      </w:pPr>
      <w:r>
        <w:rPr>
          <w:rFonts w:hint="eastAsia" w:ascii="Calibri" w:hAnsi="Calibri"/>
          <w:szCs w:val="22"/>
          <w:highlight w:val="none"/>
        </w:rPr>
        <w:t>对侧掩蔽强度：0dB SP</w:t>
      </w:r>
      <w:r>
        <w:rPr>
          <w:rFonts w:ascii="Calibri" w:hAnsi="Calibri"/>
          <w:szCs w:val="22"/>
          <w:highlight w:val="none"/>
        </w:rPr>
        <w:t xml:space="preserve">L ~ </w:t>
      </w:r>
      <w:r>
        <w:rPr>
          <w:rFonts w:hint="eastAsia" w:ascii="Calibri" w:hAnsi="Calibri"/>
          <w:szCs w:val="22"/>
          <w:highlight w:val="none"/>
        </w:rPr>
        <w:t>140dB SP</w:t>
      </w:r>
      <w:r>
        <w:rPr>
          <w:rFonts w:ascii="Calibri" w:hAnsi="Calibri"/>
          <w:szCs w:val="22"/>
          <w:highlight w:val="none"/>
        </w:rPr>
        <w:t>L</w:t>
      </w:r>
    </w:p>
    <w:p w14:paraId="670B4814">
      <w:pPr>
        <w:numPr>
          <w:ilvl w:val="0"/>
          <w:numId w:val="2"/>
        </w:numPr>
        <w:spacing w:line="400" w:lineRule="exact"/>
        <w:rPr>
          <w:rFonts w:ascii="Calibri" w:hAnsi="Calibri"/>
          <w:szCs w:val="22"/>
          <w:highlight w:val="none"/>
        </w:rPr>
      </w:pPr>
      <w:r>
        <w:rPr>
          <w:rFonts w:hint="eastAsia" w:ascii="Calibri" w:hAnsi="Calibri"/>
          <w:szCs w:val="22"/>
          <w:highlight w:val="none"/>
        </w:rPr>
        <w:t>VEMP：可标记P1，N1的潜伏期。</w:t>
      </w:r>
    </w:p>
    <w:p w14:paraId="248E2E48">
      <w:pPr>
        <w:numPr>
          <w:ilvl w:val="0"/>
          <w:numId w:val="2"/>
        </w:numPr>
        <w:spacing w:line="400" w:lineRule="exact"/>
        <w:rPr>
          <w:rFonts w:ascii="Calibri" w:hAnsi="Calibri"/>
          <w:szCs w:val="22"/>
          <w:highlight w:val="none"/>
        </w:rPr>
      </w:pPr>
      <w:r>
        <w:rPr>
          <w:rFonts w:hint="eastAsia" w:ascii="Calibri" w:hAnsi="Calibri"/>
          <w:szCs w:val="22"/>
          <w:highlight w:val="none"/>
        </w:rPr>
        <w:t>设备与电脑采用USB接口进行数据传输</w:t>
      </w:r>
    </w:p>
    <w:p w14:paraId="068AD3A5">
      <w:pPr>
        <w:spacing w:line="400" w:lineRule="exact"/>
        <w:rPr>
          <w:b/>
          <w:szCs w:val="21"/>
          <w:highlight w:val="none"/>
        </w:rPr>
      </w:pPr>
      <w:r>
        <w:rPr>
          <w:rFonts w:hint="eastAsia"/>
          <w:b/>
          <w:szCs w:val="21"/>
          <w:highlight w:val="none"/>
        </w:rPr>
        <w:t>（三）配置清单（包含但不限于）</w:t>
      </w:r>
    </w:p>
    <w:p w14:paraId="61158671">
      <w:pPr>
        <w:numPr>
          <w:ilvl w:val="0"/>
          <w:numId w:val="3"/>
        </w:numPr>
        <w:spacing w:line="400" w:lineRule="exact"/>
        <w:rPr>
          <w:szCs w:val="22"/>
          <w:highlight w:val="none"/>
        </w:rPr>
      </w:pPr>
      <w:r>
        <w:rPr>
          <w:rFonts w:hint="eastAsia"/>
          <w:szCs w:val="22"/>
          <w:highlight w:val="none"/>
        </w:rPr>
        <w:t xml:space="preserve">USB通用控制器                       1台             </w:t>
      </w:r>
    </w:p>
    <w:p w14:paraId="2D9C286D">
      <w:pPr>
        <w:numPr>
          <w:ilvl w:val="0"/>
          <w:numId w:val="3"/>
        </w:numPr>
        <w:spacing w:line="400" w:lineRule="exact"/>
        <w:rPr>
          <w:szCs w:val="22"/>
          <w:highlight w:val="none"/>
        </w:rPr>
      </w:pPr>
      <w:r>
        <w:rPr>
          <w:rFonts w:hint="eastAsia"/>
          <w:szCs w:val="22"/>
          <w:highlight w:val="none"/>
        </w:rPr>
        <w:t>插入式耳机                           1副</w:t>
      </w:r>
    </w:p>
    <w:p w14:paraId="15752D9F">
      <w:pPr>
        <w:numPr>
          <w:ilvl w:val="0"/>
          <w:numId w:val="3"/>
        </w:numPr>
        <w:spacing w:line="400" w:lineRule="exact"/>
        <w:rPr>
          <w:szCs w:val="22"/>
          <w:highlight w:val="none"/>
        </w:rPr>
      </w:pPr>
      <w:r>
        <w:rPr>
          <w:rFonts w:hint="eastAsia"/>
          <w:szCs w:val="22"/>
          <w:highlight w:val="none"/>
        </w:rPr>
        <w:t>前庭诱发肌源性电位软件（VEMP）      1套</w:t>
      </w:r>
    </w:p>
    <w:p w14:paraId="008221E5">
      <w:pPr>
        <w:numPr>
          <w:ilvl w:val="0"/>
          <w:numId w:val="3"/>
        </w:numPr>
        <w:spacing w:line="400" w:lineRule="exact"/>
        <w:rPr>
          <w:szCs w:val="22"/>
          <w:highlight w:val="none"/>
        </w:rPr>
      </w:pPr>
      <w:r>
        <w:rPr>
          <w:rFonts w:hint="eastAsia"/>
          <w:szCs w:val="22"/>
          <w:highlight w:val="none"/>
        </w:rPr>
        <w:t>听性脑干反应软件（ABR）             1套</w:t>
      </w:r>
    </w:p>
    <w:p w14:paraId="2C962A7E">
      <w:pPr>
        <w:numPr>
          <w:ilvl w:val="0"/>
          <w:numId w:val="3"/>
        </w:numPr>
        <w:spacing w:line="400" w:lineRule="exact"/>
        <w:rPr>
          <w:szCs w:val="22"/>
          <w:highlight w:val="none"/>
        </w:rPr>
      </w:pPr>
      <w:r>
        <w:rPr>
          <w:rFonts w:hint="eastAsia"/>
          <w:szCs w:val="22"/>
          <w:highlight w:val="none"/>
        </w:rPr>
        <w:t>导联线                               1根</w:t>
      </w:r>
    </w:p>
    <w:p w14:paraId="628502DE">
      <w:pPr>
        <w:numPr>
          <w:ilvl w:val="0"/>
          <w:numId w:val="3"/>
        </w:numPr>
        <w:spacing w:line="400" w:lineRule="exact"/>
        <w:rPr>
          <w:szCs w:val="22"/>
          <w:highlight w:val="none"/>
        </w:rPr>
      </w:pPr>
      <w:r>
        <w:rPr>
          <w:rFonts w:hint="eastAsia"/>
          <w:szCs w:val="22"/>
          <w:highlight w:val="none"/>
        </w:rPr>
        <w:t>纽扣电极包                           1包</w:t>
      </w:r>
    </w:p>
    <w:p w14:paraId="2A20C5AB">
      <w:pPr>
        <w:numPr>
          <w:ilvl w:val="0"/>
          <w:numId w:val="3"/>
        </w:numPr>
        <w:spacing w:line="400" w:lineRule="exact"/>
        <w:rPr>
          <w:szCs w:val="22"/>
          <w:highlight w:val="none"/>
        </w:rPr>
      </w:pPr>
      <w:r>
        <w:rPr>
          <w:rFonts w:hint="eastAsia"/>
          <w:szCs w:val="22"/>
          <w:highlight w:val="none"/>
        </w:rPr>
        <w:t>纽扣电极线                           5根</w:t>
      </w:r>
    </w:p>
    <w:p w14:paraId="7882861F">
      <w:pPr>
        <w:numPr>
          <w:ilvl w:val="0"/>
          <w:numId w:val="3"/>
        </w:numPr>
        <w:spacing w:line="400" w:lineRule="exact"/>
        <w:rPr>
          <w:szCs w:val="22"/>
          <w:highlight w:val="none"/>
        </w:rPr>
      </w:pPr>
      <w:r>
        <w:rPr>
          <w:rFonts w:hint="eastAsia"/>
          <w:szCs w:val="22"/>
          <w:highlight w:val="none"/>
        </w:rPr>
        <w:t>Y型电缆                             1根</w:t>
      </w:r>
    </w:p>
    <w:p w14:paraId="68891B26">
      <w:pPr>
        <w:numPr>
          <w:ilvl w:val="0"/>
          <w:numId w:val="3"/>
        </w:numPr>
        <w:spacing w:line="400" w:lineRule="exact"/>
        <w:rPr>
          <w:szCs w:val="22"/>
          <w:highlight w:val="none"/>
        </w:rPr>
      </w:pPr>
      <w:r>
        <w:rPr>
          <w:rFonts w:hint="eastAsia"/>
          <w:szCs w:val="22"/>
          <w:highlight w:val="none"/>
        </w:rPr>
        <w:t>磨砂膏                               1支</w:t>
      </w:r>
    </w:p>
    <w:p w14:paraId="3ACC6E25">
      <w:pPr>
        <w:snapToGrid w:val="0"/>
        <w:rPr>
          <w:rFonts w:ascii="Arial" w:hAnsi="Arial"/>
          <w:color w:val="FF0000"/>
          <w:szCs w:val="22"/>
          <w:highlight w:val="none"/>
        </w:rPr>
      </w:pPr>
    </w:p>
    <w:p w14:paraId="6C55E5DC">
      <w:pPr>
        <w:numPr>
          <w:ilvl w:val="0"/>
          <w:numId w:val="1"/>
        </w:numPr>
        <w:spacing w:line="192" w:lineRule="auto"/>
        <w:ind w:left="0" w:leftChars="0" w:firstLine="0" w:firstLineChars="0"/>
        <w:rPr>
          <w:rFonts w:hint="eastAsia" w:ascii="宋体" w:hAnsi="宋体" w:cs="宋体"/>
          <w:b/>
          <w:bCs/>
          <w:highlight w:val="none"/>
          <w:lang w:val="en-US" w:eastAsia="zh-CN"/>
        </w:rPr>
      </w:pPr>
      <w:r>
        <w:rPr>
          <w:rFonts w:hint="eastAsia" w:ascii="宋体" w:hAnsi="宋体" w:cs="宋体"/>
          <w:b/>
          <w:bCs/>
          <w:highlight w:val="none"/>
          <w:lang w:val="en-US" w:eastAsia="zh-CN"/>
        </w:rPr>
        <w:t>其他要求</w:t>
      </w:r>
    </w:p>
    <w:p w14:paraId="592B3C2D">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firstLine="420" w:firstLineChars="200"/>
        <w:jc w:val="left"/>
        <w:textAlignment w:val="auto"/>
        <w:rPr>
          <w:rFonts w:hint="eastAsia" w:cs="仿宋" w:asciiTheme="majorEastAsia" w:hAnsiTheme="majorEastAsia" w:eastAsiaTheme="majorEastAsia"/>
          <w:kern w:val="2"/>
          <w:sz w:val="21"/>
          <w:szCs w:val="21"/>
          <w:highlight w:val="none"/>
          <w:lang w:val="en-US" w:eastAsia="zh-CN" w:bidi="ar-SA"/>
        </w:rPr>
      </w:pPr>
      <w:r>
        <w:rPr>
          <w:rFonts w:hint="eastAsia" w:cs="仿宋" w:asciiTheme="majorEastAsia" w:hAnsiTheme="majorEastAsia" w:eastAsiaTheme="majorEastAsia"/>
          <w:kern w:val="2"/>
          <w:sz w:val="21"/>
          <w:szCs w:val="21"/>
          <w:highlight w:val="none"/>
          <w:lang w:val="en-US" w:eastAsia="zh-CN" w:bidi="ar-SA"/>
        </w:rPr>
        <w:t>1.投标人须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 3C 认证产品）的，该产品应具有由认证机构颁发给制造商的该产品强制性认证证书。</w:t>
      </w:r>
    </w:p>
    <w:p w14:paraId="548B7036">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firstLine="420" w:firstLineChars="200"/>
        <w:jc w:val="left"/>
        <w:textAlignment w:val="auto"/>
        <w:rPr>
          <w:rFonts w:hint="eastAsia" w:cs="仿宋" w:asciiTheme="majorEastAsia" w:hAnsiTheme="majorEastAsia" w:eastAsiaTheme="majorEastAsia"/>
          <w:kern w:val="2"/>
          <w:sz w:val="21"/>
          <w:szCs w:val="21"/>
          <w:highlight w:val="none"/>
          <w:lang w:val="en-US" w:eastAsia="zh-CN" w:bidi="ar-SA"/>
        </w:rPr>
      </w:pPr>
      <w:r>
        <w:rPr>
          <w:rFonts w:hint="eastAsia" w:cs="仿宋" w:asciiTheme="majorEastAsia" w:hAnsiTheme="majorEastAsia" w:eastAsiaTheme="majorEastAsia"/>
          <w:kern w:val="2"/>
          <w:sz w:val="21"/>
          <w:szCs w:val="21"/>
          <w:highlight w:val="none"/>
          <w:lang w:val="en-US" w:eastAsia="zh-CN" w:bidi="ar-SA"/>
        </w:rPr>
        <w:t>2.所投产品均应提供配置明细表并且配置明细表中的所有配件必须是唯一的，不得有选择性配置，所提供配件需是正规厂家生产的原装正品。如果对投标产品的标准配置或配件有更换或调整的，需提供原生产厂家的变更和调整确认材料,提供的产品配件应单独列出其技术性能、标准、产地、生产厂家及享受何种保修服务。</w:t>
      </w:r>
    </w:p>
    <w:p w14:paraId="0FE1A178">
      <w:pPr>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firstLine="420" w:firstLineChars="200"/>
        <w:jc w:val="left"/>
        <w:textAlignment w:val="auto"/>
        <w:rPr>
          <w:rFonts w:hint="eastAsia" w:cs="仿宋" w:asciiTheme="majorEastAsia" w:hAnsiTheme="majorEastAsia" w:eastAsiaTheme="majorEastAsia"/>
          <w:kern w:val="2"/>
          <w:sz w:val="21"/>
          <w:szCs w:val="21"/>
          <w:highlight w:val="none"/>
          <w:lang w:val="en-US" w:eastAsia="zh-CN" w:bidi="ar-SA"/>
        </w:rPr>
      </w:pPr>
      <w:r>
        <w:rPr>
          <w:rFonts w:hint="eastAsia" w:cs="仿宋" w:asciiTheme="majorEastAsia" w:hAnsiTheme="majorEastAsia" w:eastAsiaTheme="majorEastAsia"/>
          <w:kern w:val="2"/>
          <w:sz w:val="21"/>
          <w:szCs w:val="21"/>
          <w:highlight w:val="none"/>
          <w:lang w:val="en-US" w:eastAsia="zh-CN" w:bidi="ar-SA"/>
        </w:rPr>
        <w:t>3.商品包装和快递包装应符合《商品包装政府采购需求标准（试行）》和《快递包装政府采购需求标准（试行）》规定。</w:t>
      </w:r>
    </w:p>
    <w:p w14:paraId="63B7098C">
      <w:pPr>
        <w:pStyle w:val="13"/>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Chars="0" w:firstLine="420" w:firstLineChars="200"/>
        <w:textAlignment w:val="auto"/>
        <w:rPr>
          <w:rFonts w:hint="default" w:cs="仿宋" w:asciiTheme="majorEastAsia" w:hAnsiTheme="majorEastAsia" w:eastAsiaTheme="majorEastAsia"/>
          <w:kern w:val="2"/>
          <w:sz w:val="21"/>
          <w:szCs w:val="21"/>
          <w:highlight w:val="none"/>
          <w:lang w:val="en-US" w:eastAsia="zh-CN" w:bidi="ar-SA"/>
        </w:rPr>
      </w:pPr>
    </w:p>
    <w:p w14:paraId="79E1ACDD">
      <w:pPr>
        <w:pStyle w:val="13"/>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Chars="0" w:firstLine="420" w:firstLineChars="200"/>
        <w:textAlignment w:val="auto"/>
        <w:rPr>
          <w:rFonts w:hint="default" w:cs="仿宋" w:asciiTheme="majorEastAsia" w:hAnsiTheme="majorEastAsia" w:eastAsiaTheme="majorEastAsia"/>
          <w:kern w:val="2"/>
          <w:sz w:val="21"/>
          <w:szCs w:val="21"/>
          <w:highlight w:val="none"/>
          <w:lang w:val="en-US" w:eastAsia="zh-CN" w:bidi="ar-SA"/>
        </w:rPr>
      </w:pPr>
    </w:p>
    <w:p w14:paraId="0CFFB1CF">
      <w:pPr>
        <w:pStyle w:val="13"/>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Chars="0" w:firstLine="420" w:firstLineChars="200"/>
        <w:textAlignment w:val="auto"/>
        <w:rPr>
          <w:rFonts w:hint="default" w:cs="仿宋" w:asciiTheme="majorEastAsia" w:hAnsiTheme="majorEastAsia" w:eastAsiaTheme="majorEastAsia"/>
          <w:kern w:val="2"/>
          <w:sz w:val="21"/>
          <w:szCs w:val="21"/>
          <w:highlight w:val="none"/>
          <w:lang w:val="en-US" w:eastAsia="zh-CN" w:bidi="ar-SA"/>
        </w:rPr>
      </w:pPr>
    </w:p>
    <w:p w14:paraId="65A1AE7C">
      <w:pPr>
        <w:pStyle w:val="13"/>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Chars="0" w:firstLine="420" w:firstLineChars="200"/>
        <w:textAlignment w:val="auto"/>
        <w:rPr>
          <w:rFonts w:hint="default" w:cs="仿宋" w:asciiTheme="majorEastAsia" w:hAnsiTheme="majorEastAsia" w:eastAsiaTheme="majorEastAsia"/>
          <w:kern w:val="2"/>
          <w:sz w:val="21"/>
          <w:szCs w:val="21"/>
          <w:highlight w:val="none"/>
          <w:lang w:val="en-US" w:eastAsia="zh-CN" w:bidi="ar-SA"/>
        </w:rPr>
      </w:pPr>
    </w:p>
    <w:p w14:paraId="6E9AD7F2">
      <w:pPr>
        <w:pStyle w:val="13"/>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Chars="0" w:firstLine="420" w:firstLineChars="200"/>
        <w:textAlignment w:val="auto"/>
        <w:rPr>
          <w:rFonts w:hint="default" w:cs="仿宋" w:asciiTheme="majorEastAsia" w:hAnsiTheme="majorEastAsia" w:eastAsiaTheme="majorEastAsia"/>
          <w:kern w:val="2"/>
          <w:sz w:val="21"/>
          <w:szCs w:val="21"/>
          <w:highlight w:val="none"/>
          <w:lang w:val="en-US" w:eastAsia="zh-CN" w:bidi="ar-SA"/>
        </w:rPr>
      </w:pPr>
    </w:p>
    <w:p w14:paraId="2BBCAFDF">
      <w:pPr>
        <w:pStyle w:val="13"/>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Chars="0" w:firstLine="420" w:firstLineChars="200"/>
        <w:textAlignment w:val="auto"/>
        <w:rPr>
          <w:rFonts w:hint="default" w:cs="仿宋" w:asciiTheme="majorEastAsia" w:hAnsiTheme="majorEastAsia" w:eastAsiaTheme="majorEastAsia"/>
          <w:kern w:val="2"/>
          <w:sz w:val="21"/>
          <w:szCs w:val="21"/>
          <w:highlight w:val="none"/>
          <w:lang w:val="en-US" w:eastAsia="zh-CN" w:bidi="ar-SA"/>
        </w:rPr>
      </w:pPr>
    </w:p>
    <w:p w14:paraId="2D184024">
      <w:pPr>
        <w:pStyle w:val="13"/>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Chars="0" w:firstLine="420" w:firstLineChars="200"/>
        <w:textAlignment w:val="auto"/>
        <w:rPr>
          <w:rFonts w:hint="default" w:cs="仿宋" w:asciiTheme="majorEastAsia" w:hAnsiTheme="majorEastAsia" w:eastAsiaTheme="majorEastAsia"/>
          <w:kern w:val="2"/>
          <w:sz w:val="21"/>
          <w:szCs w:val="21"/>
          <w:highlight w:val="none"/>
          <w:lang w:val="en-US" w:eastAsia="zh-CN" w:bidi="ar-SA"/>
        </w:rPr>
      </w:pPr>
    </w:p>
    <w:p w14:paraId="6535BC71">
      <w:pPr>
        <w:pStyle w:val="13"/>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Chars="0" w:firstLine="420" w:firstLineChars="200"/>
        <w:textAlignment w:val="auto"/>
        <w:rPr>
          <w:rFonts w:hint="default" w:cs="仿宋" w:asciiTheme="majorEastAsia" w:hAnsiTheme="majorEastAsia" w:eastAsiaTheme="majorEastAsia"/>
          <w:kern w:val="2"/>
          <w:sz w:val="21"/>
          <w:szCs w:val="21"/>
          <w:highlight w:val="none"/>
          <w:lang w:val="en-US" w:eastAsia="zh-CN" w:bidi="ar-SA"/>
        </w:rPr>
      </w:pPr>
    </w:p>
    <w:p w14:paraId="1ACC896A">
      <w:pPr>
        <w:pStyle w:val="13"/>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Chars="0" w:firstLine="420" w:firstLineChars="200"/>
        <w:textAlignment w:val="auto"/>
        <w:rPr>
          <w:rFonts w:hint="default" w:cs="仿宋" w:asciiTheme="majorEastAsia" w:hAnsiTheme="majorEastAsia" w:eastAsiaTheme="majorEastAsia"/>
          <w:kern w:val="2"/>
          <w:sz w:val="21"/>
          <w:szCs w:val="21"/>
          <w:highlight w:val="none"/>
          <w:lang w:val="en-US" w:eastAsia="zh-CN" w:bidi="ar-SA"/>
        </w:rPr>
      </w:pPr>
    </w:p>
    <w:p w14:paraId="163D5BF7">
      <w:pPr>
        <w:pStyle w:val="13"/>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Chars="0" w:firstLine="420" w:firstLineChars="200"/>
        <w:textAlignment w:val="auto"/>
        <w:rPr>
          <w:rFonts w:hint="default" w:cs="仿宋" w:asciiTheme="majorEastAsia" w:hAnsiTheme="majorEastAsia" w:eastAsiaTheme="majorEastAsia"/>
          <w:kern w:val="2"/>
          <w:sz w:val="21"/>
          <w:szCs w:val="21"/>
          <w:highlight w:val="none"/>
          <w:lang w:val="en-US" w:eastAsia="zh-CN" w:bidi="ar-SA"/>
        </w:rPr>
      </w:pPr>
    </w:p>
    <w:p w14:paraId="520D6BDD">
      <w:pPr>
        <w:jc w:val="center"/>
        <w:rPr>
          <w:rFonts w:ascii="宋体" w:hAnsi="宋体" w:cs="宋体"/>
          <w:b/>
          <w:bCs/>
          <w:sz w:val="30"/>
          <w:szCs w:val="30"/>
          <w:highlight w:val="none"/>
        </w:rPr>
      </w:pPr>
      <w:r>
        <w:rPr>
          <w:rFonts w:hint="eastAsia" w:ascii="宋体" w:hAnsi="宋体" w:cs="宋体"/>
          <w:b/>
          <w:bCs/>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2DE1D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4CC199">
            <w:pPr>
              <w:pStyle w:val="8"/>
              <w:spacing w:line="360" w:lineRule="auto"/>
              <w:jc w:val="center"/>
              <w:rPr>
                <w:rFonts w:asciiTheme="majorEastAsia" w:hAnsiTheme="majorEastAsia" w:eastAsiaTheme="majorEastAsia"/>
                <w:sz w:val="21"/>
                <w:szCs w:val="21"/>
                <w:highlight w:val="none"/>
              </w:rPr>
            </w:pPr>
            <w:r>
              <w:rPr>
                <w:rFonts w:hint="eastAsia" w:cs="仿宋" w:asciiTheme="majorEastAsia" w:hAnsiTheme="majorEastAsia" w:eastAsiaTheme="majorEastAsia"/>
                <w:kern w:val="2"/>
                <w:sz w:val="21"/>
                <w:szCs w:val="21"/>
                <w:highlight w:val="none"/>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3E64E037">
            <w:pPr>
              <w:pStyle w:val="8"/>
              <w:spacing w:line="360" w:lineRule="auto"/>
              <w:rPr>
                <w:rFonts w:asciiTheme="majorEastAsia" w:hAnsiTheme="majorEastAsia" w:eastAsiaTheme="majorEastAsia"/>
                <w:sz w:val="21"/>
                <w:szCs w:val="21"/>
                <w:highlight w:val="none"/>
              </w:rPr>
            </w:pPr>
            <w:r>
              <w:rPr>
                <w:rFonts w:hint="eastAsia" w:cs="仿宋" w:asciiTheme="majorEastAsia" w:hAnsiTheme="majorEastAsia" w:eastAsiaTheme="majorEastAsia"/>
                <w:kern w:val="2"/>
                <w:sz w:val="21"/>
                <w:szCs w:val="21"/>
                <w:highlight w:val="none"/>
              </w:rPr>
              <w:t xml:space="preserve">合同签订后30日内交货，最终以合同约定内容为准。        </w:t>
            </w:r>
          </w:p>
        </w:tc>
      </w:tr>
      <w:tr w14:paraId="2D7A8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313E31A">
            <w:pPr>
              <w:pStyle w:val="8"/>
              <w:spacing w:line="360" w:lineRule="auto"/>
              <w:jc w:val="center"/>
              <w:rPr>
                <w:rFonts w:asciiTheme="majorEastAsia" w:hAnsiTheme="majorEastAsia" w:eastAsiaTheme="majorEastAsia"/>
                <w:sz w:val="21"/>
                <w:szCs w:val="21"/>
                <w:highlight w:val="none"/>
              </w:rPr>
            </w:pPr>
            <w:r>
              <w:rPr>
                <w:rFonts w:hint="eastAsia" w:cs="仿宋" w:asciiTheme="majorEastAsia" w:hAnsiTheme="majorEastAsia" w:eastAsiaTheme="majorEastAsia"/>
                <w:kern w:val="2"/>
                <w:sz w:val="21"/>
                <w:szCs w:val="21"/>
                <w:highlight w:val="none"/>
              </w:rPr>
              <w:t>交货地点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27D31F1F">
            <w:pPr>
              <w:pStyle w:val="8"/>
              <w:spacing w:line="360" w:lineRule="auto"/>
              <w:rPr>
                <w:rFonts w:asciiTheme="majorEastAsia" w:hAnsiTheme="majorEastAsia" w:eastAsiaTheme="majorEastAsia"/>
                <w:kern w:val="2"/>
                <w:sz w:val="21"/>
                <w:szCs w:val="21"/>
                <w:highlight w:val="none"/>
              </w:rPr>
            </w:pPr>
            <w:r>
              <w:rPr>
                <w:rFonts w:hint="eastAsia" w:cs="仿宋" w:asciiTheme="majorEastAsia" w:hAnsiTheme="majorEastAsia" w:eastAsiaTheme="majorEastAsia"/>
                <w:kern w:val="2"/>
                <w:sz w:val="21"/>
                <w:szCs w:val="21"/>
                <w:highlight w:val="none"/>
              </w:rPr>
              <w:t>采购人指定地点。</w:t>
            </w:r>
          </w:p>
        </w:tc>
      </w:tr>
      <w:tr w14:paraId="1D244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C0141C3">
            <w:pPr>
              <w:pStyle w:val="8"/>
              <w:spacing w:line="360" w:lineRule="auto"/>
              <w:jc w:val="center"/>
              <w:rPr>
                <w:rFonts w:cs="仿宋" w:asciiTheme="majorEastAsia" w:hAnsiTheme="majorEastAsia" w:eastAsiaTheme="majorEastAsia"/>
                <w:kern w:val="2"/>
                <w:sz w:val="21"/>
                <w:szCs w:val="21"/>
                <w:highlight w:val="none"/>
              </w:rPr>
            </w:pPr>
            <w:r>
              <w:rPr>
                <w:rFonts w:hint="eastAsia" w:cs="仿宋" w:asciiTheme="majorEastAsia" w:hAnsiTheme="majorEastAsia" w:eastAsiaTheme="majorEastAsia"/>
                <w:kern w:val="2"/>
                <w:sz w:val="21"/>
                <w:szCs w:val="21"/>
                <w:highlight w:val="none"/>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042DE816">
            <w:pPr>
              <w:pStyle w:val="8"/>
              <w:spacing w:beforeAutospacing="0" w:afterAutospacing="0" w:line="360" w:lineRule="auto"/>
              <w:rPr>
                <w:rFonts w:cs="仿宋" w:asciiTheme="majorEastAsia" w:hAnsiTheme="majorEastAsia" w:eastAsiaTheme="majorEastAsia"/>
                <w:b/>
                <w:bCs/>
                <w:kern w:val="2"/>
                <w:sz w:val="21"/>
                <w:szCs w:val="21"/>
                <w:highlight w:val="none"/>
              </w:rPr>
            </w:pPr>
            <w:r>
              <w:rPr>
                <w:rFonts w:hint="eastAsia" w:cs="仿宋" w:asciiTheme="majorEastAsia" w:hAnsiTheme="majorEastAsia" w:eastAsiaTheme="majorEastAsia"/>
                <w:kern w:val="2"/>
                <w:sz w:val="21"/>
                <w:szCs w:val="21"/>
                <w:highlight w:val="none"/>
              </w:rPr>
              <w:t>从产品入库之日起，整机保修三年，出具相关服务承诺书。</w:t>
            </w:r>
          </w:p>
        </w:tc>
      </w:tr>
      <w:tr w14:paraId="77D3B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19638E3">
            <w:pPr>
              <w:pStyle w:val="8"/>
              <w:spacing w:line="360" w:lineRule="auto"/>
              <w:jc w:val="center"/>
              <w:rPr>
                <w:rFonts w:hint="eastAsia" w:cs="仿宋" w:asciiTheme="majorEastAsia" w:hAnsiTheme="majorEastAsia" w:eastAsiaTheme="majorEastAsia"/>
                <w:kern w:val="2"/>
                <w:sz w:val="21"/>
                <w:szCs w:val="21"/>
                <w:highlight w:val="none"/>
              </w:rPr>
            </w:pPr>
            <w:r>
              <w:rPr>
                <w:rFonts w:hint="eastAsia" w:cs="仿宋" w:asciiTheme="majorEastAsia" w:hAnsiTheme="majorEastAsia" w:eastAsiaTheme="majorEastAsia"/>
                <w:kern w:val="2"/>
                <w:sz w:val="21"/>
                <w:szCs w:val="21"/>
                <w:highlight w:val="none"/>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332F80">
            <w:pPr>
              <w:pStyle w:val="8"/>
              <w:spacing w:line="360" w:lineRule="auto"/>
              <w:rPr>
                <w:rFonts w:hint="eastAsia" w:cs="仿宋" w:asciiTheme="majorEastAsia" w:hAnsiTheme="majorEastAsia" w:eastAsiaTheme="majorEastAsia"/>
                <w:kern w:val="2"/>
                <w:sz w:val="21"/>
                <w:szCs w:val="21"/>
                <w:highlight w:val="none"/>
              </w:rPr>
            </w:pPr>
            <w:r>
              <w:rPr>
                <w:rFonts w:hint="eastAsia"/>
                <w:sz w:val="21"/>
                <w:highlight w:val="none"/>
              </w:rPr>
              <w:t>符合国家质量标准、部颁标准、行业标准，且满足采购人要求。</w:t>
            </w:r>
          </w:p>
        </w:tc>
      </w:tr>
      <w:tr w14:paraId="4C5C9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DD64DC1">
            <w:pPr>
              <w:pStyle w:val="8"/>
              <w:spacing w:line="360" w:lineRule="auto"/>
              <w:jc w:val="center"/>
              <w:rPr>
                <w:rFonts w:asciiTheme="majorEastAsia" w:hAnsiTheme="majorEastAsia" w:eastAsiaTheme="majorEastAsia"/>
                <w:sz w:val="21"/>
                <w:szCs w:val="21"/>
                <w:highlight w:val="none"/>
              </w:rPr>
            </w:pPr>
            <w:r>
              <w:rPr>
                <w:rFonts w:hint="eastAsia" w:cs="仿宋" w:asciiTheme="majorEastAsia" w:hAnsiTheme="majorEastAsia" w:eastAsiaTheme="majorEastAsia"/>
                <w:kern w:val="2"/>
                <w:sz w:val="21"/>
                <w:szCs w:val="21"/>
                <w:highlight w:val="none"/>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1798B4D8">
            <w:pPr>
              <w:pStyle w:val="8"/>
              <w:spacing w:beforeAutospacing="0" w:afterAutospacing="0" w:line="360" w:lineRule="auto"/>
              <w:rPr>
                <w:rFonts w:cs="仿宋" w:asciiTheme="majorEastAsia" w:hAnsiTheme="majorEastAsia" w:eastAsiaTheme="majorEastAsia"/>
                <w:kern w:val="2"/>
                <w:sz w:val="21"/>
                <w:szCs w:val="21"/>
                <w:highlight w:val="none"/>
              </w:rPr>
            </w:pPr>
            <w:r>
              <w:rPr>
                <w:rFonts w:hint="eastAsia" w:cs="仿宋" w:asciiTheme="majorEastAsia" w:hAnsiTheme="majorEastAsia" w:eastAsiaTheme="majorEastAsia"/>
                <w:kern w:val="2"/>
                <w:sz w:val="21"/>
                <w:szCs w:val="21"/>
                <w:highlight w:val="none"/>
              </w:rPr>
              <w:t>质保期内应当为采购人提供以下技术支持和服务：</w:t>
            </w:r>
          </w:p>
          <w:p w14:paraId="170793D5">
            <w:pPr>
              <w:pStyle w:val="8"/>
              <w:numPr>
                <w:ilvl w:val="0"/>
                <w:numId w:val="4"/>
              </w:numPr>
              <w:spacing w:beforeAutospacing="0" w:afterAutospacing="0" w:line="360" w:lineRule="auto"/>
              <w:rPr>
                <w:rFonts w:asciiTheme="majorEastAsia" w:hAnsiTheme="majorEastAsia" w:eastAsiaTheme="majorEastAsia"/>
                <w:kern w:val="2"/>
                <w:sz w:val="21"/>
                <w:szCs w:val="21"/>
                <w:highlight w:val="none"/>
              </w:rPr>
            </w:pPr>
            <w:r>
              <w:rPr>
                <w:rFonts w:hint="eastAsia" w:cs="仿宋" w:asciiTheme="majorEastAsia" w:hAnsiTheme="majorEastAsia" w:eastAsiaTheme="majorEastAsia"/>
                <w:kern w:val="2"/>
                <w:sz w:val="21"/>
                <w:szCs w:val="21"/>
                <w:highlight w:val="none"/>
              </w:rPr>
              <w:t>现场响应：供应商应保证在12小时内对用户提出的问题或故障予以响应及处理。可提供备用设备或核心部件应急使用。b、成交供应商应当应每季度对该设备进行保养不少于一次,并出具保养报告，具体保养内容见合同。c、质保期内该设备应保证大于95%（含）的开机率，如达不到要求，每少于一天质保期顺延7天，如造成严重损失需赔偿用户经济损失或换货或退货。d、技术升级，如果制造商的产品技术升级，成交供应商应及时通知采购人，如采购人有相应要求，成交供应商和制造商应对采购人购买的产品进行免费升级服务。e、供应商交付设备时，应按照《国家食品药品监督管理总局》第18号令第17条的要求提供相应的维护手册、维修手册、软件备份、故障代码表、备件清单、零部件、维修密码等维护维修必需的材料和信息。f、除火灾、洪水、地震等天灾外，在保修期内，由于货物故障所产生的所有费用均由供应商负责。</w:t>
            </w:r>
            <w:r>
              <w:rPr>
                <w:rFonts w:hint="eastAsia" w:cs="仿宋" w:asciiTheme="majorEastAsia" w:hAnsiTheme="majorEastAsia" w:eastAsiaTheme="majorEastAsia"/>
                <w:kern w:val="2"/>
                <w:sz w:val="21"/>
                <w:szCs w:val="21"/>
                <w:highlight w:val="none"/>
                <w:lang w:val="en-US" w:eastAsia="zh-CN"/>
              </w:rPr>
              <w:t>g、</w:t>
            </w:r>
            <w:r>
              <w:rPr>
                <w:rFonts w:hint="eastAsia" w:cs="仿宋" w:asciiTheme="majorEastAsia" w:hAnsiTheme="majorEastAsia" w:eastAsiaTheme="majorEastAsia"/>
                <w:kern w:val="2"/>
                <w:sz w:val="21"/>
                <w:szCs w:val="21"/>
                <w:highlight w:val="none"/>
              </w:rPr>
              <w:t xml:space="preserve">所有设备按照医院实际要求免费开放端口，免费为医院对接院内信息系统。质保期内免费进行软件升级。               </w:t>
            </w:r>
          </w:p>
        </w:tc>
      </w:tr>
      <w:tr w14:paraId="732E2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06A22DA">
            <w:pPr>
              <w:pStyle w:val="8"/>
              <w:spacing w:line="360" w:lineRule="auto"/>
              <w:jc w:val="center"/>
              <w:rPr>
                <w:rFonts w:asciiTheme="majorEastAsia" w:hAnsiTheme="majorEastAsia" w:eastAsiaTheme="majorEastAsia"/>
                <w:sz w:val="21"/>
                <w:szCs w:val="21"/>
                <w:highlight w:val="none"/>
              </w:rPr>
            </w:pPr>
            <w:r>
              <w:rPr>
                <w:rFonts w:hint="eastAsia" w:cs="仿宋" w:asciiTheme="majorEastAsia" w:hAnsiTheme="majorEastAsia" w:eastAsiaTheme="majorEastAsia"/>
                <w:kern w:val="2"/>
                <w:sz w:val="21"/>
                <w:szCs w:val="21"/>
                <w:highlight w:val="none"/>
              </w:rPr>
              <w:t>培训</w:t>
            </w:r>
          </w:p>
        </w:tc>
        <w:tc>
          <w:tcPr>
            <w:tcW w:w="7354" w:type="dxa"/>
            <w:tcBorders>
              <w:top w:val="single" w:color="auto" w:sz="4" w:space="0"/>
              <w:left w:val="single" w:color="auto" w:sz="4" w:space="0"/>
              <w:bottom w:val="single" w:color="auto" w:sz="4" w:space="0"/>
              <w:right w:val="single" w:color="auto" w:sz="4" w:space="0"/>
            </w:tcBorders>
            <w:noWrap/>
            <w:vAlign w:val="center"/>
          </w:tcPr>
          <w:p w14:paraId="550B7EB3">
            <w:pPr>
              <w:pStyle w:val="8"/>
              <w:spacing w:line="360" w:lineRule="auto"/>
              <w:rPr>
                <w:rFonts w:hint="eastAsia" w:asciiTheme="majorEastAsia" w:hAnsiTheme="majorEastAsia" w:eastAsiaTheme="majorEastAsia"/>
                <w:sz w:val="21"/>
                <w:szCs w:val="21"/>
                <w:highlight w:val="none"/>
                <w:lang w:val="en-US" w:eastAsia="zh-CN"/>
              </w:rPr>
            </w:pPr>
            <w:r>
              <w:rPr>
                <w:rFonts w:hint="eastAsia" w:cs="仿宋" w:asciiTheme="majorEastAsia" w:hAnsiTheme="majorEastAsia" w:eastAsiaTheme="majorEastAsia"/>
                <w:kern w:val="2"/>
                <w:sz w:val="21"/>
                <w:szCs w:val="21"/>
                <w:highlight w:val="none"/>
              </w:rPr>
              <w:t>免费提供操作培训和维修培训。</w:t>
            </w:r>
          </w:p>
        </w:tc>
      </w:tr>
      <w:tr w14:paraId="26EE9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C3844B6">
            <w:pPr>
              <w:pStyle w:val="8"/>
              <w:spacing w:line="360" w:lineRule="auto"/>
              <w:jc w:val="center"/>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其他要求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52CF49B5">
            <w:pPr>
              <w:widowControl/>
              <w:snapToGrid w:val="0"/>
              <w:spacing w:line="360" w:lineRule="auto"/>
              <w:rPr>
                <w:rFonts w:cs="仿宋" w:asciiTheme="majorEastAsia" w:hAnsiTheme="majorEastAsia" w:eastAsiaTheme="majorEastAsia"/>
                <w:szCs w:val="21"/>
                <w:highlight w:val="none"/>
              </w:rPr>
            </w:pPr>
            <w:r>
              <w:rPr>
                <w:rFonts w:hint="eastAsia" w:ascii="宋体" w:hAnsi="宋体" w:cs="宋体"/>
                <w:highlight w:val="none"/>
              </w:rPr>
              <w:t xml:space="preserve">要求设备为最新出厂设备，出厂日期不得早于招标日期6个月。 </w:t>
            </w:r>
          </w:p>
        </w:tc>
      </w:tr>
    </w:tbl>
    <w:p w14:paraId="7BDA319F">
      <w:pPr>
        <w:pStyle w:val="24"/>
        <w:rPr>
          <w:rFonts w:ascii="宋体" w:hAnsi="宋体" w:cs="宋体"/>
          <w:highlight w:val="none"/>
        </w:rPr>
      </w:pPr>
    </w:p>
    <w:p w14:paraId="0B17B6DF">
      <w:pPr>
        <w:pStyle w:val="24"/>
        <w:rPr>
          <w:rFonts w:ascii="宋体" w:hAnsi="宋体" w:cs="宋体"/>
          <w:highlight w:val="none"/>
        </w:rPr>
      </w:pPr>
    </w:p>
    <w:p w14:paraId="41E4B1A5">
      <w:pPr>
        <w:pStyle w:val="24"/>
        <w:rPr>
          <w:rFonts w:ascii="宋体" w:hAnsi="宋体" w:cs="宋体"/>
          <w:highlight w:val="none"/>
        </w:rPr>
      </w:pPr>
    </w:p>
    <w:p w14:paraId="5F34C5BF">
      <w:pPr>
        <w:pStyle w:val="24"/>
        <w:rPr>
          <w:rFonts w:ascii="宋体" w:hAnsi="宋体" w:cs="宋体"/>
          <w:highlight w:val="none"/>
        </w:rPr>
      </w:pPr>
    </w:p>
    <w:p w14:paraId="070FC9AB">
      <w:pPr>
        <w:pStyle w:val="24"/>
        <w:rPr>
          <w:rFonts w:ascii="宋体" w:hAnsi="宋体" w:cs="宋体"/>
          <w:highlight w:val="none"/>
        </w:rPr>
      </w:pPr>
    </w:p>
    <w:p w14:paraId="4186DC90">
      <w:pPr>
        <w:pStyle w:val="24"/>
        <w:rPr>
          <w:rFonts w:ascii="宋体" w:hAnsi="宋体" w:cs="宋体"/>
          <w:highlight w:val="none"/>
        </w:rPr>
      </w:pPr>
    </w:p>
    <w:p w14:paraId="0890CB0E">
      <w:pPr>
        <w:pStyle w:val="24"/>
        <w:rPr>
          <w:rFonts w:ascii="宋体" w:hAnsi="宋体" w:cs="宋体"/>
          <w:highlight w:val="none"/>
        </w:rPr>
      </w:pPr>
    </w:p>
    <w:p w14:paraId="47075DC1">
      <w:pPr>
        <w:pStyle w:val="24"/>
        <w:rPr>
          <w:rFonts w:ascii="宋体" w:hAnsi="宋体" w:cs="宋体"/>
          <w:highlight w:val="none"/>
        </w:rPr>
      </w:pPr>
    </w:p>
    <w:p w14:paraId="53EB79C2">
      <w:pPr>
        <w:pStyle w:val="24"/>
        <w:rPr>
          <w:rFonts w:ascii="宋体" w:hAnsi="宋体" w:cs="宋体"/>
          <w:highlight w:val="none"/>
        </w:rPr>
      </w:pPr>
    </w:p>
    <w:p w14:paraId="2455B256">
      <w:pPr>
        <w:pStyle w:val="24"/>
        <w:rPr>
          <w:rFonts w:ascii="宋体" w:hAnsi="宋体" w:cs="宋体"/>
          <w:highlight w:val="none"/>
        </w:rPr>
      </w:pPr>
    </w:p>
    <w:p w14:paraId="38B9F628">
      <w:pPr>
        <w:snapToGrid w:val="0"/>
        <w:spacing w:beforeLines="50" w:line="360" w:lineRule="auto"/>
        <w:jc w:val="center"/>
        <w:rPr>
          <w:rFonts w:ascii="宋体" w:hAnsi="宋体" w:cs="宋体"/>
          <w:b/>
          <w:bCs/>
          <w:sz w:val="30"/>
          <w:szCs w:val="30"/>
          <w:highlight w:val="none"/>
        </w:rPr>
      </w:pPr>
      <w:r>
        <w:rPr>
          <w:rFonts w:hint="eastAsia" w:ascii="宋体" w:hAnsi="宋体" w:cs="宋体"/>
          <w:b/>
          <w:bCs/>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21255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8BADDF">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0C46E3DD">
            <w:pPr>
              <w:widowControl/>
              <w:numPr>
                <w:ilvl w:val="0"/>
                <w:numId w:val="5"/>
              </w:numPr>
              <w:snapToGrid w:val="0"/>
              <w:spacing w:line="360" w:lineRule="auto"/>
              <w:rPr>
                <w:rFonts w:ascii="宋体" w:hAnsi="宋体" w:cs="宋体"/>
                <w:highlight w:val="none"/>
              </w:rPr>
            </w:pPr>
            <w:r>
              <w:rPr>
                <w:rFonts w:hint="eastAsia" w:ascii="宋体" w:hAnsi="宋体" w:cs="宋体"/>
                <w:highlight w:val="none"/>
              </w:rPr>
              <w:t>不接受联合体投标，不允许转包和分包。</w:t>
            </w:r>
          </w:p>
          <w:p w14:paraId="78613996">
            <w:pPr>
              <w:widowControl/>
              <w:snapToGrid w:val="0"/>
              <w:spacing w:line="360" w:lineRule="auto"/>
              <w:rPr>
                <w:rFonts w:ascii="宋体" w:hAnsi="宋体" w:cs="宋体"/>
                <w:highlight w:val="none"/>
              </w:rPr>
            </w:pPr>
            <w:r>
              <w:rPr>
                <w:rFonts w:hint="eastAsia" w:ascii="宋体" w:hAnsi="宋体" w:cs="宋体"/>
                <w:highlight w:val="none"/>
              </w:rPr>
              <w:t>2、授权磋商小组确定一名成交供应商并推荐一名成交候选供应商。</w:t>
            </w:r>
          </w:p>
          <w:p w14:paraId="4ED43D31">
            <w:pPr>
              <w:widowControl/>
              <w:snapToGrid w:val="0"/>
              <w:spacing w:line="360" w:lineRule="auto"/>
              <w:rPr>
                <w:rFonts w:ascii="宋体" w:hAnsi="宋体" w:cs="宋体"/>
                <w:highlight w:val="none"/>
              </w:rPr>
            </w:pPr>
            <w:r>
              <w:rPr>
                <w:rFonts w:hint="eastAsia" w:ascii="宋体" w:hAnsi="宋体" w:cs="宋体"/>
                <w:highlight w:val="none"/>
              </w:rPr>
              <w:t>3、供应商应根据采购文件的要求提供技术响应部分、商务响应部分等内容以对采购文件作出响应。</w:t>
            </w:r>
          </w:p>
          <w:p w14:paraId="65CB1250">
            <w:pPr>
              <w:widowControl/>
              <w:snapToGrid w:val="0"/>
              <w:spacing w:line="360" w:lineRule="auto"/>
              <w:rPr>
                <w:rFonts w:ascii="宋体" w:hAnsi="宋体" w:cs="宋体"/>
                <w:highlight w:val="none"/>
              </w:rPr>
            </w:pPr>
            <w:r>
              <w:rPr>
                <w:rFonts w:hint="eastAsia" w:ascii="宋体" w:hAnsi="宋体" w:cs="宋体"/>
                <w:highlight w:val="none"/>
              </w:rPr>
              <w:t>4、</w:t>
            </w:r>
            <w:r>
              <w:rPr>
                <w:rFonts w:hint="eastAsia"/>
                <w:highlight w:val="none"/>
              </w:rPr>
              <w:t>采购人使用中标人中标的货物、技术、资料、服务或其他任何一部分时，享有无偿使用权。免受第三方提出的侵犯其专利权、著作权、商标权或其它知识产权的起诉。如果第三方提出侵权指控，供应商应承担由此而引起的一切法律责任和费用。</w:t>
            </w:r>
          </w:p>
        </w:tc>
      </w:tr>
    </w:tbl>
    <w:p w14:paraId="6F0530B9">
      <w:pPr>
        <w:rPr>
          <w:rFonts w:ascii="宋体" w:hAnsi="宋体" w:cs="宋体"/>
          <w:highlight w:val="none"/>
        </w:rPr>
      </w:pPr>
    </w:p>
    <w:p w14:paraId="3BAB7741">
      <w:pPr>
        <w:rPr>
          <w:rFonts w:ascii="宋体" w:hAnsi="宋体" w:cs="宋体"/>
          <w:b/>
          <w:bCs/>
          <w:sz w:val="32"/>
          <w:szCs w:val="32"/>
          <w:highlight w:val="none"/>
        </w:rPr>
      </w:pPr>
      <w:r>
        <w:rPr>
          <w:rFonts w:hint="eastAsia" w:ascii="宋体" w:hAnsi="宋体" w:cs="宋体"/>
          <w:b/>
          <w:bCs/>
          <w:sz w:val="32"/>
          <w:szCs w:val="32"/>
          <w:highlight w:val="none"/>
        </w:rPr>
        <w:br w:type="page"/>
      </w:r>
    </w:p>
    <w:p w14:paraId="0C5A2910">
      <w:pPr>
        <w:jc w:val="center"/>
        <w:outlineLvl w:val="0"/>
        <w:rPr>
          <w:rFonts w:ascii="宋体" w:hAnsi="宋体" w:cs="宋体"/>
          <w:b/>
          <w:bCs/>
          <w:sz w:val="32"/>
          <w:szCs w:val="32"/>
          <w:highlight w:val="none"/>
        </w:rPr>
      </w:pPr>
      <w:bookmarkStart w:id="35" w:name="_Toc8501"/>
      <w:r>
        <w:rPr>
          <w:rFonts w:hint="eastAsia" w:ascii="宋体" w:hAnsi="宋体" w:cs="宋体"/>
          <w:b/>
          <w:bCs/>
          <w:sz w:val="32"/>
          <w:szCs w:val="32"/>
          <w:highlight w:val="none"/>
        </w:rPr>
        <w:t>第三章  供应商须知</w:t>
      </w:r>
      <w:bookmarkEnd w:id="35"/>
    </w:p>
    <w:p w14:paraId="09590DB8">
      <w:pPr>
        <w:snapToGrid w:val="0"/>
        <w:spacing w:beforeLines="50" w:line="360" w:lineRule="auto"/>
        <w:jc w:val="center"/>
        <w:outlineLvl w:val="1"/>
        <w:rPr>
          <w:rFonts w:ascii="宋体" w:hAnsi="宋体" w:cs="宋体"/>
          <w:sz w:val="28"/>
          <w:szCs w:val="28"/>
          <w:highlight w:val="none"/>
        </w:rPr>
      </w:pPr>
      <w:r>
        <w:rPr>
          <w:rFonts w:hint="eastAsia" w:ascii="宋体" w:hAnsi="宋体" w:cs="宋体"/>
          <w:sz w:val="28"/>
          <w:szCs w:val="28"/>
          <w:highlight w:val="none"/>
        </w:rPr>
        <w:t>供应商须知前附表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04796136">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9197877">
            <w:pPr>
              <w:widowControl/>
              <w:jc w:val="center"/>
              <w:rPr>
                <w:rFonts w:ascii="宋体" w:hAnsi="宋体" w:cs="宋体"/>
                <w:kern w:val="0"/>
                <w:szCs w:val="21"/>
                <w:highlight w:val="none"/>
              </w:rPr>
            </w:pPr>
            <w:r>
              <w:rPr>
                <w:rFonts w:hint="eastAsia" w:ascii="宋体" w:hAnsi="宋体" w:cs="宋体"/>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E3B2335">
            <w:pPr>
              <w:widowControl/>
              <w:jc w:val="center"/>
              <w:rPr>
                <w:rFonts w:ascii="宋体" w:hAnsi="宋体" w:cs="宋体"/>
                <w:kern w:val="0"/>
                <w:szCs w:val="21"/>
                <w:highlight w:val="none"/>
              </w:rPr>
            </w:pPr>
            <w:r>
              <w:rPr>
                <w:rFonts w:hint="eastAsia" w:ascii="宋体" w:hAnsi="宋体" w:cs="宋体"/>
                <w:kern w:val="0"/>
                <w:szCs w:val="21"/>
                <w:highlight w:val="none"/>
              </w:rPr>
              <w:t>内容、要求</w:t>
            </w:r>
          </w:p>
        </w:tc>
      </w:tr>
      <w:tr w14:paraId="38E493CA">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813811C">
            <w:pPr>
              <w:widowControl/>
              <w:spacing w:line="460" w:lineRule="atLeast"/>
              <w:jc w:val="center"/>
              <w:rPr>
                <w:rFonts w:ascii="宋体" w:hAnsi="宋体" w:cs="宋体"/>
                <w:kern w:val="0"/>
                <w:szCs w:val="21"/>
                <w:highlight w:val="none"/>
              </w:rPr>
            </w:pPr>
            <w:r>
              <w:rPr>
                <w:rFonts w:hint="eastAsia" w:ascii="宋体" w:hAnsi="宋体" w:cs="宋体"/>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51BF61E">
            <w:pPr>
              <w:widowControl/>
              <w:snapToGrid w:val="0"/>
              <w:spacing w:line="440" w:lineRule="exact"/>
              <w:jc w:val="left"/>
              <w:outlineLvl w:val="0"/>
              <w:rPr>
                <w:rFonts w:ascii="宋体" w:hAnsi="宋体" w:cs="宋体"/>
                <w:highlight w:val="none"/>
              </w:rPr>
            </w:pPr>
            <w:bookmarkStart w:id="36" w:name="_Toc9566"/>
            <w:bookmarkStart w:id="37" w:name="_Toc30169"/>
            <w:bookmarkStart w:id="38" w:name="_Toc27817"/>
            <w:r>
              <w:rPr>
                <w:rFonts w:hint="eastAsia" w:ascii="宋体" w:hAnsi="宋体" w:cs="宋体"/>
                <w:highlight w:val="none"/>
              </w:rPr>
              <w:t>1.1项目名称：</w:t>
            </w:r>
            <w:bookmarkEnd w:id="36"/>
            <w:bookmarkEnd w:id="37"/>
            <w:bookmarkEnd w:id="38"/>
            <w:r>
              <w:rPr>
                <w:rFonts w:hint="eastAsia" w:ascii="宋体" w:hAnsi="宋体" w:cs="宋体"/>
                <w:highlight w:val="none"/>
              </w:rPr>
              <w:t>驻马店市中心医院</w:t>
            </w:r>
            <w:r>
              <w:rPr>
                <w:rFonts w:hint="eastAsia" w:ascii="宋体" w:hAnsi="宋体" w:cs="宋体"/>
                <w:szCs w:val="21"/>
                <w:highlight w:val="none"/>
                <w:shd w:val="clear" w:color="auto" w:fill="FFFFFF"/>
              </w:rPr>
              <w:t>前庭诱发肌源性诱发电位仪采购项目</w:t>
            </w:r>
          </w:p>
          <w:p w14:paraId="3732EB9B">
            <w:pPr>
              <w:widowControl/>
              <w:snapToGrid w:val="0"/>
              <w:spacing w:line="440" w:lineRule="exact"/>
              <w:jc w:val="left"/>
              <w:outlineLvl w:val="0"/>
              <w:rPr>
                <w:rFonts w:ascii="宋体" w:hAnsi="宋体" w:cs="宋体"/>
                <w:highlight w:val="none"/>
              </w:rPr>
            </w:pPr>
            <w:bookmarkStart w:id="39" w:name="_Toc28320"/>
            <w:bookmarkStart w:id="40" w:name="_Toc23424"/>
            <w:bookmarkStart w:id="41" w:name="_Toc29400"/>
            <w:r>
              <w:rPr>
                <w:rFonts w:hint="eastAsia" w:ascii="宋体" w:hAnsi="宋体" w:cs="宋体"/>
                <w:highlight w:val="none"/>
              </w:rPr>
              <w:t>1.2采购人名称：</w:t>
            </w:r>
            <w:bookmarkEnd w:id="39"/>
            <w:bookmarkEnd w:id="40"/>
            <w:bookmarkEnd w:id="41"/>
            <w:r>
              <w:rPr>
                <w:rFonts w:hint="eastAsia" w:ascii="宋体" w:hAnsi="宋体" w:cs="宋体"/>
                <w:highlight w:val="none"/>
              </w:rPr>
              <w:t>驻马店市中心医院</w:t>
            </w:r>
          </w:p>
          <w:p w14:paraId="3B005F64">
            <w:pPr>
              <w:widowControl/>
              <w:snapToGrid w:val="0"/>
              <w:spacing w:line="440" w:lineRule="exact"/>
              <w:jc w:val="left"/>
              <w:outlineLvl w:val="0"/>
              <w:rPr>
                <w:rFonts w:ascii="宋体" w:hAnsi="宋体" w:cs="宋体"/>
                <w:highlight w:val="none"/>
              </w:rPr>
            </w:pPr>
            <w:bookmarkStart w:id="42" w:name="_Toc3148"/>
            <w:bookmarkStart w:id="43" w:name="_Toc26199"/>
            <w:bookmarkStart w:id="44" w:name="_Toc24541"/>
            <w:r>
              <w:rPr>
                <w:rFonts w:hint="eastAsia" w:ascii="宋体" w:hAnsi="宋体" w:cs="宋体"/>
                <w:highlight w:val="none"/>
              </w:rPr>
              <w:t>1.3采购范围：详见第二章采购需求</w:t>
            </w:r>
            <w:bookmarkEnd w:id="42"/>
            <w:bookmarkEnd w:id="43"/>
            <w:bookmarkEnd w:id="44"/>
          </w:p>
        </w:tc>
      </w:tr>
      <w:tr w14:paraId="0CD0BF5A">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27C3EF7">
            <w:pPr>
              <w:widowControl/>
              <w:spacing w:line="460" w:lineRule="atLeast"/>
              <w:jc w:val="center"/>
              <w:rPr>
                <w:rFonts w:ascii="宋体" w:hAnsi="宋体" w:cs="宋体"/>
                <w:kern w:val="0"/>
                <w:szCs w:val="21"/>
                <w:highlight w:val="none"/>
              </w:rPr>
            </w:pPr>
            <w:r>
              <w:rPr>
                <w:rFonts w:hint="eastAsia" w:ascii="宋体" w:hAnsi="宋体" w:cs="宋体"/>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B6FA5DB">
            <w:pPr>
              <w:widowControl/>
              <w:spacing w:line="440" w:lineRule="exact"/>
              <w:rPr>
                <w:rFonts w:ascii="宋体" w:hAnsi="宋体" w:cs="宋体"/>
                <w:kern w:val="0"/>
                <w:szCs w:val="21"/>
                <w:highlight w:val="none"/>
              </w:rPr>
            </w:pPr>
            <w:r>
              <w:rPr>
                <w:rFonts w:hint="eastAsia" w:ascii="宋体" w:hAnsi="宋体" w:cs="宋体"/>
                <w:kern w:val="0"/>
                <w:szCs w:val="21"/>
                <w:highlight w:val="none"/>
              </w:rPr>
              <w:t>合格供应商：具备采购公告第二项规定的条件。</w:t>
            </w:r>
          </w:p>
        </w:tc>
      </w:tr>
      <w:tr w14:paraId="1153A16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07EF027">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D3DA2F3">
            <w:pPr>
              <w:widowControl/>
              <w:snapToGrid w:val="0"/>
              <w:spacing w:line="440" w:lineRule="exact"/>
              <w:jc w:val="left"/>
              <w:rPr>
                <w:rFonts w:ascii="宋体" w:hAnsi="宋体" w:cs="宋体"/>
                <w:kern w:val="0"/>
                <w:szCs w:val="21"/>
                <w:highlight w:val="none"/>
              </w:rPr>
            </w:pPr>
            <w:r>
              <w:rPr>
                <w:rFonts w:hint="eastAsia" w:ascii="宋体" w:hAnsi="宋体" w:cs="宋体"/>
                <w:kern w:val="0"/>
                <w:szCs w:val="21"/>
                <w:highlight w:val="none"/>
              </w:rPr>
              <w:t>采购预算：285000元；最高投标限价:285000元。</w:t>
            </w:r>
          </w:p>
          <w:p w14:paraId="2940653B">
            <w:pPr>
              <w:widowControl/>
              <w:snapToGrid w:val="0"/>
              <w:spacing w:line="440" w:lineRule="exact"/>
              <w:jc w:val="left"/>
              <w:rPr>
                <w:rFonts w:ascii="宋体" w:hAnsi="宋体" w:cs="宋体"/>
                <w:kern w:val="0"/>
                <w:szCs w:val="21"/>
                <w:highlight w:val="none"/>
              </w:rPr>
            </w:pPr>
            <w:r>
              <w:rPr>
                <w:rFonts w:hint="eastAsia" w:ascii="宋体" w:hAnsi="宋体" w:cs="宋体"/>
                <w:kern w:val="0"/>
                <w:szCs w:val="21"/>
                <w:highlight w:val="none"/>
              </w:rPr>
              <w:t>3.1 本项目磋商</w:t>
            </w:r>
            <w:r>
              <w:rPr>
                <w:rFonts w:hint="eastAsia" w:ascii="宋体" w:hAnsi="宋体" w:cs="宋体"/>
                <w:color w:val="000000" w:themeColor="text1"/>
                <w:kern w:val="0"/>
                <w:szCs w:val="21"/>
                <w:highlight w:val="none"/>
                <w14:textFill>
                  <w14:solidFill>
                    <w14:schemeClr w14:val="tx1"/>
                  </w14:solidFill>
                </w14:textFill>
              </w:rPr>
              <w:t>以人民币报价</w:t>
            </w:r>
            <w:r>
              <w:rPr>
                <w:rFonts w:hint="eastAsia" w:ascii="宋体" w:hAnsi="宋体" w:cs="宋体"/>
                <w:kern w:val="0"/>
                <w:szCs w:val="21"/>
                <w:highlight w:val="none"/>
              </w:rPr>
              <w:t>。</w:t>
            </w:r>
          </w:p>
          <w:p w14:paraId="6CADF1DA">
            <w:pPr>
              <w:widowControl/>
              <w:snapToGrid w:val="0"/>
              <w:spacing w:line="440" w:lineRule="exact"/>
              <w:jc w:val="left"/>
              <w:rPr>
                <w:rFonts w:ascii="宋体" w:hAnsi="宋体" w:cs="宋体"/>
                <w:kern w:val="0"/>
                <w:szCs w:val="21"/>
                <w:highlight w:val="none"/>
              </w:rPr>
            </w:pPr>
            <w:r>
              <w:rPr>
                <w:rFonts w:hint="eastAsia" w:ascii="宋体" w:hAnsi="宋体" w:cs="宋体"/>
                <w:kern w:val="0"/>
                <w:szCs w:val="21"/>
                <w:highlight w:val="none"/>
              </w:rPr>
              <w:t>3.2 供应商的报价超过采购预算，采购人不能支付的，按废标处理。</w:t>
            </w:r>
          </w:p>
          <w:p w14:paraId="64C7E43D">
            <w:pPr>
              <w:widowControl/>
              <w:snapToGrid w:val="0"/>
              <w:spacing w:line="440" w:lineRule="exact"/>
              <w:jc w:val="left"/>
              <w:rPr>
                <w:rFonts w:ascii="宋体" w:hAnsi="宋体" w:cs="宋体"/>
                <w:kern w:val="0"/>
                <w:szCs w:val="21"/>
                <w:highlight w:val="none"/>
              </w:rPr>
            </w:pPr>
            <w:r>
              <w:rPr>
                <w:rFonts w:hint="eastAsia" w:ascii="宋体" w:hAnsi="宋体" w:cs="宋体"/>
                <w:kern w:val="0"/>
                <w:szCs w:val="21"/>
                <w:highlight w:val="none"/>
              </w:rPr>
              <w:t>3.3 本项目由成交供应商缴纳招标代理服务费。</w:t>
            </w:r>
          </w:p>
        </w:tc>
      </w:tr>
      <w:tr w14:paraId="245C8C1A">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24D8392">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C42EC09">
            <w:pPr>
              <w:widowControl/>
              <w:spacing w:line="440" w:lineRule="exact"/>
              <w:jc w:val="left"/>
              <w:rPr>
                <w:rFonts w:ascii="宋体" w:hAnsi="宋体" w:cs="宋体"/>
                <w:kern w:val="0"/>
                <w:szCs w:val="21"/>
                <w:highlight w:val="none"/>
              </w:rPr>
            </w:pPr>
            <w:r>
              <w:rPr>
                <w:rFonts w:hint="eastAsia" w:ascii="宋体" w:hAnsi="宋体" w:cs="宋体"/>
                <w:kern w:val="0"/>
                <w:szCs w:val="21"/>
                <w:highlight w:val="none"/>
              </w:rPr>
              <w:t>现场踏勘或标前答疑：本项目不组织现场踏勘或标前答疑会。</w:t>
            </w:r>
          </w:p>
        </w:tc>
      </w:tr>
      <w:tr w14:paraId="6D7FDA7E">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40888D3">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00E53B7">
            <w:pPr>
              <w:widowControl/>
              <w:snapToGrid w:val="0"/>
              <w:spacing w:line="440" w:lineRule="exact"/>
              <w:jc w:val="left"/>
              <w:rPr>
                <w:rFonts w:ascii="宋体" w:hAnsi="宋体" w:cs="宋体"/>
                <w:highlight w:val="none"/>
              </w:rPr>
            </w:pPr>
            <w:r>
              <w:rPr>
                <w:rFonts w:hint="eastAsia" w:ascii="宋体" w:hAnsi="宋体" w:cs="宋体"/>
                <w:highlight w:val="none"/>
              </w:rPr>
              <w:t>响应文件组成：纸质响应文件正本1份、副本2份。</w:t>
            </w:r>
          </w:p>
        </w:tc>
      </w:tr>
      <w:tr w14:paraId="0C749F8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1F54B51">
            <w:pPr>
              <w:widowControl/>
              <w:snapToGrid w:val="0"/>
              <w:jc w:val="center"/>
              <w:rPr>
                <w:rFonts w:ascii="宋体" w:hAnsi="宋体" w:cs="宋体"/>
                <w:kern w:val="0"/>
                <w:szCs w:val="21"/>
                <w:highlight w:val="none"/>
              </w:rPr>
            </w:pPr>
            <w:r>
              <w:rPr>
                <w:rFonts w:hint="eastAsia" w:ascii="宋体" w:hAnsi="宋体" w:cs="宋体"/>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3B2D7A3">
            <w:pPr>
              <w:widowControl/>
              <w:snapToGrid w:val="0"/>
              <w:spacing w:line="440" w:lineRule="exact"/>
              <w:jc w:val="left"/>
              <w:rPr>
                <w:rFonts w:ascii="宋体" w:hAnsi="宋体" w:cs="宋体"/>
                <w:kern w:val="0"/>
                <w:szCs w:val="21"/>
                <w:highlight w:val="none"/>
              </w:rPr>
            </w:pPr>
            <w:r>
              <w:rPr>
                <w:rFonts w:hint="eastAsia" w:ascii="宋体" w:hAnsi="宋体" w:cs="宋体"/>
                <w:kern w:val="0"/>
                <w:szCs w:val="21"/>
                <w:highlight w:val="none"/>
              </w:rPr>
              <w:t>磋商截止时间及开标时间：</w:t>
            </w:r>
            <w:r>
              <w:rPr>
                <w:rFonts w:hint="eastAsia" w:ascii="宋体" w:hAnsi="宋体" w:cs="宋体"/>
                <w:szCs w:val="21"/>
                <w:highlight w:val="none"/>
              </w:rPr>
              <w:t>另行通知</w:t>
            </w:r>
          </w:p>
          <w:p w14:paraId="749FE70E">
            <w:pPr>
              <w:widowControl/>
              <w:snapToGrid w:val="0"/>
              <w:spacing w:line="440" w:lineRule="exact"/>
              <w:jc w:val="left"/>
              <w:rPr>
                <w:rFonts w:ascii="宋体" w:hAnsi="宋体" w:cs="宋体"/>
                <w:kern w:val="0"/>
                <w:szCs w:val="21"/>
                <w:highlight w:val="none"/>
              </w:rPr>
            </w:pPr>
            <w:r>
              <w:rPr>
                <w:rFonts w:hint="eastAsia" w:ascii="宋体" w:hAnsi="宋体" w:cs="宋体"/>
                <w:kern w:val="0"/>
                <w:szCs w:val="21"/>
                <w:highlight w:val="none"/>
              </w:rPr>
              <w:t>响应文件递交地点及开标地点：</w:t>
            </w:r>
            <w:r>
              <w:rPr>
                <w:rFonts w:hint="eastAsia" w:ascii="宋体" w:hAnsi="宋体" w:cs="宋体"/>
                <w:szCs w:val="21"/>
                <w:highlight w:val="none"/>
              </w:rPr>
              <w:t>另行通知</w:t>
            </w:r>
            <w:r>
              <w:rPr>
                <w:rFonts w:hint="eastAsia" w:ascii="宋体" w:hAnsi="宋体" w:cs="宋体"/>
                <w:kern w:val="0"/>
                <w:szCs w:val="21"/>
                <w:highlight w:val="none"/>
              </w:rPr>
              <w:t>。</w:t>
            </w:r>
          </w:p>
        </w:tc>
      </w:tr>
      <w:tr w14:paraId="5A5382B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35B116A">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9FFE9F">
            <w:pPr>
              <w:spacing w:line="440" w:lineRule="exact"/>
              <w:rPr>
                <w:rFonts w:ascii="宋体" w:hAnsi="宋体" w:cs="宋体"/>
                <w:szCs w:val="21"/>
                <w:highlight w:val="none"/>
              </w:rPr>
            </w:pPr>
            <w:r>
              <w:rPr>
                <w:rFonts w:hint="eastAsia" w:ascii="宋体" w:hAnsi="宋体" w:cs="宋体"/>
                <w:szCs w:val="21"/>
                <w:highlight w:val="none"/>
              </w:rPr>
              <w:t>磋商小组成</w:t>
            </w:r>
            <w:r>
              <w:rPr>
                <w:rFonts w:hint="eastAsia" w:ascii="宋体" w:hAnsi="宋体" w:cs="宋体"/>
                <w:kern w:val="0"/>
                <w:szCs w:val="21"/>
                <w:highlight w:val="none"/>
              </w:rPr>
              <w:t>员：</w:t>
            </w:r>
            <w:r>
              <w:rPr>
                <w:rFonts w:hint="eastAsia" w:ascii="宋体" w:hAnsi="宋体" w:cs="宋体"/>
                <w:szCs w:val="21"/>
                <w:highlight w:val="none"/>
              </w:rPr>
              <w:t>3</w:t>
            </w:r>
            <w:r>
              <w:rPr>
                <w:rFonts w:hint="eastAsia" w:ascii="宋体" w:hAnsi="宋体" w:cs="宋体"/>
                <w:highlight w:val="none"/>
              </w:rPr>
              <w:t>人及以上单数</w:t>
            </w:r>
            <w:r>
              <w:rPr>
                <w:rFonts w:hint="eastAsia" w:ascii="宋体" w:hAnsi="宋体" w:cs="宋体"/>
                <w:kern w:val="0"/>
                <w:szCs w:val="21"/>
                <w:highlight w:val="none"/>
              </w:rPr>
              <w:t>。</w:t>
            </w:r>
          </w:p>
          <w:p w14:paraId="1BBA7EAD">
            <w:pPr>
              <w:widowControl/>
              <w:spacing w:line="440" w:lineRule="exact"/>
              <w:jc w:val="left"/>
              <w:rPr>
                <w:rFonts w:ascii="宋体" w:hAnsi="宋体" w:cs="宋体"/>
                <w:kern w:val="0"/>
                <w:szCs w:val="21"/>
                <w:highlight w:val="none"/>
              </w:rPr>
            </w:pPr>
            <w:r>
              <w:rPr>
                <w:rFonts w:hint="eastAsia" w:ascii="宋体" w:hAnsi="宋体" w:cs="宋体"/>
                <w:szCs w:val="21"/>
                <w:highlight w:val="none"/>
              </w:rPr>
              <w:t>专家确定方式：</w:t>
            </w:r>
            <w:r>
              <w:rPr>
                <w:rFonts w:hint="eastAsia" w:ascii="宋体" w:hAnsi="宋体" w:cs="宋体"/>
                <w:kern w:val="0"/>
                <w:szCs w:val="21"/>
                <w:highlight w:val="none"/>
              </w:rPr>
              <w:t>由采购人抽取相关的技术人员组成。</w:t>
            </w:r>
          </w:p>
        </w:tc>
      </w:tr>
      <w:tr w14:paraId="0D70AEE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59C11E8">
            <w:pPr>
              <w:widowControl/>
              <w:jc w:val="center"/>
              <w:rPr>
                <w:rFonts w:ascii="宋体" w:hAnsi="宋体" w:cs="宋体"/>
                <w:kern w:val="0"/>
                <w:szCs w:val="21"/>
                <w:highlight w:val="none"/>
              </w:rPr>
            </w:pPr>
            <w:r>
              <w:rPr>
                <w:rFonts w:hint="eastAsia" w:ascii="宋体" w:hAnsi="宋体" w:cs="宋体"/>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2C8425F">
            <w:pPr>
              <w:rPr>
                <w:rFonts w:ascii="宋体" w:hAnsi="宋体" w:cs="宋体"/>
                <w:kern w:val="0"/>
                <w:szCs w:val="21"/>
                <w:highlight w:val="none"/>
              </w:rPr>
            </w:pPr>
            <w:r>
              <w:rPr>
                <w:rFonts w:hint="eastAsia" w:ascii="宋体" w:hAnsi="宋体" w:cs="宋体"/>
                <w:szCs w:val="21"/>
                <w:highlight w:val="none"/>
              </w:rPr>
              <w:t>评标办法：</w:t>
            </w:r>
            <w:r>
              <w:rPr>
                <w:rFonts w:hint="eastAsia" w:ascii="宋体" w:hAnsi="宋体" w:cs="宋体"/>
                <w:kern w:val="0"/>
                <w:szCs w:val="21"/>
                <w:highlight w:val="none"/>
              </w:rPr>
              <w:t>本项目采用</w:t>
            </w:r>
            <w:r>
              <w:rPr>
                <w:rFonts w:hint="eastAsia" w:ascii="宋体" w:hAnsi="宋体" w:cs="宋体"/>
                <w:szCs w:val="21"/>
                <w:highlight w:val="none"/>
              </w:rPr>
              <w:t>综合评分法</w:t>
            </w:r>
            <w:r>
              <w:rPr>
                <w:rFonts w:hint="eastAsia" w:ascii="宋体" w:hAnsi="宋体" w:cs="宋体"/>
                <w:kern w:val="0"/>
                <w:szCs w:val="21"/>
                <w:highlight w:val="none"/>
              </w:rPr>
              <w:t>。</w:t>
            </w:r>
          </w:p>
        </w:tc>
      </w:tr>
      <w:tr w14:paraId="6008802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2EBB0C6">
            <w:pPr>
              <w:widowControl/>
              <w:spacing w:line="460" w:lineRule="atLeast"/>
              <w:jc w:val="center"/>
              <w:rPr>
                <w:rFonts w:ascii="宋体" w:hAnsi="宋体" w:cs="宋体"/>
                <w:kern w:val="0"/>
                <w:szCs w:val="21"/>
                <w:highlight w:val="none"/>
              </w:rPr>
            </w:pPr>
            <w:r>
              <w:rPr>
                <w:rFonts w:hint="eastAsia" w:ascii="宋体" w:hAnsi="宋体" w:cs="宋体"/>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6F99E69">
            <w:pPr>
              <w:widowControl/>
              <w:spacing w:line="440" w:lineRule="exact"/>
              <w:jc w:val="left"/>
              <w:textAlignment w:val="bottom"/>
              <w:rPr>
                <w:rFonts w:ascii="宋体" w:hAnsi="宋体" w:cs="宋体"/>
                <w:kern w:val="0"/>
                <w:szCs w:val="21"/>
                <w:highlight w:val="none"/>
              </w:rPr>
            </w:pPr>
            <w:r>
              <w:rPr>
                <w:rFonts w:hint="eastAsia" w:ascii="宋体" w:hAnsi="宋体" w:cs="宋体"/>
                <w:kern w:val="0"/>
                <w:szCs w:val="21"/>
                <w:highlight w:val="none"/>
              </w:rPr>
              <w:t>成交公告及成交通知书：由采购人授权磋商小组确定一名成交供应商并推荐一名成交候选供应商。评审结束后在《驻马店市中心医院》官网上发布成交公告，公示期结束后向成交供应商发出成交通知书。</w:t>
            </w:r>
          </w:p>
        </w:tc>
      </w:tr>
      <w:tr w14:paraId="5C2C58FA">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3FFF95">
            <w:pPr>
              <w:widowControl/>
              <w:spacing w:line="460" w:lineRule="atLeast"/>
              <w:jc w:val="center"/>
              <w:rPr>
                <w:rFonts w:ascii="宋体" w:hAnsi="宋体" w:cs="宋体"/>
                <w:kern w:val="0"/>
                <w:szCs w:val="21"/>
                <w:highlight w:val="none"/>
              </w:rPr>
            </w:pPr>
            <w:r>
              <w:rPr>
                <w:rFonts w:hint="eastAsia" w:ascii="宋体" w:hAnsi="宋体" w:cs="宋体"/>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AF6EC37">
            <w:pPr>
              <w:widowControl/>
              <w:spacing w:line="440" w:lineRule="exact"/>
              <w:jc w:val="left"/>
              <w:textAlignment w:val="bottom"/>
              <w:rPr>
                <w:rFonts w:ascii="宋体" w:hAnsi="宋体" w:cs="宋体"/>
                <w:kern w:val="0"/>
                <w:szCs w:val="21"/>
                <w:highlight w:val="none"/>
              </w:rPr>
            </w:pPr>
            <w:r>
              <w:rPr>
                <w:rFonts w:hint="eastAsia" w:ascii="宋体" w:hAnsi="宋体" w:cs="宋体"/>
                <w:kern w:val="0"/>
                <w:szCs w:val="21"/>
                <w:highlight w:val="none"/>
              </w:rPr>
              <w:t>签订合同：自成交通知书发出之日起30日内。</w:t>
            </w:r>
          </w:p>
        </w:tc>
      </w:tr>
      <w:tr w14:paraId="4E15C58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2C62C7E">
            <w:pPr>
              <w:widowControl/>
              <w:spacing w:line="460" w:lineRule="atLeast"/>
              <w:jc w:val="center"/>
              <w:rPr>
                <w:rFonts w:ascii="宋体" w:hAnsi="宋体" w:cs="宋体"/>
                <w:kern w:val="0"/>
                <w:szCs w:val="21"/>
                <w:highlight w:val="none"/>
              </w:rPr>
            </w:pPr>
            <w:r>
              <w:rPr>
                <w:rFonts w:hint="eastAsia" w:ascii="宋体" w:hAnsi="宋体" w:cs="宋体"/>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FA68C59">
            <w:pPr>
              <w:widowControl/>
              <w:spacing w:line="440" w:lineRule="exact"/>
              <w:jc w:val="left"/>
              <w:textAlignment w:val="bottom"/>
              <w:rPr>
                <w:rFonts w:ascii="宋体" w:hAnsi="宋体" w:cs="宋体"/>
                <w:kern w:val="0"/>
                <w:szCs w:val="21"/>
                <w:highlight w:val="none"/>
              </w:rPr>
            </w:pPr>
            <w:r>
              <w:rPr>
                <w:rFonts w:hint="eastAsia" w:ascii="宋体" w:hAnsi="宋体" w:cs="宋体"/>
                <w:kern w:val="0"/>
                <w:szCs w:val="21"/>
                <w:highlight w:val="none"/>
              </w:rPr>
              <w:t>采购资金来源：自筹资金。</w:t>
            </w:r>
          </w:p>
        </w:tc>
      </w:tr>
      <w:tr w14:paraId="32F88B2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5C2AC63">
            <w:pPr>
              <w:widowControl/>
              <w:spacing w:line="460" w:lineRule="atLeast"/>
              <w:jc w:val="center"/>
              <w:rPr>
                <w:rFonts w:ascii="宋体" w:hAnsi="宋体" w:cs="宋体"/>
                <w:kern w:val="0"/>
                <w:szCs w:val="21"/>
                <w:highlight w:val="none"/>
              </w:rPr>
            </w:pPr>
            <w:r>
              <w:rPr>
                <w:rFonts w:hint="eastAsia" w:ascii="宋体" w:hAnsi="宋体" w:cs="宋体"/>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D601A93">
            <w:pPr>
              <w:widowControl/>
              <w:spacing w:line="440" w:lineRule="exact"/>
              <w:jc w:val="left"/>
              <w:textAlignment w:val="bottom"/>
              <w:rPr>
                <w:rFonts w:ascii="宋体" w:hAnsi="宋体" w:cs="宋体"/>
                <w:kern w:val="0"/>
                <w:szCs w:val="21"/>
                <w:highlight w:val="none"/>
              </w:rPr>
            </w:pPr>
            <w:r>
              <w:rPr>
                <w:rFonts w:hint="eastAsia" w:ascii="宋体" w:hAnsi="宋体" w:cs="宋体"/>
                <w:kern w:val="0"/>
                <w:szCs w:val="21"/>
                <w:highlight w:val="none"/>
              </w:rPr>
              <w:t>付款方式：详见第二章采购需求。</w:t>
            </w:r>
          </w:p>
        </w:tc>
      </w:tr>
      <w:tr w14:paraId="146FED19">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1C3208B">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810A1A8">
            <w:pPr>
              <w:widowControl/>
              <w:spacing w:line="440" w:lineRule="exact"/>
              <w:jc w:val="left"/>
              <w:textAlignment w:val="bottom"/>
              <w:rPr>
                <w:rFonts w:ascii="宋体" w:hAnsi="宋体" w:cs="宋体"/>
                <w:kern w:val="0"/>
                <w:szCs w:val="21"/>
                <w:highlight w:val="none"/>
              </w:rPr>
            </w:pPr>
            <w:r>
              <w:rPr>
                <w:rFonts w:hint="eastAsia" w:ascii="宋体" w:hAnsi="宋体" w:cs="宋体"/>
                <w:kern w:val="0"/>
                <w:szCs w:val="21"/>
                <w:highlight w:val="none"/>
              </w:rPr>
              <w:t>响应文件有效期：响应文件递交截止期结束后60日。成交供应商的响应文件是合同的组成部分,有效期至合同完全履行止。 </w:t>
            </w:r>
          </w:p>
        </w:tc>
      </w:tr>
      <w:tr w14:paraId="443CEAD7">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7DC376B">
            <w:pPr>
              <w:widowControl/>
              <w:spacing w:line="460" w:lineRule="atLeast"/>
              <w:jc w:val="center"/>
              <w:rPr>
                <w:rFonts w:ascii="宋体" w:hAnsi="宋体" w:cs="宋体"/>
                <w:kern w:val="0"/>
                <w:szCs w:val="21"/>
                <w:highlight w:val="none"/>
              </w:rPr>
            </w:pPr>
            <w:r>
              <w:rPr>
                <w:rFonts w:hint="eastAsia" w:ascii="宋体" w:hAnsi="宋体" w:cs="宋体"/>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CDC25B">
            <w:pPr>
              <w:pStyle w:val="8"/>
              <w:widowControl w:val="0"/>
              <w:snapToGrid w:val="0"/>
              <w:spacing w:beforeAutospacing="0" w:afterAutospacing="0" w:line="360" w:lineRule="auto"/>
              <w:rPr>
                <w:szCs w:val="21"/>
                <w:highlight w:val="none"/>
              </w:rPr>
            </w:pPr>
            <w:r>
              <w:rPr>
                <w:rFonts w:hint="eastAsia"/>
                <w:kern w:val="2"/>
                <w:sz w:val="21"/>
                <w:highlight w:val="none"/>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1108954F">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3873D79">
            <w:pPr>
              <w:widowControl/>
              <w:spacing w:line="460" w:lineRule="atLeast"/>
              <w:jc w:val="center"/>
              <w:rPr>
                <w:rFonts w:ascii="宋体" w:hAnsi="宋体" w:cs="宋体"/>
                <w:kern w:val="0"/>
                <w:szCs w:val="21"/>
                <w:highlight w:val="none"/>
              </w:rPr>
            </w:pPr>
            <w:r>
              <w:rPr>
                <w:rFonts w:hint="eastAsia" w:ascii="宋体" w:hAnsi="宋体" w:cs="宋体"/>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7F0C772">
            <w:pPr>
              <w:widowControl/>
              <w:spacing w:line="360" w:lineRule="auto"/>
              <w:jc w:val="left"/>
              <w:rPr>
                <w:rFonts w:ascii="宋体" w:hAnsi="宋体" w:cs="宋体"/>
                <w:kern w:val="0"/>
                <w:szCs w:val="21"/>
                <w:highlight w:val="none"/>
              </w:rPr>
            </w:pPr>
            <w:r>
              <w:rPr>
                <w:rFonts w:hint="eastAsia" w:ascii="宋体" w:hAnsi="宋体" w:cs="宋体"/>
                <w:szCs w:val="21"/>
                <w:highlight w:val="none"/>
              </w:rPr>
              <w:t>商品包装和快递包装应符合《商品包装政府采购需求标准（试行）》和《快递包装政府采购需求标准（试行）》规定，并提供相关的检测报告。</w:t>
            </w:r>
          </w:p>
        </w:tc>
      </w:tr>
      <w:tr w14:paraId="6316735B">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D88391">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C533F8E">
            <w:pPr>
              <w:spacing w:line="360" w:lineRule="auto"/>
              <w:rPr>
                <w:rFonts w:ascii="宋体" w:hAnsi="宋体" w:cs="宋体"/>
                <w:kern w:val="0"/>
                <w:szCs w:val="21"/>
                <w:highlight w:val="none"/>
              </w:rPr>
            </w:pPr>
            <w:r>
              <w:rPr>
                <w:rFonts w:hint="eastAsia" w:ascii="宋体" w:hAnsi="宋体" w:cs="宋体"/>
                <w:bCs/>
                <w:kern w:val="0"/>
                <w:szCs w:val="21"/>
                <w:highlight w:val="none"/>
              </w:rPr>
              <w:t>质疑和投诉：供应商认为采购文件使自己的合法权益受到损害的，</w:t>
            </w:r>
            <w:r>
              <w:rPr>
                <w:rFonts w:hint="eastAsia" w:ascii="宋体" w:hAnsi="宋体" w:cs="宋体"/>
                <w:kern w:val="0"/>
                <w:szCs w:val="21"/>
                <w:highlight w:val="none"/>
              </w:rPr>
              <w:t>应当在采购公告期限届满之日(或收到采购文件之日)起3个工作日之内向</w:t>
            </w:r>
            <w:r>
              <w:rPr>
                <w:rFonts w:hint="eastAsia" w:ascii="宋体" w:hAnsi="宋体" w:cs="宋体"/>
                <w:bCs/>
                <w:kern w:val="0"/>
                <w:szCs w:val="21"/>
                <w:highlight w:val="none"/>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highlight w:val="none"/>
              </w:rPr>
              <w:t>逾期不再受理,</w:t>
            </w:r>
            <w:r>
              <w:rPr>
                <w:rFonts w:hint="eastAsia" w:ascii="宋体" w:hAnsi="宋体" w:cs="宋体"/>
                <w:bCs/>
                <w:kern w:val="0"/>
                <w:szCs w:val="21"/>
                <w:highlight w:val="none"/>
              </w:rPr>
              <w:t>供应商在法定质疑期内应一次性提出针对同一采购环节的质疑。</w:t>
            </w:r>
            <w:r>
              <w:rPr>
                <w:rFonts w:hint="eastAsia" w:ascii="宋体" w:hAnsi="宋体" w:cs="宋体"/>
                <w:kern w:val="0"/>
                <w:szCs w:val="21"/>
                <w:highlight w:val="none"/>
              </w:rPr>
              <w:t>供应商对</w:t>
            </w:r>
            <w:r>
              <w:rPr>
                <w:rFonts w:hint="eastAsia" w:ascii="宋体" w:hAnsi="宋体" w:cs="宋体"/>
                <w:bCs/>
                <w:kern w:val="0"/>
                <w:szCs w:val="21"/>
                <w:highlight w:val="none"/>
              </w:rPr>
              <w:t>采购人</w:t>
            </w:r>
            <w:r>
              <w:rPr>
                <w:rFonts w:hint="eastAsia" w:ascii="宋体" w:hAnsi="宋体" w:cs="宋体"/>
                <w:kern w:val="0"/>
                <w:szCs w:val="21"/>
                <w:highlight w:val="none"/>
              </w:rPr>
              <w:t>的质疑答复不满意,或</w:t>
            </w:r>
            <w:r>
              <w:rPr>
                <w:rFonts w:hint="eastAsia" w:ascii="宋体" w:hAnsi="宋体" w:cs="宋体"/>
                <w:bCs/>
                <w:kern w:val="0"/>
                <w:szCs w:val="21"/>
                <w:highlight w:val="none"/>
              </w:rPr>
              <w:t>采购人</w:t>
            </w:r>
            <w:r>
              <w:rPr>
                <w:rFonts w:hint="eastAsia" w:ascii="宋体" w:hAnsi="宋体" w:cs="宋体"/>
                <w:kern w:val="0"/>
                <w:szCs w:val="21"/>
                <w:highlight w:val="none"/>
              </w:rPr>
              <w:t>未在规定时间内作出答复的，可以在答复期满后15个工作日内向医院纪检部门投诉。</w:t>
            </w:r>
          </w:p>
        </w:tc>
      </w:tr>
      <w:tr w14:paraId="56BBA51D">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41B0E00">
            <w:pPr>
              <w:widowControl/>
              <w:spacing w:line="460" w:lineRule="atLeast"/>
              <w:jc w:val="center"/>
              <w:rPr>
                <w:rFonts w:ascii="宋体" w:hAnsi="宋体" w:cs="宋体"/>
                <w:kern w:val="0"/>
                <w:szCs w:val="21"/>
                <w:highlight w:val="none"/>
              </w:rPr>
            </w:pPr>
            <w:r>
              <w:rPr>
                <w:rFonts w:hint="eastAsia" w:ascii="宋体" w:hAnsi="宋体" w:cs="宋体"/>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6FF6DB6">
            <w:pPr>
              <w:widowControl/>
              <w:spacing w:line="360" w:lineRule="auto"/>
              <w:jc w:val="left"/>
              <w:textAlignment w:val="bottom"/>
              <w:rPr>
                <w:rFonts w:ascii="宋体" w:hAnsi="宋体" w:cs="宋体"/>
                <w:highlight w:val="none"/>
              </w:rPr>
            </w:pPr>
            <w:r>
              <w:rPr>
                <w:rFonts w:hint="eastAsia" w:ascii="宋体" w:hAnsi="宋体" w:cs="宋体"/>
                <w:highlight w:val="none"/>
              </w:rPr>
              <w:t>解释：1、构成本采购文件的各个组成文件应互为解释，互为说明；如有不明确或不一致，构成合同文件组成内容的，以合同文件约定内容为准；除采购文件中有特殊规定外，仅适用于招标投标阶段的规定，按采购公告、供应商须知、评标办法、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46432DFC">
            <w:pPr>
              <w:widowControl/>
              <w:spacing w:line="360" w:lineRule="auto"/>
              <w:jc w:val="left"/>
              <w:textAlignment w:val="bottom"/>
              <w:rPr>
                <w:rFonts w:ascii="宋体" w:hAnsi="宋体" w:cs="宋体"/>
                <w:kern w:val="0"/>
                <w:szCs w:val="21"/>
                <w:highlight w:val="none"/>
              </w:rPr>
            </w:pPr>
            <w:r>
              <w:rPr>
                <w:rFonts w:hint="eastAsia" w:ascii="宋体" w:hAnsi="宋体" w:cs="宋体"/>
                <w:highlight w:val="none"/>
              </w:rPr>
              <w:t>2、本采购文件解释权归采购人。</w:t>
            </w:r>
          </w:p>
        </w:tc>
      </w:tr>
    </w:tbl>
    <w:p w14:paraId="02359C2D">
      <w:pPr>
        <w:rPr>
          <w:rFonts w:ascii="宋体" w:hAnsi="宋体" w:cs="宋体"/>
          <w:highlight w:val="none"/>
        </w:rPr>
      </w:pPr>
    </w:p>
    <w:p w14:paraId="68B0D05E">
      <w:pPr>
        <w:snapToGrid w:val="0"/>
        <w:spacing w:line="360" w:lineRule="auto"/>
        <w:jc w:val="center"/>
        <w:outlineLvl w:val="1"/>
        <w:rPr>
          <w:rFonts w:ascii="宋体" w:hAnsi="宋体" w:cs="宋体"/>
          <w:kern w:val="0"/>
          <w:sz w:val="24"/>
          <w:highlight w:val="none"/>
        </w:rPr>
      </w:pPr>
      <w:bookmarkStart w:id="45" w:name="_Toc4700"/>
      <w:bookmarkStart w:id="46" w:name="_Toc16669"/>
      <w:r>
        <w:rPr>
          <w:rFonts w:hint="eastAsia" w:ascii="宋体" w:hAnsi="宋体" w:cs="宋体"/>
          <w:b/>
          <w:bCs/>
          <w:kern w:val="0"/>
          <w:sz w:val="28"/>
          <w:szCs w:val="28"/>
          <w:highlight w:val="none"/>
        </w:rPr>
        <w:t>一 、说 明</w:t>
      </w:r>
    </w:p>
    <w:p w14:paraId="412A8C9F">
      <w:pPr>
        <w:snapToGrid w:val="0"/>
        <w:spacing w:line="360" w:lineRule="auto"/>
        <w:ind w:firstLine="420"/>
        <w:jc w:val="left"/>
        <w:rPr>
          <w:rFonts w:ascii="宋体" w:hAnsi="宋体" w:cs="宋体"/>
          <w:b/>
          <w:bCs/>
          <w:kern w:val="0"/>
          <w:szCs w:val="21"/>
          <w:highlight w:val="none"/>
        </w:rPr>
      </w:pPr>
      <w:r>
        <w:rPr>
          <w:rFonts w:hint="eastAsia" w:ascii="宋体" w:hAnsi="宋体" w:cs="宋体"/>
          <w:b/>
          <w:bCs/>
          <w:kern w:val="0"/>
          <w:szCs w:val="21"/>
          <w:highlight w:val="none"/>
        </w:rPr>
        <w:t>1.适用范围</w:t>
      </w:r>
    </w:p>
    <w:p w14:paraId="3BC5C683">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本采购文件仅适用于采购公告中所叙述项目的货物采购。</w:t>
      </w:r>
    </w:p>
    <w:p w14:paraId="1FA34138">
      <w:pPr>
        <w:snapToGrid w:val="0"/>
        <w:spacing w:line="360" w:lineRule="auto"/>
        <w:ind w:firstLine="420"/>
        <w:jc w:val="left"/>
        <w:rPr>
          <w:rFonts w:ascii="宋体" w:hAnsi="宋体" w:cs="宋体"/>
          <w:b/>
          <w:bCs/>
          <w:kern w:val="0"/>
          <w:szCs w:val="21"/>
          <w:highlight w:val="none"/>
        </w:rPr>
      </w:pPr>
      <w:r>
        <w:rPr>
          <w:rFonts w:hint="eastAsia" w:ascii="宋体" w:hAnsi="宋体" w:cs="宋体"/>
          <w:b/>
          <w:bCs/>
          <w:kern w:val="0"/>
          <w:szCs w:val="21"/>
          <w:highlight w:val="none"/>
        </w:rPr>
        <w:t>2.定义</w:t>
      </w:r>
    </w:p>
    <w:p w14:paraId="05853E57">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2.1 “采购人”系指驻马店市中心医院。</w:t>
      </w:r>
    </w:p>
    <w:p w14:paraId="63D1B8CE">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2.2 “供应商”系指领取了本采购文件，且已经提交本次响应文件的供应商。</w:t>
      </w:r>
    </w:p>
    <w:p w14:paraId="59ECF932">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2.3 “供应商代表”系指代表供应商参加本次采购活动的供应商的法定代表人或其委托代理人。</w:t>
      </w:r>
    </w:p>
    <w:p w14:paraId="662C5401">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2.4 “货物”系指供应商按采购文件规定向采购人提供的一切设备、机械、仪器仪表、备品备件、工具、手册及其它有关技术资料和材料。</w:t>
      </w:r>
    </w:p>
    <w:p w14:paraId="432784FF">
      <w:pPr>
        <w:snapToGrid w:val="0"/>
        <w:spacing w:line="360" w:lineRule="auto"/>
        <w:ind w:firstLine="420"/>
        <w:jc w:val="left"/>
        <w:rPr>
          <w:rFonts w:ascii="宋体" w:hAnsi="宋体" w:cs="宋体"/>
          <w:b/>
          <w:bCs/>
          <w:kern w:val="0"/>
          <w:szCs w:val="21"/>
          <w:highlight w:val="none"/>
        </w:rPr>
      </w:pPr>
      <w:r>
        <w:rPr>
          <w:rFonts w:hint="eastAsia" w:ascii="宋体" w:hAnsi="宋体" w:cs="宋体"/>
          <w:b/>
          <w:bCs/>
          <w:kern w:val="0"/>
          <w:szCs w:val="21"/>
          <w:highlight w:val="none"/>
        </w:rPr>
        <w:t>3.采购预算：</w:t>
      </w:r>
      <w:r>
        <w:rPr>
          <w:rFonts w:hint="eastAsia" w:ascii="宋体" w:hAnsi="宋体" w:cs="宋体"/>
          <w:b/>
          <w:szCs w:val="21"/>
          <w:highlight w:val="none"/>
          <w:shd w:val="clear" w:color="auto" w:fill="FFFFFF"/>
        </w:rPr>
        <w:t>285000元</w:t>
      </w:r>
      <w:r>
        <w:rPr>
          <w:rFonts w:hint="eastAsia" w:ascii="宋体" w:hAnsi="宋体" w:cs="宋体"/>
          <w:b/>
          <w:bCs/>
          <w:kern w:val="0"/>
          <w:szCs w:val="21"/>
          <w:highlight w:val="none"/>
        </w:rPr>
        <w:t>；最高投标限价:</w:t>
      </w:r>
      <w:r>
        <w:rPr>
          <w:rFonts w:hint="eastAsia" w:ascii="宋体" w:hAnsi="宋体" w:cs="宋体"/>
          <w:b/>
          <w:szCs w:val="21"/>
          <w:highlight w:val="none"/>
          <w:shd w:val="clear" w:color="auto" w:fill="FFFFFF"/>
        </w:rPr>
        <w:t xml:space="preserve"> 285000元</w:t>
      </w:r>
      <w:r>
        <w:rPr>
          <w:rFonts w:hint="eastAsia" w:ascii="宋体" w:hAnsi="宋体" w:cs="宋体"/>
          <w:b/>
          <w:bCs/>
          <w:kern w:val="0"/>
          <w:szCs w:val="21"/>
          <w:highlight w:val="none"/>
        </w:rPr>
        <w:t>；</w:t>
      </w:r>
    </w:p>
    <w:p w14:paraId="04FD9B7B">
      <w:pPr>
        <w:snapToGrid w:val="0"/>
        <w:spacing w:line="360" w:lineRule="auto"/>
        <w:ind w:firstLine="420"/>
        <w:jc w:val="left"/>
        <w:rPr>
          <w:rFonts w:ascii="宋体" w:hAnsi="宋体" w:cs="宋体"/>
          <w:szCs w:val="21"/>
          <w:highlight w:val="none"/>
        </w:rPr>
      </w:pPr>
      <w:r>
        <w:rPr>
          <w:rFonts w:hint="eastAsia" w:ascii="宋体" w:hAnsi="宋体" w:cs="宋体"/>
          <w:b/>
          <w:bCs/>
          <w:kern w:val="0"/>
          <w:szCs w:val="21"/>
          <w:highlight w:val="none"/>
        </w:rPr>
        <w:t>4.供应商应提交的证明文件</w:t>
      </w:r>
    </w:p>
    <w:p w14:paraId="48F3562D">
      <w:pPr>
        <w:autoSpaceDE w:val="0"/>
        <w:autoSpaceDN w:val="0"/>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4.1供应商具有独立承担民事责任能力，提供营业执照或其他证明材料。</w:t>
      </w:r>
    </w:p>
    <w:p w14:paraId="06719AFB">
      <w:pPr>
        <w:autoSpaceDE w:val="0"/>
        <w:autoSpaceDN w:val="0"/>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4.2 供应商应提供2023年或2024年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0F4FE693">
      <w:pPr>
        <w:widowControl/>
        <w:tabs>
          <w:tab w:val="left" w:pos="840"/>
        </w:tabs>
        <w:snapToGri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4.3、具有履行合同所必需的设备和专业技术能力（提供书面承诺函）；</w:t>
      </w:r>
    </w:p>
    <w:p w14:paraId="22045523">
      <w:pPr>
        <w:widowControl/>
        <w:tabs>
          <w:tab w:val="left" w:pos="840"/>
        </w:tabs>
        <w:snapToGrid w:val="0"/>
        <w:spacing w:line="360" w:lineRule="auto"/>
        <w:ind w:firstLine="420" w:firstLineChars="200"/>
        <w:jc w:val="left"/>
        <w:rPr>
          <w:highlight w:val="none"/>
        </w:rPr>
      </w:pPr>
      <w:r>
        <w:rPr>
          <w:rFonts w:hint="eastAsia" w:ascii="宋体" w:hAnsi="宋体" w:cs="宋体"/>
          <w:szCs w:val="21"/>
          <w:highlight w:val="none"/>
          <w:shd w:val="clear" w:color="auto" w:fill="FFFFFF"/>
        </w:rPr>
        <w:t>4.4、参加本采购活动前三年内，在经营活动中没有重大违法记录（提供书面承诺函）；</w:t>
      </w:r>
    </w:p>
    <w:p w14:paraId="6FBCF2BF">
      <w:pPr>
        <w:autoSpaceDE w:val="0"/>
        <w:autoSpaceDN w:val="0"/>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4.5 特定资格要求：</w:t>
      </w:r>
    </w:p>
    <w:p w14:paraId="5833EB04">
      <w:pPr>
        <w:widowControl/>
        <w:tabs>
          <w:tab w:val="left" w:pos="840"/>
        </w:tabs>
        <w:snapToGrid w:val="0"/>
        <w:spacing w:line="324" w:lineRule="auto"/>
        <w:ind w:firstLine="420" w:firstLineChars="200"/>
        <w:jc w:val="left"/>
        <w:rPr>
          <w:rFonts w:hint="eastAsia" w:ascii="宋体" w:hAnsi="宋体" w:cs="宋体"/>
          <w:highlight w:val="none"/>
        </w:rPr>
      </w:pPr>
      <w:r>
        <w:rPr>
          <w:rFonts w:hint="eastAsia" w:ascii="宋体" w:hAnsi="宋体" w:cs="宋体"/>
          <w:highlight w:val="none"/>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0162496F">
      <w:pPr>
        <w:widowControl/>
        <w:tabs>
          <w:tab w:val="left" w:pos="840"/>
        </w:tabs>
        <w:snapToGrid w:val="0"/>
        <w:spacing w:line="324" w:lineRule="auto"/>
        <w:ind w:firstLine="420" w:firstLineChars="200"/>
        <w:jc w:val="left"/>
        <w:rPr>
          <w:rFonts w:ascii="宋体" w:hAnsi="宋体" w:cs="宋体"/>
          <w:highlight w:val="none"/>
        </w:rPr>
      </w:pPr>
      <w:r>
        <w:rPr>
          <w:rFonts w:hint="eastAsia" w:ascii="宋体" w:hAnsi="宋体" w:cs="宋体"/>
          <w:highlight w:val="none"/>
        </w:rPr>
        <w:t>4.6 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28A0551B">
      <w:pPr>
        <w:tabs>
          <w:tab w:val="left" w:pos="840"/>
        </w:tabs>
        <w:snapToGrid w:val="0"/>
        <w:spacing w:line="324" w:lineRule="auto"/>
        <w:ind w:firstLine="420" w:firstLineChars="200"/>
        <w:jc w:val="left"/>
        <w:rPr>
          <w:rFonts w:ascii="宋体" w:hAnsi="宋体" w:cs="宋体"/>
          <w:highlight w:val="none"/>
        </w:rPr>
      </w:pPr>
      <w:r>
        <w:rPr>
          <w:rFonts w:hint="eastAsia" w:ascii="宋体" w:hAnsi="宋体" w:cs="宋体"/>
          <w:highlight w:val="none"/>
        </w:rPr>
        <w:t>4.7 单位负责人为同一人或者存在直接控股、管理关系的不同供应商，不得参加同一合同项下的磋商（</w:t>
      </w:r>
      <w:r>
        <w:rPr>
          <w:rFonts w:hint="eastAsia" w:ascii="宋体" w:hAnsi="宋体" w:cs="宋体"/>
          <w:color w:val="000000" w:themeColor="text1"/>
          <w:kern w:val="0"/>
          <w:szCs w:val="21"/>
          <w:highlight w:val="none"/>
          <w14:textFill>
            <w14:solidFill>
              <w14:schemeClr w14:val="tx1"/>
            </w14:solidFill>
          </w14:textFill>
        </w:rPr>
        <w:t>提供在“国家企业信用信息公示系统”中查询的相关材料并加盖公章（需包含公司基本信息、股东信息及股权变更信息）或提供承诺函</w:t>
      </w:r>
      <w:r>
        <w:rPr>
          <w:rFonts w:hint="eastAsia" w:ascii="宋体" w:hAnsi="宋体" w:cs="宋体"/>
          <w:highlight w:val="none"/>
        </w:rPr>
        <w:t>）。一经发现，将导致投标同时被拒绝。</w:t>
      </w:r>
    </w:p>
    <w:p w14:paraId="2E9A154B">
      <w:pPr>
        <w:snapToGrid w:val="0"/>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5.投标费用</w:t>
      </w:r>
    </w:p>
    <w:p w14:paraId="41C27808">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不论投标结果如何，供应商均应自行承担所有与投标有关的全部费用。</w:t>
      </w:r>
    </w:p>
    <w:p w14:paraId="0ECD53A7">
      <w:pPr>
        <w:snapToGrid w:val="0"/>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6.联合体投标：本项目不接受联合体投标。</w:t>
      </w:r>
    </w:p>
    <w:p w14:paraId="304322BE">
      <w:pPr>
        <w:snapToGrid w:val="0"/>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7.关联企业投标</w:t>
      </w:r>
    </w:p>
    <w:p w14:paraId="7238A28D">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7.1 本采购文件所称关联企业,是指存在关联关系的企业。“关联关系”的界定适用《中华人民共和国公司法》第二百一十六条、《中华人民共和国政府采购法实施条例》第十八条之规定。</w:t>
      </w:r>
    </w:p>
    <w:p w14:paraId="397D1AC1">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p>
    <w:p w14:paraId="236D1767">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7.3 为采购项目提供整体设计、规范编制或者项目管理、监理、检测等服务的供应商，不得再参加该采购项目的投标活动。</w:t>
      </w:r>
    </w:p>
    <w:p w14:paraId="55E99A79">
      <w:pPr>
        <w:snapToGrid w:val="0"/>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8.转包与分包</w:t>
      </w:r>
    </w:p>
    <w:p w14:paraId="6E271ECB">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8.1本项目不允许采取转包方式履行合同。</w:t>
      </w:r>
    </w:p>
    <w:p w14:paraId="19EC2873">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8.2本项目不允许采取分包方式履行合同。</w:t>
      </w:r>
    </w:p>
    <w:p w14:paraId="20521265">
      <w:pPr>
        <w:snapToGrid w:val="0"/>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9.特别说明：</w:t>
      </w:r>
    </w:p>
    <w:p w14:paraId="1F616C10">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9.1 供应商投标所使用的资格、信誉、荣誉、业绩与企业认证必须为本法人所拥有。  </w:t>
      </w:r>
    </w:p>
    <w:p w14:paraId="25BAF021">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9.2供应商代表只能接受一个供应商的委托参加投标。</w:t>
      </w:r>
    </w:p>
    <w:p w14:paraId="3C3FD1BD">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9.3《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3BB8E9EE">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9.4供应商在投标活动中提供虚假材料或从事其他违法活动的,其投标无效，由相关部门查处。</w:t>
      </w:r>
    </w:p>
    <w:p w14:paraId="76B2CEF3">
      <w:pPr>
        <w:snapToGrid w:val="0"/>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10.质疑和投诉</w:t>
      </w:r>
    </w:p>
    <w:p w14:paraId="512300AD">
      <w:pPr>
        <w:snapToGrid w:val="0"/>
        <w:spacing w:line="360" w:lineRule="auto"/>
        <w:ind w:firstLine="411" w:firstLineChars="196"/>
        <w:jc w:val="left"/>
        <w:rPr>
          <w:rFonts w:ascii="宋体" w:hAnsi="宋体" w:cs="宋体"/>
          <w:kern w:val="0"/>
          <w:szCs w:val="21"/>
          <w:highlight w:val="none"/>
        </w:rPr>
      </w:pPr>
      <w:r>
        <w:rPr>
          <w:rFonts w:hint="eastAsia" w:ascii="宋体" w:hAnsi="宋体" w:cs="宋体"/>
          <w:kern w:val="0"/>
          <w:szCs w:val="21"/>
          <w:highlight w:val="none"/>
        </w:rPr>
        <w:t>10.1</w:t>
      </w:r>
      <w:r>
        <w:rPr>
          <w:rFonts w:hint="eastAsia" w:ascii="宋体" w:hAnsi="宋体" w:cs="宋体"/>
          <w:bCs/>
          <w:kern w:val="0"/>
          <w:szCs w:val="21"/>
          <w:highlight w:val="none"/>
        </w:rPr>
        <w:t>供应商认为采购文件使自己的合法权益受到损害的，</w:t>
      </w:r>
      <w:r>
        <w:rPr>
          <w:rFonts w:hint="eastAsia" w:ascii="宋体" w:hAnsi="宋体" w:cs="宋体"/>
          <w:kern w:val="0"/>
          <w:szCs w:val="21"/>
          <w:highlight w:val="none"/>
        </w:rPr>
        <w:t>应当在采购公告期限届满之日(或收到采购文件之日)起3个工作日之内向</w:t>
      </w:r>
      <w:r>
        <w:rPr>
          <w:rFonts w:hint="eastAsia" w:ascii="宋体" w:hAnsi="宋体" w:cs="宋体"/>
          <w:bCs/>
          <w:kern w:val="0"/>
          <w:szCs w:val="21"/>
          <w:highlight w:val="none"/>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highlight w:val="none"/>
        </w:rPr>
        <w:t>逾期不再受理,</w:t>
      </w:r>
      <w:r>
        <w:rPr>
          <w:rFonts w:hint="eastAsia" w:ascii="宋体" w:hAnsi="宋体" w:cs="宋体"/>
          <w:bCs/>
          <w:kern w:val="0"/>
          <w:szCs w:val="21"/>
          <w:highlight w:val="none"/>
        </w:rPr>
        <w:t>供应商在法定质疑期内应一次性提出针对同一采购环节的质疑。</w:t>
      </w:r>
      <w:r>
        <w:rPr>
          <w:rFonts w:hint="eastAsia" w:ascii="宋体" w:hAnsi="宋体" w:cs="宋体"/>
          <w:kern w:val="0"/>
          <w:szCs w:val="21"/>
          <w:highlight w:val="none"/>
        </w:rPr>
        <w:t>供应商对</w:t>
      </w:r>
      <w:r>
        <w:rPr>
          <w:rFonts w:hint="eastAsia" w:ascii="宋体" w:hAnsi="宋体" w:cs="宋体"/>
          <w:bCs/>
          <w:kern w:val="0"/>
          <w:szCs w:val="21"/>
          <w:highlight w:val="none"/>
        </w:rPr>
        <w:t>采购人</w:t>
      </w:r>
      <w:r>
        <w:rPr>
          <w:rFonts w:hint="eastAsia" w:ascii="宋体" w:hAnsi="宋体" w:cs="宋体"/>
          <w:kern w:val="0"/>
          <w:szCs w:val="21"/>
          <w:highlight w:val="none"/>
        </w:rPr>
        <w:t>的质疑答复不满意,或</w:t>
      </w:r>
      <w:r>
        <w:rPr>
          <w:rFonts w:hint="eastAsia" w:ascii="宋体" w:hAnsi="宋体" w:cs="宋体"/>
          <w:bCs/>
          <w:kern w:val="0"/>
          <w:szCs w:val="21"/>
          <w:highlight w:val="none"/>
        </w:rPr>
        <w:t>采购人</w:t>
      </w:r>
      <w:r>
        <w:rPr>
          <w:rFonts w:hint="eastAsia" w:ascii="宋体" w:hAnsi="宋体" w:cs="宋体"/>
          <w:kern w:val="0"/>
          <w:szCs w:val="21"/>
          <w:highlight w:val="none"/>
        </w:rPr>
        <w:t>未在规定时间内作出答复的，可以在答复期满后15个工作日内向医院纪检部门投诉。</w:t>
      </w:r>
    </w:p>
    <w:p w14:paraId="6C9B61B2">
      <w:pPr>
        <w:shd w:val="clear" w:color="auto" w:fill="FFFFFF"/>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10.2</w:t>
      </w:r>
      <w:r>
        <w:rPr>
          <w:rFonts w:hint="eastAsia" w:ascii="宋体" w:hAnsi="宋体" w:cs="宋体"/>
          <w:bCs/>
          <w:kern w:val="0"/>
          <w:szCs w:val="21"/>
          <w:highlight w:val="none"/>
        </w:rPr>
        <w:t>质疑、投诉应当采用书面形式，质疑书、投诉书均应明确阐述采购文件、磋商过程和成交结果中使自己合法权益受到损害的实质性内容，提供相关事实、依据和证据及其来源或线索，便于有关单位调查、答复和处理。</w:t>
      </w:r>
    </w:p>
    <w:p w14:paraId="0EB9B126">
      <w:pPr>
        <w:snapToGrid w:val="0"/>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11.供应商的风险</w:t>
      </w:r>
    </w:p>
    <w:p w14:paraId="47AB79DC">
      <w:pPr>
        <w:snapToGrid w:val="0"/>
        <w:spacing w:line="360" w:lineRule="auto"/>
        <w:ind w:firstLine="480"/>
        <w:jc w:val="left"/>
        <w:rPr>
          <w:rFonts w:ascii="宋体" w:hAnsi="宋体" w:cs="宋体"/>
          <w:kern w:val="0"/>
          <w:sz w:val="24"/>
          <w:highlight w:val="none"/>
        </w:rPr>
      </w:pPr>
      <w:r>
        <w:rPr>
          <w:rFonts w:hint="eastAsia" w:ascii="宋体" w:hAnsi="宋体" w:cs="宋体"/>
          <w:kern w:val="0"/>
          <w:szCs w:val="21"/>
          <w:highlight w:val="none"/>
        </w:rPr>
        <w:t>供应商没有按照采购文件要求提供全部资料，或者供应商没有对采购文件在各方面都作出实质性响应是供应商的风险，并可能导致其投标被拒绝。</w:t>
      </w:r>
    </w:p>
    <w:p w14:paraId="6881377A">
      <w:pPr>
        <w:snapToGrid w:val="0"/>
        <w:spacing w:line="360" w:lineRule="auto"/>
        <w:jc w:val="center"/>
        <w:outlineLvl w:val="1"/>
        <w:rPr>
          <w:rFonts w:ascii="宋体" w:hAnsi="宋体" w:cs="宋体"/>
          <w:b/>
          <w:bCs/>
          <w:kern w:val="0"/>
          <w:sz w:val="28"/>
          <w:szCs w:val="28"/>
          <w:highlight w:val="none"/>
        </w:rPr>
      </w:pPr>
      <w:r>
        <w:rPr>
          <w:rFonts w:hint="eastAsia" w:ascii="宋体" w:hAnsi="宋体" w:cs="宋体"/>
          <w:b/>
          <w:bCs/>
          <w:kern w:val="0"/>
          <w:sz w:val="28"/>
          <w:szCs w:val="28"/>
          <w:highlight w:val="none"/>
        </w:rPr>
        <w:t>二、采购文件</w:t>
      </w:r>
    </w:p>
    <w:p w14:paraId="3275F377">
      <w:pPr>
        <w:snapToGrid w:val="0"/>
        <w:spacing w:line="360" w:lineRule="auto"/>
        <w:ind w:firstLine="417" w:firstLineChars="198"/>
        <w:rPr>
          <w:rFonts w:ascii="宋体" w:hAnsi="宋体" w:cs="宋体"/>
          <w:kern w:val="0"/>
          <w:szCs w:val="21"/>
          <w:highlight w:val="none"/>
        </w:rPr>
      </w:pPr>
      <w:r>
        <w:rPr>
          <w:rFonts w:hint="eastAsia" w:ascii="宋体" w:hAnsi="宋体" w:cs="宋体"/>
          <w:b/>
          <w:bCs/>
          <w:kern w:val="0"/>
          <w:szCs w:val="21"/>
          <w:highlight w:val="none"/>
        </w:rPr>
        <w:t>12.采购文件的构成。本采购文件由以下部分组成：</w:t>
      </w:r>
    </w:p>
    <w:p w14:paraId="45F8ED5F">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12.1 竞争性磋商公告</w:t>
      </w:r>
    </w:p>
    <w:p w14:paraId="3AB9DA57">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12.2 采购需求</w:t>
      </w:r>
    </w:p>
    <w:p w14:paraId="644AA355">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12.3 供应商须知</w:t>
      </w:r>
    </w:p>
    <w:p w14:paraId="5EBF8329">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12.4 评标办法</w:t>
      </w:r>
    </w:p>
    <w:p w14:paraId="094923F5">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12.5 合同主要条款</w:t>
      </w:r>
    </w:p>
    <w:p w14:paraId="037A4F5E">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12.6 响应文件格式</w:t>
      </w:r>
    </w:p>
    <w:p w14:paraId="57EA4085">
      <w:pPr>
        <w:snapToGrid w:val="0"/>
        <w:spacing w:line="360" w:lineRule="auto"/>
        <w:ind w:firstLine="417" w:firstLineChars="198"/>
        <w:rPr>
          <w:rFonts w:ascii="宋体" w:hAnsi="宋体" w:cs="宋体"/>
          <w:b/>
          <w:bCs/>
          <w:kern w:val="0"/>
          <w:szCs w:val="21"/>
          <w:highlight w:val="none"/>
        </w:rPr>
      </w:pPr>
      <w:r>
        <w:rPr>
          <w:rFonts w:hint="eastAsia" w:ascii="宋体" w:hAnsi="宋体" w:cs="宋体"/>
          <w:b/>
          <w:bCs/>
          <w:kern w:val="0"/>
          <w:szCs w:val="21"/>
          <w:highlight w:val="none"/>
        </w:rPr>
        <w:t>13.采购文件的澄清与修改</w:t>
      </w:r>
    </w:p>
    <w:p w14:paraId="0EE1DBE7">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13.1 采购人对已发出的采购文件进行必要澄清、修改或补充的，应当在采购文件要求提交响应文件截止时间3</w:t>
      </w:r>
      <w:r>
        <w:rPr>
          <w:rFonts w:hint="eastAsia" w:ascii="宋体" w:hAnsi="宋体" w:cs="宋体"/>
          <w:bCs/>
          <w:kern w:val="0"/>
          <w:szCs w:val="21"/>
          <w:highlight w:val="none"/>
        </w:rPr>
        <w:t>日</w:t>
      </w:r>
      <w:r>
        <w:rPr>
          <w:rFonts w:hint="eastAsia" w:ascii="宋体" w:hAnsi="宋体" w:cs="宋体"/>
          <w:kern w:val="0"/>
          <w:szCs w:val="21"/>
          <w:highlight w:val="none"/>
        </w:rPr>
        <w:t>前，在原采购公告发布相关媒体上发布更正公告或变更公告。采购文件公示期间对采购文件进行的澄清、修改或补充不受上述限制。</w:t>
      </w:r>
    </w:p>
    <w:p w14:paraId="30E10F17">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13.2 采购文件澄清、修改或补充的内容为采购文件的组成部分。</w:t>
      </w:r>
    </w:p>
    <w:p w14:paraId="775E6887">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13.3 采购文件的澄清、修改或补充都应以法定形式发布。采购人未对采购文件进行的澄清、修改或补充无效，评标时不予认可。</w:t>
      </w:r>
    </w:p>
    <w:p w14:paraId="63505725">
      <w:pPr>
        <w:snapToGrid w:val="0"/>
        <w:spacing w:line="360" w:lineRule="auto"/>
        <w:ind w:firstLine="480"/>
        <w:jc w:val="left"/>
        <w:rPr>
          <w:rFonts w:ascii="宋体" w:hAnsi="宋体" w:cs="宋体"/>
          <w:kern w:val="0"/>
          <w:sz w:val="24"/>
          <w:highlight w:val="none"/>
        </w:rPr>
      </w:pPr>
      <w:r>
        <w:rPr>
          <w:rFonts w:hint="eastAsia" w:ascii="宋体" w:hAnsi="宋体" w:cs="宋体"/>
          <w:kern w:val="0"/>
          <w:szCs w:val="21"/>
          <w:highlight w:val="none"/>
        </w:rPr>
        <w:t>13.4 </w:t>
      </w:r>
      <w:r>
        <w:rPr>
          <w:rFonts w:hint="eastAsia" w:ascii="宋体" w:hAnsi="宋体" w:cs="宋体"/>
          <w:bCs/>
          <w:kern w:val="0"/>
          <w:szCs w:val="21"/>
          <w:highlight w:val="none"/>
        </w:rPr>
        <w:t>采购人</w:t>
      </w:r>
      <w:r>
        <w:rPr>
          <w:rFonts w:hint="eastAsia" w:ascii="宋体" w:hAnsi="宋体" w:cs="宋体"/>
          <w:kern w:val="0"/>
          <w:szCs w:val="21"/>
          <w:highlight w:val="none"/>
        </w:rPr>
        <w:t>可以视采购具体情况延长磋商截止时间和磋商时间，但至少应当在采购文件要求提交响应文件的截止时间3</w:t>
      </w:r>
      <w:r>
        <w:rPr>
          <w:rFonts w:hint="eastAsia" w:ascii="宋体" w:hAnsi="宋体" w:cs="宋体"/>
          <w:bCs/>
          <w:kern w:val="0"/>
          <w:szCs w:val="21"/>
          <w:highlight w:val="none"/>
        </w:rPr>
        <w:t>日</w:t>
      </w:r>
      <w:r>
        <w:rPr>
          <w:rFonts w:hint="eastAsia" w:ascii="宋体" w:hAnsi="宋体" w:cs="宋体"/>
          <w:kern w:val="0"/>
          <w:szCs w:val="21"/>
          <w:highlight w:val="none"/>
        </w:rPr>
        <w:t>前，将变更时间通知所有潜在供应商。</w:t>
      </w:r>
    </w:p>
    <w:p w14:paraId="0FA4AB40">
      <w:pPr>
        <w:snapToGrid w:val="0"/>
        <w:spacing w:line="360" w:lineRule="auto"/>
        <w:jc w:val="center"/>
        <w:outlineLvl w:val="1"/>
        <w:rPr>
          <w:rFonts w:ascii="宋体" w:hAnsi="宋体" w:cs="宋体"/>
          <w:b/>
          <w:bCs/>
          <w:kern w:val="0"/>
          <w:sz w:val="28"/>
          <w:szCs w:val="28"/>
          <w:highlight w:val="none"/>
        </w:rPr>
      </w:pPr>
      <w:r>
        <w:rPr>
          <w:rFonts w:hint="eastAsia" w:ascii="宋体" w:hAnsi="宋体" w:cs="宋体"/>
          <w:b/>
          <w:bCs/>
          <w:kern w:val="0"/>
          <w:sz w:val="28"/>
          <w:szCs w:val="28"/>
          <w:highlight w:val="none"/>
        </w:rPr>
        <w:t>三、响应文件的编制</w:t>
      </w:r>
    </w:p>
    <w:p w14:paraId="662A43B3">
      <w:pPr>
        <w:snapToGrid w:val="0"/>
        <w:spacing w:line="360" w:lineRule="auto"/>
        <w:ind w:firstLine="417" w:firstLineChars="198"/>
        <w:rPr>
          <w:rFonts w:ascii="宋体" w:hAnsi="宋体" w:cs="宋体"/>
          <w:kern w:val="0"/>
          <w:szCs w:val="21"/>
          <w:highlight w:val="none"/>
        </w:rPr>
      </w:pPr>
      <w:r>
        <w:rPr>
          <w:rFonts w:hint="eastAsia" w:ascii="宋体" w:hAnsi="宋体" w:cs="宋体"/>
          <w:b/>
          <w:bCs/>
          <w:kern w:val="0"/>
          <w:szCs w:val="21"/>
          <w:highlight w:val="none"/>
        </w:rPr>
        <w:t>14.要求</w:t>
      </w:r>
    </w:p>
    <w:p w14:paraId="70D4ECD5">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14.1 供应商应仔细阅读采购文件的所有内容，按照采购文件提供的格式编写响应文件，不得缺少或留空任何采购文件要求填写的表格或提交的资料。采购文件提供格式的按格式填列，未提供格式的可自行拟定。响应文件应对采购文件的要求作出实质性响应（包括供应商资格要求、技术要求、商务要求和响应文件格式中对磋商的要求），供应商对所提供的全部资料的合法性、真实性负责。</w:t>
      </w:r>
    </w:p>
    <w:p w14:paraId="3CC6003E">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14.2 供应商应完整签署响应文件格式附件中《竞争性磋商响应书》和《抵制商业贿赂承诺》，不得增减或修改内容。否则视为对采购文件未作出实质性响应。</w:t>
      </w:r>
    </w:p>
    <w:p w14:paraId="5DB39085">
      <w:pPr>
        <w:snapToGrid w:val="0"/>
        <w:spacing w:line="360" w:lineRule="auto"/>
        <w:ind w:firstLine="417" w:firstLineChars="198"/>
        <w:rPr>
          <w:rFonts w:ascii="宋体" w:hAnsi="宋体" w:cs="宋体"/>
          <w:kern w:val="0"/>
          <w:szCs w:val="21"/>
          <w:highlight w:val="none"/>
        </w:rPr>
      </w:pPr>
      <w:r>
        <w:rPr>
          <w:rFonts w:hint="eastAsia" w:ascii="宋体" w:hAnsi="宋体" w:cs="宋体"/>
          <w:b/>
          <w:bCs/>
          <w:kern w:val="0"/>
          <w:szCs w:val="21"/>
          <w:highlight w:val="none"/>
        </w:rPr>
        <w:t>15.响应文件的语言和计量单位</w:t>
      </w:r>
    </w:p>
    <w:p w14:paraId="0AFF4634">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15.1 响应文件以及供应商与采购人就有关磋商事宜的所有来往函电均应使用简体中文书写。</w:t>
      </w:r>
    </w:p>
    <w:p w14:paraId="170E1078">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15.2关于磋商计量单位，采购文件已有明确规定的，使用采购文件规定的计量单位；采购文件没有规定的，应采用中华人民共和国法定计量单位。否则视为对采购文件未作出实质性响应。</w:t>
      </w:r>
    </w:p>
    <w:p w14:paraId="0056DAE8">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15.3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4AAF7CCF">
      <w:pPr>
        <w:snapToGrid w:val="0"/>
        <w:spacing w:line="360" w:lineRule="auto"/>
        <w:ind w:firstLine="417" w:firstLineChars="198"/>
        <w:rPr>
          <w:rFonts w:ascii="宋体" w:hAnsi="宋体" w:cs="宋体"/>
          <w:kern w:val="0"/>
          <w:szCs w:val="21"/>
          <w:highlight w:val="none"/>
        </w:rPr>
      </w:pPr>
      <w:r>
        <w:rPr>
          <w:rFonts w:hint="eastAsia" w:ascii="宋体" w:hAnsi="宋体" w:cs="宋体"/>
          <w:b/>
          <w:bCs/>
          <w:kern w:val="0"/>
          <w:szCs w:val="21"/>
          <w:highlight w:val="none"/>
        </w:rPr>
        <w:t>16.响应文件的组成</w:t>
      </w:r>
      <w:r>
        <w:rPr>
          <w:rFonts w:hint="eastAsia" w:ascii="宋体" w:hAnsi="宋体" w:cs="宋体"/>
          <w:kern w:val="0"/>
          <w:szCs w:val="21"/>
          <w:highlight w:val="none"/>
        </w:rPr>
        <w:t>。</w:t>
      </w:r>
      <w:r>
        <w:rPr>
          <w:rFonts w:hint="eastAsia" w:ascii="宋体" w:hAnsi="宋体" w:cs="宋体"/>
          <w:b/>
          <w:bCs/>
          <w:kern w:val="0"/>
          <w:szCs w:val="21"/>
          <w:highlight w:val="none"/>
        </w:rPr>
        <w:t>响应文件应包括下列部分：</w:t>
      </w:r>
    </w:p>
    <w:p w14:paraId="323E4307">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16.1、竞争性磋商响应书及初次报价一览表</w:t>
      </w:r>
    </w:p>
    <w:p w14:paraId="1CEAF7BA">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16.2、报价明细表</w:t>
      </w:r>
    </w:p>
    <w:p w14:paraId="427C32D8">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16.3、技术响应表</w:t>
      </w:r>
    </w:p>
    <w:p w14:paraId="5DD217E5">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16.4、商务响应表</w:t>
      </w:r>
    </w:p>
    <w:p w14:paraId="21BED477">
      <w:pPr>
        <w:snapToGrid w:val="0"/>
        <w:spacing w:line="360" w:lineRule="auto"/>
        <w:ind w:left="208" w:leftChars="99" w:firstLine="210" w:firstLineChars="100"/>
        <w:jc w:val="left"/>
        <w:rPr>
          <w:rFonts w:ascii="宋体" w:hAnsi="宋体" w:cs="宋体"/>
          <w:kern w:val="0"/>
          <w:szCs w:val="21"/>
          <w:highlight w:val="none"/>
        </w:rPr>
      </w:pPr>
      <w:r>
        <w:rPr>
          <w:rFonts w:hint="eastAsia" w:ascii="宋体" w:hAnsi="宋体" w:cs="宋体"/>
          <w:kern w:val="0"/>
          <w:szCs w:val="21"/>
          <w:highlight w:val="none"/>
        </w:rPr>
        <w:t>16.5、法定代表人身份证明</w:t>
      </w:r>
    </w:p>
    <w:p w14:paraId="51DE6DCA">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16.6、法定代表人授权书</w:t>
      </w:r>
    </w:p>
    <w:p w14:paraId="4BD9D5CA">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16.7、证明文件</w:t>
      </w:r>
    </w:p>
    <w:p w14:paraId="1C28FA6C">
      <w:pPr>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16.8、供应商承诺书</w:t>
      </w:r>
    </w:p>
    <w:p w14:paraId="5022273F">
      <w:pPr>
        <w:pStyle w:val="7"/>
        <w:widowControl w:val="0"/>
        <w:snapToGrid w:val="0"/>
        <w:spacing w:beforeAutospacing="0" w:afterAutospacing="0" w:line="360" w:lineRule="auto"/>
        <w:rPr>
          <w:sz w:val="21"/>
          <w:szCs w:val="21"/>
          <w:highlight w:val="none"/>
        </w:rPr>
      </w:pPr>
      <w:r>
        <w:rPr>
          <w:rFonts w:hint="eastAsia"/>
          <w:sz w:val="21"/>
          <w:szCs w:val="21"/>
          <w:highlight w:val="none"/>
        </w:rPr>
        <w:t>16.9、供应商信用承诺函</w:t>
      </w:r>
    </w:p>
    <w:p w14:paraId="69828E1F">
      <w:pPr>
        <w:snapToGrid w:val="0"/>
        <w:spacing w:line="360" w:lineRule="auto"/>
        <w:ind w:firstLine="417" w:firstLineChars="198"/>
        <w:rPr>
          <w:rFonts w:ascii="宋体" w:hAnsi="宋体" w:cs="宋体"/>
          <w:b/>
          <w:kern w:val="0"/>
          <w:szCs w:val="21"/>
          <w:highlight w:val="none"/>
        </w:rPr>
      </w:pPr>
      <w:r>
        <w:rPr>
          <w:rFonts w:hint="eastAsia" w:ascii="宋体" w:hAnsi="宋体" w:cs="宋体"/>
          <w:b/>
          <w:kern w:val="0"/>
          <w:szCs w:val="21"/>
          <w:highlight w:val="none"/>
        </w:rPr>
        <w:t>17.响应文件有效期</w:t>
      </w:r>
    </w:p>
    <w:p w14:paraId="3C7EDC0E">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17.1 响应文件从采购公告所规定的投标截止期之后开始生效，在</w:t>
      </w:r>
      <w:r>
        <w:rPr>
          <w:rFonts w:hint="eastAsia" w:ascii="宋体" w:hAnsi="宋体" w:cs="宋体"/>
          <w:bCs/>
          <w:kern w:val="0"/>
          <w:szCs w:val="21"/>
          <w:highlight w:val="none"/>
        </w:rPr>
        <w:t>供应商须知前附表</w:t>
      </w:r>
      <w:r>
        <w:rPr>
          <w:rFonts w:hint="eastAsia" w:ascii="宋体" w:hAnsi="宋体" w:cs="宋体"/>
          <w:kern w:val="0"/>
          <w:szCs w:val="21"/>
          <w:highlight w:val="none"/>
        </w:rPr>
        <w:t>第13项所规定的期限内保持有效。有效期不足将导致其响应文件被拒绝。成交供应商的响应文件有效期至合同完全履行止。</w:t>
      </w:r>
    </w:p>
    <w:p w14:paraId="21F92826">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17.2特殊情况下采购人可于投标有效期满之前书面要求供应商同意延长有效期，供应商应在采购人规定的期限内以书面形式予以答复。供应商可以拒绝上述要求。供应商答复不明确或者逾期未答复的，均视为拒绝上述要求。对于接受该要求的供应商，既不要求也不允许其修改响应文件。</w:t>
      </w:r>
    </w:p>
    <w:p w14:paraId="713C235B">
      <w:pPr>
        <w:snapToGrid w:val="0"/>
        <w:spacing w:line="360" w:lineRule="auto"/>
        <w:ind w:firstLine="417" w:firstLineChars="198"/>
        <w:rPr>
          <w:rFonts w:ascii="宋体" w:hAnsi="宋体" w:cs="宋体"/>
          <w:kern w:val="0"/>
          <w:szCs w:val="21"/>
          <w:highlight w:val="none"/>
        </w:rPr>
      </w:pPr>
      <w:r>
        <w:rPr>
          <w:rFonts w:hint="eastAsia" w:ascii="宋体" w:hAnsi="宋体" w:cs="宋体"/>
          <w:b/>
          <w:bCs/>
          <w:kern w:val="0"/>
          <w:szCs w:val="21"/>
          <w:highlight w:val="none"/>
        </w:rPr>
        <w:t>18.投标报价</w:t>
      </w:r>
    </w:p>
    <w:p w14:paraId="2906B70C">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18.1 所有磋商报价均以人民币元为计算单位。</w:t>
      </w:r>
    </w:p>
    <w:p w14:paraId="169F1E01">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18.2 供应商要按初次报价一览表的内容填写。</w:t>
      </w:r>
    </w:p>
    <w:p w14:paraId="49FD47FD">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18.3 </w:t>
      </w:r>
      <w:r>
        <w:rPr>
          <w:rFonts w:hint="eastAsia" w:ascii="宋体" w:hAnsi="宋体" w:cs="宋体"/>
          <w:spacing w:val="10"/>
          <w:kern w:val="0"/>
          <w:szCs w:val="21"/>
          <w:highlight w:val="none"/>
        </w:rPr>
        <w:t>供应商投报多标包的，应对每标包分别报价并分别填报</w:t>
      </w:r>
      <w:r>
        <w:rPr>
          <w:rFonts w:hint="eastAsia" w:ascii="宋体" w:hAnsi="宋体" w:cs="宋体"/>
          <w:kern w:val="0"/>
          <w:szCs w:val="21"/>
          <w:highlight w:val="none"/>
        </w:rPr>
        <w:t>初次报价一览表</w:t>
      </w:r>
      <w:r>
        <w:rPr>
          <w:rFonts w:hint="eastAsia" w:ascii="宋体" w:hAnsi="宋体" w:cs="宋体"/>
          <w:spacing w:val="10"/>
          <w:kern w:val="0"/>
          <w:szCs w:val="21"/>
          <w:highlight w:val="none"/>
        </w:rPr>
        <w:t>。</w:t>
      </w:r>
    </w:p>
    <w:p w14:paraId="41F6ABA8">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18.4 初次报价一览表中标明的价格在政府采购合同执行过程中是固定不变的，供应商不得以任何理由予以变更。以可调整的价格提交的投标将被作为无效投标处理。</w:t>
      </w:r>
    </w:p>
    <w:p w14:paraId="666C82CF">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18.5 采购人不接受可选择的投标报价。</w:t>
      </w:r>
    </w:p>
    <w:p w14:paraId="66875000">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18.6 对于供应商在初次报价一览表和响应文件中列出的赠送条款，在评审时不得作为价格评分因素或者调整评标价格的依据。</w:t>
      </w:r>
    </w:p>
    <w:p w14:paraId="504AA5F7">
      <w:pPr>
        <w:snapToGrid w:val="0"/>
        <w:spacing w:line="360" w:lineRule="auto"/>
        <w:ind w:firstLine="417" w:firstLineChars="198"/>
        <w:rPr>
          <w:rFonts w:ascii="宋体" w:hAnsi="宋体" w:cs="宋体"/>
          <w:b/>
          <w:kern w:val="0"/>
          <w:szCs w:val="21"/>
          <w:highlight w:val="none"/>
        </w:rPr>
      </w:pPr>
      <w:r>
        <w:rPr>
          <w:rFonts w:hint="eastAsia" w:ascii="宋体" w:hAnsi="宋体" w:cs="宋体"/>
          <w:b/>
          <w:kern w:val="0"/>
          <w:szCs w:val="21"/>
          <w:highlight w:val="none"/>
        </w:rPr>
        <w:t>19.投标保证金（无）</w:t>
      </w:r>
    </w:p>
    <w:p w14:paraId="535A8958">
      <w:pPr>
        <w:snapToGrid w:val="0"/>
        <w:spacing w:line="360" w:lineRule="auto"/>
        <w:ind w:firstLine="417" w:firstLineChars="198"/>
        <w:rPr>
          <w:rFonts w:ascii="宋体" w:hAnsi="宋体" w:cs="宋体"/>
          <w:b/>
          <w:kern w:val="0"/>
          <w:szCs w:val="21"/>
          <w:highlight w:val="none"/>
        </w:rPr>
      </w:pPr>
      <w:r>
        <w:rPr>
          <w:rFonts w:hint="eastAsia" w:ascii="宋体" w:hAnsi="宋体" w:cs="宋体"/>
          <w:b/>
          <w:kern w:val="0"/>
          <w:szCs w:val="21"/>
          <w:highlight w:val="none"/>
        </w:rPr>
        <w:t>20.</w:t>
      </w:r>
      <w:r>
        <w:rPr>
          <w:rFonts w:hint="eastAsia" w:ascii="宋体" w:hAnsi="宋体" w:cs="宋体"/>
          <w:b/>
          <w:bCs/>
          <w:kern w:val="0"/>
          <w:szCs w:val="21"/>
          <w:highlight w:val="none"/>
        </w:rPr>
        <w:t>响应</w:t>
      </w:r>
      <w:r>
        <w:rPr>
          <w:rFonts w:hint="eastAsia" w:ascii="宋体" w:hAnsi="宋体" w:cs="宋体"/>
          <w:b/>
          <w:kern w:val="0"/>
          <w:szCs w:val="21"/>
          <w:highlight w:val="none"/>
        </w:rPr>
        <w:t>文件的签署及其他规定</w:t>
      </w:r>
    </w:p>
    <w:p w14:paraId="23BC5171">
      <w:pPr>
        <w:snapToGrid w:val="0"/>
        <w:spacing w:line="360" w:lineRule="auto"/>
        <w:ind w:firstLine="415" w:firstLineChars="198"/>
        <w:rPr>
          <w:rFonts w:ascii="宋体" w:hAnsi="宋体" w:cs="宋体"/>
          <w:kern w:val="0"/>
          <w:szCs w:val="21"/>
          <w:highlight w:val="none"/>
        </w:rPr>
      </w:pPr>
      <w:r>
        <w:rPr>
          <w:rFonts w:hint="eastAsia" w:ascii="宋体" w:hAnsi="宋体" w:cs="宋体"/>
          <w:kern w:val="0"/>
          <w:szCs w:val="21"/>
          <w:highlight w:val="none"/>
        </w:rPr>
        <w:t>20.1响应文件应按第六章“响应文件格式”进行编写，如有必要，可以增加附页，作为响应文件的组成部分。其中，磋商报价一览表在满足采购文件实质性要求的基础上，可以提出比采购文件要求更有利于采购人的承诺。</w:t>
      </w:r>
    </w:p>
    <w:p w14:paraId="517A6B6C">
      <w:pPr>
        <w:snapToGrid w:val="0"/>
        <w:spacing w:line="360" w:lineRule="auto"/>
        <w:ind w:firstLine="415" w:firstLineChars="198"/>
        <w:rPr>
          <w:rFonts w:ascii="宋体" w:hAnsi="宋体" w:cs="宋体"/>
          <w:kern w:val="0"/>
          <w:szCs w:val="21"/>
          <w:highlight w:val="none"/>
        </w:rPr>
      </w:pPr>
      <w:r>
        <w:rPr>
          <w:rFonts w:hint="eastAsia" w:ascii="宋体" w:hAnsi="宋体" w:cs="宋体"/>
          <w:kern w:val="0"/>
          <w:szCs w:val="21"/>
          <w:highlight w:val="none"/>
        </w:rPr>
        <w:t>20.2 响应文件应当对采购文件有关交货期、响应文件有效期、质量要求、技术标准和要求、磋商范围等实质性内容作出响应。</w:t>
      </w:r>
    </w:p>
    <w:p w14:paraId="44B61B0C">
      <w:pPr>
        <w:snapToGrid w:val="0"/>
        <w:spacing w:line="360" w:lineRule="auto"/>
        <w:ind w:firstLine="415" w:firstLineChars="198"/>
        <w:rPr>
          <w:rFonts w:ascii="宋体" w:hAnsi="宋体" w:cs="宋体"/>
          <w:kern w:val="0"/>
          <w:szCs w:val="21"/>
          <w:highlight w:val="none"/>
        </w:rPr>
      </w:pPr>
      <w:r>
        <w:rPr>
          <w:rFonts w:hint="eastAsia" w:ascii="宋体" w:hAnsi="宋体" w:cs="宋体"/>
          <w:kern w:val="0"/>
          <w:szCs w:val="21"/>
          <w:highlight w:val="none"/>
        </w:rPr>
        <w:t>20.3响应文件应用不褪色的材料书写或打印，并由供应商的法定代表人盖章或盖单位公章；响应文件应尽量避免涂改、行间插字或删除，如果出现上述情况，改动之处应加盖单位公章或由供应商的法定代表人盖章确认。签字或盖章的具体要求见供应商须知前附表。</w:t>
      </w:r>
    </w:p>
    <w:p w14:paraId="14AA644D">
      <w:pPr>
        <w:snapToGrid w:val="0"/>
        <w:spacing w:line="360" w:lineRule="auto"/>
        <w:ind w:firstLine="415" w:firstLineChars="198"/>
        <w:rPr>
          <w:rFonts w:ascii="宋体" w:hAnsi="宋体" w:cs="宋体"/>
          <w:kern w:val="0"/>
          <w:szCs w:val="21"/>
          <w:highlight w:val="none"/>
        </w:rPr>
      </w:pPr>
      <w:r>
        <w:rPr>
          <w:rFonts w:hint="eastAsia" w:ascii="宋体" w:hAnsi="宋体" w:cs="宋体"/>
          <w:kern w:val="0"/>
          <w:szCs w:val="21"/>
          <w:highlight w:val="none"/>
        </w:rPr>
        <w:t>20.4响应文件份数见供应商须知前附表。响应文件正本和副本的封面上应清楚地标记“正本”或“副本”的字样。</w:t>
      </w:r>
    </w:p>
    <w:p w14:paraId="650D0F12">
      <w:pPr>
        <w:snapToGrid w:val="0"/>
        <w:spacing w:line="360" w:lineRule="auto"/>
        <w:ind w:firstLine="415" w:firstLineChars="198"/>
        <w:rPr>
          <w:rFonts w:ascii="宋体" w:hAnsi="宋体" w:cs="宋体"/>
          <w:kern w:val="0"/>
          <w:szCs w:val="21"/>
          <w:highlight w:val="none"/>
        </w:rPr>
      </w:pPr>
      <w:r>
        <w:rPr>
          <w:rFonts w:hint="eastAsia" w:ascii="宋体" w:hAnsi="宋体" w:cs="宋体"/>
          <w:kern w:val="0"/>
          <w:szCs w:val="21"/>
          <w:highlight w:val="none"/>
        </w:rPr>
        <w:t>20.5响应文件的具体装订要求见供应商须知前附表规定。</w:t>
      </w:r>
    </w:p>
    <w:p w14:paraId="6F6A4EF5">
      <w:pPr>
        <w:snapToGrid w:val="0"/>
        <w:spacing w:line="360" w:lineRule="auto"/>
        <w:jc w:val="center"/>
        <w:outlineLvl w:val="1"/>
        <w:rPr>
          <w:rFonts w:ascii="宋体" w:hAnsi="宋体" w:cs="宋体"/>
          <w:b/>
          <w:bCs/>
          <w:kern w:val="0"/>
          <w:sz w:val="28"/>
          <w:szCs w:val="28"/>
          <w:highlight w:val="none"/>
        </w:rPr>
      </w:pPr>
      <w:r>
        <w:rPr>
          <w:rFonts w:hint="eastAsia" w:ascii="宋体" w:hAnsi="宋体" w:cs="宋体"/>
          <w:b/>
          <w:bCs/>
          <w:kern w:val="0"/>
          <w:sz w:val="28"/>
          <w:szCs w:val="28"/>
          <w:highlight w:val="none"/>
        </w:rPr>
        <w:t>四、响应文件的递交</w:t>
      </w:r>
    </w:p>
    <w:p w14:paraId="69BA0BFC">
      <w:pPr>
        <w:snapToGrid w:val="0"/>
        <w:spacing w:line="360" w:lineRule="auto"/>
        <w:ind w:firstLine="417" w:firstLineChars="198"/>
        <w:rPr>
          <w:rFonts w:ascii="宋体" w:hAnsi="宋体" w:cs="宋体"/>
          <w:b/>
          <w:kern w:val="0"/>
          <w:szCs w:val="21"/>
          <w:highlight w:val="none"/>
        </w:rPr>
      </w:pPr>
      <w:r>
        <w:rPr>
          <w:rFonts w:hint="eastAsia" w:ascii="宋体" w:hAnsi="宋体" w:cs="宋体"/>
          <w:b/>
          <w:kern w:val="0"/>
          <w:szCs w:val="21"/>
          <w:highlight w:val="none"/>
        </w:rPr>
        <w:t>21. 响应文件的密封、标记</w:t>
      </w:r>
    </w:p>
    <w:p w14:paraId="0E4CF871">
      <w:pPr>
        <w:spacing w:line="360" w:lineRule="auto"/>
        <w:ind w:firstLine="424" w:firstLineChars="202"/>
        <w:rPr>
          <w:rFonts w:ascii="宋体" w:hAnsi="宋体" w:cs="宋体"/>
          <w:kern w:val="0"/>
          <w:szCs w:val="21"/>
          <w:highlight w:val="none"/>
        </w:rPr>
      </w:pPr>
      <w:r>
        <w:rPr>
          <w:rFonts w:hint="eastAsia" w:ascii="宋体" w:hAnsi="宋体" w:cs="宋体"/>
          <w:kern w:val="0"/>
          <w:szCs w:val="21"/>
          <w:highlight w:val="none"/>
        </w:rPr>
        <w:t>21.1</w:t>
      </w:r>
      <w:r>
        <w:rPr>
          <w:rFonts w:hint="eastAsia" w:ascii="宋体" w:hAnsi="宋体" w:cs="宋体"/>
          <w:highlight w:val="none"/>
        </w:rPr>
        <w:t>响应文件应密封包装，并在封套的封口处加盖供应商单位章或由供应商的法定代表人（单位负责人）或其授权的代理人签字。</w:t>
      </w:r>
    </w:p>
    <w:p w14:paraId="40994B21">
      <w:pPr>
        <w:snapToGrid w:val="0"/>
        <w:spacing w:line="360" w:lineRule="auto"/>
        <w:ind w:firstLine="420" w:firstLineChars="200"/>
        <w:jc w:val="left"/>
        <w:rPr>
          <w:rFonts w:ascii="宋体" w:hAnsi="宋体" w:cs="宋体"/>
          <w:highlight w:val="none"/>
        </w:rPr>
      </w:pPr>
      <w:r>
        <w:rPr>
          <w:rFonts w:hint="eastAsia" w:ascii="宋体" w:hAnsi="宋体" w:cs="宋体"/>
          <w:highlight w:val="none"/>
        </w:rPr>
        <w:t>21.2 未按本章第21.1项要求密封的</w:t>
      </w:r>
      <w:r>
        <w:rPr>
          <w:rFonts w:hint="eastAsia" w:ascii="宋体" w:hAnsi="宋体" w:cs="宋体"/>
          <w:kern w:val="0"/>
          <w:szCs w:val="21"/>
          <w:highlight w:val="none"/>
        </w:rPr>
        <w:t>响应</w:t>
      </w:r>
      <w:r>
        <w:rPr>
          <w:rFonts w:hint="eastAsia" w:ascii="宋体" w:hAnsi="宋体" w:cs="宋体"/>
          <w:highlight w:val="none"/>
        </w:rPr>
        <w:t>文件，采购人不予受理。</w:t>
      </w:r>
    </w:p>
    <w:p w14:paraId="715B9F82">
      <w:pPr>
        <w:snapToGrid w:val="0"/>
        <w:spacing w:line="360" w:lineRule="auto"/>
        <w:ind w:firstLine="417" w:firstLineChars="198"/>
        <w:rPr>
          <w:rFonts w:ascii="宋体" w:hAnsi="宋体" w:cs="宋体"/>
          <w:b/>
          <w:kern w:val="0"/>
          <w:szCs w:val="21"/>
          <w:highlight w:val="none"/>
        </w:rPr>
      </w:pPr>
      <w:r>
        <w:rPr>
          <w:rFonts w:hint="eastAsia" w:ascii="宋体" w:hAnsi="宋体" w:cs="宋体"/>
          <w:b/>
          <w:kern w:val="0"/>
          <w:szCs w:val="21"/>
          <w:highlight w:val="none"/>
        </w:rPr>
        <w:t>22. 响应文件的递交</w:t>
      </w:r>
    </w:p>
    <w:p w14:paraId="1820F67B">
      <w:pPr>
        <w:autoSpaceDE w:val="0"/>
        <w:autoSpaceDN w:val="0"/>
        <w:adjustRightInd w:val="0"/>
        <w:snapToGrid w:val="0"/>
        <w:spacing w:line="360" w:lineRule="auto"/>
        <w:ind w:right="-34" w:rightChars="-16" w:firstLine="420" w:firstLineChars="200"/>
        <w:jc w:val="left"/>
        <w:rPr>
          <w:rFonts w:ascii="宋体" w:hAnsi="宋体" w:cs="宋体"/>
          <w:kern w:val="0"/>
          <w:szCs w:val="21"/>
          <w:highlight w:val="none"/>
        </w:rPr>
      </w:pPr>
      <w:r>
        <w:rPr>
          <w:rFonts w:hint="eastAsia" w:ascii="宋体" w:hAnsi="宋体" w:cs="宋体"/>
          <w:kern w:val="0"/>
          <w:szCs w:val="21"/>
          <w:highlight w:val="none"/>
        </w:rPr>
        <w:t>22.1 供应商应在规定的磋商截止时间前递交响应文件。</w:t>
      </w:r>
    </w:p>
    <w:p w14:paraId="530986CB">
      <w:pPr>
        <w:autoSpaceDE w:val="0"/>
        <w:autoSpaceDN w:val="0"/>
        <w:adjustRightInd w:val="0"/>
        <w:snapToGrid w:val="0"/>
        <w:spacing w:line="360" w:lineRule="auto"/>
        <w:ind w:right="-34" w:rightChars="-16" w:firstLine="420" w:firstLineChars="200"/>
        <w:jc w:val="left"/>
        <w:rPr>
          <w:rFonts w:ascii="宋体" w:hAnsi="宋体" w:cs="宋体"/>
          <w:kern w:val="0"/>
          <w:szCs w:val="21"/>
          <w:highlight w:val="none"/>
        </w:rPr>
      </w:pPr>
      <w:r>
        <w:rPr>
          <w:rFonts w:hint="eastAsia" w:ascii="宋体" w:hAnsi="宋体" w:cs="宋体"/>
          <w:kern w:val="0"/>
          <w:szCs w:val="21"/>
          <w:highlight w:val="none"/>
        </w:rPr>
        <w:t>22.2 供应商递交响应文件的地点：见供应商须知前附表。</w:t>
      </w:r>
    </w:p>
    <w:p w14:paraId="58660397">
      <w:pPr>
        <w:autoSpaceDE w:val="0"/>
        <w:autoSpaceDN w:val="0"/>
        <w:adjustRightInd w:val="0"/>
        <w:snapToGrid w:val="0"/>
        <w:spacing w:line="360" w:lineRule="auto"/>
        <w:ind w:right="-34" w:rightChars="-16" w:firstLine="420" w:firstLineChars="200"/>
        <w:jc w:val="left"/>
        <w:rPr>
          <w:rFonts w:ascii="宋体" w:hAnsi="宋体" w:cs="宋体"/>
          <w:kern w:val="0"/>
          <w:szCs w:val="21"/>
          <w:highlight w:val="none"/>
        </w:rPr>
      </w:pPr>
      <w:r>
        <w:rPr>
          <w:rFonts w:hint="eastAsia" w:ascii="宋体" w:hAnsi="宋体" w:cs="宋体"/>
          <w:kern w:val="0"/>
          <w:szCs w:val="21"/>
          <w:highlight w:val="none"/>
        </w:rPr>
        <w:t>22.3 除供应商须知前附表另有规定外，供应商所递交的响应文件不予退还。</w:t>
      </w:r>
    </w:p>
    <w:p w14:paraId="47B1C6CA">
      <w:pPr>
        <w:autoSpaceDE w:val="0"/>
        <w:autoSpaceDN w:val="0"/>
        <w:adjustRightInd w:val="0"/>
        <w:snapToGrid w:val="0"/>
        <w:spacing w:line="360" w:lineRule="auto"/>
        <w:ind w:right="-34" w:rightChars="-16" w:firstLine="420" w:firstLineChars="200"/>
        <w:jc w:val="left"/>
        <w:rPr>
          <w:rFonts w:ascii="宋体" w:hAnsi="宋体" w:cs="宋体"/>
          <w:kern w:val="0"/>
          <w:szCs w:val="21"/>
          <w:highlight w:val="none"/>
        </w:rPr>
      </w:pPr>
      <w:r>
        <w:rPr>
          <w:rFonts w:hint="eastAsia" w:ascii="宋体" w:hAnsi="宋体" w:cs="宋体"/>
          <w:kern w:val="0"/>
          <w:szCs w:val="21"/>
          <w:highlight w:val="none"/>
        </w:rPr>
        <w:t>22.4 逾期送达的或者未送达指定地点的响应文件，采购人不予受理。</w:t>
      </w:r>
    </w:p>
    <w:p w14:paraId="3F7388B2">
      <w:pPr>
        <w:snapToGrid w:val="0"/>
        <w:spacing w:line="360" w:lineRule="auto"/>
        <w:ind w:firstLine="417" w:firstLineChars="198"/>
        <w:rPr>
          <w:rFonts w:ascii="宋体" w:hAnsi="宋体" w:cs="宋体"/>
          <w:b/>
          <w:kern w:val="0"/>
          <w:szCs w:val="21"/>
          <w:highlight w:val="none"/>
        </w:rPr>
      </w:pPr>
      <w:r>
        <w:rPr>
          <w:rFonts w:hint="eastAsia" w:ascii="宋体" w:hAnsi="宋体" w:cs="宋体"/>
          <w:b/>
          <w:kern w:val="0"/>
          <w:szCs w:val="21"/>
          <w:highlight w:val="none"/>
        </w:rPr>
        <w:t>23. 响应文件的修改和撤回</w:t>
      </w:r>
    </w:p>
    <w:p w14:paraId="03FDC95E">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23.1 供应商在投标截止时间前，可以对所提交的响应文件进行补充、修改或者撤回，并书面通知采购人。补充、修改的内容和撤回通知应当按本须知要求签署、盖章、密封，并作为响应文件的组成部分。</w:t>
      </w:r>
    </w:p>
    <w:p w14:paraId="19274C24">
      <w:pPr>
        <w:snapToGrid w:val="0"/>
        <w:spacing w:line="360" w:lineRule="auto"/>
        <w:ind w:firstLine="420" w:firstLineChars="200"/>
        <w:jc w:val="left"/>
        <w:rPr>
          <w:rFonts w:ascii="宋体" w:hAnsi="宋体" w:cs="宋体"/>
          <w:kern w:val="0"/>
          <w:sz w:val="24"/>
          <w:highlight w:val="none"/>
        </w:rPr>
      </w:pPr>
      <w:r>
        <w:rPr>
          <w:rFonts w:hint="eastAsia" w:ascii="宋体" w:hAnsi="宋体" w:cs="宋体"/>
          <w:kern w:val="0"/>
          <w:szCs w:val="21"/>
          <w:highlight w:val="none"/>
        </w:rPr>
        <w:t>23.2 供应商在磋商截止期后不得修改、撤回响应文件。供应商在投标截止期后修改响应文件的，其投标将被拒绝。</w:t>
      </w:r>
    </w:p>
    <w:p w14:paraId="52DDA62B">
      <w:pPr>
        <w:snapToGrid w:val="0"/>
        <w:spacing w:line="360" w:lineRule="auto"/>
        <w:jc w:val="center"/>
        <w:outlineLvl w:val="1"/>
        <w:rPr>
          <w:rFonts w:ascii="宋体" w:hAnsi="宋体" w:cs="宋体"/>
          <w:b/>
          <w:bCs/>
          <w:kern w:val="0"/>
          <w:sz w:val="28"/>
          <w:szCs w:val="28"/>
          <w:highlight w:val="none"/>
        </w:rPr>
      </w:pPr>
      <w:r>
        <w:rPr>
          <w:rFonts w:hint="eastAsia" w:ascii="宋体" w:hAnsi="宋体" w:cs="宋体"/>
          <w:b/>
          <w:bCs/>
          <w:kern w:val="0"/>
          <w:sz w:val="28"/>
          <w:szCs w:val="28"/>
          <w:highlight w:val="none"/>
        </w:rPr>
        <w:t>五、评标</w:t>
      </w:r>
    </w:p>
    <w:p w14:paraId="31CB22DC">
      <w:pPr>
        <w:snapToGrid w:val="0"/>
        <w:spacing w:line="360" w:lineRule="auto"/>
        <w:ind w:firstLine="422" w:firstLineChars="200"/>
        <w:jc w:val="left"/>
        <w:rPr>
          <w:rFonts w:ascii="宋体" w:hAnsi="宋体" w:cs="宋体"/>
          <w:kern w:val="0"/>
          <w:szCs w:val="21"/>
          <w:highlight w:val="none"/>
        </w:rPr>
      </w:pPr>
      <w:r>
        <w:rPr>
          <w:rFonts w:hint="eastAsia" w:ascii="宋体" w:hAnsi="宋体" w:cs="宋体"/>
          <w:b/>
          <w:bCs/>
          <w:kern w:val="0"/>
          <w:szCs w:val="21"/>
          <w:highlight w:val="none"/>
        </w:rPr>
        <w:t>24. 组建磋商小组</w:t>
      </w:r>
    </w:p>
    <w:p w14:paraId="2B565727">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24.1 磋商小组由采购人代表和评审专家组成。成员由3人以上单数组成。</w:t>
      </w:r>
      <w:r>
        <w:rPr>
          <w:rFonts w:hint="eastAsia" w:ascii="宋体" w:hAnsi="宋体" w:cs="宋体"/>
          <w:szCs w:val="21"/>
          <w:highlight w:val="none"/>
        </w:rPr>
        <w:t>在开标后由磋商小组对</w:t>
      </w:r>
      <w:r>
        <w:rPr>
          <w:rFonts w:hint="eastAsia" w:ascii="宋体" w:hAnsi="宋体" w:cs="宋体"/>
          <w:kern w:val="0"/>
          <w:szCs w:val="21"/>
          <w:highlight w:val="none"/>
        </w:rPr>
        <w:t>响应文件</w:t>
      </w:r>
      <w:r>
        <w:rPr>
          <w:rFonts w:hint="eastAsia" w:ascii="宋体" w:hAnsi="宋体" w:cs="宋体"/>
          <w:szCs w:val="21"/>
          <w:highlight w:val="none"/>
        </w:rPr>
        <w:t>进行审查、质疑、评估和比较，并做合理的建议。</w:t>
      </w:r>
    </w:p>
    <w:p w14:paraId="35C79731">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24.2磋商小组成员要依法独立评审，并对评审意见承担个人责任。</w:t>
      </w:r>
      <w:r>
        <w:rPr>
          <w:rFonts w:hint="eastAsia" w:ascii="宋体" w:hAnsi="宋体" w:cs="宋体"/>
          <w:szCs w:val="21"/>
          <w:highlight w:val="none"/>
        </w:rPr>
        <w:t>磋商小组成员对需要共同认定的事项存在争议的，按照少数服从多数的原则</w:t>
      </w:r>
      <w:r>
        <w:rPr>
          <w:rFonts w:hint="eastAsia" w:ascii="宋体" w:hAnsi="宋体" w:cs="宋体"/>
          <w:kern w:val="0"/>
          <w:szCs w:val="21"/>
          <w:highlight w:val="none"/>
        </w:rPr>
        <w:t>做</w:t>
      </w:r>
      <w:r>
        <w:rPr>
          <w:rFonts w:hint="eastAsia" w:ascii="宋体" w:hAnsi="宋体" w:cs="宋体"/>
          <w:szCs w:val="21"/>
          <w:highlight w:val="none"/>
        </w:rPr>
        <w:t>出结论。持不同意见的磋商小组成员应当在评审报告上签署不同意见</w:t>
      </w:r>
      <w:r>
        <w:rPr>
          <w:rFonts w:hint="eastAsia" w:ascii="宋体" w:hAnsi="宋体" w:cs="宋体"/>
          <w:kern w:val="0"/>
          <w:szCs w:val="21"/>
          <w:highlight w:val="none"/>
        </w:rPr>
        <w:t>并说明</w:t>
      </w:r>
      <w:r>
        <w:rPr>
          <w:rFonts w:hint="eastAsia" w:ascii="宋体" w:hAnsi="宋体" w:cs="宋体"/>
          <w:szCs w:val="21"/>
          <w:highlight w:val="none"/>
        </w:rPr>
        <w:t>理由，否则视为同意。</w:t>
      </w:r>
    </w:p>
    <w:p w14:paraId="0ED5AB52">
      <w:pPr>
        <w:snapToGrid w:val="0"/>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rPr>
        <w:t xml:space="preserve">25. </w:t>
      </w:r>
      <w:r>
        <w:rPr>
          <w:rFonts w:hint="eastAsia" w:ascii="宋体" w:hAnsi="宋体" w:cs="宋体"/>
          <w:b/>
          <w:bCs/>
          <w:kern w:val="0"/>
          <w:szCs w:val="21"/>
          <w:highlight w:val="none"/>
        </w:rPr>
        <w:t>响应</w:t>
      </w:r>
      <w:r>
        <w:rPr>
          <w:rFonts w:hint="eastAsia" w:ascii="宋体" w:hAnsi="宋体" w:cs="宋体"/>
          <w:b/>
          <w:bCs/>
          <w:szCs w:val="21"/>
          <w:highlight w:val="none"/>
        </w:rPr>
        <w:t>文件的初审</w:t>
      </w:r>
    </w:p>
    <w:p w14:paraId="2DEDB8FF">
      <w:pPr>
        <w:pStyle w:val="31"/>
        <w:snapToGrid w:val="0"/>
        <w:spacing w:before="0" w:beforeAutospacing="0" w:after="0" w:afterAutospacing="0" w:line="360" w:lineRule="auto"/>
        <w:ind w:firstLine="420" w:firstLineChars="200"/>
        <w:jc w:val="both"/>
        <w:rPr>
          <w:rFonts w:ascii="宋体" w:hAnsi="宋体" w:cs="宋体"/>
          <w:sz w:val="21"/>
          <w:szCs w:val="21"/>
          <w:highlight w:val="none"/>
        </w:rPr>
      </w:pPr>
      <w:r>
        <w:rPr>
          <w:rFonts w:hint="eastAsia" w:ascii="宋体" w:hAnsi="宋体" w:cs="宋体"/>
          <w:sz w:val="21"/>
          <w:szCs w:val="21"/>
          <w:highlight w:val="none"/>
        </w:rPr>
        <w:t>25.1对所有供应商的评估，都采用相同的程序和标准。评标过程将严格按照采购文件的要求和条件进行。</w:t>
      </w:r>
    </w:p>
    <w:p w14:paraId="75922475">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25.2 磋商小组将对响应文件进行检查，以确定响应文件是否完整、有无计算上的错误、文件是否已正确签署等。</w:t>
      </w:r>
    </w:p>
    <w:p w14:paraId="06CBDE97">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25.3 响应文件报价出现前后不一致的，除采购文件另有规定外，修正错误的原则如下：</w:t>
      </w:r>
    </w:p>
    <w:p w14:paraId="45DA4EB9">
      <w:pPr>
        <w:pStyle w:val="31"/>
        <w:shd w:val="clear" w:color="auto" w:fill="FFFFFF"/>
        <w:snapToGrid w:val="0"/>
        <w:spacing w:before="0" w:beforeAutospacing="0" w:after="0" w:afterAutospacing="0" w:line="360" w:lineRule="auto"/>
        <w:ind w:firstLine="420" w:firstLineChars="200"/>
        <w:jc w:val="both"/>
        <w:rPr>
          <w:rFonts w:ascii="宋体" w:hAnsi="宋体" w:cs="宋体"/>
          <w:sz w:val="21"/>
          <w:szCs w:val="21"/>
          <w:highlight w:val="none"/>
        </w:rPr>
      </w:pPr>
      <w:r>
        <w:rPr>
          <w:rFonts w:hint="eastAsia" w:ascii="宋体" w:hAnsi="宋体" w:cs="宋体"/>
          <w:sz w:val="21"/>
          <w:szCs w:val="21"/>
          <w:highlight w:val="none"/>
        </w:rPr>
        <w:t>25.3.1响应文件</w:t>
      </w:r>
      <w:r>
        <w:rPr>
          <w:rFonts w:hint="eastAsia" w:ascii="宋体" w:hAnsi="宋体" w:cs="宋体"/>
          <w:sz w:val="21"/>
          <w:szCs w:val="21"/>
          <w:highlight w:val="none"/>
          <w:shd w:val="clear" w:color="auto" w:fill="FFFFFF"/>
        </w:rPr>
        <w:t>初次报价一览表（报价表）内容与响应文件中相应内容不一致的，以初次报价一览表（报价表）为准；</w:t>
      </w:r>
    </w:p>
    <w:p w14:paraId="7AB89042">
      <w:pPr>
        <w:pStyle w:val="31"/>
        <w:shd w:val="clear" w:color="auto" w:fill="FFFFFF"/>
        <w:snapToGrid w:val="0"/>
        <w:spacing w:before="0" w:beforeAutospacing="0" w:after="0" w:afterAutospacing="0" w:line="360" w:lineRule="auto"/>
        <w:ind w:firstLine="420" w:firstLineChars="200"/>
        <w:jc w:val="both"/>
        <w:rPr>
          <w:rFonts w:ascii="宋体" w:hAnsi="宋体" w:cs="宋体"/>
          <w:sz w:val="21"/>
          <w:szCs w:val="21"/>
          <w:highlight w:val="none"/>
        </w:rPr>
      </w:pPr>
      <w:r>
        <w:rPr>
          <w:rFonts w:hint="eastAsia" w:ascii="宋体" w:hAnsi="宋体" w:cs="宋体"/>
          <w:sz w:val="21"/>
          <w:szCs w:val="21"/>
          <w:highlight w:val="none"/>
        </w:rPr>
        <w:t>25.3.2</w:t>
      </w:r>
      <w:r>
        <w:rPr>
          <w:rFonts w:hint="eastAsia" w:ascii="宋体" w:hAnsi="宋体" w:cs="宋体"/>
          <w:sz w:val="21"/>
          <w:szCs w:val="21"/>
          <w:highlight w:val="none"/>
          <w:shd w:val="clear" w:color="auto" w:fill="FFFFFF"/>
        </w:rPr>
        <w:t>大写金额</w:t>
      </w:r>
      <w:r>
        <w:rPr>
          <w:rFonts w:hint="eastAsia" w:ascii="宋体" w:hAnsi="宋体" w:cs="宋体"/>
          <w:sz w:val="21"/>
          <w:szCs w:val="21"/>
          <w:highlight w:val="none"/>
        </w:rPr>
        <w:t>与</w:t>
      </w:r>
      <w:r>
        <w:rPr>
          <w:rFonts w:hint="eastAsia" w:ascii="宋体" w:hAnsi="宋体" w:cs="宋体"/>
          <w:sz w:val="21"/>
          <w:szCs w:val="21"/>
          <w:highlight w:val="none"/>
          <w:shd w:val="clear" w:color="auto" w:fill="FFFFFF"/>
        </w:rPr>
        <w:t>小写金额不一致的，以大写金额为准；</w:t>
      </w:r>
    </w:p>
    <w:p w14:paraId="07F72CB6">
      <w:pPr>
        <w:pStyle w:val="31"/>
        <w:shd w:val="clear" w:color="auto" w:fill="FFFFFF"/>
        <w:snapToGrid w:val="0"/>
        <w:spacing w:before="0" w:beforeAutospacing="0" w:after="0" w:afterAutospacing="0" w:line="360" w:lineRule="auto"/>
        <w:ind w:firstLine="420" w:firstLineChars="200"/>
        <w:jc w:val="both"/>
        <w:rPr>
          <w:rFonts w:ascii="宋体" w:hAnsi="宋体" w:cs="宋体"/>
          <w:sz w:val="21"/>
          <w:szCs w:val="21"/>
          <w:highlight w:val="none"/>
        </w:rPr>
      </w:pPr>
      <w:r>
        <w:rPr>
          <w:rFonts w:hint="eastAsia" w:ascii="宋体" w:hAnsi="宋体" w:cs="宋体"/>
          <w:sz w:val="21"/>
          <w:szCs w:val="21"/>
          <w:highlight w:val="none"/>
        </w:rPr>
        <w:t>25.3.3</w:t>
      </w:r>
      <w:r>
        <w:rPr>
          <w:rFonts w:hint="eastAsia" w:ascii="宋体" w:hAnsi="宋体" w:cs="宋体"/>
          <w:sz w:val="21"/>
          <w:szCs w:val="21"/>
          <w:highlight w:val="none"/>
          <w:shd w:val="clear" w:color="auto" w:fill="FFFFFF"/>
        </w:rPr>
        <w:t>单价金额小数点或者百分比有明显错位的，以初次报价一览表的总价为准，并修改单价；</w:t>
      </w:r>
    </w:p>
    <w:p w14:paraId="5A1E2017">
      <w:pPr>
        <w:pStyle w:val="31"/>
        <w:shd w:val="clear" w:color="auto" w:fill="FFFFFF"/>
        <w:snapToGrid w:val="0"/>
        <w:spacing w:before="0" w:beforeAutospacing="0" w:after="0" w:afterAutospacing="0" w:line="360" w:lineRule="auto"/>
        <w:ind w:firstLine="420" w:firstLineChars="200"/>
        <w:jc w:val="both"/>
        <w:rPr>
          <w:rFonts w:ascii="宋体" w:hAnsi="宋体" w:cs="宋体"/>
          <w:sz w:val="21"/>
          <w:szCs w:val="21"/>
          <w:highlight w:val="none"/>
        </w:rPr>
      </w:pPr>
      <w:r>
        <w:rPr>
          <w:rFonts w:hint="eastAsia" w:ascii="宋体" w:hAnsi="宋体" w:cs="宋体"/>
          <w:sz w:val="21"/>
          <w:szCs w:val="21"/>
          <w:highlight w:val="none"/>
        </w:rPr>
        <w:t>25.3.4</w:t>
      </w:r>
      <w:r>
        <w:rPr>
          <w:rFonts w:hint="eastAsia" w:ascii="宋体" w:hAnsi="宋体" w:cs="宋体"/>
          <w:sz w:val="21"/>
          <w:szCs w:val="21"/>
          <w:highlight w:val="none"/>
          <w:shd w:val="clear" w:color="auto" w:fill="FFFFFF"/>
        </w:rPr>
        <w:t>总价金额与按单价汇总金额不一致的，以单价金额计算结果为准。</w:t>
      </w:r>
    </w:p>
    <w:p w14:paraId="6467643C">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25.3.5对不同文字文本响应文件的解释发生异议的，以中文文本为准。</w:t>
      </w:r>
    </w:p>
    <w:p w14:paraId="38E34B0A">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25.3.6同时出现两种以上不一致的，按照前款规定的顺序修正。修正后的报价按照财政部87号令第五十一条第二款的规定经供应商确认后产生约束力，供应商不确认的，其投标无效。</w:t>
      </w:r>
    </w:p>
    <w:p w14:paraId="30ED176C">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25.4 资格性检查和符合性检查。</w:t>
      </w:r>
    </w:p>
    <w:p w14:paraId="6910BAFD">
      <w:pPr>
        <w:tabs>
          <w:tab w:val="left" w:pos="0"/>
        </w:tabs>
        <w:snapToGrid w:val="0"/>
        <w:spacing w:line="360" w:lineRule="auto"/>
        <w:ind w:firstLine="420" w:firstLineChars="200"/>
        <w:contextualSpacing/>
        <w:jc w:val="left"/>
        <w:rPr>
          <w:rFonts w:ascii="宋体" w:hAnsi="宋体" w:cs="宋体"/>
          <w:szCs w:val="21"/>
          <w:highlight w:val="none"/>
        </w:rPr>
      </w:pPr>
      <w:r>
        <w:rPr>
          <w:rFonts w:hint="eastAsia" w:ascii="宋体" w:hAnsi="宋体" w:cs="宋体"/>
          <w:kern w:val="0"/>
          <w:szCs w:val="21"/>
          <w:highlight w:val="none"/>
        </w:rPr>
        <w:t>25.4.1</w:t>
      </w:r>
      <w:r>
        <w:rPr>
          <w:rFonts w:hint="eastAsia" w:ascii="宋体" w:hAnsi="宋体" w:cs="宋体"/>
          <w:szCs w:val="21"/>
          <w:highlight w:val="none"/>
        </w:rPr>
        <w:t>资格性检查。依据法规政策和采购文件的规定，在对</w:t>
      </w:r>
      <w:r>
        <w:rPr>
          <w:rFonts w:hint="eastAsia" w:ascii="宋体" w:hAnsi="宋体" w:cs="宋体"/>
          <w:szCs w:val="21"/>
          <w:highlight w:val="none"/>
          <w:shd w:val="clear" w:color="auto" w:fill="FFFFFF"/>
        </w:rPr>
        <w:t>响应文件</w:t>
      </w:r>
      <w:r>
        <w:rPr>
          <w:rFonts w:hint="eastAsia" w:ascii="宋体" w:hAnsi="宋体" w:cs="宋体"/>
          <w:szCs w:val="21"/>
          <w:highlight w:val="none"/>
        </w:rPr>
        <w:t>详细评估之前，采购人将依据供应商提交的</w:t>
      </w:r>
      <w:r>
        <w:rPr>
          <w:rFonts w:hint="eastAsia" w:ascii="宋体" w:hAnsi="宋体" w:cs="宋体"/>
          <w:szCs w:val="21"/>
          <w:highlight w:val="none"/>
          <w:shd w:val="clear" w:color="auto" w:fill="FFFFFF"/>
        </w:rPr>
        <w:t>响应文件</w:t>
      </w:r>
      <w:r>
        <w:rPr>
          <w:rFonts w:hint="eastAsia" w:ascii="宋体" w:hAnsi="宋体" w:cs="宋体"/>
          <w:szCs w:val="21"/>
          <w:highlight w:val="none"/>
        </w:rPr>
        <w:t>按采购公告第二项和采购文件第三章4.供应商应提交的证明文件所述的资格标准对供应商进行资格审查,以确定其是否具备磋商资格。如果供应商不具备磋商资格、不满足采购文件所规定的资格标准或提供资格证明文件不全,其投标将被作为无效磋商。在审查过程中，采购人有权要求供应商按采购文件的规定提供相关资格证明材料的原件以供审查。供应商应在规定的时限内提供。供应商拒不提供的，或者不能在规定时限内提供的，视为其不具备该资格条件。</w:t>
      </w:r>
    </w:p>
    <w:p w14:paraId="78D30DD5">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25.4.2 资格审查后合格的供应商不足3家的，不得评标。</w:t>
      </w:r>
    </w:p>
    <w:p w14:paraId="2188682F">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25.4.3 符合性检查。依据采购文件的规定，磋商小组将从</w:t>
      </w:r>
      <w:r>
        <w:rPr>
          <w:rFonts w:hint="eastAsia" w:ascii="宋体" w:hAnsi="宋体" w:cs="宋体"/>
          <w:szCs w:val="21"/>
          <w:highlight w:val="none"/>
          <w:shd w:val="clear" w:color="auto" w:fill="FFFFFF"/>
        </w:rPr>
        <w:t>响应文件</w:t>
      </w:r>
      <w:r>
        <w:rPr>
          <w:rFonts w:hint="eastAsia" w:ascii="宋体" w:hAnsi="宋体" w:cs="宋体"/>
          <w:kern w:val="0"/>
          <w:szCs w:val="21"/>
          <w:highlight w:val="none"/>
        </w:rPr>
        <w:t>的有效性、完整性和对采购文件的响应程度进行审查，以确定是否符合对采购文件的实质性要求作出响应。对没有实质性响应的响应文件将不进行评估，其投标被作为无效磋商。凡有下列情况之一者，响应文件也将被视为未实质性响应采购文件要求：</w:t>
      </w:r>
    </w:p>
    <w:p w14:paraId="674F4C16">
      <w:pPr>
        <w:tabs>
          <w:tab w:val="left" w:pos="0"/>
        </w:tabs>
        <w:snapToGrid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shd w:val="clear" w:color="auto" w:fill="FFFFFF"/>
        </w:rPr>
        <w:t>响应文件</w:t>
      </w:r>
      <w:r>
        <w:rPr>
          <w:rFonts w:hint="eastAsia" w:ascii="宋体" w:hAnsi="宋体" w:cs="宋体"/>
          <w:szCs w:val="21"/>
          <w:highlight w:val="none"/>
        </w:rPr>
        <w:t>未按规定签字、盖章的。</w:t>
      </w:r>
    </w:p>
    <w:p w14:paraId="1F30CB34">
      <w:pPr>
        <w:tabs>
          <w:tab w:val="left" w:pos="0"/>
        </w:tabs>
        <w:snapToGrid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（2）供应商未能出具有效身份证明，或与身份不符的。</w:t>
      </w:r>
    </w:p>
    <w:p w14:paraId="11C152EE">
      <w:pPr>
        <w:tabs>
          <w:tab w:val="left" w:pos="0"/>
        </w:tabs>
        <w:snapToGrid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（3）未按磋商文件规定报价，报价均超过采购预算或最高限价的。</w:t>
      </w:r>
    </w:p>
    <w:p w14:paraId="19E8DB1F">
      <w:pPr>
        <w:tabs>
          <w:tab w:val="left" w:pos="0"/>
        </w:tabs>
        <w:snapToGrid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shd w:val="clear" w:color="auto" w:fill="FFFFFF"/>
        </w:rPr>
        <w:t>响应文件</w:t>
      </w:r>
      <w:r>
        <w:rPr>
          <w:rFonts w:hint="eastAsia" w:ascii="宋体" w:hAnsi="宋体" w:cs="宋体"/>
          <w:szCs w:val="21"/>
          <w:highlight w:val="none"/>
        </w:rPr>
        <w:t>有效期、交货期、质量</w:t>
      </w:r>
      <w:r>
        <w:rPr>
          <w:rFonts w:hint="eastAsia" w:ascii="宋体" w:hAnsi="宋体" w:cs="宋体"/>
          <w:szCs w:val="21"/>
          <w:highlight w:val="none"/>
          <w:lang w:val="en-US" w:eastAsia="zh-CN"/>
        </w:rPr>
        <w:t>要求</w:t>
      </w:r>
      <w:r>
        <w:rPr>
          <w:rFonts w:hint="eastAsia" w:ascii="宋体" w:hAnsi="宋体" w:cs="宋体"/>
          <w:szCs w:val="21"/>
          <w:highlight w:val="none"/>
        </w:rPr>
        <w:t>等不满足采购文件要求的。</w:t>
      </w:r>
    </w:p>
    <w:p w14:paraId="588F9D7D">
      <w:pPr>
        <w:tabs>
          <w:tab w:val="left" w:pos="0"/>
        </w:tabs>
        <w:snapToGrid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（5）未按采购文件提供的格式填列、项目不齐全或内容虚假的。</w:t>
      </w:r>
    </w:p>
    <w:p w14:paraId="31148625">
      <w:pPr>
        <w:tabs>
          <w:tab w:val="left" w:pos="0"/>
        </w:tabs>
        <w:snapToGrid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（6）</w:t>
      </w:r>
      <w:r>
        <w:rPr>
          <w:rFonts w:hint="eastAsia" w:ascii="宋体" w:hAnsi="宋体" w:cs="宋体"/>
          <w:szCs w:val="21"/>
          <w:highlight w:val="none"/>
          <w:shd w:val="clear" w:color="auto" w:fill="FFFFFF"/>
        </w:rPr>
        <w:t>响应文件</w:t>
      </w:r>
      <w:r>
        <w:rPr>
          <w:rFonts w:hint="eastAsia" w:ascii="宋体" w:hAnsi="宋体" w:cs="宋体"/>
          <w:szCs w:val="21"/>
          <w:highlight w:val="none"/>
        </w:rPr>
        <w:t>的实质性内容未使用中文表述，或意思表述不明确，或前后矛盾，或使用计量单位不符合采购文件要求的。</w:t>
      </w:r>
    </w:p>
    <w:p w14:paraId="6C0AD96A">
      <w:pPr>
        <w:tabs>
          <w:tab w:val="left" w:pos="0"/>
        </w:tabs>
        <w:snapToGrid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shd w:val="clear" w:color="auto" w:fill="FFFFFF"/>
        </w:rPr>
        <w:t>响应文件</w:t>
      </w:r>
      <w:r>
        <w:rPr>
          <w:rFonts w:hint="eastAsia" w:ascii="宋体" w:hAnsi="宋体" w:cs="宋体"/>
          <w:szCs w:val="21"/>
          <w:highlight w:val="none"/>
        </w:rPr>
        <w:t>的关键内容字迹模糊、无法辨认,或</w:t>
      </w:r>
      <w:r>
        <w:rPr>
          <w:rFonts w:hint="eastAsia" w:ascii="宋体" w:hAnsi="宋体" w:cs="宋体"/>
          <w:kern w:val="0"/>
          <w:szCs w:val="21"/>
          <w:highlight w:val="none"/>
        </w:rPr>
        <w:t>响应</w:t>
      </w:r>
      <w:r>
        <w:rPr>
          <w:rFonts w:hint="eastAsia" w:ascii="宋体" w:hAnsi="宋体" w:cs="宋体"/>
          <w:szCs w:val="21"/>
          <w:highlight w:val="none"/>
        </w:rPr>
        <w:t>文件中经修正的内容字迹模糊无法辩认，或修改处未按规定签名盖章的。</w:t>
      </w:r>
    </w:p>
    <w:p w14:paraId="0CF814E4">
      <w:pPr>
        <w:tabs>
          <w:tab w:val="left" w:pos="0"/>
        </w:tabs>
        <w:snapToGrid w:val="0"/>
        <w:spacing w:line="360" w:lineRule="auto"/>
        <w:ind w:firstLine="420" w:firstLineChars="200"/>
        <w:contextualSpacing/>
        <w:jc w:val="left"/>
        <w:rPr>
          <w:rFonts w:ascii="宋体" w:hAnsi="宋体" w:cs="宋体"/>
          <w:kern w:val="0"/>
          <w:szCs w:val="21"/>
          <w:highlight w:val="none"/>
        </w:rPr>
      </w:pPr>
      <w:r>
        <w:rPr>
          <w:rFonts w:hint="eastAsia" w:ascii="宋体" w:hAnsi="宋体" w:cs="宋体"/>
          <w:szCs w:val="21"/>
          <w:highlight w:val="none"/>
        </w:rPr>
        <w:t>（8）</w:t>
      </w:r>
      <w:r>
        <w:rPr>
          <w:rFonts w:hint="eastAsia" w:ascii="宋体" w:hAnsi="宋体" w:cs="宋体"/>
          <w:szCs w:val="21"/>
          <w:highlight w:val="none"/>
          <w:shd w:val="clear" w:color="auto" w:fill="FFFFFF"/>
        </w:rPr>
        <w:t>响应文件</w:t>
      </w:r>
      <w:r>
        <w:rPr>
          <w:rFonts w:hint="eastAsia" w:ascii="宋体" w:hAnsi="宋体" w:cs="宋体"/>
          <w:szCs w:val="21"/>
          <w:highlight w:val="none"/>
        </w:rPr>
        <w:t>内容未按采购文件响应的。</w:t>
      </w:r>
    </w:p>
    <w:p w14:paraId="1AB07E85">
      <w:pPr>
        <w:tabs>
          <w:tab w:val="left" w:pos="0"/>
        </w:tabs>
        <w:snapToGrid w:val="0"/>
        <w:spacing w:line="360" w:lineRule="auto"/>
        <w:ind w:firstLine="420" w:firstLineChars="200"/>
        <w:contextualSpacing/>
        <w:jc w:val="left"/>
        <w:rPr>
          <w:rFonts w:ascii="宋体" w:hAnsi="宋体" w:cs="宋体"/>
          <w:kern w:val="0"/>
          <w:szCs w:val="21"/>
          <w:highlight w:val="none"/>
        </w:rPr>
      </w:pPr>
      <w:r>
        <w:rPr>
          <w:rFonts w:hint="eastAsia" w:ascii="宋体" w:hAnsi="宋体" w:cs="宋体"/>
          <w:kern w:val="0"/>
          <w:szCs w:val="21"/>
          <w:highlight w:val="none"/>
        </w:rPr>
        <w:t>（9）不符合采购文件中规定的其它实质性条款。</w:t>
      </w:r>
    </w:p>
    <w:p w14:paraId="0120E161">
      <w:pPr>
        <w:tabs>
          <w:tab w:val="left" w:pos="0"/>
        </w:tabs>
        <w:snapToGrid w:val="0"/>
        <w:spacing w:line="360" w:lineRule="auto"/>
        <w:ind w:firstLine="420" w:firstLineChars="200"/>
        <w:contextualSpacing/>
        <w:jc w:val="left"/>
        <w:rPr>
          <w:rFonts w:ascii="宋体" w:hAnsi="宋体" w:cs="宋体"/>
          <w:kern w:val="0"/>
          <w:szCs w:val="21"/>
          <w:highlight w:val="none"/>
        </w:rPr>
      </w:pPr>
      <w:r>
        <w:rPr>
          <w:rFonts w:hint="eastAsia" w:ascii="宋体" w:hAnsi="宋体" w:cs="宋体"/>
          <w:kern w:val="0"/>
          <w:szCs w:val="21"/>
          <w:highlight w:val="none"/>
        </w:rPr>
        <w:t>磋商小组决定投标的响应性只根据响应文件本身的内容，而不寻求其他的外部证据。</w:t>
      </w:r>
    </w:p>
    <w:p w14:paraId="1918DB9F">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25.4.4 对资格性检查和符合性检查不合格的供应商，将通过评标系统告知其理由。</w:t>
      </w:r>
    </w:p>
    <w:p w14:paraId="2BB1A8D0">
      <w:pPr>
        <w:pStyle w:val="31"/>
        <w:snapToGrid w:val="0"/>
        <w:spacing w:before="0" w:beforeAutospacing="0" w:after="0" w:afterAutospacing="0" w:line="360" w:lineRule="auto"/>
        <w:ind w:firstLine="420" w:firstLineChars="200"/>
        <w:jc w:val="both"/>
        <w:rPr>
          <w:rFonts w:ascii="宋体" w:hAnsi="宋体" w:cs="宋体"/>
          <w:sz w:val="21"/>
          <w:szCs w:val="21"/>
          <w:highlight w:val="none"/>
        </w:rPr>
      </w:pPr>
      <w:r>
        <w:rPr>
          <w:rFonts w:hint="eastAsia" w:ascii="宋体" w:hAnsi="宋体" w:cs="宋体"/>
          <w:sz w:val="21"/>
          <w:szCs w:val="21"/>
          <w:highlight w:val="none"/>
        </w:rPr>
        <w:t>25.5 在评审过程中，磋商小组发现供应商有下列情形之一的，视为供应商串通投标，其磋商无效：</w:t>
      </w:r>
    </w:p>
    <w:p w14:paraId="2948BC73">
      <w:pPr>
        <w:tabs>
          <w:tab w:val="left" w:pos="0"/>
        </w:tabs>
        <w:snapToGrid w:val="0"/>
        <w:spacing w:line="360" w:lineRule="auto"/>
        <w:ind w:left="105" w:leftChars="50" w:firstLine="315" w:firstLineChars="150"/>
        <w:contextualSpacing/>
        <w:jc w:val="left"/>
        <w:rPr>
          <w:rFonts w:ascii="宋体" w:hAnsi="宋体" w:cs="宋体"/>
          <w:kern w:val="0"/>
          <w:szCs w:val="21"/>
          <w:highlight w:val="none"/>
        </w:rPr>
      </w:pPr>
      <w:r>
        <w:rPr>
          <w:rFonts w:hint="eastAsia" w:ascii="宋体" w:hAnsi="宋体" w:cs="宋体"/>
          <w:kern w:val="0"/>
          <w:szCs w:val="21"/>
          <w:highlight w:val="none"/>
        </w:rPr>
        <w:t>25.5.1不同供应商的</w:t>
      </w:r>
      <w:r>
        <w:rPr>
          <w:rFonts w:hint="eastAsia" w:ascii="宋体" w:hAnsi="宋体" w:cs="宋体"/>
          <w:szCs w:val="21"/>
          <w:highlight w:val="none"/>
          <w:shd w:val="clear" w:color="auto" w:fill="FFFFFF"/>
        </w:rPr>
        <w:t>响应文件</w:t>
      </w:r>
      <w:r>
        <w:rPr>
          <w:rFonts w:hint="eastAsia" w:ascii="宋体" w:hAnsi="宋体" w:cs="宋体"/>
          <w:kern w:val="0"/>
          <w:szCs w:val="21"/>
          <w:highlight w:val="none"/>
        </w:rPr>
        <w:t>异常一致。</w:t>
      </w:r>
    </w:p>
    <w:p w14:paraId="0EBE3EB2">
      <w:pPr>
        <w:tabs>
          <w:tab w:val="left" w:pos="0"/>
        </w:tabs>
        <w:snapToGrid w:val="0"/>
        <w:spacing w:line="360" w:lineRule="auto"/>
        <w:ind w:left="105" w:leftChars="50" w:firstLine="315" w:firstLineChars="150"/>
        <w:contextualSpacing/>
        <w:jc w:val="left"/>
        <w:rPr>
          <w:rFonts w:ascii="宋体" w:hAnsi="宋体" w:cs="宋体"/>
          <w:szCs w:val="21"/>
          <w:highlight w:val="none"/>
        </w:rPr>
      </w:pPr>
      <w:r>
        <w:rPr>
          <w:rFonts w:hint="eastAsia" w:ascii="宋体" w:hAnsi="宋体" w:cs="宋体"/>
          <w:szCs w:val="21"/>
          <w:highlight w:val="none"/>
        </w:rPr>
        <w:t>25.5.2不同供应商的</w:t>
      </w:r>
      <w:r>
        <w:rPr>
          <w:rFonts w:hint="eastAsia" w:ascii="宋体" w:hAnsi="宋体" w:cs="宋体"/>
          <w:szCs w:val="21"/>
          <w:highlight w:val="none"/>
          <w:shd w:val="clear" w:color="auto" w:fill="FFFFFF"/>
        </w:rPr>
        <w:t>响应文件</w:t>
      </w:r>
      <w:r>
        <w:rPr>
          <w:rFonts w:hint="eastAsia" w:ascii="宋体" w:hAnsi="宋体" w:cs="宋体"/>
          <w:szCs w:val="21"/>
          <w:highlight w:val="none"/>
        </w:rPr>
        <w:t>由同一单位或者个人编制；</w:t>
      </w:r>
    </w:p>
    <w:p w14:paraId="17B681AF">
      <w:pPr>
        <w:tabs>
          <w:tab w:val="left" w:pos="0"/>
        </w:tabs>
        <w:snapToGrid w:val="0"/>
        <w:spacing w:line="360" w:lineRule="auto"/>
        <w:ind w:left="105" w:leftChars="50" w:firstLine="315" w:firstLineChars="150"/>
        <w:contextualSpacing/>
        <w:jc w:val="left"/>
        <w:rPr>
          <w:rFonts w:ascii="宋体" w:hAnsi="宋体" w:cs="宋体"/>
          <w:szCs w:val="21"/>
          <w:highlight w:val="none"/>
        </w:rPr>
      </w:pPr>
      <w:r>
        <w:rPr>
          <w:rFonts w:hint="eastAsia" w:ascii="宋体" w:hAnsi="宋体" w:cs="宋体"/>
          <w:szCs w:val="21"/>
          <w:highlight w:val="none"/>
        </w:rPr>
        <w:t>25.5.3不同供应商委托同一单位或者个人办理投标事宜；</w:t>
      </w:r>
    </w:p>
    <w:p w14:paraId="409A70C8">
      <w:pPr>
        <w:tabs>
          <w:tab w:val="left" w:pos="0"/>
        </w:tabs>
        <w:snapToGrid w:val="0"/>
        <w:spacing w:line="360" w:lineRule="auto"/>
        <w:ind w:left="105" w:leftChars="50" w:firstLine="315" w:firstLineChars="150"/>
        <w:contextualSpacing/>
        <w:jc w:val="left"/>
        <w:rPr>
          <w:rFonts w:ascii="宋体" w:hAnsi="宋体" w:cs="宋体"/>
          <w:szCs w:val="21"/>
          <w:highlight w:val="none"/>
        </w:rPr>
      </w:pPr>
      <w:r>
        <w:rPr>
          <w:rFonts w:hint="eastAsia" w:ascii="宋体" w:hAnsi="宋体" w:cs="宋体"/>
          <w:szCs w:val="21"/>
          <w:highlight w:val="none"/>
        </w:rPr>
        <w:t>25.5.4不同供应商的</w:t>
      </w:r>
      <w:r>
        <w:rPr>
          <w:rFonts w:hint="eastAsia" w:ascii="宋体" w:hAnsi="宋体" w:cs="宋体"/>
          <w:szCs w:val="21"/>
          <w:highlight w:val="none"/>
          <w:shd w:val="clear" w:color="auto" w:fill="FFFFFF"/>
        </w:rPr>
        <w:t>响应文件</w:t>
      </w:r>
      <w:r>
        <w:rPr>
          <w:rFonts w:hint="eastAsia" w:ascii="宋体" w:hAnsi="宋体" w:cs="宋体"/>
          <w:szCs w:val="21"/>
          <w:highlight w:val="none"/>
        </w:rPr>
        <w:t>载明的项目管理成员或者联系人员为同一人；　　</w:t>
      </w:r>
    </w:p>
    <w:p w14:paraId="5D4767C7">
      <w:pPr>
        <w:tabs>
          <w:tab w:val="left" w:pos="0"/>
        </w:tabs>
        <w:snapToGrid w:val="0"/>
        <w:spacing w:line="360" w:lineRule="auto"/>
        <w:ind w:left="105" w:leftChars="50" w:firstLine="315" w:firstLineChars="150"/>
        <w:contextualSpacing/>
        <w:jc w:val="left"/>
        <w:rPr>
          <w:rFonts w:ascii="宋体" w:hAnsi="宋体" w:cs="宋体"/>
          <w:szCs w:val="21"/>
          <w:highlight w:val="none"/>
        </w:rPr>
      </w:pPr>
      <w:r>
        <w:rPr>
          <w:rFonts w:hint="eastAsia" w:ascii="宋体" w:hAnsi="宋体" w:cs="宋体"/>
          <w:szCs w:val="21"/>
          <w:highlight w:val="none"/>
        </w:rPr>
        <w:t>25.5.5不同供应商的</w:t>
      </w:r>
      <w:r>
        <w:rPr>
          <w:rFonts w:hint="eastAsia" w:ascii="宋体" w:hAnsi="宋体" w:cs="宋体"/>
          <w:szCs w:val="21"/>
          <w:highlight w:val="none"/>
          <w:shd w:val="clear" w:color="auto" w:fill="FFFFFF"/>
        </w:rPr>
        <w:t>响应文件</w:t>
      </w:r>
      <w:r>
        <w:rPr>
          <w:rFonts w:hint="eastAsia" w:ascii="宋体" w:hAnsi="宋体" w:cs="宋体"/>
          <w:szCs w:val="21"/>
          <w:highlight w:val="none"/>
        </w:rPr>
        <w:t>相互混装；</w:t>
      </w:r>
    </w:p>
    <w:p w14:paraId="156B6499">
      <w:pPr>
        <w:tabs>
          <w:tab w:val="left" w:pos="0"/>
        </w:tabs>
        <w:snapToGrid w:val="0"/>
        <w:spacing w:line="360" w:lineRule="auto"/>
        <w:ind w:left="105" w:leftChars="50" w:firstLine="315" w:firstLineChars="150"/>
        <w:contextualSpacing/>
        <w:jc w:val="left"/>
        <w:rPr>
          <w:rFonts w:ascii="宋体" w:hAnsi="宋体" w:cs="宋体"/>
          <w:szCs w:val="21"/>
          <w:highlight w:val="none"/>
        </w:rPr>
      </w:pPr>
      <w:r>
        <w:rPr>
          <w:rFonts w:hint="eastAsia" w:ascii="宋体" w:hAnsi="宋体" w:cs="宋体"/>
          <w:szCs w:val="21"/>
          <w:highlight w:val="none"/>
        </w:rPr>
        <w:t>25.5.6不同供应商的投标保证金从同一单位或者个人的账户转出（若收取）。</w:t>
      </w:r>
    </w:p>
    <w:p w14:paraId="22EB7F57">
      <w:pPr>
        <w:adjustRightInd w:val="0"/>
        <w:snapToGrid w:val="0"/>
        <w:spacing w:line="360" w:lineRule="auto"/>
        <w:ind w:left="19" w:leftChars="9" w:firstLine="399" w:firstLineChars="190"/>
        <w:jc w:val="left"/>
        <w:textAlignment w:val="baseline"/>
        <w:rPr>
          <w:rFonts w:ascii="宋体" w:hAnsi="宋体" w:cs="宋体"/>
          <w:szCs w:val="21"/>
          <w:highlight w:val="none"/>
        </w:rPr>
      </w:pPr>
      <w:r>
        <w:rPr>
          <w:rFonts w:hint="eastAsia" w:ascii="宋体" w:hAnsi="宋体" w:cs="宋体"/>
          <w:kern w:val="0"/>
          <w:szCs w:val="21"/>
          <w:highlight w:val="none"/>
        </w:rPr>
        <w:t>25.5.7 有证据证明供应商串通投标的其他情形的；</w:t>
      </w:r>
    </w:p>
    <w:p w14:paraId="251BE39C">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25.5.8 不同供应商的</w:t>
      </w:r>
      <w:r>
        <w:rPr>
          <w:rFonts w:hint="eastAsia" w:ascii="宋体" w:hAnsi="宋体" w:cs="宋体"/>
          <w:szCs w:val="21"/>
          <w:highlight w:val="none"/>
          <w:shd w:val="clear" w:color="auto" w:fill="FFFFFF"/>
        </w:rPr>
        <w:t>响应文件</w:t>
      </w:r>
      <w:r>
        <w:rPr>
          <w:rFonts w:hint="eastAsia" w:ascii="宋体" w:hAnsi="宋体" w:cs="宋体"/>
          <w:kern w:val="0"/>
          <w:szCs w:val="21"/>
          <w:highlight w:val="none"/>
        </w:rPr>
        <w:t>制作机器码一致；</w:t>
      </w:r>
    </w:p>
    <w:p w14:paraId="4C1862FF">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25.5.9 磋商小组认定的其他串通投标情形。</w:t>
      </w:r>
    </w:p>
    <w:p w14:paraId="0C0A6ED3">
      <w:pPr>
        <w:snapToGrid w:val="0"/>
        <w:spacing w:line="360" w:lineRule="auto"/>
        <w:ind w:firstLine="422" w:firstLineChars="200"/>
        <w:jc w:val="left"/>
        <w:rPr>
          <w:rFonts w:ascii="宋体" w:hAnsi="宋体" w:cs="宋体"/>
          <w:kern w:val="0"/>
          <w:szCs w:val="21"/>
          <w:highlight w:val="none"/>
        </w:rPr>
      </w:pPr>
      <w:r>
        <w:rPr>
          <w:rFonts w:hint="eastAsia" w:ascii="宋体" w:hAnsi="宋体" w:cs="宋体"/>
          <w:b/>
          <w:bCs/>
          <w:kern w:val="0"/>
          <w:szCs w:val="21"/>
          <w:highlight w:val="none"/>
        </w:rPr>
        <w:t>26. 响应文件的澄清</w:t>
      </w:r>
    </w:p>
    <w:p w14:paraId="09C7EE96">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对响应文件中含义不明确、同类问题表述不一致或者有明显文字和计算错误的内容，磋商小组可以书面形式要求供应商作出必要的澄清。供应商的澄清应当在磋商小组规定的时间内以书面形式作出，由其供应商代表签字。但澄清事项不得超出响应文件的范围，不得实质性改变响应文件的内容，不得通过澄清等方式对供应商实行差别对待。磋商小组不得接受供应商主动提出的澄清和解释。</w:t>
      </w:r>
    </w:p>
    <w:p w14:paraId="3661EBC4">
      <w:pPr>
        <w:snapToGrid w:val="0"/>
        <w:spacing w:line="360" w:lineRule="auto"/>
        <w:ind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27. 比较与评价</w:t>
      </w:r>
    </w:p>
    <w:p w14:paraId="3BFD7634">
      <w:pPr>
        <w:pStyle w:val="31"/>
        <w:snapToGrid w:val="0"/>
        <w:spacing w:before="0" w:beforeAutospacing="0" w:after="0" w:afterAutospacing="0" w:line="360" w:lineRule="auto"/>
        <w:ind w:firstLine="420" w:firstLineChars="200"/>
        <w:jc w:val="both"/>
        <w:rPr>
          <w:rFonts w:ascii="宋体" w:hAnsi="宋体" w:cs="宋体"/>
          <w:sz w:val="21"/>
          <w:szCs w:val="21"/>
          <w:highlight w:val="none"/>
        </w:rPr>
      </w:pPr>
      <w:r>
        <w:rPr>
          <w:rFonts w:hint="eastAsia" w:ascii="宋体" w:hAnsi="宋体" w:cs="宋体"/>
          <w:sz w:val="21"/>
          <w:szCs w:val="21"/>
          <w:highlight w:val="none"/>
        </w:rPr>
        <w:t>27.1 磋商小组将按本采购文件规定的评标方法与标准，对资格性检查和符合性检查合格的</w:t>
      </w:r>
      <w:r>
        <w:rPr>
          <w:rFonts w:hint="eastAsia" w:ascii="宋体" w:hAnsi="宋体" w:cs="宋体"/>
          <w:sz w:val="21"/>
          <w:szCs w:val="21"/>
          <w:highlight w:val="none"/>
          <w:shd w:val="clear" w:color="auto" w:fill="FFFFFF"/>
        </w:rPr>
        <w:t>响应文件</w:t>
      </w:r>
      <w:r>
        <w:rPr>
          <w:rFonts w:hint="eastAsia" w:ascii="宋体" w:hAnsi="宋体" w:cs="宋体"/>
          <w:sz w:val="21"/>
          <w:szCs w:val="21"/>
          <w:highlight w:val="none"/>
        </w:rPr>
        <w:t>进行商务和技术评估，综合比较与评价。</w:t>
      </w:r>
    </w:p>
    <w:p w14:paraId="2D06D31F">
      <w:pPr>
        <w:pStyle w:val="31"/>
        <w:snapToGrid w:val="0"/>
        <w:spacing w:before="0" w:beforeAutospacing="0" w:after="0" w:afterAutospacing="0" w:line="360" w:lineRule="auto"/>
        <w:ind w:firstLine="420" w:firstLineChars="200"/>
        <w:jc w:val="both"/>
        <w:rPr>
          <w:rFonts w:ascii="宋体" w:hAnsi="宋体" w:cs="宋体"/>
          <w:sz w:val="21"/>
          <w:szCs w:val="21"/>
          <w:highlight w:val="none"/>
        </w:rPr>
      </w:pPr>
      <w:r>
        <w:rPr>
          <w:rFonts w:hint="eastAsia" w:ascii="宋体" w:hAnsi="宋体" w:cs="宋体"/>
          <w:sz w:val="21"/>
          <w:szCs w:val="21"/>
          <w:highlight w:val="none"/>
        </w:rPr>
        <w:t>27.2对漏（缺）报项的处理：采购文件中要求列入报价的费用（含配置、功能），漏（缺）报的视同已含在投标总价中。</w:t>
      </w:r>
    </w:p>
    <w:p w14:paraId="72F5006A">
      <w:pPr>
        <w:pStyle w:val="31"/>
        <w:snapToGrid w:val="0"/>
        <w:spacing w:before="0" w:beforeAutospacing="0" w:after="0" w:afterAutospacing="0" w:line="360" w:lineRule="auto"/>
        <w:ind w:firstLine="420" w:firstLineChars="200"/>
        <w:jc w:val="both"/>
        <w:rPr>
          <w:rFonts w:ascii="宋体" w:hAnsi="宋体" w:cs="宋体"/>
          <w:b/>
          <w:bCs/>
          <w:sz w:val="21"/>
          <w:szCs w:val="21"/>
          <w:highlight w:val="none"/>
        </w:rPr>
      </w:pPr>
      <w:r>
        <w:rPr>
          <w:rFonts w:hint="eastAsia" w:ascii="宋体" w:hAnsi="宋体" w:cs="宋体"/>
          <w:sz w:val="21"/>
          <w:szCs w:val="21"/>
          <w:highlight w:val="none"/>
        </w:rPr>
        <w:t>27.3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776D4A22">
      <w:pPr>
        <w:snapToGrid w:val="0"/>
        <w:spacing w:line="360" w:lineRule="auto"/>
        <w:ind w:firstLine="422" w:firstLineChars="200"/>
        <w:jc w:val="left"/>
        <w:rPr>
          <w:rFonts w:ascii="宋体" w:hAnsi="宋体" w:cs="宋体"/>
          <w:kern w:val="0"/>
          <w:szCs w:val="21"/>
          <w:highlight w:val="none"/>
        </w:rPr>
      </w:pPr>
      <w:r>
        <w:rPr>
          <w:rFonts w:hint="eastAsia" w:ascii="宋体" w:hAnsi="宋体" w:cs="宋体"/>
          <w:b/>
          <w:bCs/>
          <w:kern w:val="0"/>
          <w:szCs w:val="21"/>
          <w:highlight w:val="none"/>
        </w:rPr>
        <w:t>28. 评标过程及保密原则</w:t>
      </w:r>
    </w:p>
    <w:p w14:paraId="0B9E2A48">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28.1 凡与本次采购有关人员对属于审查、澄清、评价和比较磋商的有关资料以及定标意向等，均不得向供应商或其他人员透露。否则,将按有关规定追究相关人员的责任。</w:t>
      </w:r>
    </w:p>
    <w:p w14:paraId="28D6E842">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28.2 在评标期间，供应商试图影响或干预评审的任何行为，将导致其磋商被作为无效磋商，并承担相应的法律责任。</w:t>
      </w:r>
    </w:p>
    <w:p w14:paraId="3C88B367">
      <w:pPr>
        <w:snapToGrid w:val="0"/>
        <w:spacing w:line="360" w:lineRule="auto"/>
        <w:ind w:firstLine="422" w:firstLineChars="200"/>
        <w:jc w:val="left"/>
        <w:rPr>
          <w:rFonts w:ascii="宋体" w:hAnsi="宋体" w:cs="宋体"/>
          <w:b/>
          <w:kern w:val="0"/>
          <w:szCs w:val="21"/>
          <w:highlight w:val="none"/>
        </w:rPr>
      </w:pPr>
      <w:r>
        <w:rPr>
          <w:rFonts w:hint="eastAsia" w:ascii="宋体" w:hAnsi="宋体" w:cs="宋体"/>
          <w:b/>
          <w:kern w:val="0"/>
          <w:szCs w:val="21"/>
          <w:highlight w:val="none"/>
        </w:rPr>
        <w:t>29.评标异议登记</w:t>
      </w:r>
    </w:p>
    <w:p w14:paraId="72B5FDBF">
      <w:pPr>
        <w:snapToGrid w:val="0"/>
        <w:spacing w:line="360" w:lineRule="auto"/>
        <w:ind w:firstLine="420" w:firstLineChars="200"/>
        <w:jc w:val="left"/>
        <w:rPr>
          <w:rFonts w:ascii="宋体" w:hAnsi="宋体" w:cs="宋体"/>
          <w:kern w:val="0"/>
          <w:sz w:val="24"/>
          <w:highlight w:val="none"/>
        </w:rPr>
      </w:pPr>
      <w:r>
        <w:rPr>
          <w:rFonts w:hint="eastAsia" w:ascii="宋体" w:hAnsi="宋体" w:cs="宋体"/>
          <w:bCs/>
          <w:kern w:val="0"/>
          <w:szCs w:val="21"/>
          <w:highlight w:val="none"/>
        </w:rPr>
        <w:t>采购人</w:t>
      </w:r>
      <w:r>
        <w:rPr>
          <w:rFonts w:hint="eastAsia" w:ascii="宋体" w:hAnsi="宋体" w:cs="宋体"/>
          <w:kern w:val="0"/>
          <w:szCs w:val="21"/>
          <w:highlight w:val="none"/>
        </w:rPr>
        <w:t>工作人员对评审专家等相关人员在评审过程中发现、提出的异议进行逐项登记。</w:t>
      </w:r>
    </w:p>
    <w:p w14:paraId="69233D69">
      <w:pPr>
        <w:snapToGrid w:val="0"/>
        <w:spacing w:line="360" w:lineRule="auto"/>
        <w:jc w:val="center"/>
        <w:outlineLvl w:val="1"/>
        <w:rPr>
          <w:rFonts w:ascii="宋体" w:hAnsi="宋体" w:cs="宋体"/>
          <w:b/>
          <w:bCs/>
          <w:kern w:val="0"/>
          <w:sz w:val="28"/>
          <w:szCs w:val="28"/>
          <w:highlight w:val="none"/>
        </w:rPr>
      </w:pPr>
      <w:r>
        <w:rPr>
          <w:rFonts w:hint="eastAsia" w:ascii="宋体" w:hAnsi="宋体" w:cs="宋体"/>
          <w:b/>
          <w:bCs/>
          <w:kern w:val="0"/>
          <w:sz w:val="28"/>
          <w:szCs w:val="28"/>
          <w:highlight w:val="none"/>
        </w:rPr>
        <w:t>六、定标</w:t>
      </w:r>
    </w:p>
    <w:p w14:paraId="390B4F16">
      <w:pPr>
        <w:snapToGrid w:val="0"/>
        <w:spacing w:line="360" w:lineRule="auto"/>
        <w:ind w:firstLine="422" w:firstLineChars="200"/>
        <w:rPr>
          <w:rFonts w:ascii="宋体" w:hAnsi="宋体" w:cs="宋体"/>
          <w:kern w:val="0"/>
          <w:szCs w:val="21"/>
          <w:highlight w:val="none"/>
        </w:rPr>
      </w:pPr>
      <w:r>
        <w:rPr>
          <w:rFonts w:hint="eastAsia" w:ascii="宋体" w:hAnsi="宋体" w:cs="宋体"/>
          <w:b/>
          <w:bCs/>
          <w:kern w:val="0"/>
          <w:szCs w:val="21"/>
          <w:highlight w:val="none"/>
        </w:rPr>
        <w:t>30. 定标原则</w:t>
      </w:r>
    </w:p>
    <w:p w14:paraId="587715DF">
      <w:pPr>
        <w:snapToGrid w:val="0"/>
        <w:spacing w:line="360" w:lineRule="auto"/>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30.1 最低投标价不作为成交的保证。</w:t>
      </w:r>
    </w:p>
    <w:p w14:paraId="3FC179B6">
      <w:pPr>
        <w:snapToGrid w:val="0"/>
        <w:spacing w:line="360" w:lineRule="auto"/>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30.2 确定实质上响应采购文件且满足下列条件的为成交候选供应商（或成交供应商）</w:t>
      </w:r>
    </w:p>
    <w:p w14:paraId="73F8DBDE">
      <w:pPr>
        <w:snapToGrid w:val="0"/>
        <w:spacing w:line="360" w:lineRule="auto"/>
        <w:ind w:firstLine="420" w:firstLineChars="200"/>
        <w:rPr>
          <w:rFonts w:ascii="宋体" w:hAnsi="宋体" w:cs="宋体"/>
          <w:szCs w:val="21"/>
          <w:highlight w:val="none"/>
        </w:rPr>
      </w:pPr>
      <w:bookmarkStart w:id="47" w:name="_Toc32200"/>
      <w:r>
        <w:rPr>
          <w:rFonts w:hint="eastAsia" w:ascii="宋体" w:hAnsi="宋体" w:cs="宋体"/>
          <w:bCs/>
          <w:kern w:val="0"/>
          <w:szCs w:val="21"/>
          <w:highlight w:val="none"/>
        </w:rPr>
        <w:t>30.2.1</w:t>
      </w:r>
      <w:bookmarkEnd w:id="47"/>
      <w:r>
        <w:rPr>
          <w:rFonts w:hint="eastAsia" w:ascii="宋体" w:hAnsi="宋体" w:cs="宋体"/>
          <w:bCs/>
          <w:kern w:val="0"/>
          <w:szCs w:val="21"/>
          <w:highlight w:val="none"/>
        </w:rPr>
        <w:t>本次评标采用</w:t>
      </w:r>
      <w:r>
        <w:rPr>
          <w:rFonts w:hint="eastAsia" w:ascii="宋体" w:hAnsi="宋体" w:cs="宋体"/>
          <w:szCs w:val="21"/>
          <w:highlight w:val="none"/>
        </w:rPr>
        <w:t>综合评分法，是指响应文件满足采购文件全部实质性要求，且按照评审因素的量化指标评审得分最高的供应商为成交供应商的评标方法。</w:t>
      </w:r>
    </w:p>
    <w:p w14:paraId="0C2A8F93">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采用综合评分法的，评标结果按评审后得分由高到低顺序排列。</w:t>
      </w:r>
      <w:r>
        <w:rPr>
          <w:rFonts w:hint="eastAsia" w:ascii="宋体" w:hAnsi="宋体" w:cs="宋体"/>
          <w:szCs w:val="21"/>
          <w:highlight w:val="none"/>
          <w:shd w:val="clear" w:color="auto" w:fill="FFFFFF"/>
        </w:rPr>
        <w:t>响应文件</w:t>
      </w:r>
      <w:r>
        <w:rPr>
          <w:rFonts w:hint="eastAsia" w:ascii="宋体" w:hAnsi="宋体" w:cs="宋体"/>
          <w:szCs w:val="21"/>
          <w:highlight w:val="none"/>
        </w:rPr>
        <w:t>满足采购文件全部实质性要求，且按照评审因素的量化指标评审得分最高的供应商为排名第一的成交供应商，以此类推。得分相同的，按磋商报价由低到高顺序排列。得分且磋商报价相同的，按技术部分得分顺序排列。得分与技术指标优劣均相同的，通过随机抽取产生。</w:t>
      </w:r>
    </w:p>
    <w:p w14:paraId="143ECAFC">
      <w:pPr>
        <w:snapToGrid w:val="0"/>
        <w:spacing w:line="360" w:lineRule="auto"/>
        <w:ind w:firstLine="422" w:firstLineChars="200"/>
        <w:rPr>
          <w:rFonts w:ascii="宋体" w:hAnsi="宋体" w:cs="宋体"/>
          <w:kern w:val="0"/>
          <w:szCs w:val="21"/>
          <w:highlight w:val="none"/>
        </w:rPr>
      </w:pPr>
      <w:r>
        <w:rPr>
          <w:rFonts w:hint="eastAsia" w:ascii="宋体" w:hAnsi="宋体" w:cs="宋体"/>
          <w:b/>
          <w:bCs/>
          <w:kern w:val="0"/>
          <w:szCs w:val="21"/>
          <w:highlight w:val="none"/>
        </w:rPr>
        <w:t>31. 确定成交供应商和成交候选供应商</w:t>
      </w:r>
    </w:p>
    <w:p w14:paraId="0C79ACCC">
      <w:pPr>
        <w:snapToGrid w:val="0"/>
        <w:spacing w:line="360" w:lineRule="auto"/>
        <w:ind w:firstLine="420" w:firstLineChars="200"/>
        <w:jc w:val="left"/>
        <w:rPr>
          <w:rFonts w:ascii="宋体" w:hAnsi="宋体" w:cs="宋体"/>
          <w:kern w:val="0"/>
          <w:szCs w:val="21"/>
          <w:highlight w:val="none"/>
        </w:rPr>
      </w:pPr>
      <w:r>
        <w:rPr>
          <w:rFonts w:hint="eastAsia" w:ascii="宋体" w:hAnsi="宋体" w:cs="宋体"/>
          <w:bCs/>
          <w:kern w:val="0"/>
          <w:szCs w:val="21"/>
          <w:highlight w:val="none"/>
        </w:rPr>
        <w:t>本项目由采购人授权磋商小组确定一名成交供应商并推荐一名成交候选供应商</w:t>
      </w:r>
      <w:r>
        <w:rPr>
          <w:rFonts w:hint="eastAsia" w:ascii="宋体" w:hAnsi="宋体" w:cs="宋体"/>
          <w:kern w:val="0"/>
          <w:szCs w:val="21"/>
          <w:highlight w:val="none"/>
        </w:rPr>
        <w:t>。</w:t>
      </w:r>
    </w:p>
    <w:p w14:paraId="6D4BAB4A">
      <w:pPr>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32. 成交通知书及成交结果公告</w:t>
      </w:r>
    </w:p>
    <w:p w14:paraId="3BC31C07">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32.1评审结束后，采购人将成交供应商的情况在本采购项目采购公告发布的同一媒介予以公示，公示期限3个工作日，公示期结束后向成交供应商发出成交通知书。</w:t>
      </w:r>
    </w:p>
    <w:p w14:paraId="7D15319D">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32.2成交供应商在规定的时间内不领取成交通知书的，视为成交后自动放弃成交资格；成交供应商在有效报价中报价最低,非不可抗力放弃成交资格的。发生上述情况的承担由此引起的一切后果。</w:t>
      </w:r>
    </w:p>
    <w:p w14:paraId="1351472F">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32.3成交通知书对采购人和成交供应商具有同等法律效力。成交通知书发出后，采购人改变成交结果，或者成交供应商放弃成交，应按相关法律、规章、规范性文件的要求承担相应的法律责任。</w:t>
      </w:r>
    </w:p>
    <w:p w14:paraId="46375F14">
      <w:pPr>
        <w:snapToGrid w:val="0"/>
        <w:spacing w:line="360" w:lineRule="auto"/>
        <w:ind w:firstLine="420" w:firstLineChars="200"/>
        <w:jc w:val="left"/>
        <w:rPr>
          <w:rFonts w:ascii="宋体" w:hAnsi="宋体" w:cs="宋体"/>
          <w:bCs/>
          <w:kern w:val="0"/>
          <w:szCs w:val="21"/>
          <w:highlight w:val="none"/>
        </w:rPr>
      </w:pPr>
      <w:r>
        <w:rPr>
          <w:rFonts w:hint="eastAsia" w:ascii="宋体" w:hAnsi="宋体" w:cs="宋体"/>
          <w:kern w:val="0"/>
          <w:szCs w:val="21"/>
          <w:highlight w:val="none"/>
        </w:rPr>
        <w:t>32</w:t>
      </w:r>
      <w:r>
        <w:rPr>
          <w:rFonts w:hint="eastAsia" w:ascii="宋体" w:hAnsi="宋体" w:cs="宋体"/>
          <w:bCs/>
          <w:kern w:val="0"/>
          <w:szCs w:val="21"/>
          <w:highlight w:val="none"/>
        </w:rPr>
        <w:t>.4成交通知书将作为签订合同的依据。合同签订后，成交通知书成为合同的一部分。</w:t>
      </w:r>
    </w:p>
    <w:p w14:paraId="721521E3">
      <w:pPr>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33. 采购人宣布废标的权利</w:t>
      </w:r>
    </w:p>
    <w:p w14:paraId="27AC7F40">
      <w:pPr>
        <w:snapToGrid w:val="0"/>
        <w:spacing w:line="360" w:lineRule="auto"/>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33.1出现下列情况之一时，采购人有权宣布废标，并将理由通知所有供应商：</w:t>
      </w:r>
    </w:p>
    <w:p w14:paraId="6A5CABE3">
      <w:pPr>
        <w:snapToGrid w:val="0"/>
        <w:spacing w:line="360" w:lineRule="auto"/>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33.1.1出现影响采购公正的违法、违规行为的。</w:t>
      </w:r>
    </w:p>
    <w:p w14:paraId="4BF80174">
      <w:pPr>
        <w:snapToGrid w:val="0"/>
        <w:spacing w:line="360" w:lineRule="auto"/>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33.1.2供应商的报价均超过了采购预算金额，采购人不能支付的。</w:t>
      </w:r>
    </w:p>
    <w:p w14:paraId="06CDE6EE">
      <w:pPr>
        <w:snapToGrid w:val="0"/>
        <w:spacing w:line="360" w:lineRule="auto"/>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33.1.3因重大变故，采购任务取消的。</w:t>
      </w:r>
    </w:p>
    <w:p w14:paraId="468C6C51">
      <w:pPr>
        <w:snapToGrid w:val="0"/>
        <w:spacing w:line="360" w:lineRule="auto"/>
        <w:ind w:firstLine="420" w:firstLineChars="200"/>
        <w:rPr>
          <w:rFonts w:ascii="宋体" w:hAnsi="宋体" w:cs="宋体"/>
          <w:szCs w:val="21"/>
          <w:highlight w:val="none"/>
        </w:rPr>
      </w:pPr>
      <w:r>
        <w:rPr>
          <w:rFonts w:hint="eastAsia" w:ascii="宋体" w:hAnsi="宋体" w:cs="宋体"/>
          <w:bCs/>
          <w:kern w:val="0"/>
          <w:szCs w:val="21"/>
          <w:highlight w:val="none"/>
        </w:rPr>
        <w:t>33</w:t>
      </w:r>
      <w:r>
        <w:rPr>
          <w:rFonts w:hint="eastAsia" w:ascii="宋体" w:hAnsi="宋体" w:cs="宋体"/>
          <w:kern w:val="0"/>
          <w:szCs w:val="21"/>
          <w:highlight w:val="none"/>
        </w:rPr>
        <w:t xml:space="preserve">.2 </w:t>
      </w:r>
      <w:r>
        <w:rPr>
          <w:rFonts w:hint="eastAsia" w:ascii="宋体" w:hAnsi="宋体" w:cs="宋体"/>
          <w:szCs w:val="21"/>
          <w:highlight w:val="none"/>
        </w:rPr>
        <w:t>投标截止后供应商不足3家或通过资格性检查或符合性检查的供应商不足3家的，除采购任务取消情形外，按照以下方式处理：</w:t>
      </w:r>
    </w:p>
    <w:p w14:paraId="7939D329">
      <w:pPr>
        <w:numPr>
          <w:ilvl w:val="0"/>
          <w:numId w:val="6"/>
        </w:num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采购文件存在不合理条款或者招标程序不符合规定的，采购人正后依法重新招标；　</w:t>
      </w:r>
    </w:p>
    <w:p w14:paraId="362AEA51">
      <w:pPr>
        <w:snapToGrid w:val="0"/>
        <w:spacing w:line="360" w:lineRule="auto"/>
        <w:ind w:firstLine="420" w:firstLineChars="200"/>
        <w:rPr>
          <w:rFonts w:ascii="宋体" w:hAnsi="宋体" w:cs="宋体"/>
          <w:b/>
          <w:kern w:val="0"/>
          <w:sz w:val="52"/>
          <w:szCs w:val="52"/>
          <w:highlight w:val="none"/>
        </w:rPr>
      </w:pPr>
      <w:r>
        <w:rPr>
          <w:rFonts w:hint="eastAsia" w:ascii="宋体" w:hAnsi="宋体" w:cs="宋体"/>
          <w:szCs w:val="21"/>
          <w:highlight w:val="none"/>
        </w:rPr>
        <w:t>（2）采购文件没有不合理条款、招标程序符合规定，需要采用其他采购方式采购的，采购人应当依法报财政部门批准。</w:t>
      </w:r>
    </w:p>
    <w:p w14:paraId="013ADC14">
      <w:pPr>
        <w:snapToGrid w:val="0"/>
        <w:spacing w:line="360" w:lineRule="auto"/>
        <w:jc w:val="center"/>
        <w:outlineLvl w:val="1"/>
        <w:rPr>
          <w:rFonts w:ascii="宋体" w:hAnsi="宋体" w:cs="宋体"/>
          <w:b/>
          <w:bCs/>
          <w:kern w:val="0"/>
          <w:sz w:val="28"/>
          <w:szCs w:val="28"/>
          <w:highlight w:val="none"/>
        </w:rPr>
      </w:pPr>
      <w:r>
        <w:rPr>
          <w:rFonts w:hint="eastAsia" w:ascii="宋体" w:hAnsi="宋体" w:cs="宋体"/>
          <w:b/>
          <w:bCs/>
          <w:kern w:val="0"/>
          <w:sz w:val="28"/>
          <w:szCs w:val="28"/>
          <w:highlight w:val="none"/>
        </w:rPr>
        <w:t>七、合同授予</w:t>
      </w:r>
    </w:p>
    <w:p w14:paraId="2CCB5B10">
      <w:pPr>
        <w:snapToGrid w:val="0"/>
        <w:spacing w:line="360" w:lineRule="auto"/>
        <w:ind w:firstLine="472" w:firstLineChars="224"/>
        <w:rPr>
          <w:rFonts w:ascii="宋体" w:hAnsi="宋体" w:cs="宋体"/>
          <w:kern w:val="0"/>
          <w:szCs w:val="21"/>
          <w:highlight w:val="none"/>
        </w:rPr>
      </w:pPr>
      <w:r>
        <w:rPr>
          <w:rFonts w:hint="eastAsia" w:ascii="宋体" w:hAnsi="宋体" w:cs="宋体"/>
          <w:b/>
          <w:bCs/>
          <w:kern w:val="0"/>
          <w:szCs w:val="21"/>
          <w:highlight w:val="none"/>
        </w:rPr>
        <w:t>34.合同签订</w:t>
      </w:r>
    </w:p>
    <w:p w14:paraId="211BFF84">
      <w:pPr>
        <w:snapToGrid w:val="0"/>
        <w:spacing w:line="360" w:lineRule="auto"/>
        <w:ind w:firstLine="420" w:firstLineChars="200"/>
        <w:jc w:val="left"/>
        <w:rPr>
          <w:rFonts w:ascii="宋体" w:hAnsi="宋体" w:cs="宋体"/>
          <w:kern w:val="0"/>
          <w:szCs w:val="21"/>
          <w:highlight w:val="none"/>
          <w:u w:val="single"/>
        </w:rPr>
      </w:pPr>
      <w:bookmarkStart w:id="48" w:name="_Toc8594"/>
      <w:r>
        <w:rPr>
          <w:rFonts w:hint="eastAsia" w:ascii="宋体" w:hAnsi="宋体" w:cs="宋体"/>
          <w:kern w:val="0"/>
          <w:szCs w:val="21"/>
          <w:highlight w:val="none"/>
        </w:rPr>
        <w:t>34.1 采购人、成交供应商自成交通知书发出之日起，在采购文件第三章《供应商须知前附表》规定的时间内，根据采购文件确定的事项和成交供应商</w:t>
      </w:r>
      <w:r>
        <w:rPr>
          <w:rFonts w:hint="eastAsia" w:ascii="宋体" w:hAnsi="宋体" w:cs="宋体"/>
          <w:szCs w:val="21"/>
          <w:highlight w:val="none"/>
          <w:shd w:val="clear" w:color="auto" w:fill="FFFFFF"/>
        </w:rPr>
        <w:t>响应文件</w:t>
      </w:r>
      <w:r>
        <w:rPr>
          <w:rFonts w:hint="eastAsia" w:ascii="宋体" w:hAnsi="宋体" w:cs="宋体"/>
          <w:kern w:val="0"/>
          <w:szCs w:val="21"/>
          <w:highlight w:val="none"/>
        </w:rPr>
        <w:t>签订合同。双方所签订的合同不得对采购文件和成交供应商</w:t>
      </w:r>
      <w:r>
        <w:rPr>
          <w:rFonts w:hint="eastAsia" w:ascii="宋体" w:hAnsi="宋体" w:cs="宋体"/>
          <w:szCs w:val="21"/>
          <w:highlight w:val="none"/>
          <w:shd w:val="clear" w:color="auto" w:fill="FFFFFF"/>
        </w:rPr>
        <w:t>响应文件</w:t>
      </w:r>
      <w:r>
        <w:rPr>
          <w:rFonts w:hint="eastAsia" w:ascii="宋体" w:hAnsi="宋体" w:cs="宋体"/>
          <w:kern w:val="0"/>
          <w:szCs w:val="21"/>
          <w:highlight w:val="none"/>
        </w:rPr>
        <w:t>作实质性修改。</w:t>
      </w:r>
    </w:p>
    <w:p w14:paraId="254F0294">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34.2 采购文件、采购文件的修改文件、成交供应商的</w:t>
      </w:r>
      <w:r>
        <w:rPr>
          <w:rFonts w:hint="eastAsia" w:ascii="宋体" w:hAnsi="宋体" w:cs="宋体"/>
          <w:szCs w:val="21"/>
          <w:highlight w:val="none"/>
          <w:shd w:val="clear" w:color="auto" w:fill="FFFFFF"/>
        </w:rPr>
        <w:t>响应文件</w:t>
      </w:r>
      <w:r>
        <w:rPr>
          <w:rFonts w:hint="eastAsia" w:ascii="宋体" w:hAnsi="宋体" w:cs="宋体"/>
          <w:kern w:val="0"/>
          <w:szCs w:val="21"/>
          <w:highlight w:val="none"/>
        </w:rPr>
        <w:t>、补充或修改的文件及澄清或承诺文件等，均为双方签订合同的组成部分，并与合同一并作为本采购文件所列采购项目的互补性法律文件，与合同具有同等法律效力。</w:t>
      </w:r>
    </w:p>
    <w:p w14:paraId="6FDCDAEB">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34.3 成交供应商放弃成交、因不可抗力不能履行合同、不按照采购文件要求提交履约保证金，或者被查实存在影响成交结果的违法行为等情形，不符合成交条件的，采购人可以按照磋商小组提出的成交候选供应商名单排序依次确定其他成交候选供应商为成交供应商，也可以重新招标。</w:t>
      </w:r>
    </w:p>
    <w:bookmarkEnd w:id="48"/>
    <w:p w14:paraId="2D8AE470">
      <w:pPr>
        <w:rPr>
          <w:rFonts w:ascii="宋体" w:hAnsi="宋体" w:cs="宋体"/>
          <w:highlight w:val="none"/>
        </w:rPr>
      </w:pPr>
      <w:r>
        <w:rPr>
          <w:rFonts w:hint="eastAsia" w:ascii="宋体" w:hAnsi="宋体" w:cs="宋体"/>
          <w:highlight w:val="none"/>
        </w:rPr>
        <w:br w:type="page"/>
      </w:r>
    </w:p>
    <w:p w14:paraId="14F0A54C">
      <w:pPr>
        <w:widowControl/>
        <w:snapToGrid w:val="0"/>
        <w:jc w:val="center"/>
        <w:outlineLvl w:val="0"/>
        <w:rPr>
          <w:rFonts w:ascii="宋体" w:hAnsi="宋体" w:cs="宋体"/>
          <w:kern w:val="0"/>
          <w:sz w:val="24"/>
          <w:highlight w:val="none"/>
        </w:rPr>
      </w:pPr>
      <w:bookmarkStart w:id="49" w:name="_Toc31399"/>
      <w:r>
        <w:rPr>
          <w:rFonts w:hint="eastAsia" w:ascii="宋体" w:hAnsi="宋体" w:cs="宋体"/>
          <w:b/>
          <w:bCs/>
          <w:kern w:val="0"/>
          <w:sz w:val="32"/>
          <w:szCs w:val="32"/>
          <w:highlight w:val="none"/>
        </w:rPr>
        <w:t>第四章  评标办法及评分标准</w:t>
      </w:r>
      <w:bookmarkEnd w:id="45"/>
      <w:bookmarkEnd w:id="49"/>
    </w:p>
    <w:p w14:paraId="6C905C0E">
      <w:pPr>
        <w:rPr>
          <w:rFonts w:ascii="宋体" w:hAnsi="宋体" w:cs="宋体"/>
          <w:highlight w:val="none"/>
        </w:rPr>
      </w:pPr>
    </w:p>
    <w:p w14:paraId="75316F5A">
      <w:pPr>
        <w:tabs>
          <w:tab w:val="left" w:pos="1620"/>
        </w:tabs>
        <w:snapToGrid w:val="0"/>
        <w:spacing w:line="360" w:lineRule="auto"/>
        <w:rPr>
          <w:rFonts w:ascii="宋体" w:hAnsi="宋体" w:cs="宋体"/>
          <w:szCs w:val="21"/>
          <w:highlight w:val="none"/>
        </w:rPr>
      </w:pPr>
      <w:r>
        <w:rPr>
          <w:rFonts w:hint="eastAsia" w:ascii="宋体" w:hAnsi="宋体" w:cs="宋体"/>
          <w:szCs w:val="21"/>
          <w:highlight w:val="none"/>
        </w:rPr>
        <w:t>（一）评标原则</w:t>
      </w:r>
    </w:p>
    <w:p w14:paraId="046816A1">
      <w:pPr>
        <w:tabs>
          <w:tab w:val="left" w:pos="1620"/>
        </w:tabs>
        <w:snapToGrid w:val="0"/>
        <w:spacing w:line="360" w:lineRule="auto"/>
        <w:ind w:firstLine="462" w:firstLineChars="220"/>
        <w:rPr>
          <w:rFonts w:ascii="宋体" w:hAnsi="宋体" w:cs="宋体"/>
          <w:szCs w:val="21"/>
          <w:highlight w:val="none"/>
        </w:rPr>
      </w:pPr>
      <w:r>
        <w:rPr>
          <w:rFonts w:hint="eastAsia" w:ascii="宋体" w:hAnsi="宋体" w:cs="宋体"/>
          <w:szCs w:val="21"/>
          <w:highlight w:val="none"/>
        </w:rPr>
        <w:t>按照“公平、公正”的原则对待所有供应商，按照采购文件的相关规定进行评标、定标。</w:t>
      </w:r>
    </w:p>
    <w:p w14:paraId="372E3C6F">
      <w:pPr>
        <w:tabs>
          <w:tab w:val="left" w:pos="1620"/>
        </w:tabs>
        <w:snapToGrid w:val="0"/>
        <w:spacing w:line="360" w:lineRule="auto"/>
        <w:rPr>
          <w:rFonts w:ascii="宋体" w:hAnsi="宋体" w:cs="宋体"/>
          <w:szCs w:val="21"/>
          <w:highlight w:val="none"/>
        </w:rPr>
      </w:pPr>
      <w:r>
        <w:rPr>
          <w:rFonts w:hint="eastAsia" w:ascii="宋体" w:hAnsi="宋体" w:cs="宋体"/>
          <w:szCs w:val="21"/>
          <w:highlight w:val="none"/>
        </w:rPr>
        <w:t>（二）评标办法</w:t>
      </w:r>
    </w:p>
    <w:p w14:paraId="0D24521C">
      <w:pPr>
        <w:tabs>
          <w:tab w:val="left" w:pos="1620"/>
        </w:tabs>
        <w:snapToGrid w:val="0"/>
        <w:spacing w:line="360" w:lineRule="auto"/>
        <w:ind w:firstLine="462" w:firstLineChars="220"/>
        <w:rPr>
          <w:rFonts w:ascii="宋体" w:hAnsi="宋体" w:cs="宋体"/>
          <w:szCs w:val="21"/>
          <w:highlight w:val="none"/>
        </w:rPr>
      </w:pPr>
      <w:r>
        <w:rPr>
          <w:rFonts w:hint="eastAsia" w:ascii="宋体" w:hAnsi="宋体" w:cs="宋体"/>
          <w:szCs w:val="21"/>
          <w:highlight w:val="none"/>
        </w:rPr>
        <w:t>1．本项目采用综合评分法，总分为100分。</w:t>
      </w:r>
    </w:p>
    <w:p w14:paraId="6FEE9E3F">
      <w:pPr>
        <w:tabs>
          <w:tab w:val="left" w:pos="1620"/>
        </w:tabs>
        <w:snapToGrid w:val="0"/>
        <w:spacing w:line="360" w:lineRule="auto"/>
        <w:ind w:firstLine="462" w:firstLineChars="220"/>
        <w:rPr>
          <w:rFonts w:ascii="宋体" w:hAnsi="宋体" w:cs="宋体"/>
          <w:szCs w:val="21"/>
          <w:highlight w:val="none"/>
        </w:rPr>
      </w:pPr>
      <w:r>
        <w:rPr>
          <w:rFonts w:hint="eastAsia" w:ascii="宋体" w:hAnsi="宋体" w:cs="宋体"/>
          <w:szCs w:val="21"/>
          <w:highlight w:val="none"/>
        </w:rPr>
        <w:t>2．磋商小组按照采购文件中规定的评标方法和标准，对</w:t>
      </w:r>
      <w:r>
        <w:rPr>
          <w:rFonts w:hint="eastAsia" w:ascii="宋体" w:hAnsi="宋体" w:cs="宋体"/>
          <w:kern w:val="0"/>
          <w:szCs w:val="21"/>
          <w:highlight w:val="none"/>
        </w:rPr>
        <w:t>响应</w:t>
      </w:r>
      <w:r>
        <w:rPr>
          <w:rFonts w:hint="eastAsia" w:ascii="宋体" w:hAnsi="宋体" w:cs="宋体"/>
          <w:szCs w:val="21"/>
          <w:highlight w:val="none"/>
        </w:rPr>
        <w:t>文件进行综合比较与评价。</w:t>
      </w:r>
    </w:p>
    <w:p w14:paraId="38B2E2FE">
      <w:pPr>
        <w:tabs>
          <w:tab w:val="left" w:pos="1620"/>
        </w:tabs>
        <w:snapToGrid w:val="0"/>
        <w:spacing w:line="360" w:lineRule="auto"/>
        <w:ind w:firstLine="462" w:firstLineChars="220"/>
        <w:rPr>
          <w:rFonts w:ascii="宋体" w:hAnsi="宋体" w:cs="宋体"/>
          <w:szCs w:val="21"/>
          <w:highlight w:val="none"/>
        </w:rPr>
      </w:pPr>
      <w:r>
        <w:rPr>
          <w:rFonts w:hint="eastAsia" w:ascii="宋体" w:hAnsi="宋体" w:cs="宋体"/>
          <w:szCs w:val="21"/>
          <w:highlight w:val="none"/>
        </w:rPr>
        <w:t>3.评标结果按评审后得分由高到低顺序排列，得分相同的，按投标报价由低到高顺序排列。得分且投标报价相同的，按技术部分得分顺序排列。</w:t>
      </w:r>
    </w:p>
    <w:p w14:paraId="7F8DC7BF">
      <w:pPr>
        <w:tabs>
          <w:tab w:val="left" w:pos="1620"/>
        </w:tabs>
        <w:snapToGrid w:val="0"/>
        <w:spacing w:line="360" w:lineRule="auto"/>
        <w:ind w:firstLine="462" w:firstLineChars="220"/>
        <w:rPr>
          <w:rFonts w:ascii="宋体" w:hAnsi="宋体" w:cs="宋体"/>
          <w:szCs w:val="21"/>
          <w:highlight w:val="none"/>
        </w:rPr>
      </w:pPr>
      <w:r>
        <w:rPr>
          <w:rFonts w:hint="eastAsia" w:ascii="宋体" w:hAnsi="宋体" w:cs="宋体"/>
          <w:szCs w:val="21"/>
          <w:highlight w:val="none"/>
        </w:rPr>
        <w:t>4.</w:t>
      </w:r>
      <w:r>
        <w:rPr>
          <w:rFonts w:hint="eastAsia" w:ascii="宋体" w:hAnsi="宋体" w:cs="宋体"/>
          <w:kern w:val="0"/>
          <w:szCs w:val="21"/>
          <w:highlight w:val="none"/>
        </w:rPr>
        <w:t>响应</w:t>
      </w:r>
      <w:r>
        <w:rPr>
          <w:rFonts w:hint="eastAsia" w:ascii="宋体" w:hAnsi="宋体" w:cs="宋体"/>
          <w:szCs w:val="21"/>
          <w:highlight w:val="none"/>
        </w:rPr>
        <w:t>文件满足采购文件全部实质性要求，且评审得分最高的供应商为成交供应商。</w:t>
      </w:r>
    </w:p>
    <w:p w14:paraId="22F84911">
      <w:pPr>
        <w:tabs>
          <w:tab w:val="left" w:pos="1620"/>
        </w:tabs>
        <w:snapToGrid w:val="0"/>
        <w:spacing w:line="360" w:lineRule="auto"/>
        <w:rPr>
          <w:rFonts w:ascii="宋体" w:hAnsi="宋体" w:cs="宋体"/>
          <w:szCs w:val="21"/>
          <w:highlight w:val="none"/>
        </w:rPr>
      </w:pPr>
      <w:r>
        <w:rPr>
          <w:rFonts w:hint="eastAsia" w:ascii="宋体" w:hAnsi="宋体" w:cs="宋体"/>
          <w:szCs w:val="21"/>
          <w:highlight w:val="none"/>
        </w:rPr>
        <w:t>（三）评标程序</w:t>
      </w:r>
    </w:p>
    <w:p w14:paraId="3DA397AD">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5FA6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ign w:val="center"/>
          </w:tcPr>
          <w:p w14:paraId="0E765B3A">
            <w:pPr>
              <w:tabs>
                <w:tab w:val="left" w:pos="3000"/>
              </w:tabs>
              <w:snapToGrid w:val="0"/>
              <w:jc w:val="center"/>
              <w:rPr>
                <w:rFonts w:ascii="宋体" w:hAnsi="宋体" w:cs="宋体"/>
                <w:szCs w:val="21"/>
                <w:highlight w:val="none"/>
              </w:rPr>
            </w:pPr>
            <w:r>
              <w:rPr>
                <w:rFonts w:hint="eastAsia" w:ascii="宋体" w:hAnsi="宋体" w:cs="宋体"/>
                <w:szCs w:val="21"/>
                <w:highlight w:val="none"/>
              </w:rPr>
              <w:t>评审内容</w:t>
            </w:r>
          </w:p>
        </w:tc>
      </w:tr>
      <w:tr w14:paraId="223B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ign w:val="center"/>
          </w:tcPr>
          <w:p w14:paraId="74EB0E32">
            <w:pPr>
              <w:snapToGrid w:val="0"/>
              <w:spacing w:line="320" w:lineRule="exact"/>
              <w:jc w:val="left"/>
              <w:rPr>
                <w:rFonts w:ascii="宋体" w:hAnsi="宋体" w:cs="宋体"/>
                <w:szCs w:val="21"/>
                <w:highlight w:val="none"/>
              </w:rPr>
            </w:pPr>
            <w:r>
              <w:rPr>
                <w:rFonts w:hint="eastAsia" w:ascii="宋体" w:hAnsi="宋体" w:cs="宋体"/>
                <w:szCs w:val="21"/>
                <w:highlight w:val="none"/>
              </w:rPr>
              <w:t>价格标部分 (30分)</w:t>
            </w:r>
          </w:p>
        </w:tc>
        <w:tc>
          <w:tcPr>
            <w:tcW w:w="8243" w:type="dxa"/>
            <w:gridSpan w:val="2"/>
            <w:noWrap/>
            <w:vAlign w:val="center"/>
          </w:tcPr>
          <w:p w14:paraId="0BB97F74">
            <w:pPr>
              <w:pStyle w:val="5"/>
              <w:snapToGrid w:val="0"/>
              <w:spacing w:line="360" w:lineRule="exact"/>
              <w:jc w:val="both"/>
              <w:rPr>
                <w:rFonts w:hAnsi="宋体"/>
                <w:color w:val="auto"/>
                <w:sz w:val="21"/>
                <w:szCs w:val="21"/>
                <w:highlight w:val="none"/>
              </w:rPr>
            </w:pPr>
            <w:r>
              <w:rPr>
                <w:rFonts w:hint="eastAsia" w:hAnsi="宋体"/>
                <w:color w:val="auto"/>
                <w:sz w:val="21"/>
                <w:szCs w:val="21"/>
                <w:highlight w:val="none"/>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7472944A">
            <w:pPr>
              <w:pStyle w:val="5"/>
              <w:snapToGrid w:val="0"/>
              <w:spacing w:line="360" w:lineRule="exact"/>
              <w:jc w:val="both"/>
              <w:rPr>
                <w:rFonts w:hAnsi="宋体"/>
                <w:color w:val="auto"/>
                <w:sz w:val="21"/>
                <w:szCs w:val="21"/>
                <w:highlight w:val="none"/>
              </w:rPr>
            </w:pPr>
            <w:r>
              <w:rPr>
                <w:rFonts w:hint="eastAsia" w:hAnsi="宋体"/>
                <w:color w:val="auto"/>
                <w:sz w:val="21"/>
                <w:szCs w:val="21"/>
                <w:highlight w:val="none"/>
              </w:rPr>
              <w:t>有效磋商报价：磋商报价不高于采购预算价的为有效磋商报价。</w:t>
            </w:r>
          </w:p>
          <w:p w14:paraId="0FA7317B">
            <w:pPr>
              <w:pStyle w:val="5"/>
              <w:snapToGrid w:val="0"/>
              <w:spacing w:line="360" w:lineRule="exact"/>
              <w:jc w:val="both"/>
              <w:rPr>
                <w:rFonts w:hAnsi="宋体"/>
                <w:color w:val="auto"/>
                <w:sz w:val="21"/>
                <w:szCs w:val="21"/>
                <w:highlight w:val="none"/>
              </w:rPr>
            </w:pPr>
            <w:r>
              <w:rPr>
                <w:rFonts w:hint="eastAsia" w:hAnsi="宋体"/>
                <w:color w:val="auto"/>
                <w:sz w:val="21"/>
                <w:szCs w:val="21"/>
                <w:highlight w:val="none"/>
              </w:rPr>
              <w:t>评标基准值的确定：满足采购文件要求且磋商价格最低的有效磋商报价为评标基准价。</w:t>
            </w:r>
          </w:p>
          <w:p w14:paraId="639C8CF5">
            <w:pPr>
              <w:snapToGrid w:val="0"/>
              <w:spacing w:line="360" w:lineRule="exact"/>
              <w:rPr>
                <w:rFonts w:ascii="宋体" w:hAnsi="宋体" w:cs="宋体"/>
                <w:highlight w:val="none"/>
              </w:rPr>
            </w:pPr>
            <w:r>
              <w:rPr>
                <w:rFonts w:hint="eastAsia" w:ascii="宋体" w:hAnsi="宋体" w:cs="宋体"/>
                <w:szCs w:val="21"/>
                <w:highlight w:val="none"/>
              </w:rPr>
              <w:t>磋商报价得分=（评标基准价/有效磋商报价）×30分</w:t>
            </w:r>
          </w:p>
        </w:tc>
      </w:tr>
      <w:tr w14:paraId="2F07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ign w:val="center"/>
          </w:tcPr>
          <w:p w14:paraId="49F92F45">
            <w:pPr>
              <w:snapToGrid w:val="0"/>
              <w:spacing w:line="320" w:lineRule="exact"/>
              <w:jc w:val="center"/>
              <w:rPr>
                <w:rFonts w:ascii="宋体" w:hAnsi="宋体" w:cs="宋体"/>
                <w:szCs w:val="21"/>
                <w:highlight w:val="none"/>
              </w:rPr>
            </w:pPr>
            <w:r>
              <w:rPr>
                <w:rFonts w:hint="eastAsia" w:ascii="宋体" w:hAnsi="宋体" w:cs="宋体"/>
                <w:szCs w:val="21"/>
                <w:highlight w:val="none"/>
              </w:rPr>
              <w:t>技术部分（52分）</w:t>
            </w:r>
          </w:p>
        </w:tc>
        <w:tc>
          <w:tcPr>
            <w:tcW w:w="1473" w:type="dxa"/>
            <w:noWrap/>
            <w:vAlign w:val="center"/>
          </w:tcPr>
          <w:p w14:paraId="317A3093">
            <w:pPr>
              <w:snapToGrid w:val="0"/>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1.产品技术参数（3</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tc>
        <w:tc>
          <w:tcPr>
            <w:tcW w:w="6770" w:type="dxa"/>
            <w:noWrap/>
            <w:vAlign w:val="center"/>
          </w:tcPr>
          <w:p w14:paraId="3D8115BC">
            <w:pPr>
              <w:widowControl/>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供应商对“第二章 采购需求 三、技术要求”技术参数、性能及产品功能等的响应，所投产品全部满足磋商文件要求得3</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分，带“*”号的技术参数为</w:t>
            </w:r>
            <w:r>
              <w:rPr>
                <w:rFonts w:hint="eastAsia" w:ascii="宋体" w:hAnsi="宋体" w:cs="宋体"/>
                <w:color w:val="000000" w:themeColor="text1"/>
                <w:szCs w:val="21"/>
                <w:highlight w:val="none"/>
                <w:lang w:val="en-US" w:eastAsia="zh-CN"/>
                <w14:textFill>
                  <w14:solidFill>
                    <w14:schemeClr w14:val="tx1"/>
                  </w14:solidFill>
                </w14:textFill>
              </w:rPr>
              <w:t>重要</w:t>
            </w:r>
            <w:r>
              <w:rPr>
                <w:rFonts w:hint="eastAsia" w:ascii="宋体" w:hAnsi="宋体" w:cs="宋体"/>
                <w:color w:val="000000" w:themeColor="text1"/>
                <w:szCs w:val="21"/>
                <w:highlight w:val="none"/>
                <w14:textFill>
                  <w14:solidFill>
                    <w14:schemeClr w14:val="tx1"/>
                  </w14:solidFill>
                </w14:textFill>
              </w:rPr>
              <w:t xml:space="preserve">技术参数，有一项不满足的扣5分，扣完为止；不带“*”号的技术参数为一般性技术参数，有一项不满足的扣3分，扣完为止；如得分为0，则磋商无效。 </w:t>
            </w:r>
          </w:p>
          <w:p w14:paraId="541E4618">
            <w:pPr>
              <w:widowControl/>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1）供应商需如实填写技术偏离表，并标注偏离情况。</w:t>
            </w:r>
          </w:p>
          <w:p w14:paraId="4BC0163D">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供应商所投产品需提供医疗器械注册证【含附件：产品技术要求（如有）】</w:t>
            </w:r>
          </w:p>
          <w:p w14:paraId="1A2272CC">
            <w:pPr>
              <w:widowControl/>
              <w:snapToGri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）需提供产品注册检验报告及响应技术参数条款的技术白皮书和彩页等相关文件，并对响应技术参数部分做出明显标注。</w:t>
            </w:r>
          </w:p>
        </w:tc>
      </w:tr>
      <w:tr w14:paraId="2B40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ign w:val="center"/>
          </w:tcPr>
          <w:p w14:paraId="2AF66249">
            <w:pPr>
              <w:snapToGrid w:val="0"/>
              <w:spacing w:line="320" w:lineRule="exact"/>
              <w:jc w:val="center"/>
              <w:rPr>
                <w:rFonts w:ascii="宋体" w:hAnsi="宋体" w:cs="宋体"/>
                <w:szCs w:val="21"/>
                <w:highlight w:val="none"/>
              </w:rPr>
            </w:pPr>
          </w:p>
        </w:tc>
        <w:tc>
          <w:tcPr>
            <w:tcW w:w="1473" w:type="dxa"/>
            <w:vMerge w:val="restart"/>
            <w:noWrap/>
            <w:vAlign w:val="center"/>
          </w:tcPr>
          <w:p w14:paraId="270672D9">
            <w:pPr>
              <w:widowControl/>
              <w:snapToGrid w:val="0"/>
              <w:spacing w:line="360" w:lineRule="exact"/>
              <w:rPr>
                <w:rFonts w:ascii="宋体" w:hAnsi="宋体" w:cs="宋体"/>
                <w:szCs w:val="21"/>
                <w:highlight w:val="none"/>
              </w:rPr>
            </w:pPr>
            <w:r>
              <w:rPr>
                <w:rFonts w:hint="eastAsia" w:ascii="宋体" w:hAnsi="宋体" w:cs="宋体"/>
                <w:kern w:val="0"/>
                <w:szCs w:val="21"/>
                <w:highlight w:val="none"/>
              </w:rPr>
              <w:t>2.产品综合评议</w:t>
            </w:r>
            <w:r>
              <w:rPr>
                <w:rFonts w:hint="eastAsia" w:ascii="宋体" w:hAnsi="宋体" w:cs="宋体"/>
                <w:szCs w:val="21"/>
                <w:highlight w:val="none"/>
              </w:rPr>
              <w:t>（8分）</w:t>
            </w:r>
          </w:p>
        </w:tc>
        <w:tc>
          <w:tcPr>
            <w:tcW w:w="6770" w:type="dxa"/>
            <w:noWrap/>
            <w:vAlign w:val="center"/>
          </w:tcPr>
          <w:p w14:paraId="386855B4">
            <w:pPr>
              <w:widowControl/>
              <w:snapToGrid w:val="0"/>
              <w:spacing w:line="360" w:lineRule="exact"/>
              <w:rPr>
                <w:rFonts w:ascii="宋体" w:hAnsi="宋体" w:cs="宋体"/>
                <w:szCs w:val="21"/>
                <w:highlight w:val="none"/>
              </w:rPr>
            </w:pPr>
            <w:r>
              <w:rPr>
                <w:rFonts w:hint="eastAsia" w:ascii="宋体" w:hAnsi="宋体" w:cs="宋体"/>
                <w:szCs w:val="21"/>
                <w:highlight w:val="none"/>
              </w:rPr>
              <w:t>根据投标产品的制造工艺、稳定性进行打分：</w:t>
            </w:r>
          </w:p>
          <w:p w14:paraId="0DF6B03B">
            <w:pPr>
              <w:widowControl/>
              <w:snapToGrid w:val="0"/>
              <w:spacing w:line="360" w:lineRule="exact"/>
              <w:rPr>
                <w:rFonts w:ascii="宋体" w:hAnsi="宋体" w:cs="宋体"/>
                <w:szCs w:val="21"/>
                <w:highlight w:val="none"/>
              </w:rPr>
            </w:pPr>
            <w:r>
              <w:rPr>
                <w:rFonts w:hint="eastAsia" w:ascii="宋体" w:hAnsi="宋体" w:cs="宋体"/>
                <w:szCs w:val="21"/>
                <w:highlight w:val="none"/>
              </w:rPr>
              <w:t>投标产品制造工艺、稳定性好、安全性高的得4分；</w:t>
            </w:r>
            <w:r>
              <w:rPr>
                <w:rFonts w:hint="eastAsia" w:ascii="宋体" w:hAnsi="宋体" w:cs="宋体"/>
                <w:color w:val="000000"/>
                <w:sz w:val="24"/>
                <w:highlight w:val="none"/>
              </w:rPr>
              <w:t>投标产品制造工艺、稳定性较好、安全性较高的得 2 分；投标产品制造工艺、稳定性、安全性一般的得 1 分。</w:t>
            </w:r>
          </w:p>
        </w:tc>
      </w:tr>
      <w:tr w14:paraId="778B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239" w:type="dxa"/>
            <w:vMerge w:val="continue"/>
            <w:noWrap/>
            <w:vAlign w:val="center"/>
          </w:tcPr>
          <w:p w14:paraId="1BA4AE8E">
            <w:pPr>
              <w:snapToGrid w:val="0"/>
              <w:spacing w:line="320" w:lineRule="exact"/>
              <w:jc w:val="center"/>
              <w:rPr>
                <w:rFonts w:ascii="宋体" w:hAnsi="宋体" w:cs="宋体"/>
                <w:szCs w:val="21"/>
                <w:highlight w:val="none"/>
              </w:rPr>
            </w:pPr>
          </w:p>
        </w:tc>
        <w:tc>
          <w:tcPr>
            <w:tcW w:w="1473" w:type="dxa"/>
            <w:vMerge w:val="continue"/>
            <w:noWrap/>
            <w:vAlign w:val="center"/>
          </w:tcPr>
          <w:p w14:paraId="6DBD4B33">
            <w:pPr>
              <w:widowControl/>
              <w:snapToGrid w:val="0"/>
              <w:spacing w:line="360" w:lineRule="exact"/>
              <w:jc w:val="center"/>
              <w:rPr>
                <w:rFonts w:ascii="宋体" w:hAnsi="宋体" w:cs="宋体"/>
                <w:kern w:val="0"/>
                <w:szCs w:val="21"/>
                <w:highlight w:val="none"/>
              </w:rPr>
            </w:pPr>
          </w:p>
        </w:tc>
        <w:tc>
          <w:tcPr>
            <w:tcW w:w="6770" w:type="dxa"/>
            <w:noWrap/>
            <w:vAlign w:val="center"/>
          </w:tcPr>
          <w:p w14:paraId="70865A65">
            <w:pPr>
              <w:widowControl/>
              <w:snapToGrid w:val="0"/>
              <w:spacing w:line="360" w:lineRule="exact"/>
              <w:rPr>
                <w:rFonts w:ascii="宋体" w:hAnsi="宋体" w:cs="宋体"/>
                <w:szCs w:val="21"/>
                <w:highlight w:val="none"/>
              </w:rPr>
            </w:pPr>
            <w:r>
              <w:rPr>
                <w:rFonts w:hint="eastAsia" w:ascii="宋体" w:hAnsi="宋体" w:cs="宋体"/>
                <w:szCs w:val="21"/>
                <w:highlight w:val="none"/>
              </w:rPr>
              <w:t>根据各投标产品操控性、性能及技术先 进性等进行打分：</w:t>
            </w:r>
          </w:p>
          <w:p w14:paraId="421FD6B5">
            <w:pPr>
              <w:widowControl/>
              <w:snapToGrid w:val="0"/>
              <w:spacing w:line="360" w:lineRule="exact"/>
              <w:rPr>
                <w:rFonts w:ascii="宋体" w:hAnsi="宋体" w:cs="宋体"/>
                <w:szCs w:val="21"/>
                <w:highlight w:val="none"/>
              </w:rPr>
            </w:pPr>
            <w:r>
              <w:rPr>
                <w:rFonts w:hint="eastAsia" w:ascii="宋体" w:hAnsi="宋体" w:cs="宋体"/>
                <w:szCs w:val="21"/>
                <w:highlight w:val="none"/>
              </w:rPr>
              <w:t>所投产品优秀，操控性强、性能好、技术先进的得 4 分；所投产品较好，操控性较强、性能较好、技术较先进的得 2 分；所投产品一般，操控性一般、性能一般、技术保守的得 1 分。</w:t>
            </w:r>
          </w:p>
        </w:tc>
      </w:tr>
      <w:tr w14:paraId="2892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ign w:val="center"/>
          </w:tcPr>
          <w:p w14:paraId="5DD93E1E">
            <w:pPr>
              <w:snapToGrid w:val="0"/>
              <w:spacing w:line="320" w:lineRule="exact"/>
              <w:jc w:val="center"/>
              <w:rPr>
                <w:rFonts w:ascii="宋体" w:hAnsi="宋体" w:cs="宋体"/>
                <w:szCs w:val="21"/>
                <w:highlight w:val="none"/>
              </w:rPr>
            </w:pPr>
          </w:p>
        </w:tc>
        <w:tc>
          <w:tcPr>
            <w:tcW w:w="1473" w:type="dxa"/>
            <w:vMerge w:val="restart"/>
            <w:noWrap/>
            <w:vAlign w:val="center"/>
          </w:tcPr>
          <w:p w14:paraId="17F785CB">
            <w:pPr>
              <w:widowControl/>
              <w:snapToGrid w:val="0"/>
              <w:spacing w:line="360" w:lineRule="exact"/>
              <w:jc w:val="center"/>
              <w:rPr>
                <w:rFonts w:ascii="宋体" w:hAnsi="宋体" w:cs="宋体"/>
                <w:szCs w:val="21"/>
                <w:highlight w:val="none"/>
              </w:rPr>
            </w:pPr>
            <w:r>
              <w:rPr>
                <w:rFonts w:hint="eastAsia" w:ascii="宋体" w:hAnsi="宋体" w:cs="宋体"/>
                <w:kern w:val="0"/>
                <w:szCs w:val="21"/>
                <w:highlight w:val="none"/>
              </w:rPr>
              <w:t>3.实施方案（</w:t>
            </w:r>
            <w:r>
              <w:rPr>
                <w:rFonts w:hint="eastAsia" w:ascii="宋体" w:hAnsi="宋体" w:cs="宋体"/>
                <w:kern w:val="0"/>
                <w:szCs w:val="21"/>
                <w:highlight w:val="none"/>
                <w:lang w:val="en-US" w:eastAsia="zh-CN"/>
              </w:rPr>
              <w:t>9</w:t>
            </w:r>
            <w:r>
              <w:rPr>
                <w:rFonts w:hint="eastAsia" w:ascii="宋体" w:hAnsi="宋体" w:cs="宋体"/>
                <w:kern w:val="0"/>
                <w:szCs w:val="21"/>
                <w:highlight w:val="none"/>
              </w:rPr>
              <w:t>分）</w:t>
            </w:r>
          </w:p>
        </w:tc>
        <w:tc>
          <w:tcPr>
            <w:tcW w:w="6770" w:type="dxa"/>
            <w:noWrap/>
            <w:vAlign w:val="center"/>
          </w:tcPr>
          <w:p w14:paraId="4A8E2E4D">
            <w:pPr>
              <w:widowControl/>
              <w:snapToGrid w:val="0"/>
              <w:spacing w:line="360" w:lineRule="exact"/>
              <w:rPr>
                <w:rFonts w:ascii="宋体" w:hAnsi="宋体" w:cs="宋体"/>
                <w:szCs w:val="21"/>
                <w:highlight w:val="none"/>
              </w:rPr>
            </w:pPr>
            <w:r>
              <w:rPr>
                <w:rFonts w:hint="eastAsia" w:ascii="宋体" w:hAnsi="宋体" w:cs="宋体"/>
                <w:szCs w:val="21"/>
                <w:highlight w:val="none"/>
              </w:rPr>
              <w:t>根据供应商提供的供货保障措施，包括货源保障措施、质量管控措施、交货期保证措施等进行打分。</w:t>
            </w:r>
          </w:p>
          <w:p w14:paraId="33B3F500">
            <w:pPr>
              <w:widowControl/>
              <w:snapToGrid w:val="0"/>
              <w:spacing w:line="360" w:lineRule="exact"/>
              <w:rPr>
                <w:rFonts w:ascii="宋体" w:hAnsi="宋体" w:cs="宋体"/>
                <w:szCs w:val="21"/>
                <w:highlight w:val="none"/>
              </w:rPr>
            </w:pPr>
            <w:r>
              <w:rPr>
                <w:rFonts w:hint="eastAsia" w:ascii="宋体" w:hAnsi="宋体" w:cs="宋体"/>
                <w:szCs w:val="21"/>
                <w:highlight w:val="none"/>
              </w:rPr>
              <w:t>供货保障措施具体详实，完全满足采购需求的得</w:t>
            </w:r>
            <w:r>
              <w:rPr>
                <w:rFonts w:hint="eastAsia" w:ascii="宋体" w:hAnsi="宋体" w:cs="宋体"/>
                <w:szCs w:val="21"/>
                <w:highlight w:val="none"/>
                <w:lang w:val="en-US" w:eastAsia="zh-CN"/>
              </w:rPr>
              <w:t>3</w:t>
            </w:r>
            <w:r>
              <w:rPr>
                <w:rFonts w:hint="eastAsia" w:ascii="宋体" w:hAnsi="宋体" w:cs="宋体"/>
                <w:szCs w:val="21"/>
                <w:highlight w:val="none"/>
              </w:rPr>
              <w:t>分；有较具体的供货保障措施，基本满足采购需求的得2分；供货保障措施不完备，不能满足采购需求的得1分；缺项得0分。</w:t>
            </w:r>
          </w:p>
        </w:tc>
      </w:tr>
      <w:tr w14:paraId="2197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ign w:val="center"/>
          </w:tcPr>
          <w:p w14:paraId="303753B3">
            <w:pPr>
              <w:snapToGrid w:val="0"/>
              <w:spacing w:line="320" w:lineRule="exact"/>
              <w:jc w:val="center"/>
              <w:rPr>
                <w:rFonts w:ascii="宋体" w:hAnsi="宋体" w:cs="宋体"/>
                <w:szCs w:val="21"/>
                <w:highlight w:val="none"/>
              </w:rPr>
            </w:pPr>
          </w:p>
        </w:tc>
        <w:tc>
          <w:tcPr>
            <w:tcW w:w="1473" w:type="dxa"/>
            <w:vMerge w:val="continue"/>
            <w:noWrap/>
            <w:vAlign w:val="center"/>
          </w:tcPr>
          <w:p w14:paraId="501005C1">
            <w:pPr>
              <w:widowControl/>
              <w:snapToGrid w:val="0"/>
              <w:spacing w:line="360" w:lineRule="exact"/>
              <w:rPr>
                <w:rFonts w:ascii="宋体" w:hAnsi="宋体" w:cs="宋体"/>
                <w:kern w:val="0"/>
                <w:szCs w:val="21"/>
                <w:highlight w:val="none"/>
              </w:rPr>
            </w:pPr>
          </w:p>
        </w:tc>
        <w:tc>
          <w:tcPr>
            <w:tcW w:w="6770" w:type="dxa"/>
            <w:noWrap/>
            <w:vAlign w:val="center"/>
          </w:tcPr>
          <w:p w14:paraId="54D9A421">
            <w:pPr>
              <w:widowControl/>
              <w:snapToGrid w:val="0"/>
              <w:spacing w:line="360" w:lineRule="exact"/>
              <w:rPr>
                <w:rFonts w:ascii="宋体" w:hAnsi="宋体" w:cs="宋体"/>
                <w:szCs w:val="21"/>
                <w:highlight w:val="none"/>
              </w:rPr>
            </w:pPr>
            <w:r>
              <w:rPr>
                <w:rFonts w:hint="eastAsia" w:ascii="宋体" w:hAnsi="宋体" w:cs="宋体"/>
                <w:szCs w:val="21"/>
                <w:highlight w:val="none"/>
              </w:rPr>
              <w:t>根据供应商提供的供货方案，包括供货、安装调试的方案（人员及工具配备、实施进度与保障措施）等进行打分。</w:t>
            </w:r>
          </w:p>
          <w:p w14:paraId="13F47C2B">
            <w:pPr>
              <w:widowControl/>
              <w:snapToGrid w:val="0"/>
              <w:spacing w:line="360" w:lineRule="exact"/>
              <w:rPr>
                <w:rFonts w:ascii="宋体" w:hAnsi="宋体" w:cs="宋体"/>
                <w:szCs w:val="21"/>
                <w:highlight w:val="none"/>
              </w:rPr>
            </w:pPr>
            <w:r>
              <w:rPr>
                <w:rFonts w:hint="eastAsia" w:ascii="宋体" w:hAnsi="宋体" w:cs="宋体"/>
                <w:szCs w:val="21"/>
                <w:highlight w:val="none"/>
              </w:rPr>
              <w:t>方案具体详实、人员及工具配备合理、保障措施可操作性强的得3分；有较具体的安装调试方案，内容较详实，基本满足项目需求的得2分；安装调试方案不完备，不能满足需求的得1分，缺项得0分。</w:t>
            </w:r>
          </w:p>
        </w:tc>
      </w:tr>
      <w:tr w14:paraId="0DA3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ign w:val="center"/>
          </w:tcPr>
          <w:p w14:paraId="2346CC25">
            <w:pPr>
              <w:snapToGrid w:val="0"/>
              <w:spacing w:line="320" w:lineRule="exact"/>
              <w:jc w:val="center"/>
              <w:rPr>
                <w:rFonts w:ascii="宋体" w:hAnsi="宋体" w:cs="宋体"/>
                <w:szCs w:val="21"/>
                <w:highlight w:val="none"/>
              </w:rPr>
            </w:pPr>
          </w:p>
        </w:tc>
        <w:tc>
          <w:tcPr>
            <w:tcW w:w="1473" w:type="dxa"/>
            <w:vMerge w:val="continue"/>
            <w:noWrap/>
            <w:vAlign w:val="center"/>
          </w:tcPr>
          <w:p w14:paraId="548C6004">
            <w:pPr>
              <w:widowControl/>
              <w:snapToGrid w:val="0"/>
              <w:spacing w:line="360" w:lineRule="exact"/>
              <w:rPr>
                <w:rFonts w:ascii="宋体" w:hAnsi="宋体" w:cs="宋体"/>
                <w:kern w:val="0"/>
                <w:szCs w:val="21"/>
                <w:highlight w:val="none"/>
              </w:rPr>
            </w:pPr>
          </w:p>
        </w:tc>
        <w:tc>
          <w:tcPr>
            <w:tcW w:w="6770" w:type="dxa"/>
            <w:noWrap/>
            <w:vAlign w:val="center"/>
          </w:tcPr>
          <w:p w14:paraId="6895FB6B">
            <w:pPr>
              <w:widowControl/>
              <w:snapToGrid w:val="0"/>
              <w:spacing w:line="360" w:lineRule="exact"/>
              <w:rPr>
                <w:rFonts w:ascii="宋体" w:hAnsi="宋体" w:cs="宋体"/>
                <w:szCs w:val="21"/>
                <w:highlight w:val="none"/>
              </w:rPr>
            </w:pPr>
            <w:r>
              <w:rPr>
                <w:rFonts w:hint="eastAsia" w:ascii="宋体" w:hAnsi="宋体" w:cs="宋体"/>
                <w:szCs w:val="21"/>
                <w:highlight w:val="none"/>
              </w:rPr>
              <w:t>根据供应商针对突发情况提供应急服务方案及保障措施进行打分，包含（但不限于）以下内容：应急响应流程及响应时间、应急保障措施（人员配备、备品备件等）。</w:t>
            </w:r>
          </w:p>
          <w:p w14:paraId="3987CBA2">
            <w:pPr>
              <w:widowControl/>
              <w:snapToGrid w:val="0"/>
              <w:spacing w:line="360" w:lineRule="exact"/>
              <w:rPr>
                <w:rFonts w:ascii="宋体" w:hAnsi="宋体" w:cs="宋体"/>
                <w:szCs w:val="21"/>
                <w:highlight w:val="none"/>
              </w:rPr>
            </w:pPr>
            <w:r>
              <w:rPr>
                <w:rFonts w:hint="eastAsia" w:ascii="宋体" w:hAnsi="宋体" w:cs="宋体"/>
                <w:szCs w:val="21"/>
                <w:highlight w:val="none"/>
              </w:rPr>
              <w:t>应急响应时间极快、应急保障充分的得3分；应急响应时间快、应急保障较充分的得2分；应急响应时间时间长、应急保障不充分的得1分；缺项得0分。</w:t>
            </w:r>
          </w:p>
        </w:tc>
      </w:tr>
      <w:tr w14:paraId="373D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ign w:val="center"/>
          </w:tcPr>
          <w:p w14:paraId="08A6E0F3">
            <w:pPr>
              <w:snapToGrid w:val="0"/>
              <w:spacing w:line="320" w:lineRule="exact"/>
              <w:jc w:val="center"/>
              <w:rPr>
                <w:rFonts w:ascii="宋体" w:hAnsi="宋体" w:cs="宋体"/>
                <w:szCs w:val="21"/>
                <w:highlight w:val="none"/>
              </w:rPr>
            </w:pPr>
            <w:r>
              <w:rPr>
                <w:rFonts w:hint="eastAsia" w:ascii="宋体" w:hAnsi="宋体" w:cs="宋体"/>
                <w:szCs w:val="21"/>
                <w:highlight w:val="none"/>
              </w:rPr>
              <w:t>商务评价</w:t>
            </w:r>
          </w:p>
          <w:p w14:paraId="402A9E74">
            <w:pPr>
              <w:snapToGrid w:val="0"/>
              <w:spacing w:line="320" w:lineRule="exact"/>
              <w:jc w:val="center"/>
              <w:rPr>
                <w:rFonts w:ascii="宋体" w:hAnsi="宋体" w:cs="宋体"/>
                <w:szCs w:val="21"/>
                <w:highlight w:val="none"/>
              </w:rPr>
            </w:pPr>
            <w:r>
              <w:rPr>
                <w:rFonts w:hint="eastAsia" w:ascii="宋体" w:hAnsi="宋体" w:cs="宋体"/>
                <w:szCs w:val="21"/>
                <w:highlight w:val="none"/>
              </w:rPr>
              <w:t>(18分)</w:t>
            </w:r>
          </w:p>
        </w:tc>
        <w:tc>
          <w:tcPr>
            <w:tcW w:w="1473" w:type="dxa"/>
            <w:tcBorders>
              <w:top w:val="single" w:color="auto" w:sz="4" w:space="0"/>
            </w:tcBorders>
            <w:noWrap/>
            <w:vAlign w:val="center"/>
          </w:tcPr>
          <w:p w14:paraId="23B0DC6E">
            <w:pPr>
              <w:snapToGrid w:val="0"/>
              <w:spacing w:line="360" w:lineRule="exact"/>
              <w:jc w:val="center"/>
              <w:rPr>
                <w:rFonts w:ascii="宋体" w:hAnsi="宋体" w:cs="宋体"/>
                <w:szCs w:val="21"/>
                <w:highlight w:val="none"/>
              </w:rPr>
            </w:pPr>
            <w:r>
              <w:rPr>
                <w:rFonts w:hint="eastAsia" w:ascii="宋体" w:hAnsi="宋体" w:cs="宋体"/>
                <w:szCs w:val="21"/>
                <w:highlight w:val="none"/>
              </w:rPr>
              <w:t>1.质保期</w:t>
            </w:r>
          </w:p>
          <w:p w14:paraId="70A43C54">
            <w:pPr>
              <w:snapToGrid w:val="0"/>
              <w:spacing w:line="360" w:lineRule="exact"/>
              <w:jc w:val="center"/>
              <w:rPr>
                <w:rFonts w:ascii="宋体" w:hAnsi="宋体" w:cs="宋体"/>
                <w:szCs w:val="21"/>
                <w:highlight w:val="none"/>
              </w:rPr>
            </w:pPr>
            <w:r>
              <w:rPr>
                <w:rFonts w:hint="eastAsia" w:ascii="宋体" w:hAnsi="宋体" w:cs="宋体"/>
                <w:szCs w:val="21"/>
                <w:highlight w:val="none"/>
              </w:rPr>
              <w:t>（4分）</w:t>
            </w:r>
          </w:p>
        </w:tc>
        <w:tc>
          <w:tcPr>
            <w:tcW w:w="6770" w:type="dxa"/>
            <w:noWrap/>
          </w:tcPr>
          <w:p w14:paraId="358FAF97">
            <w:pPr>
              <w:widowControl/>
              <w:snapToGrid w:val="0"/>
              <w:spacing w:line="360" w:lineRule="exact"/>
              <w:rPr>
                <w:rFonts w:ascii="宋体" w:hAnsi="宋体" w:cs="宋体"/>
                <w:szCs w:val="21"/>
                <w:highlight w:val="none"/>
              </w:rPr>
            </w:pPr>
            <w:r>
              <w:rPr>
                <w:rFonts w:hint="eastAsia" w:ascii="宋体" w:hAnsi="宋体" w:cs="宋体"/>
                <w:szCs w:val="21"/>
                <w:highlight w:val="none"/>
              </w:rPr>
              <w:t>质保期在满足采购文件的基础上，每增加一年加2分,最多加4分（出具相关服务承诺书）。</w:t>
            </w:r>
          </w:p>
        </w:tc>
      </w:tr>
      <w:tr w14:paraId="7AA4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ign w:val="center"/>
          </w:tcPr>
          <w:p w14:paraId="630CF6E7">
            <w:pPr>
              <w:snapToGrid w:val="0"/>
              <w:spacing w:line="320" w:lineRule="exact"/>
              <w:jc w:val="center"/>
              <w:rPr>
                <w:rFonts w:ascii="宋体" w:hAnsi="宋体" w:cs="宋体"/>
                <w:szCs w:val="21"/>
                <w:highlight w:val="none"/>
              </w:rPr>
            </w:pPr>
          </w:p>
        </w:tc>
        <w:tc>
          <w:tcPr>
            <w:tcW w:w="1473" w:type="dxa"/>
            <w:tcBorders>
              <w:top w:val="single" w:color="auto" w:sz="4" w:space="0"/>
            </w:tcBorders>
            <w:noWrap/>
            <w:vAlign w:val="center"/>
          </w:tcPr>
          <w:p w14:paraId="79A0FCF4">
            <w:pPr>
              <w:snapToGrid w:val="0"/>
              <w:spacing w:line="360" w:lineRule="exact"/>
              <w:jc w:val="center"/>
              <w:rPr>
                <w:rFonts w:ascii="宋体" w:hAnsi="宋体" w:cs="宋体"/>
                <w:szCs w:val="21"/>
                <w:highlight w:val="none"/>
              </w:rPr>
            </w:pPr>
            <w:r>
              <w:rPr>
                <w:rFonts w:hint="eastAsia" w:ascii="宋体" w:hAnsi="宋体" w:cs="宋体"/>
                <w:szCs w:val="21"/>
                <w:highlight w:val="none"/>
              </w:rPr>
              <w:t>2.类似业绩（4分）</w:t>
            </w:r>
          </w:p>
        </w:tc>
        <w:tc>
          <w:tcPr>
            <w:tcW w:w="6770" w:type="dxa"/>
            <w:noWrap/>
            <w:vAlign w:val="center"/>
          </w:tcPr>
          <w:p w14:paraId="44FEB0E6">
            <w:pPr>
              <w:widowControl/>
              <w:snapToGrid w:val="0"/>
              <w:spacing w:line="360" w:lineRule="exact"/>
              <w:rPr>
                <w:rFonts w:ascii="宋体" w:hAnsi="宋体" w:cs="宋体"/>
                <w:szCs w:val="21"/>
                <w:highlight w:val="none"/>
              </w:rPr>
            </w:pPr>
            <w:r>
              <w:rPr>
                <w:rFonts w:hint="eastAsia" w:ascii="宋体" w:hAnsi="宋体" w:cs="宋体"/>
                <w:szCs w:val="21"/>
                <w:highlight w:val="none"/>
              </w:rPr>
              <w:t>自2022年01月01日以来具有的类似项目(以合同文件为准），每提供一份得2分，最多得4分。</w:t>
            </w:r>
          </w:p>
        </w:tc>
      </w:tr>
      <w:tr w14:paraId="2983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noWrap/>
            <w:vAlign w:val="center"/>
          </w:tcPr>
          <w:p w14:paraId="0B4CCEA0">
            <w:pPr>
              <w:snapToGrid w:val="0"/>
              <w:spacing w:line="320" w:lineRule="exact"/>
              <w:jc w:val="center"/>
              <w:rPr>
                <w:rFonts w:ascii="宋体" w:hAnsi="宋体" w:cs="宋体"/>
                <w:szCs w:val="21"/>
                <w:highlight w:val="none"/>
              </w:rPr>
            </w:pPr>
          </w:p>
        </w:tc>
        <w:tc>
          <w:tcPr>
            <w:tcW w:w="1473" w:type="dxa"/>
            <w:noWrap/>
            <w:vAlign w:val="center"/>
          </w:tcPr>
          <w:p w14:paraId="2B83DB22">
            <w:pPr>
              <w:snapToGrid w:val="0"/>
              <w:spacing w:line="360" w:lineRule="exact"/>
              <w:jc w:val="center"/>
              <w:rPr>
                <w:rFonts w:ascii="宋体" w:hAnsi="宋体" w:cs="宋体"/>
                <w:szCs w:val="21"/>
                <w:highlight w:val="none"/>
              </w:rPr>
            </w:pPr>
            <w:r>
              <w:rPr>
                <w:rFonts w:hint="eastAsia" w:ascii="宋体" w:hAnsi="宋体" w:cs="宋体"/>
                <w:szCs w:val="21"/>
                <w:highlight w:val="none"/>
              </w:rPr>
              <w:t>3.优惠承诺（2分）</w:t>
            </w:r>
          </w:p>
        </w:tc>
        <w:tc>
          <w:tcPr>
            <w:tcW w:w="6770" w:type="dxa"/>
            <w:noWrap/>
            <w:vAlign w:val="center"/>
          </w:tcPr>
          <w:p w14:paraId="66C42D6F">
            <w:pPr>
              <w:pStyle w:val="50"/>
              <w:ind w:firstLine="0"/>
              <w:rPr>
                <w:rFonts w:ascii="宋体" w:hAnsi="宋体" w:cs="宋体"/>
                <w:sz w:val="21"/>
                <w:szCs w:val="21"/>
                <w:highlight w:val="none"/>
              </w:rPr>
            </w:pPr>
            <w:r>
              <w:rPr>
                <w:rFonts w:hint="eastAsia" w:ascii="宋体" w:hAnsi="宋体" w:cs="宋体"/>
                <w:sz w:val="21"/>
                <w:szCs w:val="21"/>
                <w:highlight w:val="none"/>
              </w:rPr>
              <w:t>根据供应商在满足采购文件要求的基础上另外提出的优惠承诺进行评比：每提供一项对采购人有利的、切实可行的实质性优惠承诺得1分，最多得2分。缺项得0分。</w:t>
            </w:r>
          </w:p>
        </w:tc>
      </w:tr>
      <w:tr w14:paraId="1471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39" w:type="dxa"/>
            <w:vMerge w:val="continue"/>
            <w:noWrap/>
            <w:vAlign w:val="center"/>
          </w:tcPr>
          <w:p w14:paraId="081F494B">
            <w:pPr>
              <w:snapToGrid w:val="0"/>
              <w:spacing w:line="320" w:lineRule="exact"/>
              <w:jc w:val="center"/>
              <w:rPr>
                <w:rFonts w:ascii="宋体" w:hAnsi="宋体" w:cs="宋体"/>
                <w:szCs w:val="21"/>
                <w:highlight w:val="none"/>
              </w:rPr>
            </w:pPr>
          </w:p>
        </w:tc>
        <w:tc>
          <w:tcPr>
            <w:tcW w:w="1473" w:type="dxa"/>
            <w:noWrap/>
            <w:vAlign w:val="center"/>
          </w:tcPr>
          <w:p w14:paraId="4FDFFB9B">
            <w:pPr>
              <w:snapToGrid w:val="0"/>
              <w:spacing w:line="360" w:lineRule="exact"/>
              <w:jc w:val="center"/>
              <w:rPr>
                <w:rFonts w:ascii="宋体" w:hAnsi="宋体" w:cs="宋体"/>
                <w:szCs w:val="21"/>
                <w:highlight w:val="none"/>
              </w:rPr>
            </w:pPr>
            <w:r>
              <w:rPr>
                <w:rFonts w:hint="eastAsia" w:ascii="宋体" w:hAnsi="宋体" w:cs="宋体"/>
                <w:szCs w:val="21"/>
                <w:highlight w:val="none"/>
              </w:rPr>
              <w:t>4.售后服务（8分）</w:t>
            </w:r>
          </w:p>
        </w:tc>
        <w:tc>
          <w:tcPr>
            <w:tcW w:w="6770" w:type="dxa"/>
            <w:noWrap/>
            <w:vAlign w:val="center"/>
          </w:tcPr>
          <w:p w14:paraId="61881463">
            <w:pPr>
              <w:snapToGrid w:val="0"/>
              <w:spacing w:line="360" w:lineRule="exact"/>
              <w:rPr>
                <w:rFonts w:ascii="宋体" w:hAnsi="宋体" w:cs="宋体"/>
                <w:szCs w:val="21"/>
                <w:highlight w:val="none"/>
              </w:rPr>
            </w:pPr>
            <w:r>
              <w:rPr>
                <w:rFonts w:hint="eastAsia" w:ascii="宋体" w:hAnsi="宋体" w:cs="宋体"/>
                <w:szCs w:val="21"/>
                <w:highlight w:val="none"/>
              </w:rPr>
              <w:t>根据供应商提供的售后服务人员配备及专业技术能力说明、故障响应时间、应急维修措施预案、培训方案等进行打分。</w:t>
            </w:r>
          </w:p>
          <w:p w14:paraId="22CABC6F">
            <w:pPr>
              <w:snapToGrid w:val="0"/>
              <w:spacing w:line="360" w:lineRule="exact"/>
              <w:rPr>
                <w:rFonts w:ascii="宋体" w:hAnsi="宋体" w:cs="宋体"/>
                <w:szCs w:val="21"/>
                <w:highlight w:val="none"/>
              </w:rPr>
            </w:pPr>
            <w:r>
              <w:rPr>
                <w:rFonts w:hint="eastAsia" w:ascii="宋体" w:hAnsi="宋体" w:cs="宋体"/>
                <w:szCs w:val="21"/>
                <w:highlight w:val="none"/>
              </w:rPr>
              <w:t>服务承诺符合本项目特点，措施详尽、故障响应时间极快、应急维修措施预案合理且可行，有具体的培训方案，得8分。</w:t>
            </w:r>
          </w:p>
          <w:p w14:paraId="32675998">
            <w:pPr>
              <w:snapToGrid w:val="0"/>
              <w:spacing w:line="360" w:lineRule="exact"/>
              <w:rPr>
                <w:rFonts w:ascii="宋体" w:hAnsi="宋体" w:cs="宋体"/>
                <w:szCs w:val="21"/>
                <w:highlight w:val="none"/>
              </w:rPr>
            </w:pPr>
            <w:r>
              <w:rPr>
                <w:rFonts w:hint="eastAsia" w:ascii="宋体" w:hAnsi="宋体" w:cs="宋体"/>
                <w:szCs w:val="21"/>
                <w:highlight w:val="none"/>
              </w:rPr>
              <w:t>服务承诺符合本项目特点，故障响应时间快、应急维修措施预案较合理，有较具体的培训方案的得 5 分；</w:t>
            </w:r>
          </w:p>
          <w:p w14:paraId="20B0B2E6">
            <w:pPr>
              <w:snapToGrid w:val="0"/>
              <w:spacing w:line="360" w:lineRule="exact"/>
              <w:rPr>
                <w:rFonts w:ascii="宋体" w:hAnsi="宋体" w:cs="宋体"/>
                <w:szCs w:val="21"/>
                <w:highlight w:val="none"/>
              </w:rPr>
            </w:pPr>
            <w:r>
              <w:rPr>
                <w:rFonts w:hint="eastAsia" w:ascii="宋体" w:hAnsi="宋体" w:cs="宋体"/>
                <w:szCs w:val="21"/>
                <w:highlight w:val="none"/>
              </w:rPr>
              <w:t>服务承诺符合本项目特点，故障响应时间较长、应急维修措施预案不完备，培训方案不完备的得 2 分；</w:t>
            </w:r>
          </w:p>
          <w:p w14:paraId="16CDFB28">
            <w:pPr>
              <w:snapToGrid w:val="0"/>
              <w:spacing w:line="360" w:lineRule="exact"/>
              <w:rPr>
                <w:rFonts w:ascii="宋体" w:hAnsi="宋体" w:cs="宋体"/>
                <w:szCs w:val="21"/>
                <w:highlight w:val="none"/>
              </w:rPr>
            </w:pPr>
            <w:r>
              <w:rPr>
                <w:rFonts w:hint="eastAsia" w:ascii="宋体" w:hAnsi="宋体" w:cs="宋体"/>
                <w:szCs w:val="21"/>
                <w:highlight w:val="none"/>
              </w:rPr>
              <w:t>缺项得0分。</w:t>
            </w:r>
          </w:p>
        </w:tc>
      </w:tr>
      <w:tr w14:paraId="6188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tcPr>
          <w:p w14:paraId="0E00EF24">
            <w:pPr>
              <w:snapToGrid w:val="0"/>
              <w:spacing w:line="320" w:lineRule="exact"/>
              <w:jc w:val="center"/>
              <w:rPr>
                <w:rFonts w:ascii="宋体" w:hAnsi="宋体" w:cs="宋体"/>
                <w:szCs w:val="21"/>
                <w:highlight w:val="none"/>
              </w:rPr>
            </w:pPr>
            <w:r>
              <w:rPr>
                <w:rFonts w:hint="eastAsia" w:ascii="宋体" w:hAnsi="宋体" w:cs="宋体"/>
                <w:szCs w:val="21"/>
                <w:highlight w:val="none"/>
              </w:rPr>
              <w:t>得分的计算</w:t>
            </w:r>
          </w:p>
        </w:tc>
        <w:tc>
          <w:tcPr>
            <w:tcW w:w="8243" w:type="dxa"/>
            <w:gridSpan w:val="2"/>
            <w:noWrap/>
            <w:vAlign w:val="center"/>
          </w:tcPr>
          <w:p w14:paraId="7C7548C0">
            <w:pPr>
              <w:snapToGrid w:val="0"/>
              <w:spacing w:line="360" w:lineRule="exact"/>
              <w:rPr>
                <w:rFonts w:ascii="宋体" w:hAnsi="宋体" w:cs="宋体"/>
                <w:szCs w:val="21"/>
                <w:highlight w:val="none"/>
              </w:rPr>
            </w:pPr>
            <w:r>
              <w:rPr>
                <w:rFonts w:hint="eastAsia" w:ascii="宋体" w:hAnsi="宋体" w:cs="宋体"/>
                <w:szCs w:val="21"/>
                <w:highlight w:val="none"/>
              </w:rPr>
              <w:t>磋商小组成员评分=各项评分因素的汇总得分。</w:t>
            </w:r>
          </w:p>
          <w:p w14:paraId="0DCA6185">
            <w:pPr>
              <w:snapToGrid w:val="0"/>
              <w:spacing w:line="360" w:lineRule="exact"/>
              <w:rPr>
                <w:rFonts w:ascii="宋体" w:hAnsi="宋体" w:cs="宋体"/>
                <w:szCs w:val="21"/>
                <w:highlight w:val="none"/>
              </w:rPr>
            </w:pPr>
            <w:r>
              <w:rPr>
                <w:rFonts w:hint="eastAsia" w:ascii="宋体" w:hAnsi="宋体" w:cs="宋体"/>
                <w:szCs w:val="21"/>
                <w:highlight w:val="none"/>
              </w:rPr>
              <w:t>评标总得分=磋商小组所有成员合计评分/磋商小组组成人员数。</w:t>
            </w:r>
          </w:p>
        </w:tc>
      </w:tr>
    </w:tbl>
    <w:p w14:paraId="2210A147">
      <w:pPr>
        <w:snapToGrid w:val="0"/>
        <w:rPr>
          <w:rFonts w:ascii="宋体" w:hAnsi="宋体" w:cs="宋体"/>
          <w:kern w:val="0"/>
          <w:szCs w:val="21"/>
          <w:highlight w:val="none"/>
        </w:rPr>
      </w:pPr>
    </w:p>
    <w:p w14:paraId="6E6083F5">
      <w:pPr>
        <w:rPr>
          <w:rFonts w:ascii="宋体" w:hAnsi="宋体" w:cs="宋体"/>
          <w:b/>
          <w:highlight w:val="none"/>
        </w:rPr>
      </w:pPr>
      <w:r>
        <w:rPr>
          <w:rFonts w:hint="eastAsia" w:ascii="宋体" w:hAnsi="宋体" w:cs="宋体"/>
          <w:b/>
          <w:highlight w:val="none"/>
        </w:rPr>
        <w:br w:type="page"/>
      </w:r>
    </w:p>
    <w:bookmarkEnd w:id="46"/>
    <w:p w14:paraId="773DD17B">
      <w:pPr>
        <w:rPr>
          <w:rFonts w:ascii="宋体" w:hAnsi="宋体" w:cs="宋体"/>
          <w:highlight w:val="none"/>
        </w:rPr>
      </w:pPr>
      <w:bookmarkStart w:id="50" w:name="_Toc1482"/>
      <w:bookmarkStart w:id="51" w:name="_Toc1947"/>
      <w:bookmarkStart w:id="52" w:name="_Toc326786897"/>
      <w:bookmarkStart w:id="53" w:name="_Toc256519703"/>
    </w:p>
    <w:p w14:paraId="7BB12C99">
      <w:pPr>
        <w:pStyle w:val="3"/>
        <w:snapToGrid w:val="0"/>
        <w:spacing w:before="0" w:after="0" w:line="480" w:lineRule="auto"/>
        <w:jc w:val="center"/>
        <w:rPr>
          <w:rFonts w:ascii="宋体" w:hAnsi="宋体" w:cs="宋体"/>
          <w:sz w:val="28"/>
          <w:szCs w:val="28"/>
          <w:highlight w:val="none"/>
        </w:rPr>
      </w:pPr>
      <w:bookmarkStart w:id="54" w:name="_Toc11904"/>
      <w:r>
        <w:rPr>
          <w:rFonts w:hint="eastAsia" w:ascii="宋体" w:hAnsi="宋体" w:cs="宋体"/>
          <w:sz w:val="28"/>
          <w:szCs w:val="28"/>
          <w:highlight w:val="none"/>
        </w:rPr>
        <w:t>第五章  采购合同</w:t>
      </w:r>
      <w:bookmarkEnd w:id="54"/>
    </w:p>
    <w:p w14:paraId="5A81830F">
      <w:pPr>
        <w:snapToGrid w:val="0"/>
        <w:spacing w:line="360" w:lineRule="auto"/>
        <w:jc w:val="center"/>
        <w:rPr>
          <w:rFonts w:ascii="宋体" w:hAnsi="宋体" w:cs="宋体"/>
          <w:szCs w:val="21"/>
          <w:highlight w:val="none"/>
        </w:rPr>
      </w:pPr>
      <w:r>
        <w:rPr>
          <w:rFonts w:hint="eastAsia" w:ascii="宋体" w:hAnsi="宋体" w:cs="宋体"/>
          <w:szCs w:val="21"/>
          <w:highlight w:val="none"/>
        </w:rPr>
        <w:t>（以实际合同为准）</w:t>
      </w:r>
    </w:p>
    <w:p w14:paraId="0F92ECC7">
      <w:pPr>
        <w:rPr>
          <w:rFonts w:ascii="宋体" w:hAnsi="宋体" w:cs="宋体"/>
          <w:sz w:val="32"/>
          <w:szCs w:val="32"/>
          <w:highlight w:val="none"/>
        </w:rPr>
      </w:pPr>
    </w:p>
    <w:p w14:paraId="55F9FABA">
      <w:pPr>
        <w:rPr>
          <w:rFonts w:ascii="宋体" w:hAnsi="宋体" w:cs="宋体"/>
          <w:highlight w:val="none"/>
        </w:rPr>
      </w:pPr>
      <w:r>
        <w:rPr>
          <w:rFonts w:hint="eastAsia" w:ascii="宋体" w:hAnsi="宋体" w:cs="宋体"/>
          <w:highlight w:val="none"/>
        </w:rPr>
        <w:br w:type="page"/>
      </w:r>
    </w:p>
    <w:p w14:paraId="5C6962A0">
      <w:pPr>
        <w:pStyle w:val="33"/>
        <w:ind w:firstLine="210"/>
        <w:rPr>
          <w:rFonts w:ascii="宋体" w:hAnsi="宋体" w:cs="宋体"/>
          <w:highlight w:val="none"/>
        </w:rPr>
      </w:pPr>
    </w:p>
    <w:p w14:paraId="5D3F0A8F">
      <w:pPr>
        <w:pStyle w:val="3"/>
        <w:jc w:val="center"/>
        <w:rPr>
          <w:rFonts w:ascii="宋体" w:hAnsi="宋体" w:cs="宋体"/>
          <w:kern w:val="0"/>
          <w:highlight w:val="none"/>
        </w:rPr>
      </w:pPr>
      <w:bookmarkStart w:id="55" w:name="_Toc18702"/>
      <w:r>
        <w:rPr>
          <w:rFonts w:hint="eastAsia" w:ascii="宋体" w:hAnsi="宋体" w:cs="宋体"/>
          <w:sz w:val="32"/>
          <w:szCs w:val="32"/>
          <w:highlight w:val="none"/>
        </w:rPr>
        <w:t>第六章  响应文件格式</w:t>
      </w:r>
      <w:bookmarkEnd w:id="50"/>
      <w:bookmarkEnd w:id="51"/>
      <w:bookmarkEnd w:id="55"/>
    </w:p>
    <w:p w14:paraId="565A1DD4">
      <w:pPr>
        <w:spacing w:line="440" w:lineRule="exact"/>
        <w:rPr>
          <w:rFonts w:ascii="宋体" w:hAnsi="宋体" w:cs="宋体"/>
          <w:sz w:val="24"/>
          <w:highlight w:val="none"/>
        </w:rPr>
      </w:pPr>
    </w:p>
    <w:p w14:paraId="10909427">
      <w:pPr>
        <w:jc w:val="center"/>
        <w:rPr>
          <w:rFonts w:ascii="宋体" w:hAnsi="宋体" w:cs="宋体"/>
          <w:b/>
          <w:bCs/>
          <w:sz w:val="32"/>
          <w:szCs w:val="32"/>
          <w:highlight w:val="none"/>
        </w:rPr>
      </w:pPr>
      <w:bookmarkStart w:id="56" w:name="_Toc13604"/>
      <w:r>
        <w:rPr>
          <w:rFonts w:hint="eastAsia" w:ascii="宋体" w:hAnsi="宋体" w:cs="宋体"/>
          <w:b/>
          <w:bCs/>
          <w:sz w:val="32"/>
          <w:szCs w:val="32"/>
          <w:highlight w:val="none"/>
        </w:rPr>
        <w:t>目    录</w:t>
      </w:r>
      <w:bookmarkEnd w:id="56"/>
    </w:p>
    <w:p w14:paraId="78C9B854">
      <w:pPr>
        <w:widowControl/>
        <w:wordWrap w:val="0"/>
        <w:spacing w:line="460" w:lineRule="exact"/>
        <w:ind w:firstLine="480" w:firstLineChars="200"/>
        <w:jc w:val="left"/>
        <w:rPr>
          <w:rFonts w:ascii="宋体" w:hAnsi="宋体" w:cs="宋体"/>
          <w:kern w:val="0"/>
          <w:sz w:val="24"/>
          <w:highlight w:val="none"/>
        </w:rPr>
      </w:pPr>
    </w:p>
    <w:p w14:paraId="49019325">
      <w:pPr>
        <w:snapToGrid w:val="0"/>
        <w:spacing w:line="360" w:lineRule="auto"/>
        <w:ind w:firstLine="480" w:firstLineChars="200"/>
        <w:rPr>
          <w:rFonts w:ascii="宋体" w:hAnsi="宋体" w:cs="宋体"/>
          <w:sz w:val="24"/>
          <w:highlight w:val="none"/>
        </w:rPr>
      </w:pPr>
      <w:bookmarkStart w:id="57" w:name="_Toc11308"/>
      <w:r>
        <w:rPr>
          <w:rFonts w:hint="eastAsia" w:ascii="宋体" w:hAnsi="宋体" w:cs="宋体"/>
          <w:sz w:val="24"/>
          <w:highlight w:val="none"/>
        </w:rPr>
        <w:t>附件1响应文件封面（格式）</w:t>
      </w:r>
      <w:bookmarkEnd w:id="57"/>
    </w:p>
    <w:p w14:paraId="5F55B495">
      <w:pPr>
        <w:snapToGrid w:val="0"/>
        <w:spacing w:line="360" w:lineRule="auto"/>
        <w:ind w:firstLine="480" w:firstLineChars="200"/>
        <w:rPr>
          <w:rFonts w:ascii="宋体" w:hAnsi="宋体" w:cs="宋体"/>
          <w:sz w:val="24"/>
          <w:highlight w:val="none"/>
        </w:rPr>
      </w:pPr>
      <w:bookmarkStart w:id="58" w:name="_Toc25345"/>
      <w:r>
        <w:rPr>
          <w:rFonts w:hint="eastAsia" w:ascii="宋体" w:hAnsi="宋体" w:cs="宋体"/>
          <w:sz w:val="24"/>
          <w:highlight w:val="none"/>
        </w:rPr>
        <w:t xml:space="preserve">附件2 </w:t>
      </w:r>
      <w:r>
        <w:rPr>
          <w:rFonts w:hint="eastAsia" w:ascii="宋体" w:hAnsi="宋体" w:cs="宋体"/>
          <w:kern w:val="0"/>
          <w:sz w:val="24"/>
          <w:highlight w:val="none"/>
        </w:rPr>
        <w:t>竞争性磋商响应书</w:t>
      </w:r>
      <w:r>
        <w:rPr>
          <w:rFonts w:hint="eastAsia" w:ascii="宋体" w:hAnsi="宋体" w:cs="宋体"/>
          <w:sz w:val="24"/>
          <w:highlight w:val="none"/>
        </w:rPr>
        <w:t>（格式）</w:t>
      </w:r>
      <w:bookmarkEnd w:id="58"/>
    </w:p>
    <w:p w14:paraId="7684D4C8">
      <w:pPr>
        <w:snapToGrid w:val="0"/>
        <w:spacing w:line="360" w:lineRule="auto"/>
        <w:ind w:firstLine="480" w:firstLineChars="200"/>
        <w:rPr>
          <w:rFonts w:ascii="宋体" w:hAnsi="宋体" w:cs="宋体"/>
          <w:sz w:val="24"/>
          <w:highlight w:val="none"/>
        </w:rPr>
      </w:pPr>
      <w:bookmarkStart w:id="59" w:name="_Toc10217"/>
      <w:r>
        <w:rPr>
          <w:rFonts w:hint="eastAsia" w:ascii="宋体" w:hAnsi="宋体" w:cs="宋体"/>
          <w:sz w:val="24"/>
          <w:highlight w:val="none"/>
        </w:rPr>
        <w:t xml:space="preserve">附件3 </w:t>
      </w:r>
      <w:r>
        <w:rPr>
          <w:rFonts w:hint="eastAsia" w:ascii="宋体" w:hAnsi="宋体" w:cs="宋体"/>
          <w:kern w:val="0"/>
          <w:sz w:val="24"/>
          <w:highlight w:val="none"/>
        </w:rPr>
        <w:t>初次报价一览表</w:t>
      </w:r>
      <w:r>
        <w:rPr>
          <w:rFonts w:hint="eastAsia" w:ascii="宋体" w:hAnsi="宋体" w:cs="宋体"/>
          <w:sz w:val="24"/>
          <w:highlight w:val="none"/>
        </w:rPr>
        <w:t>（格式）</w:t>
      </w:r>
      <w:bookmarkEnd w:id="59"/>
    </w:p>
    <w:p w14:paraId="7808AA9B">
      <w:pPr>
        <w:snapToGrid w:val="0"/>
        <w:spacing w:line="360" w:lineRule="auto"/>
        <w:ind w:firstLine="480" w:firstLineChars="200"/>
        <w:rPr>
          <w:rFonts w:ascii="宋体" w:hAnsi="宋体" w:cs="宋体"/>
          <w:sz w:val="24"/>
          <w:highlight w:val="none"/>
        </w:rPr>
      </w:pPr>
      <w:bookmarkStart w:id="60" w:name="_Toc9579"/>
      <w:r>
        <w:rPr>
          <w:rFonts w:hint="eastAsia" w:ascii="宋体" w:hAnsi="宋体" w:cs="宋体"/>
          <w:sz w:val="24"/>
          <w:highlight w:val="none"/>
        </w:rPr>
        <w:t xml:space="preserve">附件4 </w:t>
      </w:r>
      <w:bookmarkEnd w:id="60"/>
      <w:r>
        <w:rPr>
          <w:rFonts w:hint="eastAsia" w:ascii="宋体" w:hAnsi="宋体" w:cs="宋体"/>
          <w:sz w:val="24"/>
          <w:highlight w:val="none"/>
        </w:rPr>
        <w:t>报价明细表（格式）</w:t>
      </w:r>
    </w:p>
    <w:p w14:paraId="556C378A">
      <w:pPr>
        <w:snapToGrid w:val="0"/>
        <w:spacing w:line="360" w:lineRule="auto"/>
        <w:ind w:firstLine="480" w:firstLineChars="200"/>
        <w:rPr>
          <w:rFonts w:ascii="宋体" w:hAnsi="宋体" w:cs="宋体"/>
          <w:sz w:val="24"/>
          <w:highlight w:val="none"/>
        </w:rPr>
      </w:pPr>
      <w:bookmarkStart w:id="61" w:name="_Toc28392"/>
      <w:r>
        <w:rPr>
          <w:rFonts w:hint="eastAsia" w:ascii="宋体" w:hAnsi="宋体" w:cs="宋体"/>
          <w:sz w:val="24"/>
          <w:highlight w:val="none"/>
        </w:rPr>
        <w:t>附件5技术响应</w:t>
      </w:r>
      <w:bookmarkEnd w:id="61"/>
      <w:r>
        <w:rPr>
          <w:rFonts w:hint="eastAsia" w:ascii="宋体" w:hAnsi="宋体" w:cs="宋体"/>
          <w:sz w:val="24"/>
          <w:highlight w:val="none"/>
        </w:rPr>
        <w:t>表（格式）</w:t>
      </w:r>
    </w:p>
    <w:p w14:paraId="55F67A9D">
      <w:pPr>
        <w:snapToGrid w:val="0"/>
        <w:spacing w:line="360" w:lineRule="auto"/>
        <w:ind w:firstLine="480" w:firstLineChars="200"/>
        <w:rPr>
          <w:rFonts w:ascii="宋体" w:hAnsi="宋体" w:cs="宋体"/>
          <w:sz w:val="24"/>
          <w:highlight w:val="none"/>
        </w:rPr>
      </w:pPr>
      <w:bookmarkStart w:id="62" w:name="_Toc6234"/>
      <w:r>
        <w:rPr>
          <w:rFonts w:hint="eastAsia" w:ascii="宋体" w:hAnsi="宋体" w:cs="宋体"/>
          <w:sz w:val="24"/>
          <w:highlight w:val="none"/>
        </w:rPr>
        <w:t>附件6 商务</w:t>
      </w:r>
      <w:bookmarkEnd w:id="62"/>
      <w:r>
        <w:rPr>
          <w:rFonts w:hint="eastAsia" w:ascii="宋体" w:hAnsi="宋体" w:cs="宋体"/>
          <w:sz w:val="24"/>
          <w:highlight w:val="none"/>
        </w:rPr>
        <w:t>响应表（格式）</w:t>
      </w:r>
    </w:p>
    <w:p w14:paraId="3CCAF407">
      <w:pPr>
        <w:snapToGrid w:val="0"/>
        <w:spacing w:line="360" w:lineRule="auto"/>
        <w:ind w:firstLine="480" w:firstLineChars="200"/>
        <w:rPr>
          <w:rFonts w:ascii="宋体" w:hAnsi="宋体" w:cs="宋体"/>
          <w:sz w:val="24"/>
          <w:highlight w:val="none"/>
        </w:rPr>
      </w:pPr>
      <w:bookmarkStart w:id="63" w:name="_Toc26231"/>
      <w:r>
        <w:rPr>
          <w:rFonts w:hint="eastAsia" w:ascii="宋体" w:hAnsi="宋体" w:cs="宋体"/>
          <w:sz w:val="24"/>
          <w:highlight w:val="none"/>
        </w:rPr>
        <w:t>附件7法定代表人身份证明（格式）</w:t>
      </w:r>
      <w:bookmarkEnd w:id="63"/>
    </w:p>
    <w:p w14:paraId="7331C604">
      <w:pPr>
        <w:snapToGrid w:val="0"/>
        <w:spacing w:line="360" w:lineRule="auto"/>
        <w:ind w:firstLine="480" w:firstLineChars="200"/>
        <w:rPr>
          <w:rFonts w:ascii="宋体" w:hAnsi="宋体" w:cs="宋体"/>
          <w:sz w:val="24"/>
          <w:highlight w:val="none"/>
        </w:rPr>
      </w:pPr>
      <w:bookmarkStart w:id="64" w:name="_Toc18484"/>
      <w:r>
        <w:rPr>
          <w:rFonts w:hint="eastAsia" w:ascii="宋体" w:hAnsi="宋体" w:cs="宋体"/>
          <w:sz w:val="24"/>
          <w:highlight w:val="none"/>
        </w:rPr>
        <w:t>附件8法定代表人授权书（格式）</w:t>
      </w:r>
      <w:bookmarkEnd w:id="64"/>
    </w:p>
    <w:p w14:paraId="3C15CC95">
      <w:pPr>
        <w:snapToGrid w:val="0"/>
        <w:spacing w:line="360" w:lineRule="auto"/>
        <w:ind w:firstLine="480" w:firstLineChars="200"/>
        <w:rPr>
          <w:rFonts w:ascii="宋体" w:hAnsi="宋体" w:cs="宋体"/>
          <w:sz w:val="24"/>
          <w:highlight w:val="none"/>
        </w:rPr>
      </w:pPr>
      <w:bookmarkStart w:id="65" w:name="_Toc31857"/>
      <w:r>
        <w:rPr>
          <w:rFonts w:hint="eastAsia" w:ascii="宋体" w:hAnsi="宋体" w:cs="宋体"/>
          <w:sz w:val="24"/>
          <w:highlight w:val="none"/>
        </w:rPr>
        <w:t>附件9 证明文件</w:t>
      </w:r>
      <w:bookmarkEnd w:id="65"/>
    </w:p>
    <w:p w14:paraId="2A39BF12">
      <w:pPr>
        <w:snapToGrid w:val="0"/>
        <w:spacing w:line="360" w:lineRule="auto"/>
        <w:ind w:firstLine="480" w:firstLineChars="200"/>
        <w:rPr>
          <w:rFonts w:ascii="宋体" w:hAnsi="宋体" w:cs="宋体"/>
          <w:sz w:val="24"/>
          <w:highlight w:val="none"/>
        </w:rPr>
      </w:pPr>
      <w:bookmarkStart w:id="66" w:name="_Toc23116"/>
      <w:r>
        <w:rPr>
          <w:rFonts w:hint="eastAsia" w:ascii="宋体" w:hAnsi="宋体" w:cs="宋体"/>
          <w:sz w:val="24"/>
          <w:highlight w:val="none"/>
        </w:rPr>
        <w:t>附件10 供应商承诺书（格式）</w:t>
      </w:r>
      <w:bookmarkEnd w:id="66"/>
    </w:p>
    <w:p w14:paraId="5E3BEB1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附件11 供应商信用承诺函（格式）</w:t>
      </w:r>
    </w:p>
    <w:p w14:paraId="49E9D86B">
      <w:pPr>
        <w:snapToGrid w:val="0"/>
        <w:spacing w:line="360" w:lineRule="auto"/>
        <w:ind w:firstLine="480" w:firstLineChars="200"/>
        <w:rPr>
          <w:rFonts w:ascii="宋体" w:hAnsi="宋体" w:cs="宋体"/>
          <w:sz w:val="24"/>
          <w:highlight w:val="none"/>
        </w:rPr>
      </w:pPr>
    </w:p>
    <w:p w14:paraId="20EBB24A">
      <w:pPr>
        <w:pStyle w:val="33"/>
        <w:ind w:firstLine="210"/>
        <w:rPr>
          <w:rFonts w:ascii="宋体" w:hAnsi="宋体" w:cs="宋体"/>
          <w:highlight w:val="none"/>
        </w:rPr>
      </w:pPr>
    </w:p>
    <w:p w14:paraId="09EE67EA">
      <w:pPr>
        <w:widowControl/>
        <w:wordWrap w:val="0"/>
        <w:snapToGrid w:val="0"/>
        <w:spacing w:line="460" w:lineRule="exact"/>
        <w:ind w:firstLine="482" w:firstLineChars="200"/>
        <w:jc w:val="center"/>
        <w:rPr>
          <w:rFonts w:ascii="宋体" w:hAnsi="宋体" w:cs="宋体"/>
          <w:b/>
          <w:bCs/>
          <w:kern w:val="0"/>
          <w:sz w:val="24"/>
          <w:highlight w:val="none"/>
        </w:rPr>
      </w:pPr>
    </w:p>
    <w:p w14:paraId="42649DBB">
      <w:pPr>
        <w:widowControl/>
        <w:wordWrap w:val="0"/>
        <w:snapToGrid w:val="0"/>
        <w:spacing w:line="460" w:lineRule="exact"/>
        <w:ind w:firstLine="482" w:firstLineChars="200"/>
        <w:jc w:val="center"/>
        <w:rPr>
          <w:rFonts w:ascii="宋体" w:hAnsi="宋体" w:cs="宋体"/>
          <w:b/>
          <w:bCs/>
          <w:kern w:val="0"/>
          <w:sz w:val="24"/>
          <w:highlight w:val="none"/>
        </w:rPr>
      </w:pPr>
    </w:p>
    <w:p w14:paraId="459941B0">
      <w:pPr>
        <w:widowControl/>
        <w:wordWrap w:val="0"/>
        <w:snapToGrid w:val="0"/>
        <w:spacing w:line="460" w:lineRule="exact"/>
        <w:ind w:firstLine="482" w:firstLineChars="200"/>
        <w:jc w:val="center"/>
        <w:rPr>
          <w:rFonts w:ascii="宋体" w:hAnsi="宋体" w:cs="宋体"/>
          <w:b/>
          <w:bCs/>
          <w:kern w:val="0"/>
          <w:sz w:val="24"/>
          <w:highlight w:val="none"/>
        </w:rPr>
      </w:pPr>
    </w:p>
    <w:p w14:paraId="47598AD6">
      <w:pPr>
        <w:pStyle w:val="4"/>
        <w:rPr>
          <w:rFonts w:ascii="宋体" w:hAnsi="宋体" w:cs="宋体"/>
          <w:b/>
          <w:bCs/>
          <w:kern w:val="0"/>
          <w:sz w:val="24"/>
          <w:highlight w:val="none"/>
        </w:rPr>
      </w:pPr>
    </w:p>
    <w:p w14:paraId="63995C9C">
      <w:pPr>
        <w:pStyle w:val="5"/>
        <w:rPr>
          <w:rFonts w:hAnsi="宋体"/>
          <w:b/>
          <w:bCs/>
          <w:color w:val="auto"/>
          <w:highlight w:val="none"/>
        </w:rPr>
      </w:pPr>
    </w:p>
    <w:p w14:paraId="7A863A57">
      <w:pPr>
        <w:pStyle w:val="5"/>
        <w:rPr>
          <w:rFonts w:hAnsi="宋体"/>
          <w:b/>
          <w:bCs/>
          <w:color w:val="auto"/>
          <w:highlight w:val="none"/>
        </w:rPr>
      </w:pPr>
    </w:p>
    <w:p w14:paraId="5162C108">
      <w:pPr>
        <w:rPr>
          <w:rFonts w:ascii="宋体" w:hAnsi="宋体" w:cs="宋体"/>
          <w:highlight w:val="none"/>
        </w:rPr>
      </w:pPr>
      <w:r>
        <w:rPr>
          <w:rFonts w:hint="eastAsia" w:ascii="宋体" w:hAnsi="宋体" w:cs="宋体"/>
          <w:highlight w:val="none"/>
        </w:rPr>
        <w:br w:type="page"/>
      </w:r>
    </w:p>
    <w:p w14:paraId="0AABCF17">
      <w:pPr>
        <w:pStyle w:val="28"/>
        <w:rPr>
          <w:rFonts w:ascii="宋体" w:hAnsi="宋体" w:cs="宋体"/>
          <w:highlight w:val="none"/>
        </w:rPr>
      </w:pPr>
    </w:p>
    <w:p w14:paraId="7CCE1B6B">
      <w:pPr>
        <w:pStyle w:val="2"/>
        <w:snapToGrid w:val="0"/>
        <w:spacing w:before="20" w:after="20" w:line="360" w:lineRule="auto"/>
        <w:rPr>
          <w:rFonts w:ascii="宋体" w:hAnsi="宋体" w:eastAsia="宋体" w:cs="宋体"/>
          <w:sz w:val="28"/>
          <w:szCs w:val="28"/>
          <w:highlight w:val="none"/>
        </w:rPr>
      </w:pPr>
      <w:bookmarkStart w:id="67" w:name="_Toc31798"/>
      <w:bookmarkStart w:id="68" w:name="_Toc24743"/>
      <w:r>
        <w:rPr>
          <w:rFonts w:hint="eastAsia" w:ascii="宋体" w:hAnsi="宋体" w:eastAsia="宋体" w:cs="宋体"/>
          <w:sz w:val="28"/>
          <w:szCs w:val="28"/>
          <w:highlight w:val="none"/>
        </w:rPr>
        <w:t>附件1               响应文件封面（格式）</w:t>
      </w:r>
      <w:bookmarkEnd w:id="67"/>
      <w:bookmarkEnd w:id="68"/>
    </w:p>
    <w:p w14:paraId="1555DBC2">
      <w:pPr>
        <w:widowControl/>
        <w:wordWrap w:val="0"/>
        <w:spacing w:line="460" w:lineRule="exact"/>
        <w:ind w:firstLine="482" w:firstLineChars="200"/>
        <w:jc w:val="center"/>
        <w:rPr>
          <w:rFonts w:ascii="宋体" w:hAnsi="宋体" w:cs="宋体"/>
          <w:b/>
          <w:kern w:val="0"/>
          <w:sz w:val="24"/>
          <w:highlight w:val="none"/>
        </w:rPr>
      </w:pPr>
    </w:p>
    <w:p w14:paraId="21E8A7E9">
      <w:pPr>
        <w:snapToGrid w:val="0"/>
        <w:spacing w:line="360" w:lineRule="auto"/>
        <w:jc w:val="center"/>
        <w:rPr>
          <w:rFonts w:ascii="宋体" w:hAnsi="宋体" w:cs="宋体"/>
          <w:b/>
          <w:spacing w:val="90"/>
          <w:sz w:val="52"/>
          <w:szCs w:val="52"/>
          <w:highlight w:val="none"/>
        </w:rPr>
      </w:pPr>
      <w:r>
        <w:rPr>
          <w:rFonts w:hint="eastAsia" w:ascii="宋体" w:hAnsi="宋体" w:cs="宋体"/>
          <w:b/>
          <w:snapToGrid w:val="0"/>
          <w:kern w:val="0"/>
          <w:sz w:val="44"/>
          <w:szCs w:val="44"/>
          <w:highlight w:val="none"/>
        </w:rPr>
        <w:t>驻马店市中心医院项目</w:t>
      </w:r>
    </w:p>
    <w:p w14:paraId="7822045B">
      <w:pPr>
        <w:snapToGrid w:val="0"/>
        <w:spacing w:line="360" w:lineRule="auto"/>
        <w:jc w:val="center"/>
        <w:rPr>
          <w:rFonts w:ascii="宋体" w:hAnsi="宋体" w:cs="宋体"/>
          <w:b/>
          <w:spacing w:val="90"/>
          <w:sz w:val="52"/>
          <w:szCs w:val="52"/>
          <w:highlight w:val="none"/>
        </w:rPr>
      </w:pPr>
      <w:r>
        <w:rPr>
          <w:rFonts w:hint="eastAsia" w:ascii="宋体" w:hAnsi="宋体" w:cs="宋体"/>
          <w:b/>
          <w:spacing w:val="90"/>
          <w:sz w:val="52"/>
          <w:szCs w:val="52"/>
          <w:highlight w:val="none"/>
        </w:rPr>
        <w:t>响应文件</w:t>
      </w:r>
    </w:p>
    <w:p w14:paraId="6AF94671">
      <w:pPr>
        <w:spacing w:line="360" w:lineRule="auto"/>
        <w:rPr>
          <w:rFonts w:ascii="宋体" w:hAnsi="宋体" w:cs="宋体"/>
          <w:sz w:val="28"/>
          <w:highlight w:val="none"/>
        </w:rPr>
      </w:pPr>
    </w:p>
    <w:p w14:paraId="1E8E0D77">
      <w:pPr>
        <w:pStyle w:val="5"/>
        <w:spacing w:line="360" w:lineRule="auto"/>
        <w:rPr>
          <w:rFonts w:hAnsi="宋体"/>
          <w:color w:val="auto"/>
          <w:highlight w:val="none"/>
        </w:rPr>
      </w:pPr>
    </w:p>
    <w:p w14:paraId="6F5F51B2">
      <w:pPr>
        <w:pStyle w:val="5"/>
        <w:spacing w:line="360" w:lineRule="auto"/>
        <w:rPr>
          <w:rFonts w:hAnsi="宋体"/>
          <w:color w:val="auto"/>
          <w:highlight w:val="none"/>
        </w:rPr>
      </w:pPr>
    </w:p>
    <w:p w14:paraId="4310A0E0">
      <w:pPr>
        <w:spacing w:line="360" w:lineRule="auto"/>
        <w:rPr>
          <w:rFonts w:ascii="宋体" w:hAnsi="宋体" w:cs="宋体"/>
          <w:sz w:val="28"/>
          <w:highlight w:val="none"/>
        </w:rPr>
      </w:pPr>
    </w:p>
    <w:p w14:paraId="1343B4A3">
      <w:pPr>
        <w:spacing w:line="360" w:lineRule="auto"/>
        <w:rPr>
          <w:rFonts w:ascii="宋体" w:hAnsi="宋体" w:cs="宋体"/>
          <w:sz w:val="28"/>
          <w:highlight w:val="none"/>
        </w:rPr>
      </w:pPr>
    </w:p>
    <w:p w14:paraId="524D13C8">
      <w:pPr>
        <w:spacing w:line="360" w:lineRule="auto"/>
        <w:rPr>
          <w:rFonts w:ascii="宋体" w:hAnsi="宋体" w:cs="宋体"/>
          <w:sz w:val="28"/>
          <w:highlight w:val="none"/>
        </w:rPr>
      </w:pPr>
    </w:p>
    <w:p w14:paraId="37759F85">
      <w:pPr>
        <w:spacing w:line="360" w:lineRule="auto"/>
        <w:rPr>
          <w:rFonts w:ascii="宋体" w:hAnsi="宋体" w:cs="宋体"/>
          <w:sz w:val="28"/>
          <w:highlight w:val="none"/>
        </w:rPr>
      </w:pPr>
    </w:p>
    <w:p w14:paraId="333F89D8">
      <w:pPr>
        <w:spacing w:line="360" w:lineRule="auto"/>
        <w:rPr>
          <w:rFonts w:ascii="宋体" w:hAnsi="宋体" w:cs="宋体"/>
          <w:sz w:val="28"/>
          <w:highlight w:val="none"/>
        </w:rPr>
      </w:pPr>
    </w:p>
    <w:p w14:paraId="70FB5C72">
      <w:pPr>
        <w:spacing w:line="360" w:lineRule="auto"/>
        <w:rPr>
          <w:rFonts w:ascii="宋体" w:hAnsi="宋体" w:cs="宋体"/>
          <w:sz w:val="28"/>
          <w:highlight w:val="none"/>
        </w:rPr>
      </w:pPr>
    </w:p>
    <w:p w14:paraId="2C208BD5">
      <w:pPr>
        <w:spacing w:line="360" w:lineRule="auto"/>
        <w:jc w:val="center"/>
        <w:rPr>
          <w:rFonts w:ascii="宋体" w:hAnsi="宋体" w:cs="宋体"/>
          <w:sz w:val="28"/>
          <w:szCs w:val="28"/>
          <w:highlight w:val="none"/>
        </w:rPr>
      </w:pPr>
      <w:r>
        <w:rPr>
          <w:rFonts w:hint="eastAsia" w:ascii="宋体" w:hAnsi="宋体" w:cs="宋体"/>
          <w:sz w:val="28"/>
          <w:szCs w:val="28"/>
          <w:highlight w:val="none"/>
        </w:rPr>
        <w:t>供应商（全称并加盖公章）：</w:t>
      </w:r>
    </w:p>
    <w:p w14:paraId="697D6BCF">
      <w:pPr>
        <w:widowControl/>
        <w:wordWrap w:val="0"/>
        <w:spacing w:line="460" w:lineRule="exact"/>
        <w:jc w:val="center"/>
        <w:rPr>
          <w:rFonts w:ascii="宋体" w:hAnsi="宋体" w:cs="宋体"/>
          <w:sz w:val="28"/>
          <w:szCs w:val="28"/>
          <w:highlight w:val="none"/>
        </w:rPr>
      </w:pPr>
      <w:r>
        <w:rPr>
          <w:rFonts w:hint="eastAsia" w:ascii="宋体" w:hAnsi="宋体" w:cs="宋体"/>
          <w:sz w:val="28"/>
          <w:szCs w:val="28"/>
          <w:highlight w:val="none"/>
        </w:rPr>
        <w:t>法定代表人或委托代理人（签字或盖章）：</w:t>
      </w:r>
    </w:p>
    <w:p w14:paraId="50B492B1">
      <w:pPr>
        <w:widowControl/>
        <w:wordWrap w:val="0"/>
        <w:spacing w:line="460" w:lineRule="exact"/>
        <w:jc w:val="center"/>
        <w:rPr>
          <w:rFonts w:ascii="宋体" w:hAnsi="宋体" w:cs="宋体"/>
          <w:b/>
          <w:kern w:val="0"/>
          <w:sz w:val="24"/>
          <w:highlight w:val="none"/>
        </w:rPr>
      </w:pPr>
      <w:r>
        <w:rPr>
          <w:rFonts w:hint="eastAsia" w:ascii="宋体" w:hAnsi="宋体" w:cs="宋体"/>
          <w:sz w:val="28"/>
          <w:szCs w:val="28"/>
          <w:highlight w:val="none"/>
        </w:rPr>
        <w:t>年   月   日</w:t>
      </w:r>
    </w:p>
    <w:p w14:paraId="30FF9271">
      <w:pPr>
        <w:widowControl/>
        <w:wordWrap w:val="0"/>
        <w:spacing w:line="460" w:lineRule="exact"/>
        <w:ind w:firstLine="482" w:firstLineChars="200"/>
        <w:jc w:val="left"/>
        <w:rPr>
          <w:rFonts w:ascii="宋体" w:hAnsi="宋体" w:cs="宋体"/>
          <w:b/>
          <w:kern w:val="0"/>
          <w:sz w:val="24"/>
          <w:highlight w:val="none"/>
        </w:rPr>
      </w:pPr>
    </w:p>
    <w:p w14:paraId="7412FAAF">
      <w:pPr>
        <w:pStyle w:val="4"/>
        <w:rPr>
          <w:rFonts w:ascii="宋体" w:hAnsi="宋体" w:cs="宋体"/>
          <w:b/>
          <w:kern w:val="0"/>
          <w:sz w:val="24"/>
          <w:highlight w:val="none"/>
        </w:rPr>
      </w:pPr>
    </w:p>
    <w:p w14:paraId="07CE573E">
      <w:pPr>
        <w:rPr>
          <w:rFonts w:ascii="宋体" w:hAnsi="宋体" w:cs="宋体"/>
          <w:b/>
          <w:kern w:val="0"/>
          <w:sz w:val="24"/>
          <w:highlight w:val="none"/>
        </w:rPr>
      </w:pPr>
      <w:r>
        <w:rPr>
          <w:rFonts w:hint="eastAsia" w:ascii="宋体" w:hAnsi="宋体" w:cs="宋体"/>
          <w:b/>
          <w:kern w:val="0"/>
          <w:sz w:val="24"/>
          <w:highlight w:val="none"/>
        </w:rPr>
        <w:br w:type="page"/>
      </w:r>
    </w:p>
    <w:p w14:paraId="4C60FAEF">
      <w:pPr>
        <w:pStyle w:val="2"/>
        <w:keepNext w:val="0"/>
        <w:snapToGrid w:val="0"/>
        <w:spacing w:before="20" w:after="20" w:line="360" w:lineRule="auto"/>
        <w:jc w:val="center"/>
        <w:rPr>
          <w:rFonts w:ascii="宋体" w:hAnsi="宋体" w:eastAsia="宋体" w:cs="宋体"/>
          <w:sz w:val="28"/>
          <w:szCs w:val="28"/>
          <w:highlight w:val="none"/>
        </w:rPr>
      </w:pPr>
      <w:bookmarkStart w:id="69" w:name="_Toc14560"/>
      <w:bookmarkStart w:id="70" w:name="_Toc8818"/>
      <w:r>
        <w:rPr>
          <w:rFonts w:hint="eastAsia" w:ascii="宋体" w:hAnsi="宋体" w:eastAsia="宋体" w:cs="宋体"/>
          <w:sz w:val="28"/>
          <w:szCs w:val="28"/>
          <w:highlight w:val="none"/>
        </w:rPr>
        <w:t>附件2      竞争性磋商响应书（格式）</w:t>
      </w:r>
      <w:bookmarkEnd w:id="69"/>
      <w:bookmarkEnd w:id="70"/>
    </w:p>
    <w:p w14:paraId="78CADC0F">
      <w:pPr>
        <w:wordWrap w:val="0"/>
        <w:snapToGrid w:val="0"/>
        <w:spacing w:line="460" w:lineRule="exact"/>
        <w:jc w:val="left"/>
        <w:rPr>
          <w:rFonts w:ascii="宋体" w:hAnsi="宋体" w:cs="宋体"/>
          <w:kern w:val="0"/>
          <w:szCs w:val="21"/>
          <w:highlight w:val="none"/>
        </w:rPr>
      </w:pPr>
      <w:r>
        <w:rPr>
          <w:rFonts w:hint="eastAsia" w:ascii="宋体" w:hAnsi="宋体" w:cs="宋体"/>
          <w:kern w:val="0"/>
          <w:szCs w:val="21"/>
          <w:highlight w:val="none"/>
        </w:rPr>
        <w:t>致：</w:t>
      </w:r>
      <w:r>
        <w:rPr>
          <w:rFonts w:hint="eastAsia" w:ascii="宋体" w:hAnsi="宋体" w:cs="宋体"/>
          <w:kern w:val="0"/>
          <w:szCs w:val="21"/>
          <w:highlight w:val="none"/>
          <w:u w:val="single"/>
        </w:rPr>
        <w:t xml:space="preserve"> （采购人名称）</w:t>
      </w:r>
      <w:r>
        <w:rPr>
          <w:rFonts w:hint="eastAsia" w:ascii="宋体" w:hAnsi="宋体" w:cs="宋体"/>
          <w:kern w:val="0"/>
          <w:szCs w:val="21"/>
          <w:highlight w:val="none"/>
        </w:rPr>
        <w:t>：</w:t>
      </w:r>
    </w:p>
    <w:p w14:paraId="1B8E27C4">
      <w:pPr>
        <w:wordWrap w:val="0"/>
        <w:spacing w:line="460" w:lineRule="exact"/>
        <w:ind w:firstLine="525" w:firstLineChars="250"/>
        <w:jc w:val="left"/>
        <w:rPr>
          <w:rFonts w:ascii="宋体" w:hAnsi="宋体" w:cs="宋体"/>
          <w:kern w:val="0"/>
          <w:szCs w:val="21"/>
          <w:highlight w:val="none"/>
        </w:rPr>
      </w:pPr>
      <w:r>
        <w:rPr>
          <w:rFonts w:hint="eastAsia" w:ascii="宋体" w:hAnsi="宋体" w:cs="宋体"/>
          <w:kern w:val="0"/>
          <w:szCs w:val="21"/>
          <w:highlight w:val="none"/>
          <w:u w:val="single"/>
        </w:rPr>
        <w:t>（供应商名称）</w:t>
      </w:r>
      <w:r>
        <w:rPr>
          <w:rFonts w:hint="eastAsia" w:ascii="宋体" w:hAnsi="宋体" w:cs="宋体"/>
          <w:kern w:val="0"/>
          <w:szCs w:val="21"/>
          <w:highlight w:val="none"/>
        </w:rPr>
        <w:t>现委托 （姓名）为我方代理人，参加贵方组织的项目的磋商。现正式提交下述文件1份：</w:t>
      </w:r>
    </w:p>
    <w:p w14:paraId="16C6226B">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1、初次报价一览表。</w:t>
      </w:r>
    </w:p>
    <w:p w14:paraId="54504862">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2、报价明细表。</w:t>
      </w:r>
    </w:p>
    <w:p w14:paraId="6FFC399B">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3、技术响应表。</w:t>
      </w:r>
    </w:p>
    <w:p w14:paraId="7773FFE6">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4、商务响应表。</w:t>
      </w:r>
    </w:p>
    <w:p w14:paraId="5C173871">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5、证明文件。</w:t>
      </w:r>
    </w:p>
    <w:p w14:paraId="5D65024C">
      <w:pPr>
        <w:wordWrap w:val="0"/>
        <w:snapToGrid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为便于贵方公正、择优地确定成交供应商及其投标产品和服务，我方就本次投标有关事项郑重声明并宣布同意如下：</w:t>
      </w:r>
    </w:p>
    <w:p w14:paraId="34C0A9A3">
      <w:pPr>
        <w:wordWrap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我方承诺已经具备采购文件中规定的参加政府采购活动的供应商应当具备的条件。我方愿意向贵方提供任何与本采购项目投标有关的数据、情况和技术资料，并根据需要提供一切承诺的证明材料，并保证其真实、合法、有效。</w:t>
      </w:r>
    </w:p>
    <w:p w14:paraId="7C2A056C">
      <w:pPr>
        <w:wordWrap w:val="0"/>
        <w:snapToGrid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2、我方承诺在磋商活动中提供的各种材料真实有效。</w:t>
      </w:r>
    </w:p>
    <w:p w14:paraId="19D0A214">
      <w:pPr>
        <w:wordWrap w:val="0"/>
        <w:snapToGrid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3、我方同意在响应文件有效期内遵守本响应文件中的承诺且在此期限期满之前均具有约束力。如果我方成交，响应文件有效期与合同履行期相同。</w:t>
      </w:r>
    </w:p>
    <w:p w14:paraId="1F66D919">
      <w:pPr>
        <w:wordWrap w:val="0"/>
        <w:snapToGrid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4、我方已详细审查全部采购文件，包括修改文件（如有的话）和有关附件，将自行承担因对全部采购文件理解不正确或误解而产生的相应后果。</w:t>
      </w:r>
    </w:p>
    <w:p w14:paraId="604A9EB6">
      <w:pPr>
        <w:wordWrap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5、我方保证尊重磋商小组的评审结果，完全理解本采购项目最低投标价不作为成交的保证。</w:t>
      </w:r>
    </w:p>
    <w:p w14:paraId="6E2D3F9F">
      <w:pPr>
        <w:wordWrap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6、我方理解并遵守采购文件的全部规定，接受采购文件中政府采购合同的全部条款且无任何异议。</w:t>
      </w:r>
    </w:p>
    <w:p w14:paraId="4B9F2D1C">
      <w:pPr>
        <w:wordWrap w:val="0"/>
        <w:snapToGrid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7、如果我方代表</w:t>
      </w:r>
      <w:r>
        <w:rPr>
          <w:rFonts w:hint="eastAsia" w:ascii="宋体" w:hAnsi="宋体" w:cs="宋体"/>
          <w:bCs/>
          <w:kern w:val="0"/>
          <w:szCs w:val="21"/>
          <w:highlight w:val="none"/>
        </w:rPr>
        <w:t>未按时参加开标的，视同放弃开标监督权利，认可开标结果。</w:t>
      </w:r>
    </w:p>
    <w:p w14:paraId="6475E1FB">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8、如果我方存在供应商须知第9.3项所述情况，同意被认定为在经营活动中有重大违法记录。</w:t>
      </w:r>
    </w:p>
    <w:p w14:paraId="052321C2">
      <w:pPr>
        <w:wordWrap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9、如果发生供应商须知第25.4.1、25.4.3项所述情况，同意我方投标被作为无效磋商处理。</w:t>
      </w:r>
    </w:p>
    <w:p w14:paraId="27804862">
      <w:pPr>
        <w:wordWrap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10、如果发生供应商须知第25.5项所述情况，同意磋商小组认定我方的行为属于串通投标的行为，并自愿接受监管部门的处罚。</w:t>
      </w:r>
    </w:p>
    <w:p w14:paraId="647DDFB3">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11、如果现场变更采购方式，我方同意在不改变采购需求、资质条件等情况下，按变更后的采购方式的规定程序进行采购。</w:t>
      </w:r>
    </w:p>
    <w:p w14:paraId="4945A6A0">
      <w:pPr>
        <w:wordWrap w:val="0"/>
        <w:snapToGrid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12、如果被确定为成交供应商，我方同意按采购文件的规定领取成交通知书并缴纳服务费。否则，视为我方成交后自动放弃成交资格，承担由此引起的一切后果。</w:t>
      </w:r>
    </w:p>
    <w:p w14:paraId="7B359DC0">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13、如果被确定为成交供应商，我方同意在领取成交通知书之日起</w:t>
      </w:r>
      <w:r>
        <w:rPr>
          <w:rFonts w:hint="eastAsia" w:ascii="宋体" w:hAnsi="宋体" w:cs="宋体"/>
          <w:kern w:val="0"/>
          <w:szCs w:val="21"/>
          <w:highlight w:val="none"/>
          <w:u w:val="single"/>
        </w:rPr>
        <w:t xml:space="preserve"> 30  </w:t>
      </w:r>
      <w:r>
        <w:rPr>
          <w:rFonts w:hint="eastAsia" w:ascii="宋体" w:hAnsi="宋体" w:cs="宋体"/>
          <w:kern w:val="0"/>
          <w:szCs w:val="21"/>
          <w:highlight w:val="none"/>
        </w:rPr>
        <w:t>日内，按照采购文件的规定与采购人签订采购合同。否则，视为我方成交后无正当理由不与采购人签订合同并承担相应法律责任。</w:t>
      </w:r>
    </w:p>
    <w:p w14:paraId="6937485C">
      <w:pPr>
        <w:wordWrap w:val="0"/>
        <w:snapToGrid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14、我方最近3年内的被公开披露或查处的违法违规行为有：。</w:t>
      </w:r>
      <w:r>
        <w:rPr>
          <w:rFonts w:hint="eastAsia" w:ascii="宋体" w:hAnsi="宋体" w:cs="宋体"/>
          <w:b/>
          <w:bCs/>
          <w:kern w:val="0"/>
          <w:szCs w:val="21"/>
          <w:highlight w:val="none"/>
        </w:rPr>
        <w:t>（若无，则填无；若有，逐一列明）</w:t>
      </w:r>
    </w:p>
    <w:p w14:paraId="556B689A">
      <w:pPr>
        <w:tabs>
          <w:tab w:val="left" w:pos="939"/>
        </w:tabs>
        <w:wordWrap w:val="0"/>
        <w:snapToGrid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15、以上事项如有虚假或隐瞒，我方愿意承担一切后果和责任。</w:t>
      </w:r>
    </w:p>
    <w:p w14:paraId="46F63E80">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16、与磋商有关的一切正式往来通讯请寄（地址电话必须为最新并可以联系到）：</w:t>
      </w:r>
    </w:p>
    <w:p w14:paraId="26381628">
      <w:pPr>
        <w:wordWrap w:val="0"/>
        <w:spacing w:line="460" w:lineRule="exact"/>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 xml:space="preserve">   地址：  邮编：</w:t>
      </w:r>
    </w:p>
    <w:p w14:paraId="00C96C6B">
      <w:pPr>
        <w:wordWrap w:val="0"/>
        <w:spacing w:line="460" w:lineRule="exact"/>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 xml:space="preserve">   电话：  传真： </w:t>
      </w:r>
    </w:p>
    <w:p w14:paraId="3C45821B">
      <w:pPr>
        <w:wordWrap w:val="0"/>
        <w:spacing w:line="460" w:lineRule="exact"/>
        <w:ind w:firstLine="420" w:firstLineChars="200"/>
        <w:jc w:val="left"/>
        <w:rPr>
          <w:rFonts w:ascii="宋体" w:hAnsi="宋体" w:cs="宋体"/>
          <w:kern w:val="0"/>
          <w:szCs w:val="21"/>
          <w:highlight w:val="none"/>
        </w:rPr>
      </w:pPr>
    </w:p>
    <w:p w14:paraId="7AB3C175">
      <w:pPr>
        <w:wordWrap w:val="0"/>
        <w:spacing w:line="460" w:lineRule="exact"/>
        <w:ind w:firstLine="735" w:firstLineChars="350"/>
        <w:jc w:val="left"/>
        <w:rPr>
          <w:rFonts w:ascii="宋体" w:hAnsi="宋体" w:cs="宋体"/>
          <w:kern w:val="0"/>
          <w:szCs w:val="21"/>
          <w:highlight w:val="none"/>
          <w:u w:val="single"/>
        </w:rPr>
      </w:pPr>
      <w:r>
        <w:rPr>
          <w:rFonts w:hint="eastAsia" w:ascii="宋体" w:hAnsi="宋体" w:cs="宋体"/>
          <w:szCs w:val="21"/>
          <w:highlight w:val="none"/>
        </w:rPr>
        <w:t>法定代表人或委托代理人（签字</w:t>
      </w:r>
      <w:r>
        <w:rPr>
          <w:rFonts w:hint="eastAsia" w:ascii="宋体" w:hAnsi="宋体" w:cs="宋体"/>
          <w:kern w:val="0"/>
          <w:szCs w:val="21"/>
          <w:highlight w:val="none"/>
        </w:rPr>
        <w:t>或盖章</w:t>
      </w:r>
      <w:r>
        <w:rPr>
          <w:rFonts w:hint="eastAsia" w:ascii="宋体" w:hAnsi="宋体" w:cs="宋体"/>
          <w:szCs w:val="21"/>
          <w:highlight w:val="none"/>
        </w:rPr>
        <w:t>）</w:t>
      </w:r>
      <w:r>
        <w:rPr>
          <w:rFonts w:hint="eastAsia" w:ascii="宋体" w:hAnsi="宋体" w:cs="宋体"/>
          <w:kern w:val="0"/>
          <w:szCs w:val="21"/>
          <w:highlight w:val="none"/>
        </w:rPr>
        <w:t xml:space="preserve">： </w:t>
      </w:r>
    </w:p>
    <w:p w14:paraId="1DBA836B">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供应商（全称并加盖公章）：</w:t>
      </w:r>
    </w:p>
    <w:p w14:paraId="43B1D384">
      <w:pPr>
        <w:snapToGrid w:val="0"/>
        <w:spacing w:line="460" w:lineRule="exact"/>
        <w:ind w:firstLine="1260" w:firstLineChars="600"/>
        <w:rPr>
          <w:rFonts w:ascii="宋体" w:hAnsi="宋体" w:cs="宋体"/>
          <w:kern w:val="0"/>
          <w:sz w:val="24"/>
          <w:highlight w:val="none"/>
        </w:rPr>
      </w:pPr>
      <w:r>
        <w:rPr>
          <w:rFonts w:hint="eastAsia" w:ascii="宋体" w:hAnsi="宋体" w:cs="宋体"/>
          <w:kern w:val="0"/>
          <w:szCs w:val="21"/>
          <w:highlight w:val="none"/>
        </w:rPr>
        <w:t xml:space="preserve">年    月   日 </w:t>
      </w:r>
    </w:p>
    <w:p w14:paraId="3B80E8A5">
      <w:pPr>
        <w:widowControl/>
        <w:wordWrap w:val="0"/>
        <w:snapToGrid w:val="0"/>
        <w:spacing w:before="50" w:after="50" w:line="480" w:lineRule="auto"/>
        <w:jc w:val="left"/>
        <w:rPr>
          <w:rFonts w:ascii="宋体" w:hAnsi="宋体" w:cs="宋体"/>
          <w:b/>
          <w:kern w:val="0"/>
          <w:sz w:val="24"/>
          <w:highlight w:val="none"/>
        </w:rPr>
      </w:pPr>
    </w:p>
    <w:p w14:paraId="6BFD7456">
      <w:pPr>
        <w:spacing w:line="500" w:lineRule="exact"/>
        <w:jc w:val="center"/>
        <w:rPr>
          <w:rFonts w:ascii="宋体" w:hAnsi="宋体" w:cs="宋体"/>
          <w:b/>
          <w:bCs/>
          <w:sz w:val="24"/>
          <w:highlight w:val="none"/>
        </w:rPr>
      </w:pPr>
    </w:p>
    <w:p w14:paraId="7869897C">
      <w:pPr>
        <w:rPr>
          <w:rFonts w:ascii="宋体" w:hAnsi="宋体" w:cs="宋体"/>
          <w:sz w:val="28"/>
          <w:szCs w:val="28"/>
          <w:highlight w:val="none"/>
        </w:rPr>
      </w:pPr>
      <w:r>
        <w:rPr>
          <w:rFonts w:hint="eastAsia" w:ascii="宋体" w:hAnsi="宋体" w:cs="宋体"/>
          <w:sz w:val="28"/>
          <w:szCs w:val="28"/>
          <w:highlight w:val="none"/>
        </w:rPr>
        <w:br w:type="page"/>
      </w:r>
    </w:p>
    <w:p w14:paraId="232B596E">
      <w:pPr>
        <w:rPr>
          <w:rFonts w:ascii="宋体" w:hAnsi="宋体" w:cs="宋体"/>
          <w:highlight w:val="none"/>
        </w:rPr>
      </w:pPr>
    </w:p>
    <w:p w14:paraId="55E29872">
      <w:pPr>
        <w:pStyle w:val="2"/>
        <w:snapToGrid w:val="0"/>
        <w:spacing w:before="20" w:after="20" w:line="360" w:lineRule="auto"/>
        <w:jc w:val="center"/>
        <w:rPr>
          <w:rFonts w:ascii="宋体" w:hAnsi="宋体" w:eastAsia="宋体" w:cs="宋体"/>
          <w:sz w:val="28"/>
          <w:szCs w:val="28"/>
          <w:highlight w:val="none"/>
        </w:rPr>
      </w:pPr>
      <w:bookmarkStart w:id="71" w:name="_Toc7838"/>
      <w:r>
        <w:rPr>
          <w:rFonts w:hint="eastAsia" w:ascii="宋体" w:hAnsi="宋体" w:eastAsia="宋体" w:cs="宋体"/>
          <w:sz w:val="28"/>
          <w:szCs w:val="28"/>
          <w:highlight w:val="none"/>
        </w:rPr>
        <w:t>附件3            初次报价一览表</w:t>
      </w:r>
      <w:bookmarkEnd w:id="71"/>
      <w:r>
        <w:rPr>
          <w:rFonts w:hint="eastAsia" w:ascii="宋体" w:hAnsi="宋体" w:eastAsia="宋体" w:cs="宋体"/>
          <w:sz w:val="28"/>
          <w:szCs w:val="28"/>
          <w:highlight w:val="none"/>
        </w:rPr>
        <w:t>（格式）</w:t>
      </w:r>
    </w:p>
    <w:p w14:paraId="27F46E07">
      <w:pPr>
        <w:spacing w:line="239" w:lineRule="auto"/>
        <w:jc w:val="right"/>
        <w:rPr>
          <w:rFonts w:ascii="宋体" w:hAnsi="宋体" w:cs="宋体"/>
          <w:sz w:val="24"/>
          <w:highlight w:val="none"/>
        </w:rPr>
      </w:pPr>
      <w:r>
        <w:rPr>
          <w:rFonts w:hint="eastAsia" w:ascii="宋体" w:hAnsi="宋体" w:cs="宋体"/>
          <w:sz w:val="24"/>
          <w:highlight w:val="none"/>
        </w:rPr>
        <w:t>单位：人民币元</w:t>
      </w:r>
    </w:p>
    <w:p w14:paraId="3CF1455A">
      <w:pPr>
        <w:rPr>
          <w:rFonts w:ascii="宋体" w:hAnsi="宋体" w:cs="宋体"/>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596D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0EAD799">
            <w:pPr>
              <w:widowControl/>
              <w:snapToGrid w:val="0"/>
              <w:spacing w:before="50" w:after="50"/>
              <w:jc w:val="center"/>
              <w:rPr>
                <w:rFonts w:ascii="宋体" w:hAnsi="宋体" w:cs="宋体"/>
                <w:szCs w:val="21"/>
                <w:highlight w:val="none"/>
              </w:rPr>
            </w:pPr>
            <w:r>
              <w:rPr>
                <w:rFonts w:hint="eastAsia" w:ascii="宋体" w:hAnsi="宋体" w:cs="宋体"/>
                <w:kern w:val="0"/>
                <w:szCs w:val="21"/>
                <w:highlight w:val="none"/>
              </w:rPr>
              <w:t>项目名称</w:t>
            </w:r>
          </w:p>
        </w:tc>
        <w:tc>
          <w:tcPr>
            <w:tcW w:w="7708" w:type="dxa"/>
            <w:noWrap/>
            <w:vAlign w:val="center"/>
          </w:tcPr>
          <w:p w14:paraId="76534F47">
            <w:pPr>
              <w:rPr>
                <w:rFonts w:ascii="宋体" w:hAnsi="宋体" w:cs="宋体"/>
                <w:bCs/>
                <w:szCs w:val="21"/>
                <w:highlight w:val="none"/>
              </w:rPr>
            </w:pPr>
          </w:p>
        </w:tc>
      </w:tr>
      <w:tr w14:paraId="00A4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A20C8AA">
            <w:pPr>
              <w:widowControl/>
              <w:snapToGrid w:val="0"/>
              <w:spacing w:before="50" w:after="50"/>
              <w:jc w:val="center"/>
              <w:rPr>
                <w:rFonts w:ascii="宋体" w:hAnsi="宋体" w:cs="宋体"/>
                <w:szCs w:val="21"/>
                <w:highlight w:val="none"/>
              </w:rPr>
            </w:pPr>
            <w:r>
              <w:rPr>
                <w:rFonts w:hint="eastAsia" w:ascii="宋体" w:hAnsi="宋体" w:cs="宋体"/>
                <w:kern w:val="0"/>
                <w:szCs w:val="21"/>
                <w:highlight w:val="none"/>
              </w:rPr>
              <w:t>供应商名称</w:t>
            </w:r>
          </w:p>
        </w:tc>
        <w:tc>
          <w:tcPr>
            <w:tcW w:w="7708" w:type="dxa"/>
            <w:noWrap/>
            <w:vAlign w:val="center"/>
          </w:tcPr>
          <w:p w14:paraId="473B5246">
            <w:pPr>
              <w:rPr>
                <w:rFonts w:ascii="宋体" w:hAnsi="宋体" w:cs="宋体"/>
                <w:szCs w:val="21"/>
                <w:highlight w:val="none"/>
              </w:rPr>
            </w:pPr>
          </w:p>
        </w:tc>
      </w:tr>
      <w:tr w14:paraId="0D45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5875DD3C">
            <w:pPr>
              <w:jc w:val="center"/>
              <w:rPr>
                <w:rFonts w:ascii="宋体" w:hAnsi="宋体" w:cs="宋体"/>
                <w:spacing w:val="-20"/>
                <w:szCs w:val="21"/>
                <w:highlight w:val="none"/>
              </w:rPr>
            </w:pPr>
            <w:r>
              <w:rPr>
                <w:rFonts w:hint="eastAsia" w:ascii="宋体" w:hAnsi="宋体" w:cs="宋体"/>
                <w:szCs w:val="21"/>
                <w:highlight w:val="none"/>
              </w:rPr>
              <w:t>磋商报价</w:t>
            </w:r>
          </w:p>
        </w:tc>
        <w:tc>
          <w:tcPr>
            <w:tcW w:w="7708" w:type="dxa"/>
            <w:noWrap/>
            <w:vAlign w:val="center"/>
          </w:tcPr>
          <w:p w14:paraId="07A09A8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大写：</w:t>
            </w:r>
          </w:p>
          <w:p w14:paraId="12F6AC8A">
            <w:pPr>
              <w:rPr>
                <w:rFonts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小写：</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元（详见报价明细表）</w:t>
            </w:r>
          </w:p>
        </w:tc>
      </w:tr>
      <w:tr w14:paraId="1C50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3B88511">
            <w:pPr>
              <w:jc w:val="center"/>
              <w:rPr>
                <w:rFonts w:ascii="宋体" w:hAnsi="宋体" w:cs="宋体"/>
                <w:szCs w:val="21"/>
                <w:highlight w:val="none"/>
              </w:rPr>
            </w:pPr>
            <w:r>
              <w:rPr>
                <w:rFonts w:hint="eastAsia" w:ascii="宋体" w:hAnsi="宋体" w:cs="宋体"/>
                <w:kern w:val="0"/>
                <w:szCs w:val="21"/>
                <w:highlight w:val="none"/>
              </w:rPr>
              <w:t>响应文件有效期</w:t>
            </w:r>
          </w:p>
        </w:tc>
        <w:tc>
          <w:tcPr>
            <w:tcW w:w="7708" w:type="dxa"/>
            <w:noWrap/>
            <w:vAlign w:val="center"/>
          </w:tcPr>
          <w:p w14:paraId="43E1B368">
            <w:pPr>
              <w:pStyle w:val="21"/>
              <w:ind w:left="0" w:leftChars="0"/>
              <w:rPr>
                <w:rFonts w:cs="宋体"/>
                <w:szCs w:val="21"/>
                <w:highlight w:val="none"/>
                <w:u w:val="single"/>
              </w:rPr>
            </w:pPr>
            <w:r>
              <w:rPr>
                <w:rFonts w:hint="eastAsia" w:cs="宋体"/>
                <w:kern w:val="0"/>
                <w:sz w:val="21"/>
                <w:szCs w:val="21"/>
                <w:highlight w:val="none"/>
              </w:rPr>
              <w:t>响应文件递交截止期结束后60日。</w:t>
            </w:r>
          </w:p>
        </w:tc>
      </w:tr>
      <w:tr w14:paraId="5449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A2E5B4">
            <w:pPr>
              <w:jc w:val="center"/>
              <w:rPr>
                <w:rFonts w:ascii="宋体" w:hAnsi="宋体" w:cs="宋体"/>
                <w:szCs w:val="21"/>
                <w:highlight w:val="none"/>
              </w:rPr>
            </w:pPr>
            <w:r>
              <w:rPr>
                <w:rFonts w:hint="eastAsia" w:ascii="宋体" w:hAnsi="宋体" w:cs="宋体"/>
                <w:szCs w:val="21"/>
                <w:highlight w:val="none"/>
              </w:rPr>
              <w:t>备  注</w:t>
            </w:r>
          </w:p>
        </w:tc>
        <w:tc>
          <w:tcPr>
            <w:tcW w:w="7708" w:type="dxa"/>
            <w:noWrap/>
            <w:vAlign w:val="center"/>
          </w:tcPr>
          <w:p w14:paraId="29DFE0D3">
            <w:pPr>
              <w:pStyle w:val="21"/>
              <w:ind w:left="0" w:leftChars="0"/>
              <w:rPr>
                <w:rFonts w:cs="宋体"/>
                <w:sz w:val="21"/>
                <w:szCs w:val="21"/>
                <w:highlight w:val="none"/>
              </w:rPr>
            </w:pPr>
          </w:p>
        </w:tc>
      </w:tr>
    </w:tbl>
    <w:p w14:paraId="1F43A5E2">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注: 1、报价一经涂改，应在涂改处加盖单位公章或供应商代表签字或盖章，否则其投标作无效标处理。</w:t>
      </w:r>
    </w:p>
    <w:p w14:paraId="77F977BD">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2、以上报价应与“报价明细表”中的报价相一致。</w:t>
      </w:r>
    </w:p>
    <w:p w14:paraId="2627E263">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3、凡认为所投产品符合价格折扣条件的，在相应的产品的“备注”栏内注明符合何种折扣条件。</w:t>
      </w:r>
    </w:p>
    <w:p w14:paraId="3045ACDF">
      <w:pPr>
        <w:spacing w:line="360" w:lineRule="auto"/>
        <w:ind w:firstLine="420" w:firstLineChars="200"/>
        <w:rPr>
          <w:rFonts w:ascii="宋体" w:hAnsi="宋体" w:cs="宋体"/>
          <w:highlight w:val="none"/>
        </w:rPr>
      </w:pPr>
      <w:r>
        <w:rPr>
          <w:rFonts w:hint="eastAsia" w:ascii="宋体" w:hAnsi="宋体" w:cs="宋体"/>
          <w:kern w:val="0"/>
          <w:szCs w:val="21"/>
          <w:highlight w:val="none"/>
        </w:rPr>
        <w:t>4、供应商按格式填列，不得自行更改。否则引起的不利后果由供应商承担。</w:t>
      </w:r>
    </w:p>
    <w:p w14:paraId="18DA7966">
      <w:pPr>
        <w:spacing w:line="360" w:lineRule="auto"/>
        <w:ind w:firstLine="420" w:firstLineChars="200"/>
        <w:jc w:val="center"/>
        <w:rPr>
          <w:rFonts w:ascii="宋体" w:hAnsi="宋体" w:cs="宋体"/>
          <w:szCs w:val="21"/>
          <w:highlight w:val="none"/>
        </w:rPr>
      </w:pPr>
      <w:bookmarkStart w:id="72" w:name="_Toc11620"/>
      <w:bookmarkStart w:id="73" w:name="_Toc20877"/>
    </w:p>
    <w:p w14:paraId="61F80258">
      <w:pPr>
        <w:spacing w:line="360" w:lineRule="auto"/>
        <w:ind w:firstLine="420" w:firstLineChars="200"/>
        <w:jc w:val="center"/>
        <w:rPr>
          <w:rFonts w:ascii="宋体" w:hAnsi="宋体" w:cs="宋体"/>
          <w:szCs w:val="21"/>
          <w:highlight w:val="none"/>
        </w:rPr>
      </w:pPr>
      <w:r>
        <w:rPr>
          <w:rFonts w:hint="eastAsia" w:ascii="宋体" w:hAnsi="宋体" w:cs="宋体"/>
          <w:szCs w:val="21"/>
          <w:highlight w:val="none"/>
        </w:rPr>
        <w:t>供应商（全称并加盖公章）：</w:t>
      </w:r>
      <w:bookmarkEnd w:id="72"/>
      <w:bookmarkEnd w:id="73"/>
    </w:p>
    <w:p w14:paraId="0B86354B">
      <w:pPr>
        <w:spacing w:line="360" w:lineRule="auto"/>
        <w:ind w:firstLine="420" w:firstLineChars="200"/>
        <w:jc w:val="center"/>
        <w:rPr>
          <w:rFonts w:ascii="宋体" w:hAnsi="宋体" w:cs="宋体"/>
          <w:szCs w:val="21"/>
          <w:highlight w:val="none"/>
          <w:u w:val="single"/>
        </w:rPr>
      </w:pPr>
      <w:bookmarkStart w:id="74" w:name="_Toc625"/>
      <w:bookmarkStart w:id="75" w:name="_Toc12222"/>
      <w:r>
        <w:rPr>
          <w:rFonts w:hint="eastAsia" w:ascii="宋体" w:hAnsi="宋体" w:cs="宋体"/>
          <w:szCs w:val="21"/>
          <w:highlight w:val="none"/>
        </w:rPr>
        <w:t>法定代表人或委托代理人（签字</w:t>
      </w:r>
      <w:r>
        <w:rPr>
          <w:rFonts w:hint="eastAsia" w:ascii="宋体" w:hAnsi="宋体" w:cs="宋体"/>
          <w:kern w:val="0"/>
          <w:szCs w:val="21"/>
          <w:highlight w:val="none"/>
        </w:rPr>
        <w:t>或盖章</w:t>
      </w:r>
      <w:r>
        <w:rPr>
          <w:rFonts w:hint="eastAsia" w:ascii="宋体" w:hAnsi="宋体" w:cs="宋体"/>
          <w:szCs w:val="21"/>
          <w:highlight w:val="none"/>
        </w:rPr>
        <w:t>）：</w:t>
      </w:r>
      <w:bookmarkEnd w:id="74"/>
      <w:bookmarkEnd w:id="75"/>
    </w:p>
    <w:p w14:paraId="53837414">
      <w:pPr>
        <w:jc w:val="center"/>
        <w:rPr>
          <w:rFonts w:ascii="宋体" w:hAnsi="宋体" w:cs="宋体"/>
          <w:szCs w:val="21"/>
          <w:highlight w:val="none"/>
        </w:rPr>
      </w:pPr>
    </w:p>
    <w:p w14:paraId="3BFB0781">
      <w:pPr>
        <w:spacing w:line="360" w:lineRule="auto"/>
        <w:ind w:firstLine="420" w:firstLineChars="200"/>
        <w:jc w:val="center"/>
        <w:rPr>
          <w:rFonts w:ascii="宋体" w:hAnsi="宋体" w:cs="宋体"/>
          <w:highlight w:val="none"/>
        </w:rPr>
      </w:pPr>
      <w:bookmarkStart w:id="76" w:name="_Toc1330"/>
      <w:bookmarkStart w:id="77" w:name="_Toc9950"/>
      <w:r>
        <w:rPr>
          <w:rFonts w:hint="eastAsia" w:ascii="宋体" w:hAnsi="宋体" w:cs="宋体"/>
          <w:szCs w:val="21"/>
          <w:highlight w:val="none"/>
        </w:rPr>
        <w:t>年  月  日</w:t>
      </w:r>
      <w:bookmarkEnd w:id="76"/>
      <w:bookmarkEnd w:id="77"/>
    </w:p>
    <w:p w14:paraId="1BC7A510">
      <w:pPr>
        <w:rPr>
          <w:rFonts w:ascii="宋体" w:hAnsi="宋体" w:cs="宋体"/>
          <w:highlight w:val="none"/>
        </w:rPr>
      </w:pPr>
    </w:p>
    <w:bookmarkEnd w:id="52"/>
    <w:bookmarkEnd w:id="53"/>
    <w:p w14:paraId="0527ACF0">
      <w:pPr>
        <w:spacing w:before="20" w:after="20"/>
        <w:rPr>
          <w:rFonts w:ascii="宋体" w:hAnsi="宋体" w:cs="宋体"/>
          <w:highlight w:val="none"/>
        </w:rPr>
      </w:pPr>
      <w:bookmarkStart w:id="78" w:name="_Toc24984"/>
      <w:bookmarkStart w:id="79" w:name="_Toc22004"/>
    </w:p>
    <w:p w14:paraId="14B0046A">
      <w:pPr>
        <w:rPr>
          <w:rFonts w:ascii="宋体" w:hAnsi="宋体" w:cs="宋体"/>
          <w:highlight w:val="none"/>
        </w:rPr>
      </w:pPr>
    </w:p>
    <w:p w14:paraId="6A87015C">
      <w:pPr>
        <w:rPr>
          <w:rFonts w:ascii="宋体" w:hAnsi="宋体" w:cs="宋体"/>
          <w:highlight w:val="none"/>
        </w:rPr>
      </w:pPr>
      <w:r>
        <w:rPr>
          <w:rFonts w:hint="eastAsia" w:ascii="宋体" w:hAnsi="宋体" w:cs="宋体"/>
          <w:highlight w:val="none"/>
        </w:rPr>
        <w:br w:type="page"/>
      </w:r>
    </w:p>
    <w:p w14:paraId="3FA5674C">
      <w:pPr>
        <w:pStyle w:val="2"/>
        <w:snapToGrid w:val="0"/>
        <w:spacing w:before="20" w:after="20"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附件4            </w:t>
      </w:r>
      <w:bookmarkEnd w:id="78"/>
      <w:bookmarkEnd w:id="79"/>
      <w:r>
        <w:rPr>
          <w:rFonts w:hint="eastAsia" w:ascii="宋体" w:hAnsi="宋体" w:eastAsia="宋体" w:cs="宋体"/>
          <w:sz w:val="28"/>
          <w:szCs w:val="28"/>
          <w:highlight w:val="none"/>
        </w:rPr>
        <w:t>报价明细表（格式）</w:t>
      </w:r>
    </w:p>
    <w:p w14:paraId="2E47225C">
      <w:pPr>
        <w:jc w:val="right"/>
        <w:rPr>
          <w:highlight w:val="none"/>
        </w:rPr>
      </w:pPr>
      <w:r>
        <w:rPr>
          <w:rFonts w:hint="eastAsia" w:ascii="宋体" w:hAnsi="宋体" w:cs="宋体"/>
          <w:color w:val="000000" w:themeColor="text1"/>
          <w:kern w:val="0"/>
          <w:sz w:val="24"/>
          <w:highlight w:val="none"/>
          <w14:textFill>
            <w14:solidFill>
              <w14:schemeClr w14:val="tx1"/>
            </w14:solidFill>
          </w14:textFill>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4E1FD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0CA4952C">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97" w:type="dxa"/>
            <w:tcBorders>
              <w:top w:val="single" w:color="auto" w:sz="4" w:space="0"/>
              <w:left w:val="single" w:color="auto" w:sz="4" w:space="0"/>
              <w:bottom w:val="nil"/>
              <w:right w:val="single" w:color="auto" w:sz="4" w:space="0"/>
            </w:tcBorders>
            <w:vAlign w:val="center"/>
          </w:tcPr>
          <w:p w14:paraId="50C182A5">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货物名称</w:t>
            </w:r>
          </w:p>
        </w:tc>
        <w:tc>
          <w:tcPr>
            <w:tcW w:w="1424" w:type="dxa"/>
            <w:tcBorders>
              <w:top w:val="single" w:color="auto" w:sz="4" w:space="0"/>
              <w:left w:val="single" w:color="auto" w:sz="4" w:space="0"/>
              <w:bottom w:val="nil"/>
              <w:right w:val="single" w:color="auto" w:sz="4" w:space="0"/>
            </w:tcBorders>
            <w:vAlign w:val="center"/>
          </w:tcPr>
          <w:p w14:paraId="29446FC5">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品牌</w:t>
            </w:r>
          </w:p>
        </w:tc>
        <w:tc>
          <w:tcPr>
            <w:tcW w:w="1424" w:type="dxa"/>
            <w:tcBorders>
              <w:top w:val="single" w:color="auto" w:sz="4" w:space="0"/>
              <w:left w:val="single" w:color="auto" w:sz="4" w:space="0"/>
              <w:bottom w:val="nil"/>
              <w:right w:val="single" w:color="auto" w:sz="4" w:space="0"/>
            </w:tcBorders>
            <w:vAlign w:val="center"/>
          </w:tcPr>
          <w:p w14:paraId="63CE02FC">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规格型号</w:t>
            </w:r>
          </w:p>
        </w:tc>
        <w:tc>
          <w:tcPr>
            <w:tcW w:w="1447" w:type="dxa"/>
            <w:tcBorders>
              <w:top w:val="single" w:color="auto" w:sz="4" w:space="0"/>
              <w:left w:val="single" w:color="auto" w:sz="4" w:space="0"/>
              <w:bottom w:val="nil"/>
              <w:right w:val="single" w:color="auto" w:sz="4" w:space="0"/>
            </w:tcBorders>
            <w:vAlign w:val="center"/>
          </w:tcPr>
          <w:p w14:paraId="57D1562D">
            <w:pPr>
              <w:widowControl/>
              <w:tabs>
                <w:tab w:val="left" w:pos="1418"/>
              </w:tabs>
              <w:snapToGrid w:val="0"/>
              <w:spacing w:before="50" w:after="50"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产地</w:t>
            </w:r>
          </w:p>
        </w:tc>
        <w:tc>
          <w:tcPr>
            <w:tcW w:w="822" w:type="dxa"/>
            <w:tcBorders>
              <w:top w:val="single" w:color="auto" w:sz="4" w:space="0"/>
              <w:left w:val="single" w:color="auto" w:sz="4" w:space="0"/>
              <w:bottom w:val="nil"/>
              <w:right w:val="single" w:color="auto" w:sz="4" w:space="0"/>
            </w:tcBorders>
            <w:vAlign w:val="center"/>
          </w:tcPr>
          <w:p w14:paraId="5E54370B">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883" w:type="dxa"/>
            <w:tcBorders>
              <w:top w:val="single" w:color="auto" w:sz="4" w:space="0"/>
              <w:left w:val="single" w:color="auto" w:sz="4" w:space="0"/>
              <w:bottom w:val="nil"/>
              <w:right w:val="single" w:color="auto" w:sz="4" w:space="0"/>
            </w:tcBorders>
            <w:vAlign w:val="center"/>
          </w:tcPr>
          <w:p w14:paraId="51061E88">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140" w:type="dxa"/>
            <w:tcBorders>
              <w:top w:val="single" w:color="auto" w:sz="4" w:space="0"/>
              <w:left w:val="single" w:color="auto" w:sz="4" w:space="0"/>
              <w:bottom w:val="nil"/>
              <w:right w:val="single" w:color="auto" w:sz="4" w:space="0"/>
            </w:tcBorders>
            <w:vAlign w:val="center"/>
          </w:tcPr>
          <w:p w14:paraId="2C78F56E">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总价</w:t>
            </w:r>
          </w:p>
        </w:tc>
      </w:tr>
      <w:tr w14:paraId="78094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036CE8E2">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1</w:t>
            </w:r>
          </w:p>
        </w:tc>
        <w:tc>
          <w:tcPr>
            <w:tcW w:w="2097" w:type="dxa"/>
            <w:tcBorders>
              <w:top w:val="single" w:color="auto" w:sz="4" w:space="0"/>
              <w:left w:val="single" w:color="auto" w:sz="4" w:space="0"/>
              <w:bottom w:val="single" w:color="auto" w:sz="4" w:space="0"/>
              <w:right w:val="single" w:color="auto" w:sz="4" w:space="0"/>
            </w:tcBorders>
          </w:tcPr>
          <w:p w14:paraId="2FF49E62">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67BF7A70">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0B3C0CB8">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17F603CD">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1F9DE5F3">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42E566E4">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527E689E">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r>
      <w:tr w14:paraId="2EC86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BCC87E">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2</w:t>
            </w:r>
          </w:p>
        </w:tc>
        <w:tc>
          <w:tcPr>
            <w:tcW w:w="2097" w:type="dxa"/>
            <w:tcBorders>
              <w:top w:val="single" w:color="auto" w:sz="4" w:space="0"/>
              <w:left w:val="single" w:color="auto" w:sz="4" w:space="0"/>
              <w:bottom w:val="single" w:color="auto" w:sz="4" w:space="0"/>
              <w:right w:val="single" w:color="auto" w:sz="4" w:space="0"/>
            </w:tcBorders>
          </w:tcPr>
          <w:p w14:paraId="40FF87B6">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A419510">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75C94C2">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58AF2EDD">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17329FEA">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0C8004EC">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1C44987B">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r>
      <w:tr w14:paraId="0C98F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EA9CB9D">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3</w:t>
            </w:r>
          </w:p>
        </w:tc>
        <w:tc>
          <w:tcPr>
            <w:tcW w:w="2097" w:type="dxa"/>
            <w:tcBorders>
              <w:top w:val="single" w:color="auto" w:sz="4" w:space="0"/>
              <w:left w:val="single" w:color="auto" w:sz="4" w:space="0"/>
              <w:bottom w:val="single" w:color="auto" w:sz="4" w:space="0"/>
              <w:right w:val="single" w:color="auto" w:sz="4" w:space="0"/>
            </w:tcBorders>
          </w:tcPr>
          <w:p w14:paraId="0B3807DF">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1B67090">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D9EF072">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0CC9E57C">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428BAE7B">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15EDD781">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63E1F927">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r>
      <w:tr w14:paraId="7F146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4C65B66D">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4</w:t>
            </w:r>
          </w:p>
        </w:tc>
        <w:tc>
          <w:tcPr>
            <w:tcW w:w="2097" w:type="dxa"/>
            <w:tcBorders>
              <w:top w:val="single" w:color="auto" w:sz="4" w:space="0"/>
              <w:left w:val="single" w:color="auto" w:sz="4" w:space="0"/>
              <w:bottom w:val="single" w:color="auto" w:sz="4" w:space="0"/>
              <w:right w:val="single" w:color="auto" w:sz="4" w:space="0"/>
            </w:tcBorders>
          </w:tcPr>
          <w:p w14:paraId="5ABD6218">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44AA9FAF">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8BB6479">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18E88E9C">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7E5FD03A">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2E438576">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19686C3A">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r>
      <w:tr w14:paraId="06C08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8BE15BB">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14:paraId="144D3F69">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5F1CF32">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F67CDC1">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3BCBB3EF">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795B45D7">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0EADE685">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48CE0F34">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r>
      <w:tr w14:paraId="0C238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04C54FC6">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w:t>
            </w:r>
          </w:p>
        </w:tc>
        <w:tc>
          <w:tcPr>
            <w:tcW w:w="2097" w:type="dxa"/>
            <w:tcBorders>
              <w:top w:val="single" w:color="auto" w:sz="4" w:space="0"/>
              <w:left w:val="single" w:color="auto" w:sz="4" w:space="0"/>
              <w:bottom w:val="single" w:color="auto" w:sz="4" w:space="0"/>
              <w:right w:val="single" w:color="auto" w:sz="4" w:space="0"/>
            </w:tcBorders>
          </w:tcPr>
          <w:p w14:paraId="58EFD9AC">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总计</w:t>
            </w:r>
          </w:p>
        </w:tc>
        <w:tc>
          <w:tcPr>
            <w:tcW w:w="1424" w:type="dxa"/>
            <w:tcBorders>
              <w:top w:val="single" w:color="auto" w:sz="4" w:space="0"/>
              <w:left w:val="single" w:color="auto" w:sz="4" w:space="0"/>
              <w:bottom w:val="single" w:color="auto" w:sz="4" w:space="0"/>
              <w:right w:val="single" w:color="auto" w:sz="4" w:space="0"/>
            </w:tcBorders>
          </w:tcPr>
          <w:p w14:paraId="144CC03F">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15B4F46">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47A91D50">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3EAE64FD">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15FF5D21">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1A24DA94">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14:textFill>
                  <w14:solidFill>
                    <w14:schemeClr w14:val="tx1"/>
                  </w14:solidFill>
                </w14:textFill>
              </w:rPr>
            </w:pPr>
          </w:p>
        </w:tc>
      </w:tr>
      <w:tr w14:paraId="42EB6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tcPr>
          <w:p w14:paraId="3D68C3F0">
            <w:pPr>
              <w:widowControl/>
              <w:tabs>
                <w:tab w:val="left" w:pos="1418"/>
              </w:tabs>
              <w:snapToGrid w:val="0"/>
              <w:spacing w:before="50" w:after="50" w:line="400" w:lineRule="exact"/>
              <w:jc w:val="left"/>
              <w:rPr>
                <w:rFonts w:ascii="宋体" w:hAnsi="宋体" w:cs="宋体"/>
                <w:color w:val="000000" w:themeColor="text1"/>
                <w:spacing w:val="20"/>
                <w:kern w:val="0"/>
                <w:sz w:val="24"/>
                <w:highlight w:val="none"/>
                <w14:textFill>
                  <w14:solidFill>
                    <w14:schemeClr w14:val="tx1"/>
                  </w14:solidFill>
                </w14:textFill>
              </w:rPr>
            </w:pPr>
          </w:p>
        </w:tc>
        <w:tc>
          <w:tcPr>
            <w:tcW w:w="9237" w:type="dxa"/>
            <w:gridSpan w:val="7"/>
            <w:tcBorders>
              <w:top w:val="single" w:color="auto" w:sz="4" w:space="0"/>
              <w:left w:val="single" w:color="auto" w:sz="4" w:space="0"/>
              <w:bottom w:val="single" w:color="auto" w:sz="4" w:space="0"/>
              <w:right w:val="single" w:color="auto" w:sz="4" w:space="0"/>
            </w:tcBorders>
          </w:tcPr>
          <w:p w14:paraId="62ABFD24">
            <w:pPr>
              <w:widowControl/>
              <w:tabs>
                <w:tab w:val="left" w:pos="1418"/>
              </w:tabs>
              <w:snapToGrid w:val="0"/>
              <w:spacing w:before="50" w:after="50" w:line="400" w:lineRule="exact"/>
              <w:jc w:val="left"/>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磋商报价(</w:t>
            </w:r>
            <w:r>
              <w:rPr>
                <w:rFonts w:hint="eastAsia" w:ascii="宋体" w:hAnsi="宋体" w:cs="宋体"/>
                <w:color w:val="000000" w:themeColor="text1"/>
                <w:kern w:val="0"/>
                <w:sz w:val="24"/>
                <w:szCs w:val="21"/>
                <w:highlight w:val="none"/>
                <w14:textFill>
                  <w14:solidFill>
                    <w14:schemeClr w14:val="tx1"/>
                  </w14:solidFill>
                </w14:textFill>
              </w:rPr>
              <w:t>大写)：</w:t>
            </w:r>
          </w:p>
        </w:tc>
      </w:tr>
    </w:tbl>
    <w:p w14:paraId="765A4320">
      <w:pPr>
        <w:widowControl/>
        <w:snapToGrid w:val="0"/>
        <w:spacing w:line="440" w:lineRule="exact"/>
        <w:jc w:val="left"/>
        <w:rPr>
          <w:rFonts w:ascii="宋体" w:hAnsi="宋体" w:cs="宋体"/>
          <w:kern w:val="0"/>
          <w:szCs w:val="21"/>
          <w:highlight w:val="none"/>
        </w:rPr>
      </w:pPr>
      <w:r>
        <w:rPr>
          <w:rFonts w:hint="eastAsia" w:ascii="宋体" w:hAnsi="宋体" w:cs="宋体"/>
          <w:kern w:val="0"/>
          <w:szCs w:val="21"/>
          <w:highlight w:val="none"/>
        </w:rPr>
        <w:t>注：</w:t>
      </w:r>
    </w:p>
    <w:p w14:paraId="1CA74506">
      <w:pPr>
        <w:pStyle w:val="33"/>
        <w:ind w:firstLine="3990" w:firstLineChars="1900"/>
        <w:rPr>
          <w:rFonts w:ascii="宋体" w:hAnsi="宋体" w:cs="宋体"/>
          <w:highlight w:val="none"/>
        </w:rPr>
      </w:pPr>
    </w:p>
    <w:p w14:paraId="1D42D0A3">
      <w:pPr>
        <w:pStyle w:val="33"/>
        <w:ind w:firstLine="3990" w:firstLineChars="1900"/>
        <w:rPr>
          <w:rFonts w:ascii="宋体" w:hAnsi="宋体" w:cs="宋体"/>
          <w:highlight w:val="none"/>
        </w:rPr>
      </w:pPr>
      <w:r>
        <w:rPr>
          <w:rFonts w:hint="eastAsia" w:ascii="宋体" w:hAnsi="宋体" w:cs="宋体"/>
          <w:highlight w:val="none"/>
        </w:rPr>
        <w:t>供应商（全称并加盖公章）：</w:t>
      </w:r>
    </w:p>
    <w:p w14:paraId="5AEBC0E9">
      <w:pPr>
        <w:widowControl/>
        <w:shd w:val="clear" w:color="auto" w:fill="FFFFFF"/>
        <w:spacing w:line="360" w:lineRule="auto"/>
        <w:ind w:left="1480" w:leftChars="705" w:firstLine="1524" w:firstLineChars="726"/>
        <w:rPr>
          <w:rFonts w:ascii="宋体" w:hAnsi="宋体" w:cs="宋体"/>
          <w:szCs w:val="21"/>
          <w:highlight w:val="none"/>
        </w:rPr>
      </w:pPr>
      <w:r>
        <w:rPr>
          <w:rFonts w:hint="eastAsia" w:ascii="宋体" w:hAnsi="宋体" w:cs="宋体"/>
          <w:kern w:val="0"/>
          <w:szCs w:val="21"/>
          <w:highlight w:val="none"/>
        </w:rPr>
        <w:t>法定代表人或委托代理人（签字或盖章）：</w:t>
      </w:r>
    </w:p>
    <w:p w14:paraId="481098FE">
      <w:pPr>
        <w:widowControl/>
        <w:wordWrap w:val="0"/>
        <w:spacing w:line="460" w:lineRule="exact"/>
        <w:ind w:firstLine="4410" w:firstLineChars="2100"/>
        <w:jc w:val="left"/>
        <w:rPr>
          <w:rFonts w:ascii="宋体" w:hAnsi="宋体" w:cs="宋体"/>
          <w:szCs w:val="21"/>
          <w:highlight w:val="none"/>
        </w:rPr>
      </w:pPr>
      <w:r>
        <w:rPr>
          <w:rFonts w:hint="eastAsia" w:ascii="宋体" w:hAnsi="宋体" w:cs="宋体"/>
          <w:kern w:val="0"/>
          <w:szCs w:val="21"/>
          <w:highlight w:val="none"/>
        </w:rPr>
        <w:t>年    月    日</w:t>
      </w:r>
    </w:p>
    <w:p w14:paraId="03870A77">
      <w:pPr>
        <w:widowControl/>
        <w:wordWrap w:val="0"/>
        <w:spacing w:line="460" w:lineRule="exact"/>
        <w:ind w:firstLine="5600" w:firstLineChars="2000"/>
        <w:jc w:val="left"/>
        <w:rPr>
          <w:rFonts w:ascii="宋体" w:hAnsi="宋体" w:cs="宋体"/>
          <w:sz w:val="28"/>
          <w:szCs w:val="28"/>
          <w:highlight w:val="none"/>
        </w:rPr>
      </w:pPr>
    </w:p>
    <w:p w14:paraId="2A869EB0">
      <w:pPr>
        <w:pStyle w:val="24"/>
        <w:rPr>
          <w:rFonts w:ascii="宋体" w:hAnsi="宋体" w:cs="宋体"/>
          <w:kern w:val="0"/>
          <w:sz w:val="24"/>
          <w:highlight w:val="none"/>
        </w:rPr>
        <w:sectPr>
          <w:footerReference r:id="rId5" w:type="default"/>
          <w:pgSz w:w="11906" w:h="16838"/>
          <w:pgMar w:top="1417" w:right="1474" w:bottom="1417" w:left="1474" w:header="851" w:footer="624" w:gutter="0"/>
          <w:cols w:space="720" w:num="1"/>
          <w:docGrid w:type="lines" w:linePitch="319" w:charSpace="0"/>
        </w:sectPr>
      </w:pPr>
    </w:p>
    <w:p w14:paraId="1F0FA7BB">
      <w:pPr>
        <w:widowControl/>
        <w:jc w:val="center"/>
        <w:rPr>
          <w:rFonts w:ascii="宋体" w:hAnsi="宋体" w:cs="宋体"/>
          <w:b/>
          <w:bCs/>
          <w:sz w:val="28"/>
          <w:szCs w:val="28"/>
          <w:highlight w:val="none"/>
        </w:rPr>
      </w:pPr>
      <w:bookmarkStart w:id="80" w:name="_Toc15804"/>
      <w:bookmarkStart w:id="81" w:name="_Toc226"/>
      <w:r>
        <w:rPr>
          <w:rFonts w:hint="eastAsia" w:ascii="宋体" w:hAnsi="宋体" w:cs="宋体"/>
          <w:b/>
          <w:bCs/>
          <w:sz w:val="28"/>
          <w:szCs w:val="28"/>
          <w:highlight w:val="none"/>
        </w:rPr>
        <w:t>4.1 配套试剂报价一览表（格式，如有）</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1519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5DB3DCB5">
            <w:pPr>
              <w:jc w:val="center"/>
              <w:rPr>
                <w:szCs w:val="21"/>
                <w:highlight w:val="none"/>
              </w:rPr>
            </w:pPr>
            <w:r>
              <w:rPr>
                <w:rFonts w:hint="eastAsia"/>
                <w:b/>
                <w:bCs/>
                <w:szCs w:val="21"/>
                <w:highlight w:val="none"/>
              </w:rPr>
              <w:t>序号</w:t>
            </w:r>
          </w:p>
        </w:tc>
        <w:tc>
          <w:tcPr>
            <w:tcW w:w="1447" w:type="dxa"/>
            <w:vAlign w:val="center"/>
          </w:tcPr>
          <w:p w14:paraId="5EA8D190">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检测项目</w:t>
            </w:r>
          </w:p>
        </w:tc>
        <w:tc>
          <w:tcPr>
            <w:tcW w:w="1447" w:type="dxa"/>
            <w:vAlign w:val="center"/>
          </w:tcPr>
          <w:p w14:paraId="6F881EA7">
            <w:pPr>
              <w:widowControl/>
              <w:jc w:val="center"/>
              <w:rPr>
                <w:szCs w:val="21"/>
                <w:highlight w:val="none"/>
              </w:rPr>
            </w:pPr>
            <w:r>
              <w:rPr>
                <w:rFonts w:hint="eastAsia" w:ascii="宋体" w:hAnsi="宋体" w:cs="宋体"/>
                <w:b/>
                <w:bCs/>
                <w:snapToGrid w:val="0"/>
                <w:color w:val="000000"/>
                <w:kern w:val="0"/>
                <w:szCs w:val="21"/>
                <w:highlight w:val="none"/>
              </w:rPr>
              <w:t>商品名称</w:t>
            </w:r>
          </w:p>
        </w:tc>
        <w:tc>
          <w:tcPr>
            <w:tcW w:w="1046" w:type="dxa"/>
            <w:vAlign w:val="center"/>
          </w:tcPr>
          <w:p w14:paraId="77C581AB">
            <w:pPr>
              <w:widowControl/>
              <w:jc w:val="center"/>
              <w:rPr>
                <w:szCs w:val="21"/>
                <w:highlight w:val="none"/>
              </w:rPr>
            </w:pPr>
            <w:r>
              <w:rPr>
                <w:rFonts w:hint="eastAsia" w:ascii="宋体" w:hAnsi="宋体" w:cs="宋体"/>
                <w:b/>
                <w:bCs/>
                <w:snapToGrid w:val="0"/>
                <w:color w:val="000000"/>
                <w:kern w:val="0"/>
                <w:szCs w:val="21"/>
                <w:highlight w:val="none"/>
              </w:rPr>
              <w:t>注册</w:t>
            </w:r>
          </w:p>
          <w:p w14:paraId="1F5B6113">
            <w:pPr>
              <w:widowControl/>
              <w:jc w:val="center"/>
              <w:rPr>
                <w:szCs w:val="21"/>
                <w:highlight w:val="none"/>
              </w:rPr>
            </w:pPr>
            <w:r>
              <w:rPr>
                <w:rFonts w:hint="eastAsia" w:ascii="宋体" w:hAnsi="宋体" w:cs="宋体"/>
                <w:b/>
                <w:bCs/>
                <w:snapToGrid w:val="0"/>
                <w:color w:val="000000"/>
                <w:kern w:val="0"/>
                <w:szCs w:val="21"/>
                <w:highlight w:val="none"/>
              </w:rPr>
              <w:t>证名称及注册证号</w:t>
            </w:r>
          </w:p>
        </w:tc>
        <w:tc>
          <w:tcPr>
            <w:tcW w:w="1046" w:type="dxa"/>
            <w:vAlign w:val="center"/>
          </w:tcPr>
          <w:p w14:paraId="2D0AB2AF">
            <w:pPr>
              <w:widowControl/>
              <w:jc w:val="center"/>
              <w:rPr>
                <w:szCs w:val="21"/>
                <w:highlight w:val="none"/>
              </w:rPr>
            </w:pPr>
            <w:r>
              <w:rPr>
                <w:rFonts w:hint="eastAsia" w:ascii="宋体" w:hAnsi="宋体" w:cs="宋体"/>
                <w:b/>
                <w:bCs/>
                <w:snapToGrid w:val="0"/>
                <w:color w:val="000000"/>
                <w:kern w:val="0"/>
                <w:szCs w:val="21"/>
                <w:highlight w:val="none"/>
              </w:rPr>
              <w:t>品牌</w:t>
            </w:r>
          </w:p>
          <w:p w14:paraId="23E2DEC2">
            <w:pPr>
              <w:widowControl/>
              <w:jc w:val="center"/>
              <w:rPr>
                <w:szCs w:val="21"/>
                <w:highlight w:val="none"/>
              </w:rPr>
            </w:pPr>
          </w:p>
        </w:tc>
        <w:tc>
          <w:tcPr>
            <w:tcW w:w="1046" w:type="dxa"/>
            <w:vAlign w:val="center"/>
          </w:tcPr>
          <w:p w14:paraId="5EADD4A7">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规格型号</w:t>
            </w:r>
          </w:p>
        </w:tc>
        <w:tc>
          <w:tcPr>
            <w:tcW w:w="1164" w:type="dxa"/>
            <w:vAlign w:val="center"/>
          </w:tcPr>
          <w:p w14:paraId="38D43C7F">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生产企业</w:t>
            </w:r>
          </w:p>
        </w:tc>
        <w:tc>
          <w:tcPr>
            <w:tcW w:w="929" w:type="dxa"/>
            <w:vAlign w:val="center"/>
          </w:tcPr>
          <w:p w14:paraId="158AAD4E">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试验方法</w:t>
            </w:r>
          </w:p>
        </w:tc>
        <w:tc>
          <w:tcPr>
            <w:tcW w:w="929" w:type="dxa"/>
            <w:vAlign w:val="center"/>
          </w:tcPr>
          <w:p w14:paraId="5344B43F">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计价</w:t>
            </w:r>
          </w:p>
          <w:p w14:paraId="0CE900EB">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单位</w:t>
            </w:r>
          </w:p>
        </w:tc>
        <w:tc>
          <w:tcPr>
            <w:tcW w:w="1046" w:type="dxa"/>
            <w:vAlign w:val="center"/>
          </w:tcPr>
          <w:p w14:paraId="60E476E3">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单价</w:t>
            </w:r>
          </w:p>
          <w:p w14:paraId="3826B0F8">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（元/每人份）</w:t>
            </w:r>
          </w:p>
        </w:tc>
        <w:tc>
          <w:tcPr>
            <w:tcW w:w="1609" w:type="dxa"/>
            <w:vAlign w:val="center"/>
          </w:tcPr>
          <w:p w14:paraId="5FDC2423">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网采号</w:t>
            </w:r>
          </w:p>
        </w:tc>
        <w:tc>
          <w:tcPr>
            <w:tcW w:w="1908" w:type="dxa"/>
            <w:vAlign w:val="center"/>
          </w:tcPr>
          <w:p w14:paraId="424F143F">
            <w:pPr>
              <w:spacing w:line="320" w:lineRule="exact"/>
              <w:jc w:val="center"/>
              <w:outlineLvl w:val="0"/>
              <w:rPr>
                <w:rFonts w:ascii="宋体" w:hAnsi="宋体" w:cs="宋体"/>
                <w:b/>
                <w:szCs w:val="21"/>
                <w:highlight w:val="none"/>
              </w:rPr>
            </w:pPr>
            <w:r>
              <w:rPr>
                <w:rFonts w:hint="eastAsia" w:ascii="宋体" w:hAnsi="宋体" w:cs="宋体"/>
                <w:b/>
                <w:szCs w:val="21"/>
                <w:highlight w:val="none"/>
              </w:rPr>
              <w:t>省、市、县</w:t>
            </w:r>
          </w:p>
          <w:p w14:paraId="6BA63ABC">
            <w:pPr>
              <w:spacing w:line="320" w:lineRule="exact"/>
              <w:jc w:val="center"/>
              <w:outlineLvl w:val="0"/>
              <w:rPr>
                <w:rFonts w:ascii="宋体" w:hAnsi="宋体" w:cs="宋体"/>
                <w:b/>
                <w:szCs w:val="21"/>
                <w:highlight w:val="none"/>
              </w:rPr>
            </w:pPr>
            <w:r>
              <w:rPr>
                <w:rFonts w:hint="eastAsia" w:ascii="宋体" w:hAnsi="宋体" w:cs="宋体"/>
                <w:b/>
                <w:szCs w:val="21"/>
                <w:highlight w:val="none"/>
              </w:rPr>
              <w:t>收费编码</w:t>
            </w:r>
          </w:p>
          <w:p w14:paraId="6425A5A6">
            <w:pPr>
              <w:spacing w:line="320" w:lineRule="exact"/>
              <w:jc w:val="center"/>
              <w:outlineLvl w:val="0"/>
              <w:rPr>
                <w:szCs w:val="21"/>
                <w:highlight w:val="none"/>
              </w:rPr>
            </w:pPr>
            <w:r>
              <w:rPr>
                <w:rFonts w:hint="eastAsia" w:ascii="宋体" w:hAnsi="宋体" w:cs="宋体"/>
                <w:b/>
                <w:szCs w:val="21"/>
                <w:highlight w:val="none"/>
              </w:rPr>
              <w:t>收费标准</w:t>
            </w:r>
          </w:p>
        </w:tc>
      </w:tr>
      <w:tr w14:paraId="75F9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10CAA204">
            <w:pPr>
              <w:rPr>
                <w:highlight w:val="none"/>
              </w:rPr>
            </w:pPr>
          </w:p>
        </w:tc>
        <w:tc>
          <w:tcPr>
            <w:tcW w:w="1447" w:type="dxa"/>
            <w:vMerge w:val="restart"/>
          </w:tcPr>
          <w:p w14:paraId="22C8F7BB">
            <w:pPr>
              <w:rPr>
                <w:highlight w:val="none"/>
              </w:rPr>
            </w:pPr>
          </w:p>
        </w:tc>
        <w:tc>
          <w:tcPr>
            <w:tcW w:w="1447" w:type="dxa"/>
          </w:tcPr>
          <w:p w14:paraId="180EC022">
            <w:pPr>
              <w:rPr>
                <w:highlight w:val="none"/>
              </w:rPr>
            </w:pPr>
          </w:p>
        </w:tc>
        <w:tc>
          <w:tcPr>
            <w:tcW w:w="1046" w:type="dxa"/>
          </w:tcPr>
          <w:p w14:paraId="61BB1A50">
            <w:pPr>
              <w:rPr>
                <w:highlight w:val="none"/>
              </w:rPr>
            </w:pPr>
          </w:p>
        </w:tc>
        <w:tc>
          <w:tcPr>
            <w:tcW w:w="1046" w:type="dxa"/>
          </w:tcPr>
          <w:p w14:paraId="60F1B1FF">
            <w:pPr>
              <w:rPr>
                <w:highlight w:val="none"/>
              </w:rPr>
            </w:pPr>
          </w:p>
        </w:tc>
        <w:tc>
          <w:tcPr>
            <w:tcW w:w="1046" w:type="dxa"/>
          </w:tcPr>
          <w:p w14:paraId="2B9BF3B1">
            <w:pPr>
              <w:rPr>
                <w:highlight w:val="none"/>
              </w:rPr>
            </w:pPr>
          </w:p>
        </w:tc>
        <w:tc>
          <w:tcPr>
            <w:tcW w:w="1164" w:type="dxa"/>
          </w:tcPr>
          <w:p w14:paraId="271FB10F">
            <w:pPr>
              <w:rPr>
                <w:highlight w:val="none"/>
              </w:rPr>
            </w:pPr>
          </w:p>
        </w:tc>
        <w:tc>
          <w:tcPr>
            <w:tcW w:w="929" w:type="dxa"/>
          </w:tcPr>
          <w:p w14:paraId="2287C28B">
            <w:pPr>
              <w:rPr>
                <w:highlight w:val="none"/>
              </w:rPr>
            </w:pPr>
          </w:p>
        </w:tc>
        <w:tc>
          <w:tcPr>
            <w:tcW w:w="929" w:type="dxa"/>
          </w:tcPr>
          <w:p w14:paraId="73EC89AF">
            <w:pPr>
              <w:rPr>
                <w:highlight w:val="none"/>
              </w:rPr>
            </w:pPr>
          </w:p>
        </w:tc>
        <w:tc>
          <w:tcPr>
            <w:tcW w:w="1046" w:type="dxa"/>
          </w:tcPr>
          <w:p w14:paraId="121B0EC7">
            <w:pPr>
              <w:rPr>
                <w:highlight w:val="none"/>
              </w:rPr>
            </w:pPr>
          </w:p>
        </w:tc>
        <w:tc>
          <w:tcPr>
            <w:tcW w:w="1609" w:type="dxa"/>
          </w:tcPr>
          <w:p w14:paraId="72428959">
            <w:pPr>
              <w:rPr>
                <w:highlight w:val="none"/>
              </w:rPr>
            </w:pPr>
          </w:p>
        </w:tc>
        <w:tc>
          <w:tcPr>
            <w:tcW w:w="1908" w:type="dxa"/>
          </w:tcPr>
          <w:p w14:paraId="5A0EC89D">
            <w:pPr>
              <w:rPr>
                <w:highlight w:val="none"/>
              </w:rPr>
            </w:pPr>
          </w:p>
        </w:tc>
      </w:tr>
      <w:tr w14:paraId="3F46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6A07784A">
            <w:pPr>
              <w:rPr>
                <w:highlight w:val="none"/>
              </w:rPr>
            </w:pPr>
          </w:p>
        </w:tc>
        <w:tc>
          <w:tcPr>
            <w:tcW w:w="1447" w:type="dxa"/>
            <w:vMerge w:val="continue"/>
          </w:tcPr>
          <w:p w14:paraId="628AA56A">
            <w:pPr>
              <w:rPr>
                <w:highlight w:val="none"/>
              </w:rPr>
            </w:pPr>
          </w:p>
        </w:tc>
        <w:tc>
          <w:tcPr>
            <w:tcW w:w="1447" w:type="dxa"/>
          </w:tcPr>
          <w:p w14:paraId="169CE389">
            <w:pPr>
              <w:rPr>
                <w:highlight w:val="none"/>
              </w:rPr>
            </w:pPr>
          </w:p>
        </w:tc>
        <w:tc>
          <w:tcPr>
            <w:tcW w:w="1046" w:type="dxa"/>
          </w:tcPr>
          <w:p w14:paraId="3DE2A103">
            <w:pPr>
              <w:rPr>
                <w:highlight w:val="none"/>
              </w:rPr>
            </w:pPr>
          </w:p>
        </w:tc>
        <w:tc>
          <w:tcPr>
            <w:tcW w:w="1046" w:type="dxa"/>
          </w:tcPr>
          <w:p w14:paraId="7D3149D8">
            <w:pPr>
              <w:rPr>
                <w:highlight w:val="none"/>
              </w:rPr>
            </w:pPr>
          </w:p>
        </w:tc>
        <w:tc>
          <w:tcPr>
            <w:tcW w:w="1046" w:type="dxa"/>
          </w:tcPr>
          <w:p w14:paraId="21A2FDF0">
            <w:pPr>
              <w:rPr>
                <w:highlight w:val="none"/>
              </w:rPr>
            </w:pPr>
          </w:p>
        </w:tc>
        <w:tc>
          <w:tcPr>
            <w:tcW w:w="1164" w:type="dxa"/>
          </w:tcPr>
          <w:p w14:paraId="4B86B1E5">
            <w:pPr>
              <w:rPr>
                <w:highlight w:val="none"/>
              </w:rPr>
            </w:pPr>
          </w:p>
        </w:tc>
        <w:tc>
          <w:tcPr>
            <w:tcW w:w="929" w:type="dxa"/>
          </w:tcPr>
          <w:p w14:paraId="436D9376">
            <w:pPr>
              <w:rPr>
                <w:highlight w:val="none"/>
              </w:rPr>
            </w:pPr>
          </w:p>
        </w:tc>
        <w:tc>
          <w:tcPr>
            <w:tcW w:w="929" w:type="dxa"/>
          </w:tcPr>
          <w:p w14:paraId="17D83C06">
            <w:pPr>
              <w:rPr>
                <w:highlight w:val="none"/>
              </w:rPr>
            </w:pPr>
          </w:p>
        </w:tc>
        <w:tc>
          <w:tcPr>
            <w:tcW w:w="1046" w:type="dxa"/>
          </w:tcPr>
          <w:p w14:paraId="16CAE265">
            <w:pPr>
              <w:rPr>
                <w:highlight w:val="none"/>
              </w:rPr>
            </w:pPr>
          </w:p>
        </w:tc>
        <w:tc>
          <w:tcPr>
            <w:tcW w:w="1609" w:type="dxa"/>
          </w:tcPr>
          <w:p w14:paraId="65D3E8FE">
            <w:pPr>
              <w:rPr>
                <w:highlight w:val="none"/>
              </w:rPr>
            </w:pPr>
          </w:p>
        </w:tc>
        <w:tc>
          <w:tcPr>
            <w:tcW w:w="1908" w:type="dxa"/>
          </w:tcPr>
          <w:p w14:paraId="568FB665">
            <w:pPr>
              <w:rPr>
                <w:highlight w:val="none"/>
              </w:rPr>
            </w:pPr>
          </w:p>
        </w:tc>
      </w:tr>
      <w:tr w14:paraId="16C8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2F9F376E">
            <w:pPr>
              <w:rPr>
                <w:highlight w:val="none"/>
              </w:rPr>
            </w:pPr>
          </w:p>
        </w:tc>
        <w:tc>
          <w:tcPr>
            <w:tcW w:w="1447" w:type="dxa"/>
            <w:vMerge w:val="restart"/>
          </w:tcPr>
          <w:p w14:paraId="2BD14D78">
            <w:pPr>
              <w:rPr>
                <w:highlight w:val="none"/>
              </w:rPr>
            </w:pPr>
          </w:p>
        </w:tc>
        <w:tc>
          <w:tcPr>
            <w:tcW w:w="1447" w:type="dxa"/>
          </w:tcPr>
          <w:p w14:paraId="4BD89C68">
            <w:pPr>
              <w:rPr>
                <w:highlight w:val="none"/>
              </w:rPr>
            </w:pPr>
          </w:p>
        </w:tc>
        <w:tc>
          <w:tcPr>
            <w:tcW w:w="1046" w:type="dxa"/>
          </w:tcPr>
          <w:p w14:paraId="509CF0FD">
            <w:pPr>
              <w:rPr>
                <w:highlight w:val="none"/>
              </w:rPr>
            </w:pPr>
          </w:p>
        </w:tc>
        <w:tc>
          <w:tcPr>
            <w:tcW w:w="1046" w:type="dxa"/>
          </w:tcPr>
          <w:p w14:paraId="502DABC3">
            <w:pPr>
              <w:rPr>
                <w:highlight w:val="none"/>
              </w:rPr>
            </w:pPr>
          </w:p>
        </w:tc>
        <w:tc>
          <w:tcPr>
            <w:tcW w:w="1046" w:type="dxa"/>
          </w:tcPr>
          <w:p w14:paraId="16E728A6">
            <w:pPr>
              <w:rPr>
                <w:highlight w:val="none"/>
              </w:rPr>
            </w:pPr>
          </w:p>
        </w:tc>
        <w:tc>
          <w:tcPr>
            <w:tcW w:w="1164" w:type="dxa"/>
          </w:tcPr>
          <w:p w14:paraId="295A21F5">
            <w:pPr>
              <w:rPr>
                <w:highlight w:val="none"/>
              </w:rPr>
            </w:pPr>
          </w:p>
        </w:tc>
        <w:tc>
          <w:tcPr>
            <w:tcW w:w="929" w:type="dxa"/>
          </w:tcPr>
          <w:p w14:paraId="05B76E42">
            <w:pPr>
              <w:rPr>
                <w:highlight w:val="none"/>
              </w:rPr>
            </w:pPr>
          </w:p>
        </w:tc>
        <w:tc>
          <w:tcPr>
            <w:tcW w:w="929" w:type="dxa"/>
          </w:tcPr>
          <w:p w14:paraId="4B4880B1">
            <w:pPr>
              <w:rPr>
                <w:highlight w:val="none"/>
              </w:rPr>
            </w:pPr>
          </w:p>
        </w:tc>
        <w:tc>
          <w:tcPr>
            <w:tcW w:w="1046" w:type="dxa"/>
          </w:tcPr>
          <w:p w14:paraId="16201A01">
            <w:pPr>
              <w:rPr>
                <w:highlight w:val="none"/>
              </w:rPr>
            </w:pPr>
          </w:p>
        </w:tc>
        <w:tc>
          <w:tcPr>
            <w:tcW w:w="1609" w:type="dxa"/>
          </w:tcPr>
          <w:p w14:paraId="524FA4FE">
            <w:pPr>
              <w:rPr>
                <w:highlight w:val="none"/>
              </w:rPr>
            </w:pPr>
          </w:p>
        </w:tc>
        <w:tc>
          <w:tcPr>
            <w:tcW w:w="1908" w:type="dxa"/>
          </w:tcPr>
          <w:p w14:paraId="3EC30C16">
            <w:pPr>
              <w:rPr>
                <w:highlight w:val="none"/>
              </w:rPr>
            </w:pPr>
          </w:p>
        </w:tc>
      </w:tr>
      <w:tr w14:paraId="7F71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7B63434C">
            <w:pPr>
              <w:rPr>
                <w:highlight w:val="none"/>
              </w:rPr>
            </w:pPr>
          </w:p>
        </w:tc>
        <w:tc>
          <w:tcPr>
            <w:tcW w:w="1447" w:type="dxa"/>
            <w:vMerge w:val="continue"/>
          </w:tcPr>
          <w:p w14:paraId="707E2AF7">
            <w:pPr>
              <w:rPr>
                <w:highlight w:val="none"/>
              </w:rPr>
            </w:pPr>
          </w:p>
        </w:tc>
        <w:tc>
          <w:tcPr>
            <w:tcW w:w="1447" w:type="dxa"/>
          </w:tcPr>
          <w:p w14:paraId="18E20D35">
            <w:pPr>
              <w:rPr>
                <w:highlight w:val="none"/>
              </w:rPr>
            </w:pPr>
          </w:p>
        </w:tc>
        <w:tc>
          <w:tcPr>
            <w:tcW w:w="1046" w:type="dxa"/>
          </w:tcPr>
          <w:p w14:paraId="7C10D12F">
            <w:pPr>
              <w:rPr>
                <w:highlight w:val="none"/>
              </w:rPr>
            </w:pPr>
          </w:p>
        </w:tc>
        <w:tc>
          <w:tcPr>
            <w:tcW w:w="1046" w:type="dxa"/>
          </w:tcPr>
          <w:p w14:paraId="550CEBD2">
            <w:pPr>
              <w:rPr>
                <w:highlight w:val="none"/>
              </w:rPr>
            </w:pPr>
          </w:p>
        </w:tc>
        <w:tc>
          <w:tcPr>
            <w:tcW w:w="1046" w:type="dxa"/>
          </w:tcPr>
          <w:p w14:paraId="35B81C4C">
            <w:pPr>
              <w:rPr>
                <w:highlight w:val="none"/>
              </w:rPr>
            </w:pPr>
          </w:p>
        </w:tc>
        <w:tc>
          <w:tcPr>
            <w:tcW w:w="1164" w:type="dxa"/>
          </w:tcPr>
          <w:p w14:paraId="25849AA4">
            <w:pPr>
              <w:rPr>
                <w:highlight w:val="none"/>
              </w:rPr>
            </w:pPr>
          </w:p>
        </w:tc>
        <w:tc>
          <w:tcPr>
            <w:tcW w:w="929" w:type="dxa"/>
          </w:tcPr>
          <w:p w14:paraId="4766398A">
            <w:pPr>
              <w:rPr>
                <w:highlight w:val="none"/>
              </w:rPr>
            </w:pPr>
          </w:p>
        </w:tc>
        <w:tc>
          <w:tcPr>
            <w:tcW w:w="929" w:type="dxa"/>
          </w:tcPr>
          <w:p w14:paraId="368DFF82">
            <w:pPr>
              <w:rPr>
                <w:highlight w:val="none"/>
              </w:rPr>
            </w:pPr>
          </w:p>
        </w:tc>
        <w:tc>
          <w:tcPr>
            <w:tcW w:w="1046" w:type="dxa"/>
          </w:tcPr>
          <w:p w14:paraId="5A7225C3">
            <w:pPr>
              <w:rPr>
                <w:highlight w:val="none"/>
              </w:rPr>
            </w:pPr>
          </w:p>
        </w:tc>
        <w:tc>
          <w:tcPr>
            <w:tcW w:w="1609" w:type="dxa"/>
          </w:tcPr>
          <w:p w14:paraId="2DA37A38">
            <w:pPr>
              <w:rPr>
                <w:highlight w:val="none"/>
              </w:rPr>
            </w:pPr>
          </w:p>
        </w:tc>
        <w:tc>
          <w:tcPr>
            <w:tcW w:w="1908" w:type="dxa"/>
          </w:tcPr>
          <w:p w14:paraId="3E371112">
            <w:pPr>
              <w:rPr>
                <w:highlight w:val="none"/>
              </w:rPr>
            </w:pPr>
          </w:p>
        </w:tc>
      </w:tr>
    </w:tbl>
    <w:p w14:paraId="60D3A88F">
      <w:pPr>
        <w:rPr>
          <w:highlight w:val="none"/>
        </w:rPr>
      </w:pPr>
    </w:p>
    <w:p w14:paraId="7888E2E8">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法人代表或委托代理人（签字或盖章）： </w:t>
      </w:r>
    </w:p>
    <w:p w14:paraId="3734198D">
      <w:pPr>
        <w:widowControl/>
        <w:kinsoku w:val="0"/>
        <w:autoSpaceDE w:val="0"/>
        <w:autoSpaceDN w:val="0"/>
        <w:adjustRightInd w:val="0"/>
        <w:snapToGrid w:val="0"/>
        <w:spacing w:line="560" w:lineRule="exact"/>
        <w:ind w:firstLine="480" w:firstLineChars="200"/>
        <w:jc w:val="left"/>
        <w:textAlignment w:val="baseline"/>
        <w:rPr>
          <w:rFonts w:ascii="宋体" w:hAnsi="宋体" w:cs="宋体"/>
          <w:color w:val="000000" w:themeColor="text1"/>
          <w:kern w:val="0"/>
          <w:sz w:val="52"/>
          <w:szCs w:val="5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供应商：（全称并加盖公章）</w:t>
      </w:r>
    </w:p>
    <w:p w14:paraId="43D4D368">
      <w:pPr>
        <w:widowControl/>
        <w:kinsoku w:val="0"/>
        <w:autoSpaceDE w:val="0"/>
        <w:autoSpaceDN w:val="0"/>
        <w:adjustRightInd w:val="0"/>
        <w:snapToGrid w:val="0"/>
        <w:spacing w:line="560" w:lineRule="exact"/>
        <w:ind w:firstLine="480" w:firstLineChars="200"/>
        <w:jc w:val="left"/>
        <w:textAlignment w:val="baseline"/>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    年    月    日</w:t>
      </w:r>
    </w:p>
    <w:p w14:paraId="277E3CF0">
      <w:pPr>
        <w:widowControl/>
        <w:kinsoku w:val="0"/>
        <w:autoSpaceDE w:val="0"/>
        <w:autoSpaceDN w:val="0"/>
        <w:adjustRightInd w:val="0"/>
        <w:snapToGrid w:val="0"/>
        <w:spacing w:line="400" w:lineRule="exact"/>
        <w:textAlignment w:val="baseline"/>
        <w:rPr>
          <w:rFonts w:ascii="宋体" w:hAnsi="宋体" w:cs="宋体"/>
          <w:b/>
          <w:bCs/>
          <w:szCs w:val="21"/>
          <w:highlight w:val="none"/>
        </w:rPr>
      </w:pPr>
      <w:r>
        <w:rPr>
          <w:rFonts w:hint="eastAsia" w:ascii="宋体" w:hAnsi="宋体" w:cs="宋体"/>
          <w:b/>
          <w:bCs/>
          <w:szCs w:val="21"/>
          <w:highlight w:val="none"/>
        </w:rPr>
        <w:t>注：1.请按照检测项目填写试剂。</w:t>
      </w:r>
    </w:p>
    <w:p w14:paraId="51E2AEBA">
      <w:pPr>
        <w:widowControl/>
        <w:kinsoku w:val="0"/>
        <w:autoSpaceDE w:val="0"/>
        <w:autoSpaceDN w:val="0"/>
        <w:adjustRightInd w:val="0"/>
        <w:snapToGrid w:val="0"/>
        <w:spacing w:line="400" w:lineRule="exact"/>
        <w:ind w:firstLine="422" w:firstLineChars="200"/>
        <w:textAlignment w:val="baseline"/>
        <w:rPr>
          <w:rFonts w:ascii="宋体" w:hAnsi="宋体" w:cs="宋体"/>
          <w:b/>
          <w:bCs/>
          <w:szCs w:val="21"/>
          <w:highlight w:val="none"/>
        </w:rPr>
      </w:pPr>
      <w:r>
        <w:rPr>
          <w:rFonts w:hint="eastAsia" w:ascii="宋体" w:hAnsi="宋体" w:cs="宋体"/>
          <w:b/>
          <w:bCs/>
          <w:szCs w:val="21"/>
          <w:highlight w:val="none"/>
        </w:rPr>
        <w:t>2.试剂以“每人份”为单位进行报价。</w:t>
      </w:r>
    </w:p>
    <w:p w14:paraId="53D5794D">
      <w:pPr>
        <w:widowControl/>
        <w:spacing w:line="400" w:lineRule="exact"/>
        <w:jc w:val="left"/>
        <w:rPr>
          <w:highlight w:val="none"/>
        </w:rPr>
      </w:pPr>
      <w:r>
        <w:rPr>
          <w:rFonts w:hint="eastAsia" w:ascii="宋体" w:hAnsi="宋体" w:cs="宋体"/>
          <w:b/>
          <w:bCs/>
          <w:snapToGrid w:val="0"/>
          <w:color w:val="000000"/>
          <w:kern w:val="0"/>
          <w:sz w:val="24"/>
          <w:highlight w:val="none"/>
        </w:rPr>
        <w:t>备注: 此表为产品配套试剂报价表，如没有，无需制作，可自行删除。</w:t>
      </w:r>
    </w:p>
    <w:p w14:paraId="4D8D8E8C">
      <w:pPr>
        <w:pStyle w:val="24"/>
        <w:rPr>
          <w:rFonts w:ascii="宋体" w:hAnsi="宋体" w:cs="宋体"/>
          <w:color w:val="000000" w:themeColor="text1"/>
          <w:kern w:val="0"/>
          <w:sz w:val="24"/>
          <w:highlight w:val="none"/>
          <w14:textFill>
            <w14:solidFill>
              <w14:schemeClr w14:val="tx1"/>
            </w14:solidFill>
          </w14:textFill>
        </w:rPr>
      </w:pPr>
    </w:p>
    <w:p w14:paraId="25F06BB3">
      <w:pPr>
        <w:pStyle w:val="24"/>
        <w:rPr>
          <w:rFonts w:ascii="宋体" w:hAnsi="宋体" w:cs="宋体"/>
          <w:color w:val="000000" w:themeColor="text1"/>
          <w:kern w:val="0"/>
          <w:sz w:val="24"/>
          <w:highlight w:val="none"/>
          <w14:textFill>
            <w14:solidFill>
              <w14:schemeClr w14:val="tx1"/>
            </w14:solidFill>
          </w14:textFill>
        </w:rPr>
      </w:pPr>
    </w:p>
    <w:p w14:paraId="7AC7B5E6">
      <w:pPr>
        <w:pStyle w:val="24"/>
        <w:rPr>
          <w:rFonts w:ascii="宋体" w:hAnsi="宋体" w:cs="宋体"/>
          <w:color w:val="000000" w:themeColor="text1"/>
          <w:kern w:val="0"/>
          <w:sz w:val="24"/>
          <w:highlight w:val="none"/>
          <w14:textFill>
            <w14:solidFill>
              <w14:schemeClr w14:val="tx1"/>
            </w14:solidFill>
          </w14:textFill>
        </w:rPr>
      </w:pPr>
    </w:p>
    <w:p w14:paraId="074E4E9C">
      <w:pPr>
        <w:widowControl/>
        <w:jc w:val="center"/>
        <w:rPr>
          <w:rFonts w:ascii="宋体" w:hAnsi="宋体" w:cs="宋体"/>
          <w:b/>
          <w:bCs/>
          <w:sz w:val="28"/>
          <w:szCs w:val="28"/>
          <w:highlight w:val="none"/>
        </w:rPr>
      </w:pPr>
      <w:r>
        <w:rPr>
          <w:rFonts w:hint="eastAsia" w:ascii="宋体" w:hAnsi="宋体" w:cs="宋体"/>
          <w:b/>
          <w:bCs/>
          <w:sz w:val="28"/>
          <w:szCs w:val="28"/>
          <w:highlight w:val="none"/>
        </w:rPr>
        <w:t>4.2 配套耗材报价一览表（格式，如有）</w:t>
      </w:r>
    </w:p>
    <w:p w14:paraId="097D80B4">
      <w:pPr>
        <w:rPr>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1FD8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DA3A38F">
            <w:pPr>
              <w:jc w:val="center"/>
              <w:rPr>
                <w:b/>
                <w:bCs/>
                <w:szCs w:val="21"/>
                <w:highlight w:val="none"/>
              </w:rPr>
            </w:pPr>
            <w:r>
              <w:rPr>
                <w:rFonts w:hint="eastAsia"/>
                <w:b/>
                <w:bCs/>
                <w:szCs w:val="21"/>
                <w:highlight w:val="none"/>
              </w:rPr>
              <w:t>序号</w:t>
            </w:r>
          </w:p>
        </w:tc>
        <w:tc>
          <w:tcPr>
            <w:tcW w:w="1543" w:type="dxa"/>
            <w:vAlign w:val="center"/>
          </w:tcPr>
          <w:p w14:paraId="42ED7F91">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检测项目</w:t>
            </w:r>
          </w:p>
        </w:tc>
        <w:tc>
          <w:tcPr>
            <w:tcW w:w="1393" w:type="dxa"/>
            <w:vAlign w:val="center"/>
          </w:tcPr>
          <w:p w14:paraId="1A106DA7">
            <w:pPr>
              <w:widowControl/>
              <w:jc w:val="center"/>
              <w:rPr>
                <w:b/>
                <w:bCs/>
                <w:szCs w:val="21"/>
                <w:highlight w:val="none"/>
              </w:rPr>
            </w:pPr>
            <w:r>
              <w:rPr>
                <w:rFonts w:hint="eastAsia" w:ascii="宋体" w:hAnsi="宋体" w:cs="宋体"/>
                <w:b/>
                <w:bCs/>
                <w:snapToGrid w:val="0"/>
                <w:color w:val="000000"/>
                <w:kern w:val="0"/>
                <w:szCs w:val="21"/>
                <w:highlight w:val="none"/>
              </w:rPr>
              <w:t>商品名（通用名）</w:t>
            </w:r>
          </w:p>
        </w:tc>
        <w:tc>
          <w:tcPr>
            <w:tcW w:w="1060" w:type="dxa"/>
            <w:vAlign w:val="center"/>
          </w:tcPr>
          <w:p w14:paraId="32FB946F">
            <w:pPr>
              <w:widowControl/>
              <w:jc w:val="center"/>
              <w:rPr>
                <w:b/>
                <w:bCs/>
                <w:szCs w:val="21"/>
                <w:highlight w:val="none"/>
              </w:rPr>
            </w:pPr>
            <w:r>
              <w:rPr>
                <w:rFonts w:hint="eastAsia" w:ascii="宋体" w:hAnsi="宋体" w:cs="宋体"/>
                <w:b/>
                <w:bCs/>
                <w:snapToGrid w:val="0"/>
                <w:color w:val="000000"/>
                <w:kern w:val="0"/>
                <w:szCs w:val="21"/>
                <w:highlight w:val="none"/>
              </w:rPr>
              <w:t>投标产</w:t>
            </w:r>
          </w:p>
          <w:p w14:paraId="3FC1BA7B">
            <w:pPr>
              <w:widowControl/>
              <w:jc w:val="center"/>
              <w:rPr>
                <w:b/>
                <w:bCs/>
                <w:szCs w:val="21"/>
                <w:highlight w:val="none"/>
              </w:rPr>
            </w:pPr>
            <w:r>
              <w:rPr>
                <w:rFonts w:hint="eastAsia" w:ascii="宋体" w:hAnsi="宋体" w:cs="宋体"/>
                <w:b/>
                <w:bCs/>
                <w:snapToGrid w:val="0"/>
                <w:color w:val="000000"/>
                <w:kern w:val="0"/>
                <w:szCs w:val="21"/>
                <w:highlight w:val="none"/>
              </w:rPr>
              <w:t>品注册</w:t>
            </w:r>
          </w:p>
          <w:p w14:paraId="3E0CAA94">
            <w:pPr>
              <w:widowControl/>
              <w:jc w:val="center"/>
              <w:rPr>
                <w:b/>
                <w:bCs/>
                <w:szCs w:val="21"/>
                <w:highlight w:val="none"/>
              </w:rPr>
            </w:pPr>
            <w:r>
              <w:rPr>
                <w:rFonts w:hint="eastAsia" w:ascii="宋体" w:hAnsi="宋体" w:cs="宋体"/>
                <w:b/>
                <w:bCs/>
                <w:snapToGrid w:val="0"/>
                <w:color w:val="000000"/>
                <w:kern w:val="0"/>
                <w:szCs w:val="21"/>
                <w:highlight w:val="none"/>
              </w:rPr>
              <w:t>证名称</w:t>
            </w:r>
          </w:p>
        </w:tc>
        <w:tc>
          <w:tcPr>
            <w:tcW w:w="1060" w:type="dxa"/>
            <w:vAlign w:val="center"/>
          </w:tcPr>
          <w:p w14:paraId="654051D2">
            <w:pPr>
              <w:widowControl/>
              <w:jc w:val="center"/>
              <w:rPr>
                <w:b/>
                <w:bCs/>
                <w:szCs w:val="21"/>
                <w:highlight w:val="none"/>
              </w:rPr>
            </w:pPr>
            <w:r>
              <w:rPr>
                <w:rFonts w:hint="eastAsia"/>
                <w:b/>
                <w:bCs/>
                <w:szCs w:val="21"/>
                <w:highlight w:val="none"/>
              </w:rPr>
              <w:t>制造商</w:t>
            </w:r>
          </w:p>
        </w:tc>
        <w:tc>
          <w:tcPr>
            <w:tcW w:w="1060" w:type="dxa"/>
            <w:vAlign w:val="center"/>
          </w:tcPr>
          <w:p w14:paraId="33EF70CE">
            <w:pPr>
              <w:widowControl/>
              <w:jc w:val="center"/>
              <w:rPr>
                <w:b/>
                <w:bCs/>
                <w:szCs w:val="21"/>
                <w:highlight w:val="none"/>
              </w:rPr>
            </w:pPr>
            <w:r>
              <w:rPr>
                <w:rFonts w:hint="eastAsia"/>
                <w:b/>
                <w:bCs/>
                <w:szCs w:val="21"/>
                <w:highlight w:val="none"/>
              </w:rPr>
              <w:t>品牌</w:t>
            </w:r>
          </w:p>
        </w:tc>
        <w:tc>
          <w:tcPr>
            <w:tcW w:w="1060" w:type="dxa"/>
            <w:vAlign w:val="center"/>
          </w:tcPr>
          <w:p w14:paraId="6D322834">
            <w:pPr>
              <w:widowControl/>
              <w:jc w:val="center"/>
              <w:rPr>
                <w:b/>
                <w:bCs/>
                <w:szCs w:val="21"/>
                <w:highlight w:val="none"/>
              </w:rPr>
            </w:pPr>
            <w:r>
              <w:rPr>
                <w:rFonts w:hint="eastAsia"/>
                <w:b/>
                <w:bCs/>
                <w:szCs w:val="21"/>
                <w:highlight w:val="none"/>
              </w:rPr>
              <w:t>产地</w:t>
            </w:r>
          </w:p>
        </w:tc>
        <w:tc>
          <w:tcPr>
            <w:tcW w:w="1060" w:type="dxa"/>
          </w:tcPr>
          <w:p w14:paraId="5196B473">
            <w:pPr>
              <w:widowControl/>
              <w:jc w:val="center"/>
              <w:rPr>
                <w:b/>
                <w:bCs/>
                <w:szCs w:val="21"/>
                <w:highlight w:val="none"/>
              </w:rPr>
            </w:pPr>
            <w:r>
              <w:rPr>
                <w:rFonts w:hint="eastAsia"/>
                <w:b/>
                <w:bCs/>
                <w:szCs w:val="21"/>
                <w:highlight w:val="none"/>
              </w:rPr>
              <w:t>规格型号</w:t>
            </w:r>
          </w:p>
          <w:p w14:paraId="31DE8CC9">
            <w:pPr>
              <w:widowControl/>
              <w:jc w:val="center"/>
              <w:rPr>
                <w:b/>
                <w:bCs/>
                <w:szCs w:val="21"/>
                <w:highlight w:val="none"/>
              </w:rPr>
            </w:pPr>
            <w:r>
              <w:rPr>
                <w:rFonts w:hint="eastAsia"/>
                <w:b/>
                <w:bCs/>
                <w:szCs w:val="21"/>
                <w:highlight w:val="none"/>
              </w:rPr>
              <w:t>（注册证型号）</w:t>
            </w:r>
          </w:p>
        </w:tc>
        <w:tc>
          <w:tcPr>
            <w:tcW w:w="1277" w:type="dxa"/>
            <w:vAlign w:val="center"/>
          </w:tcPr>
          <w:p w14:paraId="66EB3D21">
            <w:pPr>
              <w:widowControl/>
              <w:jc w:val="center"/>
              <w:rPr>
                <w:b/>
                <w:bCs/>
                <w:szCs w:val="21"/>
                <w:highlight w:val="none"/>
              </w:rPr>
            </w:pPr>
            <w:r>
              <w:rPr>
                <w:rFonts w:hint="eastAsia"/>
                <w:b/>
                <w:bCs/>
                <w:szCs w:val="21"/>
                <w:highlight w:val="none"/>
              </w:rPr>
              <w:t>计价单位</w:t>
            </w:r>
          </w:p>
        </w:tc>
        <w:tc>
          <w:tcPr>
            <w:tcW w:w="1486" w:type="dxa"/>
            <w:vAlign w:val="center"/>
          </w:tcPr>
          <w:p w14:paraId="500D252E">
            <w:pPr>
              <w:widowControl/>
              <w:jc w:val="center"/>
              <w:rPr>
                <w:b/>
                <w:bCs/>
                <w:szCs w:val="21"/>
                <w:highlight w:val="none"/>
              </w:rPr>
            </w:pPr>
            <w:r>
              <w:rPr>
                <w:rFonts w:hint="eastAsia"/>
                <w:b/>
                <w:bCs/>
                <w:szCs w:val="21"/>
                <w:highlight w:val="none"/>
              </w:rPr>
              <w:t>投标单价</w:t>
            </w:r>
          </w:p>
          <w:p w14:paraId="31C153DC">
            <w:pPr>
              <w:widowControl/>
              <w:jc w:val="center"/>
              <w:rPr>
                <w:b/>
                <w:bCs/>
                <w:szCs w:val="21"/>
                <w:highlight w:val="none"/>
              </w:rPr>
            </w:pPr>
            <w:r>
              <w:rPr>
                <w:rFonts w:hint="eastAsia"/>
                <w:b/>
                <w:bCs/>
                <w:szCs w:val="21"/>
                <w:highlight w:val="none"/>
              </w:rPr>
              <w:t>（元/单位）</w:t>
            </w:r>
          </w:p>
        </w:tc>
        <w:tc>
          <w:tcPr>
            <w:tcW w:w="1560" w:type="dxa"/>
            <w:vAlign w:val="center"/>
          </w:tcPr>
          <w:p w14:paraId="48BDF7AB">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投标产品</w:t>
            </w:r>
          </w:p>
          <w:p w14:paraId="403110D7">
            <w:pPr>
              <w:widowControl/>
              <w:jc w:val="center"/>
              <w:rPr>
                <w:b/>
                <w:bCs/>
                <w:szCs w:val="21"/>
                <w:highlight w:val="none"/>
              </w:rPr>
            </w:pPr>
            <w:r>
              <w:rPr>
                <w:rFonts w:hint="eastAsia" w:ascii="宋体" w:hAnsi="宋体" w:cs="宋体"/>
                <w:b/>
                <w:bCs/>
                <w:snapToGrid w:val="0"/>
                <w:color w:val="000000"/>
                <w:kern w:val="0"/>
                <w:szCs w:val="21"/>
                <w:highlight w:val="none"/>
              </w:rPr>
              <w:t>注册证号</w:t>
            </w:r>
          </w:p>
        </w:tc>
        <w:tc>
          <w:tcPr>
            <w:tcW w:w="1080" w:type="dxa"/>
            <w:vAlign w:val="center"/>
          </w:tcPr>
          <w:p w14:paraId="5403A0BE">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备注</w:t>
            </w:r>
          </w:p>
        </w:tc>
      </w:tr>
      <w:tr w14:paraId="7160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079D9BB2">
            <w:pPr>
              <w:jc w:val="center"/>
              <w:rPr>
                <w:rFonts w:ascii="宋体" w:hAnsi="宋体" w:cs="宋体"/>
                <w:highlight w:val="none"/>
              </w:rPr>
            </w:pPr>
            <w:r>
              <w:rPr>
                <w:rFonts w:hint="eastAsia" w:ascii="宋体" w:hAnsi="宋体" w:cs="宋体"/>
                <w:highlight w:val="none"/>
              </w:rPr>
              <w:t>1</w:t>
            </w:r>
          </w:p>
        </w:tc>
        <w:tc>
          <w:tcPr>
            <w:tcW w:w="1543" w:type="dxa"/>
            <w:vMerge w:val="restart"/>
          </w:tcPr>
          <w:p w14:paraId="24758C4E">
            <w:pPr>
              <w:rPr>
                <w:highlight w:val="none"/>
              </w:rPr>
            </w:pPr>
          </w:p>
        </w:tc>
        <w:tc>
          <w:tcPr>
            <w:tcW w:w="1393" w:type="dxa"/>
          </w:tcPr>
          <w:p w14:paraId="4518FCF7">
            <w:pPr>
              <w:rPr>
                <w:highlight w:val="none"/>
              </w:rPr>
            </w:pPr>
          </w:p>
        </w:tc>
        <w:tc>
          <w:tcPr>
            <w:tcW w:w="1060" w:type="dxa"/>
          </w:tcPr>
          <w:p w14:paraId="00919F4A">
            <w:pPr>
              <w:rPr>
                <w:highlight w:val="none"/>
              </w:rPr>
            </w:pPr>
          </w:p>
        </w:tc>
        <w:tc>
          <w:tcPr>
            <w:tcW w:w="1060" w:type="dxa"/>
          </w:tcPr>
          <w:p w14:paraId="2B74AEDF">
            <w:pPr>
              <w:rPr>
                <w:highlight w:val="none"/>
              </w:rPr>
            </w:pPr>
          </w:p>
        </w:tc>
        <w:tc>
          <w:tcPr>
            <w:tcW w:w="1060" w:type="dxa"/>
          </w:tcPr>
          <w:p w14:paraId="72E5E24C">
            <w:pPr>
              <w:rPr>
                <w:highlight w:val="none"/>
              </w:rPr>
            </w:pPr>
          </w:p>
        </w:tc>
        <w:tc>
          <w:tcPr>
            <w:tcW w:w="1060" w:type="dxa"/>
          </w:tcPr>
          <w:p w14:paraId="70D9E2EC">
            <w:pPr>
              <w:rPr>
                <w:highlight w:val="none"/>
              </w:rPr>
            </w:pPr>
          </w:p>
        </w:tc>
        <w:tc>
          <w:tcPr>
            <w:tcW w:w="1060" w:type="dxa"/>
          </w:tcPr>
          <w:p w14:paraId="3AB69920">
            <w:pPr>
              <w:rPr>
                <w:highlight w:val="none"/>
              </w:rPr>
            </w:pPr>
          </w:p>
        </w:tc>
        <w:tc>
          <w:tcPr>
            <w:tcW w:w="1277" w:type="dxa"/>
          </w:tcPr>
          <w:p w14:paraId="336B35F7">
            <w:pPr>
              <w:rPr>
                <w:highlight w:val="none"/>
              </w:rPr>
            </w:pPr>
          </w:p>
        </w:tc>
        <w:tc>
          <w:tcPr>
            <w:tcW w:w="1486" w:type="dxa"/>
          </w:tcPr>
          <w:p w14:paraId="0D778B15">
            <w:pPr>
              <w:rPr>
                <w:highlight w:val="none"/>
              </w:rPr>
            </w:pPr>
          </w:p>
        </w:tc>
        <w:tc>
          <w:tcPr>
            <w:tcW w:w="1560" w:type="dxa"/>
          </w:tcPr>
          <w:p w14:paraId="1C2240A5">
            <w:pPr>
              <w:rPr>
                <w:highlight w:val="none"/>
              </w:rPr>
            </w:pPr>
          </w:p>
        </w:tc>
        <w:tc>
          <w:tcPr>
            <w:tcW w:w="1080" w:type="dxa"/>
          </w:tcPr>
          <w:p w14:paraId="050AB7EF">
            <w:pPr>
              <w:rPr>
                <w:highlight w:val="none"/>
              </w:rPr>
            </w:pPr>
          </w:p>
        </w:tc>
      </w:tr>
      <w:tr w14:paraId="51C1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4A5EDFE0">
            <w:pPr>
              <w:jc w:val="center"/>
              <w:rPr>
                <w:rFonts w:ascii="宋体" w:hAnsi="宋体" w:cs="宋体"/>
                <w:highlight w:val="none"/>
              </w:rPr>
            </w:pPr>
          </w:p>
        </w:tc>
        <w:tc>
          <w:tcPr>
            <w:tcW w:w="1543" w:type="dxa"/>
            <w:vMerge w:val="continue"/>
          </w:tcPr>
          <w:p w14:paraId="7EC4C81A">
            <w:pPr>
              <w:rPr>
                <w:highlight w:val="none"/>
              </w:rPr>
            </w:pPr>
          </w:p>
        </w:tc>
        <w:tc>
          <w:tcPr>
            <w:tcW w:w="1393" w:type="dxa"/>
          </w:tcPr>
          <w:p w14:paraId="28858338">
            <w:pPr>
              <w:rPr>
                <w:highlight w:val="none"/>
              </w:rPr>
            </w:pPr>
          </w:p>
        </w:tc>
        <w:tc>
          <w:tcPr>
            <w:tcW w:w="1060" w:type="dxa"/>
          </w:tcPr>
          <w:p w14:paraId="02D6EE63">
            <w:pPr>
              <w:rPr>
                <w:highlight w:val="none"/>
              </w:rPr>
            </w:pPr>
          </w:p>
        </w:tc>
        <w:tc>
          <w:tcPr>
            <w:tcW w:w="1060" w:type="dxa"/>
          </w:tcPr>
          <w:p w14:paraId="3E8A038C">
            <w:pPr>
              <w:rPr>
                <w:highlight w:val="none"/>
              </w:rPr>
            </w:pPr>
          </w:p>
        </w:tc>
        <w:tc>
          <w:tcPr>
            <w:tcW w:w="1060" w:type="dxa"/>
          </w:tcPr>
          <w:p w14:paraId="7880E21E">
            <w:pPr>
              <w:rPr>
                <w:highlight w:val="none"/>
              </w:rPr>
            </w:pPr>
          </w:p>
        </w:tc>
        <w:tc>
          <w:tcPr>
            <w:tcW w:w="1060" w:type="dxa"/>
          </w:tcPr>
          <w:p w14:paraId="6C9D6B03">
            <w:pPr>
              <w:rPr>
                <w:highlight w:val="none"/>
              </w:rPr>
            </w:pPr>
          </w:p>
        </w:tc>
        <w:tc>
          <w:tcPr>
            <w:tcW w:w="1060" w:type="dxa"/>
          </w:tcPr>
          <w:p w14:paraId="70FB69E4">
            <w:pPr>
              <w:rPr>
                <w:highlight w:val="none"/>
              </w:rPr>
            </w:pPr>
          </w:p>
        </w:tc>
        <w:tc>
          <w:tcPr>
            <w:tcW w:w="1277" w:type="dxa"/>
          </w:tcPr>
          <w:p w14:paraId="44BAF765">
            <w:pPr>
              <w:rPr>
                <w:highlight w:val="none"/>
              </w:rPr>
            </w:pPr>
          </w:p>
        </w:tc>
        <w:tc>
          <w:tcPr>
            <w:tcW w:w="1486" w:type="dxa"/>
          </w:tcPr>
          <w:p w14:paraId="4DAE4F4F">
            <w:pPr>
              <w:rPr>
                <w:highlight w:val="none"/>
              </w:rPr>
            </w:pPr>
          </w:p>
        </w:tc>
        <w:tc>
          <w:tcPr>
            <w:tcW w:w="1560" w:type="dxa"/>
          </w:tcPr>
          <w:p w14:paraId="35F04D18">
            <w:pPr>
              <w:rPr>
                <w:highlight w:val="none"/>
              </w:rPr>
            </w:pPr>
          </w:p>
        </w:tc>
        <w:tc>
          <w:tcPr>
            <w:tcW w:w="1080" w:type="dxa"/>
          </w:tcPr>
          <w:p w14:paraId="7CEF42F0">
            <w:pPr>
              <w:rPr>
                <w:highlight w:val="none"/>
              </w:rPr>
            </w:pPr>
          </w:p>
        </w:tc>
      </w:tr>
      <w:tr w14:paraId="0005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37B8C864">
            <w:pPr>
              <w:jc w:val="center"/>
              <w:rPr>
                <w:rFonts w:ascii="宋体" w:hAnsi="宋体" w:cs="宋体"/>
                <w:highlight w:val="none"/>
              </w:rPr>
            </w:pPr>
            <w:r>
              <w:rPr>
                <w:rFonts w:hint="eastAsia" w:ascii="宋体" w:hAnsi="宋体" w:cs="宋体"/>
                <w:highlight w:val="none"/>
              </w:rPr>
              <w:t>2</w:t>
            </w:r>
          </w:p>
        </w:tc>
        <w:tc>
          <w:tcPr>
            <w:tcW w:w="1543" w:type="dxa"/>
            <w:vMerge w:val="restart"/>
          </w:tcPr>
          <w:p w14:paraId="09693C1B">
            <w:pPr>
              <w:rPr>
                <w:highlight w:val="none"/>
              </w:rPr>
            </w:pPr>
          </w:p>
        </w:tc>
        <w:tc>
          <w:tcPr>
            <w:tcW w:w="1393" w:type="dxa"/>
          </w:tcPr>
          <w:p w14:paraId="409CA7A8">
            <w:pPr>
              <w:rPr>
                <w:highlight w:val="none"/>
              </w:rPr>
            </w:pPr>
          </w:p>
        </w:tc>
        <w:tc>
          <w:tcPr>
            <w:tcW w:w="1060" w:type="dxa"/>
          </w:tcPr>
          <w:p w14:paraId="461832A7">
            <w:pPr>
              <w:rPr>
                <w:highlight w:val="none"/>
              </w:rPr>
            </w:pPr>
          </w:p>
        </w:tc>
        <w:tc>
          <w:tcPr>
            <w:tcW w:w="1060" w:type="dxa"/>
          </w:tcPr>
          <w:p w14:paraId="2B63E325">
            <w:pPr>
              <w:rPr>
                <w:highlight w:val="none"/>
              </w:rPr>
            </w:pPr>
          </w:p>
        </w:tc>
        <w:tc>
          <w:tcPr>
            <w:tcW w:w="1060" w:type="dxa"/>
          </w:tcPr>
          <w:p w14:paraId="241D3F64">
            <w:pPr>
              <w:rPr>
                <w:highlight w:val="none"/>
              </w:rPr>
            </w:pPr>
          </w:p>
        </w:tc>
        <w:tc>
          <w:tcPr>
            <w:tcW w:w="1060" w:type="dxa"/>
          </w:tcPr>
          <w:p w14:paraId="05E97119">
            <w:pPr>
              <w:rPr>
                <w:highlight w:val="none"/>
              </w:rPr>
            </w:pPr>
          </w:p>
        </w:tc>
        <w:tc>
          <w:tcPr>
            <w:tcW w:w="1060" w:type="dxa"/>
          </w:tcPr>
          <w:p w14:paraId="77EE55B6">
            <w:pPr>
              <w:rPr>
                <w:highlight w:val="none"/>
              </w:rPr>
            </w:pPr>
          </w:p>
        </w:tc>
        <w:tc>
          <w:tcPr>
            <w:tcW w:w="1277" w:type="dxa"/>
          </w:tcPr>
          <w:p w14:paraId="01DD4D2B">
            <w:pPr>
              <w:rPr>
                <w:highlight w:val="none"/>
              </w:rPr>
            </w:pPr>
          </w:p>
        </w:tc>
        <w:tc>
          <w:tcPr>
            <w:tcW w:w="1486" w:type="dxa"/>
          </w:tcPr>
          <w:p w14:paraId="7B82DA3D">
            <w:pPr>
              <w:rPr>
                <w:highlight w:val="none"/>
              </w:rPr>
            </w:pPr>
          </w:p>
        </w:tc>
        <w:tc>
          <w:tcPr>
            <w:tcW w:w="1560" w:type="dxa"/>
          </w:tcPr>
          <w:p w14:paraId="7C7439A5">
            <w:pPr>
              <w:rPr>
                <w:highlight w:val="none"/>
              </w:rPr>
            </w:pPr>
          </w:p>
        </w:tc>
        <w:tc>
          <w:tcPr>
            <w:tcW w:w="1080" w:type="dxa"/>
          </w:tcPr>
          <w:p w14:paraId="135F693D">
            <w:pPr>
              <w:rPr>
                <w:highlight w:val="none"/>
              </w:rPr>
            </w:pPr>
          </w:p>
        </w:tc>
      </w:tr>
      <w:tr w14:paraId="7293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5E08CF46">
            <w:pPr>
              <w:rPr>
                <w:highlight w:val="none"/>
              </w:rPr>
            </w:pPr>
          </w:p>
        </w:tc>
        <w:tc>
          <w:tcPr>
            <w:tcW w:w="1543" w:type="dxa"/>
            <w:vMerge w:val="continue"/>
          </w:tcPr>
          <w:p w14:paraId="2369C91C">
            <w:pPr>
              <w:rPr>
                <w:highlight w:val="none"/>
              </w:rPr>
            </w:pPr>
          </w:p>
        </w:tc>
        <w:tc>
          <w:tcPr>
            <w:tcW w:w="1393" w:type="dxa"/>
          </w:tcPr>
          <w:p w14:paraId="07916FD6">
            <w:pPr>
              <w:rPr>
                <w:highlight w:val="none"/>
              </w:rPr>
            </w:pPr>
          </w:p>
        </w:tc>
        <w:tc>
          <w:tcPr>
            <w:tcW w:w="1060" w:type="dxa"/>
          </w:tcPr>
          <w:p w14:paraId="43E5C247">
            <w:pPr>
              <w:rPr>
                <w:highlight w:val="none"/>
              </w:rPr>
            </w:pPr>
          </w:p>
        </w:tc>
        <w:tc>
          <w:tcPr>
            <w:tcW w:w="1060" w:type="dxa"/>
          </w:tcPr>
          <w:p w14:paraId="32079953">
            <w:pPr>
              <w:rPr>
                <w:highlight w:val="none"/>
              </w:rPr>
            </w:pPr>
          </w:p>
        </w:tc>
        <w:tc>
          <w:tcPr>
            <w:tcW w:w="1060" w:type="dxa"/>
          </w:tcPr>
          <w:p w14:paraId="3275F66D">
            <w:pPr>
              <w:rPr>
                <w:highlight w:val="none"/>
              </w:rPr>
            </w:pPr>
          </w:p>
        </w:tc>
        <w:tc>
          <w:tcPr>
            <w:tcW w:w="1060" w:type="dxa"/>
          </w:tcPr>
          <w:p w14:paraId="01EAD2D2">
            <w:pPr>
              <w:rPr>
                <w:highlight w:val="none"/>
              </w:rPr>
            </w:pPr>
          </w:p>
        </w:tc>
        <w:tc>
          <w:tcPr>
            <w:tcW w:w="1060" w:type="dxa"/>
          </w:tcPr>
          <w:p w14:paraId="4B99F057">
            <w:pPr>
              <w:rPr>
                <w:highlight w:val="none"/>
              </w:rPr>
            </w:pPr>
          </w:p>
        </w:tc>
        <w:tc>
          <w:tcPr>
            <w:tcW w:w="1277" w:type="dxa"/>
          </w:tcPr>
          <w:p w14:paraId="4EE8F990">
            <w:pPr>
              <w:rPr>
                <w:highlight w:val="none"/>
              </w:rPr>
            </w:pPr>
          </w:p>
        </w:tc>
        <w:tc>
          <w:tcPr>
            <w:tcW w:w="1486" w:type="dxa"/>
          </w:tcPr>
          <w:p w14:paraId="0F7D63F8">
            <w:pPr>
              <w:rPr>
                <w:highlight w:val="none"/>
              </w:rPr>
            </w:pPr>
          </w:p>
        </w:tc>
        <w:tc>
          <w:tcPr>
            <w:tcW w:w="1560" w:type="dxa"/>
          </w:tcPr>
          <w:p w14:paraId="71B9AEFD">
            <w:pPr>
              <w:rPr>
                <w:highlight w:val="none"/>
              </w:rPr>
            </w:pPr>
          </w:p>
        </w:tc>
        <w:tc>
          <w:tcPr>
            <w:tcW w:w="1080" w:type="dxa"/>
          </w:tcPr>
          <w:p w14:paraId="52E95A6D">
            <w:pPr>
              <w:rPr>
                <w:highlight w:val="none"/>
              </w:rPr>
            </w:pPr>
          </w:p>
        </w:tc>
      </w:tr>
    </w:tbl>
    <w:p w14:paraId="508A48DA">
      <w:pPr>
        <w:rPr>
          <w:highlight w:val="none"/>
        </w:rPr>
      </w:pPr>
    </w:p>
    <w:p w14:paraId="6E77FEDA">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法人代表或委托代理人（签字或盖章）： </w:t>
      </w:r>
    </w:p>
    <w:p w14:paraId="056ABE2D">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52"/>
          <w:szCs w:val="5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供应商：（全称并加盖公章）</w:t>
      </w:r>
    </w:p>
    <w:p w14:paraId="09DF01D6">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   年    月    日</w:t>
      </w:r>
    </w:p>
    <w:p w14:paraId="4AA40888">
      <w:pPr>
        <w:widowControl/>
        <w:kinsoku w:val="0"/>
        <w:autoSpaceDE w:val="0"/>
        <w:autoSpaceDN w:val="0"/>
        <w:adjustRightInd w:val="0"/>
        <w:snapToGrid w:val="0"/>
        <w:ind w:firstLine="482" w:firstLineChars="200"/>
        <w:jc w:val="left"/>
        <w:textAlignment w:val="baseline"/>
        <w:rPr>
          <w:rFonts w:ascii="宋体" w:hAnsi="宋体" w:cs="宋体"/>
          <w:b/>
          <w:bCs/>
          <w:snapToGrid w:val="0"/>
          <w:color w:val="000000"/>
          <w:kern w:val="0"/>
          <w:sz w:val="24"/>
          <w:highlight w:val="none"/>
        </w:rPr>
      </w:pPr>
    </w:p>
    <w:p w14:paraId="52A200F5">
      <w:pPr>
        <w:widowControl/>
        <w:ind w:firstLine="482" w:firstLineChars="200"/>
        <w:jc w:val="left"/>
        <w:rPr>
          <w:highlight w:val="none"/>
        </w:rPr>
      </w:pPr>
      <w:r>
        <w:rPr>
          <w:rFonts w:hint="eastAsia" w:ascii="宋体" w:hAnsi="宋体" w:cs="宋体"/>
          <w:b/>
          <w:bCs/>
          <w:snapToGrid w:val="0"/>
          <w:color w:val="000000"/>
          <w:kern w:val="0"/>
          <w:sz w:val="24"/>
          <w:highlight w:val="none"/>
        </w:rPr>
        <w:t>备注: 此表为产品配套耗材报价表，如没有，无需制作，可自行删除。</w:t>
      </w:r>
    </w:p>
    <w:p w14:paraId="6347858F">
      <w:pPr>
        <w:pStyle w:val="24"/>
        <w:rPr>
          <w:rFonts w:ascii="宋体" w:hAnsi="宋体" w:cs="宋体"/>
          <w:color w:val="000000" w:themeColor="text1"/>
          <w:kern w:val="0"/>
          <w:sz w:val="24"/>
          <w:highlight w:val="none"/>
          <w14:textFill>
            <w14:solidFill>
              <w14:schemeClr w14:val="tx1"/>
            </w14:solidFill>
          </w14:textFill>
        </w:rPr>
      </w:pPr>
    </w:p>
    <w:p w14:paraId="48BD1DCC">
      <w:pPr>
        <w:pStyle w:val="24"/>
        <w:rPr>
          <w:rFonts w:ascii="宋体" w:hAnsi="宋体" w:cs="宋体"/>
          <w:color w:val="000000" w:themeColor="text1"/>
          <w:kern w:val="0"/>
          <w:sz w:val="24"/>
          <w:highlight w:val="none"/>
          <w14:textFill>
            <w14:solidFill>
              <w14:schemeClr w14:val="tx1"/>
            </w14:solidFill>
          </w14:textFill>
        </w:rPr>
        <w:sectPr>
          <w:pgSz w:w="16838" w:h="11906" w:orient="landscape"/>
          <w:pgMar w:top="1474" w:right="1417" w:bottom="1474" w:left="1417" w:header="851" w:footer="624" w:gutter="0"/>
          <w:cols w:space="720" w:num="1"/>
          <w:docGrid w:type="lines" w:linePitch="319" w:charSpace="0"/>
        </w:sectPr>
      </w:pPr>
    </w:p>
    <w:p w14:paraId="5246796D">
      <w:pPr>
        <w:pStyle w:val="2"/>
        <w:snapToGrid w:val="0"/>
        <w:spacing w:before="20" w:after="20"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4.3 产品配置清单一览表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238"/>
        <w:gridCol w:w="1023"/>
        <w:gridCol w:w="1800"/>
      </w:tblGrid>
      <w:tr w14:paraId="01B7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92B75ED">
            <w:pPr>
              <w:jc w:val="center"/>
              <w:rPr>
                <w:rFonts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序号</w:t>
            </w:r>
          </w:p>
        </w:tc>
        <w:tc>
          <w:tcPr>
            <w:tcW w:w="1676" w:type="dxa"/>
            <w:vAlign w:val="center"/>
          </w:tcPr>
          <w:p w14:paraId="183545F6">
            <w:pPr>
              <w:jc w:val="center"/>
              <w:rPr>
                <w:rFonts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货物名称</w:t>
            </w:r>
          </w:p>
        </w:tc>
        <w:tc>
          <w:tcPr>
            <w:tcW w:w="1238" w:type="dxa"/>
            <w:vAlign w:val="center"/>
          </w:tcPr>
          <w:p w14:paraId="6DB75101">
            <w:pPr>
              <w:jc w:val="center"/>
              <w:rPr>
                <w:rFonts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品牌</w:t>
            </w:r>
          </w:p>
        </w:tc>
        <w:tc>
          <w:tcPr>
            <w:tcW w:w="1238" w:type="dxa"/>
            <w:vAlign w:val="center"/>
          </w:tcPr>
          <w:p w14:paraId="1BE65C14">
            <w:pPr>
              <w:jc w:val="center"/>
              <w:rPr>
                <w:rFonts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产地</w:t>
            </w:r>
          </w:p>
        </w:tc>
        <w:tc>
          <w:tcPr>
            <w:tcW w:w="1238" w:type="dxa"/>
            <w:vAlign w:val="center"/>
          </w:tcPr>
          <w:p w14:paraId="18658AAF">
            <w:pPr>
              <w:jc w:val="center"/>
              <w:rPr>
                <w:rFonts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型号规格</w:t>
            </w:r>
          </w:p>
        </w:tc>
        <w:tc>
          <w:tcPr>
            <w:tcW w:w="1023" w:type="dxa"/>
            <w:vAlign w:val="center"/>
          </w:tcPr>
          <w:p w14:paraId="5DEB391C">
            <w:pPr>
              <w:jc w:val="center"/>
              <w:rPr>
                <w:rFonts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单位</w:t>
            </w:r>
          </w:p>
        </w:tc>
        <w:tc>
          <w:tcPr>
            <w:tcW w:w="1800" w:type="dxa"/>
            <w:vAlign w:val="center"/>
          </w:tcPr>
          <w:p w14:paraId="7E3A027C">
            <w:pPr>
              <w:jc w:val="center"/>
              <w:rPr>
                <w:rFonts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数量</w:t>
            </w:r>
          </w:p>
        </w:tc>
      </w:tr>
      <w:tr w14:paraId="4462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447F2D5">
            <w:pPr>
              <w:jc w:val="center"/>
              <w:rPr>
                <w:highlight w:val="none"/>
              </w:rPr>
            </w:pPr>
          </w:p>
        </w:tc>
        <w:tc>
          <w:tcPr>
            <w:tcW w:w="1676" w:type="dxa"/>
            <w:vAlign w:val="center"/>
          </w:tcPr>
          <w:p w14:paraId="669ED34F">
            <w:pPr>
              <w:jc w:val="center"/>
              <w:rPr>
                <w:highlight w:val="none"/>
              </w:rPr>
            </w:pPr>
          </w:p>
        </w:tc>
        <w:tc>
          <w:tcPr>
            <w:tcW w:w="1238" w:type="dxa"/>
            <w:vAlign w:val="center"/>
          </w:tcPr>
          <w:p w14:paraId="3E0F9091">
            <w:pPr>
              <w:jc w:val="center"/>
              <w:rPr>
                <w:highlight w:val="none"/>
              </w:rPr>
            </w:pPr>
          </w:p>
        </w:tc>
        <w:tc>
          <w:tcPr>
            <w:tcW w:w="1238" w:type="dxa"/>
            <w:vAlign w:val="center"/>
          </w:tcPr>
          <w:p w14:paraId="7E8E8DFF">
            <w:pPr>
              <w:jc w:val="center"/>
              <w:rPr>
                <w:highlight w:val="none"/>
              </w:rPr>
            </w:pPr>
          </w:p>
        </w:tc>
        <w:tc>
          <w:tcPr>
            <w:tcW w:w="1238" w:type="dxa"/>
            <w:vAlign w:val="center"/>
          </w:tcPr>
          <w:p w14:paraId="08934F75">
            <w:pPr>
              <w:jc w:val="center"/>
              <w:rPr>
                <w:highlight w:val="none"/>
              </w:rPr>
            </w:pPr>
          </w:p>
        </w:tc>
        <w:tc>
          <w:tcPr>
            <w:tcW w:w="1023" w:type="dxa"/>
            <w:vAlign w:val="center"/>
          </w:tcPr>
          <w:p w14:paraId="18B3AE28">
            <w:pPr>
              <w:jc w:val="center"/>
              <w:rPr>
                <w:highlight w:val="none"/>
              </w:rPr>
            </w:pPr>
          </w:p>
        </w:tc>
        <w:tc>
          <w:tcPr>
            <w:tcW w:w="1800" w:type="dxa"/>
            <w:vAlign w:val="center"/>
          </w:tcPr>
          <w:p w14:paraId="00C0FB37">
            <w:pPr>
              <w:jc w:val="center"/>
              <w:rPr>
                <w:highlight w:val="none"/>
              </w:rPr>
            </w:pPr>
          </w:p>
        </w:tc>
      </w:tr>
      <w:tr w14:paraId="65FC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609EB9E0">
            <w:pPr>
              <w:jc w:val="center"/>
              <w:rPr>
                <w:highlight w:val="none"/>
              </w:rPr>
            </w:pPr>
          </w:p>
        </w:tc>
        <w:tc>
          <w:tcPr>
            <w:tcW w:w="1676" w:type="dxa"/>
            <w:vAlign w:val="center"/>
          </w:tcPr>
          <w:p w14:paraId="732555BD">
            <w:pPr>
              <w:jc w:val="center"/>
              <w:rPr>
                <w:highlight w:val="none"/>
              </w:rPr>
            </w:pPr>
          </w:p>
        </w:tc>
        <w:tc>
          <w:tcPr>
            <w:tcW w:w="1238" w:type="dxa"/>
            <w:vAlign w:val="center"/>
          </w:tcPr>
          <w:p w14:paraId="44CBD97F">
            <w:pPr>
              <w:jc w:val="center"/>
              <w:rPr>
                <w:highlight w:val="none"/>
              </w:rPr>
            </w:pPr>
          </w:p>
        </w:tc>
        <w:tc>
          <w:tcPr>
            <w:tcW w:w="1238" w:type="dxa"/>
            <w:vAlign w:val="center"/>
          </w:tcPr>
          <w:p w14:paraId="6B57AA24">
            <w:pPr>
              <w:jc w:val="center"/>
              <w:rPr>
                <w:highlight w:val="none"/>
              </w:rPr>
            </w:pPr>
          </w:p>
        </w:tc>
        <w:tc>
          <w:tcPr>
            <w:tcW w:w="1238" w:type="dxa"/>
            <w:vAlign w:val="center"/>
          </w:tcPr>
          <w:p w14:paraId="7C2C6157">
            <w:pPr>
              <w:jc w:val="center"/>
              <w:rPr>
                <w:highlight w:val="none"/>
              </w:rPr>
            </w:pPr>
          </w:p>
        </w:tc>
        <w:tc>
          <w:tcPr>
            <w:tcW w:w="1023" w:type="dxa"/>
            <w:vAlign w:val="center"/>
          </w:tcPr>
          <w:p w14:paraId="7E25ACDF">
            <w:pPr>
              <w:jc w:val="center"/>
              <w:rPr>
                <w:highlight w:val="none"/>
              </w:rPr>
            </w:pPr>
          </w:p>
        </w:tc>
        <w:tc>
          <w:tcPr>
            <w:tcW w:w="1800" w:type="dxa"/>
            <w:vAlign w:val="center"/>
          </w:tcPr>
          <w:p w14:paraId="0A72175E">
            <w:pPr>
              <w:jc w:val="center"/>
              <w:rPr>
                <w:highlight w:val="none"/>
              </w:rPr>
            </w:pPr>
          </w:p>
        </w:tc>
      </w:tr>
      <w:tr w14:paraId="4E88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68A70A91">
            <w:pPr>
              <w:jc w:val="center"/>
              <w:rPr>
                <w:highlight w:val="none"/>
              </w:rPr>
            </w:pPr>
          </w:p>
        </w:tc>
        <w:tc>
          <w:tcPr>
            <w:tcW w:w="1676" w:type="dxa"/>
            <w:vAlign w:val="center"/>
          </w:tcPr>
          <w:p w14:paraId="10A9B361">
            <w:pPr>
              <w:jc w:val="center"/>
              <w:rPr>
                <w:highlight w:val="none"/>
              </w:rPr>
            </w:pPr>
          </w:p>
        </w:tc>
        <w:tc>
          <w:tcPr>
            <w:tcW w:w="1238" w:type="dxa"/>
            <w:vAlign w:val="center"/>
          </w:tcPr>
          <w:p w14:paraId="127FD02C">
            <w:pPr>
              <w:jc w:val="center"/>
              <w:rPr>
                <w:highlight w:val="none"/>
              </w:rPr>
            </w:pPr>
          </w:p>
        </w:tc>
        <w:tc>
          <w:tcPr>
            <w:tcW w:w="1238" w:type="dxa"/>
            <w:vAlign w:val="center"/>
          </w:tcPr>
          <w:p w14:paraId="6D5BAF2A">
            <w:pPr>
              <w:jc w:val="center"/>
              <w:rPr>
                <w:highlight w:val="none"/>
              </w:rPr>
            </w:pPr>
          </w:p>
        </w:tc>
        <w:tc>
          <w:tcPr>
            <w:tcW w:w="1238" w:type="dxa"/>
            <w:vAlign w:val="center"/>
          </w:tcPr>
          <w:p w14:paraId="131BF28E">
            <w:pPr>
              <w:jc w:val="center"/>
              <w:rPr>
                <w:highlight w:val="none"/>
              </w:rPr>
            </w:pPr>
          </w:p>
        </w:tc>
        <w:tc>
          <w:tcPr>
            <w:tcW w:w="1023" w:type="dxa"/>
            <w:vAlign w:val="center"/>
          </w:tcPr>
          <w:p w14:paraId="27B62702">
            <w:pPr>
              <w:jc w:val="center"/>
              <w:rPr>
                <w:highlight w:val="none"/>
              </w:rPr>
            </w:pPr>
          </w:p>
        </w:tc>
        <w:tc>
          <w:tcPr>
            <w:tcW w:w="1800" w:type="dxa"/>
            <w:vAlign w:val="center"/>
          </w:tcPr>
          <w:p w14:paraId="0860D72D">
            <w:pPr>
              <w:jc w:val="center"/>
              <w:rPr>
                <w:highlight w:val="none"/>
              </w:rPr>
            </w:pPr>
          </w:p>
        </w:tc>
      </w:tr>
      <w:tr w14:paraId="6CF5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2CB50543">
            <w:pPr>
              <w:jc w:val="center"/>
              <w:rPr>
                <w:highlight w:val="none"/>
              </w:rPr>
            </w:pPr>
          </w:p>
        </w:tc>
        <w:tc>
          <w:tcPr>
            <w:tcW w:w="1676" w:type="dxa"/>
            <w:vAlign w:val="center"/>
          </w:tcPr>
          <w:p w14:paraId="5133C8B0">
            <w:pPr>
              <w:jc w:val="center"/>
              <w:rPr>
                <w:highlight w:val="none"/>
              </w:rPr>
            </w:pPr>
          </w:p>
        </w:tc>
        <w:tc>
          <w:tcPr>
            <w:tcW w:w="1238" w:type="dxa"/>
            <w:vAlign w:val="center"/>
          </w:tcPr>
          <w:p w14:paraId="3AEE374F">
            <w:pPr>
              <w:jc w:val="center"/>
              <w:rPr>
                <w:highlight w:val="none"/>
              </w:rPr>
            </w:pPr>
          </w:p>
        </w:tc>
        <w:tc>
          <w:tcPr>
            <w:tcW w:w="1238" w:type="dxa"/>
            <w:vAlign w:val="center"/>
          </w:tcPr>
          <w:p w14:paraId="748CCAE5">
            <w:pPr>
              <w:jc w:val="center"/>
              <w:rPr>
                <w:highlight w:val="none"/>
              </w:rPr>
            </w:pPr>
          </w:p>
        </w:tc>
        <w:tc>
          <w:tcPr>
            <w:tcW w:w="1238" w:type="dxa"/>
            <w:vAlign w:val="center"/>
          </w:tcPr>
          <w:p w14:paraId="43697C9A">
            <w:pPr>
              <w:jc w:val="center"/>
              <w:rPr>
                <w:highlight w:val="none"/>
              </w:rPr>
            </w:pPr>
          </w:p>
        </w:tc>
        <w:tc>
          <w:tcPr>
            <w:tcW w:w="1023" w:type="dxa"/>
            <w:vAlign w:val="center"/>
          </w:tcPr>
          <w:p w14:paraId="3F309311">
            <w:pPr>
              <w:jc w:val="center"/>
              <w:rPr>
                <w:highlight w:val="none"/>
              </w:rPr>
            </w:pPr>
          </w:p>
        </w:tc>
        <w:tc>
          <w:tcPr>
            <w:tcW w:w="1800" w:type="dxa"/>
            <w:vAlign w:val="center"/>
          </w:tcPr>
          <w:p w14:paraId="2CF88A1E">
            <w:pPr>
              <w:jc w:val="center"/>
              <w:rPr>
                <w:highlight w:val="none"/>
              </w:rPr>
            </w:pPr>
          </w:p>
        </w:tc>
      </w:tr>
      <w:tr w14:paraId="27A6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5EB6D11C">
            <w:pPr>
              <w:jc w:val="center"/>
              <w:rPr>
                <w:highlight w:val="none"/>
              </w:rPr>
            </w:pPr>
          </w:p>
        </w:tc>
        <w:tc>
          <w:tcPr>
            <w:tcW w:w="1676" w:type="dxa"/>
            <w:vAlign w:val="center"/>
          </w:tcPr>
          <w:p w14:paraId="12F470A6">
            <w:pPr>
              <w:jc w:val="center"/>
              <w:rPr>
                <w:highlight w:val="none"/>
              </w:rPr>
            </w:pPr>
          </w:p>
        </w:tc>
        <w:tc>
          <w:tcPr>
            <w:tcW w:w="1238" w:type="dxa"/>
            <w:vAlign w:val="center"/>
          </w:tcPr>
          <w:p w14:paraId="2AA60490">
            <w:pPr>
              <w:jc w:val="center"/>
              <w:rPr>
                <w:highlight w:val="none"/>
              </w:rPr>
            </w:pPr>
          </w:p>
        </w:tc>
        <w:tc>
          <w:tcPr>
            <w:tcW w:w="1238" w:type="dxa"/>
            <w:vAlign w:val="center"/>
          </w:tcPr>
          <w:p w14:paraId="6D83DB25">
            <w:pPr>
              <w:jc w:val="center"/>
              <w:rPr>
                <w:highlight w:val="none"/>
              </w:rPr>
            </w:pPr>
          </w:p>
        </w:tc>
        <w:tc>
          <w:tcPr>
            <w:tcW w:w="1238" w:type="dxa"/>
            <w:vAlign w:val="center"/>
          </w:tcPr>
          <w:p w14:paraId="0BFD6F87">
            <w:pPr>
              <w:jc w:val="center"/>
              <w:rPr>
                <w:highlight w:val="none"/>
              </w:rPr>
            </w:pPr>
          </w:p>
        </w:tc>
        <w:tc>
          <w:tcPr>
            <w:tcW w:w="1023" w:type="dxa"/>
            <w:vAlign w:val="center"/>
          </w:tcPr>
          <w:p w14:paraId="2486FF2F">
            <w:pPr>
              <w:jc w:val="center"/>
              <w:rPr>
                <w:highlight w:val="none"/>
              </w:rPr>
            </w:pPr>
          </w:p>
        </w:tc>
        <w:tc>
          <w:tcPr>
            <w:tcW w:w="1800" w:type="dxa"/>
            <w:vAlign w:val="center"/>
          </w:tcPr>
          <w:p w14:paraId="67B21D05">
            <w:pPr>
              <w:jc w:val="center"/>
              <w:rPr>
                <w:highlight w:val="none"/>
              </w:rPr>
            </w:pPr>
          </w:p>
        </w:tc>
      </w:tr>
    </w:tbl>
    <w:p w14:paraId="56AE43A0">
      <w:pPr>
        <w:rPr>
          <w:highlight w:val="none"/>
        </w:rPr>
      </w:pPr>
    </w:p>
    <w:p w14:paraId="1FA4DE7D">
      <w:pPr>
        <w:widowControl/>
        <w:jc w:val="left"/>
        <w:rPr>
          <w:highlight w:val="none"/>
        </w:rPr>
      </w:pPr>
      <w:r>
        <w:rPr>
          <w:rFonts w:hint="eastAsia" w:ascii="宋体" w:hAnsi="宋体" w:cs="宋体"/>
          <w:b/>
          <w:bCs/>
          <w:snapToGrid w:val="0"/>
          <w:color w:val="000000"/>
          <w:kern w:val="0"/>
          <w:sz w:val="24"/>
          <w:highlight w:val="none"/>
        </w:rPr>
        <w:t>备注：</w:t>
      </w:r>
    </w:p>
    <w:p w14:paraId="51F24F01">
      <w:pPr>
        <w:widowControl/>
        <w:jc w:val="left"/>
        <w:rPr>
          <w:highlight w:val="none"/>
        </w:rPr>
      </w:pPr>
      <w:r>
        <w:rPr>
          <w:rFonts w:hint="eastAsia" w:ascii="宋体" w:hAnsi="宋体" w:cs="宋体"/>
          <w:b/>
          <w:bCs/>
          <w:snapToGrid w:val="0"/>
          <w:color w:val="000000"/>
          <w:kern w:val="0"/>
          <w:sz w:val="24"/>
          <w:highlight w:val="none"/>
        </w:rPr>
        <w:t xml:space="preserve">1、若投标产品配置清单中含第三方产品，请填写第三方品牌、型号、产地，以铭 </w:t>
      </w:r>
    </w:p>
    <w:p w14:paraId="2388F502">
      <w:pPr>
        <w:widowControl/>
        <w:jc w:val="left"/>
        <w:rPr>
          <w:highlight w:val="none"/>
        </w:rPr>
      </w:pPr>
      <w:r>
        <w:rPr>
          <w:rFonts w:hint="eastAsia" w:ascii="宋体" w:hAnsi="宋体" w:cs="宋体"/>
          <w:b/>
          <w:bCs/>
          <w:snapToGrid w:val="0"/>
          <w:color w:val="000000"/>
          <w:kern w:val="0"/>
          <w:sz w:val="24"/>
          <w:highlight w:val="none"/>
        </w:rPr>
        <w:t xml:space="preserve">牌为准； </w:t>
      </w:r>
    </w:p>
    <w:p w14:paraId="668B0B6F">
      <w:pPr>
        <w:widowControl/>
        <w:jc w:val="left"/>
        <w:rPr>
          <w:highlight w:val="none"/>
        </w:rPr>
      </w:pPr>
      <w:r>
        <w:rPr>
          <w:rFonts w:hint="eastAsia" w:ascii="宋体" w:hAnsi="宋体" w:cs="宋体"/>
          <w:b/>
          <w:bCs/>
          <w:snapToGrid w:val="0"/>
          <w:color w:val="000000"/>
          <w:kern w:val="0"/>
          <w:sz w:val="24"/>
          <w:highlight w:val="none"/>
        </w:rPr>
        <w:t xml:space="preserve">2、所投产品若有注册证，投标开标一览表中规格或型号、产地等信息若与注册证不一致，以投标产品注册证信息为准。 </w:t>
      </w:r>
    </w:p>
    <w:p w14:paraId="74AD2F43">
      <w:pPr>
        <w:rPr>
          <w:highlight w:val="none"/>
        </w:rPr>
      </w:pPr>
    </w:p>
    <w:p w14:paraId="4BD87CD6">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法人代表或委托代理人（签字或盖章）： </w:t>
      </w:r>
    </w:p>
    <w:p w14:paraId="7FFDE9CC">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52"/>
          <w:szCs w:val="5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供应商：（全称并加盖公章）</w:t>
      </w:r>
    </w:p>
    <w:p w14:paraId="620DB77D">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   年    月    日</w:t>
      </w:r>
    </w:p>
    <w:p w14:paraId="2FBDF590">
      <w:pPr>
        <w:rPr>
          <w:highlight w:val="none"/>
        </w:rPr>
      </w:pPr>
    </w:p>
    <w:p w14:paraId="4ED1D04A">
      <w:pPr>
        <w:rPr>
          <w:rFonts w:ascii="宋体" w:hAnsi="宋体" w:cs="宋体"/>
          <w:sz w:val="24"/>
          <w:highlight w:val="none"/>
        </w:rPr>
      </w:pPr>
    </w:p>
    <w:p w14:paraId="23D70403">
      <w:pPr>
        <w:rPr>
          <w:highlight w:val="none"/>
        </w:rPr>
      </w:pPr>
    </w:p>
    <w:p w14:paraId="44BBC070">
      <w:pPr>
        <w:pStyle w:val="24"/>
        <w:rPr>
          <w:rFonts w:ascii="宋体" w:hAnsi="宋体" w:cs="宋体"/>
          <w:color w:val="000000" w:themeColor="text1"/>
          <w:kern w:val="0"/>
          <w:sz w:val="24"/>
          <w:highlight w:val="none"/>
          <w14:textFill>
            <w14:solidFill>
              <w14:schemeClr w14:val="tx1"/>
            </w14:solidFill>
          </w14:textFill>
        </w:rPr>
      </w:pPr>
    </w:p>
    <w:p w14:paraId="77A87E8A">
      <w:pPr>
        <w:pStyle w:val="24"/>
        <w:rPr>
          <w:rFonts w:ascii="宋体" w:hAnsi="宋体" w:cs="宋体"/>
          <w:color w:val="000000" w:themeColor="text1"/>
          <w:kern w:val="0"/>
          <w:sz w:val="24"/>
          <w:highlight w:val="none"/>
          <w14:textFill>
            <w14:solidFill>
              <w14:schemeClr w14:val="tx1"/>
            </w14:solidFill>
          </w14:textFill>
        </w:rPr>
      </w:pPr>
    </w:p>
    <w:p w14:paraId="572334A6">
      <w:pPr>
        <w:pStyle w:val="24"/>
        <w:rPr>
          <w:rFonts w:ascii="宋体" w:hAnsi="宋体" w:cs="宋体"/>
          <w:color w:val="000000" w:themeColor="text1"/>
          <w:kern w:val="0"/>
          <w:sz w:val="24"/>
          <w:highlight w:val="none"/>
          <w14:textFill>
            <w14:solidFill>
              <w14:schemeClr w14:val="tx1"/>
            </w14:solidFill>
          </w14:textFill>
        </w:rPr>
      </w:pPr>
    </w:p>
    <w:p w14:paraId="52146A03">
      <w:pPr>
        <w:pStyle w:val="24"/>
        <w:rPr>
          <w:rFonts w:ascii="宋体" w:hAnsi="宋体" w:cs="宋体"/>
          <w:color w:val="000000" w:themeColor="text1"/>
          <w:kern w:val="0"/>
          <w:sz w:val="24"/>
          <w:highlight w:val="none"/>
          <w14:textFill>
            <w14:solidFill>
              <w14:schemeClr w14:val="tx1"/>
            </w14:solidFill>
          </w14:textFill>
        </w:rPr>
      </w:pPr>
    </w:p>
    <w:p w14:paraId="6733D56F">
      <w:pPr>
        <w:pStyle w:val="24"/>
        <w:rPr>
          <w:rFonts w:ascii="宋体" w:hAnsi="宋体" w:cs="宋体"/>
          <w:color w:val="000000" w:themeColor="text1"/>
          <w:kern w:val="0"/>
          <w:sz w:val="24"/>
          <w:highlight w:val="none"/>
          <w14:textFill>
            <w14:solidFill>
              <w14:schemeClr w14:val="tx1"/>
            </w14:solidFill>
          </w14:textFill>
        </w:rPr>
      </w:pPr>
    </w:p>
    <w:p w14:paraId="1530A716">
      <w:pPr>
        <w:pStyle w:val="24"/>
        <w:rPr>
          <w:rFonts w:ascii="宋体" w:hAnsi="宋体" w:cs="宋体"/>
          <w:color w:val="000000" w:themeColor="text1"/>
          <w:kern w:val="0"/>
          <w:sz w:val="24"/>
          <w:highlight w:val="none"/>
          <w14:textFill>
            <w14:solidFill>
              <w14:schemeClr w14:val="tx1"/>
            </w14:solidFill>
          </w14:textFill>
        </w:rPr>
      </w:pPr>
    </w:p>
    <w:p w14:paraId="5AB3C54F">
      <w:pPr>
        <w:pStyle w:val="24"/>
        <w:rPr>
          <w:rFonts w:ascii="宋体" w:hAnsi="宋体" w:cs="宋体"/>
          <w:color w:val="000000" w:themeColor="text1"/>
          <w:kern w:val="0"/>
          <w:sz w:val="24"/>
          <w:highlight w:val="none"/>
          <w14:textFill>
            <w14:solidFill>
              <w14:schemeClr w14:val="tx1"/>
            </w14:solidFill>
          </w14:textFill>
        </w:rPr>
      </w:pPr>
    </w:p>
    <w:p w14:paraId="12BADD93">
      <w:pPr>
        <w:pStyle w:val="24"/>
        <w:rPr>
          <w:rFonts w:ascii="宋体" w:hAnsi="宋体" w:cs="宋体"/>
          <w:color w:val="000000" w:themeColor="text1"/>
          <w:kern w:val="0"/>
          <w:sz w:val="24"/>
          <w:highlight w:val="none"/>
          <w14:textFill>
            <w14:solidFill>
              <w14:schemeClr w14:val="tx1"/>
            </w14:solidFill>
          </w14:textFill>
        </w:rPr>
      </w:pPr>
    </w:p>
    <w:p w14:paraId="572026E8">
      <w:pPr>
        <w:pStyle w:val="24"/>
        <w:rPr>
          <w:rFonts w:ascii="宋体" w:hAnsi="宋体" w:cs="宋体"/>
          <w:color w:val="000000" w:themeColor="text1"/>
          <w:kern w:val="0"/>
          <w:sz w:val="24"/>
          <w:highlight w:val="none"/>
          <w14:textFill>
            <w14:solidFill>
              <w14:schemeClr w14:val="tx1"/>
            </w14:solidFill>
          </w14:textFill>
        </w:rPr>
      </w:pPr>
    </w:p>
    <w:p w14:paraId="68434BD0">
      <w:pPr>
        <w:pStyle w:val="24"/>
        <w:rPr>
          <w:rFonts w:ascii="宋体" w:hAnsi="宋体" w:cs="宋体"/>
          <w:color w:val="000000" w:themeColor="text1"/>
          <w:kern w:val="0"/>
          <w:sz w:val="24"/>
          <w:highlight w:val="none"/>
          <w14:textFill>
            <w14:solidFill>
              <w14:schemeClr w14:val="tx1"/>
            </w14:solidFill>
          </w14:textFill>
        </w:rPr>
      </w:pPr>
    </w:p>
    <w:p w14:paraId="654EBF3C">
      <w:pPr>
        <w:pStyle w:val="24"/>
        <w:rPr>
          <w:rFonts w:ascii="宋体" w:hAnsi="宋体" w:cs="宋体"/>
          <w:color w:val="000000" w:themeColor="text1"/>
          <w:kern w:val="0"/>
          <w:sz w:val="24"/>
          <w:highlight w:val="none"/>
          <w14:textFill>
            <w14:solidFill>
              <w14:schemeClr w14:val="tx1"/>
            </w14:solidFill>
          </w14:textFill>
        </w:rPr>
      </w:pPr>
    </w:p>
    <w:p w14:paraId="60EA815D">
      <w:pPr>
        <w:pStyle w:val="24"/>
        <w:jc w:val="center"/>
        <w:rPr>
          <w:rFonts w:ascii="宋体" w:hAnsi="宋体" w:cs="宋体"/>
          <w:b/>
          <w:bCs/>
          <w:sz w:val="28"/>
          <w:szCs w:val="28"/>
          <w:highlight w:val="none"/>
        </w:rPr>
      </w:pPr>
      <w:r>
        <w:rPr>
          <w:rFonts w:hint="eastAsia" w:ascii="宋体" w:hAnsi="宋体" w:cs="宋体"/>
          <w:b/>
          <w:bCs/>
          <w:sz w:val="28"/>
          <w:szCs w:val="28"/>
          <w:highlight w:val="none"/>
        </w:rPr>
        <w:t>4.4 质保期满后易损件、配件一览表</w:t>
      </w:r>
    </w:p>
    <w:p w14:paraId="064870B7">
      <w:pPr>
        <w:pStyle w:val="24"/>
        <w:rPr>
          <w:rFonts w:ascii="宋体" w:hAnsi="宋体" w:cs="宋体"/>
          <w:color w:val="000000" w:themeColor="text1"/>
          <w:kern w:val="0"/>
          <w:sz w:val="24"/>
          <w:highlight w:val="none"/>
          <w14:textFill>
            <w14:solidFill>
              <w14:schemeClr w14:val="tx1"/>
            </w14:solidFill>
          </w14:textFill>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11BD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EA491D4">
            <w:pPr>
              <w:jc w:val="center"/>
              <w:rPr>
                <w:rFonts w:ascii="宋体" w:hAnsi="宋体" w:cs="宋体"/>
                <w:b/>
                <w:bCs/>
                <w:sz w:val="24"/>
                <w:highlight w:val="none"/>
              </w:rPr>
            </w:pPr>
            <w:r>
              <w:rPr>
                <w:rFonts w:hint="eastAsia" w:ascii="宋体" w:hAnsi="宋体" w:cs="宋体"/>
                <w:b/>
                <w:bCs/>
                <w:sz w:val="24"/>
                <w:highlight w:val="none"/>
              </w:rPr>
              <w:t>序号</w:t>
            </w:r>
          </w:p>
        </w:tc>
        <w:tc>
          <w:tcPr>
            <w:tcW w:w="1946" w:type="dxa"/>
            <w:vAlign w:val="center"/>
          </w:tcPr>
          <w:p w14:paraId="3A3F3EAF">
            <w:pPr>
              <w:jc w:val="center"/>
              <w:rPr>
                <w:rFonts w:ascii="宋体" w:hAnsi="宋体" w:cs="宋体"/>
                <w:b/>
                <w:bCs/>
                <w:sz w:val="24"/>
                <w:highlight w:val="none"/>
              </w:rPr>
            </w:pPr>
            <w:r>
              <w:rPr>
                <w:rFonts w:hint="eastAsia" w:ascii="宋体" w:hAnsi="宋体" w:cs="宋体"/>
                <w:b/>
                <w:bCs/>
                <w:sz w:val="24"/>
                <w:highlight w:val="none"/>
              </w:rPr>
              <w:t>配件名称</w:t>
            </w:r>
          </w:p>
        </w:tc>
        <w:tc>
          <w:tcPr>
            <w:tcW w:w="1306" w:type="dxa"/>
            <w:vAlign w:val="center"/>
          </w:tcPr>
          <w:p w14:paraId="3908410D">
            <w:pPr>
              <w:jc w:val="center"/>
              <w:rPr>
                <w:rFonts w:ascii="宋体" w:hAnsi="宋体" w:cs="宋体"/>
                <w:b/>
                <w:bCs/>
                <w:sz w:val="24"/>
                <w:highlight w:val="none"/>
              </w:rPr>
            </w:pPr>
            <w:r>
              <w:rPr>
                <w:rFonts w:hint="eastAsia" w:ascii="宋体" w:hAnsi="宋体" w:cs="宋体"/>
                <w:b/>
                <w:bCs/>
                <w:sz w:val="24"/>
                <w:highlight w:val="none"/>
              </w:rPr>
              <w:t>规格型号</w:t>
            </w:r>
          </w:p>
        </w:tc>
        <w:tc>
          <w:tcPr>
            <w:tcW w:w="1306" w:type="dxa"/>
            <w:vAlign w:val="center"/>
          </w:tcPr>
          <w:p w14:paraId="7A507578">
            <w:pPr>
              <w:jc w:val="center"/>
              <w:rPr>
                <w:rFonts w:ascii="宋体" w:hAnsi="宋体" w:cs="宋体"/>
                <w:b/>
                <w:bCs/>
                <w:sz w:val="24"/>
                <w:highlight w:val="none"/>
              </w:rPr>
            </w:pPr>
            <w:r>
              <w:rPr>
                <w:rFonts w:hint="eastAsia" w:ascii="宋体" w:hAnsi="宋体" w:cs="宋体"/>
                <w:b/>
                <w:bCs/>
                <w:sz w:val="24"/>
                <w:highlight w:val="none"/>
              </w:rPr>
              <w:t>单位</w:t>
            </w:r>
          </w:p>
        </w:tc>
        <w:tc>
          <w:tcPr>
            <w:tcW w:w="1339" w:type="dxa"/>
            <w:vAlign w:val="center"/>
          </w:tcPr>
          <w:p w14:paraId="00E74E0E">
            <w:pPr>
              <w:jc w:val="center"/>
              <w:rPr>
                <w:rFonts w:ascii="宋体" w:hAnsi="宋体" w:cs="宋体"/>
                <w:b/>
                <w:bCs/>
                <w:sz w:val="24"/>
                <w:highlight w:val="none"/>
              </w:rPr>
            </w:pPr>
            <w:r>
              <w:rPr>
                <w:rFonts w:hint="eastAsia" w:ascii="宋体" w:hAnsi="宋体" w:cs="宋体"/>
                <w:b/>
                <w:bCs/>
                <w:sz w:val="24"/>
                <w:highlight w:val="none"/>
              </w:rPr>
              <w:t>单价（元）</w:t>
            </w:r>
          </w:p>
        </w:tc>
        <w:tc>
          <w:tcPr>
            <w:tcW w:w="1306" w:type="dxa"/>
            <w:vAlign w:val="center"/>
          </w:tcPr>
          <w:p w14:paraId="18970BA4">
            <w:pPr>
              <w:jc w:val="center"/>
              <w:rPr>
                <w:rFonts w:ascii="宋体" w:hAnsi="宋体" w:cs="宋体"/>
                <w:b/>
                <w:bCs/>
                <w:sz w:val="24"/>
                <w:highlight w:val="none"/>
              </w:rPr>
            </w:pPr>
            <w:r>
              <w:rPr>
                <w:rFonts w:hint="eastAsia" w:ascii="宋体" w:hAnsi="宋体" w:cs="宋体"/>
                <w:b/>
                <w:bCs/>
                <w:sz w:val="24"/>
                <w:highlight w:val="none"/>
              </w:rPr>
              <w:t>产地</w:t>
            </w:r>
          </w:p>
        </w:tc>
        <w:tc>
          <w:tcPr>
            <w:tcW w:w="1306" w:type="dxa"/>
            <w:vAlign w:val="center"/>
          </w:tcPr>
          <w:p w14:paraId="6E9A4721">
            <w:pPr>
              <w:jc w:val="center"/>
              <w:rPr>
                <w:rFonts w:ascii="宋体" w:hAnsi="宋体" w:cs="宋体"/>
                <w:b/>
                <w:bCs/>
                <w:sz w:val="24"/>
                <w:highlight w:val="none"/>
              </w:rPr>
            </w:pPr>
            <w:r>
              <w:rPr>
                <w:rFonts w:hint="eastAsia" w:ascii="宋体" w:hAnsi="宋体" w:cs="宋体"/>
                <w:b/>
                <w:bCs/>
                <w:sz w:val="24"/>
                <w:highlight w:val="none"/>
              </w:rPr>
              <w:t>生产企业</w:t>
            </w:r>
          </w:p>
        </w:tc>
      </w:tr>
      <w:tr w14:paraId="6128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346146D8">
            <w:pPr>
              <w:jc w:val="center"/>
              <w:rPr>
                <w:rFonts w:ascii="宋体" w:hAnsi="宋体" w:cs="宋体"/>
                <w:sz w:val="24"/>
                <w:highlight w:val="none"/>
              </w:rPr>
            </w:pPr>
          </w:p>
        </w:tc>
        <w:tc>
          <w:tcPr>
            <w:tcW w:w="1946" w:type="dxa"/>
            <w:vAlign w:val="center"/>
          </w:tcPr>
          <w:p w14:paraId="6B7B31EE">
            <w:pPr>
              <w:jc w:val="center"/>
              <w:rPr>
                <w:rFonts w:ascii="宋体" w:hAnsi="宋体" w:cs="宋体"/>
                <w:sz w:val="24"/>
                <w:highlight w:val="none"/>
              </w:rPr>
            </w:pPr>
          </w:p>
        </w:tc>
        <w:tc>
          <w:tcPr>
            <w:tcW w:w="1306" w:type="dxa"/>
            <w:vAlign w:val="center"/>
          </w:tcPr>
          <w:p w14:paraId="3C32453C">
            <w:pPr>
              <w:jc w:val="center"/>
              <w:rPr>
                <w:rFonts w:ascii="宋体" w:hAnsi="宋体" w:cs="宋体"/>
                <w:sz w:val="24"/>
                <w:highlight w:val="none"/>
              </w:rPr>
            </w:pPr>
          </w:p>
        </w:tc>
        <w:tc>
          <w:tcPr>
            <w:tcW w:w="1306" w:type="dxa"/>
            <w:vAlign w:val="center"/>
          </w:tcPr>
          <w:p w14:paraId="760D6AAA">
            <w:pPr>
              <w:jc w:val="center"/>
              <w:rPr>
                <w:rFonts w:ascii="宋体" w:hAnsi="宋体" w:cs="宋体"/>
                <w:sz w:val="24"/>
                <w:highlight w:val="none"/>
              </w:rPr>
            </w:pPr>
          </w:p>
        </w:tc>
        <w:tc>
          <w:tcPr>
            <w:tcW w:w="1339" w:type="dxa"/>
            <w:vAlign w:val="center"/>
          </w:tcPr>
          <w:p w14:paraId="2E5A1BAB">
            <w:pPr>
              <w:jc w:val="center"/>
              <w:rPr>
                <w:rFonts w:ascii="宋体" w:hAnsi="宋体" w:cs="宋体"/>
                <w:sz w:val="24"/>
                <w:highlight w:val="none"/>
              </w:rPr>
            </w:pPr>
          </w:p>
        </w:tc>
        <w:tc>
          <w:tcPr>
            <w:tcW w:w="1306" w:type="dxa"/>
            <w:vAlign w:val="center"/>
          </w:tcPr>
          <w:p w14:paraId="479098FB">
            <w:pPr>
              <w:jc w:val="center"/>
              <w:rPr>
                <w:rFonts w:ascii="宋体" w:hAnsi="宋体" w:cs="宋体"/>
                <w:sz w:val="24"/>
                <w:highlight w:val="none"/>
              </w:rPr>
            </w:pPr>
          </w:p>
        </w:tc>
        <w:tc>
          <w:tcPr>
            <w:tcW w:w="1306" w:type="dxa"/>
            <w:vAlign w:val="center"/>
          </w:tcPr>
          <w:p w14:paraId="083A1276">
            <w:pPr>
              <w:jc w:val="center"/>
              <w:rPr>
                <w:rFonts w:ascii="宋体" w:hAnsi="宋体" w:cs="宋体"/>
                <w:sz w:val="24"/>
                <w:highlight w:val="none"/>
              </w:rPr>
            </w:pPr>
          </w:p>
        </w:tc>
      </w:tr>
      <w:tr w14:paraId="25D6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8AF47D0">
            <w:pPr>
              <w:jc w:val="center"/>
              <w:rPr>
                <w:rFonts w:ascii="宋体" w:hAnsi="宋体" w:cs="宋体"/>
                <w:sz w:val="24"/>
                <w:highlight w:val="none"/>
              </w:rPr>
            </w:pPr>
          </w:p>
        </w:tc>
        <w:tc>
          <w:tcPr>
            <w:tcW w:w="1946" w:type="dxa"/>
            <w:vAlign w:val="center"/>
          </w:tcPr>
          <w:p w14:paraId="67824D84">
            <w:pPr>
              <w:jc w:val="center"/>
              <w:rPr>
                <w:rFonts w:ascii="宋体" w:hAnsi="宋体" w:cs="宋体"/>
                <w:sz w:val="24"/>
                <w:highlight w:val="none"/>
              </w:rPr>
            </w:pPr>
          </w:p>
        </w:tc>
        <w:tc>
          <w:tcPr>
            <w:tcW w:w="1306" w:type="dxa"/>
            <w:vAlign w:val="center"/>
          </w:tcPr>
          <w:p w14:paraId="35F646B1">
            <w:pPr>
              <w:jc w:val="center"/>
              <w:rPr>
                <w:rFonts w:ascii="宋体" w:hAnsi="宋体" w:cs="宋体"/>
                <w:sz w:val="24"/>
                <w:highlight w:val="none"/>
              </w:rPr>
            </w:pPr>
          </w:p>
        </w:tc>
        <w:tc>
          <w:tcPr>
            <w:tcW w:w="1306" w:type="dxa"/>
            <w:vAlign w:val="center"/>
          </w:tcPr>
          <w:p w14:paraId="5DDB7C50">
            <w:pPr>
              <w:jc w:val="center"/>
              <w:rPr>
                <w:rFonts w:ascii="宋体" w:hAnsi="宋体" w:cs="宋体"/>
                <w:sz w:val="24"/>
                <w:highlight w:val="none"/>
              </w:rPr>
            </w:pPr>
          </w:p>
        </w:tc>
        <w:tc>
          <w:tcPr>
            <w:tcW w:w="1339" w:type="dxa"/>
            <w:vAlign w:val="center"/>
          </w:tcPr>
          <w:p w14:paraId="66197357">
            <w:pPr>
              <w:jc w:val="center"/>
              <w:rPr>
                <w:rFonts w:ascii="宋体" w:hAnsi="宋体" w:cs="宋体"/>
                <w:sz w:val="24"/>
                <w:highlight w:val="none"/>
              </w:rPr>
            </w:pPr>
          </w:p>
        </w:tc>
        <w:tc>
          <w:tcPr>
            <w:tcW w:w="1306" w:type="dxa"/>
            <w:vAlign w:val="center"/>
          </w:tcPr>
          <w:p w14:paraId="3C390917">
            <w:pPr>
              <w:jc w:val="center"/>
              <w:rPr>
                <w:rFonts w:ascii="宋体" w:hAnsi="宋体" w:cs="宋体"/>
                <w:sz w:val="24"/>
                <w:highlight w:val="none"/>
              </w:rPr>
            </w:pPr>
          </w:p>
        </w:tc>
        <w:tc>
          <w:tcPr>
            <w:tcW w:w="1306" w:type="dxa"/>
            <w:vAlign w:val="center"/>
          </w:tcPr>
          <w:p w14:paraId="0CF8D504">
            <w:pPr>
              <w:jc w:val="center"/>
              <w:rPr>
                <w:rFonts w:ascii="宋体" w:hAnsi="宋体" w:cs="宋体"/>
                <w:sz w:val="24"/>
                <w:highlight w:val="none"/>
              </w:rPr>
            </w:pPr>
          </w:p>
        </w:tc>
      </w:tr>
      <w:tr w14:paraId="3E97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848FEC9">
            <w:pPr>
              <w:jc w:val="center"/>
              <w:rPr>
                <w:rFonts w:ascii="宋体" w:hAnsi="宋体" w:cs="宋体"/>
                <w:sz w:val="24"/>
                <w:highlight w:val="none"/>
              </w:rPr>
            </w:pPr>
          </w:p>
        </w:tc>
        <w:tc>
          <w:tcPr>
            <w:tcW w:w="1946" w:type="dxa"/>
            <w:vAlign w:val="center"/>
          </w:tcPr>
          <w:p w14:paraId="47C4DEBF">
            <w:pPr>
              <w:jc w:val="center"/>
              <w:rPr>
                <w:rFonts w:ascii="宋体" w:hAnsi="宋体" w:cs="宋体"/>
                <w:sz w:val="24"/>
                <w:highlight w:val="none"/>
              </w:rPr>
            </w:pPr>
          </w:p>
        </w:tc>
        <w:tc>
          <w:tcPr>
            <w:tcW w:w="1306" w:type="dxa"/>
            <w:vAlign w:val="center"/>
          </w:tcPr>
          <w:p w14:paraId="1CB778C2">
            <w:pPr>
              <w:jc w:val="center"/>
              <w:rPr>
                <w:rFonts w:ascii="宋体" w:hAnsi="宋体" w:cs="宋体"/>
                <w:sz w:val="24"/>
                <w:highlight w:val="none"/>
              </w:rPr>
            </w:pPr>
          </w:p>
        </w:tc>
        <w:tc>
          <w:tcPr>
            <w:tcW w:w="1306" w:type="dxa"/>
            <w:vAlign w:val="center"/>
          </w:tcPr>
          <w:p w14:paraId="55E7FDEB">
            <w:pPr>
              <w:jc w:val="center"/>
              <w:rPr>
                <w:rFonts w:ascii="宋体" w:hAnsi="宋体" w:cs="宋体"/>
                <w:sz w:val="24"/>
                <w:highlight w:val="none"/>
              </w:rPr>
            </w:pPr>
          </w:p>
        </w:tc>
        <w:tc>
          <w:tcPr>
            <w:tcW w:w="1339" w:type="dxa"/>
            <w:vAlign w:val="center"/>
          </w:tcPr>
          <w:p w14:paraId="42E702F1">
            <w:pPr>
              <w:jc w:val="center"/>
              <w:rPr>
                <w:rFonts w:ascii="宋体" w:hAnsi="宋体" w:cs="宋体"/>
                <w:sz w:val="24"/>
                <w:highlight w:val="none"/>
              </w:rPr>
            </w:pPr>
          </w:p>
        </w:tc>
        <w:tc>
          <w:tcPr>
            <w:tcW w:w="1306" w:type="dxa"/>
            <w:vAlign w:val="center"/>
          </w:tcPr>
          <w:p w14:paraId="0C5A1FC8">
            <w:pPr>
              <w:jc w:val="center"/>
              <w:rPr>
                <w:rFonts w:ascii="宋体" w:hAnsi="宋体" w:cs="宋体"/>
                <w:sz w:val="24"/>
                <w:highlight w:val="none"/>
              </w:rPr>
            </w:pPr>
          </w:p>
        </w:tc>
        <w:tc>
          <w:tcPr>
            <w:tcW w:w="1306" w:type="dxa"/>
            <w:vAlign w:val="center"/>
          </w:tcPr>
          <w:p w14:paraId="1CD031CC">
            <w:pPr>
              <w:jc w:val="center"/>
              <w:rPr>
                <w:rFonts w:ascii="宋体" w:hAnsi="宋体" w:cs="宋体"/>
                <w:sz w:val="24"/>
                <w:highlight w:val="none"/>
              </w:rPr>
            </w:pPr>
          </w:p>
        </w:tc>
      </w:tr>
      <w:tr w14:paraId="4CA1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B91D729">
            <w:pPr>
              <w:jc w:val="center"/>
              <w:rPr>
                <w:rFonts w:ascii="宋体" w:hAnsi="宋体" w:cs="宋体"/>
                <w:sz w:val="24"/>
                <w:highlight w:val="none"/>
              </w:rPr>
            </w:pPr>
          </w:p>
        </w:tc>
        <w:tc>
          <w:tcPr>
            <w:tcW w:w="1946" w:type="dxa"/>
            <w:vAlign w:val="center"/>
          </w:tcPr>
          <w:p w14:paraId="6A0DD31E">
            <w:pPr>
              <w:jc w:val="center"/>
              <w:rPr>
                <w:rFonts w:ascii="宋体" w:hAnsi="宋体" w:cs="宋体"/>
                <w:sz w:val="24"/>
                <w:highlight w:val="none"/>
              </w:rPr>
            </w:pPr>
          </w:p>
        </w:tc>
        <w:tc>
          <w:tcPr>
            <w:tcW w:w="1306" w:type="dxa"/>
            <w:vAlign w:val="center"/>
          </w:tcPr>
          <w:p w14:paraId="3CB67DEC">
            <w:pPr>
              <w:jc w:val="center"/>
              <w:rPr>
                <w:rFonts w:ascii="宋体" w:hAnsi="宋体" w:cs="宋体"/>
                <w:sz w:val="24"/>
                <w:highlight w:val="none"/>
              </w:rPr>
            </w:pPr>
          </w:p>
        </w:tc>
        <w:tc>
          <w:tcPr>
            <w:tcW w:w="1306" w:type="dxa"/>
            <w:vAlign w:val="center"/>
          </w:tcPr>
          <w:p w14:paraId="79E3217C">
            <w:pPr>
              <w:jc w:val="center"/>
              <w:rPr>
                <w:rFonts w:ascii="宋体" w:hAnsi="宋体" w:cs="宋体"/>
                <w:sz w:val="24"/>
                <w:highlight w:val="none"/>
              </w:rPr>
            </w:pPr>
          </w:p>
        </w:tc>
        <w:tc>
          <w:tcPr>
            <w:tcW w:w="1339" w:type="dxa"/>
            <w:vAlign w:val="center"/>
          </w:tcPr>
          <w:p w14:paraId="1AAB1990">
            <w:pPr>
              <w:jc w:val="center"/>
              <w:rPr>
                <w:rFonts w:ascii="宋体" w:hAnsi="宋体" w:cs="宋体"/>
                <w:sz w:val="24"/>
                <w:highlight w:val="none"/>
              </w:rPr>
            </w:pPr>
          </w:p>
        </w:tc>
        <w:tc>
          <w:tcPr>
            <w:tcW w:w="1306" w:type="dxa"/>
            <w:vAlign w:val="center"/>
          </w:tcPr>
          <w:p w14:paraId="0376E51A">
            <w:pPr>
              <w:jc w:val="center"/>
              <w:rPr>
                <w:rFonts w:ascii="宋体" w:hAnsi="宋体" w:cs="宋体"/>
                <w:sz w:val="24"/>
                <w:highlight w:val="none"/>
              </w:rPr>
            </w:pPr>
          </w:p>
        </w:tc>
        <w:tc>
          <w:tcPr>
            <w:tcW w:w="1306" w:type="dxa"/>
            <w:vAlign w:val="center"/>
          </w:tcPr>
          <w:p w14:paraId="16D828B1">
            <w:pPr>
              <w:jc w:val="center"/>
              <w:rPr>
                <w:rFonts w:ascii="宋体" w:hAnsi="宋体" w:cs="宋体"/>
                <w:sz w:val="24"/>
                <w:highlight w:val="none"/>
              </w:rPr>
            </w:pPr>
          </w:p>
        </w:tc>
      </w:tr>
      <w:tr w14:paraId="6C00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68A71EC8">
            <w:pPr>
              <w:jc w:val="center"/>
              <w:rPr>
                <w:rFonts w:ascii="宋体" w:hAnsi="宋体" w:cs="宋体"/>
                <w:sz w:val="24"/>
                <w:highlight w:val="none"/>
              </w:rPr>
            </w:pPr>
          </w:p>
        </w:tc>
        <w:tc>
          <w:tcPr>
            <w:tcW w:w="1946" w:type="dxa"/>
            <w:vAlign w:val="center"/>
          </w:tcPr>
          <w:p w14:paraId="03E37C55">
            <w:pPr>
              <w:jc w:val="center"/>
              <w:rPr>
                <w:rFonts w:ascii="宋体" w:hAnsi="宋体" w:cs="宋体"/>
                <w:sz w:val="24"/>
                <w:highlight w:val="none"/>
              </w:rPr>
            </w:pPr>
          </w:p>
        </w:tc>
        <w:tc>
          <w:tcPr>
            <w:tcW w:w="1306" w:type="dxa"/>
            <w:vAlign w:val="center"/>
          </w:tcPr>
          <w:p w14:paraId="4F81081B">
            <w:pPr>
              <w:jc w:val="center"/>
              <w:rPr>
                <w:rFonts w:ascii="宋体" w:hAnsi="宋体" w:cs="宋体"/>
                <w:sz w:val="24"/>
                <w:highlight w:val="none"/>
              </w:rPr>
            </w:pPr>
          </w:p>
        </w:tc>
        <w:tc>
          <w:tcPr>
            <w:tcW w:w="1306" w:type="dxa"/>
            <w:vAlign w:val="center"/>
          </w:tcPr>
          <w:p w14:paraId="717668CB">
            <w:pPr>
              <w:jc w:val="center"/>
              <w:rPr>
                <w:rFonts w:ascii="宋体" w:hAnsi="宋体" w:cs="宋体"/>
                <w:sz w:val="24"/>
                <w:highlight w:val="none"/>
              </w:rPr>
            </w:pPr>
          </w:p>
        </w:tc>
        <w:tc>
          <w:tcPr>
            <w:tcW w:w="1339" w:type="dxa"/>
            <w:vAlign w:val="center"/>
          </w:tcPr>
          <w:p w14:paraId="69E04CB8">
            <w:pPr>
              <w:jc w:val="center"/>
              <w:rPr>
                <w:rFonts w:ascii="宋体" w:hAnsi="宋体" w:cs="宋体"/>
                <w:sz w:val="24"/>
                <w:highlight w:val="none"/>
              </w:rPr>
            </w:pPr>
          </w:p>
        </w:tc>
        <w:tc>
          <w:tcPr>
            <w:tcW w:w="1306" w:type="dxa"/>
            <w:vAlign w:val="center"/>
          </w:tcPr>
          <w:p w14:paraId="2501B36B">
            <w:pPr>
              <w:jc w:val="center"/>
              <w:rPr>
                <w:rFonts w:ascii="宋体" w:hAnsi="宋体" w:cs="宋体"/>
                <w:sz w:val="24"/>
                <w:highlight w:val="none"/>
              </w:rPr>
            </w:pPr>
          </w:p>
        </w:tc>
        <w:tc>
          <w:tcPr>
            <w:tcW w:w="1306" w:type="dxa"/>
            <w:vAlign w:val="center"/>
          </w:tcPr>
          <w:p w14:paraId="6473B61C">
            <w:pPr>
              <w:jc w:val="center"/>
              <w:rPr>
                <w:rFonts w:ascii="宋体" w:hAnsi="宋体" w:cs="宋体"/>
                <w:sz w:val="24"/>
                <w:highlight w:val="none"/>
              </w:rPr>
            </w:pPr>
          </w:p>
        </w:tc>
      </w:tr>
    </w:tbl>
    <w:p w14:paraId="4B9B2072">
      <w:pPr>
        <w:rPr>
          <w:rFonts w:ascii="宋体" w:hAnsi="宋体" w:cs="宋体"/>
          <w:sz w:val="24"/>
          <w:highlight w:val="none"/>
        </w:rPr>
      </w:pPr>
    </w:p>
    <w:p w14:paraId="0FC7EDA8">
      <w:pPr>
        <w:rPr>
          <w:highlight w:val="none"/>
        </w:rPr>
      </w:pPr>
    </w:p>
    <w:p w14:paraId="09E33EBA">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法人代表或委托代理人（签字或盖章）： </w:t>
      </w:r>
    </w:p>
    <w:p w14:paraId="6CE6B33E">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52"/>
          <w:szCs w:val="5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供应商：（全称并加盖公章）</w:t>
      </w:r>
    </w:p>
    <w:p w14:paraId="5724F12C">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   年    月    日</w:t>
      </w:r>
    </w:p>
    <w:p w14:paraId="0B770BA7">
      <w:pPr>
        <w:pStyle w:val="24"/>
        <w:rPr>
          <w:rFonts w:ascii="宋体" w:hAnsi="宋体" w:cs="宋体"/>
          <w:color w:val="000000" w:themeColor="text1"/>
          <w:kern w:val="0"/>
          <w:sz w:val="24"/>
          <w:highlight w:val="none"/>
          <w14:textFill>
            <w14:solidFill>
              <w14:schemeClr w14:val="tx1"/>
            </w14:solidFill>
          </w14:textFill>
        </w:rPr>
      </w:pPr>
    </w:p>
    <w:p w14:paraId="54E3F3AF">
      <w:pPr>
        <w:pStyle w:val="24"/>
        <w:rPr>
          <w:rFonts w:ascii="宋体" w:hAnsi="宋体" w:cs="宋体"/>
          <w:color w:val="000000" w:themeColor="text1"/>
          <w:kern w:val="0"/>
          <w:sz w:val="24"/>
          <w:highlight w:val="none"/>
          <w14:textFill>
            <w14:solidFill>
              <w14:schemeClr w14:val="tx1"/>
            </w14:solidFill>
          </w14:textFill>
        </w:rPr>
      </w:pPr>
    </w:p>
    <w:p w14:paraId="55C34F73">
      <w:pPr>
        <w:pStyle w:val="24"/>
        <w:rPr>
          <w:rFonts w:ascii="宋体" w:hAnsi="宋体" w:cs="宋体"/>
          <w:color w:val="000000" w:themeColor="text1"/>
          <w:kern w:val="0"/>
          <w:sz w:val="24"/>
          <w:highlight w:val="none"/>
          <w14:textFill>
            <w14:solidFill>
              <w14:schemeClr w14:val="tx1"/>
            </w14:solidFill>
          </w14:textFill>
        </w:rPr>
      </w:pPr>
    </w:p>
    <w:p w14:paraId="5DDF0269">
      <w:pPr>
        <w:pStyle w:val="24"/>
        <w:rPr>
          <w:rFonts w:ascii="宋体" w:hAnsi="宋体" w:cs="宋体"/>
          <w:color w:val="000000" w:themeColor="text1"/>
          <w:kern w:val="0"/>
          <w:sz w:val="24"/>
          <w:highlight w:val="none"/>
          <w14:textFill>
            <w14:solidFill>
              <w14:schemeClr w14:val="tx1"/>
            </w14:solidFill>
          </w14:textFill>
        </w:rPr>
      </w:pPr>
    </w:p>
    <w:p w14:paraId="63856D05">
      <w:pPr>
        <w:pStyle w:val="24"/>
        <w:rPr>
          <w:rFonts w:ascii="宋体" w:hAnsi="宋体" w:cs="宋体"/>
          <w:color w:val="000000" w:themeColor="text1"/>
          <w:kern w:val="0"/>
          <w:sz w:val="24"/>
          <w:highlight w:val="none"/>
          <w14:textFill>
            <w14:solidFill>
              <w14:schemeClr w14:val="tx1"/>
            </w14:solidFill>
          </w14:textFill>
        </w:rPr>
      </w:pPr>
    </w:p>
    <w:p w14:paraId="2C4A0592">
      <w:pPr>
        <w:pStyle w:val="24"/>
        <w:rPr>
          <w:rFonts w:ascii="宋体" w:hAnsi="宋体" w:cs="宋体"/>
          <w:color w:val="000000" w:themeColor="text1"/>
          <w:kern w:val="0"/>
          <w:sz w:val="24"/>
          <w:highlight w:val="none"/>
          <w14:textFill>
            <w14:solidFill>
              <w14:schemeClr w14:val="tx1"/>
            </w14:solidFill>
          </w14:textFill>
        </w:rPr>
      </w:pPr>
    </w:p>
    <w:p w14:paraId="07EEC8C2">
      <w:pPr>
        <w:pStyle w:val="24"/>
        <w:rPr>
          <w:rFonts w:ascii="宋体" w:hAnsi="宋体" w:cs="宋体"/>
          <w:color w:val="000000" w:themeColor="text1"/>
          <w:kern w:val="0"/>
          <w:sz w:val="24"/>
          <w:highlight w:val="none"/>
          <w14:textFill>
            <w14:solidFill>
              <w14:schemeClr w14:val="tx1"/>
            </w14:solidFill>
          </w14:textFill>
        </w:rPr>
      </w:pPr>
    </w:p>
    <w:p w14:paraId="410DBADE">
      <w:pPr>
        <w:pStyle w:val="24"/>
        <w:rPr>
          <w:rFonts w:ascii="宋体" w:hAnsi="宋体" w:cs="宋体"/>
          <w:color w:val="000000" w:themeColor="text1"/>
          <w:kern w:val="0"/>
          <w:sz w:val="24"/>
          <w:highlight w:val="none"/>
          <w14:textFill>
            <w14:solidFill>
              <w14:schemeClr w14:val="tx1"/>
            </w14:solidFill>
          </w14:textFill>
        </w:rPr>
      </w:pPr>
    </w:p>
    <w:p w14:paraId="1484FAEF">
      <w:pPr>
        <w:pStyle w:val="24"/>
        <w:rPr>
          <w:rFonts w:ascii="宋体" w:hAnsi="宋体" w:cs="宋体"/>
          <w:color w:val="000000" w:themeColor="text1"/>
          <w:kern w:val="0"/>
          <w:sz w:val="24"/>
          <w:highlight w:val="none"/>
          <w14:textFill>
            <w14:solidFill>
              <w14:schemeClr w14:val="tx1"/>
            </w14:solidFill>
          </w14:textFill>
        </w:rPr>
      </w:pPr>
    </w:p>
    <w:p w14:paraId="09097100">
      <w:pPr>
        <w:pStyle w:val="24"/>
        <w:rPr>
          <w:rFonts w:ascii="宋体" w:hAnsi="宋体" w:cs="宋体"/>
          <w:color w:val="000000" w:themeColor="text1"/>
          <w:kern w:val="0"/>
          <w:sz w:val="24"/>
          <w:highlight w:val="none"/>
          <w14:textFill>
            <w14:solidFill>
              <w14:schemeClr w14:val="tx1"/>
            </w14:solidFill>
          </w14:textFill>
        </w:rPr>
      </w:pPr>
    </w:p>
    <w:p w14:paraId="06BE1ECD">
      <w:pPr>
        <w:pStyle w:val="24"/>
        <w:rPr>
          <w:rFonts w:ascii="宋体" w:hAnsi="宋体" w:cs="宋体"/>
          <w:color w:val="000000" w:themeColor="text1"/>
          <w:kern w:val="0"/>
          <w:sz w:val="24"/>
          <w:highlight w:val="none"/>
          <w14:textFill>
            <w14:solidFill>
              <w14:schemeClr w14:val="tx1"/>
            </w14:solidFill>
          </w14:textFill>
        </w:rPr>
      </w:pPr>
    </w:p>
    <w:p w14:paraId="7A78DF91">
      <w:pPr>
        <w:pStyle w:val="24"/>
        <w:rPr>
          <w:rFonts w:ascii="宋体" w:hAnsi="宋体" w:cs="宋体"/>
          <w:color w:val="000000" w:themeColor="text1"/>
          <w:kern w:val="0"/>
          <w:sz w:val="24"/>
          <w:highlight w:val="none"/>
          <w14:textFill>
            <w14:solidFill>
              <w14:schemeClr w14:val="tx1"/>
            </w14:solidFill>
          </w14:textFill>
        </w:rPr>
      </w:pPr>
    </w:p>
    <w:p w14:paraId="2B1991E1">
      <w:pPr>
        <w:pStyle w:val="24"/>
        <w:rPr>
          <w:rFonts w:ascii="宋体" w:hAnsi="宋体" w:cs="宋体"/>
          <w:color w:val="000000" w:themeColor="text1"/>
          <w:kern w:val="0"/>
          <w:sz w:val="24"/>
          <w:highlight w:val="none"/>
          <w14:textFill>
            <w14:solidFill>
              <w14:schemeClr w14:val="tx1"/>
            </w14:solidFill>
          </w14:textFill>
        </w:rPr>
      </w:pPr>
    </w:p>
    <w:p w14:paraId="24E8D188">
      <w:pPr>
        <w:pStyle w:val="24"/>
        <w:rPr>
          <w:rFonts w:ascii="宋体" w:hAnsi="宋体" w:cs="宋体"/>
          <w:color w:val="000000" w:themeColor="text1"/>
          <w:kern w:val="0"/>
          <w:sz w:val="24"/>
          <w:highlight w:val="none"/>
          <w14:textFill>
            <w14:solidFill>
              <w14:schemeClr w14:val="tx1"/>
            </w14:solidFill>
          </w14:textFill>
        </w:rPr>
      </w:pPr>
    </w:p>
    <w:p w14:paraId="11E303B9">
      <w:pPr>
        <w:pStyle w:val="24"/>
        <w:rPr>
          <w:rFonts w:ascii="宋体" w:hAnsi="宋体" w:cs="宋体"/>
          <w:color w:val="000000" w:themeColor="text1"/>
          <w:kern w:val="0"/>
          <w:sz w:val="24"/>
          <w:highlight w:val="none"/>
          <w14:textFill>
            <w14:solidFill>
              <w14:schemeClr w14:val="tx1"/>
            </w14:solidFill>
          </w14:textFill>
        </w:rPr>
      </w:pPr>
    </w:p>
    <w:p w14:paraId="35B137C8">
      <w:pPr>
        <w:pStyle w:val="2"/>
        <w:snapToGrid w:val="0"/>
        <w:spacing w:before="20" w:after="20"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附件5         </w:t>
      </w:r>
      <w:bookmarkEnd w:id="80"/>
      <w:bookmarkEnd w:id="81"/>
      <w:r>
        <w:rPr>
          <w:rFonts w:hint="eastAsia" w:ascii="宋体" w:hAnsi="宋体" w:eastAsia="宋体" w:cs="宋体"/>
          <w:sz w:val="28"/>
          <w:szCs w:val="28"/>
          <w:highlight w:val="none"/>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25082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ign w:val="center"/>
          </w:tcPr>
          <w:p w14:paraId="34EFBC1F">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序号</w:t>
            </w:r>
          </w:p>
        </w:tc>
        <w:tc>
          <w:tcPr>
            <w:tcW w:w="1833" w:type="dxa"/>
            <w:noWrap/>
            <w:vAlign w:val="center"/>
          </w:tcPr>
          <w:p w14:paraId="31043AB1">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货物名称</w:t>
            </w:r>
          </w:p>
        </w:tc>
        <w:tc>
          <w:tcPr>
            <w:tcW w:w="2625" w:type="dxa"/>
            <w:noWrap/>
            <w:vAlign w:val="center"/>
          </w:tcPr>
          <w:p w14:paraId="74AFB41D">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采购文件要求</w:t>
            </w:r>
          </w:p>
        </w:tc>
        <w:tc>
          <w:tcPr>
            <w:tcW w:w="2379" w:type="dxa"/>
            <w:noWrap/>
            <w:vAlign w:val="center"/>
          </w:tcPr>
          <w:p w14:paraId="2CDC471F">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响应文件响应</w:t>
            </w:r>
          </w:p>
        </w:tc>
        <w:tc>
          <w:tcPr>
            <w:tcW w:w="1468" w:type="dxa"/>
            <w:noWrap/>
            <w:vAlign w:val="center"/>
          </w:tcPr>
          <w:p w14:paraId="04D07074">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偏离情况</w:t>
            </w:r>
          </w:p>
        </w:tc>
      </w:tr>
      <w:tr w14:paraId="52E7C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ign w:val="center"/>
          </w:tcPr>
          <w:p w14:paraId="2E3CF07B">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1</w:t>
            </w:r>
          </w:p>
        </w:tc>
        <w:tc>
          <w:tcPr>
            <w:tcW w:w="1833" w:type="dxa"/>
            <w:noWrap/>
            <w:vAlign w:val="center"/>
          </w:tcPr>
          <w:p w14:paraId="59B972CB">
            <w:pPr>
              <w:widowControl/>
              <w:spacing w:line="360" w:lineRule="auto"/>
              <w:jc w:val="center"/>
              <w:textAlignment w:val="baseline"/>
              <w:rPr>
                <w:rFonts w:ascii="宋体" w:hAnsi="宋体" w:cs="宋体"/>
                <w:szCs w:val="21"/>
                <w:highlight w:val="none"/>
              </w:rPr>
            </w:pPr>
          </w:p>
        </w:tc>
        <w:tc>
          <w:tcPr>
            <w:tcW w:w="2625" w:type="dxa"/>
            <w:noWrap/>
            <w:vAlign w:val="center"/>
          </w:tcPr>
          <w:p w14:paraId="30472539">
            <w:pPr>
              <w:widowControl/>
              <w:spacing w:line="360" w:lineRule="auto"/>
              <w:jc w:val="center"/>
              <w:textAlignment w:val="baseline"/>
              <w:rPr>
                <w:rFonts w:ascii="宋体" w:hAnsi="宋体" w:cs="宋体"/>
                <w:szCs w:val="21"/>
                <w:highlight w:val="none"/>
              </w:rPr>
            </w:pPr>
          </w:p>
        </w:tc>
        <w:tc>
          <w:tcPr>
            <w:tcW w:w="2379" w:type="dxa"/>
            <w:noWrap/>
            <w:vAlign w:val="center"/>
          </w:tcPr>
          <w:p w14:paraId="0F84DA47">
            <w:pPr>
              <w:widowControl/>
              <w:spacing w:line="360" w:lineRule="auto"/>
              <w:jc w:val="center"/>
              <w:textAlignment w:val="baseline"/>
              <w:rPr>
                <w:rFonts w:ascii="宋体" w:hAnsi="宋体" w:cs="宋体"/>
                <w:szCs w:val="21"/>
                <w:highlight w:val="none"/>
              </w:rPr>
            </w:pPr>
          </w:p>
        </w:tc>
        <w:tc>
          <w:tcPr>
            <w:tcW w:w="1468" w:type="dxa"/>
            <w:noWrap/>
            <w:vAlign w:val="center"/>
          </w:tcPr>
          <w:p w14:paraId="7478A828">
            <w:pPr>
              <w:widowControl/>
              <w:spacing w:line="360" w:lineRule="auto"/>
              <w:jc w:val="center"/>
              <w:textAlignment w:val="baseline"/>
              <w:rPr>
                <w:rFonts w:ascii="宋体" w:hAnsi="宋体" w:cs="宋体"/>
                <w:szCs w:val="21"/>
                <w:highlight w:val="none"/>
              </w:rPr>
            </w:pPr>
          </w:p>
        </w:tc>
      </w:tr>
      <w:tr w14:paraId="15249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57" w:hRule="atLeast"/>
        </w:trPr>
        <w:tc>
          <w:tcPr>
            <w:tcW w:w="772" w:type="dxa"/>
            <w:noWrap/>
            <w:vAlign w:val="center"/>
          </w:tcPr>
          <w:p w14:paraId="776DBAB5">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2</w:t>
            </w:r>
          </w:p>
        </w:tc>
        <w:tc>
          <w:tcPr>
            <w:tcW w:w="1833" w:type="dxa"/>
            <w:noWrap/>
            <w:vAlign w:val="center"/>
          </w:tcPr>
          <w:p w14:paraId="5879A142">
            <w:pPr>
              <w:widowControl/>
              <w:spacing w:line="360" w:lineRule="auto"/>
              <w:jc w:val="center"/>
              <w:textAlignment w:val="baseline"/>
              <w:rPr>
                <w:rFonts w:ascii="宋体" w:hAnsi="宋体" w:cs="宋体"/>
                <w:szCs w:val="21"/>
                <w:highlight w:val="none"/>
              </w:rPr>
            </w:pPr>
          </w:p>
        </w:tc>
        <w:tc>
          <w:tcPr>
            <w:tcW w:w="2625" w:type="dxa"/>
            <w:noWrap/>
            <w:vAlign w:val="center"/>
          </w:tcPr>
          <w:p w14:paraId="1364C58E">
            <w:pPr>
              <w:widowControl/>
              <w:spacing w:line="360" w:lineRule="auto"/>
              <w:jc w:val="center"/>
              <w:textAlignment w:val="baseline"/>
              <w:rPr>
                <w:rFonts w:ascii="宋体" w:hAnsi="宋体" w:cs="宋体"/>
                <w:szCs w:val="21"/>
                <w:highlight w:val="none"/>
              </w:rPr>
            </w:pPr>
          </w:p>
        </w:tc>
        <w:tc>
          <w:tcPr>
            <w:tcW w:w="2379" w:type="dxa"/>
            <w:noWrap/>
            <w:vAlign w:val="center"/>
          </w:tcPr>
          <w:p w14:paraId="0C2F1863">
            <w:pPr>
              <w:widowControl/>
              <w:spacing w:line="360" w:lineRule="auto"/>
              <w:jc w:val="center"/>
              <w:textAlignment w:val="baseline"/>
              <w:rPr>
                <w:rFonts w:ascii="宋体" w:hAnsi="宋体" w:cs="宋体"/>
                <w:szCs w:val="21"/>
                <w:highlight w:val="none"/>
              </w:rPr>
            </w:pPr>
          </w:p>
        </w:tc>
        <w:tc>
          <w:tcPr>
            <w:tcW w:w="1468" w:type="dxa"/>
            <w:noWrap/>
            <w:vAlign w:val="center"/>
          </w:tcPr>
          <w:p w14:paraId="614FE07B">
            <w:pPr>
              <w:widowControl/>
              <w:spacing w:line="360" w:lineRule="auto"/>
              <w:jc w:val="center"/>
              <w:textAlignment w:val="baseline"/>
              <w:rPr>
                <w:rFonts w:ascii="宋体" w:hAnsi="宋体" w:cs="宋体"/>
                <w:szCs w:val="21"/>
                <w:highlight w:val="none"/>
              </w:rPr>
            </w:pPr>
          </w:p>
        </w:tc>
      </w:tr>
      <w:tr w14:paraId="66700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ign w:val="center"/>
          </w:tcPr>
          <w:p w14:paraId="7903A52D">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w:t>
            </w:r>
          </w:p>
        </w:tc>
        <w:tc>
          <w:tcPr>
            <w:tcW w:w="1833" w:type="dxa"/>
            <w:noWrap/>
            <w:vAlign w:val="center"/>
          </w:tcPr>
          <w:p w14:paraId="10FBF981">
            <w:pPr>
              <w:widowControl/>
              <w:spacing w:line="360" w:lineRule="auto"/>
              <w:jc w:val="center"/>
              <w:textAlignment w:val="baseline"/>
              <w:rPr>
                <w:rFonts w:ascii="宋体" w:hAnsi="宋体" w:cs="宋体"/>
                <w:szCs w:val="21"/>
                <w:highlight w:val="none"/>
              </w:rPr>
            </w:pPr>
          </w:p>
        </w:tc>
        <w:tc>
          <w:tcPr>
            <w:tcW w:w="2625" w:type="dxa"/>
            <w:noWrap/>
            <w:vAlign w:val="center"/>
          </w:tcPr>
          <w:p w14:paraId="578D21D0">
            <w:pPr>
              <w:widowControl/>
              <w:spacing w:line="360" w:lineRule="auto"/>
              <w:jc w:val="center"/>
              <w:textAlignment w:val="baseline"/>
              <w:rPr>
                <w:rFonts w:ascii="宋体" w:hAnsi="宋体" w:cs="宋体"/>
                <w:szCs w:val="21"/>
                <w:highlight w:val="none"/>
              </w:rPr>
            </w:pPr>
          </w:p>
        </w:tc>
        <w:tc>
          <w:tcPr>
            <w:tcW w:w="2379" w:type="dxa"/>
            <w:noWrap/>
            <w:vAlign w:val="center"/>
          </w:tcPr>
          <w:p w14:paraId="6A7A439B">
            <w:pPr>
              <w:widowControl/>
              <w:spacing w:line="360" w:lineRule="auto"/>
              <w:jc w:val="center"/>
              <w:textAlignment w:val="baseline"/>
              <w:rPr>
                <w:rFonts w:ascii="宋体" w:hAnsi="宋体" w:cs="宋体"/>
                <w:szCs w:val="21"/>
                <w:highlight w:val="none"/>
              </w:rPr>
            </w:pPr>
          </w:p>
        </w:tc>
        <w:tc>
          <w:tcPr>
            <w:tcW w:w="1468" w:type="dxa"/>
            <w:noWrap/>
            <w:vAlign w:val="center"/>
          </w:tcPr>
          <w:p w14:paraId="737314A4">
            <w:pPr>
              <w:widowControl/>
              <w:spacing w:line="360" w:lineRule="auto"/>
              <w:jc w:val="center"/>
              <w:textAlignment w:val="baseline"/>
              <w:rPr>
                <w:rFonts w:ascii="宋体" w:hAnsi="宋体" w:cs="宋体"/>
                <w:szCs w:val="21"/>
                <w:highlight w:val="none"/>
              </w:rPr>
            </w:pPr>
          </w:p>
        </w:tc>
      </w:tr>
    </w:tbl>
    <w:p w14:paraId="08D38E0B">
      <w:pPr>
        <w:widowControl/>
        <w:wordWrap w:val="0"/>
        <w:spacing w:line="460" w:lineRule="exact"/>
        <w:ind w:firstLine="422" w:firstLineChars="200"/>
        <w:jc w:val="left"/>
        <w:rPr>
          <w:rFonts w:ascii="宋体" w:hAnsi="宋体" w:cs="宋体"/>
          <w:b/>
          <w:kern w:val="0"/>
          <w:szCs w:val="21"/>
          <w:highlight w:val="none"/>
        </w:rPr>
      </w:pPr>
    </w:p>
    <w:p w14:paraId="55A313DA">
      <w:pPr>
        <w:widowControl/>
        <w:spacing w:line="360" w:lineRule="auto"/>
        <w:textAlignment w:val="baseline"/>
        <w:rPr>
          <w:rFonts w:ascii="宋体" w:hAnsi="宋体" w:cs="宋体"/>
          <w:szCs w:val="21"/>
          <w:highlight w:val="none"/>
        </w:rPr>
      </w:pPr>
      <w:r>
        <w:rPr>
          <w:rFonts w:hint="eastAsia" w:ascii="宋体" w:hAnsi="宋体" w:cs="宋体"/>
          <w:szCs w:val="21"/>
          <w:highlight w:val="none"/>
        </w:rPr>
        <w:t>注：供应商必须如实完整填写表格，“偏离情况”是指“正偏离”、“负偏离”或“无偏离”。</w:t>
      </w:r>
    </w:p>
    <w:p w14:paraId="0DD37CAC">
      <w:pPr>
        <w:widowControl/>
        <w:spacing w:line="360" w:lineRule="auto"/>
        <w:textAlignment w:val="baseline"/>
        <w:rPr>
          <w:rFonts w:ascii="宋体" w:hAnsi="宋体" w:cs="宋体"/>
          <w:szCs w:val="21"/>
          <w:highlight w:val="none"/>
        </w:rPr>
      </w:pPr>
    </w:p>
    <w:p w14:paraId="32289199">
      <w:pPr>
        <w:widowControl/>
        <w:spacing w:line="360" w:lineRule="auto"/>
        <w:textAlignment w:val="baseline"/>
        <w:rPr>
          <w:rFonts w:ascii="宋体" w:hAnsi="宋体" w:cs="宋体"/>
          <w:szCs w:val="21"/>
          <w:highlight w:val="none"/>
        </w:rPr>
      </w:pPr>
    </w:p>
    <w:p w14:paraId="46988425">
      <w:pPr>
        <w:widowControl/>
        <w:spacing w:line="360" w:lineRule="auto"/>
        <w:ind w:firstLine="2100" w:firstLineChars="1000"/>
        <w:textAlignment w:val="baseline"/>
        <w:rPr>
          <w:rFonts w:ascii="宋体" w:hAnsi="宋体" w:cs="宋体"/>
          <w:szCs w:val="21"/>
          <w:highlight w:val="none"/>
        </w:rPr>
      </w:pPr>
      <w:r>
        <w:rPr>
          <w:rFonts w:hint="eastAsia" w:ascii="宋体" w:hAnsi="宋体" w:cs="宋体"/>
          <w:szCs w:val="21"/>
          <w:highlight w:val="none"/>
        </w:rPr>
        <w:t>供应商：（全称并加盖公章）</w:t>
      </w:r>
    </w:p>
    <w:p w14:paraId="0CA96999">
      <w:pPr>
        <w:widowControl/>
        <w:wordWrap w:val="0"/>
        <w:spacing w:line="460" w:lineRule="exact"/>
        <w:ind w:firstLine="3570" w:firstLineChars="1700"/>
        <w:jc w:val="left"/>
        <w:rPr>
          <w:rFonts w:ascii="宋体" w:hAnsi="宋体" w:cs="宋体"/>
          <w:b/>
          <w:kern w:val="0"/>
          <w:sz w:val="32"/>
          <w:szCs w:val="32"/>
          <w:highlight w:val="none"/>
        </w:rPr>
      </w:pPr>
      <w:r>
        <w:rPr>
          <w:rFonts w:hint="eastAsia" w:ascii="宋体" w:hAnsi="宋体" w:cs="宋体"/>
          <w:szCs w:val="21"/>
          <w:highlight w:val="none"/>
        </w:rPr>
        <w:t>年    月    日</w:t>
      </w:r>
    </w:p>
    <w:p w14:paraId="5BB65A39">
      <w:pPr>
        <w:widowControl/>
        <w:wordWrap w:val="0"/>
        <w:spacing w:line="460" w:lineRule="exact"/>
        <w:ind w:firstLine="643" w:firstLineChars="200"/>
        <w:jc w:val="left"/>
        <w:rPr>
          <w:rFonts w:ascii="宋体" w:hAnsi="宋体" w:cs="宋体"/>
          <w:b/>
          <w:kern w:val="0"/>
          <w:sz w:val="32"/>
          <w:szCs w:val="32"/>
          <w:highlight w:val="none"/>
        </w:rPr>
      </w:pPr>
    </w:p>
    <w:p w14:paraId="2400198F">
      <w:pPr>
        <w:widowControl/>
        <w:wordWrap w:val="0"/>
        <w:spacing w:line="460" w:lineRule="exact"/>
        <w:ind w:firstLine="643" w:firstLineChars="200"/>
        <w:jc w:val="left"/>
        <w:rPr>
          <w:rFonts w:ascii="宋体" w:hAnsi="宋体" w:cs="宋体"/>
          <w:b/>
          <w:kern w:val="0"/>
          <w:sz w:val="32"/>
          <w:szCs w:val="32"/>
          <w:highlight w:val="none"/>
        </w:rPr>
      </w:pPr>
    </w:p>
    <w:p w14:paraId="79402A9B">
      <w:pPr>
        <w:widowControl/>
        <w:wordWrap w:val="0"/>
        <w:spacing w:line="460" w:lineRule="exact"/>
        <w:ind w:firstLine="643" w:firstLineChars="200"/>
        <w:jc w:val="left"/>
        <w:rPr>
          <w:rFonts w:ascii="宋体" w:hAnsi="宋体" w:cs="宋体"/>
          <w:b/>
          <w:kern w:val="0"/>
          <w:sz w:val="32"/>
          <w:szCs w:val="32"/>
          <w:highlight w:val="none"/>
        </w:rPr>
      </w:pPr>
    </w:p>
    <w:p w14:paraId="57BDCE28">
      <w:pPr>
        <w:widowControl/>
        <w:wordWrap w:val="0"/>
        <w:spacing w:line="460" w:lineRule="exact"/>
        <w:ind w:firstLine="643" w:firstLineChars="200"/>
        <w:jc w:val="left"/>
        <w:rPr>
          <w:rFonts w:ascii="宋体" w:hAnsi="宋体" w:cs="宋体"/>
          <w:b/>
          <w:kern w:val="0"/>
          <w:sz w:val="32"/>
          <w:szCs w:val="32"/>
          <w:highlight w:val="none"/>
        </w:rPr>
      </w:pPr>
    </w:p>
    <w:p w14:paraId="5F5D3063">
      <w:pPr>
        <w:widowControl/>
        <w:wordWrap w:val="0"/>
        <w:spacing w:line="460" w:lineRule="exact"/>
        <w:ind w:firstLine="643" w:firstLineChars="200"/>
        <w:jc w:val="left"/>
        <w:rPr>
          <w:rFonts w:ascii="宋体" w:hAnsi="宋体" w:cs="宋体"/>
          <w:b/>
          <w:kern w:val="0"/>
          <w:sz w:val="32"/>
          <w:szCs w:val="32"/>
          <w:highlight w:val="none"/>
        </w:rPr>
      </w:pPr>
    </w:p>
    <w:p w14:paraId="417F6153">
      <w:pPr>
        <w:widowControl/>
        <w:wordWrap w:val="0"/>
        <w:snapToGrid w:val="0"/>
        <w:spacing w:before="50" w:afterLines="50"/>
        <w:jc w:val="left"/>
        <w:rPr>
          <w:rFonts w:ascii="宋体" w:hAnsi="宋体" w:cs="宋体"/>
          <w:kern w:val="0"/>
          <w:sz w:val="24"/>
          <w:highlight w:val="none"/>
          <w:u w:val="single"/>
        </w:rPr>
      </w:pPr>
    </w:p>
    <w:p w14:paraId="12E73035">
      <w:pPr>
        <w:rPr>
          <w:rFonts w:ascii="宋体" w:hAnsi="宋体" w:cs="宋体"/>
          <w:b/>
          <w:kern w:val="0"/>
          <w:sz w:val="24"/>
          <w:highlight w:val="none"/>
        </w:rPr>
      </w:pPr>
      <w:r>
        <w:rPr>
          <w:rFonts w:hint="eastAsia" w:ascii="宋体" w:hAnsi="宋体" w:cs="宋体"/>
          <w:b/>
          <w:kern w:val="0"/>
          <w:sz w:val="24"/>
          <w:highlight w:val="none"/>
        </w:rPr>
        <w:br w:type="page"/>
      </w:r>
    </w:p>
    <w:p w14:paraId="4D7070F8">
      <w:pPr>
        <w:pStyle w:val="2"/>
        <w:snapToGrid w:val="0"/>
        <w:spacing w:before="20" w:after="20" w:line="360" w:lineRule="auto"/>
        <w:jc w:val="center"/>
        <w:rPr>
          <w:rFonts w:ascii="宋体" w:hAnsi="宋体" w:eastAsia="宋体" w:cs="宋体"/>
          <w:sz w:val="28"/>
          <w:szCs w:val="28"/>
          <w:highlight w:val="none"/>
        </w:rPr>
      </w:pPr>
      <w:bookmarkStart w:id="82" w:name="_Toc20420"/>
      <w:bookmarkStart w:id="83" w:name="_Toc29960"/>
      <w:bookmarkStart w:id="84" w:name="_Toc24168"/>
      <w:r>
        <w:rPr>
          <w:rFonts w:hint="eastAsia" w:ascii="宋体" w:hAnsi="宋体" w:eastAsia="宋体" w:cs="宋体"/>
          <w:sz w:val="28"/>
          <w:szCs w:val="28"/>
          <w:highlight w:val="none"/>
        </w:rPr>
        <w:t>附件6          商务响应</w:t>
      </w:r>
      <w:bookmarkEnd w:id="82"/>
      <w:bookmarkEnd w:id="83"/>
      <w:bookmarkEnd w:id="84"/>
      <w:r>
        <w:rPr>
          <w:rFonts w:hint="eastAsia" w:ascii="宋体" w:hAnsi="宋体" w:eastAsia="宋体" w:cs="宋体"/>
          <w:sz w:val="28"/>
          <w:szCs w:val="28"/>
          <w:highlight w:val="none"/>
        </w:rPr>
        <w:t>表（格式）</w:t>
      </w:r>
    </w:p>
    <w:p w14:paraId="31DF28F0">
      <w:pPr>
        <w:widowControl/>
        <w:wordWrap w:val="0"/>
        <w:spacing w:line="460" w:lineRule="exact"/>
        <w:jc w:val="left"/>
        <w:rPr>
          <w:rFonts w:ascii="宋体" w:hAnsi="宋体" w:cs="宋体"/>
          <w:b/>
          <w:kern w:val="0"/>
          <w:sz w:val="32"/>
          <w:szCs w:val="32"/>
          <w:highlight w:val="none"/>
        </w:rPr>
      </w:pPr>
    </w:p>
    <w:tbl>
      <w:tblPr>
        <w:tblStyle w:val="91"/>
        <w:tblW w:w="85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2307"/>
        <w:gridCol w:w="1620"/>
        <w:gridCol w:w="1560"/>
      </w:tblGrid>
      <w:tr w14:paraId="1CC46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noWrap/>
            <w:vAlign w:val="center"/>
          </w:tcPr>
          <w:p w14:paraId="7A0D39E8">
            <w:pPr>
              <w:widowControl/>
              <w:spacing w:line="360" w:lineRule="auto"/>
              <w:jc w:val="center"/>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2133" w:type="dxa"/>
            <w:noWrap/>
            <w:vAlign w:val="center"/>
          </w:tcPr>
          <w:p w14:paraId="075DA875">
            <w:pPr>
              <w:widowControl/>
              <w:spacing w:line="360" w:lineRule="auto"/>
              <w:jc w:val="center"/>
              <w:textAlignment w:val="baseline"/>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2307" w:type="dxa"/>
            <w:noWrap/>
            <w:vAlign w:val="center"/>
          </w:tcPr>
          <w:p w14:paraId="775F2C82">
            <w:pPr>
              <w:widowControl/>
              <w:spacing w:line="360" w:lineRule="auto"/>
              <w:jc w:val="center"/>
              <w:textAlignment w:val="baseline"/>
              <w:rPr>
                <w:rFonts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采购文件要求</w:t>
            </w:r>
          </w:p>
        </w:tc>
        <w:tc>
          <w:tcPr>
            <w:tcW w:w="1620" w:type="dxa"/>
            <w:noWrap/>
            <w:vAlign w:val="center"/>
          </w:tcPr>
          <w:p w14:paraId="531CEFDD">
            <w:pPr>
              <w:widowControl/>
              <w:spacing w:line="360" w:lineRule="auto"/>
              <w:jc w:val="center"/>
              <w:textAlignment w:val="baseline"/>
              <w:rPr>
                <w:rFonts w:hint="default" w:ascii="宋体" w:hAnsi="宋体" w:eastAsia="宋体" w:cs="宋体"/>
                <w:szCs w:val="21"/>
                <w:highlight w:val="none"/>
                <w:lang w:val="en-US" w:eastAsia="zh-CN"/>
              </w:rPr>
            </w:pPr>
            <w:r>
              <w:rPr>
                <w:rFonts w:hint="eastAsia" w:ascii="宋体" w:hAnsi="宋体" w:cs="宋体"/>
                <w:color w:val="000000" w:themeColor="text1"/>
                <w:szCs w:val="21"/>
                <w:highlight w:val="none"/>
                <w:lang w:val="en-US" w:eastAsia="zh-CN"/>
                <w14:textFill>
                  <w14:solidFill>
                    <w14:schemeClr w14:val="tx1"/>
                  </w14:solidFill>
                </w14:textFill>
              </w:rPr>
              <w:t>响应情况</w:t>
            </w:r>
          </w:p>
        </w:tc>
        <w:tc>
          <w:tcPr>
            <w:tcW w:w="1560" w:type="dxa"/>
            <w:noWrap/>
            <w:vAlign w:val="center"/>
          </w:tcPr>
          <w:p w14:paraId="670603B1">
            <w:pPr>
              <w:widowControl/>
              <w:spacing w:line="360" w:lineRule="auto"/>
              <w:jc w:val="center"/>
              <w:textAlignment w:val="baseline"/>
              <w:rPr>
                <w:rFonts w:ascii="宋体" w:hAnsi="宋体" w:cs="宋体"/>
                <w:szCs w:val="21"/>
                <w:highlight w:val="none"/>
              </w:rPr>
            </w:pPr>
            <w:r>
              <w:rPr>
                <w:rFonts w:hint="eastAsia" w:ascii="宋体" w:hAnsi="宋体" w:eastAsia="宋体" w:cs="宋体"/>
                <w:kern w:val="0"/>
                <w:sz w:val="22"/>
                <w:szCs w:val="22"/>
                <w:highlight w:val="none"/>
              </w:rPr>
              <w:t>投标人的承诺或说明</w:t>
            </w:r>
          </w:p>
        </w:tc>
      </w:tr>
      <w:tr w14:paraId="7A5D2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480F4112">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1</w:t>
            </w:r>
          </w:p>
        </w:tc>
        <w:tc>
          <w:tcPr>
            <w:tcW w:w="2133" w:type="dxa"/>
            <w:noWrap/>
            <w:vAlign w:val="center"/>
          </w:tcPr>
          <w:p w14:paraId="037BBBEA">
            <w:pPr>
              <w:pStyle w:val="8"/>
              <w:spacing w:line="360" w:lineRule="auto"/>
              <w:jc w:val="center"/>
              <w:rPr>
                <w:rFonts w:asciiTheme="majorEastAsia" w:hAnsiTheme="majorEastAsia" w:eastAsiaTheme="majorEastAsia"/>
                <w:sz w:val="21"/>
                <w:szCs w:val="21"/>
                <w:highlight w:val="none"/>
              </w:rPr>
            </w:pPr>
            <w:r>
              <w:rPr>
                <w:rFonts w:hint="eastAsia" w:cs="仿宋" w:asciiTheme="majorEastAsia" w:hAnsiTheme="majorEastAsia" w:eastAsiaTheme="majorEastAsia"/>
                <w:kern w:val="2"/>
                <w:sz w:val="21"/>
                <w:szCs w:val="21"/>
                <w:highlight w:val="none"/>
              </w:rPr>
              <w:t>交货期</w:t>
            </w:r>
          </w:p>
        </w:tc>
        <w:tc>
          <w:tcPr>
            <w:tcW w:w="2307" w:type="dxa"/>
            <w:noWrap/>
            <w:vAlign w:val="center"/>
          </w:tcPr>
          <w:p w14:paraId="38DD80FB">
            <w:pPr>
              <w:widowControl/>
              <w:spacing w:line="360" w:lineRule="auto"/>
              <w:jc w:val="center"/>
              <w:textAlignment w:val="baseline"/>
              <w:rPr>
                <w:rFonts w:ascii="宋体" w:hAnsi="宋体" w:cs="宋体"/>
                <w:szCs w:val="21"/>
                <w:highlight w:val="none"/>
              </w:rPr>
            </w:pPr>
          </w:p>
        </w:tc>
        <w:tc>
          <w:tcPr>
            <w:tcW w:w="1620" w:type="dxa"/>
            <w:noWrap/>
            <w:vAlign w:val="center"/>
          </w:tcPr>
          <w:p w14:paraId="47902F7A">
            <w:pPr>
              <w:widowControl/>
              <w:spacing w:line="360" w:lineRule="auto"/>
              <w:jc w:val="center"/>
              <w:textAlignment w:val="baseline"/>
              <w:rPr>
                <w:rFonts w:ascii="宋体" w:hAnsi="宋体" w:cs="宋体"/>
                <w:szCs w:val="21"/>
                <w:highlight w:val="none"/>
              </w:rPr>
            </w:pPr>
          </w:p>
        </w:tc>
        <w:tc>
          <w:tcPr>
            <w:tcW w:w="1560" w:type="dxa"/>
            <w:noWrap/>
            <w:vAlign w:val="center"/>
          </w:tcPr>
          <w:p w14:paraId="238D8F49">
            <w:pPr>
              <w:widowControl/>
              <w:spacing w:line="360" w:lineRule="auto"/>
              <w:jc w:val="center"/>
              <w:textAlignment w:val="baseline"/>
              <w:rPr>
                <w:rFonts w:ascii="宋体" w:hAnsi="宋体" w:cs="宋体"/>
                <w:szCs w:val="21"/>
                <w:highlight w:val="none"/>
              </w:rPr>
            </w:pPr>
          </w:p>
        </w:tc>
      </w:tr>
      <w:tr w14:paraId="47B41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56A293AF">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2</w:t>
            </w:r>
          </w:p>
        </w:tc>
        <w:tc>
          <w:tcPr>
            <w:tcW w:w="2133" w:type="dxa"/>
            <w:noWrap/>
            <w:vAlign w:val="center"/>
          </w:tcPr>
          <w:p w14:paraId="18AC7B9A">
            <w:pPr>
              <w:pStyle w:val="8"/>
              <w:spacing w:line="360" w:lineRule="auto"/>
              <w:jc w:val="center"/>
              <w:rPr>
                <w:rFonts w:asciiTheme="majorEastAsia" w:hAnsiTheme="majorEastAsia" w:eastAsiaTheme="majorEastAsia"/>
                <w:sz w:val="21"/>
                <w:szCs w:val="21"/>
                <w:highlight w:val="none"/>
              </w:rPr>
            </w:pPr>
            <w:r>
              <w:rPr>
                <w:rFonts w:hint="eastAsia" w:cs="仿宋" w:asciiTheme="majorEastAsia" w:hAnsiTheme="majorEastAsia" w:eastAsiaTheme="majorEastAsia"/>
                <w:kern w:val="2"/>
                <w:sz w:val="21"/>
                <w:szCs w:val="21"/>
                <w:highlight w:val="none"/>
              </w:rPr>
              <w:t>交货地点</w:t>
            </w:r>
          </w:p>
        </w:tc>
        <w:tc>
          <w:tcPr>
            <w:tcW w:w="2307" w:type="dxa"/>
            <w:noWrap/>
            <w:vAlign w:val="center"/>
          </w:tcPr>
          <w:p w14:paraId="0A832BD7">
            <w:pPr>
              <w:widowControl/>
              <w:spacing w:line="360" w:lineRule="auto"/>
              <w:jc w:val="center"/>
              <w:textAlignment w:val="baseline"/>
              <w:rPr>
                <w:rFonts w:ascii="宋体" w:hAnsi="宋体" w:cs="宋体"/>
                <w:szCs w:val="21"/>
                <w:highlight w:val="none"/>
              </w:rPr>
            </w:pPr>
          </w:p>
        </w:tc>
        <w:tc>
          <w:tcPr>
            <w:tcW w:w="1620" w:type="dxa"/>
            <w:noWrap/>
            <w:vAlign w:val="center"/>
          </w:tcPr>
          <w:p w14:paraId="0E603E12">
            <w:pPr>
              <w:widowControl/>
              <w:spacing w:line="360" w:lineRule="auto"/>
              <w:jc w:val="center"/>
              <w:textAlignment w:val="baseline"/>
              <w:rPr>
                <w:rFonts w:ascii="宋体" w:hAnsi="宋体" w:cs="宋体"/>
                <w:szCs w:val="21"/>
                <w:highlight w:val="none"/>
              </w:rPr>
            </w:pPr>
          </w:p>
        </w:tc>
        <w:tc>
          <w:tcPr>
            <w:tcW w:w="1560" w:type="dxa"/>
            <w:noWrap/>
            <w:vAlign w:val="center"/>
          </w:tcPr>
          <w:p w14:paraId="6FF6AEBB">
            <w:pPr>
              <w:widowControl/>
              <w:spacing w:line="360" w:lineRule="auto"/>
              <w:jc w:val="center"/>
              <w:textAlignment w:val="baseline"/>
              <w:rPr>
                <w:rFonts w:ascii="宋体" w:hAnsi="宋体" w:cs="宋体"/>
                <w:szCs w:val="21"/>
                <w:highlight w:val="none"/>
              </w:rPr>
            </w:pPr>
          </w:p>
        </w:tc>
      </w:tr>
      <w:tr w14:paraId="5BCB4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26BE52B4">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3</w:t>
            </w:r>
          </w:p>
        </w:tc>
        <w:tc>
          <w:tcPr>
            <w:tcW w:w="2133" w:type="dxa"/>
            <w:noWrap/>
            <w:vAlign w:val="center"/>
          </w:tcPr>
          <w:p w14:paraId="68BB7B91">
            <w:pPr>
              <w:pStyle w:val="8"/>
              <w:spacing w:line="360" w:lineRule="auto"/>
              <w:jc w:val="center"/>
              <w:rPr>
                <w:rFonts w:cs="仿宋" w:asciiTheme="majorEastAsia" w:hAnsiTheme="majorEastAsia" w:eastAsiaTheme="majorEastAsia"/>
                <w:kern w:val="2"/>
                <w:sz w:val="21"/>
                <w:szCs w:val="21"/>
                <w:highlight w:val="none"/>
              </w:rPr>
            </w:pPr>
            <w:r>
              <w:rPr>
                <w:rFonts w:hint="eastAsia" w:cs="仿宋" w:asciiTheme="majorEastAsia" w:hAnsiTheme="majorEastAsia" w:eastAsiaTheme="majorEastAsia"/>
                <w:kern w:val="2"/>
                <w:sz w:val="21"/>
                <w:szCs w:val="21"/>
                <w:highlight w:val="none"/>
              </w:rPr>
              <w:t>质保期</w:t>
            </w:r>
          </w:p>
        </w:tc>
        <w:tc>
          <w:tcPr>
            <w:tcW w:w="2307" w:type="dxa"/>
            <w:noWrap/>
            <w:vAlign w:val="center"/>
          </w:tcPr>
          <w:p w14:paraId="694843D4">
            <w:pPr>
              <w:widowControl/>
              <w:spacing w:line="360" w:lineRule="auto"/>
              <w:jc w:val="center"/>
              <w:textAlignment w:val="baseline"/>
              <w:rPr>
                <w:rFonts w:ascii="宋体" w:hAnsi="宋体" w:cs="宋体"/>
                <w:szCs w:val="21"/>
                <w:highlight w:val="none"/>
              </w:rPr>
            </w:pPr>
          </w:p>
        </w:tc>
        <w:tc>
          <w:tcPr>
            <w:tcW w:w="1620" w:type="dxa"/>
            <w:noWrap/>
            <w:vAlign w:val="center"/>
          </w:tcPr>
          <w:p w14:paraId="1AEDA9C8">
            <w:pPr>
              <w:widowControl/>
              <w:spacing w:line="360" w:lineRule="auto"/>
              <w:jc w:val="center"/>
              <w:textAlignment w:val="baseline"/>
              <w:rPr>
                <w:rFonts w:ascii="宋体" w:hAnsi="宋体" w:cs="宋体"/>
                <w:szCs w:val="21"/>
                <w:highlight w:val="none"/>
              </w:rPr>
            </w:pPr>
          </w:p>
        </w:tc>
        <w:tc>
          <w:tcPr>
            <w:tcW w:w="1560" w:type="dxa"/>
            <w:noWrap/>
            <w:vAlign w:val="center"/>
          </w:tcPr>
          <w:p w14:paraId="39C6A66E">
            <w:pPr>
              <w:widowControl/>
              <w:spacing w:line="360" w:lineRule="auto"/>
              <w:jc w:val="center"/>
              <w:textAlignment w:val="baseline"/>
              <w:rPr>
                <w:rFonts w:ascii="宋体" w:hAnsi="宋体" w:cs="宋体"/>
                <w:szCs w:val="21"/>
                <w:highlight w:val="none"/>
              </w:rPr>
            </w:pPr>
          </w:p>
        </w:tc>
      </w:tr>
      <w:tr w14:paraId="4FB19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10A20228">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4</w:t>
            </w:r>
          </w:p>
        </w:tc>
        <w:tc>
          <w:tcPr>
            <w:tcW w:w="2133" w:type="dxa"/>
            <w:noWrap/>
            <w:vAlign w:val="center"/>
          </w:tcPr>
          <w:p w14:paraId="772E1935">
            <w:pPr>
              <w:pStyle w:val="8"/>
              <w:spacing w:line="360" w:lineRule="auto"/>
              <w:jc w:val="center"/>
              <w:rPr>
                <w:rFonts w:asciiTheme="majorEastAsia" w:hAnsiTheme="majorEastAsia" w:eastAsiaTheme="majorEastAsia"/>
                <w:sz w:val="21"/>
                <w:szCs w:val="21"/>
                <w:highlight w:val="none"/>
              </w:rPr>
            </w:pPr>
            <w:r>
              <w:rPr>
                <w:rFonts w:hint="eastAsia" w:cs="仿宋" w:asciiTheme="majorEastAsia" w:hAnsiTheme="majorEastAsia" w:eastAsiaTheme="majorEastAsia"/>
                <w:kern w:val="2"/>
                <w:sz w:val="21"/>
                <w:szCs w:val="21"/>
                <w:highlight w:val="none"/>
              </w:rPr>
              <w:t>质量要求</w:t>
            </w:r>
          </w:p>
        </w:tc>
        <w:tc>
          <w:tcPr>
            <w:tcW w:w="2307" w:type="dxa"/>
            <w:noWrap/>
            <w:vAlign w:val="center"/>
          </w:tcPr>
          <w:p w14:paraId="4FC3152A">
            <w:pPr>
              <w:widowControl/>
              <w:spacing w:line="360" w:lineRule="auto"/>
              <w:jc w:val="center"/>
              <w:textAlignment w:val="baseline"/>
              <w:rPr>
                <w:rFonts w:ascii="宋体" w:hAnsi="宋体" w:cs="宋体"/>
                <w:szCs w:val="21"/>
                <w:highlight w:val="none"/>
              </w:rPr>
            </w:pPr>
          </w:p>
        </w:tc>
        <w:tc>
          <w:tcPr>
            <w:tcW w:w="1620" w:type="dxa"/>
            <w:noWrap/>
            <w:vAlign w:val="center"/>
          </w:tcPr>
          <w:p w14:paraId="4C43F8B4">
            <w:pPr>
              <w:widowControl/>
              <w:spacing w:line="360" w:lineRule="auto"/>
              <w:jc w:val="center"/>
              <w:textAlignment w:val="baseline"/>
              <w:rPr>
                <w:rFonts w:ascii="宋体" w:hAnsi="宋体" w:cs="宋体"/>
                <w:szCs w:val="21"/>
                <w:highlight w:val="none"/>
              </w:rPr>
            </w:pPr>
          </w:p>
        </w:tc>
        <w:tc>
          <w:tcPr>
            <w:tcW w:w="1560" w:type="dxa"/>
            <w:noWrap/>
            <w:vAlign w:val="center"/>
          </w:tcPr>
          <w:p w14:paraId="1232775F">
            <w:pPr>
              <w:widowControl/>
              <w:spacing w:line="360" w:lineRule="auto"/>
              <w:jc w:val="center"/>
              <w:textAlignment w:val="baseline"/>
              <w:rPr>
                <w:rFonts w:ascii="宋体" w:hAnsi="宋体" w:cs="宋体"/>
                <w:szCs w:val="21"/>
                <w:highlight w:val="none"/>
              </w:rPr>
            </w:pPr>
          </w:p>
        </w:tc>
      </w:tr>
      <w:tr w14:paraId="30046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3FD4BD5A">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5</w:t>
            </w:r>
          </w:p>
        </w:tc>
        <w:tc>
          <w:tcPr>
            <w:tcW w:w="2133" w:type="dxa"/>
            <w:noWrap/>
            <w:vAlign w:val="center"/>
          </w:tcPr>
          <w:p w14:paraId="111BA924">
            <w:pPr>
              <w:pStyle w:val="8"/>
              <w:spacing w:line="360" w:lineRule="auto"/>
              <w:jc w:val="center"/>
              <w:rPr>
                <w:rFonts w:asciiTheme="majorEastAsia" w:hAnsiTheme="majorEastAsia" w:eastAsiaTheme="majorEastAsia"/>
                <w:sz w:val="21"/>
                <w:szCs w:val="21"/>
                <w:highlight w:val="none"/>
              </w:rPr>
            </w:pPr>
            <w:r>
              <w:rPr>
                <w:rFonts w:hint="eastAsia" w:cs="仿宋" w:asciiTheme="majorEastAsia" w:hAnsiTheme="majorEastAsia" w:eastAsiaTheme="majorEastAsia"/>
                <w:kern w:val="2"/>
                <w:sz w:val="21"/>
                <w:szCs w:val="21"/>
                <w:highlight w:val="none"/>
              </w:rPr>
              <w:t>售后服务</w:t>
            </w:r>
          </w:p>
        </w:tc>
        <w:tc>
          <w:tcPr>
            <w:tcW w:w="2307" w:type="dxa"/>
            <w:noWrap/>
            <w:vAlign w:val="center"/>
          </w:tcPr>
          <w:p w14:paraId="6CC82444">
            <w:pPr>
              <w:widowControl/>
              <w:spacing w:line="360" w:lineRule="auto"/>
              <w:jc w:val="center"/>
              <w:textAlignment w:val="baseline"/>
              <w:rPr>
                <w:rFonts w:ascii="宋体" w:hAnsi="宋体" w:cs="宋体"/>
                <w:szCs w:val="21"/>
                <w:highlight w:val="none"/>
              </w:rPr>
            </w:pPr>
          </w:p>
        </w:tc>
        <w:tc>
          <w:tcPr>
            <w:tcW w:w="1620" w:type="dxa"/>
            <w:noWrap/>
            <w:vAlign w:val="center"/>
          </w:tcPr>
          <w:p w14:paraId="56E4A301">
            <w:pPr>
              <w:widowControl/>
              <w:spacing w:line="360" w:lineRule="auto"/>
              <w:jc w:val="center"/>
              <w:textAlignment w:val="baseline"/>
              <w:rPr>
                <w:rFonts w:ascii="宋体" w:hAnsi="宋体" w:cs="宋体"/>
                <w:szCs w:val="21"/>
                <w:highlight w:val="none"/>
              </w:rPr>
            </w:pPr>
          </w:p>
        </w:tc>
        <w:tc>
          <w:tcPr>
            <w:tcW w:w="1560" w:type="dxa"/>
            <w:noWrap/>
            <w:vAlign w:val="center"/>
          </w:tcPr>
          <w:p w14:paraId="0A561794">
            <w:pPr>
              <w:widowControl/>
              <w:spacing w:line="360" w:lineRule="auto"/>
              <w:jc w:val="center"/>
              <w:textAlignment w:val="baseline"/>
              <w:rPr>
                <w:rFonts w:ascii="宋体" w:hAnsi="宋体" w:cs="宋体"/>
                <w:szCs w:val="21"/>
                <w:highlight w:val="none"/>
              </w:rPr>
            </w:pPr>
          </w:p>
        </w:tc>
      </w:tr>
      <w:tr w14:paraId="2C7F2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0582409A">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6</w:t>
            </w:r>
          </w:p>
        </w:tc>
        <w:tc>
          <w:tcPr>
            <w:tcW w:w="2133" w:type="dxa"/>
            <w:noWrap/>
            <w:vAlign w:val="center"/>
          </w:tcPr>
          <w:p w14:paraId="2B4B10CC">
            <w:pPr>
              <w:pStyle w:val="8"/>
              <w:spacing w:line="360" w:lineRule="auto"/>
              <w:jc w:val="center"/>
              <w:rPr>
                <w:rFonts w:hint="eastAsia" w:cs="仿宋" w:asciiTheme="majorEastAsia" w:hAnsiTheme="majorEastAsia" w:eastAsiaTheme="majorEastAsia"/>
                <w:kern w:val="2"/>
                <w:sz w:val="21"/>
                <w:szCs w:val="21"/>
                <w:highlight w:val="none"/>
              </w:rPr>
            </w:pPr>
            <w:r>
              <w:rPr>
                <w:rFonts w:hint="eastAsia" w:cs="仿宋" w:asciiTheme="majorEastAsia" w:hAnsiTheme="majorEastAsia" w:eastAsiaTheme="majorEastAsia"/>
                <w:kern w:val="2"/>
                <w:sz w:val="21"/>
                <w:szCs w:val="21"/>
                <w:highlight w:val="none"/>
              </w:rPr>
              <w:t>培训</w:t>
            </w:r>
          </w:p>
        </w:tc>
        <w:tc>
          <w:tcPr>
            <w:tcW w:w="2307" w:type="dxa"/>
            <w:noWrap/>
            <w:vAlign w:val="center"/>
          </w:tcPr>
          <w:p w14:paraId="7D1079CD">
            <w:pPr>
              <w:widowControl/>
              <w:spacing w:line="360" w:lineRule="auto"/>
              <w:jc w:val="center"/>
              <w:textAlignment w:val="baseline"/>
              <w:rPr>
                <w:rFonts w:ascii="宋体" w:hAnsi="宋体" w:cs="宋体"/>
                <w:szCs w:val="21"/>
                <w:highlight w:val="none"/>
              </w:rPr>
            </w:pPr>
          </w:p>
        </w:tc>
        <w:tc>
          <w:tcPr>
            <w:tcW w:w="1620" w:type="dxa"/>
            <w:noWrap/>
            <w:vAlign w:val="center"/>
          </w:tcPr>
          <w:p w14:paraId="383CC502">
            <w:pPr>
              <w:widowControl/>
              <w:spacing w:line="360" w:lineRule="auto"/>
              <w:jc w:val="center"/>
              <w:textAlignment w:val="baseline"/>
              <w:rPr>
                <w:rFonts w:ascii="宋体" w:hAnsi="宋体" w:cs="宋体"/>
                <w:szCs w:val="21"/>
                <w:highlight w:val="none"/>
              </w:rPr>
            </w:pPr>
          </w:p>
        </w:tc>
        <w:tc>
          <w:tcPr>
            <w:tcW w:w="1560" w:type="dxa"/>
            <w:noWrap/>
            <w:vAlign w:val="center"/>
          </w:tcPr>
          <w:p w14:paraId="6EF91CFB">
            <w:pPr>
              <w:widowControl/>
              <w:spacing w:line="360" w:lineRule="auto"/>
              <w:jc w:val="center"/>
              <w:textAlignment w:val="baseline"/>
              <w:rPr>
                <w:rFonts w:ascii="宋体" w:hAnsi="宋体" w:cs="宋体"/>
                <w:szCs w:val="21"/>
                <w:highlight w:val="none"/>
              </w:rPr>
            </w:pPr>
          </w:p>
        </w:tc>
      </w:tr>
      <w:tr w14:paraId="77B92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7F7F0A6E">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7</w:t>
            </w:r>
          </w:p>
        </w:tc>
        <w:tc>
          <w:tcPr>
            <w:tcW w:w="2133" w:type="dxa"/>
            <w:noWrap/>
            <w:vAlign w:val="center"/>
          </w:tcPr>
          <w:p w14:paraId="67C7ED82">
            <w:pPr>
              <w:pStyle w:val="8"/>
              <w:spacing w:line="360" w:lineRule="auto"/>
              <w:jc w:val="center"/>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其他要求</w:t>
            </w:r>
          </w:p>
        </w:tc>
        <w:tc>
          <w:tcPr>
            <w:tcW w:w="2307" w:type="dxa"/>
            <w:noWrap/>
            <w:vAlign w:val="center"/>
          </w:tcPr>
          <w:p w14:paraId="1B70CBC0">
            <w:pPr>
              <w:widowControl/>
              <w:spacing w:line="360" w:lineRule="auto"/>
              <w:jc w:val="center"/>
              <w:textAlignment w:val="baseline"/>
              <w:rPr>
                <w:rFonts w:ascii="宋体" w:hAnsi="宋体" w:cs="宋体"/>
                <w:szCs w:val="21"/>
                <w:highlight w:val="none"/>
              </w:rPr>
            </w:pPr>
          </w:p>
        </w:tc>
        <w:tc>
          <w:tcPr>
            <w:tcW w:w="1620" w:type="dxa"/>
            <w:noWrap/>
            <w:vAlign w:val="center"/>
          </w:tcPr>
          <w:p w14:paraId="7BFB87C4">
            <w:pPr>
              <w:widowControl/>
              <w:spacing w:line="360" w:lineRule="auto"/>
              <w:jc w:val="center"/>
              <w:textAlignment w:val="baseline"/>
              <w:rPr>
                <w:rFonts w:ascii="宋体" w:hAnsi="宋体" w:cs="宋体"/>
                <w:szCs w:val="21"/>
                <w:highlight w:val="none"/>
              </w:rPr>
            </w:pPr>
          </w:p>
        </w:tc>
        <w:tc>
          <w:tcPr>
            <w:tcW w:w="1560" w:type="dxa"/>
            <w:noWrap/>
            <w:vAlign w:val="center"/>
          </w:tcPr>
          <w:p w14:paraId="097EC432">
            <w:pPr>
              <w:widowControl/>
              <w:spacing w:line="360" w:lineRule="auto"/>
              <w:jc w:val="center"/>
              <w:textAlignment w:val="baseline"/>
              <w:rPr>
                <w:rFonts w:ascii="宋体" w:hAnsi="宋体" w:cs="宋体"/>
                <w:szCs w:val="21"/>
                <w:highlight w:val="none"/>
              </w:rPr>
            </w:pPr>
          </w:p>
        </w:tc>
      </w:tr>
      <w:tr w14:paraId="4ADCA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5046B18F">
            <w:pPr>
              <w:widowControl/>
              <w:spacing w:line="360" w:lineRule="auto"/>
              <w:jc w:val="center"/>
              <w:textAlignment w:val="baseline"/>
              <w:rPr>
                <w:rFonts w:hint="eastAsia" w:ascii="宋体" w:hAnsi="宋体" w:cs="宋体"/>
                <w:szCs w:val="21"/>
                <w:highlight w:val="none"/>
              </w:rPr>
            </w:pPr>
          </w:p>
        </w:tc>
        <w:tc>
          <w:tcPr>
            <w:tcW w:w="2133" w:type="dxa"/>
            <w:noWrap/>
            <w:vAlign w:val="center"/>
          </w:tcPr>
          <w:p w14:paraId="7DCD92DE">
            <w:pPr>
              <w:pStyle w:val="8"/>
              <w:spacing w:line="360" w:lineRule="auto"/>
              <w:jc w:val="center"/>
              <w:rPr>
                <w:rFonts w:hint="eastAsia" w:asciiTheme="majorEastAsia" w:hAnsiTheme="majorEastAsia" w:eastAsiaTheme="majorEastAsia"/>
                <w:sz w:val="21"/>
                <w:szCs w:val="21"/>
                <w:highlight w:val="none"/>
              </w:rPr>
            </w:pPr>
          </w:p>
        </w:tc>
        <w:tc>
          <w:tcPr>
            <w:tcW w:w="2307" w:type="dxa"/>
            <w:noWrap/>
            <w:vAlign w:val="center"/>
          </w:tcPr>
          <w:p w14:paraId="061FA32D">
            <w:pPr>
              <w:widowControl/>
              <w:spacing w:line="360" w:lineRule="auto"/>
              <w:jc w:val="center"/>
              <w:textAlignment w:val="baseline"/>
              <w:rPr>
                <w:rFonts w:ascii="宋体" w:hAnsi="宋体" w:cs="宋体"/>
                <w:szCs w:val="21"/>
                <w:highlight w:val="none"/>
              </w:rPr>
            </w:pPr>
          </w:p>
        </w:tc>
        <w:tc>
          <w:tcPr>
            <w:tcW w:w="1620" w:type="dxa"/>
            <w:noWrap/>
            <w:vAlign w:val="center"/>
          </w:tcPr>
          <w:p w14:paraId="12B4D867">
            <w:pPr>
              <w:widowControl/>
              <w:spacing w:line="360" w:lineRule="auto"/>
              <w:jc w:val="center"/>
              <w:textAlignment w:val="baseline"/>
              <w:rPr>
                <w:rFonts w:ascii="宋体" w:hAnsi="宋体" w:cs="宋体"/>
                <w:szCs w:val="21"/>
                <w:highlight w:val="none"/>
              </w:rPr>
            </w:pPr>
          </w:p>
        </w:tc>
        <w:tc>
          <w:tcPr>
            <w:tcW w:w="1560" w:type="dxa"/>
            <w:noWrap/>
            <w:vAlign w:val="center"/>
          </w:tcPr>
          <w:p w14:paraId="20EC4A09">
            <w:pPr>
              <w:widowControl/>
              <w:spacing w:line="360" w:lineRule="auto"/>
              <w:jc w:val="center"/>
              <w:textAlignment w:val="baseline"/>
              <w:rPr>
                <w:rFonts w:ascii="宋体" w:hAnsi="宋体" w:cs="宋体"/>
                <w:szCs w:val="21"/>
                <w:highlight w:val="none"/>
              </w:rPr>
            </w:pPr>
          </w:p>
        </w:tc>
      </w:tr>
    </w:tbl>
    <w:p w14:paraId="423D2F6C">
      <w:pPr>
        <w:rPr>
          <w:rFonts w:ascii="宋体" w:hAnsi="宋体" w:cs="宋体"/>
          <w:b/>
          <w:kern w:val="0"/>
          <w:szCs w:val="21"/>
          <w:highlight w:val="none"/>
        </w:rPr>
      </w:pPr>
    </w:p>
    <w:p w14:paraId="284D86EB">
      <w:pPr>
        <w:pStyle w:val="33"/>
        <w:ind w:firstLine="210"/>
        <w:rPr>
          <w:rFonts w:ascii="宋体" w:hAnsi="宋体" w:cs="宋体"/>
          <w:highlight w:val="none"/>
        </w:rPr>
      </w:pPr>
    </w:p>
    <w:p w14:paraId="54C3724C">
      <w:pPr>
        <w:widowControl/>
        <w:spacing w:line="360" w:lineRule="auto"/>
        <w:ind w:firstLine="3360" w:firstLineChars="1600"/>
        <w:textAlignment w:val="baseline"/>
        <w:rPr>
          <w:rFonts w:ascii="宋体" w:hAnsi="宋体" w:cs="宋体"/>
          <w:szCs w:val="21"/>
          <w:highlight w:val="none"/>
        </w:rPr>
      </w:pPr>
      <w:r>
        <w:rPr>
          <w:rFonts w:hint="eastAsia" w:ascii="宋体" w:hAnsi="宋体" w:cs="宋体"/>
          <w:szCs w:val="21"/>
          <w:highlight w:val="none"/>
        </w:rPr>
        <w:t>供应商：（全称并加盖公章）</w:t>
      </w:r>
    </w:p>
    <w:p w14:paraId="7CE75E7B">
      <w:pPr>
        <w:widowControl/>
        <w:spacing w:line="360" w:lineRule="auto"/>
        <w:ind w:firstLine="4410" w:firstLineChars="2100"/>
        <w:textAlignment w:val="baseline"/>
        <w:rPr>
          <w:rFonts w:ascii="宋体" w:hAnsi="宋体" w:cs="宋体"/>
          <w:sz w:val="24"/>
          <w:highlight w:val="none"/>
        </w:rPr>
      </w:pPr>
      <w:r>
        <w:rPr>
          <w:rFonts w:hint="eastAsia" w:ascii="宋体" w:hAnsi="宋体" w:cs="宋体"/>
          <w:szCs w:val="21"/>
          <w:highlight w:val="none"/>
        </w:rPr>
        <w:t>年    月    日</w:t>
      </w:r>
    </w:p>
    <w:p w14:paraId="49872BC4">
      <w:pPr>
        <w:rPr>
          <w:rFonts w:ascii="宋体" w:hAnsi="宋体" w:cs="宋体"/>
          <w:highlight w:val="none"/>
        </w:rPr>
      </w:pPr>
    </w:p>
    <w:p w14:paraId="7AA46F5B">
      <w:pPr>
        <w:rPr>
          <w:rFonts w:ascii="宋体" w:hAnsi="宋体" w:cs="宋体"/>
          <w:highlight w:val="none"/>
        </w:rPr>
      </w:pPr>
    </w:p>
    <w:p w14:paraId="0950644F">
      <w:pPr>
        <w:rPr>
          <w:rFonts w:ascii="宋体" w:hAnsi="宋体" w:cs="宋体"/>
          <w:highlight w:val="none"/>
        </w:rPr>
      </w:pPr>
    </w:p>
    <w:p w14:paraId="5D4A9142">
      <w:pPr>
        <w:rPr>
          <w:rFonts w:ascii="宋体" w:hAnsi="宋体" w:cs="宋体"/>
          <w:highlight w:val="none"/>
        </w:rPr>
      </w:pPr>
    </w:p>
    <w:p w14:paraId="1668FE25">
      <w:pPr>
        <w:rPr>
          <w:rFonts w:ascii="宋体" w:hAnsi="宋体" w:cs="宋体"/>
          <w:highlight w:val="none"/>
        </w:rPr>
      </w:pPr>
    </w:p>
    <w:p w14:paraId="3077E3C3">
      <w:pPr>
        <w:rPr>
          <w:rFonts w:ascii="宋体" w:hAnsi="宋体" w:cs="宋体"/>
          <w:highlight w:val="none"/>
        </w:rPr>
      </w:pPr>
    </w:p>
    <w:p w14:paraId="3D9E8215">
      <w:pPr>
        <w:rPr>
          <w:rFonts w:ascii="宋体" w:hAnsi="宋体" w:cs="宋体"/>
          <w:highlight w:val="none"/>
        </w:rPr>
      </w:pPr>
    </w:p>
    <w:p w14:paraId="0597E82B">
      <w:pPr>
        <w:rPr>
          <w:rFonts w:ascii="宋体" w:hAnsi="宋体" w:cs="宋体"/>
          <w:highlight w:val="none"/>
        </w:rPr>
      </w:pPr>
    </w:p>
    <w:p w14:paraId="36C9C71D">
      <w:pPr>
        <w:rPr>
          <w:rFonts w:ascii="宋体" w:hAnsi="宋体" w:cs="宋体"/>
          <w:highlight w:val="none"/>
        </w:rPr>
      </w:pPr>
    </w:p>
    <w:p w14:paraId="1D64AD5B">
      <w:pPr>
        <w:rPr>
          <w:rFonts w:ascii="宋体" w:hAnsi="宋体" w:cs="宋体"/>
          <w:highlight w:val="none"/>
        </w:rPr>
      </w:pPr>
    </w:p>
    <w:p w14:paraId="5FABEF98">
      <w:pPr>
        <w:rPr>
          <w:rFonts w:ascii="宋体" w:hAnsi="宋体" w:cs="宋体"/>
          <w:highlight w:val="none"/>
        </w:rPr>
      </w:pPr>
    </w:p>
    <w:p w14:paraId="47B77634">
      <w:pPr>
        <w:rPr>
          <w:rFonts w:ascii="宋体" w:hAnsi="宋体" w:cs="宋体"/>
          <w:b/>
          <w:sz w:val="28"/>
          <w:highlight w:val="none"/>
        </w:rPr>
      </w:pPr>
      <w:bookmarkStart w:id="85" w:name="_Toc31526"/>
      <w:bookmarkStart w:id="86" w:name="_Toc28621"/>
      <w:r>
        <w:rPr>
          <w:rFonts w:hint="eastAsia" w:ascii="宋体" w:hAnsi="宋体" w:cs="宋体"/>
          <w:b/>
          <w:sz w:val="28"/>
          <w:highlight w:val="none"/>
        </w:rPr>
        <w:br w:type="page"/>
      </w:r>
    </w:p>
    <w:p w14:paraId="081516AE">
      <w:pPr>
        <w:pStyle w:val="2"/>
        <w:snapToGrid w:val="0"/>
        <w:spacing w:before="20" w:after="20" w:line="360" w:lineRule="auto"/>
        <w:jc w:val="center"/>
        <w:rPr>
          <w:rFonts w:ascii="宋体" w:hAnsi="宋体" w:eastAsia="宋体" w:cs="宋体"/>
          <w:sz w:val="28"/>
          <w:szCs w:val="28"/>
          <w:highlight w:val="none"/>
        </w:rPr>
      </w:pPr>
      <w:bookmarkStart w:id="87" w:name="_Toc29406"/>
      <w:r>
        <w:rPr>
          <w:rFonts w:hint="eastAsia" w:ascii="宋体" w:hAnsi="宋体" w:eastAsia="宋体" w:cs="宋体"/>
          <w:sz w:val="28"/>
          <w:szCs w:val="28"/>
          <w:highlight w:val="none"/>
        </w:rPr>
        <w:t>附件7         法定代表人身份证明（格式）</w:t>
      </w:r>
      <w:bookmarkEnd w:id="85"/>
      <w:bookmarkEnd w:id="86"/>
      <w:bookmarkEnd w:id="87"/>
    </w:p>
    <w:p w14:paraId="2516B0F7">
      <w:pPr>
        <w:widowControl/>
        <w:wordWrap w:val="0"/>
        <w:spacing w:line="460" w:lineRule="exact"/>
        <w:jc w:val="left"/>
        <w:rPr>
          <w:rFonts w:ascii="宋体" w:hAnsi="宋体" w:cs="宋体"/>
          <w:kern w:val="0"/>
          <w:sz w:val="24"/>
          <w:highlight w:val="none"/>
        </w:rPr>
      </w:pPr>
    </w:p>
    <w:p w14:paraId="02B6432B">
      <w:pPr>
        <w:widowControl/>
        <w:wordWrap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供应商名称：</w:t>
      </w:r>
    </w:p>
    <w:p w14:paraId="002F4950">
      <w:pPr>
        <w:widowControl/>
        <w:wordWrap w:val="0"/>
        <w:spacing w:line="460" w:lineRule="exact"/>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地址：</w:t>
      </w:r>
    </w:p>
    <w:p w14:paraId="76BADDBC">
      <w:pPr>
        <w:widowControl/>
        <w:wordWrap w:val="0"/>
        <w:spacing w:line="460" w:lineRule="exact"/>
        <w:ind w:firstLine="480" w:firstLineChars="200"/>
        <w:jc w:val="left"/>
        <w:rPr>
          <w:rFonts w:ascii="宋体" w:hAnsi="宋体" w:cs="宋体"/>
          <w:kern w:val="0"/>
          <w:sz w:val="24"/>
          <w:szCs w:val="20"/>
          <w:highlight w:val="none"/>
        </w:rPr>
      </w:pPr>
      <w:r>
        <w:rPr>
          <w:rFonts w:hint="eastAsia" w:ascii="宋体" w:hAnsi="宋体" w:cs="宋体"/>
          <w:kern w:val="0"/>
          <w:sz w:val="24"/>
          <w:highlight w:val="none"/>
        </w:rPr>
        <w:t>成立时间：</w:t>
      </w:r>
      <w:r>
        <w:rPr>
          <w:rFonts w:hint="eastAsia" w:ascii="宋体" w:hAnsi="宋体" w:cs="宋体"/>
          <w:kern w:val="0"/>
          <w:sz w:val="24"/>
          <w:highlight w:val="none"/>
          <w:lang w:val="en-US" w:eastAsia="zh-CN"/>
        </w:rPr>
        <w:t xml:space="preserve">   </w:t>
      </w:r>
      <w:r>
        <w:rPr>
          <w:rFonts w:hint="eastAsia" w:ascii="宋体" w:hAnsi="宋体" w:cs="宋体"/>
          <w:kern w:val="0"/>
          <w:sz w:val="24"/>
          <w:szCs w:val="20"/>
          <w:highlight w:val="none"/>
        </w:rPr>
        <w:t>年</w:t>
      </w:r>
      <w:r>
        <w:rPr>
          <w:rFonts w:hint="eastAsia" w:ascii="宋体" w:hAnsi="宋体" w:cs="宋体"/>
          <w:kern w:val="0"/>
          <w:sz w:val="24"/>
          <w:szCs w:val="20"/>
          <w:highlight w:val="none"/>
          <w:lang w:val="en-US" w:eastAsia="zh-CN"/>
        </w:rPr>
        <w:t xml:space="preserve">     </w:t>
      </w:r>
      <w:r>
        <w:rPr>
          <w:rFonts w:hint="eastAsia" w:ascii="宋体" w:hAnsi="宋体" w:cs="宋体"/>
          <w:kern w:val="0"/>
          <w:sz w:val="24"/>
          <w:szCs w:val="20"/>
          <w:highlight w:val="none"/>
        </w:rPr>
        <w:t>月</w:t>
      </w:r>
      <w:r>
        <w:rPr>
          <w:rFonts w:hint="eastAsia" w:ascii="宋体" w:hAnsi="宋体" w:cs="宋体"/>
          <w:kern w:val="0"/>
          <w:sz w:val="24"/>
          <w:szCs w:val="20"/>
          <w:highlight w:val="none"/>
          <w:lang w:val="en-US" w:eastAsia="zh-CN"/>
        </w:rPr>
        <w:t xml:space="preserve">    </w:t>
      </w:r>
      <w:r>
        <w:rPr>
          <w:rFonts w:hint="eastAsia" w:ascii="宋体" w:hAnsi="宋体" w:cs="宋体"/>
          <w:kern w:val="0"/>
          <w:sz w:val="24"/>
          <w:szCs w:val="20"/>
          <w:highlight w:val="none"/>
        </w:rPr>
        <w:t>日</w:t>
      </w:r>
    </w:p>
    <w:p w14:paraId="1B94D13C">
      <w:pPr>
        <w:widowControl/>
        <w:wordWrap w:val="0"/>
        <w:spacing w:line="460" w:lineRule="exact"/>
        <w:ind w:firstLine="480" w:firstLineChars="200"/>
        <w:jc w:val="left"/>
        <w:rPr>
          <w:rFonts w:ascii="宋体" w:hAnsi="宋体" w:cs="宋体"/>
          <w:kern w:val="0"/>
          <w:sz w:val="24"/>
          <w:highlight w:val="none"/>
          <w:u w:val="single"/>
        </w:rPr>
      </w:pPr>
      <w:r>
        <w:rPr>
          <w:rFonts w:hint="eastAsia" w:ascii="宋体" w:hAnsi="宋体" w:cs="宋体"/>
          <w:kern w:val="0"/>
          <w:sz w:val="24"/>
          <w:szCs w:val="20"/>
          <w:highlight w:val="none"/>
        </w:rPr>
        <w:t>经营期限：</w:t>
      </w:r>
    </w:p>
    <w:p w14:paraId="63F63499">
      <w:pPr>
        <w:widowControl/>
        <w:wordWrap w:val="0"/>
        <w:spacing w:line="460" w:lineRule="exact"/>
        <w:ind w:firstLine="480" w:firstLineChars="200"/>
        <w:jc w:val="left"/>
        <w:rPr>
          <w:rFonts w:ascii="宋体" w:hAnsi="宋体" w:cs="宋体"/>
          <w:kern w:val="0"/>
          <w:szCs w:val="21"/>
          <w:highlight w:val="none"/>
          <w:u w:val="single"/>
        </w:rPr>
      </w:pPr>
      <w:r>
        <w:rPr>
          <w:rFonts w:hint="eastAsia" w:ascii="宋体" w:hAnsi="宋体" w:cs="宋体"/>
          <w:kern w:val="0"/>
          <w:sz w:val="24"/>
          <w:highlight w:val="none"/>
        </w:rPr>
        <w:t>姓名：</w:t>
      </w:r>
      <w:r>
        <w:rPr>
          <w:rFonts w:hint="eastAsia" w:ascii="宋体" w:hAnsi="宋体" w:cs="宋体"/>
          <w:kern w:val="0"/>
          <w:sz w:val="24"/>
          <w:highlight w:val="none"/>
          <w:lang w:val="en-US" w:eastAsia="zh-CN"/>
        </w:rPr>
        <w:t xml:space="preserve">    </w:t>
      </w:r>
      <w:r>
        <w:rPr>
          <w:rFonts w:hint="eastAsia" w:ascii="宋体" w:hAnsi="宋体" w:cs="宋体"/>
          <w:kern w:val="0"/>
          <w:sz w:val="24"/>
          <w:szCs w:val="20"/>
          <w:highlight w:val="none"/>
        </w:rPr>
        <w:t>，性别：</w:t>
      </w:r>
      <w:r>
        <w:rPr>
          <w:rFonts w:hint="eastAsia" w:ascii="宋体" w:hAnsi="宋体" w:cs="宋体"/>
          <w:kern w:val="0"/>
          <w:sz w:val="24"/>
          <w:szCs w:val="20"/>
          <w:highlight w:val="none"/>
          <w:lang w:val="en-US" w:eastAsia="zh-CN"/>
        </w:rPr>
        <w:t xml:space="preserve">   </w:t>
      </w:r>
      <w:r>
        <w:rPr>
          <w:rFonts w:hint="eastAsia" w:ascii="宋体" w:hAnsi="宋体" w:cs="宋体"/>
          <w:kern w:val="0"/>
          <w:sz w:val="24"/>
          <w:szCs w:val="20"/>
          <w:highlight w:val="none"/>
        </w:rPr>
        <w:t>，年龄：</w:t>
      </w:r>
      <w:r>
        <w:rPr>
          <w:rFonts w:hint="eastAsia" w:ascii="宋体" w:hAnsi="宋体" w:cs="宋体"/>
          <w:kern w:val="0"/>
          <w:sz w:val="24"/>
          <w:szCs w:val="20"/>
          <w:highlight w:val="none"/>
          <w:lang w:val="en-US" w:eastAsia="zh-CN"/>
        </w:rPr>
        <w:t xml:space="preserve">      </w:t>
      </w:r>
      <w:r>
        <w:rPr>
          <w:rFonts w:hint="eastAsia" w:ascii="宋体" w:hAnsi="宋体" w:cs="宋体"/>
          <w:kern w:val="0"/>
          <w:sz w:val="24"/>
          <w:szCs w:val="20"/>
          <w:highlight w:val="none"/>
        </w:rPr>
        <w:t>，职务：</w:t>
      </w:r>
    </w:p>
    <w:p w14:paraId="611A781A">
      <w:pPr>
        <w:widowControl/>
        <w:wordWrap w:val="0"/>
        <w:spacing w:line="460" w:lineRule="exact"/>
        <w:jc w:val="left"/>
        <w:rPr>
          <w:rFonts w:ascii="宋体" w:hAnsi="宋体" w:cs="宋体"/>
          <w:kern w:val="0"/>
          <w:sz w:val="24"/>
          <w:szCs w:val="20"/>
          <w:highlight w:val="none"/>
        </w:rPr>
      </w:pPr>
      <w:r>
        <w:rPr>
          <w:rFonts w:hint="eastAsia" w:ascii="宋体" w:hAnsi="宋体" w:cs="宋体"/>
          <w:kern w:val="0"/>
          <w:sz w:val="24"/>
          <w:szCs w:val="20"/>
          <w:highlight w:val="none"/>
        </w:rPr>
        <w:t>系（供应商名称）的法定代表人。</w:t>
      </w:r>
    </w:p>
    <w:p w14:paraId="0AA9531C">
      <w:pPr>
        <w:widowControl/>
        <w:wordWrap w:val="0"/>
        <w:spacing w:line="460" w:lineRule="exact"/>
        <w:jc w:val="left"/>
        <w:rPr>
          <w:rFonts w:ascii="宋体" w:hAnsi="宋体" w:cs="宋体"/>
          <w:kern w:val="0"/>
          <w:sz w:val="24"/>
          <w:szCs w:val="20"/>
          <w:highlight w:val="none"/>
        </w:rPr>
      </w:pPr>
    </w:p>
    <w:p w14:paraId="1CFF1B10">
      <w:pPr>
        <w:widowControl/>
        <w:wordWrap w:val="0"/>
        <w:spacing w:line="460" w:lineRule="exact"/>
        <w:ind w:firstLine="480" w:firstLineChars="200"/>
        <w:jc w:val="left"/>
        <w:rPr>
          <w:rFonts w:ascii="宋体" w:hAnsi="宋体" w:cs="宋体"/>
          <w:kern w:val="0"/>
          <w:sz w:val="24"/>
          <w:szCs w:val="20"/>
          <w:highlight w:val="none"/>
        </w:rPr>
      </w:pPr>
      <w:r>
        <w:rPr>
          <w:rFonts w:hint="eastAsia" w:ascii="宋体" w:hAnsi="宋体" w:cs="宋体"/>
          <w:kern w:val="0"/>
          <w:sz w:val="24"/>
          <w:szCs w:val="20"/>
          <w:highlight w:val="none"/>
        </w:rPr>
        <w:t>特此证明。</w:t>
      </w:r>
    </w:p>
    <w:p w14:paraId="38F01861">
      <w:pPr>
        <w:widowControl/>
        <w:wordWrap w:val="0"/>
        <w:spacing w:line="460" w:lineRule="exact"/>
        <w:jc w:val="left"/>
        <w:rPr>
          <w:rFonts w:ascii="宋体" w:hAnsi="宋体" w:cs="宋体"/>
          <w:kern w:val="0"/>
          <w:sz w:val="24"/>
          <w:szCs w:val="20"/>
          <w:highlight w:val="none"/>
        </w:rPr>
      </w:pPr>
    </w:p>
    <w:p w14:paraId="30E865EC">
      <w:pPr>
        <w:widowControl/>
        <w:wordWrap w:val="0"/>
        <w:spacing w:beforeLines="100" w:afterLines="100" w:line="480" w:lineRule="exact"/>
        <w:jc w:val="center"/>
        <w:rPr>
          <w:rFonts w:ascii="宋体" w:hAnsi="宋体" w:cs="宋体"/>
          <w:b/>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5738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C33D405">
            <w:pPr>
              <w:widowControl/>
              <w:spacing w:line="480" w:lineRule="exact"/>
              <w:jc w:val="left"/>
              <w:rPr>
                <w:rFonts w:ascii="宋体" w:hAnsi="宋体" w:cs="宋体"/>
                <w:bCs/>
                <w:kern w:val="0"/>
                <w:sz w:val="24"/>
                <w:highlight w:val="none"/>
              </w:rPr>
            </w:pPr>
            <w:r>
              <w:rPr>
                <w:rFonts w:hint="eastAsia" w:ascii="宋体" w:hAnsi="宋体" w:cs="宋体"/>
                <w:bCs/>
                <w:kern w:val="0"/>
                <w:sz w:val="24"/>
                <w:highlight w:val="none"/>
              </w:rPr>
              <w:t>此处请粘贴法定代表人身份证复印件</w:t>
            </w:r>
          </w:p>
          <w:p w14:paraId="4469DB67">
            <w:pPr>
              <w:widowControl/>
              <w:spacing w:line="480" w:lineRule="exact"/>
              <w:jc w:val="left"/>
              <w:rPr>
                <w:rFonts w:ascii="宋体" w:hAnsi="宋体" w:cs="宋体"/>
                <w:kern w:val="0"/>
                <w:sz w:val="24"/>
                <w:highlight w:val="none"/>
              </w:rPr>
            </w:pPr>
          </w:p>
          <w:p w14:paraId="44531AF4">
            <w:pPr>
              <w:widowControl/>
              <w:spacing w:line="480" w:lineRule="exact"/>
              <w:jc w:val="left"/>
              <w:rPr>
                <w:rFonts w:ascii="宋体" w:hAnsi="宋体" w:cs="宋体"/>
                <w:kern w:val="0"/>
                <w:sz w:val="24"/>
                <w:highlight w:val="none"/>
              </w:rPr>
            </w:pPr>
          </w:p>
        </w:tc>
      </w:tr>
    </w:tbl>
    <w:p w14:paraId="2BF222DA">
      <w:pPr>
        <w:widowControl/>
        <w:wordWrap w:val="0"/>
        <w:spacing w:beforeLines="100" w:afterLines="100" w:line="480" w:lineRule="exact"/>
        <w:jc w:val="center"/>
        <w:rPr>
          <w:rFonts w:ascii="宋体" w:hAnsi="宋体" w:cs="宋体"/>
          <w:b/>
          <w:kern w:val="0"/>
          <w:sz w:val="24"/>
          <w:highlight w:val="none"/>
        </w:rPr>
      </w:pPr>
    </w:p>
    <w:p w14:paraId="49A03378">
      <w:pPr>
        <w:widowControl/>
        <w:wordWrap w:val="0"/>
        <w:spacing w:beforeLines="100" w:afterLines="100" w:line="480" w:lineRule="exact"/>
        <w:jc w:val="center"/>
        <w:rPr>
          <w:rFonts w:ascii="宋体" w:hAnsi="宋体" w:cs="宋体"/>
          <w:b/>
          <w:kern w:val="0"/>
          <w:sz w:val="36"/>
          <w:szCs w:val="36"/>
          <w:highlight w:val="none"/>
        </w:rPr>
      </w:pPr>
    </w:p>
    <w:p w14:paraId="1FCFF071">
      <w:pPr>
        <w:widowControl/>
        <w:wordWrap w:val="0"/>
        <w:spacing w:beforeLines="100" w:afterLines="100" w:line="480" w:lineRule="exact"/>
        <w:jc w:val="center"/>
        <w:rPr>
          <w:rFonts w:ascii="宋体" w:hAnsi="宋体" w:cs="宋体"/>
          <w:b/>
          <w:kern w:val="0"/>
          <w:sz w:val="36"/>
          <w:szCs w:val="36"/>
          <w:highlight w:val="none"/>
        </w:rPr>
      </w:pPr>
    </w:p>
    <w:p w14:paraId="7ACEB2C3">
      <w:pPr>
        <w:widowControl/>
        <w:wordWrap w:val="0"/>
        <w:spacing w:line="480" w:lineRule="exact"/>
        <w:jc w:val="right"/>
        <w:rPr>
          <w:rFonts w:ascii="宋体" w:hAnsi="宋体" w:cs="宋体"/>
          <w:kern w:val="0"/>
          <w:sz w:val="24"/>
          <w:highlight w:val="none"/>
        </w:rPr>
      </w:pPr>
    </w:p>
    <w:p w14:paraId="404BEC8B">
      <w:pPr>
        <w:widowControl/>
        <w:wordWrap w:val="0"/>
        <w:spacing w:line="480" w:lineRule="exact"/>
        <w:jc w:val="right"/>
        <w:rPr>
          <w:rFonts w:ascii="宋体" w:hAnsi="宋体" w:cs="宋体"/>
          <w:kern w:val="0"/>
          <w:sz w:val="24"/>
          <w:highlight w:val="none"/>
        </w:rPr>
      </w:pPr>
    </w:p>
    <w:p w14:paraId="33C2331B">
      <w:pPr>
        <w:widowControl/>
        <w:wordWrap w:val="0"/>
        <w:snapToGrid w:val="0"/>
        <w:spacing w:line="460" w:lineRule="exact"/>
        <w:ind w:firstLine="2760" w:firstLineChars="1150"/>
        <w:jc w:val="left"/>
        <w:rPr>
          <w:rFonts w:ascii="宋体" w:hAnsi="宋体" w:cs="宋体"/>
          <w:kern w:val="0"/>
          <w:sz w:val="24"/>
          <w:highlight w:val="none"/>
        </w:rPr>
      </w:pPr>
      <w:r>
        <w:rPr>
          <w:rFonts w:hint="eastAsia" w:ascii="宋体" w:hAnsi="宋体" w:cs="宋体"/>
          <w:kern w:val="0"/>
          <w:sz w:val="24"/>
          <w:highlight w:val="none"/>
        </w:rPr>
        <w:t>供应商：（全称并加盖公章）</w:t>
      </w:r>
    </w:p>
    <w:p w14:paraId="6D8A552B">
      <w:pPr>
        <w:widowControl/>
        <w:wordWrap w:val="0"/>
        <w:spacing w:line="460" w:lineRule="exact"/>
        <w:ind w:left="3780" w:leftChars="1800" w:firstLine="480" w:firstLineChars="200"/>
        <w:jc w:val="left"/>
        <w:rPr>
          <w:rFonts w:ascii="宋体" w:hAnsi="宋体" w:cs="宋体"/>
          <w:kern w:val="0"/>
          <w:sz w:val="24"/>
          <w:highlight w:val="none"/>
        </w:rPr>
      </w:pPr>
      <w:r>
        <w:rPr>
          <w:rFonts w:hint="eastAsia" w:ascii="宋体" w:hAnsi="宋体" w:cs="宋体"/>
          <w:kern w:val="0"/>
          <w:sz w:val="24"/>
          <w:highlight w:val="none"/>
        </w:rPr>
        <w:t>年    月    日</w:t>
      </w:r>
    </w:p>
    <w:p w14:paraId="035892F0">
      <w:pPr>
        <w:rPr>
          <w:rFonts w:ascii="宋体" w:hAnsi="宋体" w:cs="宋体"/>
          <w:highlight w:val="none"/>
        </w:rPr>
      </w:pPr>
    </w:p>
    <w:p w14:paraId="35DF1189">
      <w:pPr>
        <w:rPr>
          <w:rFonts w:ascii="宋体" w:hAnsi="宋体" w:cs="宋体"/>
          <w:highlight w:val="none"/>
        </w:rPr>
      </w:pPr>
      <w:r>
        <w:rPr>
          <w:rFonts w:hint="eastAsia" w:ascii="宋体" w:hAnsi="宋体" w:cs="宋体"/>
          <w:highlight w:val="none"/>
        </w:rPr>
        <w:br w:type="page"/>
      </w:r>
    </w:p>
    <w:p w14:paraId="4A4A2777">
      <w:pPr>
        <w:pStyle w:val="2"/>
        <w:snapToGrid w:val="0"/>
        <w:spacing w:before="20" w:after="20" w:line="360" w:lineRule="auto"/>
        <w:jc w:val="center"/>
        <w:rPr>
          <w:rFonts w:ascii="宋体" w:hAnsi="宋体" w:eastAsia="宋体" w:cs="宋体"/>
          <w:sz w:val="28"/>
          <w:szCs w:val="28"/>
          <w:highlight w:val="none"/>
        </w:rPr>
      </w:pPr>
      <w:bookmarkStart w:id="88" w:name="_Toc30519"/>
      <w:bookmarkStart w:id="89" w:name="_Toc13976"/>
      <w:bookmarkStart w:id="90" w:name="_Toc12939"/>
      <w:r>
        <w:rPr>
          <w:rFonts w:hint="eastAsia" w:ascii="宋体" w:hAnsi="宋体" w:eastAsia="宋体" w:cs="宋体"/>
          <w:sz w:val="28"/>
          <w:szCs w:val="28"/>
          <w:highlight w:val="none"/>
        </w:rPr>
        <w:t>附件8         法定代表人授权书（格式）</w:t>
      </w:r>
      <w:bookmarkEnd w:id="88"/>
      <w:bookmarkEnd w:id="89"/>
      <w:bookmarkEnd w:id="90"/>
    </w:p>
    <w:p w14:paraId="01E6B2BA">
      <w:pPr>
        <w:widowControl/>
        <w:tabs>
          <w:tab w:val="left" w:pos="420"/>
          <w:tab w:val="left" w:pos="2160"/>
        </w:tabs>
        <w:wordWrap w:val="0"/>
        <w:spacing w:line="460" w:lineRule="exact"/>
        <w:ind w:firstLine="480" w:firstLineChars="200"/>
        <w:jc w:val="left"/>
        <w:rPr>
          <w:rFonts w:ascii="宋体" w:hAnsi="宋体" w:cs="宋体"/>
          <w:kern w:val="0"/>
          <w:sz w:val="24"/>
          <w:highlight w:val="none"/>
        </w:rPr>
      </w:pPr>
    </w:p>
    <w:p w14:paraId="478B8B47">
      <w:pPr>
        <w:widowControl/>
        <w:wordWrap w:val="0"/>
        <w:snapToGrid w:val="0"/>
        <w:spacing w:line="460" w:lineRule="exact"/>
        <w:jc w:val="left"/>
        <w:rPr>
          <w:rFonts w:ascii="宋体" w:hAnsi="宋体" w:cs="宋体"/>
          <w:b/>
          <w:bCs/>
          <w:kern w:val="0"/>
          <w:sz w:val="24"/>
          <w:highlight w:val="none"/>
        </w:rPr>
      </w:pPr>
      <w:r>
        <w:rPr>
          <w:rFonts w:hint="eastAsia" w:ascii="宋体" w:hAnsi="宋体" w:cs="宋体"/>
          <w:bCs/>
          <w:kern w:val="0"/>
          <w:sz w:val="24"/>
          <w:highlight w:val="none"/>
        </w:rPr>
        <w:t>致：</w:t>
      </w:r>
      <w:r>
        <w:rPr>
          <w:rFonts w:hint="eastAsia" w:ascii="宋体" w:hAnsi="宋体" w:cs="宋体"/>
          <w:kern w:val="0"/>
          <w:sz w:val="24"/>
          <w:highlight w:val="none"/>
        </w:rPr>
        <w:t>（采购人名称）：</w:t>
      </w:r>
    </w:p>
    <w:p w14:paraId="0633F69C">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我（姓名）系（供应商名称）的法定代表人，现委托 （姓名）为我方代理人。代理人根据本授权，以我方的名义参加项目的投标活动，并代表我方全权办理针对上述项目的磋商、开标、评审、签约等具体事务和签署相关文件。</w:t>
      </w:r>
    </w:p>
    <w:p w14:paraId="4297020E">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我方对代理人的签名负全部责任。在撤销授权的书面通知以前，本授权书一直有效。代理人在授权书有效期内签署的所有文件不因授权的撤销而失效。</w:t>
      </w:r>
    </w:p>
    <w:p w14:paraId="0364CAB4">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如果本次采购活动现场变更采购方式，本授权书有效。</w:t>
      </w:r>
    </w:p>
    <w:p w14:paraId="0A8798C6">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代理人无转委托权。</w:t>
      </w:r>
    </w:p>
    <w:p w14:paraId="5802AB3E">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委托期限：</w:t>
      </w:r>
    </w:p>
    <w:p w14:paraId="05EF5C29">
      <w:pPr>
        <w:widowControl/>
        <w:wordWrap w:val="0"/>
        <w:snapToGrid w:val="0"/>
        <w:spacing w:line="460" w:lineRule="exact"/>
        <w:ind w:firstLine="480" w:firstLineChars="200"/>
        <w:jc w:val="left"/>
        <w:rPr>
          <w:rFonts w:ascii="宋体" w:hAnsi="宋体" w:cs="宋体"/>
          <w:kern w:val="0"/>
          <w:sz w:val="24"/>
          <w:highlight w:val="none"/>
        </w:rPr>
      </w:pPr>
    </w:p>
    <w:p w14:paraId="65232DFD">
      <w:pPr>
        <w:widowControl/>
        <w:wordWrap w:val="0"/>
        <w:snapToGrid w:val="0"/>
        <w:spacing w:line="460" w:lineRule="exact"/>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委托代理人签名：             法定代表人签名或盖章：</w:t>
      </w:r>
    </w:p>
    <w:p w14:paraId="4169AFA1">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24C8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289402DF">
            <w:pPr>
              <w:widowControl/>
              <w:spacing w:line="480" w:lineRule="exact"/>
              <w:jc w:val="left"/>
              <w:rPr>
                <w:rFonts w:ascii="宋体" w:hAnsi="宋体" w:cs="宋体"/>
                <w:kern w:val="0"/>
                <w:sz w:val="24"/>
                <w:highlight w:val="none"/>
              </w:rPr>
            </w:pPr>
            <w:r>
              <w:rPr>
                <w:rFonts w:hint="eastAsia" w:ascii="宋体" w:hAnsi="宋体" w:cs="宋体"/>
                <w:bCs/>
                <w:kern w:val="0"/>
                <w:sz w:val="24"/>
                <w:highlight w:val="none"/>
              </w:rPr>
              <w:t>此处请粘贴</w:t>
            </w:r>
            <w:r>
              <w:rPr>
                <w:rFonts w:hint="eastAsia" w:ascii="宋体" w:hAnsi="宋体" w:cs="宋体"/>
                <w:kern w:val="0"/>
                <w:sz w:val="24"/>
                <w:highlight w:val="none"/>
              </w:rPr>
              <w:t>委托代理人</w:t>
            </w:r>
            <w:r>
              <w:rPr>
                <w:rFonts w:hint="eastAsia" w:ascii="宋体" w:hAnsi="宋体" w:cs="宋体"/>
                <w:bCs/>
                <w:kern w:val="0"/>
                <w:sz w:val="24"/>
                <w:highlight w:val="none"/>
              </w:rPr>
              <w:t>身份证复印件</w:t>
            </w:r>
          </w:p>
        </w:tc>
      </w:tr>
    </w:tbl>
    <w:p w14:paraId="33E29A3A">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委托代理人身份证号码：</w:t>
      </w:r>
    </w:p>
    <w:p w14:paraId="5A67ECEE">
      <w:pPr>
        <w:widowControl/>
        <w:wordWrap w:val="0"/>
        <w:spacing w:line="460" w:lineRule="exact"/>
        <w:ind w:firstLine="4800" w:firstLineChars="2000"/>
        <w:jc w:val="left"/>
        <w:rPr>
          <w:rFonts w:ascii="宋体" w:hAnsi="宋体" w:cs="宋体"/>
          <w:kern w:val="0"/>
          <w:sz w:val="24"/>
          <w:highlight w:val="none"/>
        </w:rPr>
      </w:pPr>
    </w:p>
    <w:p w14:paraId="05E0E687">
      <w:pPr>
        <w:widowControl/>
        <w:wordWrap w:val="0"/>
        <w:spacing w:line="360" w:lineRule="auto"/>
        <w:jc w:val="center"/>
        <w:rPr>
          <w:rFonts w:ascii="宋体" w:hAnsi="宋体" w:cs="宋体"/>
          <w:kern w:val="0"/>
          <w:sz w:val="24"/>
          <w:highlight w:val="none"/>
        </w:rPr>
      </w:pPr>
    </w:p>
    <w:p w14:paraId="02D6E225">
      <w:pPr>
        <w:widowControl/>
        <w:wordWrap w:val="0"/>
        <w:spacing w:line="360" w:lineRule="auto"/>
        <w:jc w:val="right"/>
        <w:rPr>
          <w:rFonts w:ascii="宋体" w:hAnsi="宋体" w:cs="宋体"/>
          <w:kern w:val="0"/>
          <w:sz w:val="24"/>
          <w:highlight w:val="none"/>
        </w:rPr>
      </w:pPr>
    </w:p>
    <w:p w14:paraId="7C658A40">
      <w:pPr>
        <w:widowControl/>
        <w:wordWrap w:val="0"/>
        <w:spacing w:line="360" w:lineRule="auto"/>
        <w:jc w:val="right"/>
        <w:rPr>
          <w:rFonts w:ascii="宋体" w:hAnsi="宋体" w:cs="宋体"/>
          <w:kern w:val="0"/>
          <w:sz w:val="24"/>
          <w:highlight w:val="none"/>
        </w:rPr>
      </w:pPr>
    </w:p>
    <w:p w14:paraId="3C40F27E">
      <w:pPr>
        <w:widowControl/>
        <w:wordWrap w:val="0"/>
        <w:spacing w:line="360" w:lineRule="auto"/>
        <w:jc w:val="right"/>
        <w:rPr>
          <w:rFonts w:ascii="宋体" w:hAnsi="宋体" w:cs="宋体"/>
          <w:kern w:val="0"/>
          <w:sz w:val="24"/>
          <w:highlight w:val="none"/>
        </w:rPr>
      </w:pPr>
    </w:p>
    <w:p w14:paraId="75A9D6EA">
      <w:pPr>
        <w:widowControl/>
        <w:wordWrap w:val="0"/>
        <w:spacing w:line="360" w:lineRule="auto"/>
        <w:jc w:val="right"/>
        <w:rPr>
          <w:rFonts w:ascii="宋体" w:hAnsi="宋体" w:cs="宋体"/>
          <w:kern w:val="0"/>
          <w:sz w:val="24"/>
          <w:highlight w:val="none"/>
        </w:rPr>
      </w:pPr>
    </w:p>
    <w:p w14:paraId="4E86F560">
      <w:pPr>
        <w:widowControl/>
        <w:wordWrap w:val="0"/>
        <w:spacing w:line="360" w:lineRule="auto"/>
        <w:jc w:val="right"/>
        <w:rPr>
          <w:rFonts w:ascii="宋体" w:hAnsi="宋体" w:cs="宋体"/>
          <w:kern w:val="0"/>
          <w:sz w:val="24"/>
          <w:highlight w:val="none"/>
        </w:rPr>
      </w:pPr>
    </w:p>
    <w:p w14:paraId="5BCBCFED">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供应商：（全称并加盖公章）</w:t>
      </w:r>
    </w:p>
    <w:p w14:paraId="3D96BC10">
      <w:pPr>
        <w:widowControl/>
        <w:wordWrap w:val="0"/>
        <w:spacing w:line="460" w:lineRule="exact"/>
        <w:ind w:firstLine="3840" w:firstLineChars="1600"/>
        <w:jc w:val="left"/>
        <w:rPr>
          <w:rFonts w:ascii="宋体" w:hAnsi="宋体" w:cs="宋体"/>
          <w:b/>
          <w:kern w:val="0"/>
          <w:sz w:val="32"/>
          <w:szCs w:val="32"/>
          <w:highlight w:val="none"/>
        </w:rPr>
      </w:pPr>
      <w:r>
        <w:rPr>
          <w:rFonts w:hint="eastAsia" w:ascii="宋体" w:hAnsi="宋体" w:cs="宋体"/>
          <w:kern w:val="0"/>
          <w:sz w:val="24"/>
          <w:highlight w:val="none"/>
        </w:rPr>
        <w:t>年    月    日</w:t>
      </w:r>
    </w:p>
    <w:p w14:paraId="57AC9DC7">
      <w:pPr>
        <w:widowControl/>
        <w:spacing w:line="360" w:lineRule="auto"/>
        <w:ind w:firstLine="7228" w:firstLineChars="2250"/>
        <w:jc w:val="left"/>
        <w:rPr>
          <w:rFonts w:ascii="宋体" w:hAnsi="宋体" w:cs="宋体"/>
          <w:b/>
          <w:kern w:val="0"/>
          <w:sz w:val="32"/>
          <w:szCs w:val="32"/>
          <w:highlight w:val="none"/>
        </w:rPr>
      </w:pPr>
    </w:p>
    <w:p w14:paraId="75F37B20">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7670F1CA">
      <w:pPr>
        <w:pStyle w:val="2"/>
        <w:snapToGrid w:val="0"/>
        <w:spacing w:before="20" w:after="20" w:line="360" w:lineRule="auto"/>
        <w:jc w:val="center"/>
        <w:rPr>
          <w:rFonts w:ascii="宋体" w:hAnsi="宋体" w:eastAsia="宋体" w:cs="宋体"/>
          <w:sz w:val="28"/>
          <w:szCs w:val="28"/>
          <w:highlight w:val="none"/>
        </w:rPr>
      </w:pPr>
      <w:bookmarkStart w:id="91" w:name="_Toc18105"/>
      <w:bookmarkStart w:id="92" w:name="_Toc24693"/>
      <w:bookmarkStart w:id="93" w:name="_Toc3342"/>
      <w:r>
        <w:rPr>
          <w:rFonts w:hint="eastAsia" w:ascii="宋体" w:hAnsi="宋体" w:eastAsia="宋体" w:cs="宋体"/>
          <w:sz w:val="28"/>
          <w:szCs w:val="28"/>
          <w:highlight w:val="none"/>
        </w:rPr>
        <w:t>附件9          证明文件</w:t>
      </w:r>
      <w:bookmarkEnd w:id="91"/>
      <w:bookmarkEnd w:id="92"/>
      <w:bookmarkEnd w:id="93"/>
    </w:p>
    <w:p w14:paraId="3216756C">
      <w:pPr>
        <w:pStyle w:val="13"/>
        <w:spacing w:beforeAutospacing="0" w:afterAutospacing="0" w:line="480" w:lineRule="auto"/>
        <w:ind w:firstLine="470" w:firstLineChars="224"/>
        <w:jc w:val="both"/>
        <w:rPr>
          <w:bCs/>
          <w:sz w:val="21"/>
          <w:szCs w:val="21"/>
          <w:highlight w:val="none"/>
        </w:rPr>
      </w:pPr>
      <w:r>
        <w:rPr>
          <w:rFonts w:hint="eastAsia"/>
          <w:bCs/>
          <w:sz w:val="21"/>
          <w:szCs w:val="21"/>
          <w:highlight w:val="none"/>
        </w:rPr>
        <w:t>9.1资格审查资料</w:t>
      </w:r>
    </w:p>
    <w:p w14:paraId="0B16C429">
      <w:pPr>
        <w:pStyle w:val="13"/>
        <w:spacing w:beforeAutospacing="0" w:afterAutospacing="0" w:line="480" w:lineRule="auto"/>
        <w:ind w:firstLine="470" w:firstLineChars="224"/>
        <w:jc w:val="both"/>
        <w:rPr>
          <w:bCs/>
          <w:sz w:val="21"/>
          <w:szCs w:val="21"/>
          <w:highlight w:val="none"/>
        </w:rPr>
      </w:pPr>
      <w:r>
        <w:rPr>
          <w:rFonts w:hint="eastAsia"/>
          <w:bCs/>
          <w:sz w:val="21"/>
          <w:szCs w:val="21"/>
          <w:highlight w:val="none"/>
        </w:rPr>
        <w:t>9.2技术参数</w:t>
      </w:r>
      <w:r>
        <w:rPr>
          <w:rFonts w:hint="eastAsia"/>
          <w:bCs/>
          <w:sz w:val="21"/>
          <w:szCs w:val="21"/>
          <w:highlight w:val="none"/>
          <w:lang w:val="en-US" w:eastAsia="zh-CN"/>
        </w:rPr>
        <w:t>证明</w:t>
      </w:r>
      <w:r>
        <w:rPr>
          <w:rFonts w:hint="eastAsia"/>
          <w:bCs/>
          <w:sz w:val="21"/>
          <w:szCs w:val="21"/>
          <w:highlight w:val="none"/>
        </w:rPr>
        <w:t>资料</w:t>
      </w:r>
    </w:p>
    <w:p w14:paraId="008B0E00">
      <w:pPr>
        <w:pStyle w:val="13"/>
        <w:spacing w:beforeAutospacing="0" w:afterAutospacing="0" w:line="480" w:lineRule="auto"/>
        <w:ind w:firstLine="470" w:firstLineChars="224"/>
        <w:jc w:val="both"/>
        <w:rPr>
          <w:bCs/>
          <w:sz w:val="21"/>
          <w:szCs w:val="21"/>
          <w:highlight w:val="none"/>
        </w:rPr>
      </w:pPr>
      <w:r>
        <w:rPr>
          <w:rFonts w:hint="eastAsia"/>
          <w:bCs/>
          <w:sz w:val="21"/>
          <w:szCs w:val="21"/>
          <w:highlight w:val="none"/>
        </w:rPr>
        <w:t>9.3</w:t>
      </w:r>
      <w:bookmarkStart w:id="94" w:name="_Toc17966"/>
      <w:r>
        <w:rPr>
          <w:rFonts w:hint="eastAsia"/>
          <w:bCs/>
          <w:sz w:val="21"/>
          <w:szCs w:val="21"/>
          <w:highlight w:val="none"/>
        </w:rPr>
        <w:t>评分标准中需提供的证明材料</w:t>
      </w:r>
    </w:p>
    <w:p w14:paraId="7E884FCB">
      <w:pPr>
        <w:pStyle w:val="13"/>
        <w:spacing w:beforeAutospacing="0" w:afterAutospacing="0" w:line="480" w:lineRule="auto"/>
        <w:ind w:firstLine="470" w:firstLineChars="224"/>
        <w:jc w:val="both"/>
        <w:rPr>
          <w:bCs/>
          <w:sz w:val="21"/>
          <w:szCs w:val="21"/>
          <w:highlight w:val="none"/>
        </w:rPr>
      </w:pPr>
      <w:r>
        <w:rPr>
          <w:rFonts w:hint="eastAsia"/>
          <w:bCs/>
          <w:sz w:val="21"/>
          <w:szCs w:val="21"/>
          <w:highlight w:val="none"/>
        </w:rPr>
        <w:t>9.4 供应商认为其他需要提供的证明材料</w:t>
      </w:r>
    </w:p>
    <w:p w14:paraId="723E8E76">
      <w:pPr>
        <w:pStyle w:val="13"/>
        <w:spacing w:beforeAutospacing="0" w:afterAutospacing="0" w:line="480" w:lineRule="auto"/>
        <w:ind w:firstLine="540" w:firstLineChars="224"/>
        <w:jc w:val="both"/>
        <w:rPr>
          <w:b/>
          <w:bCs/>
          <w:highlight w:val="none"/>
        </w:rPr>
      </w:pPr>
    </w:p>
    <w:p w14:paraId="7916CF9E">
      <w:pPr>
        <w:pStyle w:val="13"/>
        <w:spacing w:beforeAutospacing="0" w:afterAutospacing="0" w:line="480" w:lineRule="auto"/>
        <w:ind w:firstLine="540" w:firstLineChars="224"/>
        <w:jc w:val="both"/>
        <w:rPr>
          <w:b/>
          <w:bCs/>
          <w:highlight w:val="none"/>
        </w:rPr>
      </w:pPr>
    </w:p>
    <w:p w14:paraId="31330118">
      <w:pPr>
        <w:pStyle w:val="13"/>
        <w:spacing w:beforeAutospacing="0" w:afterAutospacing="0" w:line="480" w:lineRule="auto"/>
        <w:ind w:firstLine="540" w:firstLineChars="224"/>
        <w:jc w:val="both"/>
        <w:rPr>
          <w:b/>
          <w:bCs/>
          <w:highlight w:val="none"/>
        </w:rPr>
      </w:pPr>
    </w:p>
    <w:p w14:paraId="6C81A1E0">
      <w:pPr>
        <w:pStyle w:val="13"/>
        <w:spacing w:beforeAutospacing="0" w:afterAutospacing="0" w:line="480" w:lineRule="auto"/>
        <w:ind w:firstLine="540" w:firstLineChars="224"/>
        <w:jc w:val="both"/>
        <w:rPr>
          <w:b/>
          <w:bCs/>
          <w:highlight w:val="none"/>
        </w:rPr>
      </w:pPr>
    </w:p>
    <w:p w14:paraId="7E54430A">
      <w:pPr>
        <w:pStyle w:val="13"/>
        <w:spacing w:beforeAutospacing="0" w:afterAutospacing="0" w:line="480" w:lineRule="auto"/>
        <w:ind w:firstLine="540" w:firstLineChars="224"/>
        <w:jc w:val="both"/>
        <w:rPr>
          <w:b/>
          <w:bCs/>
          <w:highlight w:val="none"/>
        </w:rPr>
      </w:pPr>
    </w:p>
    <w:p w14:paraId="4760B097">
      <w:pPr>
        <w:pStyle w:val="13"/>
        <w:spacing w:beforeAutospacing="0" w:afterAutospacing="0" w:line="480" w:lineRule="auto"/>
        <w:ind w:firstLine="540" w:firstLineChars="224"/>
        <w:jc w:val="both"/>
        <w:rPr>
          <w:b/>
          <w:bCs/>
          <w:highlight w:val="none"/>
        </w:rPr>
      </w:pPr>
    </w:p>
    <w:p w14:paraId="5769A962">
      <w:pPr>
        <w:pStyle w:val="13"/>
        <w:spacing w:beforeAutospacing="0" w:afterAutospacing="0" w:line="480" w:lineRule="auto"/>
        <w:ind w:firstLine="540" w:firstLineChars="224"/>
        <w:jc w:val="both"/>
        <w:rPr>
          <w:b/>
          <w:bCs/>
          <w:highlight w:val="none"/>
        </w:rPr>
      </w:pPr>
    </w:p>
    <w:p w14:paraId="4AC3FA19">
      <w:pPr>
        <w:pStyle w:val="13"/>
        <w:spacing w:beforeAutospacing="0" w:afterAutospacing="0" w:line="480" w:lineRule="auto"/>
        <w:ind w:firstLine="540" w:firstLineChars="224"/>
        <w:jc w:val="both"/>
        <w:rPr>
          <w:b/>
          <w:bCs/>
          <w:highlight w:val="none"/>
        </w:rPr>
      </w:pPr>
    </w:p>
    <w:p w14:paraId="1451D07E">
      <w:pPr>
        <w:pStyle w:val="13"/>
        <w:spacing w:beforeAutospacing="0" w:afterAutospacing="0" w:line="480" w:lineRule="auto"/>
        <w:ind w:firstLine="540" w:firstLineChars="224"/>
        <w:jc w:val="both"/>
        <w:rPr>
          <w:b/>
          <w:bCs/>
          <w:highlight w:val="none"/>
        </w:rPr>
      </w:pPr>
    </w:p>
    <w:p w14:paraId="416076DB">
      <w:pPr>
        <w:pStyle w:val="13"/>
        <w:spacing w:beforeAutospacing="0" w:afterAutospacing="0" w:line="480" w:lineRule="auto"/>
        <w:ind w:firstLine="540" w:firstLineChars="224"/>
        <w:jc w:val="both"/>
        <w:rPr>
          <w:b/>
          <w:bCs/>
          <w:highlight w:val="none"/>
        </w:rPr>
      </w:pPr>
    </w:p>
    <w:p w14:paraId="54ADEAC7">
      <w:pPr>
        <w:pStyle w:val="13"/>
        <w:spacing w:beforeAutospacing="0" w:afterAutospacing="0" w:line="480" w:lineRule="auto"/>
        <w:ind w:firstLine="540" w:firstLineChars="224"/>
        <w:jc w:val="both"/>
        <w:rPr>
          <w:b/>
          <w:bCs/>
          <w:highlight w:val="none"/>
        </w:rPr>
      </w:pPr>
    </w:p>
    <w:p w14:paraId="25111281">
      <w:pPr>
        <w:pStyle w:val="13"/>
        <w:spacing w:beforeAutospacing="0" w:afterAutospacing="0" w:line="480" w:lineRule="auto"/>
        <w:ind w:firstLine="540" w:firstLineChars="224"/>
        <w:jc w:val="both"/>
        <w:rPr>
          <w:b/>
          <w:bCs/>
          <w:highlight w:val="none"/>
        </w:rPr>
      </w:pPr>
    </w:p>
    <w:p w14:paraId="5DEE7F0F">
      <w:pPr>
        <w:pStyle w:val="13"/>
        <w:spacing w:beforeAutospacing="0" w:afterAutospacing="0" w:line="480" w:lineRule="auto"/>
        <w:ind w:firstLine="540" w:firstLineChars="224"/>
        <w:jc w:val="both"/>
        <w:rPr>
          <w:b/>
          <w:bCs/>
          <w:highlight w:val="none"/>
        </w:rPr>
      </w:pPr>
    </w:p>
    <w:p w14:paraId="73001A1D">
      <w:pPr>
        <w:pStyle w:val="13"/>
        <w:spacing w:beforeAutospacing="0" w:afterAutospacing="0" w:line="480" w:lineRule="auto"/>
        <w:ind w:firstLine="540" w:firstLineChars="224"/>
        <w:jc w:val="both"/>
        <w:rPr>
          <w:b/>
          <w:bCs/>
          <w:highlight w:val="none"/>
        </w:rPr>
      </w:pPr>
    </w:p>
    <w:p w14:paraId="4C6B0AE0">
      <w:pPr>
        <w:pStyle w:val="13"/>
        <w:spacing w:beforeAutospacing="0" w:afterAutospacing="0" w:line="480" w:lineRule="auto"/>
        <w:ind w:firstLine="540" w:firstLineChars="224"/>
        <w:jc w:val="both"/>
        <w:rPr>
          <w:b/>
          <w:bCs/>
          <w:highlight w:val="none"/>
        </w:rPr>
      </w:pPr>
    </w:p>
    <w:p w14:paraId="63A7563C">
      <w:pPr>
        <w:pStyle w:val="13"/>
        <w:spacing w:beforeAutospacing="0" w:afterAutospacing="0" w:line="480" w:lineRule="auto"/>
        <w:ind w:firstLine="540" w:firstLineChars="224"/>
        <w:jc w:val="both"/>
        <w:rPr>
          <w:b/>
          <w:bCs/>
          <w:highlight w:val="none"/>
        </w:rPr>
      </w:pPr>
    </w:p>
    <w:p w14:paraId="0C0ECEF4">
      <w:pPr>
        <w:pStyle w:val="2"/>
        <w:snapToGrid w:val="0"/>
        <w:spacing w:before="20" w:after="20" w:line="360" w:lineRule="auto"/>
        <w:jc w:val="center"/>
        <w:rPr>
          <w:rFonts w:ascii="宋体" w:hAnsi="宋体" w:eastAsia="宋体" w:cs="宋体"/>
          <w:sz w:val="28"/>
          <w:szCs w:val="28"/>
          <w:highlight w:val="none"/>
        </w:rPr>
      </w:pPr>
      <w:bookmarkStart w:id="95" w:name="_Toc13726"/>
      <w:bookmarkStart w:id="96" w:name="_Toc16083"/>
      <w:bookmarkStart w:id="97" w:name="_Toc12888"/>
      <w:r>
        <w:rPr>
          <w:rFonts w:hint="eastAsia" w:ascii="宋体" w:hAnsi="宋体" w:eastAsia="宋体" w:cs="宋体"/>
          <w:sz w:val="28"/>
          <w:szCs w:val="28"/>
          <w:highlight w:val="none"/>
        </w:rPr>
        <w:t xml:space="preserve">附件10      </w:t>
      </w:r>
      <w:bookmarkEnd w:id="94"/>
      <w:r>
        <w:rPr>
          <w:rFonts w:hint="eastAsia" w:ascii="宋体" w:hAnsi="宋体" w:eastAsia="宋体" w:cs="宋体"/>
          <w:sz w:val="28"/>
          <w:szCs w:val="28"/>
          <w:highlight w:val="none"/>
        </w:rPr>
        <w:t>供 应 商 承 诺 书 （格式）</w:t>
      </w:r>
      <w:bookmarkEnd w:id="95"/>
      <w:bookmarkEnd w:id="96"/>
      <w:bookmarkEnd w:id="97"/>
    </w:p>
    <w:p w14:paraId="5801C893">
      <w:pPr>
        <w:rPr>
          <w:rFonts w:ascii="宋体" w:hAnsi="宋体" w:cs="宋体"/>
          <w:highlight w:val="none"/>
        </w:rPr>
      </w:pPr>
    </w:p>
    <w:p w14:paraId="0D04AD4F">
      <w:pPr>
        <w:snapToGrid w:val="0"/>
        <w:spacing w:line="480" w:lineRule="auto"/>
        <w:ind w:firstLine="640"/>
        <w:rPr>
          <w:rFonts w:ascii="宋体" w:hAnsi="宋体" w:cs="宋体"/>
          <w:sz w:val="24"/>
          <w:highlight w:val="none"/>
        </w:rPr>
      </w:pPr>
      <w:r>
        <w:rPr>
          <w:rFonts w:hint="eastAsia" w:ascii="宋体" w:hAnsi="宋体" w:cs="宋体"/>
          <w:sz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799A1263">
      <w:pPr>
        <w:snapToGrid w:val="0"/>
        <w:spacing w:line="480" w:lineRule="auto"/>
        <w:ind w:firstLine="640"/>
        <w:rPr>
          <w:rFonts w:ascii="宋体" w:hAnsi="宋体" w:cs="宋体"/>
          <w:sz w:val="24"/>
          <w:highlight w:val="none"/>
        </w:rPr>
      </w:pPr>
      <w:r>
        <w:rPr>
          <w:rFonts w:hint="eastAsia" w:ascii="宋体" w:hAnsi="宋体" w:cs="宋体"/>
          <w:sz w:val="24"/>
          <w:highlight w:val="none"/>
        </w:rPr>
        <w:t>1、遵循公开、公平、公正和诚实信用的原则自愿参加，所提供的一切材料真实、有效、合法。</w:t>
      </w:r>
    </w:p>
    <w:p w14:paraId="40FB5381">
      <w:pPr>
        <w:snapToGrid w:val="0"/>
        <w:spacing w:line="480" w:lineRule="auto"/>
        <w:ind w:firstLine="640"/>
        <w:rPr>
          <w:rFonts w:ascii="宋体" w:hAnsi="宋体" w:cs="宋体"/>
          <w:sz w:val="24"/>
          <w:highlight w:val="none"/>
        </w:rPr>
      </w:pPr>
      <w:r>
        <w:rPr>
          <w:rFonts w:hint="eastAsia" w:ascii="宋体" w:hAnsi="宋体" w:cs="宋体"/>
          <w:sz w:val="24"/>
          <w:highlight w:val="none"/>
        </w:rPr>
        <w:t>2、遵守甲方采购纪律，诚实守信地为甲方提供安全可靠的产品、服务及相关技术，保证质量并主动做好售后服务工作。</w:t>
      </w:r>
    </w:p>
    <w:p w14:paraId="118C0F29">
      <w:pPr>
        <w:snapToGrid w:val="0"/>
        <w:spacing w:line="480" w:lineRule="auto"/>
        <w:ind w:firstLine="640"/>
        <w:rPr>
          <w:rFonts w:ascii="宋体" w:hAnsi="宋体" w:cs="宋体"/>
          <w:sz w:val="24"/>
          <w:highlight w:val="none"/>
        </w:rPr>
      </w:pPr>
      <w:r>
        <w:rPr>
          <w:rFonts w:hint="eastAsia" w:ascii="宋体" w:hAnsi="宋体" w:cs="宋体"/>
          <w:sz w:val="24"/>
          <w:highlight w:val="none"/>
        </w:rPr>
        <w:t>3、杜绝利用提供财物或给予其他不正当利益谋取中标的不良行为。</w:t>
      </w:r>
    </w:p>
    <w:p w14:paraId="18F48BB5">
      <w:pPr>
        <w:snapToGrid w:val="0"/>
        <w:spacing w:line="480" w:lineRule="auto"/>
        <w:ind w:firstLine="640"/>
        <w:rPr>
          <w:rFonts w:ascii="宋体" w:hAnsi="宋体" w:cs="宋体"/>
          <w:sz w:val="24"/>
          <w:highlight w:val="none"/>
        </w:rPr>
      </w:pPr>
      <w:r>
        <w:rPr>
          <w:rFonts w:hint="eastAsia" w:ascii="宋体" w:hAnsi="宋体" w:cs="宋体"/>
          <w:sz w:val="24"/>
          <w:highlight w:val="none"/>
        </w:rPr>
        <w:t>4、不发生其他任何可能影响甲方工作人员公正执行公务或者职务廉洁的行为。</w:t>
      </w:r>
    </w:p>
    <w:p w14:paraId="767C95D4">
      <w:pPr>
        <w:snapToGrid w:val="0"/>
        <w:spacing w:line="480" w:lineRule="auto"/>
        <w:ind w:firstLine="640"/>
        <w:rPr>
          <w:rFonts w:ascii="宋体" w:hAnsi="宋体" w:cs="宋体"/>
          <w:sz w:val="24"/>
          <w:highlight w:val="none"/>
        </w:rPr>
      </w:pPr>
      <w:r>
        <w:rPr>
          <w:rFonts w:hint="eastAsia" w:ascii="宋体" w:hAnsi="宋体" w:cs="宋体"/>
          <w:sz w:val="24"/>
          <w:highlight w:val="none"/>
        </w:rPr>
        <w:t>5、不参与串标、围标或其他不正当竞争行为；杜绝以虚报资质、业绩或其他弄虚作假等方式骗取中标。</w:t>
      </w:r>
    </w:p>
    <w:p w14:paraId="1CF70E90">
      <w:pPr>
        <w:snapToGrid w:val="0"/>
        <w:spacing w:line="480" w:lineRule="auto"/>
        <w:ind w:firstLine="640"/>
        <w:rPr>
          <w:rFonts w:ascii="宋体" w:hAnsi="宋体" w:cs="宋体"/>
          <w:sz w:val="24"/>
          <w:highlight w:val="none"/>
        </w:rPr>
      </w:pPr>
      <w:r>
        <w:rPr>
          <w:rFonts w:hint="eastAsia" w:ascii="宋体" w:hAnsi="宋体" w:cs="宋体"/>
          <w:sz w:val="24"/>
          <w:highlight w:val="none"/>
        </w:rPr>
        <w:t>6、响应时，杜绝擅自修改采购文件或技术标准（包括差异表）技术配置的行为。</w:t>
      </w:r>
    </w:p>
    <w:p w14:paraId="62AA0103">
      <w:pPr>
        <w:snapToGrid w:val="0"/>
        <w:spacing w:line="480" w:lineRule="auto"/>
        <w:ind w:firstLine="640"/>
        <w:rPr>
          <w:rFonts w:ascii="宋体" w:hAnsi="宋体" w:cs="宋体"/>
          <w:sz w:val="24"/>
          <w:highlight w:val="none"/>
        </w:rPr>
      </w:pPr>
      <w:r>
        <w:rPr>
          <w:rFonts w:hint="eastAsia" w:ascii="宋体" w:hAnsi="宋体" w:cs="宋体"/>
          <w:sz w:val="24"/>
          <w:highlight w:val="none"/>
        </w:rPr>
        <w:t>7、严格按照采购、响应文件要求签订合同，不违反法律无故拒签合同，不签订背离合同（或技术协议书）实质性内容的协议。</w:t>
      </w:r>
    </w:p>
    <w:p w14:paraId="05AC179D">
      <w:pPr>
        <w:snapToGrid w:val="0"/>
        <w:spacing w:line="480" w:lineRule="auto"/>
        <w:rPr>
          <w:rFonts w:ascii="宋体" w:hAnsi="宋体" w:cs="宋体"/>
          <w:sz w:val="24"/>
          <w:highlight w:val="none"/>
        </w:rPr>
      </w:pPr>
    </w:p>
    <w:p w14:paraId="7606577A">
      <w:pPr>
        <w:snapToGrid w:val="0"/>
        <w:spacing w:line="480" w:lineRule="auto"/>
        <w:rPr>
          <w:rFonts w:ascii="宋体" w:hAnsi="宋体" w:cs="宋体"/>
          <w:sz w:val="24"/>
          <w:highlight w:val="none"/>
        </w:rPr>
      </w:pPr>
      <w:r>
        <w:rPr>
          <w:rFonts w:hint="eastAsia" w:ascii="宋体" w:hAnsi="宋体" w:cs="宋体"/>
          <w:sz w:val="24"/>
          <w:highlight w:val="none"/>
        </w:rPr>
        <w:t xml:space="preserve">供应商（公司名称）：               </w:t>
      </w:r>
    </w:p>
    <w:p w14:paraId="14C4D2D2">
      <w:pPr>
        <w:snapToGrid w:val="0"/>
        <w:spacing w:line="480" w:lineRule="auto"/>
        <w:rPr>
          <w:rFonts w:ascii="宋体" w:hAnsi="宋体" w:cs="宋体"/>
          <w:sz w:val="28"/>
          <w:szCs w:val="28"/>
          <w:highlight w:val="none"/>
        </w:rPr>
      </w:pPr>
      <w:r>
        <w:rPr>
          <w:rFonts w:hint="eastAsia" w:ascii="宋体" w:hAnsi="宋体" w:cs="宋体"/>
          <w:sz w:val="24"/>
          <w:highlight w:val="none"/>
        </w:rPr>
        <w:t>法定代表人或委托人（签字或盖章）：                   年   月   日</w:t>
      </w:r>
    </w:p>
    <w:p w14:paraId="0F165E98">
      <w:pPr>
        <w:widowControl/>
        <w:spacing w:line="360" w:lineRule="auto"/>
        <w:ind w:firstLine="4305" w:firstLineChars="2050"/>
        <w:jc w:val="left"/>
        <w:rPr>
          <w:rFonts w:ascii="宋体" w:hAnsi="宋体" w:cs="宋体"/>
          <w:kern w:val="0"/>
          <w:szCs w:val="21"/>
          <w:highlight w:val="none"/>
        </w:rPr>
      </w:pPr>
    </w:p>
    <w:p w14:paraId="14A455DA">
      <w:pPr>
        <w:pStyle w:val="33"/>
        <w:ind w:firstLine="210"/>
        <w:rPr>
          <w:rFonts w:ascii="宋体" w:hAnsi="宋体" w:cs="宋体"/>
          <w:kern w:val="0"/>
          <w:highlight w:val="none"/>
        </w:rPr>
      </w:pPr>
    </w:p>
    <w:p w14:paraId="2A09D340">
      <w:pPr>
        <w:pStyle w:val="7"/>
        <w:ind w:firstLine="480"/>
        <w:rPr>
          <w:szCs w:val="21"/>
          <w:highlight w:val="none"/>
        </w:rPr>
      </w:pPr>
    </w:p>
    <w:p w14:paraId="5CD3B15C">
      <w:pPr>
        <w:pStyle w:val="13"/>
        <w:rPr>
          <w:highlight w:val="none"/>
        </w:rPr>
      </w:pPr>
    </w:p>
    <w:p w14:paraId="7337A3C3">
      <w:pPr>
        <w:pStyle w:val="2"/>
        <w:snapToGrid w:val="0"/>
        <w:spacing w:before="20" w:after="20"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附件11     供应商信用承诺函（格式）</w:t>
      </w:r>
    </w:p>
    <w:p w14:paraId="5E5528E4">
      <w:pPr>
        <w:snapToGrid w:val="0"/>
        <w:spacing w:line="360" w:lineRule="auto"/>
        <w:ind w:firstLine="641"/>
        <w:rPr>
          <w:rFonts w:ascii="宋体" w:hAnsi="宋体" w:cs="宋体"/>
          <w:szCs w:val="21"/>
          <w:highlight w:val="none"/>
        </w:rPr>
      </w:pPr>
      <w:r>
        <w:rPr>
          <w:rFonts w:hint="eastAsia" w:ascii="宋体" w:hAnsi="宋体" w:cs="宋体"/>
          <w:szCs w:val="21"/>
          <w:highlight w:val="none"/>
        </w:rPr>
        <w:t>致（采购人或政府采购代理机构）：</w:t>
      </w:r>
    </w:p>
    <w:p w14:paraId="167573D8">
      <w:pPr>
        <w:snapToGrid w:val="0"/>
        <w:spacing w:line="360" w:lineRule="auto"/>
        <w:ind w:firstLine="641"/>
        <w:rPr>
          <w:rFonts w:ascii="宋体" w:hAnsi="宋体" w:cs="宋体"/>
          <w:szCs w:val="21"/>
          <w:highlight w:val="none"/>
        </w:rPr>
      </w:pPr>
      <w:r>
        <w:rPr>
          <w:rFonts w:hint="eastAsia" w:ascii="宋体" w:hAnsi="宋体" w:cs="宋体"/>
          <w:szCs w:val="21"/>
          <w:highlight w:val="none"/>
        </w:rPr>
        <w:t>单位名称（自然人姓名）：</w:t>
      </w:r>
    </w:p>
    <w:p w14:paraId="72B81AA9">
      <w:pPr>
        <w:snapToGrid w:val="0"/>
        <w:spacing w:line="360" w:lineRule="auto"/>
        <w:ind w:firstLine="641"/>
        <w:rPr>
          <w:rFonts w:ascii="宋体" w:hAnsi="宋体" w:cs="宋体"/>
          <w:szCs w:val="21"/>
          <w:highlight w:val="none"/>
        </w:rPr>
      </w:pPr>
      <w:r>
        <w:rPr>
          <w:rFonts w:hint="eastAsia" w:ascii="宋体" w:hAnsi="宋体" w:cs="宋体"/>
          <w:szCs w:val="21"/>
          <w:highlight w:val="none"/>
        </w:rPr>
        <w:t>统一社会信用代码（身份证号码）：</w:t>
      </w:r>
    </w:p>
    <w:p w14:paraId="4F1D701C">
      <w:pPr>
        <w:snapToGrid w:val="0"/>
        <w:spacing w:line="360" w:lineRule="auto"/>
        <w:ind w:firstLine="641"/>
        <w:rPr>
          <w:rFonts w:ascii="宋体" w:hAnsi="宋体" w:cs="宋体"/>
          <w:szCs w:val="21"/>
          <w:highlight w:val="none"/>
        </w:rPr>
      </w:pPr>
      <w:r>
        <w:rPr>
          <w:rFonts w:hint="eastAsia" w:ascii="宋体" w:hAnsi="宋体" w:cs="宋体"/>
          <w:szCs w:val="21"/>
          <w:highlight w:val="none"/>
        </w:rPr>
        <w:t>法定代表人（负责人）：</w:t>
      </w:r>
    </w:p>
    <w:p w14:paraId="6FC45AFC">
      <w:pPr>
        <w:snapToGrid w:val="0"/>
        <w:spacing w:line="360" w:lineRule="auto"/>
        <w:ind w:firstLine="641"/>
        <w:rPr>
          <w:rFonts w:ascii="宋体" w:hAnsi="宋体" w:cs="宋体"/>
          <w:szCs w:val="21"/>
          <w:highlight w:val="none"/>
        </w:rPr>
      </w:pPr>
      <w:r>
        <w:rPr>
          <w:rFonts w:hint="eastAsia" w:ascii="宋体" w:hAnsi="宋体" w:cs="宋体"/>
          <w:szCs w:val="21"/>
          <w:highlight w:val="none"/>
        </w:rPr>
        <w:t>联系地址和电话：</w:t>
      </w:r>
    </w:p>
    <w:p w14:paraId="62CEDE8B">
      <w:pPr>
        <w:snapToGrid w:val="0"/>
        <w:spacing w:line="360" w:lineRule="auto"/>
        <w:ind w:firstLine="641"/>
        <w:rPr>
          <w:rFonts w:ascii="宋体" w:hAnsi="宋体" w:cs="宋体"/>
          <w:szCs w:val="21"/>
          <w:highlight w:val="none"/>
        </w:rPr>
      </w:pPr>
      <w:r>
        <w:rPr>
          <w:rFonts w:hint="eastAsia" w:ascii="宋体" w:hAnsi="宋体" w:cs="宋体"/>
          <w:szCs w:val="21"/>
          <w:highlight w:val="none"/>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F8A34D6">
      <w:pPr>
        <w:snapToGrid w:val="0"/>
        <w:spacing w:line="360" w:lineRule="auto"/>
        <w:ind w:firstLine="641"/>
        <w:rPr>
          <w:rFonts w:ascii="宋体" w:hAnsi="宋体" w:cs="宋体"/>
          <w:szCs w:val="21"/>
          <w:highlight w:val="none"/>
        </w:rPr>
      </w:pPr>
      <w:r>
        <w:rPr>
          <w:rFonts w:hint="eastAsia" w:ascii="宋体" w:hAnsi="宋体" w:cs="宋体"/>
          <w:szCs w:val="21"/>
          <w:highlight w:val="none"/>
        </w:rPr>
        <w:t>（一）具有独立承担民事责任的能力；</w:t>
      </w:r>
    </w:p>
    <w:p w14:paraId="45882D60">
      <w:pPr>
        <w:snapToGrid w:val="0"/>
        <w:spacing w:line="360" w:lineRule="auto"/>
        <w:ind w:firstLine="641"/>
        <w:rPr>
          <w:rFonts w:ascii="宋体" w:hAnsi="宋体" w:cs="宋体"/>
          <w:szCs w:val="21"/>
          <w:highlight w:val="none"/>
        </w:rPr>
      </w:pPr>
      <w:r>
        <w:rPr>
          <w:rFonts w:hint="eastAsia" w:ascii="宋体" w:hAnsi="宋体" w:cs="宋体"/>
          <w:szCs w:val="21"/>
          <w:highlight w:val="none"/>
        </w:rPr>
        <w:t>（二）具有良好的商业信誉和健全的财务会计制度；</w:t>
      </w:r>
    </w:p>
    <w:p w14:paraId="77FB8DB9">
      <w:pPr>
        <w:snapToGrid w:val="0"/>
        <w:spacing w:line="360" w:lineRule="auto"/>
        <w:ind w:firstLine="641"/>
        <w:rPr>
          <w:rFonts w:ascii="宋体" w:hAnsi="宋体" w:cs="宋体"/>
          <w:szCs w:val="21"/>
          <w:highlight w:val="none"/>
        </w:rPr>
      </w:pPr>
      <w:r>
        <w:rPr>
          <w:rFonts w:hint="eastAsia" w:ascii="宋体" w:hAnsi="宋体" w:cs="宋体"/>
          <w:szCs w:val="21"/>
          <w:highlight w:val="none"/>
        </w:rPr>
        <w:t>（三）具有履行合同所必需的设备和专业技术能力；</w:t>
      </w:r>
    </w:p>
    <w:p w14:paraId="1C7EA8DD">
      <w:pPr>
        <w:snapToGrid w:val="0"/>
        <w:spacing w:line="360" w:lineRule="auto"/>
        <w:ind w:firstLine="641"/>
        <w:rPr>
          <w:rFonts w:ascii="宋体" w:hAnsi="宋体" w:cs="宋体"/>
          <w:szCs w:val="21"/>
          <w:highlight w:val="none"/>
        </w:rPr>
      </w:pPr>
      <w:r>
        <w:rPr>
          <w:rFonts w:hint="eastAsia" w:ascii="宋体" w:hAnsi="宋体" w:cs="宋体"/>
          <w:szCs w:val="21"/>
          <w:highlight w:val="none"/>
        </w:rPr>
        <w:t>（四）有依法缴纳税收和社会保障资金的良好记录；</w:t>
      </w:r>
    </w:p>
    <w:p w14:paraId="414EB7F5">
      <w:pPr>
        <w:snapToGrid w:val="0"/>
        <w:spacing w:line="360" w:lineRule="auto"/>
        <w:ind w:firstLine="641"/>
        <w:rPr>
          <w:rFonts w:ascii="宋体" w:hAnsi="宋体" w:cs="宋体"/>
          <w:szCs w:val="21"/>
          <w:highlight w:val="none"/>
        </w:rPr>
      </w:pPr>
      <w:r>
        <w:rPr>
          <w:rFonts w:hint="eastAsia" w:ascii="宋体" w:hAnsi="宋体" w:cs="宋体"/>
          <w:szCs w:val="21"/>
          <w:highlight w:val="none"/>
        </w:rPr>
        <w:t>（五）参加政府采购活动前三年内，在经营活动中没有重大违法记录；</w:t>
      </w:r>
    </w:p>
    <w:p w14:paraId="160BEC5A">
      <w:pPr>
        <w:snapToGrid w:val="0"/>
        <w:spacing w:line="360" w:lineRule="auto"/>
        <w:ind w:firstLine="641"/>
        <w:rPr>
          <w:rFonts w:ascii="宋体" w:hAnsi="宋体" w:cs="宋体"/>
          <w:szCs w:val="21"/>
          <w:highlight w:val="none"/>
        </w:rPr>
      </w:pPr>
      <w:r>
        <w:rPr>
          <w:rFonts w:hint="eastAsia" w:ascii="宋体" w:hAnsi="宋体" w:cs="宋体"/>
          <w:szCs w:val="21"/>
          <w:highlight w:val="none"/>
        </w:rPr>
        <w:t>（六）未被列入严重失信主体名单、失信被执行人、税收违法黑名单、政府采购严重违法失信行为记录名单，未曾作出虚假承诺；</w:t>
      </w:r>
    </w:p>
    <w:p w14:paraId="7C831176">
      <w:pPr>
        <w:snapToGrid w:val="0"/>
        <w:spacing w:line="360" w:lineRule="auto"/>
        <w:ind w:firstLine="641"/>
        <w:rPr>
          <w:rFonts w:ascii="宋体" w:hAnsi="宋体" w:cs="宋体"/>
          <w:szCs w:val="21"/>
          <w:highlight w:val="none"/>
        </w:rPr>
      </w:pPr>
      <w:r>
        <w:rPr>
          <w:rFonts w:hint="eastAsia" w:ascii="宋体" w:hAnsi="宋体" w:cs="宋体"/>
          <w:szCs w:val="21"/>
          <w:highlight w:val="none"/>
        </w:rPr>
        <w:t>（七）符合法律、行政法规规定的其他条件。</w:t>
      </w:r>
    </w:p>
    <w:p w14:paraId="0949D86B">
      <w:pPr>
        <w:snapToGrid w:val="0"/>
        <w:spacing w:line="360" w:lineRule="auto"/>
        <w:ind w:firstLine="641"/>
        <w:rPr>
          <w:rFonts w:ascii="宋体" w:hAnsi="宋体" w:cs="宋体"/>
          <w:szCs w:val="21"/>
          <w:highlight w:val="none"/>
        </w:rPr>
      </w:pPr>
      <w:r>
        <w:rPr>
          <w:rFonts w:hint="eastAsia" w:ascii="宋体" w:hAnsi="宋体" w:cs="宋体"/>
          <w:szCs w:val="21"/>
          <w:highlight w:val="none"/>
        </w:rPr>
        <w:t>我单位（本人）保证上述承诺事项的真实性，如有弄虚作假或其他违法违规行为，愿意承担一切法律责任，并承担因此所造成的一切损失。</w:t>
      </w:r>
    </w:p>
    <w:p w14:paraId="7FA8C737">
      <w:pPr>
        <w:snapToGrid w:val="0"/>
        <w:spacing w:line="360" w:lineRule="auto"/>
        <w:ind w:firstLine="641"/>
        <w:rPr>
          <w:rFonts w:ascii="宋体" w:hAnsi="宋体" w:cs="宋体"/>
          <w:szCs w:val="21"/>
          <w:highlight w:val="none"/>
        </w:rPr>
      </w:pPr>
    </w:p>
    <w:p w14:paraId="3348B676">
      <w:pPr>
        <w:snapToGrid w:val="0"/>
        <w:spacing w:line="360" w:lineRule="auto"/>
        <w:ind w:firstLine="641"/>
        <w:rPr>
          <w:rFonts w:ascii="宋体" w:hAnsi="宋体" w:cs="宋体"/>
          <w:szCs w:val="21"/>
          <w:highlight w:val="none"/>
        </w:rPr>
      </w:pPr>
      <w:r>
        <w:rPr>
          <w:rFonts w:hint="eastAsia" w:ascii="宋体" w:hAnsi="宋体" w:cs="宋体"/>
          <w:szCs w:val="21"/>
          <w:highlight w:val="none"/>
        </w:rPr>
        <w:t>供应商名称（盖章）：</w:t>
      </w:r>
    </w:p>
    <w:p w14:paraId="6295D175">
      <w:pPr>
        <w:snapToGrid w:val="0"/>
        <w:spacing w:line="360" w:lineRule="auto"/>
        <w:ind w:firstLine="641"/>
        <w:rPr>
          <w:rFonts w:ascii="宋体" w:hAnsi="宋体" w:cs="宋体"/>
          <w:szCs w:val="21"/>
          <w:highlight w:val="none"/>
        </w:rPr>
      </w:pPr>
      <w:r>
        <w:rPr>
          <w:rFonts w:hint="eastAsia" w:ascii="宋体" w:hAnsi="宋体" w:cs="宋体"/>
          <w:szCs w:val="21"/>
          <w:highlight w:val="none"/>
        </w:rPr>
        <w:t>法定代表人、负责人、自然人或授权代表(签字或盖章)：</w:t>
      </w:r>
    </w:p>
    <w:p w14:paraId="115C6684">
      <w:pPr>
        <w:snapToGrid w:val="0"/>
        <w:spacing w:line="360" w:lineRule="auto"/>
        <w:ind w:firstLine="641"/>
        <w:rPr>
          <w:rFonts w:ascii="宋体" w:hAnsi="宋体" w:cs="宋体"/>
          <w:szCs w:val="21"/>
          <w:highlight w:val="none"/>
        </w:rPr>
      </w:pPr>
      <w:r>
        <w:rPr>
          <w:rFonts w:hint="eastAsia" w:ascii="宋体" w:hAnsi="宋体" w:cs="宋体"/>
          <w:szCs w:val="21"/>
          <w:highlight w:val="none"/>
        </w:rPr>
        <w:t>日期：       年      月       日</w:t>
      </w:r>
    </w:p>
    <w:p w14:paraId="58DDB480">
      <w:pPr>
        <w:snapToGrid w:val="0"/>
        <w:spacing w:line="360" w:lineRule="auto"/>
        <w:ind w:firstLine="641"/>
        <w:rPr>
          <w:rFonts w:ascii="宋体" w:hAnsi="宋体" w:cs="宋体"/>
          <w:szCs w:val="21"/>
          <w:highlight w:val="none"/>
        </w:rPr>
      </w:pPr>
    </w:p>
    <w:p w14:paraId="5F9BAFD8">
      <w:pPr>
        <w:snapToGrid w:val="0"/>
        <w:spacing w:line="360" w:lineRule="auto"/>
        <w:ind w:firstLine="641"/>
        <w:rPr>
          <w:rFonts w:ascii="宋体" w:hAnsi="宋体" w:cs="宋体"/>
          <w:szCs w:val="21"/>
          <w:highlight w:val="none"/>
        </w:rPr>
      </w:pPr>
    </w:p>
    <w:p w14:paraId="4EA886C4">
      <w:pPr>
        <w:snapToGrid w:val="0"/>
        <w:spacing w:line="360" w:lineRule="auto"/>
        <w:ind w:firstLine="641"/>
        <w:rPr>
          <w:rFonts w:ascii="宋体" w:hAnsi="宋体" w:cs="宋体"/>
          <w:szCs w:val="21"/>
          <w:highlight w:val="none"/>
        </w:rPr>
      </w:pPr>
      <w:r>
        <w:rPr>
          <w:rFonts w:hint="eastAsia" w:ascii="宋体" w:hAnsi="宋体" w:cs="宋体"/>
          <w:szCs w:val="21"/>
          <w:highlight w:val="none"/>
        </w:rPr>
        <w:t>注：1.供应商须在投标（响应性）文件中按此模板提供承诺函，未提供视为未实质性响应招标文件要求，按无效投标（响应）处理。</w:t>
      </w:r>
    </w:p>
    <w:p w14:paraId="4F72D742">
      <w:pPr>
        <w:snapToGrid w:val="0"/>
        <w:spacing w:line="360" w:lineRule="auto"/>
        <w:ind w:firstLine="641"/>
        <w:rPr>
          <w:rFonts w:ascii="宋体" w:hAnsi="宋体" w:cs="宋体"/>
          <w:szCs w:val="21"/>
          <w:highlight w:val="none"/>
        </w:rPr>
      </w:pPr>
      <w:r>
        <w:rPr>
          <w:rFonts w:hint="eastAsia" w:ascii="宋体" w:hAnsi="宋体" w:cs="宋体"/>
          <w:szCs w:val="21"/>
          <w:highlight w:val="none"/>
        </w:rPr>
        <w:t>2.供应商的法定代表人或者授权代表的签字或盖章应真实、有效，如由授权代表签字或盖章的，应提供“法定代表人授权书”。</w:t>
      </w:r>
    </w:p>
    <w:p w14:paraId="49812C70">
      <w:pPr>
        <w:pStyle w:val="13"/>
        <w:spacing w:beforeAutospacing="0" w:afterAutospacing="0" w:line="460" w:lineRule="atLeast"/>
        <w:jc w:val="both"/>
        <w:rPr>
          <w:b/>
          <w:bCs/>
          <w:sz w:val="28"/>
          <w:szCs w:val="28"/>
          <w:highlight w:val="none"/>
        </w:rPr>
        <w:sectPr>
          <w:pgSz w:w="11906" w:h="16838"/>
          <w:pgMar w:top="1417" w:right="1474" w:bottom="1417" w:left="1474" w:header="851" w:footer="624" w:gutter="0"/>
          <w:cols w:space="720" w:num="1"/>
          <w:docGrid w:type="lines" w:linePitch="319" w:charSpace="0"/>
        </w:sectPr>
      </w:pPr>
    </w:p>
    <w:p w14:paraId="04070FA3">
      <w:pPr>
        <w:rPr>
          <w:rFonts w:ascii="宋体" w:hAnsi="宋体" w:cs="宋体"/>
          <w:highlight w:val="none"/>
        </w:rPr>
      </w:pPr>
      <w:bookmarkStart w:id="98" w:name="_Toc25094"/>
      <w:bookmarkStart w:id="99" w:name="_Toc23394"/>
      <w:bookmarkStart w:id="100" w:name="_Toc31685"/>
    </w:p>
    <w:p w14:paraId="152A9EA2">
      <w:pPr>
        <w:pStyle w:val="2"/>
        <w:snapToGrid w:val="0"/>
        <w:spacing w:before="20" w:after="20" w:line="360" w:lineRule="auto"/>
        <w:jc w:val="center"/>
        <w:rPr>
          <w:rFonts w:ascii="宋体" w:hAnsi="宋体" w:eastAsia="宋体" w:cs="宋体"/>
          <w:highlight w:val="none"/>
        </w:rPr>
      </w:pPr>
      <w:r>
        <w:rPr>
          <w:rFonts w:hint="eastAsia" w:ascii="宋体" w:hAnsi="宋体" w:eastAsia="宋体" w:cs="宋体"/>
          <w:highlight w:val="none"/>
        </w:rPr>
        <w:t>供应商认为有必要的其他资料</w:t>
      </w:r>
      <w:bookmarkEnd w:id="98"/>
      <w:bookmarkEnd w:id="99"/>
      <w:bookmarkEnd w:id="100"/>
    </w:p>
    <w:p w14:paraId="795DAD79">
      <w:pPr>
        <w:widowControl/>
        <w:spacing w:line="360" w:lineRule="auto"/>
        <w:ind w:firstLine="420" w:firstLineChars="200"/>
        <w:jc w:val="left"/>
        <w:rPr>
          <w:rFonts w:ascii="宋体" w:hAnsi="宋体" w:cs="宋体"/>
          <w:kern w:val="0"/>
          <w:sz w:val="24"/>
          <w:highlight w:val="none"/>
        </w:rPr>
      </w:pPr>
      <w:r>
        <w:rPr>
          <w:rFonts w:hint="eastAsia" w:ascii="宋体" w:hAnsi="宋体" w:cs="宋体"/>
          <w:kern w:val="0"/>
          <w:szCs w:val="21"/>
          <w:highlight w:val="none"/>
        </w:rPr>
        <w:t>备注：供应商应当仔细核对采购文件中有关废标条款和评标标准，提供供应商认为应当附加的其它内容，以充分证明其投标符合采购文件规定，并为评标提供充分依据。如果供应商未能提供相关证明文件，将有可能导致废标或者无法得分。</w:t>
      </w:r>
    </w:p>
    <w:p w14:paraId="151BBA7B">
      <w:pPr>
        <w:pStyle w:val="13"/>
        <w:spacing w:beforeAutospacing="0" w:afterAutospacing="0" w:line="460" w:lineRule="atLeast"/>
        <w:jc w:val="both"/>
        <w:rPr>
          <w:b/>
          <w:bCs/>
          <w:sz w:val="28"/>
          <w:szCs w:val="28"/>
          <w:highlight w:val="none"/>
        </w:rPr>
      </w:pPr>
    </w:p>
    <w:sectPr>
      <w:pgSz w:w="11906" w:h="16838"/>
      <w:pgMar w:top="1417" w:right="1474" w:bottom="1417" w:left="1474" w:header="851" w:footer="62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FD43D">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6BECCA">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nDNi/TAAAABgEAAA8AAAAAAAAAAQAg&#10;AAAAIgAAAGRycy9kb3ducmV2LnhtbFBLAQIUABQAAAAIAIdO4kDrd9gM2gEAALMDAAAOAAAAAAAA&#10;AAEAIAAAACIBAABkcnMvZTJvRG9jLnhtbFBLBQYAAAAABgAGAFkBAABuBQAAAAA=&#10;">
              <v:fill on="f" focussize="0,0"/>
              <v:stroke on="f" weight="0.5pt"/>
              <v:imagedata o:title=""/>
              <o:lock v:ext="edit" aspectratio="f"/>
              <v:textbox inset="0mm,0mm,0mm,0mm" style="mso-fit-shape-to-text:t;">
                <w:txbxContent>
                  <w:p w14:paraId="356BECCA">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EBC6">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a:effectLst/>
                    </wps:spPr>
                    <wps:txbx>
                      <w:txbxContent>
                        <w:p w14:paraId="7A3EADFE">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31</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X2aas1AAAAAQBAAAPAAAAAAAAAAEAIAAAACIAAABkcnMvZG93bnJldi54bWxQSwEC&#10;FAAUAAAACACHTuJAs/XvZb8BAACCAwAADgAAAAAAAAABACAAAAAjAQAAZHJzL2Uyb0RvYy54bWxQ&#10;SwUGAAAAAAYABgBZAQAAVAUAAAAA&#10;">
              <v:fill on="f" focussize="0,0"/>
              <v:stroke on="f"/>
              <v:imagedata o:title=""/>
              <o:lock v:ext="edit" aspectratio="f"/>
              <v:textbox inset="0mm,0mm,0mm,0mm">
                <w:txbxContent>
                  <w:p w14:paraId="7A3EADFE">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31</w:t>
                    </w:r>
                    <w:r>
                      <w:rPr>
                        <w:rFonts w:hint="eastAsia" w:ascii="宋体" w:hAnsi="宋体" w:cs="宋体"/>
                      </w:rPr>
                      <w:fldChar w:fldCharType="end"/>
                    </w:r>
                  </w:p>
                </w:txbxContent>
              </v:textbox>
            </v:shape>
          </w:pict>
        </mc:Fallback>
      </mc:AlternateContent>
    </w:r>
  </w:p>
  <w:p w14:paraId="660FE27D">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0673">
    <w:pPr>
      <w:pStyle w:val="25"/>
      <w:jc w:val="right"/>
    </w:pPr>
    <w:r>
      <w:rPr>
        <w:rFonts w:hint="eastAsia" w:ascii="宋体" w:hAnsi="宋体" w:cs="宋体"/>
        <w:szCs w:val="21"/>
        <w:shd w:val="clear" w:color="auto" w:fill="FFFFFF"/>
      </w:rPr>
      <w:t>驻马店市中心医院前庭诱发肌源性诱发电位仪项目</w:t>
    </w: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二次</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9A352A2F"/>
    <w:multiLevelType w:val="singleLevel"/>
    <w:tmpl w:val="9A352A2F"/>
    <w:lvl w:ilvl="0" w:tentative="0">
      <w:start w:val="1"/>
      <w:numFmt w:val="lowerLetter"/>
      <w:suff w:val="nothing"/>
      <w:lvlText w:val="%1、"/>
      <w:lvlJc w:val="left"/>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45B697A4"/>
    <w:multiLevelType w:val="multilevel"/>
    <w:tmpl w:val="45B697A4"/>
    <w:lvl w:ilvl="0" w:tentative="0">
      <w:start w:val="1"/>
      <w:numFmt w:val="decimal"/>
      <w:lvlText w:val="%1、"/>
      <w:lvlJc w:val="left"/>
      <w:pPr>
        <w:tabs>
          <w:tab w:val="left" w:pos="454"/>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B6410A"/>
    <w:multiLevelType w:val="singleLevel"/>
    <w:tmpl w:val="59B6410A"/>
    <w:lvl w:ilvl="0" w:tentative="0">
      <w:start w:val="1"/>
      <w:numFmt w:val="decimal"/>
      <w:suff w:val="nothing"/>
      <w:lvlText w:val="（%1）"/>
      <w:lvlJc w:val="left"/>
    </w:lvl>
  </w:abstractNum>
  <w:abstractNum w:abstractNumId="5">
    <w:nsid w:val="632A0201"/>
    <w:multiLevelType w:val="multilevel"/>
    <w:tmpl w:val="632A0201"/>
    <w:lvl w:ilvl="0" w:tentative="0">
      <w:start w:val="1"/>
      <w:numFmt w:val="decimal"/>
      <w:lvlText w:val="%1、"/>
      <w:lvlJc w:val="left"/>
      <w:pPr>
        <w:tabs>
          <w:tab w:val="left" w:pos="454"/>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319"/>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0CFB"/>
    <w:rsid w:val="00031431"/>
    <w:rsid w:val="00034451"/>
    <w:rsid w:val="00034F10"/>
    <w:rsid w:val="00035692"/>
    <w:rsid w:val="00036275"/>
    <w:rsid w:val="00037EC8"/>
    <w:rsid w:val="00040E94"/>
    <w:rsid w:val="00040F14"/>
    <w:rsid w:val="0004437B"/>
    <w:rsid w:val="000521E5"/>
    <w:rsid w:val="00054740"/>
    <w:rsid w:val="00055707"/>
    <w:rsid w:val="0005650A"/>
    <w:rsid w:val="00057843"/>
    <w:rsid w:val="00057904"/>
    <w:rsid w:val="00061862"/>
    <w:rsid w:val="00064977"/>
    <w:rsid w:val="00065EFE"/>
    <w:rsid w:val="000678CF"/>
    <w:rsid w:val="00067EA4"/>
    <w:rsid w:val="000757DD"/>
    <w:rsid w:val="000771AB"/>
    <w:rsid w:val="0007730A"/>
    <w:rsid w:val="000828BF"/>
    <w:rsid w:val="0008472B"/>
    <w:rsid w:val="00085F92"/>
    <w:rsid w:val="000910D5"/>
    <w:rsid w:val="0009148A"/>
    <w:rsid w:val="00092B31"/>
    <w:rsid w:val="00097532"/>
    <w:rsid w:val="00097E42"/>
    <w:rsid w:val="000A0B1B"/>
    <w:rsid w:val="000A126A"/>
    <w:rsid w:val="000A16B7"/>
    <w:rsid w:val="000A4B66"/>
    <w:rsid w:val="000A7088"/>
    <w:rsid w:val="000A78F6"/>
    <w:rsid w:val="000B0240"/>
    <w:rsid w:val="000B6531"/>
    <w:rsid w:val="000B772E"/>
    <w:rsid w:val="000C43E1"/>
    <w:rsid w:val="000C6342"/>
    <w:rsid w:val="000C6986"/>
    <w:rsid w:val="000C6F01"/>
    <w:rsid w:val="000C73C9"/>
    <w:rsid w:val="000D0D98"/>
    <w:rsid w:val="000D44AD"/>
    <w:rsid w:val="000D700F"/>
    <w:rsid w:val="000D720F"/>
    <w:rsid w:val="000D72E6"/>
    <w:rsid w:val="000E252C"/>
    <w:rsid w:val="000E6B87"/>
    <w:rsid w:val="000E6D3C"/>
    <w:rsid w:val="000E7320"/>
    <w:rsid w:val="000F035B"/>
    <w:rsid w:val="000F2100"/>
    <w:rsid w:val="000F685E"/>
    <w:rsid w:val="00104521"/>
    <w:rsid w:val="00110444"/>
    <w:rsid w:val="0011253B"/>
    <w:rsid w:val="001139C0"/>
    <w:rsid w:val="0011452C"/>
    <w:rsid w:val="00121774"/>
    <w:rsid w:val="00122AE5"/>
    <w:rsid w:val="00127E77"/>
    <w:rsid w:val="001317E8"/>
    <w:rsid w:val="0013574E"/>
    <w:rsid w:val="001369A8"/>
    <w:rsid w:val="00141C52"/>
    <w:rsid w:val="00145792"/>
    <w:rsid w:val="001464A2"/>
    <w:rsid w:val="00147FC2"/>
    <w:rsid w:val="00151D92"/>
    <w:rsid w:val="00153449"/>
    <w:rsid w:val="0015540A"/>
    <w:rsid w:val="00155B84"/>
    <w:rsid w:val="00160D41"/>
    <w:rsid w:val="00162EA5"/>
    <w:rsid w:val="001630D8"/>
    <w:rsid w:val="001641C5"/>
    <w:rsid w:val="001656CE"/>
    <w:rsid w:val="00166218"/>
    <w:rsid w:val="00166B7C"/>
    <w:rsid w:val="001670DD"/>
    <w:rsid w:val="00170488"/>
    <w:rsid w:val="00171081"/>
    <w:rsid w:val="00171DC4"/>
    <w:rsid w:val="00172A27"/>
    <w:rsid w:val="001743D2"/>
    <w:rsid w:val="001756D5"/>
    <w:rsid w:val="00176116"/>
    <w:rsid w:val="00176541"/>
    <w:rsid w:val="00177086"/>
    <w:rsid w:val="001809B6"/>
    <w:rsid w:val="00180A78"/>
    <w:rsid w:val="00181303"/>
    <w:rsid w:val="0018222D"/>
    <w:rsid w:val="00183B61"/>
    <w:rsid w:val="001866AC"/>
    <w:rsid w:val="00190212"/>
    <w:rsid w:val="00192E94"/>
    <w:rsid w:val="00193782"/>
    <w:rsid w:val="001A1F77"/>
    <w:rsid w:val="001A6057"/>
    <w:rsid w:val="001A63D5"/>
    <w:rsid w:val="001B4D8E"/>
    <w:rsid w:val="001B6482"/>
    <w:rsid w:val="001C08A9"/>
    <w:rsid w:val="001C150B"/>
    <w:rsid w:val="001D0E22"/>
    <w:rsid w:val="001D414F"/>
    <w:rsid w:val="001D4D3C"/>
    <w:rsid w:val="001D784A"/>
    <w:rsid w:val="001D7D80"/>
    <w:rsid w:val="001E3399"/>
    <w:rsid w:val="001E3D17"/>
    <w:rsid w:val="001E50E4"/>
    <w:rsid w:val="001F4DBD"/>
    <w:rsid w:val="001F4F1E"/>
    <w:rsid w:val="001F52D5"/>
    <w:rsid w:val="001F60F4"/>
    <w:rsid w:val="001F79C5"/>
    <w:rsid w:val="00207653"/>
    <w:rsid w:val="0021089D"/>
    <w:rsid w:val="00213CF6"/>
    <w:rsid w:val="00214403"/>
    <w:rsid w:val="00214B34"/>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32A8"/>
    <w:rsid w:val="00286921"/>
    <w:rsid w:val="0028704B"/>
    <w:rsid w:val="0029070D"/>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2F74DF"/>
    <w:rsid w:val="0030109F"/>
    <w:rsid w:val="00302A40"/>
    <w:rsid w:val="00302D67"/>
    <w:rsid w:val="00321BAA"/>
    <w:rsid w:val="003251B4"/>
    <w:rsid w:val="00333A21"/>
    <w:rsid w:val="00333A29"/>
    <w:rsid w:val="0034106D"/>
    <w:rsid w:val="00344D4E"/>
    <w:rsid w:val="003506C4"/>
    <w:rsid w:val="003534C9"/>
    <w:rsid w:val="00353F83"/>
    <w:rsid w:val="003559F8"/>
    <w:rsid w:val="00356B57"/>
    <w:rsid w:val="00360373"/>
    <w:rsid w:val="003634AB"/>
    <w:rsid w:val="00365DBF"/>
    <w:rsid w:val="00367A12"/>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1F6"/>
    <w:rsid w:val="003D3EAB"/>
    <w:rsid w:val="003D48A8"/>
    <w:rsid w:val="003D5DB0"/>
    <w:rsid w:val="003E1FE2"/>
    <w:rsid w:val="003E35BE"/>
    <w:rsid w:val="003F23A1"/>
    <w:rsid w:val="003F35EF"/>
    <w:rsid w:val="003F3AED"/>
    <w:rsid w:val="003F4368"/>
    <w:rsid w:val="003F5E68"/>
    <w:rsid w:val="003F63CA"/>
    <w:rsid w:val="00405888"/>
    <w:rsid w:val="0040755F"/>
    <w:rsid w:val="00407F61"/>
    <w:rsid w:val="00410C32"/>
    <w:rsid w:val="00411E91"/>
    <w:rsid w:val="00416BEF"/>
    <w:rsid w:val="00420790"/>
    <w:rsid w:val="004212E9"/>
    <w:rsid w:val="004217D4"/>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4EC0"/>
    <w:rsid w:val="00467458"/>
    <w:rsid w:val="00467CD8"/>
    <w:rsid w:val="00467DBB"/>
    <w:rsid w:val="00474C5C"/>
    <w:rsid w:val="00476D4F"/>
    <w:rsid w:val="00477033"/>
    <w:rsid w:val="004807EA"/>
    <w:rsid w:val="00481BE4"/>
    <w:rsid w:val="00482A00"/>
    <w:rsid w:val="00483DEE"/>
    <w:rsid w:val="00483F46"/>
    <w:rsid w:val="004840F2"/>
    <w:rsid w:val="004860CE"/>
    <w:rsid w:val="00487965"/>
    <w:rsid w:val="00490823"/>
    <w:rsid w:val="0049159F"/>
    <w:rsid w:val="00491CFF"/>
    <w:rsid w:val="00494AE3"/>
    <w:rsid w:val="004A2DC2"/>
    <w:rsid w:val="004A3ED1"/>
    <w:rsid w:val="004A56AA"/>
    <w:rsid w:val="004B0865"/>
    <w:rsid w:val="004B0DC2"/>
    <w:rsid w:val="004B1068"/>
    <w:rsid w:val="004B3872"/>
    <w:rsid w:val="004B479D"/>
    <w:rsid w:val="004B6CE6"/>
    <w:rsid w:val="004C595C"/>
    <w:rsid w:val="004C5CED"/>
    <w:rsid w:val="004C6D19"/>
    <w:rsid w:val="004D5FCF"/>
    <w:rsid w:val="004D751C"/>
    <w:rsid w:val="004D7B42"/>
    <w:rsid w:val="004F0462"/>
    <w:rsid w:val="004F26C4"/>
    <w:rsid w:val="004F345F"/>
    <w:rsid w:val="00503E97"/>
    <w:rsid w:val="005068C0"/>
    <w:rsid w:val="00512A1F"/>
    <w:rsid w:val="00513806"/>
    <w:rsid w:val="005226EE"/>
    <w:rsid w:val="00524147"/>
    <w:rsid w:val="00525D5A"/>
    <w:rsid w:val="0052705E"/>
    <w:rsid w:val="00527303"/>
    <w:rsid w:val="00527323"/>
    <w:rsid w:val="00531A15"/>
    <w:rsid w:val="00536761"/>
    <w:rsid w:val="00543694"/>
    <w:rsid w:val="00545EBC"/>
    <w:rsid w:val="00552CFD"/>
    <w:rsid w:val="005537EC"/>
    <w:rsid w:val="0056071D"/>
    <w:rsid w:val="00561DC8"/>
    <w:rsid w:val="00563FCD"/>
    <w:rsid w:val="00567B6D"/>
    <w:rsid w:val="005714DD"/>
    <w:rsid w:val="0057221A"/>
    <w:rsid w:val="00574F1C"/>
    <w:rsid w:val="00575874"/>
    <w:rsid w:val="00577008"/>
    <w:rsid w:val="00583F9C"/>
    <w:rsid w:val="00586111"/>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2F12"/>
    <w:rsid w:val="00605665"/>
    <w:rsid w:val="00606A63"/>
    <w:rsid w:val="00611848"/>
    <w:rsid w:val="006134B6"/>
    <w:rsid w:val="0061568B"/>
    <w:rsid w:val="0062103C"/>
    <w:rsid w:val="00622261"/>
    <w:rsid w:val="00627850"/>
    <w:rsid w:val="00627DC7"/>
    <w:rsid w:val="00632751"/>
    <w:rsid w:val="00633657"/>
    <w:rsid w:val="00633CAE"/>
    <w:rsid w:val="00635EE7"/>
    <w:rsid w:val="00640403"/>
    <w:rsid w:val="00643CF6"/>
    <w:rsid w:val="006449C9"/>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808"/>
    <w:rsid w:val="006C1AC3"/>
    <w:rsid w:val="006C3381"/>
    <w:rsid w:val="006C3F8D"/>
    <w:rsid w:val="006C5145"/>
    <w:rsid w:val="006C5741"/>
    <w:rsid w:val="006C5895"/>
    <w:rsid w:val="006C7A22"/>
    <w:rsid w:val="006D23F4"/>
    <w:rsid w:val="006D2422"/>
    <w:rsid w:val="006D2754"/>
    <w:rsid w:val="006E0E89"/>
    <w:rsid w:val="006E211C"/>
    <w:rsid w:val="006E3D12"/>
    <w:rsid w:val="006E3F7B"/>
    <w:rsid w:val="006E7834"/>
    <w:rsid w:val="006F1887"/>
    <w:rsid w:val="006F2533"/>
    <w:rsid w:val="006F3630"/>
    <w:rsid w:val="006F36C9"/>
    <w:rsid w:val="006F3FF8"/>
    <w:rsid w:val="006F5EBB"/>
    <w:rsid w:val="006F6D76"/>
    <w:rsid w:val="00700968"/>
    <w:rsid w:val="00715942"/>
    <w:rsid w:val="00717D28"/>
    <w:rsid w:val="00720430"/>
    <w:rsid w:val="007213BD"/>
    <w:rsid w:val="0072294E"/>
    <w:rsid w:val="0073362A"/>
    <w:rsid w:val="0073416C"/>
    <w:rsid w:val="00734E23"/>
    <w:rsid w:val="007361D9"/>
    <w:rsid w:val="00742A39"/>
    <w:rsid w:val="007442BF"/>
    <w:rsid w:val="007451B7"/>
    <w:rsid w:val="007454DB"/>
    <w:rsid w:val="007477B9"/>
    <w:rsid w:val="00752D80"/>
    <w:rsid w:val="007539E6"/>
    <w:rsid w:val="00753B1A"/>
    <w:rsid w:val="0075506B"/>
    <w:rsid w:val="0075538E"/>
    <w:rsid w:val="00756A8B"/>
    <w:rsid w:val="007635C6"/>
    <w:rsid w:val="00766B59"/>
    <w:rsid w:val="0076783A"/>
    <w:rsid w:val="00770296"/>
    <w:rsid w:val="0077380E"/>
    <w:rsid w:val="00776A44"/>
    <w:rsid w:val="00780B59"/>
    <w:rsid w:val="007819D5"/>
    <w:rsid w:val="00784D17"/>
    <w:rsid w:val="007855DC"/>
    <w:rsid w:val="00791C0A"/>
    <w:rsid w:val="00793671"/>
    <w:rsid w:val="007A0321"/>
    <w:rsid w:val="007A1ABC"/>
    <w:rsid w:val="007A1BDB"/>
    <w:rsid w:val="007A1E32"/>
    <w:rsid w:val="007A393C"/>
    <w:rsid w:val="007A7CCF"/>
    <w:rsid w:val="007B2EDA"/>
    <w:rsid w:val="007B5BF3"/>
    <w:rsid w:val="007B6B89"/>
    <w:rsid w:val="007C13DE"/>
    <w:rsid w:val="007C1D12"/>
    <w:rsid w:val="007C242C"/>
    <w:rsid w:val="007D1504"/>
    <w:rsid w:val="007D7FE5"/>
    <w:rsid w:val="007E07D0"/>
    <w:rsid w:val="007E0DAC"/>
    <w:rsid w:val="007E2E98"/>
    <w:rsid w:val="007E52EB"/>
    <w:rsid w:val="007E5618"/>
    <w:rsid w:val="007E5F56"/>
    <w:rsid w:val="007E6644"/>
    <w:rsid w:val="007E69C5"/>
    <w:rsid w:val="007F0E44"/>
    <w:rsid w:val="007F12B5"/>
    <w:rsid w:val="007F1A27"/>
    <w:rsid w:val="007F1ABB"/>
    <w:rsid w:val="007F50E5"/>
    <w:rsid w:val="008018E2"/>
    <w:rsid w:val="00805D18"/>
    <w:rsid w:val="00806F13"/>
    <w:rsid w:val="0081025F"/>
    <w:rsid w:val="008104D7"/>
    <w:rsid w:val="0081331D"/>
    <w:rsid w:val="00815884"/>
    <w:rsid w:val="0082101E"/>
    <w:rsid w:val="00821BBB"/>
    <w:rsid w:val="00822315"/>
    <w:rsid w:val="00823BC7"/>
    <w:rsid w:val="00826C87"/>
    <w:rsid w:val="008306BE"/>
    <w:rsid w:val="008307A1"/>
    <w:rsid w:val="00831534"/>
    <w:rsid w:val="00831ACF"/>
    <w:rsid w:val="00833E18"/>
    <w:rsid w:val="00834B99"/>
    <w:rsid w:val="00835896"/>
    <w:rsid w:val="00844E75"/>
    <w:rsid w:val="00844FCA"/>
    <w:rsid w:val="0084536A"/>
    <w:rsid w:val="008500F7"/>
    <w:rsid w:val="008509F0"/>
    <w:rsid w:val="00853408"/>
    <w:rsid w:val="008553A0"/>
    <w:rsid w:val="00862B84"/>
    <w:rsid w:val="008639A5"/>
    <w:rsid w:val="00864F88"/>
    <w:rsid w:val="008717DC"/>
    <w:rsid w:val="008757D7"/>
    <w:rsid w:val="00880AFB"/>
    <w:rsid w:val="0088168B"/>
    <w:rsid w:val="00881F4C"/>
    <w:rsid w:val="00890267"/>
    <w:rsid w:val="0089391E"/>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0145"/>
    <w:rsid w:val="008E4585"/>
    <w:rsid w:val="008E5901"/>
    <w:rsid w:val="008F07E3"/>
    <w:rsid w:val="008F15BA"/>
    <w:rsid w:val="008F2CDA"/>
    <w:rsid w:val="008F5CF0"/>
    <w:rsid w:val="008F606B"/>
    <w:rsid w:val="00900739"/>
    <w:rsid w:val="00904FE1"/>
    <w:rsid w:val="009072BE"/>
    <w:rsid w:val="00912FF6"/>
    <w:rsid w:val="00914EED"/>
    <w:rsid w:val="009175CA"/>
    <w:rsid w:val="00923C18"/>
    <w:rsid w:val="00924816"/>
    <w:rsid w:val="00925126"/>
    <w:rsid w:val="00927240"/>
    <w:rsid w:val="00930E42"/>
    <w:rsid w:val="009317EA"/>
    <w:rsid w:val="00931BD1"/>
    <w:rsid w:val="009404CE"/>
    <w:rsid w:val="0094252B"/>
    <w:rsid w:val="0094548A"/>
    <w:rsid w:val="00947054"/>
    <w:rsid w:val="00947CF0"/>
    <w:rsid w:val="009503FF"/>
    <w:rsid w:val="0095275E"/>
    <w:rsid w:val="00952958"/>
    <w:rsid w:val="00955F1D"/>
    <w:rsid w:val="0096169A"/>
    <w:rsid w:val="009616B6"/>
    <w:rsid w:val="00961C05"/>
    <w:rsid w:val="009659CB"/>
    <w:rsid w:val="00966ECA"/>
    <w:rsid w:val="00967B87"/>
    <w:rsid w:val="009717CE"/>
    <w:rsid w:val="009724B2"/>
    <w:rsid w:val="00975858"/>
    <w:rsid w:val="009808B9"/>
    <w:rsid w:val="00980E18"/>
    <w:rsid w:val="009814D9"/>
    <w:rsid w:val="00982151"/>
    <w:rsid w:val="0098410D"/>
    <w:rsid w:val="00990484"/>
    <w:rsid w:val="00991ADF"/>
    <w:rsid w:val="009923FC"/>
    <w:rsid w:val="00997337"/>
    <w:rsid w:val="00997918"/>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1A71"/>
    <w:rsid w:val="009E79A7"/>
    <w:rsid w:val="009F07C2"/>
    <w:rsid w:val="009F2826"/>
    <w:rsid w:val="009F4B6A"/>
    <w:rsid w:val="009F4C0F"/>
    <w:rsid w:val="009F7DA4"/>
    <w:rsid w:val="00A02455"/>
    <w:rsid w:val="00A024E5"/>
    <w:rsid w:val="00A050BB"/>
    <w:rsid w:val="00A10EBC"/>
    <w:rsid w:val="00A14E61"/>
    <w:rsid w:val="00A1620E"/>
    <w:rsid w:val="00A16ECE"/>
    <w:rsid w:val="00A17C7A"/>
    <w:rsid w:val="00A210ED"/>
    <w:rsid w:val="00A21E49"/>
    <w:rsid w:val="00A24F12"/>
    <w:rsid w:val="00A2511D"/>
    <w:rsid w:val="00A2615F"/>
    <w:rsid w:val="00A32088"/>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13F9"/>
    <w:rsid w:val="00A7567E"/>
    <w:rsid w:val="00A771FC"/>
    <w:rsid w:val="00A77547"/>
    <w:rsid w:val="00A776A7"/>
    <w:rsid w:val="00A840B0"/>
    <w:rsid w:val="00A87569"/>
    <w:rsid w:val="00A9022C"/>
    <w:rsid w:val="00A906A4"/>
    <w:rsid w:val="00A90A32"/>
    <w:rsid w:val="00A92654"/>
    <w:rsid w:val="00A9622A"/>
    <w:rsid w:val="00A965DA"/>
    <w:rsid w:val="00AA1D33"/>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4E63"/>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464D"/>
    <w:rsid w:val="00B2500C"/>
    <w:rsid w:val="00B2561A"/>
    <w:rsid w:val="00B26CC4"/>
    <w:rsid w:val="00B26FA2"/>
    <w:rsid w:val="00B32876"/>
    <w:rsid w:val="00B349BF"/>
    <w:rsid w:val="00B3724C"/>
    <w:rsid w:val="00B408FD"/>
    <w:rsid w:val="00B40A62"/>
    <w:rsid w:val="00B42996"/>
    <w:rsid w:val="00B46979"/>
    <w:rsid w:val="00B47762"/>
    <w:rsid w:val="00B51A05"/>
    <w:rsid w:val="00B524CE"/>
    <w:rsid w:val="00B60FFC"/>
    <w:rsid w:val="00B611E8"/>
    <w:rsid w:val="00B619A1"/>
    <w:rsid w:val="00B71613"/>
    <w:rsid w:val="00B72167"/>
    <w:rsid w:val="00B73C1F"/>
    <w:rsid w:val="00B761C4"/>
    <w:rsid w:val="00B765B2"/>
    <w:rsid w:val="00B8080C"/>
    <w:rsid w:val="00B822BE"/>
    <w:rsid w:val="00B84F51"/>
    <w:rsid w:val="00B9233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21A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0AF8"/>
    <w:rsid w:val="00C212BA"/>
    <w:rsid w:val="00C21829"/>
    <w:rsid w:val="00C2194D"/>
    <w:rsid w:val="00C2417F"/>
    <w:rsid w:val="00C25322"/>
    <w:rsid w:val="00C32EF1"/>
    <w:rsid w:val="00C34CD9"/>
    <w:rsid w:val="00C34F32"/>
    <w:rsid w:val="00C35645"/>
    <w:rsid w:val="00C35F68"/>
    <w:rsid w:val="00C369DC"/>
    <w:rsid w:val="00C36A9F"/>
    <w:rsid w:val="00C36E4C"/>
    <w:rsid w:val="00C40F57"/>
    <w:rsid w:val="00C41A5B"/>
    <w:rsid w:val="00C41FC9"/>
    <w:rsid w:val="00C42341"/>
    <w:rsid w:val="00C4729B"/>
    <w:rsid w:val="00C50AEF"/>
    <w:rsid w:val="00C50B42"/>
    <w:rsid w:val="00C52452"/>
    <w:rsid w:val="00C52F9F"/>
    <w:rsid w:val="00C53A2B"/>
    <w:rsid w:val="00C623F0"/>
    <w:rsid w:val="00C6248B"/>
    <w:rsid w:val="00C64491"/>
    <w:rsid w:val="00C66135"/>
    <w:rsid w:val="00C66264"/>
    <w:rsid w:val="00C66857"/>
    <w:rsid w:val="00C71532"/>
    <w:rsid w:val="00C75CFC"/>
    <w:rsid w:val="00C75E3A"/>
    <w:rsid w:val="00C760FD"/>
    <w:rsid w:val="00C77F08"/>
    <w:rsid w:val="00C82A8C"/>
    <w:rsid w:val="00C86101"/>
    <w:rsid w:val="00C87916"/>
    <w:rsid w:val="00C90C23"/>
    <w:rsid w:val="00C91556"/>
    <w:rsid w:val="00C915EB"/>
    <w:rsid w:val="00C943E0"/>
    <w:rsid w:val="00CA2EDD"/>
    <w:rsid w:val="00CA4EFF"/>
    <w:rsid w:val="00CA61E0"/>
    <w:rsid w:val="00CC2184"/>
    <w:rsid w:val="00CC2EE4"/>
    <w:rsid w:val="00CC673F"/>
    <w:rsid w:val="00CD000D"/>
    <w:rsid w:val="00CD0D03"/>
    <w:rsid w:val="00CD0D99"/>
    <w:rsid w:val="00CD1D69"/>
    <w:rsid w:val="00CD25AE"/>
    <w:rsid w:val="00CD2661"/>
    <w:rsid w:val="00CD2AD8"/>
    <w:rsid w:val="00CD341A"/>
    <w:rsid w:val="00CD3D11"/>
    <w:rsid w:val="00CD4F14"/>
    <w:rsid w:val="00CD5D67"/>
    <w:rsid w:val="00CD684B"/>
    <w:rsid w:val="00CE0622"/>
    <w:rsid w:val="00CE154B"/>
    <w:rsid w:val="00CE6129"/>
    <w:rsid w:val="00CE6798"/>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5F67"/>
    <w:rsid w:val="00D161BD"/>
    <w:rsid w:val="00D1688D"/>
    <w:rsid w:val="00D201E2"/>
    <w:rsid w:val="00D20926"/>
    <w:rsid w:val="00D26944"/>
    <w:rsid w:val="00D32CA4"/>
    <w:rsid w:val="00D32D1C"/>
    <w:rsid w:val="00D353D1"/>
    <w:rsid w:val="00D40F53"/>
    <w:rsid w:val="00D4134E"/>
    <w:rsid w:val="00D446F3"/>
    <w:rsid w:val="00D465A6"/>
    <w:rsid w:val="00D4783C"/>
    <w:rsid w:val="00D515FF"/>
    <w:rsid w:val="00D543BA"/>
    <w:rsid w:val="00D57EC9"/>
    <w:rsid w:val="00D60640"/>
    <w:rsid w:val="00D6263E"/>
    <w:rsid w:val="00D644FD"/>
    <w:rsid w:val="00D64597"/>
    <w:rsid w:val="00D70631"/>
    <w:rsid w:val="00D73DB3"/>
    <w:rsid w:val="00D7434F"/>
    <w:rsid w:val="00D74FBF"/>
    <w:rsid w:val="00D75153"/>
    <w:rsid w:val="00D836FD"/>
    <w:rsid w:val="00D908DF"/>
    <w:rsid w:val="00D91BFF"/>
    <w:rsid w:val="00D92E03"/>
    <w:rsid w:val="00D955C8"/>
    <w:rsid w:val="00D95A7C"/>
    <w:rsid w:val="00D97115"/>
    <w:rsid w:val="00DA2374"/>
    <w:rsid w:val="00DA47D9"/>
    <w:rsid w:val="00DA61DA"/>
    <w:rsid w:val="00DB18EA"/>
    <w:rsid w:val="00DB3E61"/>
    <w:rsid w:val="00DB49B6"/>
    <w:rsid w:val="00DB6F70"/>
    <w:rsid w:val="00DB7A53"/>
    <w:rsid w:val="00DC3769"/>
    <w:rsid w:val="00DC45F1"/>
    <w:rsid w:val="00DD2C92"/>
    <w:rsid w:val="00DD5E95"/>
    <w:rsid w:val="00DE0848"/>
    <w:rsid w:val="00DE393A"/>
    <w:rsid w:val="00DE59DD"/>
    <w:rsid w:val="00DE70B4"/>
    <w:rsid w:val="00DF7185"/>
    <w:rsid w:val="00E022A9"/>
    <w:rsid w:val="00E049F1"/>
    <w:rsid w:val="00E06419"/>
    <w:rsid w:val="00E13130"/>
    <w:rsid w:val="00E13275"/>
    <w:rsid w:val="00E148A6"/>
    <w:rsid w:val="00E2001C"/>
    <w:rsid w:val="00E20AD6"/>
    <w:rsid w:val="00E2192B"/>
    <w:rsid w:val="00E2229C"/>
    <w:rsid w:val="00E22876"/>
    <w:rsid w:val="00E26E41"/>
    <w:rsid w:val="00E31C6F"/>
    <w:rsid w:val="00E330FE"/>
    <w:rsid w:val="00E3353A"/>
    <w:rsid w:val="00E3421C"/>
    <w:rsid w:val="00E347B0"/>
    <w:rsid w:val="00E351C1"/>
    <w:rsid w:val="00E35A69"/>
    <w:rsid w:val="00E37734"/>
    <w:rsid w:val="00E433AC"/>
    <w:rsid w:val="00E537C1"/>
    <w:rsid w:val="00E53F4F"/>
    <w:rsid w:val="00E552BC"/>
    <w:rsid w:val="00E60EF2"/>
    <w:rsid w:val="00E61CC7"/>
    <w:rsid w:val="00E653A3"/>
    <w:rsid w:val="00E656CD"/>
    <w:rsid w:val="00E65E14"/>
    <w:rsid w:val="00E661C5"/>
    <w:rsid w:val="00E66369"/>
    <w:rsid w:val="00E6759D"/>
    <w:rsid w:val="00E7017B"/>
    <w:rsid w:val="00E82A03"/>
    <w:rsid w:val="00E847C5"/>
    <w:rsid w:val="00E91DA8"/>
    <w:rsid w:val="00E92683"/>
    <w:rsid w:val="00E92F27"/>
    <w:rsid w:val="00E943E6"/>
    <w:rsid w:val="00E94B0A"/>
    <w:rsid w:val="00E95A32"/>
    <w:rsid w:val="00EA0507"/>
    <w:rsid w:val="00EA0EC3"/>
    <w:rsid w:val="00EA136A"/>
    <w:rsid w:val="00EA4E35"/>
    <w:rsid w:val="00EA5103"/>
    <w:rsid w:val="00EA64C9"/>
    <w:rsid w:val="00EA6FE2"/>
    <w:rsid w:val="00EB0467"/>
    <w:rsid w:val="00EB0EEF"/>
    <w:rsid w:val="00EB1535"/>
    <w:rsid w:val="00EB20BE"/>
    <w:rsid w:val="00EB3330"/>
    <w:rsid w:val="00EB3D68"/>
    <w:rsid w:val="00EB63D2"/>
    <w:rsid w:val="00EC2669"/>
    <w:rsid w:val="00EC3568"/>
    <w:rsid w:val="00EC425E"/>
    <w:rsid w:val="00EC517A"/>
    <w:rsid w:val="00EC7303"/>
    <w:rsid w:val="00EC7A5B"/>
    <w:rsid w:val="00ED4C1C"/>
    <w:rsid w:val="00ED53C6"/>
    <w:rsid w:val="00ED6DDC"/>
    <w:rsid w:val="00EE587A"/>
    <w:rsid w:val="00EE76CE"/>
    <w:rsid w:val="00EE7F59"/>
    <w:rsid w:val="00EF1189"/>
    <w:rsid w:val="00EF217F"/>
    <w:rsid w:val="00EF490C"/>
    <w:rsid w:val="00F04C15"/>
    <w:rsid w:val="00F10A0C"/>
    <w:rsid w:val="00F12C86"/>
    <w:rsid w:val="00F13026"/>
    <w:rsid w:val="00F202C7"/>
    <w:rsid w:val="00F21CDF"/>
    <w:rsid w:val="00F25520"/>
    <w:rsid w:val="00F25755"/>
    <w:rsid w:val="00F278E5"/>
    <w:rsid w:val="00F303A6"/>
    <w:rsid w:val="00F307E9"/>
    <w:rsid w:val="00F31895"/>
    <w:rsid w:val="00F3285E"/>
    <w:rsid w:val="00F32E5B"/>
    <w:rsid w:val="00F34CF8"/>
    <w:rsid w:val="00F3568E"/>
    <w:rsid w:val="00F407A8"/>
    <w:rsid w:val="00F41E77"/>
    <w:rsid w:val="00F44D67"/>
    <w:rsid w:val="00F45EB1"/>
    <w:rsid w:val="00F46680"/>
    <w:rsid w:val="00F51957"/>
    <w:rsid w:val="00F52F8B"/>
    <w:rsid w:val="00F63312"/>
    <w:rsid w:val="00F65557"/>
    <w:rsid w:val="00F67593"/>
    <w:rsid w:val="00F74381"/>
    <w:rsid w:val="00F77C03"/>
    <w:rsid w:val="00F812AE"/>
    <w:rsid w:val="00F82064"/>
    <w:rsid w:val="00F87D1D"/>
    <w:rsid w:val="00F905EC"/>
    <w:rsid w:val="00F91DCB"/>
    <w:rsid w:val="00F924D8"/>
    <w:rsid w:val="00F9442E"/>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3D750E"/>
    <w:rsid w:val="04416C20"/>
    <w:rsid w:val="04732647"/>
    <w:rsid w:val="047968B1"/>
    <w:rsid w:val="04870542"/>
    <w:rsid w:val="04B30F7A"/>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3D1475"/>
    <w:rsid w:val="094840A2"/>
    <w:rsid w:val="09644C54"/>
    <w:rsid w:val="09737462"/>
    <w:rsid w:val="099156C3"/>
    <w:rsid w:val="09A33F5B"/>
    <w:rsid w:val="09A53F39"/>
    <w:rsid w:val="09A60E13"/>
    <w:rsid w:val="09A82D92"/>
    <w:rsid w:val="09AB2883"/>
    <w:rsid w:val="09BE25B6"/>
    <w:rsid w:val="09CD0A4B"/>
    <w:rsid w:val="09D206F0"/>
    <w:rsid w:val="0A321AC2"/>
    <w:rsid w:val="0A343D4E"/>
    <w:rsid w:val="0A344626"/>
    <w:rsid w:val="0A3E6D2E"/>
    <w:rsid w:val="0A4232E4"/>
    <w:rsid w:val="0A4F145F"/>
    <w:rsid w:val="0A8455AD"/>
    <w:rsid w:val="0A8729A8"/>
    <w:rsid w:val="0AD13A85"/>
    <w:rsid w:val="0AE0655C"/>
    <w:rsid w:val="0B091954"/>
    <w:rsid w:val="0B0C55A3"/>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A5B87"/>
    <w:rsid w:val="0DFE4F67"/>
    <w:rsid w:val="0E0C0D4C"/>
    <w:rsid w:val="0E115DA1"/>
    <w:rsid w:val="0E1409F6"/>
    <w:rsid w:val="0E162D6D"/>
    <w:rsid w:val="0E460DCC"/>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EE34C9"/>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04125"/>
    <w:rsid w:val="152534E9"/>
    <w:rsid w:val="153A36AA"/>
    <w:rsid w:val="15477903"/>
    <w:rsid w:val="1557566D"/>
    <w:rsid w:val="156E0971"/>
    <w:rsid w:val="15785B3E"/>
    <w:rsid w:val="15811F1B"/>
    <w:rsid w:val="159C41BD"/>
    <w:rsid w:val="15A30135"/>
    <w:rsid w:val="15A34015"/>
    <w:rsid w:val="15BB487B"/>
    <w:rsid w:val="15CE086D"/>
    <w:rsid w:val="15E2236F"/>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D3C42"/>
    <w:rsid w:val="185F38AF"/>
    <w:rsid w:val="188F0211"/>
    <w:rsid w:val="18AD1BEB"/>
    <w:rsid w:val="18B3004A"/>
    <w:rsid w:val="18B31B6D"/>
    <w:rsid w:val="18B96080"/>
    <w:rsid w:val="18CE20EA"/>
    <w:rsid w:val="18DB2CD8"/>
    <w:rsid w:val="18F67868"/>
    <w:rsid w:val="190B2D88"/>
    <w:rsid w:val="190B5C5B"/>
    <w:rsid w:val="190E6B63"/>
    <w:rsid w:val="19123928"/>
    <w:rsid w:val="19194264"/>
    <w:rsid w:val="19283048"/>
    <w:rsid w:val="19420786"/>
    <w:rsid w:val="19427EC0"/>
    <w:rsid w:val="195711D7"/>
    <w:rsid w:val="195D2A3F"/>
    <w:rsid w:val="198310E9"/>
    <w:rsid w:val="198D747A"/>
    <w:rsid w:val="19A15638"/>
    <w:rsid w:val="19A74DFE"/>
    <w:rsid w:val="19A753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4032FE"/>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41786"/>
    <w:rsid w:val="1DD8524D"/>
    <w:rsid w:val="1DDD2BCB"/>
    <w:rsid w:val="1E0345E3"/>
    <w:rsid w:val="1E1B7B7F"/>
    <w:rsid w:val="1E443370"/>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F789D"/>
    <w:rsid w:val="1F4570D0"/>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2F54EA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7572C3"/>
    <w:rsid w:val="25790E85"/>
    <w:rsid w:val="258D6E68"/>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D71B5"/>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8E1990"/>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6C2DE0"/>
    <w:rsid w:val="2E742F70"/>
    <w:rsid w:val="2E9077CD"/>
    <w:rsid w:val="2E9574DA"/>
    <w:rsid w:val="2E9A689E"/>
    <w:rsid w:val="2ED61D9E"/>
    <w:rsid w:val="2EDC2A13"/>
    <w:rsid w:val="2EFD7DB9"/>
    <w:rsid w:val="2F1A081D"/>
    <w:rsid w:val="2F1C72B3"/>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310F4"/>
    <w:rsid w:val="30B8125D"/>
    <w:rsid w:val="30B87D63"/>
    <w:rsid w:val="30BF439A"/>
    <w:rsid w:val="30CF6A37"/>
    <w:rsid w:val="30D250CF"/>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36763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4F1945"/>
    <w:rsid w:val="3365592E"/>
    <w:rsid w:val="336A31F3"/>
    <w:rsid w:val="336F6533"/>
    <w:rsid w:val="337E5E2F"/>
    <w:rsid w:val="3384610D"/>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B4B65"/>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F75BA"/>
    <w:rsid w:val="37E148E2"/>
    <w:rsid w:val="37F848EE"/>
    <w:rsid w:val="37F912FC"/>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505209"/>
    <w:rsid w:val="396453C5"/>
    <w:rsid w:val="39922CCF"/>
    <w:rsid w:val="39A24859"/>
    <w:rsid w:val="39A65327"/>
    <w:rsid w:val="39A65C9B"/>
    <w:rsid w:val="39BC5ED6"/>
    <w:rsid w:val="39D27231"/>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70E47"/>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113F6"/>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B098B"/>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C6222"/>
    <w:rsid w:val="48C245E9"/>
    <w:rsid w:val="48DB312A"/>
    <w:rsid w:val="48DF49D9"/>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954692"/>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487AB0"/>
    <w:rsid w:val="50550E55"/>
    <w:rsid w:val="50615016"/>
    <w:rsid w:val="50901457"/>
    <w:rsid w:val="509F43E4"/>
    <w:rsid w:val="50A54D3E"/>
    <w:rsid w:val="50B82E88"/>
    <w:rsid w:val="50BB32A7"/>
    <w:rsid w:val="50CC5CB2"/>
    <w:rsid w:val="50F1402B"/>
    <w:rsid w:val="50FD2AD9"/>
    <w:rsid w:val="51081E85"/>
    <w:rsid w:val="51097D9A"/>
    <w:rsid w:val="51237D2E"/>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7B65"/>
    <w:rsid w:val="52AA11D3"/>
    <w:rsid w:val="52B256B5"/>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B514D"/>
    <w:rsid w:val="545C2F28"/>
    <w:rsid w:val="545E1D01"/>
    <w:rsid w:val="54674051"/>
    <w:rsid w:val="54935B8F"/>
    <w:rsid w:val="549635BC"/>
    <w:rsid w:val="549D3677"/>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B8083D"/>
    <w:rsid w:val="55D47A00"/>
    <w:rsid w:val="55D5456D"/>
    <w:rsid w:val="55DC290C"/>
    <w:rsid w:val="55E71B19"/>
    <w:rsid w:val="55EA5D64"/>
    <w:rsid w:val="55F01FA1"/>
    <w:rsid w:val="55FC19B9"/>
    <w:rsid w:val="56130B60"/>
    <w:rsid w:val="56234F28"/>
    <w:rsid w:val="562C1C22"/>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490869"/>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561946"/>
    <w:rsid w:val="59670F51"/>
    <w:rsid w:val="596A44F9"/>
    <w:rsid w:val="596C19BB"/>
    <w:rsid w:val="59790BDB"/>
    <w:rsid w:val="597E3F42"/>
    <w:rsid w:val="598653AC"/>
    <w:rsid w:val="59AC3C86"/>
    <w:rsid w:val="59B817D3"/>
    <w:rsid w:val="59C11856"/>
    <w:rsid w:val="59C153AB"/>
    <w:rsid w:val="59D42FDA"/>
    <w:rsid w:val="59D6437F"/>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519EA"/>
    <w:rsid w:val="5C6715FE"/>
    <w:rsid w:val="5C6F4105"/>
    <w:rsid w:val="5CBB7F6F"/>
    <w:rsid w:val="5CC248CE"/>
    <w:rsid w:val="5D042FB1"/>
    <w:rsid w:val="5D442CB4"/>
    <w:rsid w:val="5D7C3F11"/>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C0D9D"/>
    <w:rsid w:val="622F7552"/>
    <w:rsid w:val="6250406E"/>
    <w:rsid w:val="6267666C"/>
    <w:rsid w:val="627D6831"/>
    <w:rsid w:val="62811B1C"/>
    <w:rsid w:val="62A20409"/>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8F4798"/>
    <w:rsid w:val="659B1EBA"/>
    <w:rsid w:val="65A11CE5"/>
    <w:rsid w:val="65A83379"/>
    <w:rsid w:val="65B461E9"/>
    <w:rsid w:val="65BE39A8"/>
    <w:rsid w:val="65C23A09"/>
    <w:rsid w:val="65FB3FBE"/>
    <w:rsid w:val="660F30F2"/>
    <w:rsid w:val="66101A71"/>
    <w:rsid w:val="66171FA7"/>
    <w:rsid w:val="66247D11"/>
    <w:rsid w:val="663B3EC9"/>
    <w:rsid w:val="663F32AC"/>
    <w:rsid w:val="665A1E94"/>
    <w:rsid w:val="66736112"/>
    <w:rsid w:val="667F5B5B"/>
    <w:rsid w:val="6694262A"/>
    <w:rsid w:val="66990381"/>
    <w:rsid w:val="66B31B01"/>
    <w:rsid w:val="66CE1E80"/>
    <w:rsid w:val="66DF5748"/>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E1363"/>
    <w:rsid w:val="687731D1"/>
    <w:rsid w:val="6878475E"/>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6D7E94"/>
    <w:rsid w:val="698A5EE4"/>
    <w:rsid w:val="69922882"/>
    <w:rsid w:val="69C811ED"/>
    <w:rsid w:val="69D33070"/>
    <w:rsid w:val="69E97E75"/>
    <w:rsid w:val="69FB5D9E"/>
    <w:rsid w:val="69FF6FDA"/>
    <w:rsid w:val="6A1A3007"/>
    <w:rsid w:val="6A1E645E"/>
    <w:rsid w:val="6A3C6480"/>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5A33D5"/>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773A4"/>
    <w:rsid w:val="6F1E2E65"/>
    <w:rsid w:val="6F2F2D9E"/>
    <w:rsid w:val="6F4147D9"/>
    <w:rsid w:val="6F581F47"/>
    <w:rsid w:val="6F5B0D5A"/>
    <w:rsid w:val="6F5C35EA"/>
    <w:rsid w:val="6F6B6A15"/>
    <w:rsid w:val="6F947E4B"/>
    <w:rsid w:val="6FA30BDA"/>
    <w:rsid w:val="6FA75B64"/>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10C1C"/>
    <w:rsid w:val="71881188"/>
    <w:rsid w:val="71946576"/>
    <w:rsid w:val="71967E84"/>
    <w:rsid w:val="7197629F"/>
    <w:rsid w:val="71A61873"/>
    <w:rsid w:val="71AF4936"/>
    <w:rsid w:val="71B12351"/>
    <w:rsid w:val="71BB4E1E"/>
    <w:rsid w:val="71D07496"/>
    <w:rsid w:val="71D75D0F"/>
    <w:rsid w:val="71F437A4"/>
    <w:rsid w:val="721919B3"/>
    <w:rsid w:val="721A6098"/>
    <w:rsid w:val="721B5CE3"/>
    <w:rsid w:val="721D18D3"/>
    <w:rsid w:val="72310D1A"/>
    <w:rsid w:val="72452668"/>
    <w:rsid w:val="725D6B5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927111"/>
    <w:rsid w:val="73AF2114"/>
    <w:rsid w:val="73AF381F"/>
    <w:rsid w:val="73E96BCA"/>
    <w:rsid w:val="73EE4A6E"/>
    <w:rsid w:val="740645F0"/>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63A83"/>
    <w:rsid w:val="77076007"/>
    <w:rsid w:val="771A36A5"/>
    <w:rsid w:val="77413F7E"/>
    <w:rsid w:val="77464076"/>
    <w:rsid w:val="7758241F"/>
    <w:rsid w:val="777A7D22"/>
    <w:rsid w:val="777E28EC"/>
    <w:rsid w:val="77835654"/>
    <w:rsid w:val="778D031B"/>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345AA9"/>
    <w:rsid w:val="7B4048C1"/>
    <w:rsid w:val="7B4C5DF7"/>
    <w:rsid w:val="7B73082F"/>
    <w:rsid w:val="7B7B492E"/>
    <w:rsid w:val="7B827A6B"/>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line="372" w:lineRule="auto"/>
      <w:outlineLvl w:val="4"/>
    </w:pPr>
    <w:rPr>
      <w:b/>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大标题"/>
    <w:basedOn w:val="1"/>
    <w:next w:val="7"/>
    <w:autoRedefine/>
    <w:qFormat/>
    <w:uiPriority w:val="0"/>
    <w:pPr>
      <w:jc w:val="center"/>
    </w:pPr>
    <w:rPr>
      <w:rFonts w:ascii="Arial" w:hAnsi="Arial"/>
      <w:b/>
      <w:sz w:val="28"/>
    </w:rPr>
  </w:style>
  <w:style w:type="paragraph" w:styleId="7">
    <w:name w:val="Body Text First Indent 2"/>
    <w:basedOn w:val="8"/>
    <w:autoRedefine/>
    <w:qFormat/>
    <w:uiPriority w:val="0"/>
    <w:pPr>
      <w:ind w:firstLine="420" w:firstLineChars="200"/>
    </w:pPr>
  </w:style>
  <w:style w:type="paragraph" w:styleId="8">
    <w:name w:val="Body Text Indent"/>
    <w:basedOn w:val="1"/>
    <w:next w:val="7"/>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4"/>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4"/>
    <w:next w:val="7"/>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4"/>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cs="宋体"/>
      <w:sz w:val="45"/>
      <w:szCs w:val="45"/>
      <w:lang w:eastAsia="en-US"/>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CD5DB9-11FD-4111-8C98-22DB7C3975A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15344</Words>
  <Characters>16164</Characters>
  <Lines>145</Lines>
  <Paragraphs>40</Paragraphs>
  <TotalTime>13</TotalTime>
  <ScaleCrop>false</ScaleCrop>
  <LinksUpToDate>false</LinksUpToDate>
  <CharactersWithSpaces>16783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2025-07-10T08:16:00Z</dcterms:created>
  <dc:creator>微软用户</dc:creator>
  <cp:lastModifiedBy>潘艳红</cp:lastModifiedBy>
  <cp:lastPrinted>2021-09-30T00:46:00Z</cp:lastPrinted>
  <dcterms:modified xsi:type="dcterms:W3CDTF">2025-07-31T08:56:19Z</dcterms:modified>
  <dc:title>驻马店市政府采购货物项目</dc:title>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7D455F866AA64FDAA877474EE83DA220_13</vt:lpwstr>
  </property>
  <property fmtid="{D5CDD505-2E9C-101B-9397-08002B2CF9AE}" pid="4" name="KSOTemplateDocerSaveRecord">
    <vt:lpwstr>eyJoZGlkIjoiMzU0MTZjMjFkMjFjOGMwYTIzNWEzZDljNjYxZWI0MmYiLCJ1c2VySWQiOiIxNjg0NTc5MjM2In0=</vt:lpwstr>
  </property>
</Properties>
</file>