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C611CEB">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8"/>
          <w:szCs w:val="48"/>
          <w:highlight w:val="none"/>
          <w:lang w:val="en-US" w:eastAsia="zh-CN"/>
        </w:rPr>
      </w:pPr>
      <w:bookmarkStart w:id="0" w:name="_Toc22953395"/>
      <w:bookmarkEnd w:id="0"/>
      <w:bookmarkStart w:id="1" w:name="_Toc22804073"/>
      <w:bookmarkEnd w:id="1"/>
    </w:p>
    <w:p w14:paraId="0C735D19">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4"/>
          <w:szCs w:val="44"/>
          <w:highlight w:val="none"/>
          <w:lang w:val="en-US" w:eastAsia="zh-CN"/>
        </w:rPr>
      </w:pPr>
      <w:r>
        <w:rPr>
          <w:rFonts w:hint="eastAsia" w:cs="宋体"/>
          <w:b/>
          <w:bCs/>
          <w:color w:val="auto"/>
          <w:sz w:val="44"/>
          <w:szCs w:val="44"/>
          <w:highlight w:val="none"/>
          <w:lang w:val="en-US" w:eastAsia="zh-CN"/>
        </w:rPr>
        <w:t>驻马店市中心医院电子支气管镜采购项目</w:t>
      </w:r>
    </w:p>
    <w:p w14:paraId="0610F71D">
      <w:pPr>
        <w:pStyle w:val="20"/>
        <w:bidi w:val="0"/>
        <w:jc w:val="center"/>
        <w:rPr>
          <w:rStyle w:val="44"/>
          <w:rFonts w:hint="eastAsia" w:ascii="宋体" w:hAnsi="宋体" w:eastAsia="宋体" w:cs="宋体"/>
          <w:b/>
          <w:bCs/>
          <w:color w:val="auto"/>
          <w:sz w:val="48"/>
          <w:szCs w:val="48"/>
          <w:highlight w:val="none"/>
        </w:rPr>
      </w:pPr>
    </w:p>
    <w:p w14:paraId="158E927F">
      <w:pPr>
        <w:pStyle w:val="20"/>
        <w:bidi w:val="0"/>
        <w:jc w:val="center"/>
        <w:rPr>
          <w:rStyle w:val="44"/>
          <w:rFonts w:hint="eastAsia" w:ascii="宋体" w:hAnsi="宋体" w:eastAsia="宋体" w:cs="宋体"/>
          <w:b/>
          <w:bCs/>
          <w:color w:val="auto"/>
          <w:sz w:val="48"/>
          <w:szCs w:val="48"/>
          <w:highlight w:val="none"/>
        </w:rPr>
      </w:pPr>
    </w:p>
    <w:p w14:paraId="5ABC8E99">
      <w:pPr>
        <w:pStyle w:val="20"/>
        <w:bidi w:val="0"/>
        <w:jc w:val="center"/>
        <w:rPr>
          <w:rStyle w:val="44"/>
          <w:rFonts w:hint="eastAsia" w:ascii="宋体" w:hAnsi="宋体" w:eastAsia="宋体" w:cs="宋体"/>
          <w:b/>
          <w:bCs/>
          <w:color w:val="auto"/>
          <w:sz w:val="48"/>
          <w:szCs w:val="48"/>
          <w:highlight w:val="none"/>
        </w:rPr>
      </w:pPr>
    </w:p>
    <w:p w14:paraId="20826E73">
      <w:pPr>
        <w:pStyle w:val="20"/>
        <w:bidi w:val="0"/>
        <w:jc w:val="center"/>
        <w:rPr>
          <w:rStyle w:val="44"/>
          <w:rFonts w:hint="eastAsia" w:ascii="宋体" w:hAnsi="宋体" w:eastAsia="宋体" w:cs="宋体"/>
          <w:b/>
          <w:bCs/>
          <w:color w:val="auto"/>
          <w:sz w:val="48"/>
          <w:szCs w:val="48"/>
          <w:highlight w:val="none"/>
        </w:rPr>
      </w:pPr>
    </w:p>
    <w:p w14:paraId="12179BBF">
      <w:pPr>
        <w:pStyle w:val="20"/>
        <w:bidi w:val="0"/>
        <w:jc w:val="center"/>
        <w:rPr>
          <w:rStyle w:val="44"/>
          <w:rFonts w:hint="eastAsia" w:ascii="宋体" w:hAnsi="宋体" w:eastAsia="宋体" w:cs="宋体"/>
          <w:b/>
          <w:bCs/>
          <w:color w:val="auto"/>
          <w:szCs w:val="44"/>
          <w:highlight w:val="none"/>
        </w:rPr>
      </w:pPr>
      <w:r>
        <w:rPr>
          <w:rStyle w:val="44"/>
          <w:rFonts w:hint="eastAsia" w:ascii="宋体" w:hAnsi="宋体" w:eastAsia="宋体" w:cs="宋体"/>
          <w:b/>
          <w:bCs/>
          <w:color w:val="auto"/>
          <w:sz w:val="72"/>
          <w:szCs w:val="72"/>
          <w:highlight w:val="none"/>
          <w:lang w:val="en-US" w:eastAsia="zh-CN"/>
        </w:rPr>
        <w:t>采购</w:t>
      </w:r>
      <w:r>
        <w:rPr>
          <w:rStyle w:val="44"/>
          <w:rFonts w:hint="eastAsia" w:ascii="宋体" w:hAnsi="宋体" w:eastAsia="宋体" w:cs="宋体"/>
          <w:b/>
          <w:bCs/>
          <w:color w:val="auto"/>
          <w:sz w:val="72"/>
          <w:szCs w:val="72"/>
          <w:highlight w:val="none"/>
        </w:rPr>
        <w:t>文件</w:t>
      </w:r>
    </w:p>
    <w:p w14:paraId="76626E87">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color w:val="auto"/>
          <w:spacing w:val="-10"/>
          <w:sz w:val="34"/>
          <w:szCs w:val="34"/>
          <w:highlight w:val="none"/>
          <w:lang w:val="en-US" w:eastAsia="zh-CN"/>
        </w:rPr>
      </w:pPr>
    </w:p>
    <w:p w14:paraId="30933B8F">
      <w:pPr>
        <w:snapToGrid w:val="0"/>
        <w:spacing w:line="380" w:lineRule="exact"/>
        <w:jc w:val="center"/>
        <w:rPr>
          <w:rFonts w:hint="eastAsia" w:ascii="宋体" w:hAnsi="宋体" w:eastAsia="宋体" w:cs="宋体"/>
          <w:b/>
          <w:color w:val="auto"/>
          <w:sz w:val="32"/>
          <w:szCs w:val="32"/>
          <w:highlight w:val="none"/>
        </w:rPr>
      </w:pPr>
    </w:p>
    <w:p w14:paraId="41A0088B">
      <w:pPr>
        <w:pStyle w:val="32"/>
        <w:rPr>
          <w:rFonts w:hint="eastAsia" w:ascii="宋体" w:hAnsi="宋体" w:eastAsia="宋体" w:cs="宋体"/>
          <w:color w:val="auto"/>
          <w:highlight w:val="none"/>
        </w:rPr>
      </w:pPr>
    </w:p>
    <w:p w14:paraId="1478C157">
      <w:pPr>
        <w:pStyle w:val="59"/>
        <w:rPr>
          <w:rFonts w:hint="eastAsia" w:ascii="宋体" w:hAnsi="宋体" w:eastAsia="宋体" w:cs="宋体"/>
          <w:bCs/>
          <w:color w:val="auto"/>
          <w:sz w:val="2"/>
          <w:szCs w:val="2"/>
          <w:highlight w:val="none"/>
        </w:rPr>
      </w:pPr>
    </w:p>
    <w:p w14:paraId="6F43A5E5">
      <w:pPr>
        <w:rPr>
          <w:rFonts w:hint="eastAsia" w:ascii="宋体" w:hAnsi="宋体" w:eastAsia="宋体" w:cs="宋体"/>
          <w:bCs/>
          <w:color w:val="auto"/>
          <w:sz w:val="2"/>
          <w:szCs w:val="2"/>
          <w:highlight w:val="none"/>
        </w:rPr>
      </w:pPr>
    </w:p>
    <w:p w14:paraId="21FDF0F3">
      <w:pPr>
        <w:spacing w:line="20" w:lineRule="exact"/>
        <w:rPr>
          <w:rFonts w:hint="eastAsia" w:ascii="宋体" w:hAnsi="宋体" w:eastAsia="宋体" w:cs="宋体"/>
          <w:bCs/>
          <w:color w:val="auto"/>
          <w:sz w:val="2"/>
          <w:szCs w:val="2"/>
          <w:highlight w:val="none"/>
        </w:rPr>
      </w:pPr>
    </w:p>
    <w:p w14:paraId="7B1AF9DD">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highlight w:val="none"/>
          <w:lang w:val="en-US" w:eastAsia="zh-CN"/>
        </w:rPr>
      </w:pPr>
    </w:p>
    <w:p w14:paraId="1E415EDD">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highlight w:val="none"/>
          <w:lang w:val="en-US" w:eastAsia="zh-CN"/>
        </w:rPr>
      </w:pPr>
    </w:p>
    <w:p w14:paraId="7D27EEAE">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color w:val="auto"/>
          <w:spacing w:val="-10"/>
          <w:sz w:val="34"/>
          <w:szCs w:val="34"/>
          <w:highlight w:val="none"/>
          <w:lang w:val="en-US" w:eastAsia="zh-CN"/>
        </w:rPr>
      </w:pPr>
    </w:p>
    <w:p w14:paraId="5CC28899">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color w:val="auto"/>
          <w:spacing w:val="80"/>
          <w:sz w:val="34"/>
          <w:szCs w:val="34"/>
          <w:highlight w:val="none"/>
        </w:rPr>
      </w:pPr>
      <w:r>
        <w:rPr>
          <w:rFonts w:hint="eastAsia" w:ascii="宋体" w:hAnsi="宋体" w:eastAsia="宋体" w:cs="宋体"/>
          <w:b/>
          <w:bCs/>
          <w:color w:val="auto"/>
          <w:spacing w:val="-10"/>
          <w:sz w:val="34"/>
          <w:szCs w:val="34"/>
          <w:highlight w:val="none"/>
          <w:lang w:val="en-US" w:eastAsia="zh-CN"/>
        </w:rPr>
        <w:t>采 购</w:t>
      </w:r>
      <w:r>
        <w:rPr>
          <w:rFonts w:hint="eastAsia" w:ascii="宋体" w:hAnsi="宋体" w:eastAsia="宋体" w:cs="宋体"/>
          <w:b/>
          <w:bCs/>
          <w:color w:val="auto"/>
          <w:spacing w:val="-10"/>
          <w:sz w:val="34"/>
          <w:szCs w:val="34"/>
          <w:highlight w:val="none"/>
        </w:rPr>
        <w:t xml:space="preserve"> 人：驻马店市中心医院</w:t>
      </w:r>
    </w:p>
    <w:p w14:paraId="2EA434BC">
      <w:pPr>
        <w:tabs>
          <w:tab w:val="left" w:pos="2505"/>
          <w:tab w:val="center" w:pos="4535"/>
        </w:tabs>
        <w:snapToGrid w:val="0"/>
        <w:spacing w:line="480" w:lineRule="auto"/>
        <w:jc w:val="center"/>
        <w:rPr>
          <w:rFonts w:hint="eastAsia" w:ascii="宋体" w:hAnsi="宋体" w:eastAsia="宋体" w:cs="宋体"/>
          <w:b/>
          <w:color w:val="auto"/>
          <w:sz w:val="36"/>
          <w:szCs w:val="36"/>
          <w:highlight w:val="none"/>
        </w:rPr>
        <w:sectPr>
          <w:pgSz w:w="11923" w:h="16838"/>
          <w:pgMar w:top="1304" w:right="1417" w:bottom="992" w:left="1417" w:header="720" w:footer="720" w:gutter="0"/>
          <w:pgNumType w:fmt="decimal" w:start="1"/>
          <w:cols w:space="720" w:num="1"/>
          <w:docGrid w:type="lines" w:linePitch="312" w:charSpace="0"/>
        </w:sectPr>
      </w:pPr>
      <w:r>
        <w:rPr>
          <w:rFonts w:hint="eastAsia" w:ascii="宋体" w:hAnsi="宋体" w:eastAsia="宋体" w:cs="宋体"/>
          <w:b/>
          <w:bCs/>
          <w:color w:val="auto"/>
          <w:spacing w:val="40"/>
          <w:sz w:val="34"/>
          <w:szCs w:val="34"/>
          <w:highlight w:val="none"/>
          <w:lang w:val="en-US" w:eastAsia="zh-CN"/>
        </w:rPr>
        <w:t>2025</w:t>
      </w:r>
      <w:r>
        <w:rPr>
          <w:rFonts w:hint="eastAsia" w:ascii="宋体" w:hAnsi="宋体" w:eastAsia="宋体" w:cs="宋体"/>
          <w:b/>
          <w:bCs/>
          <w:color w:val="auto"/>
          <w:spacing w:val="40"/>
          <w:sz w:val="34"/>
          <w:szCs w:val="34"/>
          <w:highlight w:val="none"/>
        </w:rPr>
        <w:t>年</w:t>
      </w:r>
      <w:r>
        <w:rPr>
          <w:rFonts w:hint="eastAsia" w:ascii="宋体" w:hAnsi="宋体" w:eastAsia="宋体" w:cs="宋体"/>
          <w:b/>
          <w:bCs/>
          <w:color w:val="auto"/>
          <w:spacing w:val="40"/>
          <w:sz w:val="34"/>
          <w:szCs w:val="34"/>
          <w:highlight w:val="none"/>
          <w:lang w:val="en-US" w:eastAsia="zh-CN"/>
        </w:rPr>
        <w:t>02</w:t>
      </w:r>
      <w:r>
        <w:rPr>
          <w:rFonts w:hint="eastAsia" w:ascii="宋体" w:hAnsi="宋体" w:eastAsia="宋体" w:cs="宋体"/>
          <w:b/>
          <w:bCs/>
          <w:color w:val="auto"/>
          <w:spacing w:val="40"/>
          <w:sz w:val="34"/>
          <w:szCs w:val="34"/>
          <w:highlight w:val="none"/>
        </w:rPr>
        <w:t>月</w:t>
      </w:r>
    </w:p>
    <w:p w14:paraId="24C943CC">
      <w:pPr>
        <w:rPr>
          <w:rFonts w:hint="eastAsia" w:ascii="宋体" w:hAnsi="宋体" w:eastAsia="宋体" w:cs="宋体"/>
          <w:bCs/>
          <w:color w:val="auto"/>
          <w:sz w:val="24"/>
          <w:highlight w:val="none"/>
        </w:rPr>
      </w:pPr>
    </w:p>
    <w:p w14:paraId="5FE7AB9D">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目录</w:t>
      </w:r>
    </w:p>
    <w:p w14:paraId="6C886C89">
      <w:pPr>
        <w:pStyle w:val="53"/>
        <w:rPr>
          <w:rFonts w:hint="eastAsia" w:ascii="宋体" w:hAnsi="宋体" w:eastAsia="宋体" w:cs="宋体"/>
          <w:color w:val="auto"/>
          <w:highlight w:val="none"/>
        </w:rPr>
      </w:pPr>
    </w:p>
    <w:p w14:paraId="6E3F482A">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rPr>
      </w:pP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TOC \o "1-1" \h \u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_Toc21796 </w:instrText>
      </w:r>
      <w:r>
        <w:rPr>
          <w:rFonts w:hint="eastAsia" w:ascii="宋体" w:hAnsi="宋体" w:eastAsia="宋体" w:cs="宋体"/>
          <w:bCs/>
          <w:szCs w:val="32"/>
          <w:highlight w:val="none"/>
        </w:rPr>
        <w:fldChar w:fldCharType="separate"/>
      </w:r>
      <w:r>
        <w:rPr>
          <w:rFonts w:hint="eastAsia" w:ascii="宋体" w:hAnsi="宋体" w:eastAsia="宋体" w:cs="宋体"/>
          <w:szCs w:val="32"/>
          <w:highlight w:val="none"/>
        </w:rPr>
        <w:t xml:space="preserve">第一章  </w:t>
      </w:r>
      <w:r>
        <w:rPr>
          <w:rFonts w:hint="eastAsia" w:ascii="宋体" w:hAnsi="宋体" w:eastAsia="宋体" w:cs="宋体"/>
          <w:szCs w:val="32"/>
          <w:highlight w:val="none"/>
          <w:lang w:val="en-US" w:eastAsia="zh-CN"/>
        </w:rPr>
        <w:t>竞争性磋商采购</w:t>
      </w:r>
      <w:r>
        <w:rPr>
          <w:rFonts w:hint="eastAsia" w:ascii="宋体" w:hAnsi="宋体" w:eastAsia="宋体" w:cs="宋体"/>
          <w:szCs w:val="32"/>
          <w:highlight w:val="none"/>
        </w:rPr>
        <w:t>公告</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_Toc21796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13B466BD">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_Toc4148 </w:instrText>
      </w:r>
      <w:r>
        <w:rPr>
          <w:rFonts w:hint="eastAsia" w:ascii="宋体" w:hAnsi="宋体" w:eastAsia="宋体" w:cs="宋体"/>
          <w:bCs/>
          <w:szCs w:val="32"/>
          <w:highlight w:val="none"/>
        </w:rPr>
        <w:fldChar w:fldCharType="separate"/>
      </w:r>
      <w:r>
        <w:rPr>
          <w:rFonts w:hint="eastAsia" w:ascii="宋体" w:hAnsi="宋体" w:eastAsia="宋体" w:cs="宋体"/>
          <w:szCs w:val="32"/>
          <w:highlight w:val="none"/>
        </w:rPr>
        <w:t xml:space="preserve">第二章  </w:t>
      </w:r>
      <w:r>
        <w:rPr>
          <w:rFonts w:hint="eastAsia" w:ascii="宋体" w:hAnsi="宋体" w:eastAsia="宋体" w:cs="宋体"/>
          <w:szCs w:val="32"/>
          <w:highlight w:val="none"/>
          <w:lang w:eastAsia="zh-CN"/>
        </w:rPr>
        <w:t>采购</w:t>
      </w:r>
      <w:r>
        <w:rPr>
          <w:rFonts w:hint="eastAsia" w:ascii="宋体" w:hAnsi="宋体" w:eastAsia="宋体" w:cs="宋体"/>
          <w:szCs w:val="32"/>
          <w:highlight w:val="none"/>
        </w:rPr>
        <w:t>需求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_Toc4148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216273CD">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_Toc16857 </w:instrText>
      </w:r>
      <w:r>
        <w:rPr>
          <w:rFonts w:hint="eastAsia" w:ascii="宋体" w:hAnsi="宋体" w:eastAsia="宋体" w:cs="宋体"/>
          <w:bCs/>
          <w:szCs w:val="32"/>
          <w:highlight w:val="none"/>
        </w:rPr>
        <w:fldChar w:fldCharType="separate"/>
      </w:r>
      <w:r>
        <w:rPr>
          <w:rFonts w:hint="eastAsia" w:ascii="宋体" w:hAnsi="宋体" w:eastAsia="宋体" w:cs="宋体"/>
          <w:bCs/>
          <w:szCs w:val="32"/>
          <w:highlight w:val="none"/>
        </w:rPr>
        <w:t xml:space="preserve">第三章  </w:t>
      </w:r>
      <w:r>
        <w:rPr>
          <w:rFonts w:hint="eastAsia" w:ascii="宋体" w:hAnsi="宋体" w:eastAsia="宋体" w:cs="宋体"/>
          <w:bCs/>
          <w:szCs w:val="32"/>
          <w:highlight w:val="none"/>
          <w:lang w:eastAsia="zh-CN"/>
        </w:rPr>
        <w:t>供应商</w:t>
      </w:r>
      <w:r>
        <w:rPr>
          <w:rFonts w:hint="eastAsia" w:ascii="宋体" w:hAnsi="宋体" w:eastAsia="宋体" w:cs="宋体"/>
          <w:bCs/>
          <w:szCs w:val="32"/>
          <w:highlight w:val="none"/>
        </w:rPr>
        <w:t>须知</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_Toc16857 \h </w:instrText>
      </w:r>
      <w:r>
        <w:rPr>
          <w:rFonts w:hint="eastAsia" w:ascii="宋体" w:hAnsi="宋体" w:eastAsia="宋体" w:cs="宋体"/>
        </w:rPr>
        <w:fldChar w:fldCharType="separate"/>
      </w:r>
      <w:r>
        <w:rPr>
          <w:rFonts w:hint="eastAsia" w:ascii="宋体" w:hAnsi="宋体" w:eastAsia="宋体" w:cs="宋体"/>
        </w:rPr>
        <w:t>7</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5F69EB7D">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_Toc27600 </w:instrText>
      </w:r>
      <w:r>
        <w:rPr>
          <w:rFonts w:hint="eastAsia" w:ascii="宋体" w:hAnsi="宋体" w:eastAsia="宋体" w:cs="宋体"/>
          <w:bCs/>
          <w:szCs w:val="32"/>
          <w:highlight w:val="none"/>
        </w:rPr>
        <w:fldChar w:fldCharType="separate"/>
      </w:r>
      <w:r>
        <w:rPr>
          <w:rFonts w:hint="eastAsia" w:ascii="宋体" w:hAnsi="宋体" w:eastAsia="宋体" w:cs="宋体"/>
          <w:bCs/>
          <w:kern w:val="0"/>
          <w:szCs w:val="32"/>
          <w:highlight w:val="none"/>
        </w:rPr>
        <w:t>第四章  评标办法及评分标准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_Toc27600 \h </w:instrText>
      </w:r>
      <w:r>
        <w:rPr>
          <w:rFonts w:hint="eastAsia" w:ascii="宋体" w:hAnsi="宋体" w:eastAsia="宋体" w:cs="宋体"/>
        </w:rPr>
        <w:fldChar w:fldCharType="separate"/>
      </w:r>
      <w:r>
        <w:rPr>
          <w:rFonts w:hint="eastAsia" w:ascii="宋体" w:hAnsi="宋体" w:eastAsia="宋体" w:cs="宋体"/>
        </w:rPr>
        <w:t>17</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25F38EB9">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_Toc5352 </w:instrText>
      </w:r>
      <w:r>
        <w:rPr>
          <w:rFonts w:hint="eastAsia" w:ascii="宋体" w:hAnsi="宋体" w:eastAsia="宋体" w:cs="宋体"/>
          <w:bCs/>
          <w:szCs w:val="32"/>
          <w:highlight w:val="none"/>
        </w:rPr>
        <w:fldChar w:fldCharType="separate"/>
      </w:r>
      <w:r>
        <w:rPr>
          <w:rFonts w:hint="eastAsia" w:ascii="宋体" w:hAnsi="宋体" w:eastAsia="宋体" w:cs="宋体"/>
          <w:szCs w:val="28"/>
          <w:highlight w:val="none"/>
        </w:rPr>
        <w:t>第五章  采购合同</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_Toc5352 \h </w:instrText>
      </w:r>
      <w:r>
        <w:rPr>
          <w:rFonts w:hint="eastAsia" w:ascii="宋体" w:hAnsi="宋体" w:eastAsia="宋体" w:cs="宋体"/>
        </w:rPr>
        <w:fldChar w:fldCharType="separate"/>
      </w:r>
      <w:r>
        <w:rPr>
          <w:rFonts w:hint="eastAsia" w:ascii="宋体" w:hAnsi="宋体" w:eastAsia="宋体" w:cs="宋体"/>
        </w:rPr>
        <w:t>19</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03110190">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_Toc12028 </w:instrText>
      </w:r>
      <w:r>
        <w:rPr>
          <w:rFonts w:hint="eastAsia" w:ascii="宋体" w:hAnsi="宋体" w:eastAsia="宋体" w:cs="宋体"/>
          <w:bCs/>
          <w:szCs w:val="32"/>
          <w:highlight w:val="none"/>
        </w:rPr>
        <w:fldChar w:fldCharType="separate"/>
      </w:r>
      <w:r>
        <w:rPr>
          <w:rFonts w:hint="eastAsia" w:ascii="宋体" w:hAnsi="宋体" w:eastAsia="宋体" w:cs="宋体"/>
          <w:szCs w:val="32"/>
          <w:highlight w:val="none"/>
        </w:rPr>
        <w:t xml:space="preserve">第六章  </w:t>
      </w:r>
      <w:r>
        <w:rPr>
          <w:rFonts w:hint="eastAsia" w:ascii="宋体" w:hAnsi="宋体" w:eastAsia="宋体" w:cs="宋体"/>
          <w:szCs w:val="32"/>
          <w:highlight w:val="none"/>
          <w:lang w:val="en-US" w:eastAsia="zh-CN"/>
        </w:rPr>
        <w:t>响应</w:t>
      </w:r>
      <w:r>
        <w:rPr>
          <w:rFonts w:hint="eastAsia" w:ascii="宋体" w:hAnsi="宋体" w:eastAsia="宋体" w:cs="宋体"/>
          <w:szCs w:val="32"/>
          <w:highlight w:val="none"/>
        </w:rPr>
        <w:t>文件格式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_Toc12028 \h </w:instrText>
      </w:r>
      <w:r>
        <w:rPr>
          <w:rFonts w:hint="eastAsia" w:ascii="宋体" w:hAnsi="宋体" w:eastAsia="宋体" w:cs="宋体"/>
        </w:rPr>
        <w:fldChar w:fldCharType="separate"/>
      </w:r>
      <w:r>
        <w:rPr>
          <w:rFonts w:hint="eastAsia" w:ascii="宋体" w:hAnsi="宋体" w:eastAsia="宋体" w:cs="宋体"/>
        </w:rPr>
        <w:t>20</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583C03D8">
      <w:pPr>
        <w:pStyle w:val="83"/>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32"/>
          <w:szCs w:val="32"/>
          <w:highlight w:val="none"/>
        </w:rPr>
      </w:pPr>
      <w:r>
        <w:rPr>
          <w:rFonts w:hint="eastAsia" w:ascii="宋体" w:hAnsi="宋体" w:eastAsia="宋体" w:cs="宋体"/>
          <w:bCs/>
          <w:color w:val="auto"/>
          <w:szCs w:val="32"/>
          <w:highlight w:val="none"/>
        </w:rPr>
        <w:fldChar w:fldCharType="end"/>
      </w:r>
    </w:p>
    <w:p w14:paraId="2DB3124A">
      <w:pPr>
        <w:spacing w:line="440" w:lineRule="exact"/>
        <w:rPr>
          <w:rFonts w:hint="eastAsia" w:ascii="宋体" w:hAnsi="宋体" w:eastAsia="宋体" w:cs="宋体"/>
          <w:b/>
          <w:color w:val="auto"/>
          <w:sz w:val="32"/>
          <w:szCs w:val="32"/>
          <w:highlight w:val="none"/>
        </w:rPr>
      </w:pPr>
    </w:p>
    <w:p w14:paraId="2079491A">
      <w:pPr>
        <w:spacing w:line="360" w:lineRule="auto"/>
        <w:ind w:firstLine="2409" w:firstLineChars="600"/>
        <w:rPr>
          <w:rFonts w:hint="eastAsia" w:ascii="宋体" w:hAnsi="宋体" w:eastAsia="宋体" w:cs="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14:paraId="507E5BEB">
      <w:pPr>
        <w:spacing w:line="360" w:lineRule="auto"/>
        <w:jc w:val="center"/>
        <w:outlineLvl w:val="0"/>
        <w:rPr>
          <w:rFonts w:hint="eastAsia" w:ascii="宋体" w:hAnsi="宋体" w:eastAsia="宋体" w:cs="宋体"/>
          <w:b/>
          <w:color w:val="auto"/>
          <w:sz w:val="32"/>
          <w:szCs w:val="32"/>
          <w:highlight w:val="none"/>
        </w:rPr>
      </w:pPr>
      <w:bookmarkStart w:id="2" w:name="_Toc21796"/>
      <w:r>
        <w:rPr>
          <w:rFonts w:hint="eastAsia" w:ascii="宋体" w:hAnsi="宋体" w:eastAsia="宋体" w:cs="宋体"/>
          <w:b/>
          <w:color w:val="auto"/>
          <w:sz w:val="32"/>
          <w:szCs w:val="32"/>
          <w:highlight w:val="none"/>
        </w:rPr>
        <w:t xml:space="preserve">第一章  </w:t>
      </w:r>
      <w:r>
        <w:rPr>
          <w:rFonts w:hint="eastAsia" w:ascii="宋体" w:hAnsi="宋体" w:eastAsia="宋体" w:cs="宋体"/>
          <w:b/>
          <w:color w:val="auto"/>
          <w:sz w:val="32"/>
          <w:szCs w:val="32"/>
          <w:highlight w:val="none"/>
          <w:lang w:val="en-US" w:eastAsia="zh-CN"/>
        </w:rPr>
        <w:t>竞争性磋商采购</w:t>
      </w:r>
      <w:r>
        <w:rPr>
          <w:rFonts w:hint="eastAsia" w:ascii="宋体" w:hAnsi="宋体" w:eastAsia="宋体" w:cs="宋体"/>
          <w:b/>
          <w:color w:val="auto"/>
          <w:sz w:val="32"/>
          <w:szCs w:val="32"/>
          <w:highlight w:val="none"/>
        </w:rPr>
        <w:t>公告</w:t>
      </w:r>
      <w:bookmarkEnd w:id="2"/>
    </w:p>
    <w:p w14:paraId="6C730A6D">
      <w:pPr>
        <w:keepNext w:val="0"/>
        <w:keepLines w:val="0"/>
        <w:pageBreakBefore w:val="0"/>
        <w:widowControl/>
        <w:kinsoku/>
        <w:wordWrap/>
        <w:overflowPunct/>
        <w:topLinePunct w:val="0"/>
        <w:autoSpaceDE/>
        <w:autoSpaceDN/>
        <w:bidi w:val="0"/>
        <w:adjustRightInd w:val="0"/>
        <w:snapToGrid w:val="0"/>
        <w:spacing w:afterAutospacing="0" w:line="360" w:lineRule="auto"/>
        <w:jc w:val="center"/>
        <w:textAlignment w:val="auto"/>
        <w:rPr>
          <w:rFonts w:hint="eastAsia" w:ascii="宋体" w:hAnsi="宋体" w:eastAsia="宋体" w:cs="宋体"/>
          <w:b/>
          <w:bCs w:val="0"/>
          <w:color w:val="auto"/>
          <w:kern w:val="0"/>
          <w:sz w:val="28"/>
          <w:szCs w:val="28"/>
        </w:rPr>
      </w:pPr>
      <w:r>
        <w:rPr>
          <w:rFonts w:hint="eastAsia" w:ascii="宋体" w:hAnsi="宋体" w:cs="宋体"/>
          <w:b/>
          <w:bCs w:val="0"/>
          <w:color w:val="auto"/>
          <w:kern w:val="0"/>
          <w:sz w:val="28"/>
          <w:szCs w:val="28"/>
          <w:u w:val="none"/>
          <w:lang w:val="en-US" w:eastAsia="zh-CN"/>
        </w:rPr>
        <w:t>驻马店市中心医院电子支气管镜采购项目</w:t>
      </w:r>
      <w:r>
        <w:rPr>
          <w:rFonts w:hint="eastAsia" w:ascii="宋体" w:hAnsi="宋体" w:eastAsia="宋体" w:cs="宋体"/>
          <w:b/>
          <w:bCs w:val="0"/>
          <w:color w:val="auto"/>
          <w:kern w:val="0"/>
          <w:sz w:val="28"/>
          <w:szCs w:val="28"/>
          <w:u w:val="none"/>
          <w:lang w:val="en-US" w:eastAsia="zh-CN"/>
        </w:rPr>
        <w:t>竞争性磋商</w:t>
      </w:r>
      <w:r>
        <w:rPr>
          <w:rFonts w:hint="eastAsia" w:ascii="宋体" w:hAnsi="宋体" w:eastAsia="宋体" w:cs="宋体"/>
          <w:b/>
          <w:bCs w:val="0"/>
          <w:color w:val="auto"/>
          <w:kern w:val="0"/>
          <w:sz w:val="28"/>
          <w:szCs w:val="28"/>
        </w:rPr>
        <w:t>公告</w:t>
      </w:r>
    </w:p>
    <w:p w14:paraId="0FE28867">
      <w:pPr>
        <w:snapToGrid w:val="0"/>
        <w:spacing w:line="360" w:lineRule="auto"/>
        <w:ind w:firstLine="420" w:firstLineChars="200"/>
        <w:rPr>
          <w:rFonts w:hint="eastAsia" w:ascii="宋体" w:hAnsi="宋体" w:eastAsia="宋体" w:cs="宋体"/>
          <w:color w:val="auto"/>
          <w:szCs w:val="21"/>
        </w:rPr>
      </w:pPr>
      <w:bookmarkStart w:id="98" w:name="_GoBack"/>
      <w:r>
        <w:rPr>
          <w:rFonts w:hint="eastAsia" w:ascii="宋体" w:hAnsi="宋体" w:eastAsia="宋体" w:cs="宋体"/>
          <w:color w:val="auto"/>
        </w:rPr>
        <w:t>驻马店市中心医院现对</w:t>
      </w:r>
      <w:r>
        <w:rPr>
          <w:rFonts w:hint="eastAsia" w:ascii="宋体" w:hAnsi="宋体" w:cs="宋体"/>
          <w:color w:val="auto"/>
          <w:u w:val="single"/>
          <w:lang w:val="en-US" w:eastAsia="zh-CN"/>
        </w:rPr>
        <w:t>电子支气管镜采购项目</w:t>
      </w:r>
      <w:r>
        <w:rPr>
          <w:rFonts w:hint="eastAsia" w:ascii="宋体" w:hAnsi="宋体" w:eastAsia="宋体" w:cs="宋体"/>
          <w:color w:val="auto"/>
        </w:rPr>
        <w:t>进行院内</w:t>
      </w:r>
      <w:r>
        <w:rPr>
          <w:rFonts w:hint="eastAsia" w:ascii="宋体" w:hAnsi="宋体" w:eastAsia="宋体" w:cs="宋体"/>
          <w:color w:val="auto"/>
          <w:lang w:val="en-US" w:eastAsia="zh-CN"/>
        </w:rPr>
        <w:t>竞争性磋商</w:t>
      </w:r>
      <w:r>
        <w:rPr>
          <w:rFonts w:hint="eastAsia" w:ascii="宋体" w:hAnsi="宋体" w:eastAsia="宋体" w:cs="宋体"/>
          <w:color w:val="auto"/>
        </w:rPr>
        <w:t>采购，欢迎符合资格条件的供应商前来</w:t>
      </w:r>
      <w:r>
        <w:rPr>
          <w:rFonts w:hint="eastAsia" w:ascii="宋体" w:hAnsi="宋体" w:eastAsia="宋体" w:cs="宋体"/>
          <w:color w:val="auto"/>
          <w:lang w:val="en-US" w:eastAsia="zh-CN"/>
        </w:rPr>
        <w:t>报名并</w:t>
      </w:r>
      <w:r>
        <w:rPr>
          <w:rFonts w:hint="eastAsia" w:ascii="宋体" w:hAnsi="宋体" w:eastAsia="宋体" w:cs="宋体"/>
          <w:color w:val="auto"/>
          <w:szCs w:val="21"/>
        </w:rPr>
        <w:t>获取</w:t>
      </w:r>
      <w:r>
        <w:rPr>
          <w:rFonts w:hint="eastAsia" w:ascii="宋体" w:hAnsi="宋体" w:eastAsia="宋体" w:cs="宋体"/>
          <w:color w:val="auto"/>
          <w:szCs w:val="21"/>
          <w:lang w:val="en-US" w:eastAsia="zh-CN"/>
        </w:rPr>
        <w:t>采购</w:t>
      </w:r>
      <w:r>
        <w:rPr>
          <w:rFonts w:hint="eastAsia" w:ascii="宋体" w:hAnsi="宋体" w:eastAsia="宋体" w:cs="宋体"/>
          <w:color w:val="auto"/>
          <w:szCs w:val="21"/>
        </w:rPr>
        <w:t>文件。</w:t>
      </w:r>
    </w:p>
    <w:p w14:paraId="1CE5C737">
      <w:pPr>
        <w:keepNext w:val="0"/>
        <w:keepLines w:val="0"/>
        <w:widowControl/>
        <w:snapToGrid w:val="0"/>
        <w:spacing w:before="0" w:after="0" w:line="360" w:lineRule="auto"/>
        <w:jc w:val="left"/>
        <w:outlineLvl w:val="1"/>
        <w:rPr>
          <w:rFonts w:hint="eastAsia" w:ascii="宋体" w:hAnsi="宋体" w:eastAsia="宋体" w:cs="宋体"/>
          <w:b/>
          <w:bCs/>
          <w:color w:val="auto"/>
          <w:kern w:val="2"/>
          <w:sz w:val="21"/>
          <w:szCs w:val="21"/>
          <w:shd w:val="clear" w:color="auto" w:fill="FFFFFF"/>
          <w:lang w:val="en-US" w:eastAsia="zh-CN" w:bidi="ar-SA"/>
        </w:rPr>
      </w:pPr>
      <w:r>
        <w:rPr>
          <w:rFonts w:hint="eastAsia" w:ascii="宋体" w:hAnsi="宋体" w:eastAsia="宋体" w:cs="宋体"/>
          <w:b/>
          <w:bCs/>
          <w:color w:val="auto"/>
          <w:kern w:val="2"/>
          <w:sz w:val="21"/>
          <w:szCs w:val="21"/>
          <w:shd w:val="clear" w:color="auto" w:fill="FFFFFF"/>
          <w:lang w:val="en-US" w:eastAsia="zh-CN" w:bidi="ar-SA"/>
        </w:rPr>
        <w:t>一、项目基本情况</w:t>
      </w:r>
    </w:p>
    <w:p w14:paraId="440F3ACB">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cs="宋体"/>
          <w:color w:val="auto"/>
          <w:szCs w:val="21"/>
          <w:highlight w:val="none"/>
          <w:shd w:val="clear" w:color="auto" w:fill="FFFFFF"/>
          <w:lang w:val="en-US" w:eastAsia="zh-CN"/>
        </w:rPr>
        <w:t>驻马店市中心医院电子支气管镜采购项目</w:t>
      </w:r>
      <w:r>
        <w:rPr>
          <w:rFonts w:hint="eastAsia" w:ascii="宋体" w:hAnsi="宋体" w:eastAsia="宋体" w:cs="宋体"/>
          <w:color w:val="auto"/>
          <w:szCs w:val="21"/>
          <w:highlight w:val="none"/>
          <w:shd w:val="clear" w:color="auto" w:fill="FFFFFF"/>
          <w:lang w:eastAsia="zh-CN"/>
        </w:rPr>
        <w:t>；</w:t>
      </w:r>
    </w:p>
    <w:p w14:paraId="642E45D6">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eastAsia="宋体" w:cs="宋体"/>
          <w:color w:val="auto"/>
          <w:szCs w:val="21"/>
          <w:highlight w:val="none"/>
          <w:shd w:val="clear" w:color="auto" w:fill="FFFFFF"/>
          <w:lang w:eastAsia="zh-CN"/>
        </w:rPr>
        <w:t>：</w:t>
      </w:r>
      <w:r>
        <w:rPr>
          <w:rFonts w:hint="eastAsia" w:ascii="宋体" w:hAnsi="宋体" w:eastAsia="宋体" w:cs="宋体"/>
          <w:color w:val="auto"/>
          <w:szCs w:val="21"/>
          <w:highlight w:val="none"/>
          <w:shd w:val="clear" w:color="auto" w:fill="FFFFFF"/>
        </w:rPr>
        <w:t>具体要求详见附件</w:t>
      </w:r>
      <w:r>
        <w:rPr>
          <w:rFonts w:hint="eastAsia" w:ascii="宋体" w:hAnsi="宋体" w:eastAsia="宋体" w:cs="宋体"/>
          <w:color w:val="auto"/>
          <w:szCs w:val="21"/>
          <w:highlight w:val="none"/>
          <w:shd w:val="clear" w:color="auto" w:fill="FFFFFF"/>
          <w:lang w:eastAsia="zh-CN"/>
        </w:rPr>
        <w:t>；</w:t>
      </w:r>
    </w:p>
    <w:p w14:paraId="4E6B5DBD">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、预算金额：</w:t>
      </w:r>
      <w:r>
        <w:rPr>
          <w:rFonts w:hint="eastAsia" w:ascii="宋体" w:hAnsi="宋体" w:cs="宋体"/>
          <w:color w:val="auto"/>
          <w:szCs w:val="21"/>
          <w:highlight w:val="none"/>
          <w:shd w:val="clear" w:color="auto" w:fill="FFFFFF"/>
          <w:lang w:val="en-US" w:eastAsia="zh-CN"/>
        </w:rPr>
        <w:t>430000</w:t>
      </w:r>
      <w:r>
        <w:rPr>
          <w:rFonts w:hint="eastAsia" w:ascii="宋体" w:hAnsi="宋体" w:eastAsia="宋体" w:cs="宋体"/>
          <w:color w:val="auto"/>
          <w:szCs w:val="21"/>
          <w:highlight w:val="none"/>
          <w:shd w:val="clear" w:color="auto" w:fill="FFFFFF"/>
          <w:lang w:val="en-US" w:eastAsia="zh-CN"/>
        </w:rPr>
        <w:t>.00元；</w:t>
      </w:r>
    </w:p>
    <w:p w14:paraId="68B9D611">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4、</w:t>
      </w:r>
      <w:r>
        <w:rPr>
          <w:rFonts w:hint="eastAsia" w:ascii="宋体" w:hAnsi="宋体" w:eastAsia="宋体" w:cs="宋体"/>
          <w:color w:val="auto"/>
          <w:szCs w:val="21"/>
          <w:highlight w:val="none"/>
          <w:shd w:val="clear" w:color="auto" w:fill="FFFFFF"/>
          <w:lang w:val="en-US" w:eastAsia="zh-CN"/>
        </w:rPr>
        <w:t>交货期：合同签订后30日内交货；</w:t>
      </w:r>
    </w:p>
    <w:p w14:paraId="3A1F96FB">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、质量要求：</w:t>
      </w:r>
      <w:r>
        <w:rPr>
          <w:rFonts w:hint="eastAsia" w:ascii="宋体" w:hAnsi="宋体" w:eastAsia="宋体" w:cs="宋体"/>
          <w:color w:val="auto"/>
          <w:szCs w:val="21"/>
          <w:highlight w:val="none"/>
          <w:shd w:val="clear" w:color="auto" w:fill="FFFFFF"/>
          <w:lang w:val="en-US" w:eastAsia="zh-CN"/>
        </w:rPr>
        <w:t>符合国家有关法律法规及行业标准要求</w:t>
      </w:r>
      <w:r>
        <w:rPr>
          <w:rFonts w:hint="eastAsia" w:ascii="宋体" w:hAnsi="宋体" w:eastAsia="宋体" w:cs="宋体"/>
          <w:color w:val="auto"/>
          <w:szCs w:val="21"/>
          <w:highlight w:val="none"/>
          <w:shd w:val="clear" w:color="auto" w:fill="FFFFFF"/>
          <w:lang w:eastAsia="zh-CN"/>
        </w:rPr>
        <w:t>。</w:t>
      </w:r>
    </w:p>
    <w:p w14:paraId="03CB2157">
      <w:pPr>
        <w:keepNext w:val="0"/>
        <w:keepLines w:val="0"/>
        <w:widowControl/>
        <w:snapToGrid w:val="0"/>
        <w:spacing w:before="0" w:after="0" w:line="360" w:lineRule="auto"/>
        <w:jc w:val="left"/>
        <w:outlineLvl w:val="1"/>
        <w:rPr>
          <w:rFonts w:hint="eastAsia"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pPr>
      <w:bookmarkStart w:id="4" w:name="_Toc23626"/>
      <w:bookmarkStart w:id="5" w:name="_Toc18607"/>
      <w:bookmarkStart w:id="6" w:name="_Toc16639"/>
      <w:bookmarkStart w:id="7" w:name="_Toc27704"/>
      <w:r>
        <w:rPr>
          <w:rFonts w:hint="eastAsia"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t>二、</w:t>
      </w:r>
      <w:bookmarkEnd w:id="3"/>
      <w:bookmarkEnd w:id="4"/>
      <w:bookmarkEnd w:id="5"/>
      <w:bookmarkEnd w:id="6"/>
      <w:bookmarkEnd w:id="7"/>
      <w:r>
        <w:rPr>
          <w:rFonts w:hint="eastAsia"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t>供应商资格要求：</w:t>
      </w:r>
    </w:p>
    <w:p w14:paraId="021FB4C9">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kern w:val="2"/>
          <w:sz w:val="21"/>
          <w:szCs w:val="24"/>
          <w:lang w:val="en-US" w:eastAsia="zh-CN" w:bidi="ar-SA"/>
        </w:rPr>
      </w:pPr>
      <w:bookmarkStart w:id="8" w:name="_Toc30643"/>
      <w:bookmarkStart w:id="9" w:name="_Toc9562"/>
      <w:bookmarkStart w:id="10" w:name="_Toc23395"/>
      <w:bookmarkStart w:id="11" w:name="_Toc30971"/>
      <w:bookmarkStart w:id="12" w:name="_Toc7823"/>
      <w:r>
        <w:rPr>
          <w:rFonts w:hint="eastAsia" w:ascii="宋体" w:hAnsi="宋体" w:eastAsia="宋体" w:cs="宋体"/>
          <w:color w:val="000000"/>
          <w:kern w:val="2"/>
          <w:sz w:val="21"/>
          <w:szCs w:val="24"/>
          <w:lang w:val="en-US" w:eastAsia="zh-CN" w:bidi="ar-SA"/>
        </w:rPr>
        <w:t>1、供应商应为注册在中华人民共和国境内的，且具有独立承担民事责任能力，提供营业执照或其他证明材料。</w:t>
      </w:r>
    </w:p>
    <w:p w14:paraId="5EE48F75">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kern w:val="2"/>
          <w:sz w:val="21"/>
          <w:szCs w:val="24"/>
          <w:lang w:val="en-US" w:eastAsia="zh-CN" w:bidi="ar-SA"/>
        </w:rPr>
        <w:t>2、供应商为制造商，所投产品为第一类医疗器械须提供有效的《医疗器械生产备案凭证》，所投产品为第二、三类医疗器械须提供有效的《医疗器械生产许可证》；供应商为经销商或代理商的须提供《医疗器械经营许可证》或《医疗器械经营备案凭证》，所投产品为第二类、第三类医疗器械，则须提供有效的《医疗器械注册证》。（如投标产品不属于医疗器械管理范围的可不提供）。</w:t>
      </w:r>
    </w:p>
    <w:p w14:paraId="2DC7632B">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kern w:val="2"/>
          <w:sz w:val="21"/>
          <w:szCs w:val="24"/>
          <w:lang w:val="en-US" w:eastAsia="zh-CN" w:bidi="ar-SA"/>
        </w:rPr>
        <w:t>3、供应商应提供2023年度经审计的财务报告或者其基本开户银行出具的资信证明；采购活动近六个月任意一个月的依法缴纳税收的凭据和缴纳社会保险的凭据；依法免税或不需要缴纳社会保障资金的供应商，应提供相应文件证明其依法免税或不需要缴纳社会保障资金。（新成立企业从成立之日起计算）；</w:t>
      </w:r>
    </w:p>
    <w:p w14:paraId="2AFD340F">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kern w:val="2"/>
          <w:sz w:val="21"/>
          <w:szCs w:val="24"/>
          <w:lang w:val="en-US" w:eastAsia="zh-CN" w:bidi="ar-SA"/>
        </w:rPr>
        <w:t>4、具有履行合同所必需的设备和专业技术能力（提供书面声明函）；</w:t>
      </w:r>
    </w:p>
    <w:p w14:paraId="211E62A8">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kern w:val="2"/>
          <w:sz w:val="21"/>
          <w:szCs w:val="24"/>
          <w:lang w:val="en-US" w:eastAsia="zh-CN" w:bidi="ar-SA"/>
        </w:rPr>
        <w:t>5、参加本采购活动前三年内，在经营活动中没有重大违法记录（提供书面声明函）；</w:t>
      </w:r>
    </w:p>
    <w:p w14:paraId="758453BC">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kern w:val="2"/>
          <w:sz w:val="21"/>
          <w:szCs w:val="24"/>
          <w:lang w:val="en-US" w:eastAsia="zh-CN" w:bidi="ar-SA"/>
        </w:rPr>
        <w:t>6、符合法律、行政法规规定的其他条件；</w:t>
      </w:r>
    </w:p>
    <w:p w14:paraId="6BE761B5">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kern w:val="2"/>
          <w:sz w:val="21"/>
          <w:szCs w:val="24"/>
          <w:lang w:val="en-US" w:eastAsia="zh-CN" w:bidi="ar-SA"/>
        </w:rPr>
        <w:t>7、根据《关于在政府采购活动中查询及使用信用记录有关问题的通知》（财库【2016】125号）的规定，对列入失信被执行人、重大税收违法失信主体、政府采购严重违法失信行为记录名单的供应商，拒绝参与本项目政府采购活动；（查询渠道：“信用中国”网站、中国政府采购网，供应商提供的仅做为信用参考，以采购人或采购代理机构查询结果为准）；</w:t>
      </w:r>
    </w:p>
    <w:p w14:paraId="18945812">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kern w:val="2"/>
          <w:sz w:val="21"/>
          <w:szCs w:val="24"/>
          <w:lang w:val="en-US" w:eastAsia="zh-CN" w:bidi="ar-SA"/>
        </w:rPr>
        <w:t>8、单位负责人为同一人或者存在直接控股、管理关系的不同供应商，不得参加同一合同项下的磋商（提供书面声明函）。一经发现，将导致投标同时被拒绝。</w:t>
      </w:r>
    </w:p>
    <w:p w14:paraId="73273EAD">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kern w:val="2"/>
          <w:sz w:val="21"/>
          <w:szCs w:val="24"/>
          <w:lang w:val="en-US" w:eastAsia="zh-CN" w:bidi="ar-SA"/>
        </w:rPr>
        <w:t>9、不接受联合体磋商。</w:t>
      </w:r>
    </w:p>
    <w:p w14:paraId="784D075B">
      <w:pPr>
        <w:keepNext w:val="0"/>
        <w:keepLines w:val="0"/>
        <w:widowControl/>
        <w:snapToGrid w:val="0"/>
        <w:spacing w:before="0" w:after="0" w:line="360" w:lineRule="auto"/>
        <w:jc w:val="left"/>
        <w:outlineLvl w:val="1"/>
        <w:rPr>
          <w:rFonts w:hint="eastAsia" w:ascii="宋体" w:hAnsi="宋体" w:eastAsia="宋体" w:cs="宋体"/>
          <w:b/>
          <w:bCs/>
          <w:color w:val="auto"/>
          <w:kern w:val="2"/>
          <w:sz w:val="21"/>
          <w:szCs w:val="24"/>
          <w:lang w:val="en-US" w:eastAsia="zh-CN" w:bidi="ar-SA"/>
        </w:rPr>
      </w:pPr>
      <w:r>
        <w:rPr>
          <w:rFonts w:hint="eastAsia" w:ascii="宋体" w:hAnsi="宋体" w:eastAsia="宋体" w:cs="宋体"/>
          <w:b/>
          <w:bCs/>
          <w:color w:val="auto"/>
          <w:kern w:val="2"/>
          <w:sz w:val="21"/>
          <w:szCs w:val="24"/>
          <w:lang w:val="en-US" w:eastAsia="zh-CN" w:bidi="ar-SA"/>
        </w:rPr>
        <w:t>三、获取采购文件</w:t>
      </w:r>
      <w:bookmarkEnd w:id="8"/>
      <w:bookmarkEnd w:id="9"/>
      <w:bookmarkEnd w:id="10"/>
      <w:bookmarkEnd w:id="11"/>
      <w:bookmarkEnd w:id="12"/>
    </w:p>
    <w:p w14:paraId="638A410B">
      <w:pPr>
        <w:widowControl/>
        <w:adjustRightInd w:val="0"/>
        <w:snapToGrid w:val="0"/>
        <w:spacing w:line="360" w:lineRule="auto"/>
        <w:ind w:firstLine="420" w:firstLineChars="200"/>
        <w:jc w:val="left"/>
        <w:rPr>
          <w:rFonts w:hint="eastAsia" w:ascii="宋体" w:hAnsi="宋体" w:eastAsia="宋体" w:cs="宋体"/>
          <w:color w:val="000000" w:themeColor="text1"/>
          <w:szCs w:val="21"/>
          <w:shd w:val="clear" w:color="auto" w:fill="FFFFFF"/>
          <w:lang w:val="en-US"/>
          <w14:textFill>
            <w14:solidFill>
              <w14:schemeClr w14:val="tx1"/>
            </w14:solidFill>
          </w14:textFill>
        </w:rPr>
      </w:pPr>
      <w:r>
        <w:rPr>
          <w:rFonts w:hint="eastAsia" w:ascii="宋体" w:hAnsi="宋体" w:eastAsia="宋体" w:cs="宋体"/>
          <w:color w:val="auto"/>
          <w:szCs w:val="21"/>
          <w:shd w:val="clear" w:color="auto" w:fill="FFFFFF"/>
        </w:rPr>
        <w:t>1</w:t>
      </w:r>
      <w:r>
        <w:rPr>
          <w:rFonts w:hint="eastAsia" w:ascii="宋体" w:hAnsi="宋体" w:eastAsia="宋体" w:cs="宋体"/>
          <w:color w:val="auto"/>
          <w:szCs w:val="21"/>
          <w:shd w:val="clear" w:color="auto" w:fill="FFFFFF"/>
          <w:lang w:val="en-US" w:eastAsia="zh-CN"/>
        </w:rPr>
        <w:t xml:space="preserve">. </w:t>
      </w:r>
      <w:r>
        <w:rPr>
          <w:rFonts w:hint="eastAsia" w:ascii="宋体" w:hAnsi="宋体" w:eastAsia="宋体" w:cs="宋体"/>
          <w:color w:val="000000" w:themeColor="text1"/>
          <w:szCs w:val="21"/>
          <w:shd w:val="clear" w:color="auto" w:fill="FFFFFF"/>
          <w:lang w:val="en-US" w:eastAsia="zh-CN"/>
          <w14:textFill>
            <w14:solidFill>
              <w14:schemeClr w14:val="tx1"/>
            </w14:solidFill>
          </w14:textFill>
        </w:rPr>
        <w:t>报名</w:t>
      </w:r>
      <w:r>
        <w:rPr>
          <w:rFonts w:hint="eastAsia" w:ascii="宋体" w:hAnsi="宋体" w:eastAsia="宋体" w:cs="宋体"/>
          <w:color w:val="000000" w:themeColor="text1"/>
          <w:szCs w:val="21"/>
          <w:shd w:val="clear" w:color="auto" w:fill="FFFFFF"/>
          <w14:textFill>
            <w14:solidFill>
              <w14:schemeClr w14:val="tx1"/>
            </w14:solidFill>
          </w14:textFill>
        </w:rPr>
        <w:t>时间：</w:t>
      </w:r>
      <w:r>
        <w:rPr>
          <w:rFonts w:hint="eastAsia" w:ascii="宋体" w:hAnsi="宋体" w:eastAsia="宋体" w:cs="宋体"/>
          <w:color w:val="000000" w:themeColor="text1"/>
          <w:szCs w:val="21"/>
          <w:highlight w:val="none"/>
          <w:shd w:val="clear" w:color="auto" w:fill="FFFFFF"/>
          <w14:textFill>
            <w14:solidFill>
              <w14:schemeClr w14:val="tx1"/>
            </w14:solidFill>
          </w14:textFill>
        </w:rPr>
        <w:t>202</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5</w:t>
      </w:r>
      <w:r>
        <w:rPr>
          <w:rFonts w:hint="eastAsia" w:ascii="宋体" w:hAnsi="宋体" w:eastAsia="宋体" w:cs="宋体"/>
          <w:color w:val="000000" w:themeColor="text1"/>
          <w:szCs w:val="21"/>
          <w:highlight w:val="none"/>
          <w:shd w:val="clear" w:color="auto" w:fill="FFFFFF"/>
          <w14:textFill>
            <w14:solidFill>
              <w14:schemeClr w14:val="tx1"/>
            </w14:solidFill>
          </w14:textFill>
        </w:rPr>
        <w:t>年</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02</w:t>
      </w:r>
      <w:r>
        <w:rPr>
          <w:rFonts w:hint="eastAsia" w:ascii="宋体" w:hAnsi="宋体" w:eastAsia="宋体" w:cs="宋体"/>
          <w:color w:val="000000" w:themeColor="text1"/>
          <w:szCs w:val="21"/>
          <w:highlight w:val="none"/>
          <w:shd w:val="clear" w:color="auto" w:fill="FFFFFF"/>
          <w14:textFill>
            <w14:solidFill>
              <w14:schemeClr w14:val="tx1"/>
            </w14:solidFill>
          </w14:textFill>
        </w:rPr>
        <w:t>月</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10</w:t>
      </w:r>
      <w:r>
        <w:rPr>
          <w:rFonts w:hint="eastAsia" w:ascii="宋体" w:hAnsi="宋体" w:eastAsia="宋体" w:cs="宋体"/>
          <w:color w:val="000000" w:themeColor="text1"/>
          <w:szCs w:val="21"/>
          <w:highlight w:val="none"/>
          <w:shd w:val="clear" w:color="auto" w:fill="FFFFFF"/>
          <w14:textFill>
            <w14:solidFill>
              <w14:schemeClr w14:val="tx1"/>
            </w14:solidFill>
          </w14:textFill>
        </w:rPr>
        <w:t>日-202</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5</w:t>
      </w:r>
      <w:r>
        <w:rPr>
          <w:rFonts w:hint="eastAsia" w:ascii="宋体" w:hAnsi="宋体" w:eastAsia="宋体" w:cs="宋体"/>
          <w:color w:val="000000" w:themeColor="text1"/>
          <w:szCs w:val="21"/>
          <w:highlight w:val="none"/>
          <w:shd w:val="clear" w:color="auto" w:fill="FFFFFF"/>
          <w14:textFill>
            <w14:solidFill>
              <w14:schemeClr w14:val="tx1"/>
            </w14:solidFill>
          </w14:textFill>
        </w:rPr>
        <w:t>年</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02</w:t>
      </w:r>
      <w:r>
        <w:rPr>
          <w:rFonts w:hint="eastAsia" w:ascii="宋体" w:hAnsi="宋体" w:eastAsia="宋体" w:cs="宋体"/>
          <w:color w:val="000000" w:themeColor="text1"/>
          <w:szCs w:val="21"/>
          <w:highlight w:val="none"/>
          <w:shd w:val="clear" w:color="auto" w:fill="FFFFFF"/>
          <w14:textFill>
            <w14:solidFill>
              <w14:schemeClr w14:val="tx1"/>
            </w14:solidFill>
          </w14:textFill>
        </w:rPr>
        <w:t>月</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12</w:t>
      </w:r>
      <w:r>
        <w:rPr>
          <w:rFonts w:hint="eastAsia" w:ascii="宋体" w:hAnsi="宋体" w:eastAsia="宋体" w:cs="宋体"/>
          <w:color w:val="000000" w:themeColor="text1"/>
          <w:szCs w:val="21"/>
          <w:highlight w:val="none"/>
          <w:shd w:val="clear" w:color="auto" w:fill="FFFFFF"/>
          <w14:textFill>
            <w14:solidFill>
              <w14:schemeClr w14:val="tx1"/>
            </w14:solidFill>
          </w14:textFill>
        </w:rPr>
        <w:t>日</w:t>
      </w:r>
      <w:r>
        <w:rPr>
          <w:rFonts w:hint="eastAsia" w:ascii="宋体" w:hAnsi="宋体" w:eastAsia="宋体" w:cs="宋体"/>
          <w:color w:val="000000" w:themeColor="text1"/>
          <w:szCs w:val="21"/>
          <w:shd w:val="clear" w:color="auto" w:fill="FFFFFF"/>
          <w14:textFill>
            <w14:solidFill>
              <w14:schemeClr w14:val="tx1"/>
            </w14:solidFill>
          </w14:textFill>
        </w:rPr>
        <w:t>，上午</w:t>
      </w:r>
      <w:r>
        <w:rPr>
          <w:rFonts w:hint="eastAsia" w:ascii="宋体" w:hAnsi="宋体" w:eastAsia="宋体" w:cs="宋体"/>
          <w:color w:val="000000" w:themeColor="text1"/>
          <w:szCs w:val="21"/>
          <w:shd w:val="clear" w:color="auto" w:fill="FFFFFF"/>
          <w:lang w:val="en-US" w:eastAsia="zh-CN"/>
          <w14:textFill>
            <w14:solidFill>
              <w14:schemeClr w14:val="tx1"/>
            </w14:solidFill>
          </w14:textFill>
        </w:rPr>
        <w:t>0</w:t>
      </w:r>
      <w:r>
        <w:rPr>
          <w:rFonts w:hint="eastAsia" w:ascii="宋体" w:hAnsi="宋体" w:eastAsia="宋体" w:cs="宋体"/>
          <w:color w:val="000000" w:themeColor="text1"/>
          <w:szCs w:val="21"/>
          <w:shd w:val="clear" w:color="auto" w:fill="FFFFFF"/>
          <w14:textFill>
            <w14:solidFill>
              <w14:schemeClr w14:val="tx1"/>
            </w14:solidFill>
          </w14:textFill>
        </w:rPr>
        <w:t>8：30-11:30，下午14:30-17:30（北京时间，法定节假日除外）</w:t>
      </w:r>
      <w:r>
        <w:rPr>
          <w:rFonts w:hint="eastAsia" w:ascii="宋体" w:hAnsi="宋体" w:eastAsia="宋体" w:cs="宋体"/>
          <w:color w:val="000000" w:themeColor="text1"/>
          <w:szCs w:val="21"/>
          <w:shd w:val="clear" w:color="auto" w:fill="FFFFFF"/>
          <w:lang w:val="en-US" w:eastAsia="zh-CN"/>
          <w14:textFill>
            <w14:solidFill>
              <w14:schemeClr w14:val="tx1"/>
            </w14:solidFill>
          </w14:textFill>
        </w:rPr>
        <w:t>。</w:t>
      </w:r>
    </w:p>
    <w:p w14:paraId="035BF3FE">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2. 凡报名成功的供应商无故不来参与投标的，列入我院黑名</w:t>
      </w:r>
      <w:r>
        <w:rPr>
          <w:rFonts w:hint="eastAsia" w:ascii="宋体" w:hAnsi="宋体" w:eastAsia="宋体" w:cs="宋体"/>
          <w:color w:val="auto"/>
          <w:kern w:val="0"/>
          <w:sz w:val="21"/>
          <w:szCs w:val="21"/>
          <w:shd w:val="clear" w:color="auto" w:fill="FFFFFF"/>
          <w:lang w:val="en-US" w:eastAsia="zh-CN" w:bidi="ar-SA"/>
        </w:rPr>
        <w:t xml:space="preserve">单，一年内不得参与我院任何采购活动。成交供应商缴纳相应服务费。 </w:t>
      </w:r>
    </w:p>
    <w:p w14:paraId="381837FA">
      <w:pPr>
        <w:widowControl/>
        <w:wordWrap w:val="0"/>
        <w:snapToGrid w:val="0"/>
        <w:spacing w:before="0" w:beforeAutospacing="0" w:after="0" w:afterAutospacing="0" w:line="360" w:lineRule="auto"/>
        <w:ind w:left="0" w:leftChars="0" w:firstLine="420" w:firstLineChars="200"/>
        <w:jc w:val="left"/>
        <w:rPr>
          <w:rFonts w:hint="eastAsia" w:ascii="宋体" w:hAnsi="宋体" w:eastAsia="宋体" w:cs="宋体"/>
          <w:color w:val="auto"/>
          <w:kern w:val="0"/>
          <w:sz w:val="21"/>
          <w:szCs w:val="21"/>
          <w:u w:val="single"/>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3. 采购文件获取方式：供应商须把填写完整的报名登记表及本磋商公告第二项供应商资格要求中需提供加盖单位公章的相关资料扫描件按序排版为PDF格式文件，发送至以下邮箱：</w:t>
      </w:r>
      <w:r>
        <w:rPr>
          <w:rFonts w:hint="eastAsia" w:ascii="宋体" w:hAnsi="宋体" w:eastAsia="宋体" w:cs="宋体"/>
          <w:color w:val="auto"/>
          <w:kern w:val="0"/>
          <w:sz w:val="21"/>
          <w:szCs w:val="21"/>
          <w:shd w:val="clear" w:color="auto" w:fill="FFFFFF"/>
          <w:lang w:val="en-US" w:eastAsia="zh-CN" w:bidi="ar-SA"/>
        </w:rPr>
        <w:fldChar w:fldCharType="begin"/>
      </w:r>
      <w:r>
        <w:rPr>
          <w:rFonts w:hint="eastAsia" w:ascii="宋体" w:hAnsi="宋体" w:eastAsia="宋体" w:cs="宋体"/>
          <w:color w:val="auto"/>
          <w:kern w:val="0"/>
          <w:sz w:val="21"/>
          <w:szCs w:val="21"/>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shd w:val="clear" w:color="auto" w:fill="FFFFFF"/>
          <w:lang w:val="en-US" w:eastAsia="zh-CN" w:bidi="ar-SA"/>
        </w:rPr>
        <w:fldChar w:fldCharType="separate"/>
      </w:r>
      <w:r>
        <w:rPr>
          <w:rFonts w:hint="eastAsia" w:ascii="宋体" w:hAnsi="宋体" w:eastAsia="宋体" w:cs="宋体"/>
          <w:color w:val="auto"/>
          <w:kern w:val="0"/>
          <w:sz w:val="21"/>
          <w:szCs w:val="21"/>
          <w:shd w:val="clear" w:color="auto" w:fill="FFFFFF"/>
          <w:lang w:val="en-US" w:eastAsia="zh-CN" w:bidi="ar-SA"/>
        </w:rPr>
        <w:t>3269714460@qq.com,并标明XX公司XX</w:t>
      </w:r>
      <w:r>
        <w:rPr>
          <w:rFonts w:hint="eastAsia" w:ascii="宋体" w:hAnsi="宋体" w:eastAsia="宋体" w:cs="宋体"/>
          <w:color w:val="auto"/>
          <w:kern w:val="0"/>
          <w:sz w:val="21"/>
          <w:szCs w:val="21"/>
          <w:shd w:val="clear" w:color="auto" w:fill="FFFFFF"/>
          <w:lang w:val="en-US" w:eastAsia="zh-CN" w:bidi="ar-SA"/>
        </w:rPr>
        <w:fldChar w:fldCharType="end"/>
      </w:r>
      <w:r>
        <w:rPr>
          <w:rFonts w:hint="eastAsia" w:ascii="宋体" w:hAnsi="宋体" w:eastAsia="宋体" w:cs="宋体"/>
          <w:color w:val="auto"/>
          <w:kern w:val="0"/>
          <w:sz w:val="21"/>
          <w:szCs w:val="21"/>
          <w:shd w:val="clear" w:color="auto" w:fill="FFFFFF"/>
          <w:lang w:val="en-US" w:eastAsia="zh-CN" w:bidi="ar-SA"/>
        </w:rPr>
        <w:t>项目报名资料。</w:t>
      </w:r>
    </w:p>
    <w:p w14:paraId="2BF4F091">
      <w:pPr>
        <w:widowControl/>
        <w:wordWrap w:val="0"/>
        <w:snapToGrid w:val="0"/>
        <w:spacing w:before="0" w:beforeAutospacing="0" w:after="0" w:afterAutospacing="0" w:line="360" w:lineRule="auto"/>
        <w:ind w:left="420" w:leftChars="200"/>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4. 报名登记表：请从附件中下载。</w:t>
      </w:r>
    </w:p>
    <w:p w14:paraId="2B7675CF">
      <w:pPr>
        <w:keepNext w:val="0"/>
        <w:keepLines w:val="0"/>
        <w:widowControl/>
        <w:snapToGrid w:val="0"/>
        <w:spacing w:before="0" w:after="0" w:line="360" w:lineRule="auto"/>
        <w:jc w:val="left"/>
        <w:outlineLvl w:val="1"/>
        <w:rPr>
          <w:rFonts w:hint="eastAsia" w:ascii="宋体" w:hAnsi="宋体" w:eastAsia="宋体" w:cs="宋体"/>
          <w:b/>
          <w:bCs/>
          <w:color w:val="auto"/>
          <w:kern w:val="2"/>
          <w:sz w:val="21"/>
          <w:szCs w:val="21"/>
          <w:lang w:val="en-US" w:eastAsia="zh-CN" w:bidi="ar-SA"/>
        </w:rPr>
      </w:pPr>
      <w:bookmarkStart w:id="13" w:name="_Toc15135"/>
      <w:bookmarkStart w:id="14" w:name="_Toc27480"/>
      <w:bookmarkStart w:id="15" w:name="_Toc25869"/>
      <w:bookmarkStart w:id="16" w:name="_Toc10738"/>
      <w:bookmarkStart w:id="17" w:name="_Toc15111"/>
      <w:r>
        <w:rPr>
          <w:rFonts w:hint="eastAsia" w:ascii="宋体" w:hAnsi="宋体" w:eastAsia="宋体" w:cs="宋体"/>
          <w:b/>
          <w:bCs/>
          <w:color w:val="auto"/>
          <w:kern w:val="2"/>
          <w:sz w:val="21"/>
          <w:szCs w:val="21"/>
          <w:shd w:val="clear" w:color="auto" w:fill="FFFFFF"/>
          <w:lang w:val="en-US" w:eastAsia="zh-CN" w:bidi="ar-SA"/>
        </w:rPr>
        <w:t>四、磋商截止时间及地点</w:t>
      </w:r>
      <w:bookmarkEnd w:id="13"/>
      <w:bookmarkEnd w:id="14"/>
      <w:bookmarkEnd w:id="15"/>
      <w:bookmarkEnd w:id="16"/>
      <w:bookmarkEnd w:id="17"/>
    </w:p>
    <w:p w14:paraId="7D796AB0">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1. 时间：</w:t>
      </w:r>
      <w:r>
        <w:rPr>
          <w:rFonts w:hint="eastAsia" w:ascii="宋体" w:hAnsi="宋体" w:eastAsia="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14:paraId="3D8C4AFF">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2. 地点：</w:t>
      </w:r>
      <w:r>
        <w:rPr>
          <w:rFonts w:hint="eastAsia" w:ascii="宋体" w:hAnsi="宋体" w:eastAsia="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14:paraId="51BE6284">
      <w:pPr>
        <w:keepNext w:val="0"/>
        <w:keepLines w:val="0"/>
        <w:widowControl/>
        <w:snapToGrid w:val="0"/>
        <w:spacing w:before="0" w:after="0" w:line="360" w:lineRule="auto"/>
        <w:jc w:val="left"/>
        <w:outlineLvl w:val="1"/>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shd w:val="clear" w:color="auto" w:fill="FFFFFF"/>
          <w:lang w:val="en-US" w:eastAsia="zh-CN" w:bidi="ar-SA"/>
        </w:rPr>
        <w:t>五、磋商时间及地点</w:t>
      </w:r>
    </w:p>
    <w:p w14:paraId="52FEDFC3">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1. 时间：</w:t>
      </w:r>
      <w:r>
        <w:rPr>
          <w:rFonts w:hint="eastAsia" w:ascii="宋体" w:hAnsi="宋体" w:eastAsia="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4454039B">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2. 地点：</w:t>
      </w:r>
      <w:r>
        <w:rPr>
          <w:rFonts w:hint="eastAsia" w:ascii="宋体" w:hAnsi="宋体" w:eastAsia="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14:paraId="3D456729">
      <w:pPr>
        <w:keepNext w:val="0"/>
        <w:keepLines w:val="0"/>
        <w:widowControl/>
        <w:snapToGrid w:val="0"/>
        <w:spacing w:before="0" w:after="0" w:line="360" w:lineRule="auto"/>
        <w:jc w:val="left"/>
        <w:outlineLvl w:val="1"/>
        <w:rPr>
          <w:rFonts w:hint="eastAsia" w:ascii="宋体" w:hAnsi="宋体" w:eastAsia="宋体" w:cs="宋体"/>
          <w:b/>
          <w:bCs/>
          <w:color w:val="auto"/>
          <w:kern w:val="2"/>
          <w:sz w:val="21"/>
          <w:szCs w:val="21"/>
          <w:lang w:val="en-US" w:eastAsia="zh-CN" w:bidi="ar-SA"/>
        </w:rPr>
      </w:pPr>
      <w:bookmarkStart w:id="18" w:name="_Toc30918"/>
      <w:bookmarkStart w:id="19" w:name="_Toc29784"/>
      <w:bookmarkStart w:id="20" w:name="_Toc6523"/>
      <w:bookmarkStart w:id="21" w:name="_Toc20287"/>
      <w:r>
        <w:rPr>
          <w:rFonts w:hint="eastAsia" w:ascii="宋体" w:hAnsi="宋体" w:eastAsia="宋体" w:cs="宋体"/>
          <w:b/>
          <w:bCs/>
          <w:color w:val="auto"/>
          <w:kern w:val="2"/>
          <w:sz w:val="21"/>
          <w:szCs w:val="21"/>
          <w:shd w:val="clear" w:color="auto" w:fill="FFFFFF"/>
          <w:lang w:val="en-US" w:eastAsia="zh-CN" w:bidi="ar-SA"/>
        </w:rPr>
        <w:t>六、发布公告的媒介及</w:t>
      </w:r>
      <w:r>
        <w:rPr>
          <w:rFonts w:hint="eastAsia" w:ascii="宋体" w:hAnsi="宋体" w:eastAsia="宋体" w:cs="宋体"/>
          <w:b/>
          <w:bCs/>
          <w:color w:val="auto"/>
          <w:sz w:val="21"/>
          <w:szCs w:val="21"/>
          <w:shd w:val="clear" w:color="auto" w:fill="auto"/>
          <w:lang w:val="en-US" w:eastAsia="zh-CN"/>
        </w:rPr>
        <w:t>采购</w:t>
      </w:r>
      <w:r>
        <w:rPr>
          <w:rFonts w:hint="eastAsia" w:ascii="宋体" w:hAnsi="宋体" w:eastAsia="宋体" w:cs="宋体"/>
          <w:b/>
          <w:bCs/>
          <w:color w:val="auto"/>
          <w:kern w:val="2"/>
          <w:sz w:val="21"/>
          <w:szCs w:val="21"/>
          <w:shd w:val="clear" w:color="auto" w:fill="FFFFFF"/>
          <w:lang w:val="en-US" w:eastAsia="zh-CN" w:bidi="ar-SA"/>
        </w:rPr>
        <w:t>公告期限</w:t>
      </w:r>
      <w:bookmarkEnd w:id="18"/>
      <w:bookmarkEnd w:id="19"/>
      <w:bookmarkEnd w:id="20"/>
      <w:bookmarkEnd w:id="21"/>
    </w:p>
    <w:p w14:paraId="33415FE6">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本次</w:t>
      </w:r>
      <w:r>
        <w:rPr>
          <w:rFonts w:hint="eastAsia" w:ascii="宋体" w:hAnsi="宋体" w:eastAsia="宋体" w:cs="宋体"/>
          <w:color w:val="auto"/>
          <w:sz w:val="21"/>
          <w:szCs w:val="21"/>
          <w:shd w:val="clear" w:color="auto" w:fill="auto"/>
          <w:lang w:val="en-US" w:eastAsia="zh-CN"/>
        </w:rPr>
        <w:t>采购</w:t>
      </w:r>
      <w:r>
        <w:rPr>
          <w:rFonts w:hint="eastAsia" w:ascii="宋体" w:hAnsi="宋体" w:eastAsia="宋体" w:cs="宋体"/>
          <w:color w:val="auto"/>
          <w:kern w:val="0"/>
          <w:sz w:val="21"/>
          <w:szCs w:val="21"/>
          <w:shd w:val="clear" w:color="auto" w:fill="FFFFFF"/>
          <w:lang w:val="en-US" w:eastAsia="zh-CN" w:bidi="ar-SA"/>
        </w:rPr>
        <w:t>公告在《驻马店市中心医院》院内网</w:t>
      </w:r>
      <w:r>
        <w:rPr>
          <w:rFonts w:hint="eastAsia" w:ascii="宋体" w:hAnsi="宋体" w:eastAsia="宋体" w:cs="宋体"/>
          <w:color w:val="auto"/>
          <w:sz w:val="21"/>
          <w:szCs w:val="21"/>
          <w:shd w:val="clear" w:color="auto" w:fill="auto"/>
        </w:rPr>
        <w:t>上发布</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shd w:val="clear" w:color="auto" w:fill="auto"/>
          <w:lang w:val="en-US" w:eastAsia="zh-CN"/>
        </w:rPr>
        <w:t>采购</w:t>
      </w:r>
      <w:r>
        <w:rPr>
          <w:rFonts w:hint="eastAsia" w:ascii="宋体" w:hAnsi="宋体" w:eastAsia="宋体" w:cs="宋体"/>
          <w:color w:val="auto"/>
          <w:sz w:val="21"/>
          <w:szCs w:val="21"/>
          <w:highlight w:val="none"/>
          <w:shd w:val="clear" w:color="auto" w:fill="auto"/>
          <w:lang w:eastAsia="zh-CN"/>
        </w:rPr>
        <w:t>公告期限为</w:t>
      </w:r>
      <w:r>
        <w:rPr>
          <w:rFonts w:hint="eastAsia" w:ascii="宋体" w:hAnsi="宋体" w:eastAsia="宋体"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2" w:name="_Toc35393626"/>
      <w:bookmarkStart w:id="23" w:name="_Toc35393795"/>
    </w:p>
    <w:bookmarkEnd w:id="22"/>
    <w:bookmarkEnd w:id="23"/>
    <w:p w14:paraId="5E12EA47">
      <w:pPr>
        <w:keepNext w:val="0"/>
        <w:keepLines w:val="0"/>
        <w:widowControl/>
        <w:snapToGrid w:val="0"/>
        <w:spacing w:before="0" w:after="0" w:line="360" w:lineRule="auto"/>
        <w:jc w:val="left"/>
        <w:outlineLvl w:val="1"/>
        <w:rPr>
          <w:rFonts w:hint="eastAsia" w:ascii="宋体" w:hAnsi="宋体" w:eastAsia="宋体" w:cs="宋体"/>
          <w:b/>
          <w:bCs/>
          <w:color w:val="auto"/>
          <w:kern w:val="2"/>
          <w:sz w:val="21"/>
          <w:szCs w:val="21"/>
          <w:highlight w:val="none"/>
          <w:lang w:val="en-US" w:eastAsia="zh-CN" w:bidi="ar-SA"/>
        </w:rPr>
      </w:pPr>
      <w:bookmarkStart w:id="24" w:name="_Toc16291"/>
      <w:bookmarkStart w:id="25" w:name="_Toc24274"/>
      <w:bookmarkStart w:id="26" w:name="_Toc31928"/>
      <w:bookmarkStart w:id="27" w:name="_Toc3604"/>
      <w:bookmarkStart w:id="28" w:name="_Toc27370"/>
      <w:r>
        <w:rPr>
          <w:rFonts w:hint="eastAsia" w:ascii="宋体" w:hAnsi="宋体" w:eastAsia="宋体" w:cs="宋体"/>
          <w:b/>
          <w:bCs/>
          <w:color w:val="auto"/>
          <w:kern w:val="2"/>
          <w:sz w:val="21"/>
          <w:szCs w:val="21"/>
          <w:shd w:val="clear" w:color="auto" w:fill="FFFFFF"/>
          <w:lang w:val="en-US" w:eastAsia="zh-CN" w:bidi="ar-SA"/>
        </w:rPr>
        <w:t>七、</w:t>
      </w:r>
      <w:bookmarkEnd w:id="24"/>
      <w:bookmarkEnd w:id="25"/>
      <w:bookmarkEnd w:id="26"/>
      <w:bookmarkEnd w:id="27"/>
      <w:bookmarkEnd w:id="28"/>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14:paraId="383CBB74">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1.采购人：驻马店市中心医院</w:t>
      </w:r>
    </w:p>
    <w:p w14:paraId="3E0B2CDE">
      <w:pPr>
        <w:widowControl/>
        <w:snapToGrid w:val="0"/>
        <w:spacing w:before="0" w:beforeAutospacing="0" w:after="0" w:afterAutospacing="0" w:line="360" w:lineRule="auto"/>
        <w:ind w:firstLine="630" w:firstLineChars="3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地址：驻马店市中华大道747号</w:t>
      </w:r>
    </w:p>
    <w:p w14:paraId="0AB06BE6">
      <w:pPr>
        <w:widowControl/>
        <w:snapToGrid w:val="0"/>
        <w:spacing w:before="0" w:beforeAutospacing="0" w:after="0" w:afterAutospacing="0" w:line="360" w:lineRule="auto"/>
        <w:ind w:firstLine="630" w:firstLineChars="3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联系人：陈先生</w:t>
      </w:r>
    </w:p>
    <w:p w14:paraId="4E82977F">
      <w:pPr>
        <w:widowControl/>
        <w:snapToGrid w:val="0"/>
        <w:spacing w:before="0" w:beforeAutospacing="0" w:after="0" w:afterAutospacing="0" w:line="360" w:lineRule="auto"/>
        <w:ind w:firstLine="630" w:firstLineChars="3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电话：0396-2726379</w:t>
      </w:r>
    </w:p>
    <w:p w14:paraId="20444159">
      <w:pPr>
        <w:widowControl/>
        <w:snapToGrid w:val="0"/>
        <w:spacing w:before="0" w:beforeAutospacing="0" w:after="0" w:afterAutospacing="0" w:line="360" w:lineRule="auto"/>
        <w:ind w:left="0" w:leftChars="0" w:firstLine="420" w:firstLineChars="2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w:t>
      </w:r>
      <w:r>
        <w:rPr>
          <w:rFonts w:hint="eastAsia" w:ascii="宋体" w:hAnsi="宋体" w:cs="宋体"/>
          <w:color w:val="auto"/>
          <w:kern w:val="0"/>
          <w:sz w:val="21"/>
          <w:szCs w:val="21"/>
          <w:highlight w:val="none"/>
          <w:shd w:val="clear" w:color="auto" w:fill="FFFFFF"/>
          <w:lang w:val="en-US" w:eastAsia="zh-CN" w:bidi="ar-SA"/>
        </w:rPr>
        <w:t>采购代理机构</w:t>
      </w:r>
      <w:r>
        <w:rPr>
          <w:rFonts w:hint="eastAsia" w:ascii="宋体" w:hAnsi="宋体" w:eastAsia="宋体" w:cs="宋体"/>
          <w:color w:val="auto"/>
          <w:kern w:val="0"/>
          <w:sz w:val="21"/>
          <w:szCs w:val="21"/>
          <w:highlight w:val="none"/>
          <w:shd w:val="clear" w:color="auto" w:fill="FFFFFF"/>
          <w:lang w:val="en-US" w:eastAsia="zh-CN" w:bidi="ar-SA"/>
        </w:rPr>
        <w:t xml:space="preserve">：大成工程咨询有限公司 </w:t>
      </w:r>
    </w:p>
    <w:p w14:paraId="289ECE92">
      <w:pPr>
        <w:widowControl/>
        <w:snapToGrid w:val="0"/>
        <w:spacing w:before="0" w:beforeAutospacing="0" w:after="0" w:afterAutospacing="0" w:line="360" w:lineRule="auto"/>
        <w:ind w:firstLine="630" w:firstLineChars="300"/>
        <w:jc w:val="left"/>
        <w:rPr>
          <w:rFonts w:hint="default"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地址：驻马店市泰山路与骏马路交叉口天基城中心花园3号楼（圆楼）5楼</w:t>
      </w:r>
    </w:p>
    <w:p w14:paraId="09DEA987">
      <w:pPr>
        <w:widowControl/>
        <w:snapToGrid w:val="0"/>
        <w:spacing w:before="0" w:beforeAutospacing="0" w:after="0" w:afterAutospacing="0" w:line="360" w:lineRule="auto"/>
        <w:ind w:firstLine="630" w:firstLineChars="3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 xml:space="preserve">联系人1：庞先生 </w:t>
      </w:r>
    </w:p>
    <w:p w14:paraId="43B8D77D">
      <w:pPr>
        <w:widowControl/>
        <w:snapToGrid w:val="0"/>
        <w:spacing w:before="0" w:beforeAutospacing="0" w:after="0" w:afterAutospacing="0" w:line="360" w:lineRule="auto"/>
        <w:ind w:firstLine="630" w:firstLineChars="3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联系方式：18272909999</w:t>
      </w:r>
    </w:p>
    <w:p w14:paraId="6A502FD1">
      <w:pPr>
        <w:widowControl/>
        <w:snapToGrid w:val="0"/>
        <w:spacing w:before="0" w:beforeAutospacing="0" w:after="0" w:afterAutospacing="0" w:line="360" w:lineRule="auto"/>
        <w:ind w:firstLine="630" w:firstLineChars="3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 xml:space="preserve">联系人2：张先生 </w:t>
      </w:r>
    </w:p>
    <w:p w14:paraId="7A2293A0">
      <w:pPr>
        <w:widowControl/>
        <w:snapToGrid w:val="0"/>
        <w:spacing w:before="0" w:beforeAutospacing="0" w:after="0" w:afterAutospacing="0" w:line="360" w:lineRule="auto"/>
        <w:ind w:firstLine="630" w:firstLineChars="300"/>
        <w:jc w:val="left"/>
        <w:rPr>
          <w:rFonts w:hint="default"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联系方式：15518321111</w:t>
      </w:r>
    </w:p>
    <w:p w14:paraId="321DEE42">
      <w:pPr>
        <w:widowControl/>
        <w:numPr>
          <w:ilvl w:val="0"/>
          <w:numId w:val="0"/>
        </w:numPr>
        <w:snapToGrid w:val="0"/>
        <w:spacing w:before="0" w:beforeAutospacing="0" w:after="0" w:afterAutospacing="0" w:line="360" w:lineRule="auto"/>
        <w:ind w:leftChars="2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3.监督部门：驻马店市中心医院纪检监察室</w:t>
      </w:r>
    </w:p>
    <w:p w14:paraId="545E365D">
      <w:pPr>
        <w:widowControl/>
        <w:snapToGrid w:val="0"/>
        <w:spacing w:before="0" w:beforeAutospacing="0" w:after="0" w:afterAutospacing="0" w:line="360" w:lineRule="auto"/>
        <w:ind w:firstLine="630" w:firstLineChars="3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监督电话：0396-2726678</w:t>
      </w:r>
    </w:p>
    <w:p w14:paraId="541BACC1">
      <w:pPr>
        <w:pStyle w:val="32"/>
        <w:rPr>
          <w:rFonts w:hint="eastAsia" w:ascii="宋体" w:hAnsi="宋体" w:eastAsia="宋体" w:cs="宋体"/>
          <w:highlight w:val="none"/>
          <w:lang w:val="en-US" w:eastAsia="zh-CN"/>
        </w:rPr>
      </w:pPr>
    </w:p>
    <w:p w14:paraId="189E5960">
      <w:pPr>
        <w:widowControl/>
        <w:snapToGrid w:val="0"/>
        <w:spacing w:before="0" w:beforeAutospacing="0" w:after="0" w:afterAutospacing="0" w:line="360" w:lineRule="auto"/>
        <w:ind w:firstLine="420" w:firstLineChars="200"/>
        <w:jc w:val="right"/>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kern w:val="0"/>
          <w:sz w:val="21"/>
          <w:szCs w:val="21"/>
          <w:highlight w:val="none"/>
          <w:shd w:val="clear" w:color="auto" w:fill="FFFFFF"/>
          <w:lang w:val="en-US" w:eastAsia="zh-CN" w:bidi="ar-SA"/>
        </w:rPr>
        <w:t>驻马</w:t>
      </w: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店市中心医院采购科</w:t>
      </w:r>
    </w:p>
    <w:p w14:paraId="2B5979AB">
      <w:pPr>
        <w:pStyle w:val="30"/>
        <w:widowControl/>
        <w:snapToGrid w:val="0"/>
        <w:spacing w:before="0" w:beforeAutospacing="0" w:after="0" w:afterAutospacing="0" w:line="360" w:lineRule="auto"/>
        <w:ind w:firstLine="420" w:firstLineChars="200"/>
        <w:jc w:val="center"/>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 xml:space="preserve">                                                    </w:t>
      </w:r>
      <w:r>
        <w:rPr>
          <w:rFonts w:hint="eastAsia" w:ascii="宋体" w:hAnsi="宋体" w:eastAsia="宋体" w:cs="宋体"/>
          <w:color w:val="auto"/>
          <w:kern w:val="0"/>
          <w:sz w:val="21"/>
          <w:szCs w:val="21"/>
          <w:highlight w:val="none"/>
          <w:shd w:val="clear" w:color="auto" w:fill="FFFFFF"/>
          <w:lang w:val="en-US" w:eastAsia="zh-CN" w:bidi="ar-SA"/>
        </w:rPr>
        <w:t xml:space="preserve">     </w:t>
      </w:r>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202</w:t>
      </w:r>
      <w:r>
        <w:rPr>
          <w:rFonts w:hint="eastAsia" w:ascii="宋体" w:hAnsi="宋体" w:eastAsia="宋体" w:cs="宋体"/>
          <w:color w:val="000000" w:themeColor="text1"/>
          <w:sz w:val="21"/>
          <w:szCs w:val="21"/>
          <w:highlight w:val="none"/>
          <w:shd w:val="clear" w:color="auto" w:fill="FFFFFF"/>
          <w:lang w:val="en-US" w:eastAsia="zh-CN"/>
          <w14:textFill>
            <w14:solidFill>
              <w14:schemeClr w14:val="tx1"/>
            </w14:solidFill>
          </w14:textFill>
        </w:rPr>
        <w:t>5</w:t>
      </w:r>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年</w:t>
      </w:r>
      <w:r>
        <w:rPr>
          <w:rFonts w:hint="eastAsia" w:ascii="宋体" w:hAnsi="宋体" w:eastAsia="宋体" w:cs="宋体"/>
          <w:color w:val="000000" w:themeColor="text1"/>
          <w:sz w:val="21"/>
          <w:szCs w:val="21"/>
          <w:highlight w:val="none"/>
          <w:shd w:val="clear" w:color="auto" w:fill="FFFFFF"/>
          <w:lang w:val="en-US" w:eastAsia="zh-CN"/>
          <w14:textFill>
            <w14:solidFill>
              <w14:schemeClr w14:val="tx1"/>
            </w14:solidFill>
          </w14:textFill>
        </w:rPr>
        <w:t>02</w:t>
      </w:r>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月</w:t>
      </w:r>
      <w:r>
        <w:rPr>
          <w:rFonts w:hint="eastAsia" w:ascii="宋体" w:hAnsi="宋体" w:cs="宋体"/>
          <w:color w:val="000000" w:themeColor="text1"/>
          <w:sz w:val="21"/>
          <w:szCs w:val="21"/>
          <w:highlight w:val="none"/>
          <w:shd w:val="clear" w:color="auto" w:fill="FFFFFF"/>
          <w:lang w:val="en-US" w:eastAsia="zh-CN"/>
          <w14:textFill>
            <w14:solidFill>
              <w14:schemeClr w14:val="tx1"/>
            </w14:solidFill>
          </w14:textFill>
        </w:rPr>
        <w:t>8</w:t>
      </w:r>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日</w:t>
      </w:r>
    </w:p>
    <w:p w14:paraId="58DF2DF5">
      <w:pPr>
        <w:pStyle w:val="30"/>
        <w:widowControl/>
        <w:snapToGrid w:val="0"/>
        <w:spacing w:before="0" w:beforeAutospacing="0" w:after="0" w:afterAutospacing="0" w:line="360" w:lineRule="auto"/>
        <w:ind w:firstLine="420" w:firstLineChars="200"/>
        <w:rPr>
          <w:rFonts w:hint="eastAsia" w:ascii="宋体" w:hAnsi="宋体" w:eastAsia="宋体" w:cs="宋体"/>
          <w:color w:val="auto"/>
          <w:sz w:val="21"/>
          <w:szCs w:val="21"/>
          <w:highlight w:val="none"/>
          <w:shd w:val="clear" w:color="auto" w:fill="FFFFFF"/>
        </w:rPr>
      </w:pPr>
    </w:p>
    <w:bookmarkEnd w:id="98"/>
    <w:p w14:paraId="1C0E0222">
      <w:pPr>
        <w:rPr>
          <w:rFonts w:hint="eastAsia" w:ascii="宋体" w:hAnsi="宋体" w:eastAsia="宋体" w:cs="宋体"/>
          <w:b/>
          <w:color w:val="auto"/>
          <w:sz w:val="32"/>
          <w:szCs w:val="32"/>
          <w:highlight w:val="none"/>
        </w:rPr>
      </w:pPr>
      <w:bookmarkStart w:id="29" w:name="_Toc29890"/>
      <w:bookmarkStart w:id="30" w:name="_Toc23793"/>
      <w:r>
        <w:rPr>
          <w:rFonts w:hint="eastAsia" w:ascii="宋体" w:hAnsi="宋体" w:eastAsia="宋体" w:cs="宋体"/>
          <w:b/>
          <w:color w:val="auto"/>
          <w:sz w:val="32"/>
          <w:szCs w:val="32"/>
          <w:highlight w:val="none"/>
        </w:rPr>
        <w:br w:type="page"/>
      </w:r>
    </w:p>
    <w:p w14:paraId="32464726">
      <w:pPr>
        <w:widowControl/>
        <w:spacing w:line="360" w:lineRule="auto"/>
        <w:ind w:firstLine="643" w:firstLineChars="200"/>
        <w:jc w:val="center"/>
        <w:outlineLvl w:val="0"/>
        <w:rPr>
          <w:rFonts w:hint="eastAsia" w:ascii="宋体" w:hAnsi="宋体" w:eastAsia="宋体" w:cs="宋体"/>
          <w:b/>
          <w:color w:val="auto"/>
          <w:sz w:val="32"/>
          <w:szCs w:val="32"/>
          <w:highlight w:val="none"/>
        </w:rPr>
      </w:pPr>
      <w:bookmarkStart w:id="31" w:name="_Toc4148"/>
      <w:r>
        <w:rPr>
          <w:rFonts w:hint="eastAsia" w:ascii="宋体" w:hAnsi="宋体" w:eastAsia="宋体" w:cs="宋体"/>
          <w:b/>
          <w:color w:val="auto"/>
          <w:sz w:val="32"/>
          <w:szCs w:val="32"/>
          <w:highlight w:val="none"/>
        </w:rPr>
        <w:t xml:space="preserve">第二章  </w:t>
      </w:r>
      <w:r>
        <w:rPr>
          <w:rFonts w:hint="eastAsia" w:ascii="宋体" w:hAnsi="宋体" w:eastAsia="宋体" w:cs="宋体"/>
          <w:b/>
          <w:color w:val="auto"/>
          <w:sz w:val="32"/>
          <w:szCs w:val="32"/>
          <w:highlight w:val="none"/>
          <w:lang w:eastAsia="zh-CN"/>
        </w:rPr>
        <w:t>采购</w:t>
      </w:r>
      <w:r>
        <w:rPr>
          <w:rFonts w:hint="eastAsia" w:ascii="宋体" w:hAnsi="宋体" w:eastAsia="宋体" w:cs="宋体"/>
          <w:b/>
          <w:color w:val="auto"/>
          <w:sz w:val="32"/>
          <w:szCs w:val="32"/>
          <w:highlight w:val="none"/>
        </w:rPr>
        <w:t>需求</w:t>
      </w:r>
      <w:bookmarkEnd w:id="31"/>
      <w:bookmarkStart w:id="32" w:name="_Toc23610"/>
      <w:bookmarkStart w:id="33" w:name="_Toc31536"/>
      <w:bookmarkStart w:id="34" w:name="_Toc9989"/>
    </w:p>
    <w:bookmarkEnd w:id="29"/>
    <w:bookmarkEnd w:id="30"/>
    <w:bookmarkEnd w:id="32"/>
    <w:bookmarkEnd w:id="33"/>
    <w:bookmarkEnd w:id="34"/>
    <w:p w14:paraId="3052BC61">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i w:val="0"/>
          <w:iCs/>
          <w:color w:val="auto"/>
          <w:sz w:val="21"/>
          <w:szCs w:val="21"/>
          <w:highlight w:val="none"/>
          <w:u w:val="none"/>
          <w:lang w:val="en-US" w:eastAsia="zh-CN"/>
        </w:rPr>
      </w:pPr>
      <w:r>
        <w:rPr>
          <w:rFonts w:hint="eastAsia" w:ascii="宋体" w:hAnsi="宋体" w:eastAsia="宋体" w:cs="宋体"/>
          <w:b/>
          <w:bCs/>
          <w:i w:val="0"/>
          <w:iCs/>
          <w:color w:val="auto"/>
          <w:sz w:val="21"/>
          <w:szCs w:val="21"/>
          <w:highlight w:val="none"/>
          <w:u w:val="none"/>
          <w:lang w:val="en-US" w:eastAsia="zh-CN"/>
        </w:rPr>
        <w:t>一、项目名称：</w:t>
      </w:r>
      <w:r>
        <w:rPr>
          <w:rFonts w:hint="eastAsia" w:ascii="宋体" w:hAnsi="宋体" w:cs="宋体"/>
          <w:b w:val="0"/>
          <w:bCs w:val="0"/>
          <w:i w:val="0"/>
          <w:iCs/>
          <w:color w:val="auto"/>
          <w:sz w:val="21"/>
          <w:szCs w:val="21"/>
          <w:highlight w:val="none"/>
          <w:u w:val="none"/>
          <w:lang w:val="en-US" w:eastAsia="zh-CN"/>
        </w:rPr>
        <w:t>驻马店市中心医院电子支气管镜采购项目</w:t>
      </w:r>
    </w:p>
    <w:p w14:paraId="774013EF">
      <w:pPr>
        <w:pStyle w:val="15"/>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二、采购标的清单：</w:t>
      </w:r>
    </w:p>
    <w:tbl>
      <w:tblPr>
        <w:tblStyle w:val="34"/>
        <w:tblW w:w="9454" w:type="dxa"/>
        <w:tblInd w:w="-3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5"/>
        <w:gridCol w:w="896"/>
        <w:gridCol w:w="2084"/>
        <w:gridCol w:w="1080"/>
        <w:gridCol w:w="960"/>
        <w:gridCol w:w="1515"/>
        <w:gridCol w:w="1040"/>
        <w:gridCol w:w="1244"/>
      </w:tblGrid>
      <w:tr w14:paraId="42A3B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14:paraId="175E6ACA">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left="0" w:leftChars="0" w:firstLine="0" w:firstLineChars="0"/>
              <w:jc w:val="center"/>
              <w:textAlignment w:val="auto"/>
              <w:rPr>
                <w:rFonts w:hint="eastAsia" w:ascii="宋体" w:hAnsi="宋体" w:eastAsia="宋体" w:cs="宋体"/>
                <w:sz w:val="21"/>
                <w:szCs w:val="21"/>
              </w:rPr>
            </w:pPr>
            <w:r>
              <w:rPr>
                <w:rFonts w:hint="eastAsia" w:ascii="宋体" w:hAnsi="宋体" w:eastAsia="宋体" w:cs="宋体"/>
                <w:b/>
                <w:bCs/>
                <w:sz w:val="21"/>
                <w:szCs w:val="21"/>
                <w:lang w:val="en-US" w:eastAsia="zh-CN"/>
              </w:rPr>
              <w:t>包号</w:t>
            </w:r>
          </w:p>
        </w:tc>
        <w:tc>
          <w:tcPr>
            <w:tcW w:w="896" w:type="dxa"/>
            <w:vAlign w:val="center"/>
          </w:tcPr>
          <w:p w14:paraId="4B2C4F94">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left="0" w:leftChars="0" w:firstLine="0" w:firstLineChars="0"/>
              <w:jc w:val="center"/>
              <w:textAlignment w:val="auto"/>
              <w:rPr>
                <w:rFonts w:hint="eastAsia" w:ascii="宋体" w:hAnsi="宋体" w:eastAsia="宋体" w:cs="宋体"/>
                <w:sz w:val="21"/>
                <w:szCs w:val="21"/>
              </w:rPr>
            </w:pPr>
            <w:r>
              <w:rPr>
                <w:rFonts w:hint="eastAsia" w:ascii="宋体" w:hAnsi="宋体" w:eastAsia="宋体" w:cs="宋体"/>
                <w:b/>
                <w:bCs/>
                <w:sz w:val="21"/>
                <w:szCs w:val="21"/>
              </w:rPr>
              <w:t>序号</w:t>
            </w:r>
          </w:p>
        </w:tc>
        <w:tc>
          <w:tcPr>
            <w:tcW w:w="2084" w:type="dxa"/>
            <w:vAlign w:val="center"/>
          </w:tcPr>
          <w:p w14:paraId="145C837D">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left="0" w:leftChars="0" w:firstLine="0" w:firstLineChars="0"/>
              <w:jc w:val="center"/>
              <w:textAlignment w:val="auto"/>
              <w:rPr>
                <w:rFonts w:hint="eastAsia" w:ascii="宋体" w:hAnsi="宋体" w:eastAsia="宋体" w:cs="宋体"/>
                <w:sz w:val="21"/>
                <w:szCs w:val="21"/>
              </w:rPr>
            </w:pPr>
            <w:r>
              <w:rPr>
                <w:rFonts w:hint="eastAsia" w:ascii="宋体" w:hAnsi="宋体" w:eastAsia="宋体" w:cs="宋体"/>
                <w:b/>
                <w:bCs/>
                <w:sz w:val="21"/>
                <w:szCs w:val="21"/>
              </w:rPr>
              <w:t>标的名称</w:t>
            </w:r>
          </w:p>
        </w:tc>
        <w:tc>
          <w:tcPr>
            <w:tcW w:w="1080" w:type="dxa"/>
            <w:vAlign w:val="center"/>
          </w:tcPr>
          <w:p w14:paraId="1D62EE5B">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left="0" w:leftChars="0" w:firstLine="0" w:firstLineChars="0"/>
              <w:jc w:val="center"/>
              <w:textAlignment w:val="auto"/>
              <w:rPr>
                <w:rFonts w:hint="eastAsia" w:ascii="宋体" w:hAnsi="宋体" w:eastAsia="宋体" w:cs="宋体"/>
                <w:sz w:val="21"/>
                <w:szCs w:val="21"/>
              </w:rPr>
            </w:pPr>
            <w:r>
              <w:rPr>
                <w:rFonts w:hint="eastAsia" w:ascii="宋体" w:hAnsi="宋体" w:eastAsia="宋体" w:cs="宋体"/>
                <w:b/>
                <w:bCs/>
                <w:sz w:val="21"/>
                <w:szCs w:val="21"/>
                <w:lang w:val="en-US" w:eastAsia="zh-CN"/>
              </w:rPr>
              <w:t>单位</w:t>
            </w:r>
          </w:p>
        </w:tc>
        <w:tc>
          <w:tcPr>
            <w:tcW w:w="960" w:type="dxa"/>
            <w:vAlign w:val="center"/>
          </w:tcPr>
          <w:p w14:paraId="0DE368DC">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left="0" w:leftChars="0" w:firstLine="0" w:firstLineChars="0"/>
              <w:jc w:val="center"/>
              <w:textAlignment w:val="auto"/>
              <w:rPr>
                <w:rFonts w:hint="eastAsia" w:ascii="宋体" w:hAnsi="宋体" w:eastAsia="宋体" w:cs="宋体"/>
                <w:sz w:val="21"/>
                <w:szCs w:val="21"/>
              </w:rPr>
            </w:pPr>
            <w:r>
              <w:rPr>
                <w:rFonts w:hint="eastAsia" w:ascii="宋体" w:hAnsi="宋体" w:eastAsia="宋体" w:cs="宋体"/>
                <w:b/>
                <w:bCs/>
                <w:sz w:val="21"/>
                <w:szCs w:val="21"/>
              </w:rPr>
              <w:t>数量</w:t>
            </w:r>
          </w:p>
        </w:tc>
        <w:tc>
          <w:tcPr>
            <w:tcW w:w="1515" w:type="dxa"/>
            <w:vAlign w:val="center"/>
          </w:tcPr>
          <w:p w14:paraId="6F104C75">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left="0" w:leftChars="0" w:firstLine="0" w:firstLineChars="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资金</w:t>
            </w:r>
          </w:p>
          <w:p w14:paraId="0FD8BD10">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left="0" w:leftChars="0" w:firstLine="0" w:firstLineChars="0"/>
              <w:jc w:val="center"/>
              <w:textAlignment w:val="auto"/>
              <w:rPr>
                <w:rFonts w:hint="eastAsia" w:ascii="宋体" w:hAnsi="宋体" w:eastAsia="宋体" w:cs="宋体"/>
                <w:sz w:val="21"/>
                <w:szCs w:val="21"/>
                <w:lang w:eastAsia="zh-CN"/>
              </w:rPr>
            </w:pPr>
            <w:r>
              <w:rPr>
                <w:rFonts w:hint="eastAsia" w:ascii="宋体" w:hAnsi="宋体" w:eastAsia="宋体" w:cs="宋体"/>
                <w:b/>
                <w:bCs/>
                <w:sz w:val="21"/>
                <w:szCs w:val="21"/>
              </w:rPr>
              <w:t>预算</w:t>
            </w:r>
          </w:p>
        </w:tc>
        <w:tc>
          <w:tcPr>
            <w:tcW w:w="1040" w:type="dxa"/>
            <w:vAlign w:val="center"/>
          </w:tcPr>
          <w:p w14:paraId="724AEECB">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left="0" w:leftChars="0" w:firstLine="0" w:firstLineChars="0"/>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资金</w:t>
            </w:r>
          </w:p>
          <w:p w14:paraId="439C6EC6">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left="0" w:leftChars="0" w:firstLine="0" w:firstLineChars="0"/>
              <w:jc w:val="center"/>
              <w:textAlignment w:val="auto"/>
              <w:rPr>
                <w:rFonts w:hint="eastAsia" w:ascii="宋体" w:hAnsi="宋体" w:eastAsia="宋体" w:cs="宋体"/>
                <w:sz w:val="21"/>
                <w:szCs w:val="21"/>
              </w:rPr>
            </w:pPr>
            <w:r>
              <w:rPr>
                <w:rFonts w:hint="eastAsia" w:ascii="宋体" w:hAnsi="宋体" w:eastAsia="宋体" w:cs="宋体"/>
                <w:b/>
                <w:bCs/>
                <w:sz w:val="21"/>
                <w:szCs w:val="21"/>
                <w:lang w:val="en-US" w:eastAsia="zh-CN"/>
              </w:rPr>
              <w:t>性质</w:t>
            </w:r>
          </w:p>
        </w:tc>
        <w:tc>
          <w:tcPr>
            <w:tcW w:w="1244" w:type="dxa"/>
            <w:vAlign w:val="center"/>
          </w:tcPr>
          <w:p w14:paraId="7E3BF20E">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left="0" w:leftChars="0" w:firstLine="0" w:firstLineChars="0"/>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国产/</w:t>
            </w:r>
          </w:p>
          <w:p w14:paraId="53E83DD2">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left="0" w:leftChars="0" w:firstLine="0" w:firstLineChars="0"/>
              <w:jc w:val="center"/>
              <w:textAlignment w:val="auto"/>
              <w:rPr>
                <w:rFonts w:hint="eastAsia" w:ascii="宋体" w:hAnsi="宋体" w:eastAsia="宋体" w:cs="宋体"/>
                <w:sz w:val="21"/>
                <w:szCs w:val="21"/>
              </w:rPr>
            </w:pPr>
            <w:r>
              <w:rPr>
                <w:rFonts w:hint="eastAsia" w:ascii="宋体" w:hAnsi="宋体" w:eastAsia="宋体" w:cs="宋体"/>
                <w:b/>
                <w:bCs/>
                <w:sz w:val="21"/>
                <w:szCs w:val="21"/>
                <w:lang w:val="en-US" w:eastAsia="zh-CN"/>
              </w:rPr>
              <w:t>进口</w:t>
            </w:r>
          </w:p>
        </w:tc>
      </w:tr>
      <w:tr w14:paraId="78974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14:paraId="5173BB93">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vertAlign w:val="baseline"/>
                <w:lang w:val="en-US" w:eastAsia="zh-CN"/>
              </w:rPr>
              <w:t>1</w:t>
            </w:r>
          </w:p>
        </w:tc>
        <w:tc>
          <w:tcPr>
            <w:tcW w:w="896" w:type="dxa"/>
            <w:vAlign w:val="center"/>
          </w:tcPr>
          <w:p w14:paraId="080D8EA1">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vertAlign w:val="baseline"/>
                <w:lang w:val="en-US" w:eastAsia="zh-CN"/>
              </w:rPr>
              <w:t>1</w:t>
            </w:r>
          </w:p>
        </w:tc>
        <w:tc>
          <w:tcPr>
            <w:tcW w:w="2084" w:type="dxa"/>
            <w:vAlign w:val="center"/>
          </w:tcPr>
          <w:p w14:paraId="2B198BA2">
            <w:pPr>
              <w:keepNext w:val="0"/>
              <w:keepLines w:val="0"/>
              <w:pageBreakBefore w:val="0"/>
              <w:widowControl w:val="0"/>
              <w:numPr>
                <w:ilvl w:val="0"/>
                <w:numId w:val="0"/>
              </w:numPr>
              <w:kinsoku/>
              <w:wordWrap/>
              <w:overflowPunct/>
              <w:topLinePunct w:val="0"/>
              <w:autoSpaceDE/>
              <w:autoSpaceDN/>
              <w:bidi w:val="0"/>
              <w:adjustRightInd/>
              <w:snapToGrid/>
              <w:spacing w:beforeAutospacing="0" w:line="440" w:lineRule="exact"/>
              <w:ind w:left="0" w:leftChars="0"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电子支气管镜</w:t>
            </w:r>
          </w:p>
        </w:tc>
        <w:tc>
          <w:tcPr>
            <w:tcW w:w="1080" w:type="dxa"/>
            <w:vAlign w:val="center"/>
          </w:tcPr>
          <w:p w14:paraId="5772DCE4">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条</w:t>
            </w:r>
          </w:p>
        </w:tc>
        <w:tc>
          <w:tcPr>
            <w:tcW w:w="960" w:type="dxa"/>
            <w:vAlign w:val="center"/>
          </w:tcPr>
          <w:p w14:paraId="3850E06D">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kern w:val="2"/>
                <w:sz w:val="21"/>
                <w:szCs w:val="21"/>
                <w:vertAlign w:val="baseline"/>
                <w:lang w:val="en-US" w:eastAsia="zh-CN" w:bidi="ar-SA"/>
              </w:rPr>
              <w:t>1</w:t>
            </w:r>
          </w:p>
        </w:tc>
        <w:tc>
          <w:tcPr>
            <w:tcW w:w="1515" w:type="dxa"/>
            <w:vAlign w:val="center"/>
          </w:tcPr>
          <w:p w14:paraId="02488C48">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kern w:val="2"/>
                <w:sz w:val="21"/>
                <w:szCs w:val="21"/>
                <w:lang w:val="en-US" w:eastAsia="zh-CN" w:bidi="ar-SA"/>
              </w:rPr>
            </w:pPr>
            <w:r>
              <w:rPr>
                <w:rFonts w:hint="eastAsia" w:ascii="宋体" w:hAnsi="宋体" w:cs="宋体"/>
                <w:kern w:val="2"/>
                <w:sz w:val="21"/>
                <w:szCs w:val="21"/>
                <w:vertAlign w:val="baseline"/>
                <w:lang w:val="en-US" w:eastAsia="zh-CN" w:bidi="ar-SA"/>
              </w:rPr>
              <w:t>43</w:t>
            </w:r>
            <w:r>
              <w:rPr>
                <w:rFonts w:hint="eastAsia" w:ascii="宋体" w:hAnsi="宋体" w:eastAsia="宋体" w:cs="宋体"/>
                <w:kern w:val="2"/>
                <w:sz w:val="21"/>
                <w:szCs w:val="21"/>
                <w:vertAlign w:val="baseline"/>
                <w:lang w:val="en-US" w:eastAsia="zh-CN" w:bidi="ar-SA"/>
              </w:rPr>
              <w:t>0000.00元</w:t>
            </w:r>
          </w:p>
        </w:tc>
        <w:tc>
          <w:tcPr>
            <w:tcW w:w="1040" w:type="dxa"/>
            <w:vAlign w:val="center"/>
          </w:tcPr>
          <w:p w14:paraId="04CFA0D2">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vertAlign w:val="baseline"/>
                <w:lang w:val="en-US" w:eastAsia="zh-CN"/>
              </w:rPr>
              <w:t>自筹</w:t>
            </w:r>
          </w:p>
        </w:tc>
        <w:tc>
          <w:tcPr>
            <w:tcW w:w="1244" w:type="dxa"/>
            <w:vAlign w:val="center"/>
          </w:tcPr>
          <w:p w14:paraId="4DAEB4AE">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1"/>
                <w:szCs w:val="21"/>
                <w:lang w:val="en-US" w:eastAsia="zh-CN"/>
              </w:rPr>
            </w:pPr>
            <w:r>
              <w:rPr>
                <w:rFonts w:hint="eastAsia" w:ascii="宋体" w:hAnsi="宋体" w:cs="宋体"/>
                <w:sz w:val="21"/>
                <w:szCs w:val="21"/>
                <w:vertAlign w:val="baseline"/>
                <w:lang w:val="en-US" w:eastAsia="zh-CN"/>
              </w:rPr>
              <w:t>进口</w:t>
            </w:r>
          </w:p>
        </w:tc>
      </w:tr>
      <w:tr w14:paraId="205D5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vAlign w:val="center"/>
          </w:tcPr>
          <w:p w14:paraId="47BCDA2C">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1"/>
                <w:szCs w:val="21"/>
                <w:lang w:val="en-US" w:eastAsia="zh-CN"/>
              </w:rPr>
            </w:pPr>
          </w:p>
        </w:tc>
        <w:tc>
          <w:tcPr>
            <w:tcW w:w="896" w:type="dxa"/>
            <w:vAlign w:val="center"/>
          </w:tcPr>
          <w:p w14:paraId="08BF8E47">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1"/>
                <w:szCs w:val="21"/>
                <w:lang w:val="en-US" w:eastAsia="zh-CN"/>
              </w:rPr>
            </w:pPr>
          </w:p>
        </w:tc>
        <w:tc>
          <w:tcPr>
            <w:tcW w:w="2084" w:type="dxa"/>
            <w:vAlign w:val="center"/>
          </w:tcPr>
          <w:p w14:paraId="23860BB3">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1"/>
                <w:szCs w:val="21"/>
              </w:rPr>
            </w:pPr>
          </w:p>
        </w:tc>
        <w:tc>
          <w:tcPr>
            <w:tcW w:w="1080" w:type="dxa"/>
            <w:vAlign w:val="center"/>
          </w:tcPr>
          <w:p w14:paraId="0C3862E4">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1"/>
                <w:szCs w:val="21"/>
                <w:lang w:val="en-US" w:eastAsia="zh-CN"/>
              </w:rPr>
            </w:pPr>
          </w:p>
        </w:tc>
        <w:tc>
          <w:tcPr>
            <w:tcW w:w="960" w:type="dxa"/>
            <w:vAlign w:val="center"/>
          </w:tcPr>
          <w:p w14:paraId="4EDF50A8">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1"/>
                <w:szCs w:val="21"/>
                <w:lang w:val="en-US" w:eastAsia="zh-CN"/>
              </w:rPr>
            </w:pPr>
          </w:p>
        </w:tc>
        <w:tc>
          <w:tcPr>
            <w:tcW w:w="1515" w:type="dxa"/>
            <w:vAlign w:val="center"/>
          </w:tcPr>
          <w:p w14:paraId="37394596">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kern w:val="2"/>
                <w:sz w:val="21"/>
                <w:szCs w:val="21"/>
                <w:lang w:val="en-US" w:eastAsia="zh-CN" w:bidi="ar-SA"/>
              </w:rPr>
            </w:pPr>
          </w:p>
        </w:tc>
        <w:tc>
          <w:tcPr>
            <w:tcW w:w="1040" w:type="dxa"/>
            <w:vAlign w:val="center"/>
          </w:tcPr>
          <w:p w14:paraId="214FA091">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1"/>
                <w:szCs w:val="21"/>
              </w:rPr>
            </w:pPr>
          </w:p>
        </w:tc>
        <w:tc>
          <w:tcPr>
            <w:tcW w:w="1244" w:type="dxa"/>
            <w:vAlign w:val="center"/>
          </w:tcPr>
          <w:p w14:paraId="3F4BC4EC">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kern w:val="2"/>
                <w:sz w:val="21"/>
                <w:szCs w:val="21"/>
                <w:lang w:val="en-US" w:eastAsia="zh-CN" w:bidi="ar-SA"/>
              </w:rPr>
            </w:pPr>
          </w:p>
        </w:tc>
      </w:tr>
      <w:tr w14:paraId="2C684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1" w:type="dxa"/>
            <w:gridSpan w:val="2"/>
            <w:vAlign w:val="center"/>
          </w:tcPr>
          <w:p w14:paraId="787549DF">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b/>
                <w:bCs/>
                <w:sz w:val="21"/>
                <w:szCs w:val="21"/>
                <w:vertAlign w:val="baseline"/>
                <w:lang w:val="en-US" w:eastAsia="zh-CN"/>
              </w:rPr>
              <w:t>合计</w:t>
            </w:r>
          </w:p>
        </w:tc>
        <w:tc>
          <w:tcPr>
            <w:tcW w:w="2084" w:type="dxa"/>
            <w:vAlign w:val="center"/>
          </w:tcPr>
          <w:p w14:paraId="3A35BE9D">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0" w:firstLineChars="0"/>
              <w:jc w:val="center"/>
              <w:textAlignment w:val="auto"/>
              <w:rPr>
                <w:rFonts w:hint="eastAsia" w:ascii="宋体" w:hAnsi="宋体" w:eastAsia="宋体" w:cs="宋体"/>
                <w:sz w:val="21"/>
                <w:szCs w:val="21"/>
              </w:rPr>
            </w:pPr>
          </w:p>
        </w:tc>
        <w:tc>
          <w:tcPr>
            <w:tcW w:w="1080" w:type="dxa"/>
            <w:vAlign w:val="center"/>
          </w:tcPr>
          <w:p w14:paraId="1AA321D9">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条</w:t>
            </w:r>
          </w:p>
        </w:tc>
        <w:tc>
          <w:tcPr>
            <w:tcW w:w="960" w:type="dxa"/>
            <w:vAlign w:val="center"/>
          </w:tcPr>
          <w:p w14:paraId="13A63B05">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kern w:val="2"/>
                <w:sz w:val="21"/>
                <w:szCs w:val="21"/>
                <w:vertAlign w:val="baseline"/>
                <w:lang w:val="en-US" w:eastAsia="zh-CN" w:bidi="ar-SA"/>
              </w:rPr>
              <w:t>1</w:t>
            </w:r>
          </w:p>
        </w:tc>
        <w:tc>
          <w:tcPr>
            <w:tcW w:w="1515" w:type="dxa"/>
            <w:vAlign w:val="center"/>
          </w:tcPr>
          <w:p w14:paraId="0C83F757">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0" w:firstLineChars="0"/>
              <w:jc w:val="center"/>
              <w:textAlignment w:val="auto"/>
              <w:rPr>
                <w:rFonts w:hint="eastAsia" w:ascii="宋体" w:hAnsi="宋体" w:eastAsia="宋体" w:cs="宋体"/>
                <w:bCs/>
                <w:color w:val="000000"/>
                <w:kern w:val="2"/>
                <w:sz w:val="21"/>
                <w:szCs w:val="21"/>
                <w:lang w:val="en-US" w:eastAsia="zh-CN" w:bidi="ar-SA"/>
              </w:rPr>
            </w:pPr>
            <w:r>
              <w:rPr>
                <w:rFonts w:hint="eastAsia" w:ascii="宋体" w:hAnsi="宋体" w:cs="宋体"/>
                <w:kern w:val="2"/>
                <w:sz w:val="21"/>
                <w:szCs w:val="21"/>
                <w:vertAlign w:val="baseline"/>
                <w:lang w:val="en-US" w:eastAsia="zh-CN" w:bidi="ar-SA"/>
              </w:rPr>
              <w:t>43</w:t>
            </w:r>
            <w:r>
              <w:rPr>
                <w:rFonts w:hint="eastAsia" w:ascii="宋体" w:hAnsi="宋体" w:eastAsia="宋体" w:cs="宋体"/>
                <w:kern w:val="2"/>
                <w:sz w:val="21"/>
                <w:szCs w:val="21"/>
                <w:vertAlign w:val="baseline"/>
                <w:lang w:val="en-US" w:eastAsia="zh-CN" w:bidi="ar-SA"/>
              </w:rPr>
              <w:t>0000.00</w:t>
            </w:r>
            <w:r>
              <w:rPr>
                <w:rFonts w:hint="eastAsia" w:ascii="宋体" w:hAnsi="宋体" w:eastAsia="宋体" w:cs="宋体"/>
                <w:bCs/>
                <w:color w:val="000000"/>
                <w:kern w:val="2"/>
                <w:sz w:val="21"/>
                <w:szCs w:val="21"/>
                <w:lang w:val="en-US" w:eastAsia="zh-CN" w:bidi="ar-SA"/>
              </w:rPr>
              <w:t>元</w:t>
            </w:r>
          </w:p>
        </w:tc>
        <w:tc>
          <w:tcPr>
            <w:tcW w:w="1040" w:type="dxa"/>
            <w:vAlign w:val="center"/>
          </w:tcPr>
          <w:p w14:paraId="03BE995F">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1"/>
                <w:szCs w:val="21"/>
              </w:rPr>
            </w:pPr>
          </w:p>
        </w:tc>
        <w:tc>
          <w:tcPr>
            <w:tcW w:w="1244" w:type="dxa"/>
            <w:vAlign w:val="center"/>
          </w:tcPr>
          <w:p w14:paraId="721EA82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kern w:val="2"/>
                <w:sz w:val="21"/>
                <w:szCs w:val="21"/>
                <w:lang w:val="en-US" w:eastAsia="zh-CN" w:bidi="ar-SA"/>
              </w:rPr>
            </w:pPr>
          </w:p>
        </w:tc>
      </w:tr>
      <w:tr w14:paraId="366F0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trPr>
        <w:tc>
          <w:tcPr>
            <w:tcW w:w="1531" w:type="dxa"/>
            <w:gridSpan w:val="2"/>
            <w:vAlign w:val="center"/>
          </w:tcPr>
          <w:p w14:paraId="270BA309">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sz w:val="21"/>
                <w:szCs w:val="21"/>
                <w:lang w:val="en-US" w:eastAsia="zh-CN"/>
              </w:rPr>
            </w:pPr>
            <w:r>
              <w:rPr>
                <w:rFonts w:hint="eastAsia" w:ascii="宋体" w:hAnsi="宋体" w:eastAsia="宋体" w:cs="宋体"/>
                <w:b/>
                <w:bCs/>
                <w:sz w:val="21"/>
                <w:szCs w:val="21"/>
                <w:vertAlign w:val="baseline"/>
                <w:lang w:val="en-US" w:eastAsia="zh-CN"/>
              </w:rPr>
              <w:t>备注</w:t>
            </w:r>
          </w:p>
        </w:tc>
        <w:tc>
          <w:tcPr>
            <w:tcW w:w="7923" w:type="dxa"/>
            <w:gridSpan w:val="6"/>
            <w:vAlign w:val="center"/>
          </w:tcPr>
          <w:p w14:paraId="51D71205">
            <w:pPr>
              <w:keepNext w:val="0"/>
              <w:keepLines w:val="0"/>
              <w:pageBreakBefore w:val="0"/>
              <w:widowControl w:val="0"/>
              <w:numPr>
                <w:ilvl w:val="0"/>
                <w:numId w:val="0"/>
              </w:numPr>
              <w:kinsoku/>
              <w:wordWrap/>
              <w:overflowPunct/>
              <w:topLinePunct w:val="0"/>
              <w:autoSpaceDE/>
              <w:autoSpaceDN/>
              <w:bidi w:val="0"/>
              <w:adjustRightInd/>
              <w:snapToGrid w:val="0"/>
              <w:spacing w:beforeAutospacing="0" w:line="360" w:lineRule="auto"/>
              <w:ind w:left="0" w:leftChars="0" w:firstLine="0" w:firstLineChars="0"/>
              <w:jc w:val="center"/>
              <w:textAlignment w:val="auto"/>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无</w:t>
            </w:r>
          </w:p>
        </w:tc>
      </w:tr>
    </w:tbl>
    <w:p w14:paraId="560284E9">
      <w:pPr>
        <w:pStyle w:val="24"/>
        <w:tabs>
          <w:tab w:val="left" w:pos="568"/>
        </w:tabs>
        <w:spacing w:line="240" w:lineRule="auto"/>
        <w:jc w:val="both"/>
        <w:rPr>
          <w:rFonts w:hint="eastAsia" w:ascii="宋体" w:hAnsi="宋体" w:eastAsia="宋体" w:cs="宋体"/>
          <w:b/>
          <w:bCs/>
          <w:color w:val="auto"/>
          <w:spacing w:val="28"/>
          <w:sz w:val="21"/>
          <w:szCs w:val="21"/>
          <w:highlight w:val="none"/>
        </w:rPr>
      </w:pPr>
    </w:p>
    <w:p w14:paraId="10E84755">
      <w:pPr>
        <w:numPr>
          <w:ilvl w:val="0"/>
          <w:numId w:val="1"/>
        </w:numPr>
        <w:spacing w:line="192" w:lineRule="auto"/>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技术要求：</w:t>
      </w:r>
    </w:p>
    <w:p w14:paraId="1F329C55">
      <w:pPr>
        <w:keepNext w:val="0"/>
        <w:keepLines w:val="0"/>
        <w:pageBreakBefore w:val="0"/>
        <w:widowControl w:val="0"/>
        <w:kinsoku/>
        <w:wordWrap/>
        <w:overflowPunct/>
        <w:topLinePunct w:val="0"/>
        <w:autoSpaceDE/>
        <w:autoSpaceDN/>
        <w:bidi w:val="0"/>
        <w:adjustRightInd/>
        <w:snapToGrid w:val="0"/>
        <w:spacing w:line="460" w:lineRule="exact"/>
        <w:textAlignment w:val="auto"/>
        <w:rPr>
          <w:rFonts w:hint="eastAsia" w:ascii="宋体" w:hAnsi="宋体" w:eastAsia="宋体" w:cs="Times New Roman"/>
          <w:b w:val="0"/>
          <w:bCs w:val="0"/>
          <w:sz w:val="21"/>
          <w:szCs w:val="21"/>
          <w:lang w:val="en-US" w:eastAsia="zh-CN"/>
        </w:rPr>
      </w:pPr>
      <w:r>
        <w:rPr>
          <w:rFonts w:hint="eastAsia" w:ascii="宋体" w:hAnsi="宋体" w:eastAsia="宋体" w:cs="Times New Roman"/>
          <w:b w:val="0"/>
          <w:bCs w:val="0"/>
          <w:sz w:val="21"/>
          <w:szCs w:val="21"/>
          <w:lang w:val="en-US" w:eastAsia="zh-CN"/>
        </w:rPr>
        <w:t>1.视野角：       ≥110°</w:t>
      </w:r>
    </w:p>
    <w:p w14:paraId="55800509">
      <w:pPr>
        <w:keepNext w:val="0"/>
        <w:keepLines w:val="0"/>
        <w:pageBreakBefore w:val="0"/>
        <w:widowControl w:val="0"/>
        <w:kinsoku/>
        <w:wordWrap/>
        <w:overflowPunct/>
        <w:topLinePunct w:val="0"/>
        <w:autoSpaceDE/>
        <w:autoSpaceDN/>
        <w:bidi w:val="0"/>
        <w:adjustRightInd/>
        <w:snapToGrid w:val="0"/>
        <w:spacing w:line="460" w:lineRule="exact"/>
        <w:textAlignment w:val="auto"/>
        <w:rPr>
          <w:rFonts w:hint="eastAsia" w:ascii="宋体" w:hAnsi="宋体" w:eastAsia="宋体" w:cs="Times New Roman"/>
          <w:b w:val="0"/>
          <w:bCs w:val="0"/>
          <w:sz w:val="21"/>
          <w:szCs w:val="21"/>
          <w:lang w:val="en-US" w:eastAsia="zh-CN"/>
        </w:rPr>
      </w:pPr>
      <w:r>
        <w:rPr>
          <w:rFonts w:hint="eastAsia" w:ascii="宋体" w:hAnsi="宋体" w:eastAsia="宋体" w:cs="Times New Roman"/>
          <w:b w:val="0"/>
          <w:bCs w:val="0"/>
          <w:sz w:val="21"/>
          <w:szCs w:val="21"/>
          <w:lang w:val="en-US" w:eastAsia="zh-CN"/>
        </w:rPr>
        <w:t>2.视野深度：   ≥2—50mm</w:t>
      </w:r>
    </w:p>
    <w:p w14:paraId="7F9E2E41">
      <w:pPr>
        <w:keepNext w:val="0"/>
        <w:keepLines w:val="0"/>
        <w:pageBreakBefore w:val="0"/>
        <w:widowControl w:val="0"/>
        <w:kinsoku/>
        <w:wordWrap/>
        <w:overflowPunct/>
        <w:topLinePunct w:val="0"/>
        <w:autoSpaceDE/>
        <w:autoSpaceDN/>
        <w:bidi w:val="0"/>
        <w:adjustRightInd/>
        <w:snapToGrid w:val="0"/>
        <w:spacing w:line="460" w:lineRule="exact"/>
        <w:textAlignment w:val="auto"/>
        <w:rPr>
          <w:rFonts w:hint="eastAsia" w:ascii="宋体" w:hAnsi="宋体" w:eastAsia="宋体" w:cs="Times New Roman"/>
          <w:b w:val="0"/>
          <w:bCs w:val="0"/>
          <w:sz w:val="21"/>
          <w:szCs w:val="21"/>
          <w:lang w:val="en-US" w:eastAsia="zh-CN"/>
        </w:rPr>
      </w:pPr>
      <w:r>
        <w:rPr>
          <w:rFonts w:hint="eastAsia" w:ascii="宋体" w:hAnsi="宋体" w:eastAsia="宋体" w:cs="Times New Roman"/>
          <w:b w:val="0"/>
          <w:bCs w:val="0"/>
          <w:sz w:val="21"/>
          <w:szCs w:val="21"/>
          <w:lang w:val="en-US" w:eastAsia="zh-CN"/>
        </w:rPr>
        <w:t>3.视野方向：       直视</w:t>
      </w:r>
    </w:p>
    <w:p w14:paraId="2F5C2238">
      <w:pPr>
        <w:keepNext w:val="0"/>
        <w:keepLines w:val="0"/>
        <w:pageBreakBefore w:val="0"/>
        <w:widowControl w:val="0"/>
        <w:kinsoku/>
        <w:wordWrap/>
        <w:overflowPunct/>
        <w:topLinePunct w:val="0"/>
        <w:autoSpaceDE/>
        <w:autoSpaceDN/>
        <w:bidi w:val="0"/>
        <w:adjustRightInd/>
        <w:snapToGrid w:val="0"/>
        <w:spacing w:line="460" w:lineRule="exact"/>
        <w:textAlignment w:val="auto"/>
        <w:rPr>
          <w:rFonts w:hint="eastAsia" w:ascii="宋体" w:hAnsi="宋体" w:eastAsia="宋体" w:cs="Times New Roman"/>
          <w:b w:val="0"/>
          <w:bCs w:val="0"/>
          <w:sz w:val="21"/>
          <w:szCs w:val="21"/>
          <w:lang w:val="en-US" w:eastAsia="zh-CN"/>
        </w:rPr>
      </w:pPr>
      <w:r>
        <w:rPr>
          <w:rFonts w:hint="eastAsia" w:ascii="宋体" w:hAnsi="宋体" w:eastAsia="宋体" w:cs="Times New Roman"/>
          <w:b w:val="0"/>
          <w:bCs w:val="0"/>
          <w:sz w:val="21"/>
          <w:szCs w:val="21"/>
          <w:lang w:val="en-US" w:eastAsia="zh-CN"/>
        </w:rPr>
        <w:t>4.弯曲角度：  向上≥200°，向下≥130°</w:t>
      </w:r>
    </w:p>
    <w:p w14:paraId="35EA1F83">
      <w:pPr>
        <w:keepNext w:val="0"/>
        <w:keepLines w:val="0"/>
        <w:pageBreakBefore w:val="0"/>
        <w:widowControl w:val="0"/>
        <w:kinsoku/>
        <w:wordWrap/>
        <w:overflowPunct/>
        <w:topLinePunct w:val="0"/>
        <w:autoSpaceDE/>
        <w:autoSpaceDN/>
        <w:bidi w:val="0"/>
        <w:adjustRightInd/>
        <w:snapToGrid w:val="0"/>
        <w:spacing w:line="460" w:lineRule="exact"/>
        <w:textAlignment w:val="auto"/>
        <w:rPr>
          <w:rFonts w:hint="eastAsia" w:ascii="宋体" w:hAnsi="宋体" w:eastAsia="宋体" w:cs="Times New Roman"/>
          <w:b w:val="0"/>
          <w:bCs w:val="0"/>
          <w:sz w:val="21"/>
          <w:szCs w:val="21"/>
          <w:lang w:val="en-US" w:eastAsia="zh-CN"/>
        </w:rPr>
      </w:pPr>
      <w:r>
        <w:rPr>
          <w:rFonts w:hint="eastAsia" w:ascii="宋体" w:hAnsi="宋体" w:eastAsia="宋体" w:cs="Times New Roman"/>
          <w:b w:val="0"/>
          <w:bCs w:val="0"/>
          <w:sz w:val="21"/>
          <w:szCs w:val="21"/>
          <w:lang w:val="en-US" w:eastAsia="zh-CN"/>
        </w:rPr>
        <w:t>5.先端部外径：   ≤ 4.2mm</w:t>
      </w:r>
    </w:p>
    <w:p w14:paraId="1DA0F780">
      <w:pPr>
        <w:keepNext w:val="0"/>
        <w:keepLines w:val="0"/>
        <w:pageBreakBefore w:val="0"/>
        <w:widowControl w:val="0"/>
        <w:kinsoku/>
        <w:wordWrap/>
        <w:overflowPunct/>
        <w:topLinePunct w:val="0"/>
        <w:autoSpaceDE/>
        <w:autoSpaceDN/>
        <w:bidi w:val="0"/>
        <w:adjustRightInd/>
        <w:snapToGrid w:val="0"/>
        <w:spacing w:line="460" w:lineRule="exact"/>
        <w:textAlignment w:val="auto"/>
        <w:rPr>
          <w:rFonts w:hint="eastAsia" w:ascii="宋体" w:hAnsi="宋体" w:eastAsia="宋体" w:cs="Times New Roman"/>
          <w:b w:val="0"/>
          <w:bCs w:val="0"/>
          <w:sz w:val="21"/>
          <w:szCs w:val="21"/>
          <w:lang w:val="en-US" w:eastAsia="zh-CN"/>
        </w:rPr>
      </w:pPr>
      <w:r>
        <w:rPr>
          <w:rFonts w:hint="eastAsia" w:ascii="宋体" w:hAnsi="宋体" w:eastAsia="宋体" w:cs="Times New Roman"/>
          <w:b w:val="0"/>
          <w:bCs w:val="0"/>
          <w:sz w:val="21"/>
          <w:szCs w:val="21"/>
          <w:lang w:val="en-US" w:eastAsia="zh-CN"/>
        </w:rPr>
        <w:t>6.插入部外径：   ≤ 4.1mm</w:t>
      </w:r>
    </w:p>
    <w:p w14:paraId="5E036294">
      <w:pPr>
        <w:keepNext w:val="0"/>
        <w:keepLines w:val="0"/>
        <w:pageBreakBefore w:val="0"/>
        <w:widowControl w:val="0"/>
        <w:kinsoku/>
        <w:wordWrap/>
        <w:overflowPunct/>
        <w:topLinePunct w:val="0"/>
        <w:autoSpaceDE/>
        <w:autoSpaceDN/>
        <w:bidi w:val="0"/>
        <w:adjustRightInd/>
        <w:snapToGrid w:val="0"/>
        <w:spacing w:line="460" w:lineRule="exact"/>
        <w:textAlignment w:val="auto"/>
        <w:rPr>
          <w:rFonts w:hint="eastAsia" w:ascii="宋体" w:hAnsi="宋体" w:eastAsia="宋体" w:cs="Times New Roman"/>
          <w:b w:val="0"/>
          <w:bCs w:val="0"/>
          <w:sz w:val="21"/>
          <w:szCs w:val="21"/>
          <w:lang w:val="en-US" w:eastAsia="zh-CN"/>
        </w:rPr>
      </w:pPr>
      <w:r>
        <w:rPr>
          <w:rFonts w:hint="eastAsia" w:ascii="宋体" w:hAnsi="宋体" w:eastAsia="宋体" w:cs="Times New Roman"/>
          <w:b w:val="0"/>
          <w:bCs w:val="0"/>
          <w:sz w:val="21"/>
          <w:szCs w:val="21"/>
          <w:lang w:val="en-US" w:eastAsia="zh-CN"/>
        </w:rPr>
        <w:t>7.活检孔内径：   ≥ 2.0mm</w:t>
      </w:r>
    </w:p>
    <w:p w14:paraId="0F1A8E05">
      <w:pPr>
        <w:keepNext w:val="0"/>
        <w:keepLines w:val="0"/>
        <w:pageBreakBefore w:val="0"/>
        <w:widowControl w:val="0"/>
        <w:kinsoku/>
        <w:wordWrap/>
        <w:overflowPunct/>
        <w:topLinePunct w:val="0"/>
        <w:autoSpaceDE/>
        <w:autoSpaceDN/>
        <w:bidi w:val="0"/>
        <w:adjustRightInd/>
        <w:snapToGrid w:val="0"/>
        <w:spacing w:line="460" w:lineRule="exact"/>
        <w:textAlignment w:val="auto"/>
        <w:rPr>
          <w:rFonts w:hint="eastAsia" w:ascii="宋体" w:hAnsi="宋体" w:eastAsia="宋体" w:cs="Times New Roman"/>
          <w:b w:val="0"/>
          <w:bCs w:val="0"/>
          <w:sz w:val="21"/>
          <w:szCs w:val="21"/>
          <w:lang w:val="en-US" w:eastAsia="zh-CN"/>
        </w:rPr>
      </w:pPr>
      <w:r>
        <w:rPr>
          <w:rFonts w:hint="eastAsia" w:ascii="宋体" w:hAnsi="宋体" w:eastAsia="宋体" w:cs="Times New Roman"/>
          <w:b w:val="0"/>
          <w:bCs w:val="0"/>
          <w:sz w:val="21"/>
          <w:szCs w:val="21"/>
          <w:lang w:val="en-US" w:eastAsia="zh-CN"/>
        </w:rPr>
        <w:t>8.有效长度：     ≥600mm</w:t>
      </w:r>
    </w:p>
    <w:p w14:paraId="25260B3A">
      <w:pPr>
        <w:keepNext w:val="0"/>
        <w:keepLines w:val="0"/>
        <w:pageBreakBefore w:val="0"/>
        <w:widowControl w:val="0"/>
        <w:kinsoku/>
        <w:wordWrap/>
        <w:overflowPunct/>
        <w:topLinePunct w:val="0"/>
        <w:autoSpaceDE/>
        <w:autoSpaceDN/>
        <w:bidi w:val="0"/>
        <w:adjustRightInd/>
        <w:snapToGrid w:val="0"/>
        <w:spacing w:line="460" w:lineRule="exact"/>
        <w:textAlignment w:val="auto"/>
        <w:rPr>
          <w:rFonts w:hint="eastAsia" w:ascii="宋体" w:hAnsi="宋体" w:eastAsia="宋体" w:cs="Times New Roman"/>
          <w:b w:val="0"/>
          <w:bCs w:val="0"/>
          <w:sz w:val="21"/>
          <w:szCs w:val="21"/>
          <w:lang w:val="en-US" w:eastAsia="zh-CN"/>
        </w:rPr>
      </w:pPr>
      <w:r>
        <w:rPr>
          <w:rFonts w:hint="eastAsia" w:ascii="宋体" w:hAnsi="宋体" w:eastAsia="宋体" w:cs="Times New Roman"/>
          <w:b w:val="0"/>
          <w:bCs w:val="0"/>
          <w:sz w:val="21"/>
          <w:szCs w:val="21"/>
          <w:lang w:val="en-US" w:eastAsia="zh-CN"/>
        </w:rPr>
        <w:t>9.插入部旋转功能：有；通过旋转内镜操作部上的操作环，在手柄不动的情况下，可将插入管向左或向右旋转120度，保证操作的顺利及简便。</w:t>
      </w:r>
    </w:p>
    <w:p w14:paraId="1A8354BA">
      <w:pPr>
        <w:keepNext w:val="0"/>
        <w:keepLines w:val="0"/>
        <w:pageBreakBefore w:val="0"/>
        <w:widowControl w:val="0"/>
        <w:kinsoku/>
        <w:wordWrap/>
        <w:overflowPunct/>
        <w:topLinePunct w:val="0"/>
        <w:autoSpaceDE/>
        <w:autoSpaceDN/>
        <w:bidi w:val="0"/>
        <w:adjustRightInd/>
        <w:snapToGrid w:val="0"/>
        <w:spacing w:line="460" w:lineRule="exact"/>
        <w:textAlignment w:val="auto"/>
        <w:rPr>
          <w:rFonts w:hint="eastAsia" w:ascii="宋体" w:hAnsi="宋体" w:eastAsia="宋体" w:cs="Times New Roman"/>
          <w:b w:val="0"/>
          <w:bCs w:val="0"/>
          <w:sz w:val="21"/>
          <w:szCs w:val="21"/>
          <w:highlight w:val="none"/>
          <w:lang w:val="en-US" w:eastAsia="zh-CN"/>
        </w:rPr>
      </w:pPr>
      <w:r>
        <w:rPr>
          <w:rFonts w:hint="eastAsia" w:ascii="宋体" w:hAnsi="宋体" w:eastAsia="宋体" w:cs="Times New Roman"/>
          <w:b w:val="0"/>
          <w:bCs w:val="0"/>
          <w:sz w:val="21"/>
          <w:szCs w:val="21"/>
          <w:highlight w:val="none"/>
          <w:lang w:val="en-US" w:eastAsia="zh-CN"/>
        </w:rPr>
        <w:t>10.能兼容医院气管镜系统</w:t>
      </w:r>
    </w:p>
    <w:p w14:paraId="3F4D6040">
      <w:pPr>
        <w:keepNext w:val="0"/>
        <w:keepLines w:val="0"/>
        <w:pageBreakBefore w:val="0"/>
        <w:widowControl w:val="0"/>
        <w:kinsoku/>
        <w:wordWrap/>
        <w:overflowPunct/>
        <w:topLinePunct w:val="0"/>
        <w:autoSpaceDE/>
        <w:autoSpaceDN/>
        <w:bidi w:val="0"/>
        <w:adjustRightInd/>
        <w:snapToGrid w:val="0"/>
        <w:spacing w:line="460" w:lineRule="exact"/>
        <w:textAlignment w:val="auto"/>
        <w:rPr>
          <w:rFonts w:hint="eastAsia"/>
          <w:highlight w:val="none"/>
          <w:lang w:val="en-US" w:eastAsia="zh-CN"/>
        </w:rPr>
      </w:pPr>
      <w:r>
        <w:rPr>
          <w:rFonts w:hint="eastAsia" w:ascii="宋体" w:hAnsi="宋体" w:cs="Times New Roman"/>
          <w:sz w:val="21"/>
          <w:szCs w:val="21"/>
          <w:highlight w:val="none"/>
          <w:lang w:val="en-US" w:eastAsia="zh-CN"/>
        </w:rPr>
        <w:t>11</w:t>
      </w:r>
      <w:r>
        <w:rPr>
          <w:rFonts w:hint="eastAsia" w:ascii="宋体" w:hAnsi="宋体" w:eastAsia="宋体" w:cs="Times New Roman"/>
          <w:sz w:val="21"/>
          <w:szCs w:val="21"/>
          <w:highlight w:val="none"/>
          <w:lang w:val="en-US" w:eastAsia="zh-CN"/>
        </w:rPr>
        <w:t>.要求设备为最新出厂设备，出厂日期不得早于招标日期6个月。</w:t>
      </w:r>
    </w:p>
    <w:p w14:paraId="618F8C60">
      <w:pPr>
        <w:keepNext w:val="0"/>
        <w:keepLines w:val="0"/>
        <w:pageBreakBefore w:val="0"/>
        <w:widowControl w:val="0"/>
        <w:kinsoku/>
        <w:wordWrap/>
        <w:overflowPunct/>
        <w:topLinePunct w:val="0"/>
        <w:autoSpaceDE/>
        <w:autoSpaceDN/>
        <w:bidi w:val="0"/>
        <w:adjustRightInd/>
        <w:snapToGrid w:val="0"/>
        <w:spacing w:line="460" w:lineRule="exact"/>
        <w:textAlignment w:val="auto"/>
        <w:rPr>
          <w:rFonts w:hint="eastAsia" w:ascii="宋体" w:hAnsi="宋体" w:eastAsia="宋体" w:cs="Times New Roman"/>
          <w:b/>
          <w:bCs/>
          <w:sz w:val="21"/>
          <w:szCs w:val="21"/>
          <w:lang w:val="en-US" w:eastAsia="zh-CN"/>
        </w:rPr>
      </w:pPr>
      <w:r>
        <w:rPr>
          <w:rFonts w:hint="eastAsia" w:ascii="宋体" w:hAnsi="宋体" w:eastAsia="宋体" w:cs="Times New Roman"/>
          <w:b/>
          <w:bCs/>
          <w:sz w:val="21"/>
          <w:szCs w:val="21"/>
          <w:lang w:val="en-US" w:eastAsia="zh-CN"/>
        </w:rPr>
        <w:t>四、其他要求</w:t>
      </w:r>
    </w:p>
    <w:p w14:paraId="59091C37">
      <w:pPr>
        <w:keepNext w:val="0"/>
        <w:keepLines w:val="0"/>
        <w:pageBreakBefore w:val="0"/>
        <w:widowControl w:val="0"/>
        <w:kinsoku/>
        <w:wordWrap/>
        <w:overflowPunct/>
        <w:topLinePunct w:val="0"/>
        <w:autoSpaceDE/>
        <w:autoSpaceDN/>
        <w:bidi w:val="0"/>
        <w:adjustRightInd/>
        <w:snapToGrid w:val="0"/>
        <w:spacing w:line="460" w:lineRule="exact"/>
        <w:textAlignment w:val="auto"/>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1.所投产品均应提供配置明细表并且配置明细表中的所有配件必须是唯一的，不得有选择性配置，所提供配件需是正规厂家生产的原装正品。如果对投标产品的标准配置或配件有更换或调整的，需提供原生产厂家的变更和调整确认材料,提供的产品配件应单独列出其技术性能、标准、产地、生产厂家及享受何种保修服务。</w:t>
      </w:r>
    </w:p>
    <w:p w14:paraId="386E3D27">
      <w:pPr>
        <w:keepNext w:val="0"/>
        <w:keepLines w:val="0"/>
        <w:pageBreakBefore w:val="0"/>
        <w:widowControl w:val="0"/>
        <w:kinsoku/>
        <w:wordWrap/>
        <w:overflowPunct/>
        <w:topLinePunct w:val="0"/>
        <w:autoSpaceDE/>
        <w:autoSpaceDN/>
        <w:bidi w:val="0"/>
        <w:adjustRightInd/>
        <w:snapToGrid w:val="0"/>
        <w:spacing w:line="460" w:lineRule="exact"/>
        <w:textAlignment w:val="auto"/>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2.供应商须提供符合国家质量标准、部颁标准、行业标准或本招标文件规定标准的、供货渠道合法的全新原装合格正品（包括零部件），如安装或配置软件的，须为正版软件。所提供的货物应当同时符合国家有关安全、卫生、环保规定。本项目中所投产品涉及纳入国家认证认可监督管理委员会现行《强制性产品认证目录描述与界定表》管理的强制性认证产品（简称 3C 认证产品）的，该产品应具有由认证机构颁发给制造商的该产品强制性认证证书。</w:t>
      </w:r>
    </w:p>
    <w:p w14:paraId="323D4F81">
      <w:pPr>
        <w:keepNext w:val="0"/>
        <w:keepLines w:val="0"/>
        <w:pageBreakBefore w:val="0"/>
        <w:widowControl w:val="0"/>
        <w:kinsoku/>
        <w:wordWrap/>
        <w:overflowPunct/>
        <w:topLinePunct w:val="0"/>
        <w:autoSpaceDE/>
        <w:autoSpaceDN/>
        <w:bidi w:val="0"/>
        <w:adjustRightInd/>
        <w:snapToGrid w:val="0"/>
        <w:spacing w:line="460" w:lineRule="exact"/>
        <w:textAlignment w:val="auto"/>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lang w:val="en-US" w:eastAsia="zh-CN"/>
        </w:rPr>
        <w:t>3.采购人使用成交人成交的货物、技术、资料、服务或其他任何一部分时，享有无偿使用权。免受第三方提出的侵犯其专利权、著作权、商标权或其它知识产权的起诉。如果第三方提出侵权指控，</w:t>
      </w:r>
      <w:r>
        <w:rPr>
          <w:rFonts w:hint="eastAsia" w:ascii="宋体" w:hAnsi="宋体" w:eastAsia="宋体" w:cs="Times New Roman"/>
          <w:sz w:val="21"/>
          <w:szCs w:val="21"/>
          <w:highlight w:val="none"/>
          <w:lang w:val="en-US" w:eastAsia="zh-CN"/>
        </w:rPr>
        <w:t>成交人应承担由此而引起的一切法律责任和费用。</w:t>
      </w:r>
    </w:p>
    <w:p w14:paraId="3BEFBE1B">
      <w:pPr>
        <w:keepNext w:val="0"/>
        <w:keepLines w:val="0"/>
        <w:pageBreakBefore w:val="0"/>
        <w:widowControl w:val="0"/>
        <w:kinsoku/>
        <w:wordWrap/>
        <w:overflowPunct/>
        <w:topLinePunct w:val="0"/>
        <w:autoSpaceDE/>
        <w:autoSpaceDN/>
        <w:bidi w:val="0"/>
        <w:adjustRightInd/>
        <w:snapToGrid w:val="0"/>
        <w:spacing w:line="460" w:lineRule="exact"/>
        <w:textAlignment w:val="auto"/>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4.从产品入库之日起，整机原厂保修三年，出具相关服务承诺书。</w:t>
      </w:r>
    </w:p>
    <w:p w14:paraId="6D590738">
      <w:pPr>
        <w:keepNext w:val="0"/>
        <w:keepLines w:val="0"/>
        <w:pageBreakBefore w:val="0"/>
        <w:widowControl w:val="0"/>
        <w:kinsoku/>
        <w:wordWrap/>
        <w:overflowPunct/>
        <w:topLinePunct w:val="0"/>
        <w:autoSpaceDE/>
        <w:autoSpaceDN/>
        <w:bidi w:val="0"/>
        <w:adjustRightInd/>
        <w:snapToGrid w:val="0"/>
        <w:spacing w:line="460" w:lineRule="exact"/>
        <w:textAlignment w:val="auto"/>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5.培训：免费提供操作培训和维修培训。</w:t>
      </w:r>
    </w:p>
    <w:p w14:paraId="1ABF51D1">
      <w:pPr>
        <w:keepNext w:val="0"/>
        <w:keepLines w:val="0"/>
        <w:pageBreakBefore w:val="0"/>
        <w:widowControl w:val="0"/>
        <w:kinsoku/>
        <w:wordWrap/>
        <w:overflowPunct/>
        <w:topLinePunct w:val="0"/>
        <w:autoSpaceDE/>
        <w:autoSpaceDN/>
        <w:bidi w:val="0"/>
        <w:adjustRightInd/>
        <w:snapToGrid w:val="0"/>
        <w:spacing w:line="460" w:lineRule="exact"/>
        <w:textAlignment w:val="auto"/>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6.所有设备按照医院实际要求免费开放端口，免费为医院对接院内信息系统。质保期内免费进行软件升级。</w:t>
      </w:r>
    </w:p>
    <w:p w14:paraId="6B975571">
      <w:pPr>
        <w:keepNext w:val="0"/>
        <w:keepLines w:val="0"/>
        <w:pageBreakBefore w:val="0"/>
        <w:widowControl w:val="0"/>
        <w:kinsoku/>
        <w:wordWrap/>
        <w:overflowPunct/>
        <w:topLinePunct w:val="0"/>
        <w:autoSpaceDE/>
        <w:autoSpaceDN/>
        <w:bidi w:val="0"/>
        <w:adjustRightInd/>
        <w:snapToGrid w:val="0"/>
        <w:spacing w:line="460" w:lineRule="exact"/>
        <w:textAlignment w:val="auto"/>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7.商品包装和快递包装应符合《商品包装政府采购需求标准（试行）》和《快递包装政府采购需求标准（试行）》规定。</w:t>
      </w:r>
    </w:p>
    <w:p w14:paraId="106ADFC5">
      <w:pPr>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商务要求</w:t>
      </w:r>
    </w:p>
    <w:tbl>
      <w:tblPr>
        <w:tblStyle w:val="33"/>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14:paraId="0FEC36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E0195EC">
            <w:pPr>
              <w:pStyle w:val="15"/>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合同签订时间</w:t>
            </w:r>
          </w:p>
        </w:tc>
        <w:tc>
          <w:tcPr>
            <w:tcW w:w="7354" w:type="dxa"/>
            <w:tcBorders>
              <w:top w:val="single" w:color="auto" w:sz="4" w:space="0"/>
              <w:left w:val="single" w:color="auto" w:sz="4" w:space="0"/>
              <w:bottom w:val="single" w:color="auto" w:sz="4" w:space="0"/>
              <w:right w:val="single" w:color="auto" w:sz="4" w:space="0"/>
            </w:tcBorders>
            <w:noWrap/>
            <w:vAlign w:val="center"/>
          </w:tcPr>
          <w:p w14:paraId="6A337923">
            <w:pPr>
              <w:pStyle w:val="15"/>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自成交通知书发出之日起三十个日历日内。</w:t>
            </w:r>
          </w:p>
        </w:tc>
      </w:tr>
      <w:tr w14:paraId="399FFB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09E94F26">
            <w:pPr>
              <w:pStyle w:val="15"/>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交货地点</w:t>
            </w:r>
          </w:p>
        </w:tc>
        <w:tc>
          <w:tcPr>
            <w:tcW w:w="7354" w:type="dxa"/>
            <w:tcBorders>
              <w:top w:val="single" w:color="auto" w:sz="4" w:space="0"/>
              <w:left w:val="single" w:color="auto" w:sz="4" w:space="0"/>
              <w:bottom w:val="single" w:color="auto" w:sz="4" w:space="0"/>
              <w:right w:val="single" w:color="auto" w:sz="4" w:space="0"/>
            </w:tcBorders>
            <w:noWrap/>
            <w:vAlign w:val="center"/>
          </w:tcPr>
          <w:p w14:paraId="77B0CCF3">
            <w:pPr>
              <w:pStyle w:val="15"/>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采购人指定地点。</w:t>
            </w:r>
          </w:p>
        </w:tc>
      </w:tr>
      <w:tr w14:paraId="15D963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701C2F15">
            <w:pPr>
              <w:pStyle w:val="15"/>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交货期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25DB0019">
            <w:pPr>
              <w:pStyle w:val="15"/>
              <w:ind w:left="0" w:leftChars="0"/>
              <w:jc w:val="left"/>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合同签订后30日内交货。</w:t>
            </w:r>
          </w:p>
        </w:tc>
      </w:tr>
      <w:tr w14:paraId="66D050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89A1A7B">
            <w:pPr>
              <w:pStyle w:val="15"/>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质保期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62D90186">
            <w:pPr>
              <w:pStyle w:val="15"/>
              <w:ind w:left="0" w:leftChars="0"/>
              <w:jc w:val="left"/>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从产品入库之日起，整机原厂保修三年。</w:t>
            </w:r>
          </w:p>
        </w:tc>
      </w:tr>
      <w:tr w14:paraId="5279FA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2CEB21F5">
            <w:pPr>
              <w:pStyle w:val="15"/>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质量要求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7E284E25">
            <w:pPr>
              <w:pStyle w:val="15"/>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符合国家有关法律法规及行业标准要求。</w:t>
            </w:r>
          </w:p>
        </w:tc>
      </w:tr>
      <w:tr w14:paraId="4F9CDE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481E1749">
            <w:pPr>
              <w:pStyle w:val="15"/>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付款方式</w:t>
            </w:r>
          </w:p>
        </w:tc>
        <w:tc>
          <w:tcPr>
            <w:tcW w:w="7354" w:type="dxa"/>
            <w:tcBorders>
              <w:top w:val="single" w:color="auto" w:sz="4" w:space="0"/>
              <w:left w:val="single" w:color="auto" w:sz="4" w:space="0"/>
              <w:bottom w:val="single" w:color="auto" w:sz="4" w:space="0"/>
              <w:right w:val="single" w:color="auto" w:sz="4" w:space="0"/>
            </w:tcBorders>
            <w:noWrap/>
            <w:vAlign w:val="center"/>
          </w:tcPr>
          <w:p w14:paraId="426DD86E">
            <w:pPr>
              <w:pStyle w:val="15"/>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以合同签订为准。</w:t>
            </w:r>
          </w:p>
        </w:tc>
      </w:tr>
      <w:tr w14:paraId="1995E1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5D476915">
            <w:pPr>
              <w:pStyle w:val="15"/>
              <w:ind w:left="0" w:leftChars="0"/>
              <w:jc w:val="center"/>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售后服务</w:t>
            </w:r>
          </w:p>
        </w:tc>
        <w:tc>
          <w:tcPr>
            <w:tcW w:w="7354" w:type="dxa"/>
            <w:tcBorders>
              <w:top w:val="single" w:color="auto" w:sz="4" w:space="0"/>
              <w:left w:val="single" w:color="auto" w:sz="4" w:space="0"/>
              <w:bottom w:val="single" w:color="auto" w:sz="4" w:space="0"/>
              <w:right w:val="single" w:color="auto" w:sz="4" w:space="0"/>
            </w:tcBorders>
            <w:noWrap/>
            <w:vAlign w:val="center"/>
          </w:tcPr>
          <w:p w14:paraId="0F3CC99F">
            <w:pPr>
              <w:keepNext w:val="0"/>
              <w:keepLines w:val="0"/>
              <w:pageBreakBefore w:val="0"/>
              <w:widowControl w:val="0"/>
              <w:kinsoku/>
              <w:wordWrap/>
              <w:overflowPunct/>
              <w:topLinePunct w:val="0"/>
              <w:autoSpaceDE/>
              <w:autoSpaceDN/>
              <w:bidi w:val="0"/>
              <w:adjustRightInd/>
              <w:snapToGrid w:val="0"/>
              <w:spacing w:line="460" w:lineRule="exact"/>
              <w:textAlignment w:val="auto"/>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lang w:val="en-US" w:eastAsia="zh-CN"/>
              </w:rPr>
              <w:t>质保期内应当为采购人提供以下技术支持和服务：</w:t>
            </w:r>
          </w:p>
          <w:p w14:paraId="3A7AA5D6">
            <w:pPr>
              <w:keepNext w:val="0"/>
              <w:keepLines w:val="0"/>
              <w:pageBreakBefore w:val="0"/>
              <w:widowControl w:val="0"/>
              <w:kinsoku/>
              <w:wordWrap/>
              <w:overflowPunct/>
              <w:topLinePunct w:val="0"/>
              <w:autoSpaceDE/>
              <w:autoSpaceDN/>
              <w:bidi w:val="0"/>
              <w:adjustRightInd/>
              <w:snapToGrid w:val="0"/>
              <w:spacing w:line="46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Times New Roman"/>
                <w:sz w:val="21"/>
                <w:szCs w:val="21"/>
                <w:highlight w:val="none"/>
                <w:lang w:val="en-US" w:eastAsia="zh-CN"/>
              </w:rPr>
              <w:t>a、现场响应：供应商应保证在12小时内对用户提出的问题或故障予以响应及处理。可提供备用设备或核心部件应急使用。b、成交人应当应每季度对该设备进行保养不少于一次,并出具保养报告，具体保养内容见合同。c、质保期内该设备应保证大于95%（含）的开机率，如达不到要求，每少于一天质保期顺延7天，如造成严重损失需赔偿用户经济损失或换货或退货。d、技术升级，如果制造商的产品技术升级，成交人应及时通知采购人，如采购人有相应要求，成交人和制造商应对采购人购买的产品进行免费升级服务。e、成交人交付设备时，应按照《国家食品药品监督管理总局》第18号令第17条的要求提供相应的维护手册、维修手册、软件备份、故障代码表、备件清单、零部件、维修密码等维护维修必需的材料和信息。f、除火灾、洪水、地震等天灾外，在保修期内，由于货物故障所产生的所有费用均由成交供应商负责。</w:t>
            </w:r>
          </w:p>
        </w:tc>
      </w:tr>
    </w:tbl>
    <w:p w14:paraId="4379AA1E">
      <w:pPr>
        <w:pStyle w:val="24"/>
        <w:rPr>
          <w:rFonts w:hint="eastAsia" w:ascii="宋体" w:hAnsi="宋体" w:eastAsia="宋体" w:cs="宋体"/>
          <w:color w:val="auto"/>
          <w:highlight w:val="none"/>
        </w:rPr>
      </w:pPr>
    </w:p>
    <w:p w14:paraId="043827F2">
      <w:pPr>
        <w:keepNext w:val="0"/>
        <w:keepLines w:val="0"/>
        <w:pageBreakBefore w:val="0"/>
        <w:widowControl w:val="0"/>
        <w:kinsoku/>
        <w:wordWrap/>
        <w:overflowPunct/>
        <w:topLinePunct w:val="0"/>
        <w:autoSpaceDE/>
        <w:autoSpaceDN/>
        <w:bidi w:val="0"/>
        <w:adjustRightInd/>
        <w:snapToGrid w:val="0"/>
        <w:spacing w:before="161" w:beforeLines="50" w:line="360" w:lineRule="auto"/>
        <w:jc w:val="center"/>
        <w:textAlignment w:val="auto"/>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采购人对项目的特殊要求及说明</w:t>
      </w:r>
    </w:p>
    <w:tbl>
      <w:tblPr>
        <w:tblStyle w:val="33"/>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14:paraId="00DBE4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41"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14:paraId="535ACF60">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14:paraId="4AC5D973">
            <w:pPr>
              <w:widowControl/>
              <w:numPr>
                <w:ilvl w:val="0"/>
                <w:numId w:val="2"/>
              </w:numPr>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不接受联合体投标，不允许转包和分包。</w:t>
            </w:r>
          </w:p>
          <w:p w14:paraId="373F1E51">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2、授权磋商小组确定一名成交供应商并推荐一名成交候选供应商。</w:t>
            </w:r>
          </w:p>
          <w:p w14:paraId="4DAB4704">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3、供应商应根据采购文件的要求提供技术响应部分、商务响应部分等内容以对采购文件作出响应。</w:t>
            </w:r>
          </w:p>
        </w:tc>
      </w:tr>
    </w:tbl>
    <w:p w14:paraId="3E3E650D">
      <w:pPr>
        <w:rPr>
          <w:rFonts w:hint="eastAsia" w:ascii="宋体" w:hAnsi="宋体" w:eastAsia="宋体" w:cs="宋体"/>
          <w:color w:val="auto"/>
          <w:highlight w:val="none"/>
        </w:rPr>
      </w:pPr>
    </w:p>
    <w:p w14:paraId="102E84C7">
      <w:pPr>
        <w:jc w:val="center"/>
        <w:rPr>
          <w:rFonts w:hint="eastAsia" w:ascii="宋体" w:hAnsi="宋体" w:eastAsia="宋体" w:cs="宋体"/>
          <w:b/>
          <w:bCs/>
          <w:color w:val="auto"/>
          <w:sz w:val="32"/>
          <w:szCs w:val="32"/>
          <w:highlight w:val="none"/>
        </w:rPr>
      </w:pPr>
    </w:p>
    <w:p w14:paraId="606E7B06">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5850CAA7">
      <w:pPr>
        <w:jc w:val="center"/>
        <w:outlineLvl w:val="0"/>
        <w:rPr>
          <w:rFonts w:hint="eastAsia" w:ascii="宋体" w:hAnsi="宋体" w:eastAsia="宋体" w:cs="宋体"/>
          <w:b/>
          <w:bCs/>
          <w:color w:val="auto"/>
          <w:sz w:val="32"/>
          <w:szCs w:val="32"/>
          <w:highlight w:val="none"/>
        </w:rPr>
      </w:pPr>
      <w:bookmarkStart w:id="35" w:name="_Toc16857"/>
      <w:r>
        <w:rPr>
          <w:rFonts w:hint="eastAsia" w:ascii="宋体" w:hAnsi="宋体" w:eastAsia="宋体" w:cs="宋体"/>
          <w:b/>
          <w:bCs/>
          <w:color w:val="auto"/>
          <w:sz w:val="32"/>
          <w:szCs w:val="32"/>
          <w:highlight w:val="none"/>
        </w:rPr>
        <w:t xml:space="preserve">第三章  </w:t>
      </w:r>
      <w:r>
        <w:rPr>
          <w:rFonts w:hint="eastAsia" w:ascii="宋体" w:hAnsi="宋体" w:eastAsia="宋体" w:cs="宋体"/>
          <w:b/>
          <w:bCs/>
          <w:color w:val="auto"/>
          <w:sz w:val="32"/>
          <w:szCs w:val="32"/>
          <w:highlight w:val="none"/>
          <w:lang w:eastAsia="zh-CN"/>
        </w:rPr>
        <w:t>供应商</w:t>
      </w:r>
      <w:r>
        <w:rPr>
          <w:rFonts w:hint="eastAsia" w:ascii="宋体" w:hAnsi="宋体" w:eastAsia="宋体" w:cs="宋体"/>
          <w:b/>
          <w:bCs/>
          <w:color w:val="auto"/>
          <w:sz w:val="32"/>
          <w:szCs w:val="32"/>
          <w:highlight w:val="none"/>
        </w:rPr>
        <w:t>须知</w:t>
      </w:r>
      <w:bookmarkEnd w:id="35"/>
    </w:p>
    <w:p w14:paraId="6CB10D3F">
      <w:pPr>
        <w:snapToGrid w:val="0"/>
        <w:spacing w:beforeLines="50" w:line="360" w:lineRule="auto"/>
        <w:jc w:val="center"/>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须知前附表</w:t>
      </w:r>
    </w:p>
    <w:tbl>
      <w:tblPr>
        <w:tblStyle w:val="33"/>
        <w:tblW w:w="9840" w:type="dxa"/>
        <w:jc w:val="center"/>
        <w:tblLayout w:type="fixed"/>
        <w:tblCellMar>
          <w:top w:w="0" w:type="dxa"/>
          <w:left w:w="0" w:type="dxa"/>
          <w:bottom w:w="0" w:type="dxa"/>
          <w:right w:w="0" w:type="dxa"/>
        </w:tblCellMar>
      </w:tblPr>
      <w:tblGrid>
        <w:gridCol w:w="926"/>
        <w:gridCol w:w="8914"/>
      </w:tblGrid>
      <w:tr w14:paraId="7152AC17">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B1F5D00">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341175A">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内容、要求</w:t>
            </w:r>
          </w:p>
        </w:tc>
      </w:tr>
      <w:tr w14:paraId="6874865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7B2DD48">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E351CFF">
            <w:pPr>
              <w:widowControl/>
              <w:snapToGrid w:val="0"/>
              <w:spacing w:line="440" w:lineRule="exact"/>
              <w:jc w:val="left"/>
              <w:outlineLvl w:val="0"/>
              <w:rPr>
                <w:rFonts w:hint="default" w:ascii="宋体" w:hAnsi="宋体" w:eastAsia="宋体" w:cs="宋体"/>
                <w:color w:val="auto"/>
                <w:highlight w:val="none"/>
                <w:lang w:val="en-US"/>
              </w:rPr>
            </w:pPr>
            <w:bookmarkStart w:id="36" w:name="_Toc30169"/>
            <w:bookmarkStart w:id="37" w:name="_Toc9566"/>
            <w:r>
              <w:rPr>
                <w:rFonts w:hint="eastAsia" w:ascii="宋体" w:hAnsi="宋体" w:eastAsia="宋体" w:cs="宋体"/>
                <w:color w:val="auto"/>
                <w:highlight w:val="none"/>
              </w:rPr>
              <w:t>1.1项目名称：</w:t>
            </w:r>
            <w:bookmarkEnd w:id="36"/>
            <w:r>
              <w:rPr>
                <w:rFonts w:hint="eastAsia" w:ascii="宋体" w:hAnsi="宋体" w:eastAsia="宋体" w:cs="宋体"/>
                <w:color w:val="auto"/>
                <w:highlight w:val="none"/>
              </w:rPr>
              <w:t>详</w:t>
            </w:r>
            <w:r>
              <w:rPr>
                <w:rFonts w:hint="eastAsia" w:ascii="宋体" w:hAnsi="宋体" w:eastAsia="宋体" w:cs="宋体"/>
                <w:color w:val="auto"/>
                <w:highlight w:val="none"/>
                <w:lang w:val="en-US" w:eastAsia="zh-CN"/>
              </w:rPr>
              <w:t>见竞争性磋商公告</w:t>
            </w:r>
            <w:bookmarkEnd w:id="37"/>
          </w:p>
          <w:p w14:paraId="710A5111">
            <w:pPr>
              <w:widowControl/>
              <w:snapToGrid w:val="0"/>
              <w:spacing w:line="440" w:lineRule="exact"/>
              <w:jc w:val="left"/>
              <w:outlineLvl w:val="0"/>
              <w:rPr>
                <w:rFonts w:hint="eastAsia" w:ascii="宋体" w:hAnsi="宋体" w:eastAsia="宋体" w:cs="宋体"/>
                <w:color w:val="auto"/>
                <w:highlight w:val="none"/>
              </w:rPr>
            </w:pPr>
            <w:bookmarkStart w:id="38" w:name="_Toc23424"/>
            <w:bookmarkStart w:id="39" w:name="_Toc28320"/>
            <w:r>
              <w:rPr>
                <w:rFonts w:hint="eastAsia" w:ascii="宋体" w:hAnsi="宋体" w:eastAsia="宋体" w:cs="宋体"/>
                <w:color w:val="auto"/>
                <w:highlight w:val="none"/>
              </w:rPr>
              <w:t>1.2采购人名称：</w:t>
            </w:r>
            <w:bookmarkEnd w:id="38"/>
            <w:r>
              <w:rPr>
                <w:rFonts w:hint="eastAsia" w:ascii="宋体" w:hAnsi="宋体" w:eastAsia="宋体" w:cs="宋体"/>
                <w:color w:val="auto"/>
                <w:highlight w:val="none"/>
              </w:rPr>
              <w:t>详</w:t>
            </w:r>
            <w:r>
              <w:rPr>
                <w:rFonts w:hint="eastAsia" w:ascii="宋体" w:hAnsi="宋体" w:eastAsia="宋体" w:cs="宋体"/>
                <w:color w:val="auto"/>
                <w:highlight w:val="none"/>
                <w:lang w:val="en-US" w:eastAsia="zh-CN"/>
              </w:rPr>
              <w:t>见竞争性磋商公告</w:t>
            </w:r>
            <w:bookmarkEnd w:id="39"/>
          </w:p>
          <w:p w14:paraId="0043921C">
            <w:pPr>
              <w:widowControl/>
              <w:snapToGrid w:val="0"/>
              <w:spacing w:line="440" w:lineRule="exact"/>
              <w:jc w:val="left"/>
              <w:outlineLvl w:val="0"/>
              <w:rPr>
                <w:rFonts w:hint="eastAsia" w:ascii="宋体" w:hAnsi="宋体" w:eastAsia="宋体" w:cs="宋体"/>
                <w:color w:val="auto"/>
                <w:kern w:val="2"/>
                <w:sz w:val="21"/>
                <w:szCs w:val="24"/>
                <w:highlight w:val="none"/>
                <w:lang w:val="en-US" w:eastAsia="zh-CN" w:bidi="ar-SA"/>
              </w:rPr>
            </w:pPr>
            <w:bookmarkStart w:id="40" w:name="_Toc24541"/>
            <w:bookmarkStart w:id="41" w:name="_Toc3148"/>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采购范围：详</w:t>
            </w:r>
            <w:r>
              <w:rPr>
                <w:rFonts w:hint="eastAsia" w:ascii="宋体" w:hAnsi="宋体" w:eastAsia="宋体" w:cs="宋体"/>
                <w:color w:val="auto"/>
                <w:highlight w:val="none"/>
                <w:lang w:val="en-US" w:eastAsia="zh-CN"/>
              </w:rPr>
              <w:t>见第二章采购</w:t>
            </w:r>
            <w:r>
              <w:rPr>
                <w:rFonts w:hint="eastAsia" w:ascii="宋体" w:hAnsi="宋体" w:eastAsia="宋体" w:cs="宋体"/>
                <w:color w:val="auto"/>
                <w:highlight w:val="none"/>
              </w:rPr>
              <w:t>需求</w:t>
            </w:r>
            <w:bookmarkEnd w:id="40"/>
            <w:bookmarkEnd w:id="41"/>
          </w:p>
        </w:tc>
      </w:tr>
      <w:tr w14:paraId="1A0A6ACB">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3B86117">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29F9D1B">
            <w:pPr>
              <w:widowControl/>
              <w:spacing w:line="44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合格</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公告第二项规定的条件。</w:t>
            </w:r>
          </w:p>
        </w:tc>
      </w:tr>
      <w:tr w14:paraId="165CED55">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4AD2E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F12ABCE">
            <w:pPr>
              <w:widowControl/>
              <w:snapToGrid w:val="0"/>
              <w:spacing w:line="440" w:lineRule="exact"/>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采购预算：</w:t>
            </w:r>
            <w:r>
              <w:rPr>
                <w:rFonts w:hint="eastAsia" w:ascii="宋体" w:hAnsi="宋体" w:eastAsia="宋体" w:cs="宋体"/>
                <w:color w:val="auto"/>
                <w:highlight w:val="none"/>
              </w:rPr>
              <w:t>详</w:t>
            </w:r>
            <w:r>
              <w:rPr>
                <w:rFonts w:hint="eastAsia" w:ascii="宋体" w:hAnsi="宋体" w:eastAsia="宋体" w:cs="宋体"/>
                <w:color w:val="auto"/>
                <w:highlight w:val="none"/>
                <w:lang w:val="en-US" w:eastAsia="zh-CN"/>
              </w:rPr>
              <w:t>见竞争性磋商公告</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最高投标限价</w:t>
            </w:r>
            <w:r>
              <w:rPr>
                <w:rFonts w:hint="eastAsia" w:ascii="宋体" w:hAnsi="宋体" w:eastAsia="宋体" w:cs="宋体"/>
                <w:color w:val="auto"/>
                <w:kern w:val="0"/>
                <w:szCs w:val="21"/>
                <w:highlight w:val="none"/>
                <w:lang w:val="en-US" w:eastAsia="zh-CN"/>
              </w:rPr>
              <w:t>:</w:t>
            </w:r>
            <w:r>
              <w:rPr>
                <w:rFonts w:hint="eastAsia" w:ascii="宋体" w:hAnsi="宋体" w:eastAsia="宋体" w:cs="宋体"/>
                <w:color w:val="auto"/>
                <w:highlight w:val="none"/>
              </w:rPr>
              <w:t>详</w:t>
            </w:r>
            <w:r>
              <w:rPr>
                <w:rFonts w:hint="eastAsia" w:ascii="宋体" w:hAnsi="宋体" w:eastAsia="宋体" w:cs="宋体"/>
                <w:color w:val="auto"/>
                <w:highlight w:val="none"/>
                <w:lang w:val="en-US" w:eastAsia="zh-CN"/>
              </w:rPr>
              <w:t>见竞争性磋商公告</w:t>
            </w:r>
            <w:r>
              <w:rPr>
                <w:rFonts w:hint="eastAsia" w:ascii="宋体" w:hAnsi="宋体" w:eastAsia="宋体" w:cs="宋体"/>
                <w:color w:val="auto"/>
                <w:kern w:val="0"/>
                <w:szCs w:val="21"/>
                <w:highlight w:val="none"/>
                <w:lang w:eastAsia="zh-CN"/>
              </w:rPr>
              <w:t>；</w:t>
            </w:r>
          </w:p>
          <w:p w14:paraId="7AFDFAB9">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3.1 本项目</w:t>
            </w:r>
            <w:r>
              <w:rPr>
                <w:rFonts w:hint="eastAsia" w:ascii="宋体" w:hAnsi="宋体" w:cs="宋体"/>
                <w:color w:val="auto"/>
                <w:kern w:val="0"/>
                <w:szCs w:val="21"/>
                <w:highlight w:val="none"/>
                <w:lang w:val="en-US" w:eastAsia="zh-CN"/>
              </w:rPr>
              <w:t>磋商</w:t>
            </w:r>
            <w:r>
              <w:rPr>
                <w:rFonts w:hint="eastAsia" w:ascii="宋体" w:hAnsi="宋体" w:eastAsia="宋体" w:cs="宋体"/>
                <w:color w:val="auto"/>
                <w:kern w:val="0"/>
                <w:szCs w:val="21"/>
                <w:highlight w:val="none"/>
              </w:rPr>
              <w:t>以人民币报价。</w:t>
            </w:r>
          </w:p>
          <w:p w14:paraId="25F0BC31">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 供应商的报价超过采购预算，采购人不能支付的，按废标处理。</w:t>
            </w:r>
          </w:p>
          <w:p w14:paraId="2834DD74">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3.3 本项目</w:t>
            </w:r>
            <w:r>
              <w:rPr>
                <w:rFonts w:hint="eastAsia" w:ascii="宋体" w:hAnsi="宋体" w:eastAsia="宋体" w:cs="宋体"/>
                <w:color w:val="auto"/>
                <w:kern w:val="0"/>
                <w:szCs w:val="21"/>
                <w:highlight w:val="none"/>
                <w:lang w:val="en-US" w:eastAsia="zh-CN"/>
              </w:rPr>
              <w:t>由成交供应商缴纳</w:t>
            </w:r>
            <w:r>
              <w:rPr>
                <w:rFonts w:hint="eastAsia" w:ascii="宋体" w:hAnsi="宋体" w:eastAsia="宋体" w:cs="宋体"/>
                <w:color w:val="auto"/>
                <w:kern w:val="0"/>
                <w:szCs w:val="21"/>
                <w:highlight w:val="none"/>
              </w:rPr>
              <w:t>招标代理服务费。</w:t>
            </w:r>
          </w:p>
        </w:tc>
      </w:tr>
      <w:tr w14:paraId="3EE741B2">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C1B12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9E33BBE">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现场踏勘或标前答疑：本项目不组织现场踏勘或标前答疑会。</w:t>
            </w:r>
          </w:p>
        </w:tc>
      </w:tr>
      <w:tr w14:paraId="143D1BA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9A5FFD2">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2F7215E">
            <w:pPr>
              <w:widowControl/>
              <w:snapToGrid w:val="0"/>
              <w:spacing w:line="440" w:lineRule="exact"/>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文件组成：纸质</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文件正本1份</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副本2份</w:t>
            </w:r>
            <w:r>
              <w:rPr>
                <w:rFonts w:hint="eastAsia" w:ascii="宋体" w:hAnsi="宋体" w:eastAsia="宋体" w:cs="宋体"/>
                <w:color w:val="auto"/>
                <w:highlight w:val="none"/>
              </w:rPr>
              <w:t>。</w:t>
            </w:r>
          </w:p>
        </w:tc>
      </w:tr>
      <w:tr w14:paraId="752FAAC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CD2BA7A">
            <w:pPr>
              <w:widowControl/>
              <w:snapToGrid w:val="0"/>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6A15F0A">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w:t>
            </w:r>
            <w:r>
              <w:rPr>
                <w:rFonts w:hint="eastAsia" w:ascii="宋体" w:hAnsi="宋体" w:eastAsia="宋体" w:cs="宋体"/>
                <w:color w:val="auto"/>
                <w:kern w:val="0"/>
                <w:szCs w:val="21"/>
                <w:highlight w:val="none"/>
                <w:lang w:val="en-US" w:eastAsia="zh-CN"/>
              </w:rPr>
              <w:t>及开标时间</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p>
          <w:p w14:paraId="2952A193">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文件递交地点</w:t>
            </w:r>
            <w:r>
              <w:rPr>
                <w:rFonts w:hint="eastAsia" w:ascii="宋体" w:hAnsi="宋体" w:eastAsia="宋体" w:cs="宋体"/>
                <w:color w:val="auto"/>
                <w:kern w:val="0"/>
                <w:szCs w:val="21"/>
                <w:highlight w:val="none"/>
                <w:lang w:val="en-US" w:eastAsia="zh-CN"/>
              </w:rPr>
              <w:t>及开标地点</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r>
              <w:rPr>
                <w:rFonts w:hint="eastAsia" w:ascii="宋体" w:hAnsi="宋体" w:eastAsia="宋体" w:cs="宋体"/>
                <w:color w:val="auto"/>
                <w:kern w:val="0"/>
                <w:szCs w:val="21"/>
                <w:highlight w:val="none"/>
              </w:rPr>
              <w:t>。</w:t>
            </w:r>
          </w:p>
        </w:tc>
      </w:tr>
      <w:tr w14:paraId="5E101D7D">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3FC9EA6">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AB1A796">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w:t>
            </w:r>
            <w:r>
              <w:rPr>
                <w:rFonts w:hint="eastAsia" w:ascii="宋体" w:hAnsi="宋体" w:eastAsia="宋体" w:cs="宋体"/>
                <w:color w:val="auto"/>
                <w:kern w:val="0"/>
                <w:szCs w:val="21"/>
                <w:highlight w:val="none"/>
              </w:rPr>
              <w:t>员：</w:t>
            </w:r>
            <w:r>
              <w:rPr>
                <w:rFonts w:hint="eastAsia" w:ascii="宋体" w:hAnsi="宋体" w:eastAsia="宋体" w:cs="宋体"/>
                <w:color w:val="auto"/>
                <w:szCs w:val="21"/>
                <w:highlight w:val="none"/>
                <w:lang w:val="en-US" w:eastAsia="zh-CN"/>
              </w:rPr>
              <w:t>3</w:t>
            </w:r>
            <w:r>
              <w:rPr>
                <w:rFonts w:hint="eastAsia" w:ascii="宋体" w:hAnsi="宋体" w:eastAsia="宋体" w:cs="宋体"/>
                <w:color w:val="auto"/>
                <w:highlight w:val="none"/>
              </w:rPr>
              <w:t>人</w:t>
            </w:r>
            <w:r>
              <w:rPr>
                <w:rFonts w:hint="eastAsia" w:ascii="宋体" w:hAnsi="宋体" w:eastAsia="宋体" w:cs="宋体"/>
                <w:color w:val="auto"/>
                <w:highlight w:val="none"/>
                <w:lang w:val="en-US" w:eastAsia="zh-CN"/>
              </w:rPr>
              <w:t>及以上单数</w:t>
            </w:r>
            <w:r>
              <w:rPr>
                <w:rFonts w:hint="eastAsia" w:ascii="宋体" w:hAnsi="宋体" w:eastAsia="宋体" w:cs="宋体"/>
                <w:color w:val="auto"/>
                <w:kern w:val="0"/>
                <w:szCs w:val="21"/>
                <w:highlight w:val="none"/>
              </w:rPr>
              <w:t>。</w:t>
            </w:r>
          </w:p>
          <w:p w14:paraId="05D582FC">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专家确定方式：</w:t>
            </w:r>
            <w:r>
              <w:rPr>
                <w:rFonts w:hint="eastAsia" w:ascii="宋体" w:hAnsi="宋体" w:eastAsia="宋体" w:cs="宋体"/>
                <w:color w:val="auto"/>
                <w:kern w:val="0"/>
                <w:szCs w:val="21"/>
                <w:highlight w:val="none"/>
              </w:rPr>
              <w:t>由采购人</w:t>
            </w:r>
            <w:r>
              <w:rPr>
                <w:rFonts w:hint="eastAsia" w:ascii="宋体" w:hAnsi="宋体" w:eastAsia="宋体" w:cs="宋体"/>
                <w:color w:val="auto"/>
                <w:kern w:val="0"/>
                <w:szCs w:val="21"/>
                <w:highlight w:val="none"/>
                <w:lang w:val="en-US" w:eastAsia="zh-CN"/>
              </w:rPr>
              <w:t>抽取相关的技术人员组成</w:t>
            </w:r>
            <w:r>
              <w:rPr>
                <w:rFonts w:hint="eastAsia" w:ascii="宋体" w:hAnsi="宋体" w:eastAsia="宋体" w:cs="宋体"/>
                <w:color w:val="auto"/>
                <w:kern w:val="0"/>
                <w:szCs w:val="21"/>
                <w:highlight w:val="none"/>
              </w:rPr>
              <w:t>。</w:t>
            </w:r>
          </w:p>
        </w:tc>
      </w:tr>
      <w:tr w14:paraId="0A1264A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DCE24EC">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57DBE17">
            <w:pPr>
              <w:spacing w:line="240" w:lineRule="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评标办法：</w:t>
            </w:r>
            <w:r>
              <w:rPr>
                <w:rFonts w:hint="eastAsia" w:ascii="宋体" w:hAnsi="宋体" w:eastAsia="宋体" w:cs="宋体"/>
                <w:color w:val="auto"/>
                <w:kern w:val="0"/>
                <w:szCs w:val="21"/>
                <w:highlight w:val="none"/>
              </w:rPr>
              <w:t>本项目采用</w:t>
            </w:r>
            <w:r>
              <w:rPr>
                <w:rFonts w:hint="eastAsia" w:ascii="宋体" w:hAnsi="宋体" w:eastAsia="宋体" w:cs="宋体"/>
                <w:color w:val="auto"/>
                <w:szCs w:val="21"/>
                <w:highlight w:val="none"/>
              </w:rPr>
              <w:t>综合评分法</w:t>
            </w:r>
            <w:r>
              <w:rPr>
                <w:rFonts w:hint="eastAsia" w:ascii="宋体" w:hAnsi="宋体" w:eastAsia="宋体" w:cs="宋体"/>
                <w:color w:val="auto"/>
                <w:kern w:val="0"/>
                <w:szCs w:val="21"/>
                <w:highlight w:val="none"/>
              </w:rPr>
              <w:t>。</w:t>
            </w:r>
          </w:p>
        </w:tc>
      </w:tr>
      <w:tr w14:paraId="12DC500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C16E6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6305EFB">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公告及</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通知书：由采购人授权磋商小组确定一名</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并推荐一名</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。评审结束后在《驻马店市中心医院》官网上发布成交公告，公示期结束后向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发出成交通知书。</w:t>
            </w:r>
          </w:p>
        </w:tc>
      </w:tr>
      <w:tr w14:paraId="3BF8FBD5">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3462E95">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A36C95F">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签订合同：自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w:t>
            </w:r>
            <w:r>
              <w:rPr>
                <w:rFonts w:hint="eastAsia" w:ascii="宋体" w:hAnsi="宋体" w:eastAsia="宋体" w:cs="宋体"/>
                <w:color w:val="auto"/>
                <w:kern w:val="0"/>
                <w:szCs w:val="21"/>
                <w:highlight w:val="none"/>
                <w:lang w:val="en-US" w:eastAsia="zh-CN"/>
              </w:rPr>
              <w:t>30日</w:t>
            </w:r>
            <w:r>
              <w:rPr>
                <w:rFonts w:hint="eastAsia" w:ascii="宋体" w:hAnsi="宋体" w:eastAsia="宋体" w:cs="宋体"/>
                <w:color w:val="auto"/>
                <w:kern w:val="0"/>
                <w:szCs w:val="21"/>
                <w:highlight w:val="none"/>
              </w:rPr>
              <w:t>内。</w:t>
            </w:r>
          </w:p>
        </w:tc>
      </w:tr>
      <w:tr w14:paraId="7394CB7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3C3402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F40002">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采购资金来源：自筹资金。</w:t>
            </w:r>
          </w:p>
        </w:tc>
      </w:tr>
      <w:tr w14:paraId="193D7C4F">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E928E7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FAB95A3">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付款方式：详见第二章</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w:t>
            </w:r>
          </w:p>
        </w:tc>
      </w:tr>
      <w:tr w14:paraId="469CA73C">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4D23B4C">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F0B1EE1">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响应文件递交</w:t>
            </w:r>
            <w:r>
              <w:rPr>
                <w:rFonts w:hint="eastAsia" w:ascii="宋体" w:hAnsi="宋体" w:eastAsia="宋体" w:cs="宋体"/>
                <w:color w:val="auto"/>
                <w:kern w:val="0"/>
                <w:szCs w:val="21"/>
                <w:highlight w:val="none"/>
              </w:rPr>
              <w:t>截止期结束后</w:t>
            </w:r>
            <w:r>
              <w:rPr>
                <w:rFonts w:hint="eastAsia" w:ascii="宋体" w:hAnsi="宋体" w:eastAsia="宋体" w:cs="宋体"/>
                <w:color w:val="auto"/>
                <w:kern w:val="0"/>
                <w:szCs w:val="21"/>
                <w:highlight w:val="none"/>
                <w:lang w:val="en-US" w:eastAsia="zh-CN"/>
              </w:rPr>
              <w:t>90</w:t>
            </w:r>
            <w:r>
              <w:rPr>
                <w:rFonts w:hint="eastAsia" w:ascii="宋体" w:hAnsi="宋体" w:eastAsia="宋体" w:cs="宋体"/>
                <w:color w:val="auto"/>
                <w:kern w:val="0"/>
                <w:szCs w:val="21"/>
                <w:highlight w:val="none"/>
              </w:rPr>
              <w:t>日。</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文件是合同的组成部分,有效期至合同完全履行止。 </w:t>
            </w:r>
          </w:p>
        </w:tc>
      </w:tr>
      <w:tr w14:paraId="7BAD5911">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DDFDC3E">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CF5E78">
            <w:pPr>
              <w:pStyle w:val="15"/>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2"/>
                <w:sz w:val="21"/>
                <w:szCs w:val="24"/>
                <w:highlight w:val="none"/>
                <w:lang w:val="en-US" w:eastAsia="zh-CN" w:bidi="ar-SA"/>
              </w:rPr>
              <w:t>磋商开始后,采购人或采购代理机构将通过信用中国网站（www.creditchina.gov.cn）、中国政府采购网网站（www.ccgp.gov.cn）查询供应商是否被列入失信被执行人、重大税收违法失信主体、政府采购严重违法失信行为记录名单，并将查询结果存档。查询之后，网站信息发生的任何变化不再作为评审依据；供应商自行提供的与网站信息不一致的其他证明材料不作为评审依据。</w:t>
            </w:r>
          </w:p>
        </w:tc>
      </w:tr>
      <w:tr w14:paraId="559C11DA">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FE1F3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AAB57BF">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en-US" w:eastAsia="zh-CN"/>
              </w:rPr>
              <w:t>商品包装和快递包装应符合《商品包装政府采购需求标准（试行）》和《快递包装政府采购需求标准（试行）》规定，并提供相关的检测报告</w:t>
            </w:r>
            <w:r>
              <w:rPr>
                <w:rFonts w:hint="eastAsia" w:ascii="宋体" w:hAnsi="宋体" w:eastAsia="宋体" w:cs="宋体"/>
                <w:color w:val="auto"/>
                <w:szCs w:val="21"/>
                <w:highlight w:val="none"/>
              </w:rPr>
              <w:t>。</w:t>
            </w:r>
          </w:p>
        </w:tc>
      </w:tr>
      <w:tr w14:paraId="73ADF773">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BE073D7">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DC2F5E6">
            <w:pPr>
              <w:spacing w:line="360" w:lineRule="auto"/>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质疑和投诉：供应商认为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bCs/>
                <w:color w:val="auto"/>
                <w:kern w:val="0"/>
                <w:szCs w:val="21"/>
                <w:highlight w:val="none"/>
                <w:lang w:eastAsia="zh-CN"/>
              </w:rPr>
              <w:t>。</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tc>
      </w:tr>
      <w:tr w14:paraId="71A0F8B1">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2C15D76">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8B02A47">
            <w:pPr>
              <w:widowControl/>
              <w:spacing w:line="360" w:lineRule="auto"/>
              <w:jc w:val="left"/>
              <w:textAlignment w:val="bottom"/>
              <w:rPr>
                <w:rFonts w:hint="eastAsia" w:ascii="宋体" w:hAnsi="宋体" w:eastAsia="宋体" w:cs="宋体"/>
                <w:color w:val="auto"/>
                <w:highlight w:val="none"/>
              </w:rPr>
            </w:pPr>
            <w:r>
              <w:rPr>
                <w:rFonts w:hint="eastAsia" w:ascii="宋体" w:hAnsi="宋体" w:eastAsia="宋体" w:cs="宋体"/>
                <w:color w:val="auto"/>
                <w:highlight w:val="none"/>
              </w:rPr>
              <w:t>解释：1、构成本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文件的各个组成文件应互为解释，互为说明；如有不明确或不一致，构成合同文件组成内容的，以合同文件约定内容为准；除</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文件中有特殊规定外，仅适用于招标投标阶段的规定，按</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公告、供应商须知、评标办法、</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文件格式的先后顺序解释；同一组成文件中就同一事项的规定或约定不一致的，以编排顺序在后者为准；当</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文件与</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文件的澄清、修改或补充通知就同一内容的表述不一致时，以最后发出的书面文件为准。合同文件约定或后者明显错误的除外。</w:t>
            </w:r>
          </w:p>
          <w:p w14:paraId="7E99CCE5">
            <w:pPr>
              <w:widowControl/>
              <w:spacing w:line="360" w:lineRule="auto"/>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highlight w:val="none"/>
              </w:rPr>
              <w:t>2、本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文件解释权归采购人。</w:t>
            </w:r>
          </w:p>
        </w:tc>
      </w:tr>
    </w:tbl>
    <w:p w14:paraId="004A8D42">
      <w:pPr>
        <w:rPr>
          <w:rFonts w:hint="eastAsia" w:ascii="宋体" w:hAnsi="宋体" w:eastAsia="宋体" w:cs="宋体"/>
          <w:color w:val="auto"/>
          <w:highlight w:val="none"/>
        </w:rPr>
      </w:pPr>
    </w:p>
    <w:p w14:paraId="4F8DA15F">
      <w:pPr>
        <w:keepNext w:val="0"/>
        <w:keepLines w:val="0"/>
        <w:pageBreakBefore w:val="0"/>
        <w:widowControl/>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color w:val="auto"/>
          <w:kern w:val="0"/>
          <w:sz w:val="24"/>
          <w:highlight w:val="none"/>
        </w:rPr>
      </w:pPr>
      <w:r>
        <w:rPr>
          <w:rFonts w:hint="eastAsia" w:ascii="宋体" w:hAnsi="宋体" w:eastAsia="宋体" w:cs="宋体"/>
          <w:b/>
          <w:bCs/>
          <w:color w:val="auto"/>
          <w:kern w:val="0"/>
          <w:sz w:val="28"/>
          <w:szCs w:val="28"/>
          <w:highlight w:val="none"/>
        </w:rPr>
        <w:t>一 、说 明</w:t>
      </w:r>
    </w:p>
    <w:p w14:paraId="7DC9C2C2">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1.适用范围</w:t>
      </w:r>
    </w:p>
    <w:p w14:paraId="435A7478">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文件仅适用于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公告中所叙述项目的</w:t>
      </w:r>
      <w:r>
        <w:rPr>
          <w:rFonts w:hint="eastAsia" w:ascii="宋体" w:hAnsi="宋体" w:eastAsia="宋体" w:cs="宋体"/>
          <w:color w:val="auto"/>
          <w:kern w:val="0"/>
          <w:szCs w:val="21"/>
          <w:highlight w:val="none"/>
          <w:lang w:eastAsia="zh-CN"/>
        </w:rPr>
        <w:t>货物</w:t>
      </w:r>
      <w:r>
        <w:rPr>
          <w:rFonts w:hint="eastAsia" w:ascii="宋体" w:hAnsi="宋体" w:eastAsia="宋体" w:cs="宋体"/>
          <w:color w:val="auto"/>
          <w:kern w:val="0"/>
          <w:szCs w:val="21"/>
          <w:highlight w:val="none"/>
        </w:rPr>
        <w:t>采购。</w:t>
      </w:r>
    </w:p>
    <w:p w14:paraId="77A81F5B">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2.定义</w:t>
      </w:r>
    </w:p>
    <w:p w14:paraId="4202E3D3">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 “采购人”系指各级国家机关、事业单位、团体组织。</w:t>
      </w:r>
    </w:p>
    <w:p w14:paraId="4F588BAB">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”系指</w:t>
      </w:r>
      <w:r>
        <w:rPr>
          <w:rFonts w:hint="eastAsia" w:ascii="宋体" w:hAnsi="宋体" w:eastAsia="宋体" w:cs="宋体"/>
          <w:color w:val="auto"/>
          <w:kern w:val="0"/>
          <w:szCs w:val="21"/>
          <w:highlight w:val="none"/>
          <w:lang w:val="en-US" w:eastAsia="zh-CN"/>
        </w:rPr>
        <w:t>领取</w:t>
      </w:r>
      <w:r>
        <w:rPr>
          <w:rFonts w:hint="eastAsia" w:ascii="宋体" w:hAnsi="宋体" w:eastAsia="宋体" w:cs="宋体"/>
          <w:color w:val="auto"/>
          <w:kern w:val="0"/>
          <w:szCs w:val="21"/>
          <w:highlight w:val="none"/>
        </w:rPr>
        <w:t>了本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文件，且已经提交本次</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w:t>
      </w:r>
    </w:p>
    <w:p w14:paraId="097576B3">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代表”系指代表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参加本次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的法定代表人或其委托代理人。</w:t>
      </w:r>
    </w:p>
    <w:p w14:paraId="6164D786">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2.4 “货物”系指供应商按采购文件规定向采购人提供的一切设备、机械、仪器仪表、备品备件、工具、手册及其它有关技术资料和材料。</w:t>
      </w:r>
    </w:p>
    <w:p w14:paraId="2B43457C">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3.采购预算：</w:t>
      </w:r>
      <w:r>
        <w:rPr>
          <w:rFonts w:hint="eastAsia" w:ascii="宋体" w:hAnsi="宋体" w:cs="宋体"/>
          <w:b/>
          <w:bCs/>
          <w:color w:val="auto"/>
          <w:kern w:val="0"/>
          <w:szCs w:val="21"/>
          <w:highlight w:val="none"/>
          <w:lang w:val="en-US" w:eastAsia="zh-CN"/>
        </w:rPr>
        <w:t>43</w:t>
      </w:r>
      <w:r>
        <w:rPr>
          <w:rFonts w:hint="eastAsia" w:ascii="宋体" w:hAnsi="宋体" w:eastAsia="宋体" w:cs="宋体"/>
          <w:b/>
          <w:bCs/>
          <w:color w:val="auto"/>
          <w:kern w:val="0"/>
          <w:szCs w:val="21"/>
          <w:highlight w:val="none"/>
          <w:lang w:val="en-US" w:eastAsia="zh-CN"/>
        </w:rPr>
        <w:t>0000.00元</w:t>
      </w:r>
      <w:r>
        <w:rPr>
          <w:rFonts w:hint="eastAsia" w:ascii="宋体" w:hAnsi="宋体" w:eastAsia="宋体" w:cs="宋体"/>
          <w:b/>
          <w:bCs/>
          <w:color w:val="auto"/>
          <w:kern w:val="0"/>
          <w:szCs w:val="21"/>
          <w:highlight w:val="none"/>
          <w:lang w:eastAsia="zh-CN"/>
        </w:rPr>
        <w:t>；最高投标限价</w:t>
      </w:r>
      <w:r>
        <w:rPr>
          <w:rFonts w:hint="eastAsia" w:ascii="宋体" w:hAnsi="宋体" w:eastAsia="宋体" w:cs="宋体"/>
          <w:b/>
          <w:bCs/>
          <w:color w:val="auto"/>
          <w:kern w:val="0"/>
          <w:szCs w:val="21"/>
          <w:highlight w:val="none"/>
          <w:lang w:val="en-US" w:eastAsia="zh-CN"/>
        </w:rPr>
        <w:t>:</w:t>
      </w:r>
      <w:r>
        <w:rPr>
          <w:rFonts w:hint="eastAsia" w:ascii="宋体" w:hAnsi="宋体" w:cs="宋体"/>
          <w:b/>
          <w:bCs/>
          <w:color w:val="auto"/>
          <w:kern w:val="0"/>
          <w:szCs w:val="21"/>
          <w:highlight w:val="none"/>
          <w:lang w:val="en-US" w:eastAsia="zh-CN"/>
        </w:rPr>
        <w:t>43</w:t>
      </w:r>
      <w:r>
        <w:rPr>
          <w:rFonts w:hint="eastAsia" w:ascii="宋体" w:hAnsi="宋体" w:eastAsia="宋体" w:cs="宋体"/>
          <w:b/>
          <w:bCs/>
          <w:color w:val="auto"/>
          <w:kern w:val="0"/>
          <w:szCs w:val="21"/>
          <w:highlight w:val="none"/>
          <w:lang w:val="en-US" w:eastAsia="zh-CN"/>
        </w:rPr>
        <w:t>0000.00元</w:t>
      </w:r>
      <w:r>
        <w:rPr>
          <w:rFonts w:hint="eastAsia" w:ascii="宋体" w:hAnsi="宋体" w:eastAsia="宋体" w:cs="宋体"/>
          <w:b/>
          <w:bCs/>
          <w:color w:val="auto"/>
          <w:kern w:val="0"/>
          <w:szCs w:val="21"/>
          <w:highlight w:val="none"/>
          <w:lang w:eastAsia="zh-CN"/>
        </w:rPr>
        <w:t>；</w:t>
      </w:r>
    </w:p>
    <w:p w14:paraId="00FE0F48">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b/>
          <w:bCs/>
          <w:color w:val="auto"/>
          <w:kern w:val="0"/>
          <w:szCs w:val="21"/>
          <w:highlight w:val="none"/>
        </w:rPr>
        <w:t>4.</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应提交的证明文件</w:t>
      </w:r>
    </w:p>
    <w:p w14:paraId="4A761A7F">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4.1 供应商应为注册在中华人民共和国境内的，且具有独立承担民事责任能力，提供营业执照或其他证明材料。</w:t>
      </w:r>
    </w:p>
    <w:p w14:paraId="18826F98">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4.2 </w:t>
      </w:r>
      <w:r>
        <w:rPr>
          <w:rFonts w:hint="eastAsia" w:ascii="宋体" w:hAnsi="宋体" w:eastAsia="宋体" w:cs="宋体"/>
          <w:color w:val="000000"/>
          <w:kern w:val="2"/>
          <w:sz w:val="21"/>
          <w:szCs w:val="24"/>
          <w:lang w:val="en-US" w:eastAsia="zh-CN" w:bidi="ar-SA"/>
        </w:rPr>
        <w:t>供应商为制造商，所投产品为第一类医疗器械须提供有效的《医疗器械生产备案凭证》，所投产品为第二、三类医疗器械须提供有效的《医疗器械生产许可证》；供应商为经销商或代理商的须提供《医疗器械经营许可证》或《医疗器械经营备案凭证》，所投产品为第二类、第三类医疗器械，则须提供有效的《医疗器械注册证》。（如投标产品不属于医疗器械管理范围的可不提供）</w:t>
      </w:r>
    </w:p>
    <w:p w14:paraId="0E5E8E4A">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highlight w:val="none"/>
          <w:lang w:val="en-US" w:eastAsia="zh-CN"/>
        </w:rPr>
        <w:t>4.3 供应商应提供2023年度经审计的财务报告或者其基本开户银行出具的资信证明；采购活动近六个月任意一个月的依法缴纳税收的凭据和缴纳社会保险的凭据；依法免税或不需要缴纳社会保障资金的供应商，应提供相应文件证明其依法免税或不需要缴纳社会保障资金。（新成立企业从成立之日起计算）</w:t>
      </w:r>
      <w:r>
        <w:rPr>
          <w:rFonts w:hint="eastAsia" w:ascii="宋体" w:hAnsi="宋体" w:eastAsia="宋体" w:cs="宋体"/>
          <w:color w:val="auto"/>
          <w:kern w:val="2"/>
          <w:sz w:val="21"/>
          <w:szCs w:val="24"/>
          <w:highlight w:val="none"/>
          <w:lang w:val="en-US" w:eastAsia="zh-CN" w:bidi="ar-SA"/>
        </w:rPr>
        <w:t>；</w:t>
      </w:r>
    </w:p>
    <w:p w14:paraId="20572772">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4.4 具有履行合同所必需的设备和专业技术能力（提供书面声明函）；</w:t>
      </w:r>
    </w:p>
    <w:p w14:paraId="4E8A6D0D">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4.5 参加本采购活动前三年内，在经营活动中没有重大违法记录（提供书面声明函）；</w:t>
      </w:r>
    </w:p>
    <w:p w14:paraId="24B4784E">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4.6 根据《关于在政府采购活动中查询及使用信用记录有关问题的通知》（财库【2016】125号）的规定，对列入失信被执行人、重大税收违法失信主体、政府采购严重违法失信行为记录名单的供应商，拒绝参与本项目政府采购活动；（查询渠道：“信用中国”网站、中国政府采购网，供应商提供的仅做为信用参考，以采购人或采购代理机构查询结果为准）；</w:t>
      </w:r>
    </w:p>
    <w:p w14:paraId="154A9541">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highlight w:val="none"/>
          <w:lang w:val="en-US" w:eastAsia="zh-CN"/>
        </w:rPr>
        <w:t>4.7 单位负责人为同一人或者存在直接控股、管理关系的不同供应商，不得参加同一合同项下的投标（提供书面声明函）。一经发现，将导致投标同时被拒绝</w:t>
      </w:r>
      <w:r>
        <w:rPr>
          <w:rFonts w:hint="eastAsia" w:ascii="宋体" w:hAnsi="宋体" w:eastAsia="宋体" w:cs="宋体"/>
          <w:color w:val="auto"/>
          <w:kern w:val="2"/>
          <w:sz w:val="21"/>
          <w:szCs w:val="24"/>
          <w:highlight w:val="none"/>
          <w:lang w:val="en-US" w:eastAsia="zh-CN" w:bidi="ar-SA"/>
        </w:rPr>
        <w:t>。</w:t>
      </w:r>
    </w:p>
    <w:p w14:paraId="24C9545E">
      <w:pPr>
        <w:keepNext w:val="0"/>
        <w:keepLines w:val="0"/>
        <w:pageBreakBefore w:val="0"/>
        <w:widowControl/>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5.投标费用</w:t>
      </w:r>
    </w:p>
    <w:p w14:paraId="46861BDF">
      <w:pPr>
        <w:keepNext w:val="0"/>
        <w:keepLines w:val="0"/>
        <w:pageBreakBefore w:val="0"/>
        <w:widowControl/>
        <w:kinsoku/>
        <w:wordWrap/>
        <w:overflowPunct/>
        <w:topLinePunct w:val="0"/>
        <w:bidi w:val="0"/>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不论投标结果如何，</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均应自行承担所有与投标有关的全部费用。</w:t>
      </w:r>
    </w:p>
    <w:p w14:paraId="236EBBF2">
      <w:pPr>
        <w:keepNext w:val="0"/>
        <w:keepLines w:val="0"/>
        <w:pageBreakBefore w:val="0"/>
        <w:widowControl/>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6.联合体投标：本项目不接受联合体投标。</w:t>
      </w:r>
    </w:p>
    <w:p w14:paraId="6AABC436">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7.关联企业投标</w:t>
      </w:r>
    </w:p>
    <w:p w14:paraId="4732FE9C">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7.1 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14:paraId="7C91C9E1">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r>
        <w:rPr>
          <w:rFonts w:hint="eastAsia" w:ascii="宋体" w:hAnsi="宋体" w:eastAsia="宋体" w:cs="宋体"/>
          <w:color w:val="auto"/>
          <w:kern w:val="0"/>
          <w:szCs w:val="21"/>
          <w:highlight w:val="none"/>
          <w:lang w:eastAsia="zh-CN"/>
        </w:rPr>
        <w:t>。</w:t>
      </w:r>
    </w:p>
    <w:p w14:paraId="39BDC3BC">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7.3 为采购项目提供整体设计、规范编制或者项目管理、监理、检测等服务的供应商，不得再参加该采购项目的投标活动。</w:t>
      </w:r>
    </w:p>
    <w:p w14:paraId="5F92A553">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8.转包与分包</w:t>
      </w:r>
    </w:p>
    <w:p w14:paraId="4B9EEE6A">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8.1本项目不允许采取转包方式履行合同。</w:t>
      </w:r>
    </w:p>
    <w:p w14:paraId="69C0C2E3">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8.2本项目不允许采取分包方式履行合同。</w:t>
      </w:r>
    </w:p>
    <w:p w14:paraId="49F7664F">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9.特别说明：</w:t>
      </w:r>
    </w:p>
    <w:p w14:paraId="5279C41E">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9.1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投标所使用的资格、信誉、荣誉、业绩与企业认证必须为本法人所拥有。  </w:t>
      </w:r>
    </w:p>
    <w:p w14:paraId="3FFD5AF9">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代表只能接受一个</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的委托参加投标。</w:t>
      </w:r>
    </w:p>
    <w:p w14:paraId="500AF1D9">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《政府采购法》第二十二条第五款“参加政府采购活动前三年内，在经营活动中没有重大违法记录”，“重大违法记录”包括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或者其法定代表人、董事、监事、高级管理人员因经营活动中的违法行为受到行政处罚，但警告和罚款额在人民币3万元以下的行政处罚除外；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或其法定代表人、董事、监事、高级管理人员因经营活动中的违法行为受到刑事处罚。</w:t>
      </w:r>
    </w:p>
    <w:p w14:paraId="4B293B5B">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9.4</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在投标活动中提供虚假材料或从事其他违法活动的,其投标无效，由相关部门查处。</w:t>
      </w:r>
    </w:p>
    <w:p w14:paraId="4475F426">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10.质疑和投诉</w:t>
      </w:r>
    </w:p>
    <w:p w14:paraId="67F90B24">
      <w:pPr>
        <w:keepNext w:val="0"/>
        <w:keepLines w:val="0"/>
        <w:pageBreakBefore w:val="0"/>
        <w:widowControl/>
        <w:kinsoku/>
        <w:wordWrap/>
        <w:overflowPunct/>
        <w:topLinePunct w:val="0"/>
        <w:bidi w:val="0"/>
        <w:snapToGrid w:val="0"/>
        <w:spacing w:line="360" w:lineRule="auto"/>
        <w:ind w:firstLine="411" w:firstLineChars="19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10.1</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过程和中标结果使自己的合法权益受到损害的，应当在知道或者应知其权益受到损害之日起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p w14:paraId="3703C477">
      <w:pPr>
        <w:keepNext w:val="0"/>
        <w:keepLines w:val="0"/>
        <w:pageBreakBefore w:val="0"/>
        <w:widowControl/>
        <w:shd w:val="clear" w:color="auto" w:fill="FFFFFF"/>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质疑、投诉应当采用书面形式，质疑书、投诉书均应明确阐述</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过程和中标结果中使自己合法权益受到损害的实质性内容，提供相关事实、依据和证据及其来源或线索，便于有关单位调查、答复和处理。</w:t>
      </w:r>
    </w:p>
    <w:p w14:paraId="0D0A6C63">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11.</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的风险</w:t>
      </w:r>
    </w:p>
    <w:p w14:paraId="62D38B51">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文件要求提供全部资料，或者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文件在各方面都作出实质性响应是</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的风险，并可能导致其投标被拒绝。</w:t>
      </w:r>
    </w:p>
    <w:p w14:paraId="4E127A4C">
      <w:pPr>
        <w:keepNext w:val="0"/>
        <w:keepLines w:val="0"/>
        <w:pageBreakBefore w:val="0"/>
        <w:widowControl/>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二、</w:t>
      </w:r>
      <w:r>
        <w:rPr>
          <w:rFonts w:hint="eastAsia" w:ascii="宋体" w:hAnsi="宋体" w:eastAsia="宋体" w:cs="宋体"/>
          <w:b/>
          <w:bCs/>
          <w:color w:val="auto"/>
          <w:kern w:val="0"/>
          <w:sz w:val="28"/>
          <w:szCs w:val="28"/>
          <w:highlight w:val="none"/>
          <w:lang w:val="en-US" w:eastAsia="zh-CN"/>
        </w:rPr>
        <w:t>采购</w:t>
      </w:r>
      <w:r>
        <w:rPr>
          <w:rFonts w:hint="eastAsia" w:ascii="宋体" w:hAnsi="宋体" w:eastAsia="宋体" w:cs="宋体"/>
          <w:b/>
          <w:bCs/>
          <w:color w:val="auto"/>
          <w:kern w:val="0"/>
          <w:sz w:val="28"/>
          <w:szCs w:val="28"/>
          <w:highlight w:val="none"/>
        </w:rPr>
        <w:t>文件</w:t>
      </w:r>
    </w:p>
    <w:p w14:paraId="4347A510">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12.</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文件的构成。本</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文件由以下部分组成：</w:t>
      </w:r>
    </w:p>
    <w:p w14:paraId="660425B1">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12.1 </w:t>
      </w:r>
      <w:r>
        <w:rPr>
          <w:rFonts w:hint="eastAsia" w:ascii="宋体" w:hAnsi="宋体" w:eastAsia="宋体" w:cs="宋体"/>
          <w:color w:val="auto"/>
          <w:kern w:val="0"/>
          <w:szCs w:val="21"/>
          <w:highlight w:val="none"/>
          <w:lang w:val="en-US" w:eastAsia="zh-CN"/>
        </w:rPr>
        <w:t>竞争性磋商</w:t>
      </w:r>
      <w:r>
        <w:rPr>
          <w:rFonts w:hint="eastAsia" w:ascii="宋体" w:hAnsi="宋体" w:eastAsia="宋体" w:cs="宋体"/>
          <w:color w:val="auto"/>
          <w:kern w:val="0"/>
          <w:szCs w:val="21"/>
          <w:highlight w:val="none"/>
        </w:rPr>
        <w:t>公告</w:t>
      </w:r>
    </w:p>
    <w:p w14:paraId="4497941A">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需求</w:t>
      </w:r>
    </w:p>
    <w:p w14:paraId="544D4B90">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w:t>
      </w:r>
    </w:p>
    <w:p w14:paraId="4106BF89">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12.4 评标办法</w:t>
      </w:r>
    </w:p>
    <w:p w14:paraId="56F023D3">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12.5 合同主要条款</w:t>
      </w:r>
    </w:p>
    <w:p w14:paraId="3232DE33">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12.6 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w:t>
      </w:r>
    </w:p>
    <w:p w14:paraId="2E308332">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13.</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文件的澄清与修改</w:t>
      </w:r>
    </w:p>
    <w:p w14:paraId="09338CC5">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13.1 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对已发出的</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文件进行必要澄清、修改或补充的，应当在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文件截止时间</w:t>
      </w:r>
      <w:r>
        <w:rPr>
          <w:rFonts w:hint="eastAsia" w:ascii="宋体" w:hAnsi="宋体" w:eastAsia="宋体" w:cs="宋体"/>
          <w:color w:val="auto"/>
          <w:kern w:val="0"/>
          <w:szCs w:val="21"/>
          <w:highlight w:val="none"/>
          <w:lang w:val="en-US" w:eastAsia="zh-CN"/>
        </w:rPr>
        <w:t>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前，在</w:t>
      </w:r>
      <w:r>
        <w:rPr>
          <w:rFonts w:hint="eastAsia" w:ascii="宋体" w:hAnsi="宋体" w:eastAsia="宋体" w:cs="宋体"/>
          <w:color w:val="auto"/>
          <w:kern w:val="0"/>
          <w:szCs w:val="21"/>
          <w:highlight w:val="none"/>
          <w:lang w:val="en-US" w:eastAsia="zh-CN"/>
        </w:rPr>
        <w:t>原采购公告发布</w:t>
      </w:r>
      <w:r>
        <w:rPr>
          <w:rFonts w:hint="eastAsia" w:ascii="宋体" w:hAnsi="宋体" w:eastAsia="宋体" w:cs="宋体"/>
          <w:color w:val="auto"/>
          <w:kern w:val="0"/>
          <w:szCs w:val="21"/>
          <w:highlight w:val="none"/>
        </w:rPr>
        <w:t>相关媒体上发布更正公告或变更公告。</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文件公示期间对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文件进行的澄清、修改或补充不受上述限制。</w:t>
      </w:r>
    </w:p>
    <w:p w14:paraId="0B46D5AC">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文件澄清、修改或补充的内容为</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文件的组成部分。</w:t>
      </w:r>
    </w:p>
    <w:p w14:paraId="6E0FAEED">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13.3 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文件的澄清、修改或补充都应以法定形式发布。采购人未对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文件进行的澄清、修改或补充无效，评标时不予认可。</w:t>
      </w:r>
    </w:p>
    <w:p w14:paraId="44B2FFC3">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13.4 </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可以视</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具体情况延长</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截止时间和</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时间，但至少应当在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文件的截止时间3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前，将变更时间</w:t>
      </w:r>
      <w:r>
        <w:rPr>
          <w:rFonts w:hint="eastAsia" w:ascii="宋体" w:hAnsi="宋体" w:eastAsia="宋体" w:cs="宋体"/>
          <w:color w:val="auto"/>
          <w:kern w:val="0"/>
          <w:szCs w:val="21"/>
          <w:highlight w:val="none"/>
          <w:lang w:val="en-US" w:eastAsia="zh-CN"/>
        </w:rPr>
        <w:t>通知所有潜在供应商</w:t>
      </w:r>
      <w:r>
        <w:rPr>
          <w:rFonts w:hint="eastAsia" w:ascii="宋体" w:hAnsi="宋体" w:eastAsia="宋体" w:cs="宋体"/>
          <w:color w:val="auto"/>
          <w:kern w:val="0"/>
          <w:szCs w:val="21"/>
          <w:highlight w:val="none"/>
        </w:rPr>
        <w:t>。</w:t>
      </w:r>
    </w:p>
    <w:p w14:paraId="0F8C3915">
      <w:pPr>
        <w:keepNext w:val="0"/>
        <w:keepLines w:val="0"/>
        <w:pageBreakBefore w:val="0"/>
        <w:widowControl/>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三、</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文件的编制</w:t>
      </w:r>
    </w:p>
    <w:p w14:paraId="4004540C">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14.要求</w:t>
      </w:r>
    </w:p>
    <w:p w14:paraId="683EEFD6">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应仔细阅读</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文件的所有内容，按照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文件提供的格式编写</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文件，不得缺少或留空任何</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文件要求填写的表格或提交的资料。</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文件提供格式的按格式填列，未提供格式的可自行拟定。</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文件的要求作出实质性响应（包括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资格要求、技术要求、商务要求和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文件格式中对</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对所提供的全部资料的合法性、真实性负责。</w:t>
      </w:r>
    </w:p>
    <w:p w14:paraId="0F677CDE">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应完整签署</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文件格式附件中《投标书》和《抵制商业贿赂承诺》，不得增减或修改内容。否则视为对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5C382362">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15.</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文件的语言和计量单位</w:t>
      </w:r>
    </w:p>
    <w:p w14:paraId="7C3B813B">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15.1</w:t>
      </w:r>
      <w:r>
        <w:rPr>
          <w:rFonts w:hint="eastAsia" w:ascii="宋体" w:hAnsi="宋体" w:eastAsia="宋体" w:cs="宋体"/>
          <w:color w:val="auto"/>
          <w:kern w:val="0"/>
          <w:szCs w:val="21"/>
          <w:highlight w:val="none"/>
          <w:lang w:val="en-US" w:eastAsia="zh-CN"/>
        </w:rPr>
        <w:t xml:space="preserve"> 响应</w:t>
      </w:r>
      <w:r>
        <w:rPr>
          <w:rFonts w:hint="eastAsia" w:ascii="宋体" w:hAnsi="宋体" w:eastAsia="宋体" w:cs="宋体"/>
          <w:color w:val="auto"/>
          <w:kern w:val="0"/>
          <w:szCs w:val="21"/>
          <w:highlight w:val="none"/>
        </w:rPr>
        <w:t>文件以及</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与采购人就有关</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事宜的所有来往函电均应使用简体中文书写。</w:t>
      </w:r>
    </w:p>
    <w:p w14:paraId="7621E530">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关于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文件已有明确规定的，使用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文件规定的计量单位；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文件没有规定的，应采用中华人民共和国法定计量单位。否则视为对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54451658">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原版为外文的证书类文件，以及由外国人做出的本人签名、外国公司的名称或外国印章等可以是外文，但应当提供中文翻译文件并加盖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公章。必要时</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提供附有公证书的中文翻译文件或者与原版文件签章相一致的中文翻译文件。</w:t>
      </w:r>
    </w:p>
    <w:p w14:paraId="6160AC50">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16.</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文件的组成</w:t>
      </w:r>
      <w:r>
        <w:rPr>
          <w:rFonts w:hint="eastAsia" w:ascii="宋体" w:hAnsi="宋体" w:eastAsia="宋体" w:cs="宋体"/>
          <w:color w:val="auto"/>
          <w:kern w:val="0"/>
          <w:szCs w:val="21"/>
          <w:highlight w:val="none"/>
        </w:rPr>
        <w:t>。</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文件应包括下列部分：</w:t>
      </w:r>
    </w:p>
    <w:p w14:paraId="6F18F221">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16.1、</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书及开标一览表</w:t>
      </w:r>
    </w:p>
    <w:p w14:paraId="21277FF8">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16.2、</w:t>
      </w:r>
      <w:r>
        <w:rPr>
          <w:rFonts w:hint="eastAsia" w:ascii="宋体" w:hAnsi="宋体" w:eastAsia="宋体" w:cs="宋体"/>
          <w:color w:val="auto"/>
          <w:kern w:val="0"/>
          <w:szCs w:val="21"/>
          <w:highlight w:val="none"/>
        </w:rPr>
        <w:t>报价明细表</w:t>
      </w:r>
    </w:p>
    <w:p w14:paraId="4DB8515E">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、技术响应表</w:t>
      </w:r>
    </w:p>
    <w:p w14:paraId="60EF7CEA">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、商务响应表</w:t>
      </w:r>
    </w:p>
    <w:p w14:paraId="0B275C27">
      <w:pPr>
        <w:keepNext w:val="0"/>
        <w:keepLines w:val="0"/>
        <w:pageBreakBefore w:val="0"/>
        <w:widowControl/>
        <w:kinsoku/>
        <w:wordWrap/>
        <w:overflowPunct/>
        <w:topLinePunct w:val="0"/>
        <w:bidi w:val="0"/>
        <w:snapToGrid w:val="0"/>
        <w:spacing w:line="360" w:lineRule="auto"/>
        <w:ind w:left="208" w:leftChars="99" w:firstLine="210" w:firstLineChars="1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、法定代表人身份证明</w:t>
      </w:r>
    </w:p>
    <w:p w14:paraId="6A3B0E9C">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、法定代表人授权书</w:t>
      </w:r>
    </w:p>
    <w:p w14:paraId="22F34815">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、证明文件</w:t>
      </w:r>
    </w:p>
    <w:p w14:paraId="1B8AB2DF">
      <w:pPr>
        <w:keepNext w:val="0"/>
        <w:keepLines w:val="0"/>
        <w:pageBreakBefore w:val="0"/>
        <w:widowControl/>
        <w:kinsoku/>
        <w:wordWrap/>
        <w:overflowPunct/>
        <w:topLinePunct w:val="0"/>
        <w:bidi w:val="0"/>
        <w:snapToGrid w:val="0"/>
        <w:spacing w:line="360" w:lineRule="auto"/>
        <w:ind w:firstLine="420"/>
        <w:jc w:val="both"/>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供 应 商 承 诺 书</w:t>
      </w:r>
    </w:p>
    <w:p w14:paraId="0ACA2955">
      <w:pPr>
        <w:pStyle w:val="16"/>
        <w:keepNext w:val="0"/>
        <w:keepLines w:val="0"/>
        <w:pageBreakBefore w:val="0"/>
        <w:kinsoku/>
        <w:wordWrap/>
        <w:overflowPunct/>
        <w:topLinePunct w:val="0"/>
        <w:bidi w:val="0"/>
        <w:snapToGrid w:val="0"/>
        <w:spacing w:beforeAutospacing="0" w:afterAutospacing="0"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供应商信用承诺函</w:t>
      </w:r>
    </w:p>
    <w:p w14:paraId="4604E752">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17.</w:t>
      </w:r>
      <w:r>
        <w:rPr>
          <w:rFonts w:hint="eastAsia" w:ascii="宋体" w:hAnsi="宋体" w:eastAsia="宋体" w:cs="宋体"/>
          <w:b/>
          <w:color w:val="auto"/>
          <w:kern w:val="0"/>
          <w:szCs w:val="21"/>
          <w:highlight w:val="none"/>
          <w:lang w:val="en-US" w:eastAsia="zh-CN"/>
        </w:rPr>
        <w:t>响应文件</w:t>
      </w:r>
      <w:r>
        <w:rPr>
          <w:rFonts w:hint="eastAsia" w:ascii="宋体" w:hAnsi="宋体" w:eastAsia="宋体" w:cs="宋体"/>
          <w:b/>
          <w:color w:val="auto"/>
          <w:kern w:val="0"/>
          <w:szCs w:val="21"/>
          <w:highlight w:val="none"/>
        </w:rPr>
        <w:t>有效期</w:t>
      </w:r>
    </w:p>
    <w:p w14:paraId="20F6F450">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17.1 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公告所规定的投标截止期之后开始生效，在</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须知前附表</w:t>
      </w:r>
      <w:r>
        <w:rPr>
          <w:rFonts w:hint="eastAsia" w:ascii="宋体" w:hAnsi="宋体" w:eastAsia="宋体" w:cs="宋体"/>
          <w:color w:val="auto"/>
          <w:kern w:val="0"/>
          <w:szCs w:val="21"/>
          <w:highlight w:val="none"/>
        </w:rPr>
        <w:t>第1</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项所规定的期限内保持有效。有效期不足将导致其</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文件被拒绝。</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有效期至合同完全履行止。</w:t>
      </w:r>
    </w:p>
    <w:p w14:paraId="4E7360E8">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17.2特殊情况下</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可于投标有效期满之前书面要求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同意延长有效期，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规定的期限内以书面形式予以答复。</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可以拒绝上述要求。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答复不明确或者逾期未答复的，均视为拒绝上述要求。对于接受该要求的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，既不要求也不允许其修改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00A3228F">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18.投标报价</w:t>
      </w:r>
    </w:p>
    <w:p w14:paraId="09D2E5CC">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18.1 所有</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报价均以人民币元为计算单位。</w:t>
      </w:r>
    </w:p>
    <w:p w14:paraId="748543C9">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要按开标一览表的内容填写。</w:t>
      </w:r>
    </w:p>
    <w:p w14:paraId="660F648B">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18.3 </w:t>
      </w:r>
      <w:r>
        <w:rPr>
          <w:rFonts w:hint="eastAsia" w:ascii="宋体" w:hAnsi="宋体" w:eastAsia="宋体" w:cs="宋体"/>
          <w:color w:val="auto"/>
          <w:spacing w:val="10"/>
          <w:kern w:val="0"/>
          <w:szCs w:val="21"/>
          <w:highlight w:val="none"/>
          <w:lang w:eastAsia="zh-CN"/>
        </w:rPr>
        <w:t>供应商</w:t>
      </w:r>
      <w:r>
        <w:rPr>
          <w:rFonts w:hint="eastAsia" w:ascii="宋体" w:hAnsi="宋体" w:eastAsia="宋体" w:cs="宋体"/>
          <w:color w:val="auto"/>
          <w:spacing w:val="10"/>
          <w:kern w:val="0"/>
          <w:szCs w:val="21"/>
          <w:highlight w:val="none"/>
        </w:rPr>
        <w:t>投报多标包的，应对每标包分别报价并分别填报开标一览表。</w:t>
      </w:r>
    </w:p>
    <w:p w14:paraId="202C8216">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18.4 开标一览表中标明的价格在政府采购合同执行过程中是固定不变的，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不得以任何理由予以变更。以可调整的价格提交的投标将被作为无效投标处理。</w:t>
      </w:r>
    </w:p>
    <w:p w14:paraId="5346BF38">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18.5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不接受可选择的投标报价。</w:t>
      </w:r>
    </w:p>
    <w:p w14:paraId="3698E188">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18.6 对于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在开标一览表和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文件中列出的赠送条款，在评审时不得作为价格评分因素或者调整评标价格的依据。</w:t>
      </w:r>
    </w:p>
    <w:p w14:paraId="5266E265">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eastAsia="宋体" w:cs="宋体"/>
          <w:b/>
          <w:color w:val="auto"/>
          <w:kern w:val="0"/>
          <w:szCs w:val="21"/>
          <w:highlight w:val="none"/>
        </w:rPr>
        <w:t>19.投标保证金</w:t>
      </w:r>
      <w:r>
        <w:rPr>
          <w:rFonts w:hint="eastAsia" w:ascii="宋体" w:hAnsi="宋体" w:eastAsia="宋体" w:cs="宋体"/>
          <w:b/>
          <w:color w:val="auto"/>
          <w:kern w:val="0"/>
          <w:szCs w:val="21"/>
          <w:highlight w:val="none"/>
          <w:lang w:eastAsia="zh-CN"/>
        </w:rPr>
        <w:t>（</w:t>
      </w:r>
      <w:r>
        <w:rPr>
          <w:rFonts w:hint="eastAsia" w:ascii="宋体" w:hAnsi="宋体" w:eastAsia="宋体" w:cs="宋体"/>
          <w:b/>
          <w:color w:val="auto"/>
          <w:kern w:val="0"/>
          <w:szCs w:val="21"/>
          <w:highlight w:val="none"/>
          <w:lang w:val="en-US" w:eastAsia="zh-CN"/>
        </w:rPr>
        <w:t>无</w:t>
      </w:r>
      <w:r>
        <w:rPr>
          <w:rFonts w:hint="eastAsia" w:ascii="宋体" w:hAnsi="宋体" w:eastAsia="宋体" w:cs="宋体"/>
          <w:b/>
          <w:color w:val="auto"/>
          <w:kern w:val="0"/>
          <w:szCs w:val="21"/>
          <w:highlight w:val="none"/>
          <w:lang w:eastAsia="zh-CN"/>
        </w:rPr>
        <w:t>）</w:t>
      </w:r>
    </w:p>
    <w:p w14:paraId="31D701CB">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val="en-US" w:eastAsia="zh-CN"/>
        </w:rPr>
      </w:pPr>
      <w:r>
        <w:rPr>
          <w:rFonts w:hint="eastAsia" w:ascii="宋体" w:hAnsi="宋体" w:eastAsia="宋体" w:cs="宋体"/>
          <w:b/>
          <w:color w:val="auto"/>
          <w:kern w:val="0"/>
          <w:szCs w:val="21"/>
          <w:highlight w:val="none"/>
        </w:rPr>
        <w:t>20.</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color w:val="auto"/>
          <w:kern w:val="0"/>
          <w:szCs w:val="21"/>
          <w:highlight w:val="none"/>
        </w:rPr>
        <w:t>文件的签署</w:t>
      </w:r>
      <w:r>
        <w:rPr>
          <w:rFonts w:hint="eastAsia" w:ascii="宋体" w:hAnsi="宋体" w:eastAsia="宋体" w:cs="宋体"/>
          <w:b/>
          <w:color w:val="auto"/>
          <w:kern w:val="0"/>
          <w:szCs w:val="21"/>
          <w:highlight w:val="none"/>
          <w:lang w:val="en-US" w:eastAsia="zh-CN"/>
        </w:rPr>
        <w:t>及其他规定</w:t>
      </w:r>
    </w:p>
    <w:p w14:paraId="08FA7F6D">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文件应按第六章“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文件格式”进行编写，如有必要，可以增加附页，作为</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的组成部分。其中，</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报价一览表在满足</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p>
    <w:p w14:paraId="06CA5ED3">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文件应当对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文件有关</w:t>
      </w:r>
      <w:r>
        <w:rPr>
          <w:rFonts w:hint="eastAsia" w:ascii="宋体" w:hAnsi="宋体" w:eastAsia="宋体" w:cs="宋体"/>
          <w:color w:val="auto"/>
          <w:kern w:val="0"/>
          <w:szCs w:val="21"/>
          <w:highlight w:val="none"/>
          <w:lang w:val="en-US" w:eastAsia="zh-CN"/>
        </w:rPr>
        <w:t>交货期</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质量</w:t>
      </w:r>
      <w:r>
        <w:rPr>
          <w:rFonts w:hint="eastAsia" w:ascii="宋体" w:hAnsi="宋体" w:eastAsia="宋体" w:cs="宋体"/>
          <w:color w:val="auto"/>
          <w:kern w:val="0"/>
          <w:szCs w:val="21"/>
          <w:highlight w:val="none"/>
        </w:rPr>
        <w:t>要求、技术标准和要求、</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范围等实质性内容作出响应。</w:t>
      </w:r>
    </w:p>
    <w:p w14:paraId="705FCC70">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文件应用不褪色的材料书写或打印，并由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的法定代表人盖章或盖单位公章；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文件应尽量避免涂改、行间插字或删除，如果出现上述情况，改动之处应加盖单位公章或由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的法定代表人盖章确认。签字或盖章的具体要求见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373EED5D">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文件份数见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文件正本和副本的封面上应清楚地标记“正本”或“副本”的字样。</w:t>
      </w:r>
    </w:p>
    <w:p w14:paraId="34F44DB9">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文件的具体装订要求见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w:t>
      </w:r>
    </w:p>
    <w:p w14:paraId="0968E515">
      <w:pPr>
        <w:keepNext w:val="0"/>
        <w:keepLines w:val="0"/>
        <w:pageBreakBefore w:val="0"/>
        <w:widowControl/>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四、</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文件的递交</w:t>
      </w:r>
    </w:p>
    <w:p w14:paraId="3C140CBD">
      <w:pPr>
        <w:keepNext w:val="0"/>
        <w:keepLines w:val="0"/>
        <w:pageBreakBefore w:val="0"/>
        <w:widowControl/>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21.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文件的密封、标记</w:t>
      </w:r>
    </w:p>
    <w:p w14:paraId="1260FA0E">
      <w:pPr>
        <w:keepNext w:val="0"/>
        <w:keepLines w:val="0"/>
        <w:pageBreakBefore w:val="0"/>
        <w:kinsoku/>
        <w:wordWrap/>
        <w:overflowPunct/>
        <w:topLinePunct w:val="0"/>
        <w:autoSpaceDE/>
        <w:autoSpaceDN/>
        <w:bidi w:val="0"/>
        <w:adjustRightInd/>
        <w:spacing w:line="360" w:lineRule="auto"/>
        <w:ind w:firstLine="424" w:firstLineChars="202"/>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21.1</w:t>
      </w:r>
      <w:r>
        <w:rPr>
          <w:rFonts w:hint="eastAsia" w:ascii="宋体" w:hAnsi="宋体" w:eastAsia="宋体" w:cs="宋体"/>
          <w:color w:val="auto"/>
          <w:highlight w:val="none"/>
        </w:rPr>
        <w:t>响应文件应密封包装，并在封套的封口处加盖供应商单位章或由供应商的法定代表人（单位负责人）或其授权的代理人签字。</w:t>
      </w:r>
    </w:p>
    <w:p w14:paraId="05AA0E67">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 xml:space="preserve"> 未按本章第2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.1项要求密封的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highlight w:val="none"/>
          <w:lang w:eastAsia="zh-CN"/>
        </w:rPr>
        <w:t>文件，采购人不予受理。</w:t>
      </w:r>
    </w:p>
    <w:p w14:paraId="22BFAEA8">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22.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color w:val="auto"/>
          <w:kern w:val="0"/>
          <w:szCs w:val="21"/>
          <w:highlight w:val="none"/>
        </w:rPr>
        <w:t>文件的递交</w:t>
      </w:r>
    </w:p>
    <w:p w14:paraId="230162DA">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应在规定的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截止时间前</w:t>
      </w:r>
      <w:r>
        <w:rPr>
          <w:rFonts w:hint="eastAsia" w:ascii="宋体" w:hAnsi="宋体" w:eastAsia="宋体" w:cs="宋体"/>
          <w:color w:val="auto"/>
          <w:kern w:val="0"/>
          <w:szCs w:val="21"/>
          <w:highlight w:val="none"/>
          <w:lang w:eastAsia="zh-CN"/>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5D0F7FD6">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文件的地点：见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2C17CA9C">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 除</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须知前附表另有规定外，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所递交的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文件不予退还。</w:t>
      </w:r>
    </w:p>
    <w:p w14:paraId="7859BBE8">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.4 逾期送达的或者未送达指定地点的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文件，采购人不予受理。</w:t>
      </w:r>
    </w:p>
    <w:p w14:paraId="033163D3">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23.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文件的修改和撤回</w:t>
      </w:r>
    </w:p>
    <w:p w14:paraId="4BDB04A5">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23.1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在投标截止时间前，可以对所提交的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文件进行补充、修改或者撤回，并书面通知</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。补充、修改的内容和撤回通知应当按本须知要求签署、盖章、密封，并作为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文件的组成部分。</w:t>
      </w:r>
    </w:p>
    <w:p w14:paraId="6FFEBDDF">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23.2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截止期后不得修改、撤回</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在投标截止期后修改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文件的，其投标将被拒绝。</w:t>
      </w:r>
    </w:p>
    <w:p w14:paraId="0B1B798B">
      <w:pPr>
        <w:keepNext w:val="0"/>
        <w:keepLines w:val="0"/>
        <w:pageBreakBefore w:val="0"/>
        <w:widowControl/>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五</w:t>
      </w:r>
      <w:r>
        <w:rPr>
          <w:rFonts w:hint="eastAsia" w:ascii="宋体" w:hAnsi="宋体" w:eastAsia="宋体" w:cs="宋体"/>
          <w:b/>
          <w:bCs/>
          <w:color w:val="auto"/>
          <w:kern w:val="0"/>
          <w:sz w:val="28"/>
          <w:szCs w:val="28"/>
          <w:highlight w:val="none"/>
        </w:rPr>
        <w:t>、评标</w:t>
      </w:r>
    </w:p>
    <w:p w14:paraId="01D45B0B">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 组建</w:t>
      </w:r>
      <w:r>
        <w:rPr>
          <w:rFonts w:hint="eastAsia" w:ascii="宋体" w:hAnsi="宋体" w:eastAsia="宋体" w:cs="宋体"/>
          <w:b/>
          <w:bCs/>
          <w:color w:val="auto"/>
          <w:kern w:val="0"/>
          <w:szCs w:val="21"/>
          <w:highlight w:val="none"/>
          <w:lang w:eastAsia="zh-CN"/>
        </w:rPr>
        <w:t>磋商小组</w:t>
      </w:r>
    </w:p>
    <w:p w14:paraId="08C9D3FE">
      <w:pPr>
        <w:keepNext w:val="0"/>
        <w:keepLines w:val="0"/>
        <w:pageBreakBefore w:val="0"/>
        <w:kinsoku/>
        <w:wordWrap/>
        <w:overflowPunct/>
        <w:topLinePunct w:val="0"/>
        <w:bidi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由采购人代表和评审专家组成。成员由</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人以上单数组成。</w:t>
      </w:r>
      <w:r>
        <w:rPr>
          <w:rFonts w:hint="eastAsia" w:ascii="宋体" w:hAnsi="宋体" w:eastAsia="宋体" w:cs="宋体"/>
          <w:color w:val="auto"/>
          <w:szCs w:val="21"/>
          <w:highlight w:val="none"/>
        </w:rPr>
        <w:t>在开标后由</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szCs w:val="21"/>
          <w:highlight w:val="none"/>
        </w:rPr>
        <w:t>进行审查、质疑、评估和比较，并做合理的建议。</w:t>
      </w:r>
    </w:p>
    <w:p w14:paraId="2F374019">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成员要依法独立评审，并对评审意见承担个人责任。</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成员对需要共同认定的事项存在争议的，按照少数服从多数的原则</w:t>
      </w:r>
      <w:r>
        <w:rPr>
          <w:rFonts w:hint="eastAsia" w:ascii="宋体" w:hAnsi="宋体" w:eastAsia="宋体" w:cs="宋体"/>
          <w:color w:val="auto"/>
          <w:kern w:val="0"/>
          <w:szCs w:val="21"/>
          <w:highlight w:val="none"/>
        </w:rPr>
        <w:t>做</w:t>
      </w:r>
      <w:r>
        <w:rPr>
          <w:rFonts w:hint="eastAsia" w:ascii="宋体" w:hAnsi="宋体" w:eastAsia="宋体" w:cs="宋体"/>
          <w:color w:val="auto"/>
          <w:szCs w:val="21"/>
          <w:highlight w:val="none"/>
        </w:rPr>
        <w:t>出结论。持不同意见的</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成员应当在评</w:t>
      </w:r>
      <w:r>
        <w:rPr>
          <w:rFonts w:hint="eastAsia" w:ascii="宋体" w:hAnsi="宋体" w:eastAsia="宋体" w:cs="宋体"/>
          <w:color w:val="auto"/>
          <w:szCs w:val="21"/>
          <w:highlight w:val="none"/>
          <w:lang w:val="en-US" w:eastAsia="zh-CN"/>
        </w:rPr>
        <w:t>审</w:t>
      </w:r>
      <w:r>
        <w:rPr>
          <w:rFonts w:hint="eastAsia" w:ascii="宋体" w:hAnsi="宋体" w:eastAsia="宋体" w:cs="宋体"/>
          <w:color w:val="auto"/>
          <w:szCs w:val="21"/>
          <w:highlight w:val="none"/>
        </w:rPr>
        <w:t>报告上签署不同意见</w:t>
      </w:r>
      <w:r>
        <w:rPr>
          <w:rFonts w:hint="eastAsia" w:ascii="宋体" w:hAnsi="宋体" w:eastAsia="宋体" w:cs="宋体"/>
          <w:color w:val="auto"/>
          <w:kern w:val="0"/>
          <w:szCs w:val="21"/>
          <w:highlight w:val="none"/>
        </w:rPr>
        <w:t>并说明</w:t>
      </w:r>
      <w:r>
        <w:rPr>
          <w:rFonts w:hint="eastAsia" w:ascii="宋体" w:hAnsi="宋体" w:eastAsia="宋体" w:cs="宋体"/>
          <w:color w:val="auto"/>
          <w:szCs w:val="21"/>
          <w:highlight w:val="none"/>
        </w:rPr>
        <w:t>理由，否则视为同意。</w:t>
      </w:r>
    </w:p>
    <w:p w14:paraId="7D256252">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w:t>
      </w: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rPr>
        <w:t xml:space="preserve">.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bCs/>
          <w:color w:val="auto"/>
          <w:szCs w:val="21"/>
          <w:highlight w:val="none"/>
        </w:rPr>
        <w:t>文件的初审</w:t>
      </w:r>
    </w:p>
    <w:p w14:paraId="50CA12E8">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.1对所有</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的评估，都采用相同的程序和标准。评标过程将严格按照</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文件的要求和条件进行。</w:t>
      </w:r>
    </w:p>
    <w:p w14:paraId="4D21098C">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.2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进行检查，以确定</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是否完整、有无计算上的错误、文件是否已正确签署等。</w:t>
      </w:r>
    </w:p>
    <w:p w14:paraId="710CC8D3">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报价出现前后不一致的，除</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文件另有规定外，修正错误的原则如下：</w:t>
      </w:r>
    </w:p>
    <w:p w14:paraId="68570D51">
      <w:pPr>
        <w:pStyle w:val="30"/>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.3.1</w:t>
      </w:r>
      <w:r>
        <w:rPr>
          <w:rFonts w:hint="eastAsia" w:ascii="宋体" w:hAnsi="宋体" w:eastAsia="宋体" w:cs="宋体"/>
          <w:color w:val="auto"/>
          <w:sz w:val="21"/>
          <w:szCs w:val="21"/>
          <w:highlight w:val="none"/>
          <w:lang w:val="en-US" w:eastAsia="zh-CN"/>
        </w:rPr>
        <w:t>响应文件</w:t>
      </w:r>
      <w:r>
        <w:rPr>
          <w:rFonts w:hint="eastAsia" w:ascii="宋体" w:hAnsi="宋体" w:eastAsia="宋体" w:cs="宋体"/>
          <w:color w:val="auto"/>
          <w:sz w:val="21"/>
          <w:szCs w:val="21"/>
          <w:highlight w:val="none"/>
          <w:shd w:val="clear" w:color="auto" w:fill="FFFFFF"/>
        </w:rPr>
        <w:t>开标一览表（报价表）内容与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shd w:val="clear" w:color="auto" w:fill="FFFFFF"/>
        </w:rPr>
        <w:t>中相应内容不一致的，以开标一览表（报价表）为准；</w:t>
      </w:r>
    </w:p>
    <w:p w14:paraId="1ADAAFA0">
      <w:pPr>
        <w:pStyle w:val="30"/>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shd w:val="clear" w:color="auto" w:fill="FFFFFF"/>
        </w:rPr>
        <w:t>大写金额</w:t>
      </w:r>
      <w:r>
        <w:rPr>
          <w:rFonts w:hint="eastAsia" w:ascii="宋体" w:hAnsi="宋体" w:eastAsia="宋体" w:cs="宋体"/>
          <w:color w:val="auto"/>
          <w:sz w:val="21"/>
          <w:szCs w:val="21"/>
          <w:highlight w:val="none"/>
        </w:rPr>
        <w:t>与</w:t>
      </w:r>
      <w:r>
        <w:rPr>
          <w:rFonts w:hint="eastAsia" w:ascii="宋体" w:hAnsi="宋体" w:eastAsia="宋体" w:cs="宋体"/>
          <w:color w:val="auto"/>
          <w:sz w:val="21"/>
          <w:szCs w:val="21"/>
          <w:highlight w:val="none"/>
          <w:shd w:val="clear" w:color="auto" w:fill="FFFFFF"/>
        </w:rPr>
        <w:t>小写金额不一致的，以大写金额为准；</w:t>
      </w:r>
    </w:p>
    <w:p w14:paraId="6C7DF07D">
      <w:pPr>
        <w:pStyle w:val="30"/>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.3.3</w:t>
      </w:r>
      <w:r>
        <w:rPr>
          <w:rFonts w:hint="eastAsia" w:ascii="宋体" w:hAnsi="宋体" w:eastAsia="宋体" w:cs="宋体"/>
          <w:color w:val="auto"/>
          <w:sz w:val="21"/>
          <w:szCs w:val="21"/>
          <w:highlight w:val="none"/>
          <w:shd w:val="clear" w:color="auto" w:fill="FFFFFF"/>
        </w:rPr>
        <w:t>单价金额小数点或者百分比有明显错位的，以开标一览表的总价为准，并修改单价；</w:t>
      </w:r>
    </w:p>
    <w:p w14:paraId="1F9FF374">
      <w:pPr>
        <w:pStyle w:val="30"/>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.3.4</w:t>
      </w:r>
      <w:r>
        <w:rPr>
          <w:rFonts w:hint="eastAsia" w:ascii="宋体" w:hAnsi="宋体" w:eastAsia="宋体" w:cs="宋体"/>
          <w:color w:val="auto"/>
          <w:sz w:val="21"/>
          <w:szCs w:val="21"/>
          <w:highlight w:val="none"/>
          <w:shd w:val="clear" w:color="auto" w:fill="FFFFFF"/>
        </w:rPr>
        <w:t>总价金额与按单价汇总金额不一致的，以单价金额计算结果为准。</w:t>
      </w:r>
    </w:p>
    <w:p w14:paraId="7C4CB3D0">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.3.5对不同文字文本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文件的解释发生异议的，以中文文本为准。</w:t>
      </w:r>
    </w:p>
    <w:p w14:paraId="59EED929">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.3.6同时出现两种以上不一致的，按照前款规定的顺序修正。修正后的报价按照财政部87号令第五十一条第二款的规定经</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确认后产生约束力，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不确认的，其投标无效。</w:t>
      </w:r>
    </w:p>
    <w:p w14:paraId="747D0E5E">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 资格性检查和符合性检查。</w:t>
      </w:r>
    </w:p>
    <w:p w14:paraId="52F59A10">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w:t>
      </w:r>
      <w:r>
        <w:rPr>
          <w:rFonts w:hint="eastAsia" w:ascii="宋体" w:hAnsi="宋体" w:eastAsia="宋体" w:cs="宋体"/>
          <w:color w:val="auto"/>
          <w:szCs w:val="21"/>
          <w:highlight w:val="none"/>
        </w:rPr>
        <w:t>资格性检查。依据法规政策和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文件的规定，在对</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详细评估之前，采购人将依据</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提交的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公告第二项和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文件第三章4.</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应提交的证明文件所述的资格标准对</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进行资格审查,以确定其是否具备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资格。如果</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文件所规定的资格标准或提供资格证明文件不全,其投标将被作为无效</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。在审查过程中，采购人有权要求</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文件的规定提供相关资格证明材料的原件以供审查。</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应在规定的时限内提供。</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拒不提供的，或者不能在规定时限内提供的，视为其不具备该资格条件。</w:t>
      </w:r>
    </w:p>
    <w:p w14:paraId="35C9684F">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.4.2 资格审查后合格的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不足3家的，不得评标。</w:t>
      </w:r>
    </w:p>
    <w:p w14:paraId="1249BC3D">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 符合性检查。依据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的有效性、完整性和对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文件的响应程度进行审查，以确定是否符合对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文件的实质性要求作出响应。对没有实质性响应的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文件将不进行评估，其投标被作为无效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。凡有下列情况之一者，</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文件也将被视为未实质性响应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w:t>
      </w:r>
    </w:p>
    <w:p w14:paraId="10779D1D">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未按规定签字、盖章的。</w:t>
      </w:r>
    </w:p>
    <w:p w14:paraId="5FFCB899">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未能出具有效身份证明，或与身份不符的。</w:t>
      </w:r>
    </w:p>
    <w:p w14:paraId="3095CDCE">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（3）资格证明文件不全的，或不符合</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文件标明的资格要求的。</w:t>
      </w:r>
    </w:p>
    <w:p w14:paraId="41FCC428">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有效期、</w:t>
      </w:r>
      <w:r>
        <w:rPr>
          <w:rFonts w:hint="eastAsia" w:ascii="宋体" w:hAnsi="宋体" w:eastAsia="宋体" w:cs="宋体"/>
          <w:color w:val="auto"/>
          <w:szCs w:val="21"/>
          <w:highlight w:val="none"/>
          <w:lang w:val="en-US" w:eastAsia="zh-CN"/>
        </w:rPr>
        <w:t>合同履行期限</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质量</w:t>
      </w:r>
      <w:r>
        <w:rPr>
          <w:rFonts w:hint="eastAsia" w:ascii="宋体" w:hAnsi="宋体" w:eastAsia="宋体" w:cs="宋体"/>
          <w:color w:val="auto"/>
          <w:szCs w:val="21"/>
          <w:highlight w:val="none"/>
        </w:rPr>
        <w:t>等不满足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769460DC">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文件提供的格式填列、项目不齐全或内容虚假的。</w:t>
      </w:r>
    </w:p>
    <w:p w14:paraId="1E471BD3">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的实质性内容未使用中文表述，或意思表述不明确，或前后矛盾，或使用计量单位不符合</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247E7DF6">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的关键内容字迹模糊、无法辨认,或</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szCs w:val="21"/>
          <w:highlight w:val="none"/>
        </w:rPr>
        <w:t>文件中经修正的内容字迹模糊无法辩认，或修改处未按规定签名盖章的。</w:t>
      </w:r>
    </w:p>
    <w:p w14:paraId="6DD6D00F">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（8）</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内容未按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文件响应的。</w:t>
      </w:r>
    </w:p>
    <w:p w14:paraId="6873DFD5">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（9）不符合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文件中规定的其它实质性条款。</w:t>
      </w:r>
    </w:p>
    <w:p w14:paraId="2D6BBCCF">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决定投标的响应性只根据</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文件本身的内容，而不寻求其他的外部证据。</w:t>
      </w:r>
    </w:p>
    <w:p w14:paraId="028A0315">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.4.4 对资格性检查和符合性检查不合格的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，将</w:t>
      </w:r>
      <w:r>
        <w:rPr>
          <w:rFonts w:hint="eastAsia" w:ascii="宋体" w:hAnsi="宋体" w:eastAsia="宋体" w:cs="宋体"/>
          <w:color w:val="auto"/>
          <w:kern w:val="0"/>
          <w:szCs w:val="21"/>
          <w:highlight w:val="none"/>
          <w:lang w:val="en-US" w:eastAsia="zh-CN"/>
        </w:rPr>
        <w:t>通过评标系统</w:t>
      </w:r>
      <w:r>
        <w:rPr>
          <w:rFonts w:hint="eastAsia" w:ascii="宋体" w:hAnsi="宋体" w:eastAsia="宋体" w:cs="宋体"/>
          <w:color w:val="auto"/>
          <w:kern w:val="0"/>
          <w:szCs w:val="21"/>
          <w:highlight w:val="none"/>
        </w:rPr>
        <w:t>告知其理由。</w:t>
      </w:r>
    </w:p>
    <w:p w14:paraId="787F8DD5">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.5 在评审过程中，</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发现</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有下列情形之一的，视为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串通投标，其</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无效：</w:t>
      </w:r>
    </w:p>
    <w:p w14:paraId="6EB3F1E5">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.5.1不同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异常一致。</w:t>
      </w:r>
    </w:p>
    <w:p w14:paraId="520E1417">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.5.2不同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由同一单位或者个人编制；</w:t>
      </w:r>
    </w:p>
    <w:p w14:paraId="6E5F537F">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.5.3不同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委托同一单位或者个人办理投标事宜；</w:t>
      </w:r>
    </w:p>
    <w:p w14:paraId="65056B66">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.5.4不同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载明的项目管理成员或者联系人员为同一人；　　</w:t>
      </w:r>
    </w:p>
    <w:p w14:paraId="09540E23">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.5.5不同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相互混装；</w:t>
      </w:r>
    </w:p>
    <w:p w14:paraId="7943C61D">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.5.6不同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的投标保证金从同一单位或者个人的账户转出（若收取）。</w:t>
      </w:r>
    </w:p>
    <w:p w14:paraId="2B7774B7">
      <w:pPr>
        <w:keepNext w:val="0"/>
        <w:keepLines w:val="0"/>
        <w:pageBreakBefore w:val="0"/>
        <w:widowControl/>
        <w:kinsoku/>
        <w:wordWrap/>
        <w:overflowPunct/>
        <w:topLinePunct w:val="0"/>
        <w:bidi w:val="0"/>
        <w:adjustRightInd w:val="0"/>
        <w:snapToGrid w:val="0"/>
        <w:spacing w:line="360" w:lineRule="auto"/>
        <w:ind w:left="19" w:leftChars="9" w:firstLine="399" w:firstLineChars="190"/>
        <w:jc w:val="left"/>
        <w:textAlignment w:val="baseline"/>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.5.7 有证据证明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串通投标的其他情形的；</w:t>
      </w:r>
    </w:p>
    <w:p w14:paraId="0F52AFC1">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.5.8 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制作机器码一致；</w:t>
      </w:r>
    </w:p>
    <w:p w14:paraId="6FF5DF30">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 xml:space="preserve">.5.9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认定的其他串通投标情形。</w:t>
      </w:r>
    </w:p>
    <w:p w14:paraId="7CFE49DB">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6</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文件的澄清</w:t>
      </w:r>
    </w:p>
    <w:p w14:paraId="17ABD18E">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文件中含义不明确、同类问题表述不一致或者有明显文字和计算错误的内容，</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可以书面形式要求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作出必要的澄清。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的澄清应当在</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规定的时间内以书面形式作出，由其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代表签字。但澄清事项不得超出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文件的范围，不得实质性改变</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文件的内容，不得通过澄清等方式对</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实行差别对待。</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不得接受</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主动提出的澄清和解释。</w:t>
      </w:r>
    </w:p>
    <w:p w14:paraId="37B06897">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7</w:t>
      </w:r>
      <w:r>
        <w:rPr>
          <w:rFonts w:hint="eastAsia" w:ascii="宋体" w:hAnsi="宋体" w:eastAsia="宋体" w:cs="宋体"/>
          <w:b/>
          <w:bCs/>
          <w:color w:val="auto"/>
          <w:kern w:val="0"/>
          <w:szCs w:val="21"/>
          <w:highlight w:val="none"/>
        </w:rPr>
        <w:t>. 比较与评价</w:t>
      </w:r>
    </w:p>
    <w:p w14:paraId="7821AE00">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 xml:space="preserve">.1 </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将按本</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文件规定的评标方法与标准，对资格性检查和符合性检查合格的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rPr>
        <w:t>进行商务和技术评估，综合比较与评价。</w:t>
      </w:r>
    </w:p>
    <w:p w14:paraId="106BCFA2">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.2对漏（缺）报项的处理：</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文件中要求列入报价的费用（含配置、功能），漏（缺）报的视同已含在投标总价中。</w:t>
      </w:r>
    </w:p>
    <w:p w14:paraId="2C46633B">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认为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的报价明显低于其他通过符合性审查</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的报价，有可能影响产品质量或者不能诚信履约的，应当要求其在评标现场合理的时间内提供书面说明，必要时提交相关证明材料；</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不能证明其报价合理性的，</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应当将其作为无效投标处理。</w:t>
      </w:r>
    </w:p>
    <w:p w14:paraId="30B80D96">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8</w:t>
      </w:r>
      <w:r>
        <w:rPr>
          <w:rFonts w:hint="eastAsia" w:ascii="宋体" w:hAnsi="宋体" w:eastAsia="宋体" w:cs="宋体"/>
          <w:b/>
          <w:bCs/>
          <w:color w:val="auto"/>
          <w:kern w:val="0"/>
          <w:szCs w:val="21"/>
          <w:highlight w:val="none"/>
        </w:rPr>
        <w:t>. 评标过程及保密原则</w:t>
      </w:r>
    </w:p>
    <w:p w14:paraId="2653547A">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.1 凡与本次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有关人员对属于审查、澄清、评价和比较</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的有关资料以及定标意向等，均不得向</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或其他人员透露。否则,将按有关规定追究相关人员的责任。</w:t>
      </w:r>
    </w:p>
    <w:p w14:paraId="669DACB5">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.2 在评标期间，</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试图影响或干预评审的任何行为，将导致其</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，并承担相应的法律责任。</w:t>
      </w:r>
    </w:p>
    <w:p w14:paraId="3822DA9A">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val="en-US" w:eastAsia="zh-CN"/>
        </w:rPr>
        <w:t>29</w:t>
      </w:r>
      <w:r>
        <w:rPr>
          <w:rFonts w:hint="eastAsia" w:ascii="宋体" w:hAnsi="宋体" w:eastAsia="宋体" w:cs="宋体"/>
          <w:b/>
          <w:color w:val="auto"/>
          <w:kern w:val="0"/>
          <w:szCs w:val="21"/>
          <w:highlight w:val="none"/>
        </w:rPr>
        <w:t>.评标异议登记</w:t>
      </w:r>
    </w:p>
    <w:p w14:paraId="5D87B32B">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工作人员对评审专家等相关人员在评审过程中发现、提出的异议进行逐项登记。</w:t>
      </w:r>
    </w:p>
    <w:p w14:paraId="17BB06DE">
      <w:pPr>
        <w:keepNext w:val="0"/>
        <w:keepLines w:val="0"/>
        <w:pageBreakBefore w:val="0"/>
        <w:widowControl/>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六</w:t>
      </w:r>
      <w:r>
        <w:rPr>
          <w:rFonts w:hint="eastAsia" w:ascii="宋体" w:hAnsi="宋体" w:eastAsia="宋体" w:cs="宋体"/>
          <w:b/>
          <w:bCs/>
          <w:color w:val="auto"/>
          <w:kern w:val="0"/>
          <w:sz w:val="28"/>
          <w:szCs w:val="28"/>
          <w:highlight w:val="none"/>
        </w:rPr>
        <w:t>、定标</w:t>
      </w:r>
    </w:p>
    <w:p w14:paraId="69E09493">
      <w:pPr>
        <w:keepNext w:val="0"/>
        <w:keepLines w:val="0"/>
        <w:pageBreakBefore w:val="0"/>
        <w:widowControl/>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0</w:t>
      </w:r>
      <w:r>
        <w:rPr>
          <w:rFonts w:hint="eastAsia" w:ascii="宋体" w:hAnsi="宋体" w:eastAsia="宋体" w:cs="宋体"/>
          <w:b/>
          <w:bCs/>
          <w:color w:val="auto"/>
          <w:kern w:val="0"/>
          <w:szCs w:val="21"/>
          <w:highlight w:val="none"/>
        </w:rPr>
        <w:t>. 定标原则</w:t>
      </w:r>
    </w:p>
    <w:p w14:paraId="4E6DB8B8">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.1 最低投标价不作为</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的保证。</w:t>
      </w:r>
    </w:p>
    <w:p w14:paraId="16BFE14A">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 确定实质上响应</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文件且满足下列条件的为</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bCs/>
          <w:color w:val="auto"/>
          <w:kern w:val="0"/>
          <w:szCs w:val="21"/>
          <w:highlight w:val="none"/>
        </w:rPr>
        <w:t>（或</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w:t>
      </w:r>
    </w:p>
    <w:p w14:paraId="5CA390FB">
      <w:pPr>
        <w:keepNext w:val="0"/>
        <w:keepLines w:val="0"/>
        <w:pageBreakBefore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bookmarkStart w:id="42" w:name="_Toc32200"/>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.2.1</w:t>
      </w:r>
      <w:bookmarkEnd w:id="42"/>
      <w:r>
        <w:rPr>
          <w:rFonts w:hint="eastAsia" w:ascii="宋体" w:hAnsi="宋体" w:eastAsia="宋体" w:cs="宋体"/>
          <w:bCs/>
          <w:color w:val="auto"/>
          <w:kern w:val="0"/>
          <w:szCs w:val="21"/>
          <w:highlight w:val="none"/>
        </w:rPr>
        <w:t>本次评标采用</w:t>
      </w:r>
      <w:r>
        <w:rPr>
          <w:rFonts w:hint="eastAsia" w:ascii="宋体" w:hAnsi="宋体" w:eastAsia="宋体" w:cs="宋体"/>
          <w:color w:val="auto"/>
          <w:szCs w:val="21"/>
          <w:highlight w:val="none"/>
        </w:rPr>
        <w:t>综合评分法，是指响应文件满足采购文件全部实质性要求，且按照评审因素的量化指标评审得分最高的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的评标方法。</w:t>
      </w:r>
    </w:p>
    <w:p w14:paraId="7BA61DCE">
      <w:pPr>
        <w:keepNext w:val="0"/>
        <w:keepLines w:val="0"/>
        <w:pageBreakBefore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采用综合评分法的，评标结果按评审后得分由高到低顺序排列。</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为排名第一的</w:t>
      </w:r>
      <w:r>
        <w:rPr>
          <w:rFonts w:hint="eastAsia" w:ascii="宋体" w:hAnsi="宋体" w:eastAsia="宋体" w:cs="宋体"/>
          <w:color w:val="auto"/>
          <w:szCs w:val="21"/>
          <w:highlight w:val="none"/>
          <w:lang w:eastAsia="zh-CN"/>
        </w:rPr>
        <w:t>成交供应商</w:t>
      </w:r>
      <w:r>
        <w:rPr>
          <w:rFonts w:hint="eastAsia" w:ascii="宋体" w:hAnsi="宋体" w:eastAsia="宋体" w:cs="宋体"/>
          <w:color w:val="auto"/>
          <w:szCs w:val="21"/>
          <w:highlight w:val="none"/>
        </w:rPr>
        <w:t>，以此类推。得分相同的，按</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报价由低到高顺序排列。得分且</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报价相同的，按技术部分得分顺序排列。得分与技术指标优劣均相同的，通过随机抽取产生。</w:t>
      </w:r>
    </w:p>
    <w:p w14:paraId="7AF870CF">
      <w:pPr>
        <w:keepNext w:val="0"/>
        <w:keepLines w:val="0"/>
        <w:pageBreakBefore w:val="0"/>
        <w:widowControl/>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1</w:t>
      </w:r>
      <w:r>
        <w:rPr>
          <w:rFonts w:hint="eastAsia" w:ascii="宋体" w:hAnsi="宋体" w:eastAsia="宋体" w:cs="宋体"/>
          <w:b/>
          <w:bCs/>
          <w:color w:val="auto"/>
          <w:kern w:val="0"/>
          <w:szCs w:val="21"/>
          <w:highlight w:val="none"/>
        </w:rPr>
        <w:t>. 确定</w:t>
      </w:r>
      <w:r>
        <w:rPr>
          <w:rFonts w:hint="eastAsia" w:ascii="宋体" w:hAnsi="宋体" w:eastAsia="宋体" w:cs="宋体"/>
          <w:b/>
          <w:bCs/>
          <w:color w:val="auto"/>
          <w:kern w:val="0"/>
          <w:szCs w:val="21"/>
          <w:highlight w:val="none"/>
          <w:lang w:eastAsia="zh-CN"/>
        </w:rPr>
        <w:t>成交供应商</w:t>
      </w:r>
      <w:r>
        <w:rPr>
          <w:rFonts w:hint="eastAsia" w:ascii="宋体" w:hAnsi="宋体" w:eastAsia="宋体" w:cs="宋体"/>
          <w:b/>
          <w:bCs/>
          <w:color w:val="auto"/>
          <w:kern w:val="0"/>
          <w:szCs w:val="21"/>
          <w:highlight w:val="none"/>
        </w:rPr>
        <w:t>和</w:t>
      </w:r>
      <w:r>
        <w:rPr>
          <w:rFonts w:hint="eastAsia" w:ascii="宋体" w:hAnsi="宋体" w:eastAsia="宋体" w:cs="宋体"/>
          <w:b/>
          <w:bCs/>
          <w:color w:val="auto"/>
          <w:kern w:val="0"/>
          <w:szCs w:val="21"/>
          <w:highlight w:val="none"/>
          <w:lang w:eastAsia="zh-CN"/>
        </w:rPr>
        <w:t>成交候选供应商</w:t>
      </w:r>
    </w:p>
    <w:p w14:paraId="2278CA87">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本项目由采购人授权</w:t>
      </w:r>
      <w:r>
        <w:rPr>
          <w:rFonts w:hint="eastAsia" w:ascii="宋体" w:hAnsi="宋体" w:eastAsia="宋体" w:cs="宋体"/>
          <w:bCs/>
          <w:color w:val="auto"/>
          <w:kern w:val="0"/>
          <w:szCs w:val="21"/>
          <w:highlight w:val="none"/>
          <w:lang w:eastAsia="zh-CN"/>
        </w:rPr>
        <w:t>磋商小组</w:t>
      </w:r>
      <w:r>
        <w:rPr>
          <w:rFonts w:hint="eastAsia" w:ascii="宋体" w:hAnsi="宋体" w:eastAsia="宋体" w:cs="宋体"/>
          <w:bCs/>
          <w:color w:val="auto"/>
          <w:kern w:val="0"/>
          <w:szCs w:val="21"/>
          <w:highlight w:val="none"/>
        </w:rPr>
        <w:t>确定一名</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并推荐</w:t>
      </w:r>
      <w:r>
        <w:rPr>
          <w:rFonts w:hint="eastAsia" w:ascii="宋体" w:hAnsi="宋体" w:eastAsia="宋体" w:cs="宋体"/>
          <w:bCs/>
          <w:color w:val="auto"/>
          <w:kern w:val="0"/>
          <w:szCs w:val="21"/>
          <w:highlight w:val="none"/>
          <w:lang w:val="en-US" w:eastAsia="zh-CN"/>
        </w:rPr>
        <w:t>一</w:t>
      </w:r>
      <w:r>
        <w:rPr>
          <w:rFonts w:hint="eastAsia" w:ascii="宋体" w:hAnsi="宋体" w:eastAsia="宋体" w:cs="宋体"/>
          <w:bCs/>
          <w:color w:val="auto"/>
          <w:kern w:val="0"/>
          <w:szCs w:val="21"/>
          <w:highlight w:val="none"/>
        </w:rPr>
        <w:t>名</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color w:val="auto"/>
          <w:kern w:val="0"/>
          <w:szCs w:val="21"/>
          <w:highlight w:val="none"/>
        </w:rPr>
        <w:t>。</w:t>
      </w:r>
    </w:p>
    <w:p w14:paraId="610A72DB">
      <w:pPr>
        <w:keepNext w:val="0"/>
        <w:keepLines w:val="0"/>
        <w:pageBreakBefore w:val="0"/>
        <w:widowControl/>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2</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eastAsia="zh-CN"/>
        </w:rPr>
        <w:t>成交通知书</w:t>
      </w:r>
      <w:r>
        <w:rPr>
          <w:rFonts w:hint="eastAsia" w:ascii="宋体" w:hAnsi="宋体" w:eastAsia="宋体" w:cs="宋体"/>
          <w:b/>
          <w:bCs/>
          <w:color w:val="auto"/>
          <w:kern w:val="0"/>
          <w:szCs w:val="21"/>
          <w:highlight w:val="none"/>
        </w:rPr>
        <w:t>及中标公告</w:t>
      </w:r>
    </w:p>
    <w:p w14:paraId="08AED65E">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.1评审结束后，</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人将</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lang w:val="en-US" w:eastAsia="zh-CN"/>
        </w:rPr>
        <w:t>供应商</w:t>
      </w:r>
      <w:r>
        <w:rPr>
          <w:rFonts w:hint="eastAsia" w:ascii="宋体" w:hAnsi="宋体" w:eastAsia="宋体" w:cs="宋体"/>
          <w:color w:val="auto"/>
          <w:kern w:val="0"/>
          <w:szCs w:val="21"/>
          <w:highlight w:val="none"/>
        </w:rPr>
        <w:t>的情况在本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项目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公告发布的同一媒介予以公示，公示</w:t>
      </w:r>
      <w:r>
        <w:rPr>
          <w:rFonts w:hint="eastAsia" w:ascii="宋体" w:hAnsi="宋体" w:eastAsia="宋体" w:cs="宋体"/>
          <w:color w:val="auto"/>
          <w:kern w:val="0"/>
          <w:szCs w:val="21"/>
          <w:highlight w:val="none"/>
          <w:lang w:eastAsia="zh-CN"/>
        </w:rPr>
        <w:t>期限</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个工作日</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公示期结束后</w:t>
      </w:r>
      <w:r>
        <w:rPr>
          <w:rFonts w:hint="eastAsia" w:ascii="宋体" w:hAnsi="宋体" w:eastAsia="宋体" w:cs="宋体"/>
          <w:color w:val="auto"/>
          <w:kern w:val="0"/>
          <w:szCs w:val="21"/>
          <w:highlight w:val="none"/>
        </w:rPr>
        <w:t>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w:t>
      </w:r>
    </w:p>
    <w:p w14:paraId="40C07A2B">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在规定的时间内不领取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的，视为中标后自动放弃中标资格；</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在有效报价中报价最低,非不可抗力放弃中标资格的。发生上述情况的承担由此引起的一切后果。</w:t>
      </w:r>
    </w:p>
    <w:p w14:paraId="5DBDF9B1">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对采购人和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具有同等法律效力。</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发出后，采购人改变中标结果，或者</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放弃中标，应按相关法律、规章、规范性文件的要求承担相应的法律责任。</w:t>
      </w:r>
    </w:p>
    <w:p w14:paraId="0CDA854B">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bCs/>
          <w:color w:val="auto"/>
          <w:kern w:val="0"/>
          <w:szCs w:val="21"/>
          <w:highlight w:val="none"/>
        </w:rPr>
        <w:t>.4</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将作为签订合同的依据。合同签订后，</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成为合同的一部分。</w:t>
      </w:r>
    </w:p>
    <w:p w14:paraId="13955CA9">
      <w:pPr>
        <w:keepNext w:val="0"/>
        <w:keepLines w:val="0"/>
        <w:pageBreakBefore w:val="0"/>
        <w:widowControl/>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3</w:t>
      </w:r>
      <w:r>
        <w:rPr>
          <w:rFonts w:hint="eastAsia" w:ascii="宋体" w:hAnsi="宋体" w:eastAsia="宋体" w:cs="宋体"/>
          <w:b/>
          <w:bCs/>
          <w:color w:val="auto"/>
          <w:kern w:val="0"/>
          <w:szCs w:val="21"/>
          <w:highlight w:val="none"/>
        </w:rPr>
        <w:t>. 采购人宣布废标的权利</w:t>
      </w:r>
    </w:p>
    <w:p w14:paraId="48D3DF2D">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.1出现下列情况之一时，采购人有权宣布废标，并将理由通知所有</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w:t>
      </w:r>
    </w:p>
    <w:p w14:paraId="607D00E0">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.1.1出现影响采购公正的违法、违规行为的。</w:t>
      </w:r>
    </w:p>
    <w:p w14:paraId="41CD420C">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.1.2</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的报价均超过了</w:t>
      </w:r>
      <w:r>
        <w:rPr>
          <w:rFonts w:hint="eastAsia" w:ascii="宋体" w:hAnsi="宋体" w:eastAsia="宋体" w:cs="宋体"/>
          <w:bCs/>
          <w:color w:val="auto"/>
          <w:kern w:val="0"/>
          <w:szCs w:val="21"/>
          <w:highlight w:val="none"/>
          <w:lang w:val="en-US" w:eastAsia="zh-CN"/>
        </w:rPr>
        <w:t>采购预算金额</w:t>
      </w:r>
      <w:r>
        <w:rPr>
          <w:rFonts w:hint="eastAsia" w:ascii="宋体" w:hAnsi="宋体" w:eastAsia="宋体" w:cs="宋体"/>
          <w:bCs/>
          <w:color w:val="auto"/>
          <w:kern w:val="0"/>
          <w:szCs w:val="21"/>
          <w:highlight w:val="none"/>
        </w:rPr>
        <w:t>，采购人不能支付的。</w:t>
      </w:r>
    </w:p>
    <w:p w14:paraId="505C44EE">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.1.3因重大变故，采购任务取消的。</w:t>
      </w:r>
    </w:p>
    <w:p w14:paraId="7BC6B729">
      <w:pPr>
        <w:keepNext w:val="0"/>
        <w:keepLines w:val="0"/>
        <w:pageBreakBefore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szCs w:val="21"/>
          <w:highlight w:val="none"/>
        </w:rPr>
        <w:t>投标截止后</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不足3家或通过资格性检查或符合性检查的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不足3家的，除采购任务取消情形外，按照以下方式处理：</w:t>
      </w:r>
    </w:p>
    <w:p w14:paraId="7E364545">
      <w:pPr>
        <w:keepNext w:val="0"/>
        <w:keepLines w:val="0"/>
        <w:pageBreakBefore w:val="0"/>
        <w:numPr>
          <w:ilvl w:val="0"/>
          <w:numId w:val="3"/>
        </w:numPr>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文件存在不合理条款或者招标程序不符合规定的，采购人正后依法重新招标；　</w:t>
      </w:r>
    </w:p>
    <w:p w14:paraId="2682B28F">
      <w:pPr>
        <w:keepNext w:val="0"/>
        <w:keepLines w:val="0"/>
        <w:pageBreakBefore w:val="0"/>
        <w:kinsoku/>
        <w:wordWrap/>
        <w:overflowPunct/>
        <w:topLinePunct w:val="0"/>
        <w:bidi w:val="0"/>
        <w:snapToGrid w:val="0"/>
        <w:spacing w:line="360" w:lineRule="auto"/>
        <w:ind w:firstLine="420" w:firstLineChars="200"/>
        <w:rPr>
          <w:rFonts w:hint="eastAsia" w:ascii="宋体" w:hAnsi="宋体" w:eastAsia="宋体" w:cs="宋体"/>
          <w:b/>
          <w:color w:val="auto"/>
          <w:kern w:val="0"/>
          <w:sz w:val="52"/>
          <w:szCs w:val="52"/>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文件没有不合理条款、招标程序符合规定，需要采用其他采购方式采购的，采购人应当依法报财政部门批准。</w:t>
      </w:r>
    </w:p>
    <w:p w14:paraId="40C8FBDC">
      <w:pPr>
        <w:keepNext w:val="0"/>
        <w:keepLines w:val="0"/>
        <w:pageBreakBefore w:val="0"/>
        <w:widowControl/>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七</w:t>
      </w:r>
      <w:r>
        <w:rPr>
          <w:rFonts w:hint="eastAsia" w:ascii="宋体" w:hAnsi="宋体" w:eastAsia="宋体" w:cs="宋体"/>
          <w:b/>
          <w:bCs/>
          <w:color w:val="auto"/>
          <w:kern w:val="0"/>
          <w:sz w:val="28"/>
          <w:szCs w:val="28"/>
          <w:highlight w:val="none"/>
        </w:rPr>
        <w:t>、合同授予</w:t>
      </w:r>
    </w:p>
    <w:p w14:paraId="182A4EC1">
      <w:pPr>
        <w:keepNext w:val="0"/>
        <w:keepLines w:val="0"/>
        <w:pageBreakBefore w:val="0"/>
        <w:widowControl/>
        <w:kinsoku/>
        <w:wordWrap/>
        <w:overflowPunct/>
        <w:topLinePunct w:val="0"/>
        <w:bidi w:val="0"/>
        <w:snapToGrid w:val="0"/>
        <w:spacing w:line="360" w:lineRule="auto"/>
        <w:ind w:firstLine="472" w:firstLineChars="224"/>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.合同签订</w:t>
      </w:r>
    </w:p>
    <w:p w14:paraId="01282E10">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u w:val="single"/>
        </w:rPr>
      </w:pPr>
      <w:bookmarkStart w:id="43" w:name="_Toc8594"/>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.1 采购人、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文件第三章《</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须知前附表》规定的时间内，根据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文件确定的事项和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签订合同。双方所签订的合同不得对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作实质性修改。</w:t>
      </w:r>
    </w:p>
    <w:p w14:paraId="58608B84">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文件的修改文件、</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、补充或修改的文件及澄清或承诺文件等，均为双方签订合同的组成部分，并与合同一并作为本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文件所列采购项目的互补性法律文件，与合同具有同等法律效力。</w:t>
      </w:r>
    </w:p>
    <w:p w14:paraId="5C559A68">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.3 </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放弃中标、因不可抗力不能履行合同、不按照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文件要求提交履约保证金，或者被查实存在影响中标结果的违法行为等情形，不符合中标条件的，采购人可以按照</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提出的</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名单排序依次确定其他</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，也可以重新招标。</w:t>
      </w:r>
    </w:p>
    <w:bookmarkEnd w:id="43"/>
    <w:p w14:paraId="5EC13C81">
      <w:pPr>
        <w:rPr>
          <w:rFonts w:hint="eastAsia" w:ascii="宋体" w:hAnsi="宋体" w:eastAsia="宋体" w:cs="宋体"/>
          <w:color w:val="auto"/>
          <w:highlight w:val="none"/>
        </w:rPr>
      </w:pPr>
      <w:bookmarkStart w:id="44" w:name="_Toc4700"/>
      <w:bookmarkStart w:id="45" w:name="_Toc16669"/>
      <w:r>
        <w:rPr>
          <w:rFonts w:hint="eastAsia" w:ascii="宋体" w:hAnsi="宋体" w:eastAsia="宋体" w:cs="宋体"/>
          <w:color w:val="auto"/>
          <w:highlight w:val="none"/>
        </w:rPr>
        <w:br w:type="page"/>
      </w:r>
    </w:p>
    <w:p w14:paraId="305D3E70">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hint="eastAsia" w:ascii="宋体" w:hAnsi="宋体" w:eastAsia="宋体" w:cs="宋体"/>
          <w:color w:val="auto"/>
          <w:kern w:val="0"/>
          <w:sz w:val="24"/>
          <w:highlight w:val="none"/>
        </w:rPr>
      </w:pPr>
      <w:bookmarkStart w:id="46" w:name="_Toc27600"/>
      <w:r>
        <w:rPr>
          <w:rFonts w:hint="eastAsia" w:ascii="宋体" w:hAnsi="宋体" w:eastAsia="宋体" w:cs="宋体"/>
          <w:b/>
          <w:bCs/>
          <w:color w:val="auto"/>
          <w:kern w:val="0"/>
          <w:sz w:val="32"/>
          <w:szCs w:val="32"/>
          <w:highlight w:val="none"/>
        </w:rPr>
        <w:t>第四章  评标办法及评分标准</w:t>
      </w:r>
      <w:bookmarkEnd w:id="44"/>
      <w:bookmarkEnd w:id="46"/>
    </w:p>
    <w:p w14:paraId="6F4C4186">
      <w:pPr>
        <w:rPr>
          <w:rFonts w:hint="eastAsia" w:ascii="宋体" w:hAnsi="宋体" w:eastAsia="宋体" w:cs="宋体"/>
          <w:color w:val="auto"/>
          <w:highlight w:val="none"/>
        </w:rPr>
      </w:pPr>
    </w:p>
    <w:p w14:paraId="5FA8D29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14:paraId="5A6B0AB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14:paraId="2CA30BD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14:paraId="5807D4BC">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14:paraId="3CDF010F">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文件进行综合比较与评价。</w:t>
      </w:r>
    </w:p>
    <w:p w14:paraId="4CECA87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14:paraId="1E8C2FFB">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为</w:t>
      </w:r>
      <w:r>
        <w:rPr>
          <w:rFonts w:hint="eastAsia" w:ascii="宋体" w:hAnsi="宋体" w:eastAsia="宋体" w:cs="宋体"/>
          <w:b w:val="0"/>
          <w:bCs w:val="0"/>
          <w:color w:val="auto"/>
          <w:sz w:val="21"/>
          <w:szCs w:val="21"/>
          <w:highlight w:val="none"/>
          <w:lang w:eastAsia="zh-CN"/>
        </w:rPr>
        <w:t>成交供应商</w:t>
      </w:r>
      <w:r>
        <w:rPr>
          <w:rFonts w:hint="eastAsia" w:ascii="宋体" w:hAnsi="宋体" w:eastAsia="宋体" w:cs="宋体"/>
          <w:b w:val="0"/>
          <w:bCs w:val="0"/>
          <w:color w:val="auto"/>
          <w:sz w:val="21"/>
          <w:szCs w:val="21"/>
          <w:highlight w:val="none"/>
        </w:rPr>
        <w:t>。</w:t>
      </w:r>
    </w:p>
    <w:p w14:paraId="328CEB9D">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14:paraId="7CCCB1DD">
      <w:pPr>
        <w:keepNext w:val="0"/>
        <w:keepLines w:val="0"/>
        <w:pageBreakBefore w:val="0"/>
        <w:numPr>
          <w:ilvl w:val="0"/>
          <w:numId w:val="0"/>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详细评审（100分）</w:t>
      </w:r>
    </w:p>
    <w:tbl>
      <w:tblPr>
        <w:tblStyle w:val="33"/>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1D5C7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9482" w:type="dxa"/>
            <w:gridSpan w:val="3"/>
            <w:noWrap w:val="0"/>
            <w:vAlign w:val="center"/>
          </w:tcPr>
          <w:p w14:paraId="469082FD">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14:paraId="6A839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5" w:hRule="atLeast"/>
          <w:jc w:val="center"/>
        </w:trPr>
        <w:tc>
          <w:tcPr>
            <w:tcW w:w="1239" w:type="dxa"/>
            <w:noWrap w:val="0"/>
            <w:vAlign w:val="center"/>
          </w:tcPr>
          <w:p w14:paraId="30F21E9D">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 (3</w:t>
            </w:r>
            <w:r>
              <w:rPr>
                <w:rFonts w:hint="eastAsia" w:ascii="宋体" w:hAnsi="宋体" w:eastAsia="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分)</w:t>
            </w:r>
          </w:p>
        </w:tc>
        <w:tc>
          <w:tcPr>
            <w:tcW w:w="8243" w:type="dxa"/>
            <w:gridSpan w:val="2"/>
            <w:noWrap w:val="0"/>
            <w:vAlign w:val="center"/>
          </w:tcPr>
          <w:p w14:paraId="56A5BCC6">
            <w:pPr>
              <w:pStyle w:val="5"/>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发现</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的</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报价明显低于其他</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报价，使其</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报价可能低于其个别成本的，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可对其质询，并要求该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做出书面说明和提供相关的证明材料；该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不能合理说明或提供证明材料的，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应按无效</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处理。</w:t>
            </w:r>
          </w:p>
          <w:p w14:paraId="1C7B52DB">
            <w:pPr>
              <w:pStyle w:val="5"/>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eastAsia="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p>
          <w:p w14:paraId="631C2FD4">
            <w:pPr>
              <w:pStyle w:val="5"/>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价格最低的有效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报价为评标基准价。</w:t>
            </w:r>
          </w:p>
          <w:p w14:paraId="227E9141">
            <w:pPr>
              <w:keepNext w:val="0"/>
              <w:keepLines w:val="0"/>
              <w:pageBreakBefore w:val="0"/>
              <w:kinsoku/>
              <w:wordWrap/>
              <w:overflowPunct/>
              <w:topLinePunct w:val="0"/>
              <w:bidi w:val="0"/>
              <w:snapToGrid w:val="0"/>
              <w:spacing w:line="360" w:lineRule="exact"/>
              <w:textAlignment w:val="auto"/>
              <w:rPr>
                <w:rFonts w:hint="eastAsia" w:ascii="宋体" w:hAnsi="宋体" w:eastAsia="宋体" w:cs="宋体"/>
                <w:highlight w:val="none"/>
                <w:lang w:val="en-US" w:eastAsia="zh-CN"/>
              </w:rPr>
            </w:pP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报价得分=（评标基准价/有效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报价）×3</w:t>
            </w:r>
            <w:r>
              <w:rPr>
                <w:rFonts w:hint="eastAsia" w:ascii="宋体" w:hAnsi="宋体" w:eastAsia="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分</w:t>
            </w:r>
          </w:p>
        </w:tc>
      </w:tr>
      <w:tr w14:paraId="2636C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0" w:hRule="atLeast"/>
          <w:jc w:val="center"/>
        </w:trPr>
        <w:tc>
          <w:tcPr>
            <w:tcW w:w="1239" w:type="dxa"/>
            <w:vMerge w:val="restart"/>
            <w:noWrap w:val="0"/>
            <w:vAlign w:val="center"/>
          </w:tcPr>
          <w:p w14:paraId="1F9507C1">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服务质量</w:t>
            </w:r>
          </w:p>
          <w:p w14:paraId="7D578B06">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4</w:t>
            </w:r>
            <w:r>
              <w:rPr>
                <w:rFonts w:hint="eastAsia" w:ascii="宋体" w:hAnsi="宋体" w:cs="宋体"/>
                <w:b w:val="0"/>
                <w:bCs w:val="0"/>
                <w:color w:val="auto"/>
                <w:sz w:val="21"/>
                <w:szCs w:val="21"/>
                <w:highlight w:val="none"/>
                <w:lang w:val="en-US" w:eastAsia="zh-CN"/>
              </w:rPr>
              <w:t>7</w:t>
            </w:r>
            <w:r>
              <w:rPr>
                <w:rFonts w:hint="eastAsia" w:ascii="宋体" w:hAnsi="宋体" w:eastAsia="宋体" w:cs="宋体"/>
                <w:b w:val="0"/>
                <w:bCs w:val="0"/>
                <w:color w:val="auto"/>
                <w:sz w:val="21"/>
                <w:szCs w:val="21"/>
                <w:highlight w:val="none"/>
                <w:lang w:eastAsia="zh-CN"/>
              </w:rPr>
              <w:t>分）</w:t>
            </w:r>
          </w:p>
        </w:tc>
        <w:tc>
          <w:tcPr>
            <w:tcW w:w="1473" w:type="dxa"/>
            <w:noWrap w:val="0"/>
            <w:vAlign w:val="center"/>
          </w:tcPr>
          <w:p w14:paraId="4D145501">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1.产品技术参数（30分）</w:t>
            </w:r>
          </w:p>
        </w:tc>
        <w:tc>
          <w:tcPr>
            <w:tcW w:w="6770" w:type="dxa"/>
            <w:noWrap w:val="0"/>
            <w:vAlign w:val="center"/>
          </w:tcPr>
          <w:p w14:paraId="35C5E37A">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供应商对“第二章 采购需求 三、技术要求”的响应，所投产品全部满足磋商文件要求得</w:t>
            </w:r>
            <w:r>
              <w:rPr>
                <w:rFonts w:hint="eastAsia" w:ascii="宋体" w:hAnsi="宋体" w:eastAsia="宋体" w:cs="宋体"/>
                <w:b w:val="0"/>
                <w:bCs w:val="0"/>
                <w:color w:val="auto"/>
                <w:sz w:val="21"/>
                <w:szCs w:val="21"/>
                <w:highlight w:val="none"/>
                <w:lang w:val="en-US" w:eastAsia="zh-CN"/>
              </w:rPr>
              <w:t>30</w:t>
            </w:r>
            <w:r>
              <w:rPr>
                <w:rFonts w:hint="eastAsia" w:ascii="宋体" w:hAnsi="宋体" w:eastAsia="宋体" w:cs="宋体"/>
                <w:b w:val="0"/>
                <w:bCs w:val="0"/>
                <w:color w:val="auto"/>
                <w:sz w:val="21"/>
                <w:szCs w:val="21"/>
                <w:highlight w:val="none"/>
                <w:lang w:eastAsia="zh-CN"/>
              </w:rPr>
              <w:t>分，</w:t>
            </w:r>
            <w:r>
              <w:rPr>
                <w:rFonts w:hint="eastAsia" w:ascii="宋体" w:hAnsi="宋体" w:eastAsia="宋体" w:cs="宋体"/>
                <w:b w:val="0"/>
                <w:bCs w:val="0"/>
                <w:color w:val="auto"/>
                <w:sz w:val="21"/>
                <w:szCs w:val="21"/>
                <w:highlight w:val="none"/>
                <w:lang w:val="en-US" w:eastAsia="zh-CN"/>
              </w:rPr>
              <w:t>有</w:t>
            </w:r>
            <w:r>
              <w:rPr>
                <w:rFonts w:hint="eastAsia" w:ascii="宋体" w:hAnsi="宋体" w:eastAsia="宋体" w:cs="宋体"/>
                <w:b w:val="0"/>
                <w:bCs w:val="0"/>
                <w:color w:val="auto"/>
                <w:sz w:val="21"/>
                <w:szCs w:val="21"/>
                <w:highlight w:val="none"/>
                <w:lang w:eastAsia="zh-CN"/>
              </w:rPr>
              <w:t>一项</w:t>
            </w:r>
            <w:r>
              <w:rPr>
                <w:rFonts w:hint="eastAsia" w:ascii="宋体" w:hAnsi="宋体" w:eastAsia="宋体" w:cs="宋体"/>
                <w:b w:val="0"/>
                <w:bCs w:val="0"/>
                <w:color w:val="auto"/>
                <w:sz w:val="21"/>
                <w:szCs w:val="21"/>
                <w:highlight w:val="none"/>
                <w:lang w:val="en-US" w:eastAsia="zh-CN"/>
              </w:rPr>
              <w:t>技术参数</w:t>
            </w:r>
            <w:r>
              <w:rPr>
                <w:rFonts w:hint="eastAsia" w:ascii="宋体" w:hAnsi="宋体" w:eastAsia="宋体" w:cs="宋体"/>
                <w:b w:val="0"/>
                <w:bCs w:val="0"/>
                <w:color w:val="auto"/>
                <w:sz w:val="21"/>
                <w:szCs w:val="21"/>
                <w:highlight w:val="none"/>
                <w:lang w:eastAsia="zh-CN"/>
              </w:rPr>
              <w:t>不满足扣</w:t>
            </w: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eastAsia="zh-CN"/>
              </w:rPr>
              <w:t>分；如得分为0，则</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lang w:eastAsia="zh-CN"/>
              </w:rPr>
              <w:t xml:space="preserve">无效。 </w:t>
            </w:r>
          </w:p>
          <w:p w14:paraId="321D9D79">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1）供应商需</w:t>
            </w:r>
            <w:r>
              <w:rPr>
                <w:rFonts w:hint="eastAsia" w:ascii="宋体" w:hAnsi="宋体" w:eastAsia="宋体" w:cs="宋体"/>
                <w:b w:val="0"/>
                <w:bCs w:val="0"/>
                <w:color w:val="auto"/>
                <w:sz w:val="21"/>
                <w:szCs w:val="21"/>
                <w:highlight w:val="none"/>
                <w:lang w:val="en-US" w:eastAsia="zh-CN"/>
              </w:rPr>
              <w:t>如实填写技术</w:t>
            </w:r>
            <w:r>
              <w:rPr>
                <w:rFonts w:hint="eastAsia" w:ascii="宋体" w:hAnsi="宋体" w:eastAsia="宋体" w:cs="宋体"/>
                <w:b w:val="0"/>
                <w:bCs w:val="0"/>
                <w:color w:val="auto"/>
                <w:sz w:val="21"/>
                <w:szCs w:val="21"/>
                <w:highlight w:val="none"/>
                <w:lang w:eastAsia="zh-CN"/>
              </w:rPr>
              <w:t>偏离表，并标注偏离情况。</w:t>
            </w:r>
          </w:p>
          <w:p w14:paraId="376167CF">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2）提供相关证明文件，并对响应技术参数部分做出明显标注。</w:t>
            </w:r>
          </w:p>
        </w:tc>
      </w:tr>
      <w:tr w14:paraId="04783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14:paraId="03BE1C62">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noWrap w:val="0"/>
            <w:vAlign w:val="center"/>
          </w:tcPr>
          <w:p w14:paraId="6547966A">
            <w:pPr>
              <w:keepNext w:val="0"/>
              <w:keepLines w:val="0"/>
              <w:pageBreakBefore w:val="0"/>
              <w:widowControl/>
              <w:kinsoku/>
              <w:wordWrap/>
              <w:overflowPunct/>
              <w:topLinePunct w:val="0"/>
              <w:autoSpaceDE/>
              <w:autoSpaceDN/>
              <w:bidi w:val="0"/>
              <w:adjustRightInd/>
              <w:snapToGrid w:val="0"/>
              <w:spacing w:line="360" w:lineRule="exac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2.产品综合评议</w:t>
            </w: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分）</w:t>
            </w:r>
          </w:p>
        </w:tc>
        <w:tc>
          <w:tcPr>
            <w:tcW w:w="6770" w:type="dxa"/>
            <w:noWrap w:val="0"/>
            <w:vAlign w:val="center"/>
          </w:tcPr>
          <w:p w14:paraId="62F7E326">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根据响应产品的制造工艺、稳定性、产品操作性、性能及技术先进性等进行打分。</w:t>
            </w:r>
          </w:p>
          <w:p w14:paraId="2972CC49">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lang w:val="en-US" w:eastAsia="zh-CN"/>
              </w:rPr>
              <w:t>响应产品制造工艺、稳定性好、操作性强、技术先进的得</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分；响应产品制造工艺、稳定性较好、操作性较强、技术较先进的得</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分；响应产品制造工艺、稳定性一般、操作性一般、技术较保守的得1分</w:t>
            </w:r>
            <w:r>
              <w:rPr>
                <w:rFonts w:hint="eastAsia" w:ascii="宋体" w:hAnsi="宋体" w:cs="宋体"/>
                <w:color w:val="auto"/>
                <w:sz w:val="21"/>
                <w:szCs w:val="21"/>
                <w:highlight w:val="none"/>
                <w:lang w:val="en-US" w:eastAsia="zh-CN"/>
              </w:rPr>
              <w:t>。</w:t>
            </w:r>
          </w:p>
        </w:tc>
      </w:tr>
      <w:tr w14:paraId="6A64F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239" w:type="dxa"/>
            <w:vMerge w:val="continue"/>
            <w:noWrap w:val="0"/>
            <w:vAlign w:val="center"/>
          </w:tcPr>
          <w:p w14:paraId="138C84C0">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restart"/>
            <w:noWrap w:val="0"/>
            <w:vAlign w:val="center"/>
          </w:tcPr>
          <w:p w14:paraId="37A15399">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宋体" w:hAnsi="宋体" w:eastAsia="宋体" w:cs="宋体"/>
                <w:b w:val="0"/>
                <w:bCs w:val="0"/>
                <w:color w:val="auto"/>
                <w:sz w:val="21"/>
                <w:szCs w:val="21"/>
                <w:highlight w:val="yellow"/>
                <w:lang w:val="en-US" w:eastAsia="zh-CN"/>
              </w:rPr>
            </w:pPr>
            <w:r>
              <w:rPr>
                <w:rFonts w:hint="eastAsia" w:ascii="宋体" w:hAnsi="宋体" w:eastAsia="宋体" w:cs="宋体"/>
                <w:b w:val="0"/>
                <w:bCs w:val="0"/>
                <w:color w:val="auto"/>
                <w:kern w:val="0"/>
                <w:sz w:val="21"/>
                <w:szCs w:val="21"/>
                <w:highlight w:val="none"/>
                <w:lang w:val="en-US" w:eastAsia="zh-CN"/>
              </w:rPr>
              <w:t>3.实施方案（1</w:t>
            </w:r>
            <w:r>
              <w:rPr>
                <w:rFonts w:hint="eastAsia" w:ascii="宋体" w:hAnsi="宋体" w:cs="宋体"/>
                <w:b w:val="0"/>
                <w:bCs w:val="0"/>
                <w:color w:val="auto"/>
                <w:kern w:val="0"/>
                <w:sz w:val="21"/>
                <w:szCs w:val="21"/>
                <w:highlight w:val="none"/>
                <w:lang w:val="en-US" w:eastAsia="zh-CN"/>
              </w:rPr>
              <w:t>2</w:t>
            </w:r>
            <w:r>
              <w:rPr>
                <w:rFonts w:hint="eastAsia" w:ascii="宋体" w:hAnsi="宋体" w:eastAsia="宋体" w:cs="宋体"/>
                <w:b w:val="0"/>
                <w:bCs w:val="0"/>
                <w:color w:val="auto"/>
                <w:kern w:val="0"/>
                <w:sz w:val="21"/>
                <w:szCs w:val="21"/>
                <w:highlight w:val="none"/>
                <w:lang w:val="en-US" w:eastAsia="zh-CN"/>
              </w:rPr>
              <w:t>分）</w:t>
            </w:r>
          </w:p>
        </w:tc>
        <w:tc>
          <w:tcPr>
            <w:tcW w:w="6770" w:type="dxa"/>
            <w:noWrap w:val="0"/>
            <w:vAlign w:val="center"/>
          </w:tcPr>
          <w:p w14:paraId="3E802553">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磋商小组根据</w:t>
            </w:r>
            <w:r>
              <w:rPr>
                <w:rFonts w:hint="eastAsia" w:ascii="宋体" w:hAnsi="宋体" w:eastAsia="宋体" w:cs="宋体"/>
                <w:b w:val="0"/>
                <w:bCs w:val="0"/>
                <w:color w:val="auto"/>
                <w:sz w:val="21"/>
                <w:szCs w:val="21"/>
                <w:highlight w:val="none"/>
              </w:rPr>
              <w:t>供应商</w:t>
            </w:r>
            <w:r>
              <w:rPr>
                <w:rFonts w:hint="eastAsia" w:ascii="宋体" w:hAnsi="宋体" w:eastAsia="宋体" w:cs="宋体"/>
                <w:b w:val="0"/>
                <w:bCs w:val="0"/>
                <w:color w:val="auto"/>
                <w:kern w:val="2"/>
                <w:sz w:val="21"/>
                <w:szCs w:val="21"/>
                <w:highlight w:val="none"/>
                <w:lang w:val="en-US" w:eastAsia="zh-CN"/>
              </w:rPr>
              <w:t>提供的</w:t>
            </w:r>
            <w:r>
              <w:rPr>
                <w:rFonts w:hint="eastAsia" w:ascii="宋体" w:hAnsi="宋体" w:eastAsia="宋体" w:cs="宋体"/>
                <w:b w:val="0"/>
                <w:bCs w:val="0"/>
                <w:color w:val="auto"/>
                <w:sz w:val="21"/>
                <w:szCs w:val="21"/>
                <w:highlight w:val="none"/>
                <w:lang w:eastAsia="zh-CN"/>
              </w:rPr>
              <w:t>供货</w:t>
            </w:r>
            <w:r>
              <w:rPr>
                <w:rFonts w:hint="eastAsia" w:ascii="宋体" w:hAnsi="宋体" w:eastAsia="宋体" w:cs="宋体"/>
                <w:b w:val="0"/>
                <w:bCs w:val="0"/>
                <w:color w:val="auto"/>
                <w:sz w:val="21"/>
                <w:szCs w:val="21"/>
                <w:highlight w:val="none"/>
              </w:rPr>
              <w:t>方案，包括供货、安装调试的方案（前期工作、人员及工具配备、时间安排）及培训方案</w:t>
            </w:r>
            <w:r>
              <w:rPr>
                <w:rFonts w:hint="eastAsia" w:ascii="宋体" w:hAnsi="宋体" w:eastAsia="宋体" w:cs="宋体"/>
                <w:b w:val="0"/>
                <w:bCs w:val="0"/>
                <w:color w:val="auto"/>
                <w:sz w:val="21"/>
                <w:szCs w:val="21"/>
                <w:highlight w:val="none"/>
                <w:lang w:eastAsia="zh-CN"/>
              </w:rPr>
              <w:t>、验收</w:t>
            </w:r>
            <w:r>
              <w:rPr>
                <w:rFonts w:hint="eastAsia" w:ascii="宋体" w:hAnsi="宋体" w:eastAsia="宋体" w:cs="宋体"/>
                <w:b w:val="0"/>
                <w:bCs w:val="0"/>
                <w:color w:val="auto"/>
                <w:sz w:val="21"/>
                <w:szCs w:val="21"/>
                <w:highlight w:val="none"/>
              </w:rPr>
              <w:t>方案</w:t>
            </w:r>
            <w:r>
              <w:rPr>
                <w:rFonts w:hint="eastAsia" w:ascii="宋体" w:hAnsi="宋体" w:eastAsia="宋体" w:cs="宋体"/>
                <w:b w:val="0"/>
                <w:bCs w:val="0"/>
                <w:color w:val="auto"/>
                <w:sz w:val="21"/>
                <w:szCs w:val="21"/>
                <w:highlight w:val="none"/>
                <w:lang w:val="en-US" w:eastAsia="zh-CN"/>
              </w:rPr>
              <w:t>等进行打分。</w:t>
            </w:r>
          </w:p>
          <w:p w14:paraId="5C33A345">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sz w:val="21"/>
                <w:szCs w:val="21"/>
                <w:highlight w:val="yellow"/>
                <w:lang w:val="en-US" w:eastAsia="zh-CN"/>
              </w:rPr>
            </w:pPr>
            <w:r>
              <w:rPr>
                <w:rFonts w:hint="eastAsia" w:ascii="宋体" w:hAnsi="宋体" w:eastAsia="宋体" w:cs="宋体"/>
                <w:b w:val="0"/>
                <w:bCs w:val="0"/>
                <w:color w:val="auto"/>
                <w:sz w:val="21"/>
                <w:szCs w:val="21"/>
                <w:highlight w:val="none"/>
              </w:rPr>
              <w:t>方案</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可行性强</w:t>
            </w:r>
            <w:r>
              <w:rPr>
                <w:rFonts w:hint="eastAsia" w:ascii="宋体" w:hAnsi="宋体" w:eastAsia="宋体" w:cs="宋体"/>
                <w:b w:val="0"/>
                <w:bCs w:val="0"/>
                <w:color w:val="auto"/>
                <w:sz w:val="21"/>
                <w:szCs w:val="21"/>
                <w:highlight w:val="none"/>
                <w:lang w:val="en-US" w:eastAsia="zh-CN"/>
              </w:rPr>
              <w:t>的得</w:t>
            </w: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lang w:val="en-US" w:eastAsia="zh-CN"/>
              </w:rPr>
              <w:t>分；</w:t>
            </w:r>
            <w:r>
              <w:rPr>
                <w:rFonts w:hint="eastAsia" w:ascii="宋体" w:hAnsi="宋体" w:eastAsia="宋体" w:cs="宋体"/>
                <w:b w:val="0"/>
                <w:bCs w:val="0"/>
                <w:color w:val="auto"/>
                <w:sz w:val="21"/>
                <w:szCs w:val="21"/>
                <w:highlight w:val="none"/>
              </w:rPr>
              <w:t>方案</w:t>
            </w:r>
            <w:r>
              <w:rPr>
                <w:rFonts w:hint="eastAsia" w:ascii="宋体" w:hAnsi="宋体" w:eastAsia="宋体" w:cs="宋体"/>
                <w:szCs w:val="21"/>
                <w:highlight w:val="none"/>
                <w:lang w:bidi="ar"/>
              </w:rPr>
              <w:t>较</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可行性较</w:t>
            </w:r>
            <w:r>
              <w:rPr>
                <w:rFonts w:hint="eastAsia" w:ascii="宋体" w:hAnsi="宋体" w:eastAsia="宋体" w:cs="宋体"/>
                <w:b w:val="0"/>
                <w:bCs w:val="0"/>
                <w:color w:val="auto"/>
                <w:sz w:val="21"/>
                <w:szCs w:val="21"/>
                <w:highlight w:val="none"/>
              </w:rPr>
              <w:t>强</w:t>
            </w:r>
            <w:r>
              <w:rPr>
                <w:rFonts w:hint="eastAsia" w:ascii="宋体" w:hAnsi="宋体" w:eastAsia="宋体" w:cs="宋体"/>
                <w:b w:val="0"/>
                <w:bCs w:val="0"/>
                <w:color w:val="auto"/>
                <w:sz w:val="21"/>
                <w:szCs w:val="21"/>
                <w:highlight w:val="none"/>
                <w:lang w:val="en-US" w:eastAsia="zh-CN"/>
              </w:rPr>
              <w:t>的得3分；</w:t>
            </w:r>
            <w:r>
              <w:rPr>
                <w:rFonts w:hint="eastAsia" w:ascii="宋体" w:hAnsi="宋体" w:eastAsia="宋体" w:cs="宋体"/>
                <w:b w:val="0"/>
                <w:bCs w:val="0"/>
                <w:color w:val="auto"/>
                <w:sz w:val="21"/>
                <w:szCs w:val="21"/>
                <w:highlight w:val="none"/>
              </w:rPr>
              <w:t>方案</w:t>
            </w:r>
            <w:r>
              <w:rPr>
                <w:rFonts w:hint="eastAsia" w:ascii="宋体" w:hAnsi="宋体" w:eastAsia="宋体" w:cs="宋体"/>
                <w:szCs w:val="21"/>
                <w:highlight w:val="none"/>
                <w:lang w:bidi="ar"/>
              </w:rPr>
              <w:t>较</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w:t>
            </w:r>
            <w:r>
              <w:rPr>
                <w:rFonts w:hint="eastAsia" w:ascii="宋体" w:hAnsi="宋体" w:eastAsia="宋体" w:cs="宋体"/>
                <w:szCs w:val="21"/>
                <w:highlight w:val="none"/>
                <w:lang w:eastAsia="zh-CN" w:bidi="ar"/>
              </w:rPr>
              <w:t>一般</w:t>
            </w:r>
            <w:r>
              <w:rPr>
                <w:rFonts w:hint="eastAsia" w:ascii="宋体" w:hAnsi="宋体" w:eastAsia="宋体" w:cs="宋体"/>
                <w:b w:val="0"/>
                <w:bCs w:val="0"/>
                <w:color w:val="auto"/>
                <w:sz w:val="21"/>
                <w:szCs w:val="21"/>
                <w:highlight w:val="none"/>
                <w:lang w:val="en-US" w:eastAsia="zh-CN"/>
              </w:rPr>
              <w:t>的得2分；方案内容不</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w:t>
            </w:r>
            <w:r>
              <w:rPr>
                <w:rFonts w:hint="eastAsia" w:ascii="宋体" w:hAnsi="宋体" w:eastAsia="宋体" w:cs="宋体"/>
                <w:b w:val="0"/>
                <w:bCs w:val="0"/>
                <w:color w:val="auto"/>
                <w:sz w:val="21"/>
                <w:szCs w:val="21"/>
                <w:highlight w:val="none"/>
                <w:lang w:val="en-US" w:eastAsia="zh-CN"/>
              </w:rPr>
              <w:t>差的得1分</w:t>
            </w:r>
            <w:r>
              <w:rPr>
                <w:rFonts w:hint="eastAsia" w:ascii="宋体" w:hAnsi="宋体" w:eastAsia="宋体" w:cs="宋体"/>
                <w:b w:val="0"/>
                <w:bCs w:val="0"/>
                <w:color w:val="auto"/>
                <w:sz w:val="21"/>
                <w:szCs w:val="21"/>
                <w:highlight w:val="none"/>
              </w:rPr>
              <w:t>；缺项得0分。</w:t>
            </w:r>
          </w:p>
        </w:tc>
      </w:tr>
      <w:tr w14:paraId="6686A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1239" w:type="dxa"/>
            <w:vMerge w:val="continue"/>
            <w:noWrap w:val="0"/>
            <w:vAlign w:val="center"/>
          </w:tcPr>
          <w:p w14:paraId="0F5535FC">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continue"/>
            <w:noWrap w:val="0"/>
            <w:vAlign w:val="center"/>
          </w:tcPr>
          <w:p w14:paraId="445A9177">
            <w:pPr>
              <w:keepNext w:val="0"/>
              <w:keepLines w:val="0"/>
              <w:pageBreakBefore w:val="0"/>
              <w:widowControl/>
              <w:kinsoku/>
              <w:wordWrap/>
              <w:overflowPunct/>
              <w:topLinePunct w:val="0"/>
              <w:autoSpaceDE/>
              <w:autoSpaceDN/>
              <w:bidi w:val="0"/>
              <w:adjustRightInd/>
              <w:snapToGrid w:val="0"/>
              <w:spacing w:line="360" w:lineRule="exact"/>
              <w:textAlignment w:val="auto"/>
              <w:rPr>
                <w:rFonts w:hint="eastAsia" w:ascii="宋体" w:hAnsi="宋体" w:eastAsia="宋体" w:cs="宋体"/>
                <w:b w:val="0"/>
                <w:bCs w:val="0"/>
                <w:color w:val="auto"/>
                <w:kern w:val="0"/>
                <w:sz w:val="21"/>
                <w:szCs w:val="21"/>
                <w:highlight w:val="none"/>
                <w:lang w:val="en-US" w:eastAsia="zh-CN"/>
              </w:rPr>
            </w:pPr>
          </w:p>
        </w:tc>
        <w:tc>
          <w:tcPr>
            <w:tcW w:w="6770" w:type="dxa"/>
            <w:noWrap w:val="0"/>
            <w:vAlign w:val="center"/>
          </w:tcPr>
          <w:p w14:paraId="1DBDC8C7">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磋商小组根据</w:t>
            </w:r>
            <w:r>
              <w:rPr>
                <w:rFonts w:hint="eastAsia" w:ascii="宋体" w:hAnsi="宋体" w:eastAsia="宋体" w:cs="宋体"/>
                <w:b w:val="0"/>
                <w:bCs w:val="0"/>
                <w:color w:val="auto"/>
                <w:sz w:val="21"/>
                <w:szCs w:val="21"/>
                <w:highlight w:val="none"/>
              </w:rPr>
              <w:t>供应商</w:t>
            </w:r>
            <w:r>
              <w:rPr>
                <w:rFonts w:hint="eastAsia" w:ascii="宋体" w:hAnsi="宋体" w:eastAsia="宋体" w:cs="宋体"/>
                <w:b w:val="0"/>
                <w:bCs w:val="0"/>
                <w:color w:val="auto"/>
                <w:kern w:val="2"/>
                <w:sz w:val="21"/>
                <w:szCs w:val="21"/>
                <w:highlight w:val="none"/>
                <w:lang w:val="en-US" w:eastAsia="zh-CN"/>
              </w:rPr>
              <w:t>提供的供货保障措施</w:t>
            </w:r>
            <w:r>
              <w:rPr>
                <w:rFonts w:hint="eastAsia" w:ascii="宋体" w:hAnsi="宋体" w:eastAsia="宋体" w:cs="宋体"/>
                <w:b w:val="0"/>
                <w:bCs w:val="0"/>
                <w:color w:val="auto"/>
                <w:sz w:val="21"/>
                <w:szCs w:val="21"/>
                <w:highlight w:val="none"/>
              </w:rPr>
              <w:t>，包括</w:t>
            </w:r>
            <w:r>
              <w:rPr>
                <w:rFonts w:hint="eastAsia" w:ascii="宋体" w:hAnsi="宋体" w:eastAsia="宋体" w:cs="宋体"/>
                <w:b w:val="0"/>
                <w:bCs w:val="0"/>
                <w:color w:val="auto"/>
                <w:sz w:val="21"/>
                <w:szCs w:val="21"/>
                <w:highlight w:val="none"/>
                <w:lang w:eastAsia="zh-CN"/>
              </w:rPr>
              <w:t>货源保障措施、</w:t>
            </w:r>
            <w:r>
              <w:rPr>
                <w:rFonts w:hint="eastAsia" w:ascii="宋体" w:hAnsi="宋体" w:eastAsia="宋体" w:cs="宋体"/>
                <w:b w:val="0"/>
                <w:bCs w:val="0"/>
                <w:color w:val="auto"/>
                <w:sz w:val="21"/>
                <w:szCs w:val="21"/>
                <w:highlight w:val="none"/>
              </w:rPr>
              <w:t>交货期保证措施</w:t>
            </w:r>
            <w:r>
              <w:rPr>
                <w:rFonts w:hint="eastAsia" w:ascii="宋体" w:hAnsi="宋体" w:eastAsia="宋体" w:cs="宋体"/>
                <w:b w:val="0"/>
                <w:bCs w:val="0"/>
                <w:color w:val="auto"/>
                <w:sz w:val="21"/>
                <w:szCs w:val="21"/>
                <w:highlight w:val="none"/>
                <w:lang w:val="en-US" w:eastAsia="zh-CN"/>
              </w:rPr>
              <w:t>等进行打分。</w:t>
            </w:r>
          </w:p>
          <w:p w14:paraId="765F838B">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方案</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可行性强</w:t>
            </w:r>
            <w:r>
              <w:rPr>
                <w:rFonts w:hint="eastAsia" w:ascii="宋体" w:hAnsi="宋体" w:eastAsia="宋体" w:cs="宋体"/>
                <w:b w:val="0"/>
                <w:bCs w:val="0"/>
                <w:color w:val="auto"/>
                <w:sz w:val="21"/>
                <w:szCs w:val="21"/>
                <w:highlight w:val="none"/>
                <w:lang w:val="en-US" w:eastAsia="zh-CN"/>
              </w:rPr>
              <w:t>的得</w:t>
            </w: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lang w:val="en-US" w:eastAsia="zh-CN"/>
              </w:rPr>
              <w:t>分；</w:t>
            </w:r>
            <w:r>
              <w:rPr>
                <w:rFonts w:hint="eastAsia" w:ascii="宋体" w:hAnsi="宋体" w:eastAsia="宋体" w:cs="宋体"/>
                <w:b w:val="0"/>
                <w:bCs w:val="0"/>
                <w:color w:val="auto"/>
                <w:sz w:val="21"/>
                <w:szCs w:val="21"/>
                <w:highlight w:val="none"/>
              </w:rPr>
              <w:t>方案</w:t>
            </w:r>
            <w:r>
              <w:rPr>
                <w:rFonts w:hint="eastAsia" w:ascii="宋体" w:hAnsi="宋体" w:eastAsia="宋体" w:cs="宋体"/>
                <w:szCs w:val="21"/>
                <w:highlight w:val="none"/>
                <w:lang w:bidi="ar"/>
              </w:rPr>
              <w:t>较</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可行性较</w:t>
            </w:r>
            <w:r>
              <w:rPr>
                <w:rFonts w:hint="eastAsia" w:ascii="宋体" w:hAnsi="宋体" w:eastAsia="宋体" w:cs="宋体"/>
                <w:b w:val="0"/>
                <w:bCs w:val="0"/>
                <w:color w:val="auto"/>
                <w:sz w:val="21"/>
                <w:szCs w:val="21"/>
                <w:highlight w:val="none"/>
              </w:rPr>
              <w:t>强</w:t>
            </w:r>
            <w:r>
              <w:rPr>
                <w:rFonts w:hint="eastAsia" w:ascii="宋体" w:hAnsi="宋体" w:eastAsia="宋体" w:cs="宋体"/>
                <w:b w:val="0"/>
                <w:bCs w:val="0"/>
                <w:color w:val="auto"/>
                <w:sz w:val="21"/>
                <w:szCs w:val="21"/>
                <w:highlight w:val="none"/>
                <w:lang w:val="en-US" w:eastAsia="zh-CN"/>
              </w:rPr>
              <w:t>的得3分；</w:t>
            </w:r>
            <w:r>
              <w:rPr>
                <w:rFonts w:hint="eastAsia" w:ascii="宋体" w:hAnsi="宋体" w:eastAsia="宋体" w:cs="宋体"/>
                <w:b w:val="0"/>
                <w:bCs w:val="0"/>
                <w:color w:val="auto"/>
                <w:sz w:val="21"/>
                <w:szCs w:val="21"/>
                <w:highlight w:val="none"/>
              </w:rPr>
              <w:t>方案</w:t>
            </w:r>
            <w:r>
              <w:rPr>
                <w:rFonts w:hint="eastAsia" w:ascii="宋体" w:hAnsi="宋体" w:eastAsia="宋体" w:cs="宋体"/>
                <w:szCs w:val="21"/>
                <w:highlight w:val="none"/>
                <w:lang w:bidi="ar"/>
              </w:rPr>
              <w:t>较</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w:t>
            </w:r>
            <w:r>
              <w:rPr>
                <w:rFonts w:hint="eastAsia" w:ascii="宋体" w:hAnsi="宋体" w:eastAsia="宋体" w:cs="宋体"/>
                <w:szCs w:val="21"/>
                <w:highlight w:val="none"/>
                <w:lang w:eastAsia="zh-CN" w:bidi="ar"/>
              </w:rPr>
              <w:t>一般</w:t>
            </w:r>
            <w:r>
              <w:rPr>
                <w:rFonts w:hint="eastAsia" w:ascii="宋体" w:hAnsi="宋体" w:eastAsia="宋体" w:cs="宋体"/>
                <w:b w:val="0"/>
                <w:bCs w:val="0"/>
                <w:color w:val="auto"/>
                <w:sz w:val="21"/>
                <w:szCs w:val="21"/>
                <w:highlight w:val="none"/>
                <w:lang w:val="en-US" w:eastAsia="zh-CN"/>
              </w:rPr>
              <w:t>的得2分；方案内容不</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w:t>
            </w:r>
            <w:r>
              <w:rPr>
                <w:rFonts w:hint="eastAsia" w:ascii="宋体" w:hAnsi="宋体" w:eastAsia="宋体" w:cs="宋体"/>
                <w:b w:val="0"/>
                <w:bCs w:val="0"/>
                <w:color w:val="auto"/>
                <w:sz w:val="21"/>
                <w:szCs w:val="21"/>
                <w:highlight w:val="none"/>
                <w:lang w:val="en-US" w:eastAsia="zh-CN"/>
              </w:rPr>
              <w:t>差的得1分</w:t>
            </w:r>
            <w:r>
              <w:rPr>
                <w:rFonts w:hint="eastAsia" w:ascii="宋体" w:hAnsi="宋体" w:eastAsia="宋体" w:cs="宋体"/>
                <w:b w:val="0"/>
                <w:bCs w:val="0"/>
                <w:color w:val="auto"/>
                <w:sz w:val="21"/>
                <w:szCs w:val="21"/>
                <w:highlight w:val="none"/>
              </w:rPr>
              <w:t>；缺项得0分。</w:t>
            </w:r>
          </w:p>
        </w:tc>
      </w:tr>
      <w:tr w14:paraId="36E8E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14:paraId="119C775C">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continue"/>
            <w:noWrap w:val="0"/>
            <w:vAlign w:val="center"/>
          </w:tcPr>
          <w:p w14:paraId="3EF8C0E6">
            <w:pPr>
              <w:keepNext w:val="0"/>
              <w:keepLines w:val="0"/>
              <w:pageBreakBefore w:val="0"/>
              <w:widowControl/>
              <w:kinsoku/>
              <w:wordWrap/>
              <w:overflowPunct/>
              <w:topLinePunct w:val="0"/>
              <w:autoSpaceDE/>
              <w:autoSpaceDN/>
              <w:bidi w:val="0"/>
              <w:adjustRightInd/>
              <w:snapToGrid w:val="0"/>
              <w:spacing w:line="360" w:lineRule="exact"/>
              <w:textAlignment w:val="auto"/>
              <w:rPr>
                <w:rFonts w:hint="eastAsia" w:ascii="宋体" w:hAnsi="宋体" w:eastAsia="宋体" w:cs="宋体"/>
                <w:b w:val="0"/>
                <w:bCs w:val="0"/>
                <w:color w:val="auto"/>
                <w:kern w:val="0"/>
                <w:sz w:val="21"/>
                <w:szCs w:val="21"/>
                <w:highlight w:val="none"/>
                <w:lang w:val="en-US" w:eastAsia="zh-CN"/>
              </w:rPr>
            </w:pPr>
          </w:p>
        </w:tc>
        <w:tc>
          <w:tcPr>
            <w:tcW w:w="6770" w:type="dxa"/>
            <w:noWrap w:val="0"/>
            <w:vAlign w:val="center"/>
          </w:tcPr>
          <w:p w14:paraId="099A2A01">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根据供应商针对突发情况提供应急服务方案及保障措施进行打分，包含（但不限于）以下内容：应急响应流程及响应时间、应急保障措施（人员配备、备品备件等）。</w:t>
            </w:r>
          </w:p>
          <w:p w14:paraId="7D40FC99">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方案</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可行性强</w:t>
            </w:r>
            <w:r>
              <w:rPr>
                <w:rFonts w:hint="eastAsia" w:ascii="宋体" w:hAnsi="宋体" w:eastAsia="宋体" w:cs="宋体"/>
                <w:b w:val="0"/>
                <w:bCs w:val="0"/>
                <w:color w:val="auto"/>
                <w:sz w:val="21"/>
                <w:szCs w:val="21"/>
                <w:highlight w:val="none"/>
                <w:lang w:val="en-US" w:eastAsia="zh-CN"/>
              </w:rPr>
              <w:t>的得</w:t>
            </w: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lang w:val="en-US" w:eastAsia="zh-CN"/>
              </w:rPr>
              <w:t>分；</w:t>
            </w:r>
            <w:r>
              <w:rPr>
                <w:rFonts w:hint="eastAsia" w:ascii="宋体" w:hAnsi="宋体" w:eastAsia="宋体" w:cs="宋体"/>
                <w:b w:val="0"/>
                <w:bCs w:val="0"/>
                <w:color w:val="auto"/>
                <w:sz w:val="21"/>
                <w:szCs w:val="21"/>
                <w:highlight w:val="none"/>
              </w:rPr>
              <w:t>方案</w:t>
            </w:r>
            <w:r>
              <w:rPr>
                <w:rFonts w:hint="eastAsia" w:ascii="宋体" w:hAnsi="宋体" w:eastAsia="宋体" w:cs="宋体"/>
                <w:szCs w:val="21"/>
                <w:highlight w:val="none"/>
                <w:lang w:bidi="ar"/>
              </w:rPr>
              <w:t>较</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可行性较</w:t>
            </w:r>
            <w:r>
              <w:rPr>
                <w:rFonts w:hint="eastAsia" w:ascii="宋体" w:hAnsi="宋体" w:eastAsia="宋体" w:cs="宋体"/>
                <w:b w:val="0"/>
                <w:bCs w:val="0"/>
                <w:color w:val="auto"/>
                <w:sz w:val="21"/>
                <w:szCs w:val="21"/>
                <w:highlight w:val="none"/>
              </w:rPr>
              <w:t>强</w:t>
            </w:r>
            <w:r>
              <w:rPr>
                <w:rFonts w:hint="eastAsia" w:ascii="宋体" w:hAnsi="宋体" w:eastAsia="宋体" w:cs="宋体"/>
                <w:b w:val="0"/>
                <w:bCs w:val="0"/>
                <w:color w:val="auto"/>
                <w:sz w:val="21"/>
                <w:szCs w:val="21"/>
                <w:highlight w:val="none"/>
                <w:lang w:val="en-US" w:eastAsia="zh-CN"/>
              </w:rPr>
              <w:t>的得3分；</w:t>
            </w:r>
            <w:r>
              <w:rPr>
                <w:rFonts w:hint="eastAsia" w:ascii="宋体" w:hAnsi="宋体" w:eastAsia="宋体" w:cs="宋体"/>
                <w:b w:val="0"/>
                <w:bCs w:val="0"/>
                <w:color w:val="auto"/>
                <w:sz w:val="21"/>
                <w:szCs w:val="21"/>
                <w:highlight w:val="none"/>
              </w:rPr>
              <w:t>方案</w:t>
            </w:r>
            <w:r>
              <w:rPr>
                <w:rFonts w:hint="eastAsia" w:ascii="宋体" w:hAnsi="宋体" w:eastAsia="宋体" w:cs="宋体"/>
                <w:szCs w:val="21"/>
                <w:highlight w:val="none"/>
                <w:lang w:bidi="ar"/>
              </w:rPr>
              <w:t>较</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w:t>
            </w:r>
            <w:r>
              <w:rPr>
                <w:rFonts w:hint="eastAsia" w:ascii="宋体" w:hAnsi="宋体" w:eastAsia="宋体" w:cs="宋体"/>
                <w:szCs w:val="21"/>
                <w:highlight w:val="none"/>
                <w:lang w:eastAsia="zh-CN" w:bidi="ar"/>
              </w:rPr>
              <w:t>一般</w:t>
            </w:r>
            <w:r>
              <w:rPr>
                <w:rFonts w:hint="eastAsia" w:ascii="宋体" w:hAnsi="宋体" w:eastAsia="宋体" w:cs="宋体"/>
                <w:b w:val="0"/>
                <w:bCs w:val="0"/>
                <w:color w:val="auto"/>
                <w:sz w:val="21"/>
                <w:szCs w:val="21"/>
                <w:highlight w:val="none"/>
                <w:lang w:val="en-US" w:eastAsia="zh-CN"/>
              </w:rPr>
              <w:t>的得2分；方案内容不</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w:t>
            </w:r>
            <w:r>
              <w:rPr>
                <w:rFonts w:hint="eastAsia" w:ascii="宋体" w:hAnsi="宋体" w:eastAsia="宋体" w:cs="宋体"/>
                <w:b w:val="0"/>
                <w:bCs w:val="0"/>
                <w:color w:val="auto"/>
                <w:sz w:val="21"/>
                <w:szCs w:val="21"/>
                <w:highlight w:val="none"/>
                <w:lang w:val="en-US" w:eastAsia="zh-CN"/>
              </w:rPr>
              <w:t>差的得1分</w:t>
            </w:r>
            <w:r>
              <w:rPr>
                <w:rFonts w:hint="eastAsia" w:ascii="宋体" w:hAnsi="宋体" w:eastAsia="宋体" w:cs="宋体"/>
                <w:b w:val="0"/>
                <w:bCs w:val="0"/>
                <w:color w:val="auto"/>
                <w:sz w:val="21"/>
                <w:szCs w:val="21"/>
                <w:highlight w:val="none"/>
              </w:rPr>
              <w:t>；缺项得0分。</w:t>
            </w:r>
          </w:p>
        </w:tc>
      </w:tr>
      <w:tr w14:paraId="2535F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239" w:type="dxa"/>
            <w:vMerge w:val="restart"/>
            <w:noWrap w:val="0"/>
            <w:vAlign w:val="center"/>
          </w:tcPr>
          <w:p w14:paraId="6CD3009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商务评价</w:t>
            </w:r>
          </w:p>
          <w:p w14:paraId="78A2E464">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1</w:t>
            </w:r>
            <w:r>
              <w:rPr>
                <w:rFonts w:hint="eastAsia" w:ascii="宋体" w:hAnsi="宋体" w:cs="宋体"/>
                <w:b w:val="0"/>
                <w:bCs w:val="0"/>
                <w:color w:val="auto"/>
                <w:sz w:val="21"/>
                <w:szCs w:val="21"/>
                <w:highlight w:val="none"/>
                <w:lang w:val="en-US" w:eastAsia="zh-CN"/>
              </w:rPr>
              <w:t>8</w:t>
            </w:r>
            <w:r>
              <w:rPr>
                <w:rFonts w:hint="eastAsia" w:ascii="宋体" w:hAnsi="宋体" w:eastAsia="宋体" w:cs="宋体"/>
                <w:b w:val="0"/>
                <w:bCs w:val="0"/>
                <w:color w:val="auto"/>
                <w:sz w:val="21"/>
                <w:szCs w:val="21"/>
                <w:highlight w:val="none"/>
                <w:lang w:eastAsia="zh-CN"/>
              </w:rPr>
              <w:t>分)</w:t>
            </w:r>
          </w:p>
        </w:tc>
        <w:tc>
          <w:tcPr>
            <w:tcW w:w="1473" w:type="dxa"/>
            <w:tcBorders>
              <w:top w:val="single" w:color="auto" w:sz="4" w:space="0"/>
            </w:tcBorders>
            <w:noWrap w:val="0"/>
            <w:vAlign w:val="center"/>
          </w:tcPr>
          <w:p w14:paraId="076DD506">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1、质保期（</w:t>
            </w: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lang w:val="en-US" w:eastAsia="zh-CN"/>
              </w:rPr>
              <w:t>分）</w:t>
            </w:r>
          </w:p>
        </w:tc>
        <w:tc>
          <w:tcPr>
            <w:tcW w:w="6770" w:type="dxa"/>
            <w:noWrap w:val="0"/>
            <w:vAlign w:val="top"/>
          </w:tcPr>
          <w:p w14:paraId="430101BC">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质保期在满足采购文件的基础上，每增加半年加1分,最多加</w:t>
            </w: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lang w:val="en-US" w:eastAsia="zh-CN"/>
              </w:rPr>
              <w:t>分（出具相关服务承诺书）。</w:t>
            </w:r>
          </w:p>
        </w:tc>
      </w:tr>
      <w:tr w14:paraId="7119C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239" w:type="dxa"/>
            <w:vMerge w:val="continue"/>
            <w:noWrap w:val="0"/>
            <w:vAlign w:val="center"/>
          </w:tcPr>
          <w:p w14:paraId="1799DEF9">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tcBorders>
              <w:top w:val="single" w:color="auto" w:sz="4" w:space="0"/>
            </w:tcBorders>
            <w:noWrap w:val="0"/>
            <w:vAlign w:val="center"/>
          </w:tcPr>
          <w:p w14:paraId="0955ABB1">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2.类似业绩（4分）</w:t>
            </w:r>
          </w:p>
        </w:tc>
        <w:tc>
          <w:tcPr>
            <w:tcW w:w="6770" w:type="dxa"/>
            <w:noWrap w:val="0"/>
            <w:vAlign w:val="center"/>
          </w:tcPr>
          <w:p w14:paraId="274336C8">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自202</w:t>
            </w:r>
            <w:r>
              <w:rPr>
                <w:rFonts w:hint="eastAsia" w:ascii="宋体" w:hAnsi="宋体" w:cs="宋体"/>
                <w:b w:val="0"/>
                <w:bCs w:val="0"/>
                <w:color w:val="auto"/>
                <w:kern w:val="0"/>
                <w:sz w:val="21"/>
                <w:szCs w:val="21"/>
                <w:highlight w:val="none"/>
                <w:lang w:val="en-US" w:eastAsia="zh-CN"/>
              </w:rPr>
              <w:t>2</w:t>
            </w:r>
            <w:r>
              <w:rPr>
                <w:rFonts w:hint="eastAsia" w:ascii="宋体" w:hAnsi="宋体" w:eastAsia="宋体" w:cs="宋体"/>
                <w:b w:val="0"/>
                <w:bCs w:val="0"/>
                <w:color w:val="auto"/>
                <w:kern w:val="0"/>
                <w:sz w:val="21"/>
                <w:szCs w:val="21"/>
                <w:highlight w:val="none"/>
                <w:lang w:val="en-US" w:eastAsia="zh-CN"/>
              </w:rPr>
              <w:t>年1月1日以来具有的类似项目(以合同文件为准），每提供一份得2分，最多得4分。</w:t>
            </w:r>
          </w:p>
        </w:tc>
      </w:tr>
      <w:tr w14:paraId="5F293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1239" w:type="dxa"/>
            <w:vMerge w:val="continue"/>
            <w:noWrap w:val="0"/>
            <w:vAlign w:val="center"/>
          </w:tcPr>
          <w:p w14:paraId="4EC0596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vMerge w:val="restart"/>
            <w:noWrap w:val="0"/>
            <w:vAlign w:val="center"/>
          </w:tcPr>
          <w:p w14:paraId="68067DC2">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3.售后服务（10分）</w:t>
            </w:r>
          </w:p>
        </w:tc>
        <w:tc>
          <w:tcPr>
            <w:tcW w:w="6770" w:type="dxa"/>
            <w:noWrap w:val="0"/>
            <w:vAlign w:val="center"/>
          </w:tcPr>
          <w:p w14:paraId="099EB183">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磋商小组根据</w:t>
            </w:r>
            <w:r>
              <w:rPr>
                <w:rFonts w:hint="eastAsia" w:ascii="宋体" w:hAnsi="宋体" w:eastAsia="宋体" w:cs="宋体"/>
                <w:b w:val="0"/>
                <w:bCs w:val="0"/>
                <w:color w:val="auto"/>
                <w:kern w:val="2"/>
                <w:sz w:val="21"/>
                <w:szCs w:val="21"/>
                <w:highlight w:val="none"/>
                <w:lang w:val="en-US" w:eastAsia="zh-CN"/>
              </w:rPr>
              <w:t>供应商提供的售后服务体系，包括售后响应流程、问题反馈、时效、服务方式、服务地点等</w:t>
            </w:r>
            <w:r>
              <w:rPr>
                <w:rFonts w:hint="eastAsia" w:ascii="宋体" w:hAnsi="宋体" w:eastAsia="宋体" w:cs="宋体"/>
                <w:b w:val="0"/>
                <w:bCs w:val="0"/>
                <w:color w:val="auto"/>
                <w:sz w:val="21"/>
                <w:szCs w:val="21"/>
                <w:highlight w:val="none"/>
                <w:lang w:val="en-US" w:eastAsia="zh-CN"/>
              </w:rPr>
              <w:t>进行打分。</w:t>
            </w:r>
          </w:p>
          <w:p w14:paraId="7C694A37">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sz w:val="21"/>
                <w:szCs w:val="21"/>
              </w:rPr>
            </w:pPr>
            <w:r>
              <w:rPr>
                <w:rFonts w:hint="eastAsia" w:ascii="宋体" w:hAnsi="宋体" w:eastAsia="宋体" w:cs="宋体"/>
                <w:b w:val="0"/>
                <w:bCs w:val="0"/>
                <w:color w:val="auto"/>
                <w:kern w:val="2"/>
                <w:sz w:val="21"/>
                <w:szCs w:val="21"/>
                <w:highlight w:val="none"/>
                <w:lang w:val="en-US" w:eastAsia="zh-CN"/>
              </w:rPr>
              <w:t>服务体系</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可行性强</w:t>
            </w:r>
            <w:r>
              <w:rPr>
                <w:rFonts w:hint="eastAsia" w:ascii="宋体" w:hAnsi="宋体" w:eastAsia="宋体" w:cs="宋体"/>
                <w:b w:val="0"/>
                <w:bCs w:val="0"/>
                <w:color w:val="auto"/>
                <w:sz w:val="21"/>
                <w:szCs w:val="21"/>
                <w:highlight w:val="none"/>
                <w:lang w:val="en-US" w:eastAsia="zh-CN"/>
              </w:rPr>
              <w:t>的得5分；</w:t>
            </w:r>
            <w:r>
              <w:rPr>
                <w:rFonts w:hint="eastAsia" w:ascii="宋体" w:hAnsi="宋体" w:eastAsia="宋体" w:cs="宋体"/>
                <w:b w:val="0"/>
                <w:bCs w:val="0"/>
                <w:color w:val="auto"/>
                <w:kern w:val="2"/>
                <w:sz w:val="21"/>
                <w:szCs w:val="21"/>
                <w:highlight w:val="none"/>
                <w:lang w:val="en-US" w:eastAsia="zh-CN"/>
              </w:rPr>
              <w:t>服务体系</w:t>
            </w:r>
            <w:r>
              <w:rPr>
                <w:rFonts w:hint="eastAsia" w:ascii="宋体" w:hAnsi="宋体" w:eastAsia="宋体" w:cs="宋体"/>
                <w:szCs w:val="21"/>
                <w:highlight w:val="none"/>
                <w:lang w:bidi="ar"/>
              </w:rPr>
              <w:t>较</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可行性较</w:t>
            </w:r>
            <w:r>
              <w:rPr>
                <w:rFonts w:hint="eastAsia" w:ascii="宋体" w:hAnsi="宋体" w:eastAsia="宋体" w:cs="宋体"/>
                <w:b w:val="0"/>
                <w:bCs w:val="0"/>
                <w:color w:val="auto"/>
                <w:sz w:val="21"/>
                <w:szCs w:val="21"/>
                <w:highlight w:val="none"/>
              </w:rPr>
              <w:t>强</w:t>
            </w:r>
            <w:r>
              <w:rPr>
                <w:rFonts w:hint="eastAsia" w:ascii="宋体" w:hAnsi="宋体" w:eastAsia="宋体" w:cs="宋体"/>
                <w:b w:val="0"/>
                <w:bCs w:val="0"/>
                <w:color w:val="auto"/>
                <w:sz w:val="21"/>
                <w:szCs w:val="21"/>
                <w:highlight w:val="none"/>
                <w:lang w:val="en-US" w:eastAsia="zh-CN"/>
              </w:rPr>
              <w:t>的得3分；</w:t>
            </w:r>
            <w:r>
              <w:rPr>
                <w:rFonts w:hint="eastAsia" w:ascii="宋体" w:hAnsi="宋体" w:eastAsia="宋体" w:cs="宋体"/>
                <w:b w:val="0"/>
                <w:bCs w:val="0"/>
                <w:color w:val="auto"/>
                <w:kern w:val="2"/>
                <w:sz w:val="21"/>
                <w:szCs w:val="21"/>
                <w:highlight w:val="none"/>
                <w:lang w:val="en-US" w:eastAsia="zh-CN"/>
              </w:rPr>
              <w:t>服务体系</w:t>
            </w:r>
            <w:r>
              <w:rPr>
                <w:rFonts w:hint="eastAsia" w:ascii="宋体" w:hAnsi="宋体" w:eastAsia="宋体" w:cs="宋体"/>
                <w:szCs w:val="21"/>
                <w:highlight w:val="none"/>
                <w:lang w:bidi="ar"/>
              </w:rPr>
              <w:t>较</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w:t>
            </w:r>
            <w:r>
              <w:rPr>
                <w:rFonts w:hint="eastAsia" w:ascii="宋体" w:hAnsi="宋体" w:eastAsia="宋体" w:cs="宋体"/>
                <w:szCs w:val="21"/>
                <w:highlight w:val="none"/>
                <w:lang w:eastAsia="zh-CN" w:bidi="ar"/>
              </w:rPr>
              <w:t>一般</w:t>
            </w:r>
            <w:r>
              <w:rPr>
                <w:rFonts w:hint="eastAsia" w:ascii="宋体" w:hAnsi="宋体" w:eastAsia="宋体" w:cs="宋体"/>
                <w:b w:val="0"/>
                <w:bCs w:val="0"/>
                <w:color w:val="auto"/>
                <w:sz w:val="21"/>
                <w:szCs w:val="21"/>
                <w:highlight w:val="none"/>
                <w:lang w:val="en-US" w:eastAsia="zh-CN"/>
              </w:rPr>
              <w:t>的得2分；</w:t>
            </w:r>
            <w:r>
              <w:rPr>
                <w:rFonts w:hint="eastAsia" w:ascii="宋体" w:hAnsi="宋体" w:eastAsia="宋体" w:cs="宋体"/>
                <w:b w:val="0"/>
                <w:bCs w:val="0"/>
                <w:color w:val="auto"/>
                <w:kern w:val="2"/>
                <w:sz w:val="21"/>
                <w:szCs w:val="21"/>
                <w:highlight w:val="none"/>
                <w:lang w:val="en-US" w:eastAsia="zh-CN"/>
              </w:rPr>
              <w:t>服务体系</w:t>
            </w:r>
            <w:r>
              <w:rPr>
                <w:rFonts w:hint="eastAsia" w:ascii="宋体" w:hAnsi="宋体" w:eastAsia="宋体" w:cs="宋体"/>
                <w:b w:val="0"/>
                <w:bCs w:val="0"/>
                <w:color w:val="auto"/>
                <w:sz w:val="21"/>
                <w:szCs w:val="21"/>
                <w:highlight w:val="none"/>
                <w:lang w:val="en-US" w:eastAsia="zh-CN"/>
              </w:rPr>
              <w:t>内容不</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w:t>
            </w:r>
            <w:r>
              <w:rPr>
                <w:rFonts w:hint="eastAsia" w:ascii="宋体" w:hAnsi="宋体" w:eastAsia="宋体" w:cs="宋体"/>
                <w:b w:val="0"/>
                <w:bCs w:val="0"/>
                <w:color w:val="auto"/>
                <w:sz w:val="21"/>
                <w:szCs w:val="21"/>
                <w:highlight w:val="none"/>
                <w:lang w:val="en-US" w:eastAsia="zh-CN"/>
              </w:rPr>
              <w:t>差的得1分</w:t>
            </w:r>
            <w:r>
              <w:rPr>
                <w:rFonts w:hint="eastAsia" w:ascii="宋体" w:hAnsi="宋体" w:eastAsia="宋体" w:cs="宋体"/>
                <w:b w:val="0"/>
                <w:bCs w:val="0"/>
                <w:color w:val="auto"/>
                <w:sz w:val="21"/>
                <w:szCs w:val="21"/>
                <w:highlight w:val="none"/>
              </w:rPr>
              <w:t>；缺项得0分。</w:t>
            </w:r>
          </w:p>
        </w:tc>
      </w:tr>
      <w:tr w14:paraId="4F58B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1239" w:type="dxa"/>
            <w:vMerge w:val="continue"/>
            <w:noWrap w:val="0"/>
            <w:vAlign w:val="center"/>
          </w:tcPr>
          <w:p w14:paraId="5DBF0B94">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vMerge w:val="continue"/>
            <w:noWrap w:val="0"/>
            <w:vAlign w:val="center"/>
          </w:tcPr>
          <w:p w14:paraId="1C41E720">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kern w:val="2"/>
                <w:sz w:val="21"/>
                <w:szCs w:val="21"/>
                <w:highlight w:val="none"/>
                <w:lang w:val="en-US" w:eastAsia="zh-CN"/>
              </w:rPr>
            </w:pPr>
          </w:p>
        </w:tc>
        <w:tc>
          <w:tcPr>
            <w:tcW w:w="6770" w:type="dxa"/>
            <w:noWrap w:val="0"/>
            <w:vAlign w:val="center"/>
          </w:tcPr>
          <w:p w14:paraId="52F4D294">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磋商小组根据</w:t>
            </w:r>
            <w:r>
              <w:rPr>
                <w:rFonts w:hint="eastAsia" w:ascii="宋体" w:hAnsi="宋体" w:eastAsia="宋体" w:cs="宋体"/>
                <w:b w:val="0"/>
                <w:bCs w:val="0"/>
                <w:color w:val="auto"/>
                <w:kern w:val="2"/>
                <w:sz w:val="21"/>
                <w:szCs w:val="21"/>
                <w:highlight w:val="none"/>
                <w:lang w:val="en-US" w:eastAsia="zh-CN"/>
              </w:rPr>
              <w:t>供应商提供的售后服务保障措施，包括企业提供本地化服务的措施、售后人员数量、专业性等</w:t>
            </w:r>
            <w:r>
              <w:rPr>
                <w:rFonts w:hint="eastAsia" w:ascii="宋体" w:hAnsi="宋体" w:eastAsia="宋体" w:cs="宋体"/>
                <w:b w:val="0"/>
                <w:bCs w:val="0"/>
                <w:color w:val="auto"/>
                <w:sz w:val="21"/>
                <w:szCs w:val="21"/>
                <w:highlight w:val="none"/>
                <w:lang w:val="en-US" w:eastAsia="zh-CN"/>
              </w:rPr>
              <w:t>进行打分。</w:t>
            </w:r>
          </w:p>
          <w:p w14:paraId="5E1E3A00">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kern w:val="2"/>
                <w:sz w:val="21"/>
                <w:szCs w:val="21"/>
                <w:highlight w:val="none"/>
              </w:rPr>
            </w:pPr>
            <w:r>
              <w:rPr>
                <w:rFonts w:hint="eastAsia" w:ascii="宋体" w:hAnsi="宋体" w:eastAsia="宋体" w:cs="宋体"/>
                <w:b w:val="0"/>
                <w:bCs w:val="0"/>
                <w:color w:val="auto"/>
                <w:kern w:val="2"/>
                <w:sz w:val="21"/>
                <w:szCs w:val="21"/>
                <w:highlight w:val="none"/>
                <w:lang w:val="en-US" w:eastAsia="zh-CN"/>
              </w:rPr>
              <w:t>保障措施</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可行性强</w:t>
            </w:r>
            <w:r>
              <w:rPr>
                <w:rFonts w:hint="eastAsia" w:ascii="宋体" w:hAnsi="宋体" w:eastAsia="宋体" w:cs="宋体"/>
                <w:b w:val="0"/>
                <w:bCs w:val="0"/>
                <w:color w:val="auto"/>
                <w:sz w:val="21"/>
                <w:szCs w:val="21"/>
                <w:highlight w:val="none"/>
                <w:lang w:val="en-US" w:eastAsia="zh-CN"/>
              </w:rPr>
              <w:t>的得5分；</w:t>
            </w:r>
            <w:r>
              <w:rPr>
                <w:rFonts w:hint="eastAsia" w:ascii="宋体" w:hAnsi="宋体" w:eastAsia="宋体" w:cs="宋体"/>
                <w:b w:val="0"/>
                <w:bCs w:val="0"/>
                <w:color w:val="auto"/>
                <w:kern w:val="2"/>
                <w:sz w:val="21"/>
                <w:szCs w:val="21"/>
                <w:highlight w:val="none"/>
                <w:lang w:val="en-US" w:eastAsia="zh-CN"/>
              </w:rPr>
              <w:t>服务体系</w:t>
            </w:r>
            <w:r>
              <w:rPr>
                <w:rFonts w:hint="eastAsia" w:ascii="宋体" w:hAnsi="宋体" w:eastAsia="宋体" w:cs="宋体"/>
                <w:szCs w:val="21"/>
                <w:highlight w:val="none"/>
                <w:lang w:bidi="ar"/>
              </w:rPr>
              <w:t>较</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可行性较</w:t>
            </w:r>
            <w:r>
              <w:rPr>
                <w:rFonts w:hint="eastAsia" w:ascii="宋体" w:hAnsi="宋体" w:eastAsia="宋体" w:cs="宋体"/>
                <w:b w:val="0"/>
                <w:bCs w:val="0"/>
                <w:color w:val="auto"/>
                <w:sz w:val="21"/>
                <w:szCs w:val="21"/>
                <w:highlight w:val="none"/>
              </w:rPr>
              <w:t>强</w:t>
            </w:r>
            <w:r>
              <w:rPr>
                <w:rFonts w:hint="eastAsia" w:ascii="宋体" w:hAnsi="宋体" w:eastAsia="宋体" w:cs="宋体"/>
                <w:b w:val="0"/>
                <w:bCs w:val="0"/>
                <w:color w:val="auto"/>
                <w:sz w:val="21"/>
                <w:szCs w:val="21"/>
                <w:highlight w:val="none"/>
                <w:lang w:val="en-US" w:eastAsia="zh-CN"/>
              </w:rPr>
              <w:t>的得3分；</w:t>
            </w:r>
            <w:r>
              <w:rPr>
                <w:rFonts w:hint="eastAsia" w:ascii="宋体" w:hAnsi="宋体" w:eastAsia="宋体" w:cs="宋体"/>
                <w:b w:val="0"/>
                <w:bCs w:val="0"/>
                <w:color w:val="auto"/>
                <w:kern w:val="2"/>
                <w:sz w:val="21"/>
                <w:szCs w:val="21"/>
                <w:highlight w:val="none"/>
                <w:lang w:val="en-US" w:eastAsia="zh-CN"/>
              </w:rPr>
              <w:t>服务体系</w:t>
            </w:r>
            <w:r>
              <w:rPr>
                <w:rFonts w:hint="eastAsia" w:ascii="宋体" w:hAnsi="宋体" w:eastAsia="宋体" w:cs="宋体"/>
                <w:szCs w:val="21"/>
                <w:highlight w:val="none"/>
                <w:lang w:bidi="ar"/>
              </w:rPr>
              <w:t>较</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w:t>
            </w:r>
            <w:r>
              <w:rPr>
                <w:rFonts w:hint="eastAsia" w:ascii="宋体" w:hAnsi="宋体" w:eastAsia="宋体" w:cs="宋体"/>
                <w:szCs w:val="21"/>
                <w:highlight w:val="none"/>
                <w:lang w:eastAsia="zh-CN" w:bidi="ar"/>
              </w:rPr>
              <w:t>一般</w:t>
            </w:r>
            <w:r>
              <w:rPr>
                <w:rFonts w:hint="eastAsia" w:ascii="宋体" w:hAnsi="宋体" w:eastAsia="宋体" w:cs="宋体"/>
                <w:b w:val="0"/>
                <w:bCs w:val="0"/>
                <w:color w:val="auto"/>
                <w:sz w:val="21"/>
                <w:szCs w:val="21"/>
                <w:highlight w:val="none"/>
                <w:lang w:val="en-US" w:eastAsia="zh-CN"/>
              </w:rPr>
              <w:t>的得2分；</w:t>
            </w:r>
            <w:r>
              <w:rPr>
                <w:rFonts w:hint="eastAsia" w:ascii="宋体" w:hAnsi="宋体" w:eastAsia="宋体" w:cs="宋体"/>
                <w:b w:val="0"/>
                <w:bCs w:val="0"/>
                <w:color w:val="auto"/>
                <w:kern w:val="2"/>
                <w:sz w:val="21"/>
                <w:szCs w:val="21"/>
                <w:highlight w:val="none"/>
                <w:lang w:val="en-US" w:eastAsia="zh-CN"/>
              </w:rPr>
              <w:t>服务体系</w:t>
            </w:r>
            <w:r>
              <w:rPr>
                <w:rFonts w:hint="eastAsia" w:ascii="宋体" w:hAnsi="宋体" w:eastAsia="宋体" w:cs="宋体"/>
                <w:b w:val="0"/>
                <w:bCs w:val="0"/>
                <w:color w:val="auto"/>
                <w:sz w:val="21"/>
                <w:szCs w:val="21"/>
                <w:highlight w:val="none"/>
                <w:lang w:val="en-US" w:eastAsia="zh-CN"/>
              </w:rPr>
              <w:t>内容不</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w:t>
            </w:r>
            <w:r>
              <w:rPr>
                <w:rFonts w:hint="eastAsia" w:ascii="宋体" w:hAnsi="宋体" w:eastAsia="宋体" w:cs="宋体"/>
                <w:b w:val="0"/>
                <w:bCs w:val="0"/>
                <w:color w:val="auto"/>
                <w:sz w:val="21"/>
                <w:szCs w:val="21"/>
                <w:highlight w:val="none"/>
                <w:lang w:val="en-US" w:eastAsia="zh-CN"/>
              </w:rPr>
              <w:t>差的得1分</w:t>
            </w:r>
            <w:r>
              <w:rPr>
                <w:rFonts w:hint="eastAsia" w:ascii="宋体" w:hAnsi="宋体" w:eastAsia="宋体" w:cs="宋体"/>
                <w:b w:val="0"/>
                <w:bCs w:val="0"/>
                <w:color w:val="auto"/>
                <w:sz w:val="21"/>
                <w:szCs w:val="21"/>
                <w:highlight w:val="none"/>
              </w:rPr>
              <w:t>；缺项得0分。</w:t>
            </w:r>
          </w:p>
        </w:tc>
      </w:tr>
      <w:tr w14:paraId="3BEBF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239" w:type="dxa"/>
            <w:noWrap w:val="0"/>
            <w:vAlign w:val="top"/>
          </w:tcPr>
          <w:p w14:paraId="72BBE8EE">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14:paraId="38A897CC">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成员评分=各项评分因素的汇总得分。</w:t>
            </w:r>
          </w:p>
          <w:p w14:paraId="1982F070">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所有成员合计评分/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组成人员数。</w:t>
            </w:r>
          </w:p>
        </w:tc>
      </w:tr>
    </w:tbl>
    <w:p w14:paraId="3D2A9B4F">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kern w:val="0"/>
          <w:szCs w:val="21"/>
          <w:highlight w:val="none"/>
        </w:rPr>
      </w:pPr>
    </w:p>
    <w:p w14:paraId="38C63B20">
      <w:pPr>
        <w:rPr>
          <w:rFonts w:hint="eastAsia" w:ascii="宋体" w:hAnsi="宋体" w:eastAsia="宋体" w:cs="宋体"/>
          <w:b/>
          <w:color w:val="auto"/>
          <w:highlight w:val="none"/>
        </w:rPr>
      </w:pPr>
      <w:r>
        <w:rPr>
          <w:rFonts w:hint="eastAsia" w:ascii="宋体" w:hAnsi="宋体" w:eastAsia="宋体" w:cs="宋体"/>
          <w:b/>
          <w:color w:val="auto"/>
          <w:highlight w:val="none"/>
        </w:rPr>
        <w:br w:type="page"/>
      </w:r>
    </w:p>
    <w:bookmarkEnd w:id="45"/>
    <w:p w14:paraId="2CCD7513">
      <w:pPr>
        <w:rPr>
          <w:rFonts w:hint="eastAsia" w:ascii="宋体" w:hAnsi="宋体" w:eastAsia="宋体" w:cs="宋体"/>
          <w:color w:val="auto"/>
          <w:highlight w:val="none"/>
        </w:rPr>
      </w:pPr>
      <w:bookmarkStart w:id="47" w:name="_Toc1482"/>
      <w:bookmarkStart w:id="48" w:name="_Toc1947"/>
      <w:bookmarkStart w:id="49" w:name="_Toc326786897"/>
      <w:bookmarkStart w:id="50" w:name="_Toc256519703"/>
    </w:p>
    <w:p w14:paraId="5A0BE0D1">
      <w:pPr>
        <w:pStyle w:val="3"/>
        <w:snapToGrid w:val="0"/>
        <w:spacing w:before="0" w:after="0" w:line="480" w:lineRule="auto"/>
        <w:jc w:val="center"/>
        <w:rPr>
          <w:rFonts w:hint="eastAsia" w:ascii="宋体" w:hAnsi="宋体" w:eastAsia="宋体" w:cs="宋体"/>
          <w:color w:val="auto"/>
          <w:sz w:val="28"/>
          <w:szCs w:val="28"/>
          <w:highlight w:val="none"/>
        </w:rPr>
      </w:pPr>
      <w:bookmarkStart w:id="51" w:name="_Toc5352"/>
      <w:r>
        <w:rPr>
          <w:rFonts w:hint="eastAsia" w:ascii="宋体" w:hAnsi="宋体" w:eastAsia="宋体" w:cs="宋体"/>
          <w:color w:val="auto"/>
          <w:sz w:val="28"/>
          <w:szCs w:val="28"/>
          <w:highlight w:val="none"/>
        </w:rPr>
        <w:t>第五章  采购合同</w:t>
      </w:r>
      <w:bookmarkEnd w:id="51"/>
    </w:p>
    <w:p w14:paraId="7203F7C0">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以实际合同为准</w:t>
      </w:r>
      <w:r>
        <w:rPr>
          <w:rFonts w:hint="eastAsia" w:ascii="宋体" w:hAnsi="宋体" w:eastAsia="宋体" w:cs="宋体"/>
          <w:color w:val="auto"/>
          <w:sz w:val="21"/>
          <w:szCs w:val="21"/>
          <w:highlight w:val="none"/>
          <w:lang w:eastAsia="zh-CN"/>
        </w:rPr>
        <w:t>）</w:t>
      </w:r>
    </w:p>
    <w:p w14:paraId="04849F9F">
      <w:pPr>
        <w:rPr>
          <w:rFonts w:hint="eastAsia" w:ascii="宋体" w:hAnsi="宋体" w:eastAsia="宋体" w:cs="宋体"/>
          <w:color w:val="auto"/>
          <w:sz w:val="32"/>
          <w:szCs w:val="32"/>
          <w:highlight w:val="none"/>
        </w:rPr>
      </w:pPr>
    </w:p>
    <w:p w14:paraId="4150DAB8">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24F83DAA">
      <w:pPr>
        <w:pStyle w:val="32"/>
        <w:rPr>
          <w:rFonts w:hint="eastAsia" w:ascii="宋体" w:hAnsi="宋体" w:eastAsia="宋体" w:cs="宋体"/>
          <w:color w:val="auto"/>
          <w:highlight w:val="none"/>
        </w:rPr>
      </w:pPr>
    </w:p>
    <w:p w14:paraId="30EBB8A6">
      <w:pPr>
        <w:pStyle w:val="3"/>
        <w:jc w:val="center"/>
        <w:rPr>
          <w:rFonts w:hint="eastAsia" w:ascii="宋体" w:hAnsi="宋体" w:eastAsia="宋体" w:cs="宋体"/>
          <w:color w:val="auto"/>
          <w:kern w:val="0"/>
          <w:highlight w:val="none"/>
        </w:rPr>
      </w:pPr>
      <w:bookmarkStart w:id="52" w:name="_Toc12028"/>
      <w:r>
        <w:rPr>
          <w:rFonts w:hint="eastAsia" w:ascii="宋体" w:hAnsi="宋体" w:eastAsia="宋体" w:cs="宋体"/>
          <w:color w:val="auto"/>
          <w:sz w:val="32"/>
          <w:szCs w:val="32"/>
          <w:highlight w:val="none"/>
        </w:rPr>
        <w:t xml:space="preserve">第六章  </w:t>
      </w:r>
      <w:r>
        <w:rPr>
          <w:rFonts w:hint="eastAsia" w:ascii="宋体" w:hAnsi="宋体" w:eastAsia="宋体" w:cs="宋体"/>
          <w:color w:val="auto"/>
          <w:sz w:val="32"/>
          <w:szCs w:val="32"/>
          <w:highlight w:val="none"/>
          <w:lang w:val="en-US" w:eastAsia="zh-CN"/>
        </w:rPr>
        <w:t>响应</w:t>
      </w:r>
      <w:r>
        <w:rPr>
          <w:rFonts w:hint="eastAsia" w:ascii="宋体" w:hAnsi="宋体" w:eastAsia="宋体" w:cs="宋体"/>
          <w:color w:val="auto"/>
          <w:sz w:val="32"/>
          <w:szCs w:val="32"/>
          <w:highlight w:val="none"/>
        </w:rPr>
        <w:t>文件格式</w:t>
      </w:r>
      <w:bookmarkEnd w:id="47"/>
      <w:bookmarkEnd w:id="48"/>
      <w:bookmarkEnd w:id="52"/>
    </w:p>
    <w:p w14:paraId="5164A6B6">
      <w:pPr>
        <w:spacing w:line="440" w:lineRule="exact"/>
        <w:rPr>
          <w:rFonts w:hint="eastAsia" w:ascii="宋体" w:hAnsi="宋体" w:eastAsia="宋体" w:cs="宋体"/>
          <w:color w:val="auto"/>
          <w:sz w:val="24"/>
          <w:highlight w:val="none"/>
        </w:rPr>
      </w:pPr>
    </w:p>
    <w:p w14:paraId="1238A038">
      <w:pPr>
        <w:jc w:val="center"/>
        <w:rPr>
          <w:rFonts w:hint="eastAsia" w:ascii="宋体" w:hAnsi="宋体" w:eastAsia="宋体" w:cs="宋体"/>
          <w:b/>
          <w:bCs/>
          <w:color w:val="auto"/>
          <w:sz w:val="32"/>
          <w:szCs w:val="32"/>
          <w:highlight w:val="none"/>
        </w:rPr>
      </w:pPr>
      <w:bookmarkStart w:id="53" w:name="_Toc13604"/>
      <w:r>
        <w:rPr>
          <w:rFonts w:hint="eastAsia" w:ascii="宋体" w:hAnsi="宋体" w:eastAsia="宋体" w:cs="宋体"/>
          <w:b/>
          <w:bCs/>
          <w:color w:val="auto"/>
          <w:sz w:val="32"/>
          <w:szCs w:val="32"/>
          <w:highlight w:val="none"/>
        </w:rPr>
        <w:t>目    录</w:t>
      </w:r>
      <w:bookmarkEnd w:id="53"/>
    </w:p>
    <w:p w14:paraId="3DEA2778">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02B20E01">
      <w:pPr>
        <w:snapToGrid w:val="0"/>
        <w:spacing w:line="360" w:lineRule="auto"/>
        <w:ind w:firstLine="480" w:firstLineChars="200"/>
        <w:rPr>
          <w:rFonts w:hint="eastAsia" w:ascii="宋体" w:hAnsi="宋体" w:eastAsia="宋体" w:cs="宋体"/>
          <w:color w:val="auto"/>
          <w:sz w:val="24"/>
          <w:highlight w:val="none"/>
        </w:rPr>
      </w:pPr>
      <w:bookmarkStart w:id="54" w:name="_Toc11308"/>
      <w:r>
        <w:rPr>
          <w:rFonts w:hint="eastAsia" w:ascii="宋体" w:hAnsi="宋体" w:eastAsia="宋体" w:cs="宋体"/>
          <w:color w:val="auto"/>
          <w:sz w:val="24"/>
          <w:highlight w:val="none"/>
        </w:rPr>
        <w:t>附件1</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文件封面（格式）</w:t>
      </w:r>
      <w:bookmarkEnd w:id="54"/>
    </w:p>
    <w:p w14:paraId="6AB0C51F">
      <w:pPr>
        <w:snapToGrid w:val="0"/>
        <w:spacing w:line="360" w:lineRule="auto"/>
        <w:ind w:firstLine="480" w:firstLineChars="200"/>
        <w:rPr>
          <w:rFonts w:hint="eastAsia" w:ascii="宋体" w:hAnsi="宋体" w:eastAsia="宋体" w:cs="宋体"/>
          <w:color w:val="auto"/>
          <w:sz w:val="24"/>
          <w:highlight w:val="none"/>
        </w:rPr>
      </w:pPr>
      <w:bookmarkStart w:id="55" w:name="_Toc25345"/>
      <w:r>
        <w:rPr>
          <w:rFonts w:hint="eastAsia" w:ascii="宋体" w:hAnsi="宋体" w:eastAsia="宋体" w:cs="宋体"/>
          <w:color w:val="auto"/>
          <w:sz w:val="24"/>
          <w:highlight w:val="none"/>
        </w:rPr>
        <w:t>附件2 投标书（格式）</w:t>
      </w:r>
      <w:bookmarkEnd w:id="55"/>
    </w:p>
    <w:p w14:paraId="767965AA">
      <w:pPr>
        <w:snapToGrid w:val="0"/>
        <w:spacing w:line="360" w:lineRule="auto"/>
        <w:ind w:firstLine="480" w:firstLineChars="200"/>
        <w:rPr>
          <w:rFonts w:hint="eastAsia" w:ascii="宋体" w:hAnsi="宋体" w:eastAsia="宋体" w:cs="宋体"/>
          <w:color w:val="auto"/>
          <w:sz w:val="24"/>
          <w:highlight w:val="none"/>
        </w:rPr>
      </w:pPr>
      <w:bookmarkStart w:id="56" w:name="_Toc10217"/>
      <w:r>
        <w:rPr>
          <w:rFonts w:hint="eastAsia" w:ascii="宋体" w:hAnsi="宋体" w:eastAsia="宋体" w:cs="宋体"/>
          <w:color w:val="auto"/>
          <w:sz w:val="24"/>
          <w:highlight w:val="none"/>
        </w:rPr>
        <w:t>附件3 开标一览表（格式）</w:t>
      </w:r>
      <w:bookmarkEnd w:id="56"/>
    </w:p>
    <w:p w14:paraId="3691EBDD">
      <w:pPr>
        <w:snapToGrid w:val="0"/>
        <w:spacing w:line="360" w:lineRule="auto"/>
        <w:ind w:firstLine="480" w:firstLineChars="200"/>
        <w:rPr>
          <w:rFonts w:hint="eastAsia" w:ascii="宋体" w:hAnsi="宋体" w:eastAsia="宋体" w:cs="宋体"/>
          <w:color w:val="auto"/>
          <w:sz w:val="24"/>
          <w:highlight w:val="none"/>
          <w:lang w:val="en-US"/>
        </w:rPr>
      </w:pPr>
      <w:bookmarkStart w:id="57" w:name="_Toc9579"/>
      <w:r>
        <w:rPr>
          <w:rFonts w:hint="eastAsia" w:ascii="宋体" w:hAnsi="宋体" w:eastAsia="宋体" w:cs="宋体"/>
          <w:color w:val="auto"/>
          <w:sz w:val="24"/>
          <w:highlight w:val="none"/>
        </w:rPr>
        <w:t xml:space="preserve">附件4 </w:t>
      </w:r>
      <w:bookmarkEnd w:id="57"/>
      <w:r>
        <w:rPr>
          <w:rFonts w:hint="eastAsia" w:ascii="宋体" w:hAnsi="宋体" w:eastAsia="宋体" w:cs="宋体"/>
          <w:color w:val="auto"/>
          <w:sz w:val="24"/>
          <w:highlight w:val="none"/>
          <w:lang w:val="en-US" w:eastAsia="zh-CN"/>
        </w:rPr>
        <w:t>报价明细表（格式）</w:t>
      </w:r>
    </w:p>
    <w:p w14:paraId="1C6066E6">
      <w:pPr>
        <w:snapToGrid w:val="0"/>
        <w:spacing w:line="360" w:lineRule="auto"/>
        <w:ind w:firstLine="480" w:firstLineChars="200"/>
        <w:rPr>
          <w:rFonts w:hint="eastAsia" w:ascii="宋体" w:hAnsi="宋体" w:eastAsia="宋体" w:cs="宋体"/>
          <w:color w:val="auto"/>
          <w:sz w:val="24"/>
          <w:highlight w:val="none"/>
          <w:lang w:val="en-US"/>
        </w:rPr>
      </w:pPr>
      <w:bookmarkStart w:id="58" w:name="_Toc28392"/>
      <w:r>
        <w:rPr>
          <w:rFonts w:hint="eastAsia" w:ascii="宋体" w:hAnsi="宋体" w:eastAsia="宋体" w:cs="宋体"/>
          <w:color w:val="auto"/>
          <w:sz w:val="24"/>
          <w:highlight w:val="none"/>
        </w:rPr>
        <w:t>附件5</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技术</w:t>
      </w:r>
      <w:r>
        <w:rPr>
          <w:rFonts w:hint="eastAsia" w:ascii="宋体" w:hAnsi="宋体" w:eastAsia="宋体" w:cs="宋体"/>
          <w:color w:val="auto"/>
          <w:sz w:val="24"/>
          <w:highlight w:val="none"/>
          <w:lang w:val="en-US" w:eastAsia="zh-CN"/>
        </w:rPr>
        <w:t>响应</w:t>
      </w:r>
      <w:bookmarkEnd w:id="58"/>
      <w:r>
        <w:rPr>
          <w:rFonts w:hint="eastAsia" w:ascii="宋体" w:hAnsi="宋体" w:eastAsia="宋体" w:cs="宋体"/>
          <w:color w:val="auto"/>
          <w:sz w:val="24"/>
          <w:highlight w:val="none"/>
          <w:lang w:val="en-US" w:eastAsia="zh-CN"/>
        </w:rPr>
        <w:t>表（格式）</w:t>
      </w:r>
    </w:p>
    <w:p w14:paraId="15A5B1E4">
      <w:pPr>
        <w:snapToGrid w:val="0"/>
        <w:spacing w:line="360" w:lineRule="auto"/>
        <w:ind w:firstLine="480" w:firstLineChars="200"/>
        <w:rPr>
          <w:rFonts w:hint="eastAsia" w:ascii="宋体" w:hAnsi="宋体" w:eastAsia="宋体" w:cs="宋体"/>
          <w:color w:val="auto"/>
          <w:sz w:val="24"/>
          <w:highlight w:val="none"/>
          <w:lang w:val="en-US" w:eastAsia="zh-CN"/>
        </w:rPr>
      </w:pPr>
      <w:bookmarkStart w:id="59" w:name="_Toc6234"/>
      <w:r>
        <w:rPr>
          <w:rFonts w:hint="eastAsia" w:ascii="宋体" w:hAnsi="宋体" w:eastAsia="宋体" w:cs="宋体"/>
          <w:color w:val="auto"/>
          <w:sz w:val="24"/>
          <w:highlight w:val="none"/>
        </w:rPr>
        <w:t>附件6 商务</w:t>
      </w:r>
      <w:bookmarkEnd w:id="59"/>
      <w:r>
        <w:rPr>
          <w:rFonts w:hint="eastAsia" w:ascii="宋体" w:hAnsi="宋体" w:eastAsia="宋体" w:cs="宋体"/>
          <w:color w:val="auto"/>
          <w:sz w:val="24"/>
          <w:highlight w:val="none"/>
          <w:lang w:val="en-US" w:eastAsia="zh-CN"/>
        </w:rPr>
        <w:t>响应</w:t>
      </w:r>
    </w:p>
    <w:p w14:paraId="19312541">
      <w:pPr>
        <w:snapToGrid w:val="0"/>
        <w:spacing w:line="360" w:lineRule="auto"/>
        <w:ind w:firstLine="480" w:firstLineChars="200"/>
        <w:rPr>
          <w:rFonts w:hint="eastAsia" w:ascii="宋体" w:hAnsi="宋体" w:eastAsia="宋体" w:cs="宋体"/>
          <w:color w:val="auto"/>
          <w:sz w:val="24"/>
          <w:highlight w:val="none"/>
        </w:rPr>
      </w:pPr>
      <w:bookmarkStart w:id="60" w:name="_Toc26231"/>
      <w:r>
        <w:rPr>
          <w:rFonts w:hint="eastAsia" w:ascii="宋体" w:hAnsi="宋体" w:eastAsia="宋体" w:cs="宋体"/>
          <w:color w:val="auto"/>
          <w:sz w:val="24"/>
          <w:highlight w:val="none"/>
        </w:rPr>
        <w:t>附件7</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法定代表人身份证明（格式）</w:t>
      </w:r>
      <w:bookmarkEnd w:id="60"/>
    </w:p>
    <w:p w14:paraId="73242694">
      <w:pPr>
        <w:snapToGrid w:val="0"/>
        <w:spacing w:line="360" w:lineRule="auto"/>
        <w:ind w:firstLine="480" w:firstLineChars="200"/>
        <w:rPr>
          <w:rFonts w:hint="eastAsia" w:ascii="宋体" w:hAnsi="宋体" w:eastAsia="宋体" w:cs="宋体"/>
          <w:color w:val="auto"/>
          <w:sz w:val="24"/>
          <w:highlight w:val="none"/>
        </w:rPr>
      </w:pPr>
      <w:bookmarkStart w:id="61" w:name="_Toc18484"/>
      <w:r>
        <w:rPr>
          <w:rFonts w:hint="eastAsia" w:ascii="宋体" w:hAnsi="宋体" w:eastAsia="宋体" w:cs="宋体"/>
          <w:color w:val="auto"/>
          <w:sz w:val="24"/>
          <w:highlight w:val="none"/>
        </w:rPr>
        <w:t>附件8</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法定代表人授权书（格式）</w:t>
      </w:r>
      <w:bookmarkEnd w:id="61"/>
    </w:p>
    <w:p w14:paraId="222B26A2">
      <w:pPr>
        <w:snapToGrid w:val="0"/>
        <w:spacing w:line="360" w:lineRule="auto"/>
        <w:ind w:firstLine="480" w:firstLineChars="200"/>
        <w:rPr>
          <w:rFonts w:hint="eastAsia" w:ascii="宋体" w:hAnsi="宋体" w:eastAsia="宋体" w:cs="宋体"/>
          <w:color w:val="auto"/>
          <w:sz w:val="24"/>
          <w:highlight w:val="none"/>
        </w:rPr>
      </w:pPr>
      <w:bookmarkStart w:id="62" w:name="_Toc31857"/>
      <w:r>
        <w:rPr>
          <w:rFonts w:hint="eastAsia" w:ascii="宋体" w:hAnsi="宋体" w:eastAsia="宋体" w:cs="宋体"/>
          <w:color w:val="auto"/>
          <w:sz w:val="24"/>
          <w:highlight w:val="none"/>
        </w:rPr>
        <w:t>附件9 证明文件</w:t>
      </w:r>
      <w:bookmarkEnd w:id="62"/>
    </w:p>
    <w:p w14:paraId="0927E7C0">
      <w:pPr>
        <w:snapToGrid w:val="0"/>
        <w:spacing w:line="360" w:lineRule="auto"/>
        <w:ind w:firstLine="480" w:firstLineChars="200"/>
        <w:rPr>
          <w:rFonts w:hint="eastAsia" w:ascii="宋体" w:hAnsi="宋体" w:eastAsia="宋体" w:cs="宋体"/>
          <w:color w:val="auto"/>
          <w:sz w:val="24"/>
          <w:highlight w:val="none"/>
        </w:rPr>
      </w:pPr>
      <w:bookmarkStart w:id="63" w:name="_Toc23116"/>
      <w:r>
        <w:rPr>
          <w:rFonts w:hint="eastAsia" w:ascii="宋体" w:hAnsi="宋体" w:eastAsia="宋体" w:cs="宋体"/>
          <w:color w:val="auto"/>
          <w:sz w:val="24"/>
          <w:highlight w:val="none"/>
        </w:rPr>
        <w:t>附件10 供应商承诺书（格式）</w:t>
      </w:r>
      <w:bookmarkEnd w:id="63"/>
    </w:p>
    <w:p w14:paraId="7C4E2766">
      <w:pPr>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附件11 供应商信用承诺函（格式）</w:t>
      </w:r>
    </w:p>
    <w:p w14:paraId="63BA1F9E">
      <w:pPr>
        <w:pStyle w:val="32"/>
        <w:rPr>
          <w:rFonts w:hint="eastAsia" w:ascii="宋体" w:hAnsi="宋体" w:eastAsia="宋体" w:cs="宋体"/>
          <w:color w:val="auto"/>
          <w:highlight w:val="none"/>
        </w:rPr>
      </w:pPr>
    </w:p>
    <w:p w14:paraId="174F59C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6D3C60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43C59F7">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71DFAE3">
      <w:pPr>
        <w:pStyle w:val="4"/>
        <w:rPr>
          <w:rFonts w:hint="eastAsia" w:ascii="宋体" w:hAnsi="宋体" w:eastAsia="宋体" w:cs="宋体"/>
          <w:b/>
          <w:bCs/>
          <w:color w:val="auto"/>
          <w:kern w:val="0"/>
          <w:sz w:val="24"/>
          <w:highlight w:val="none"/>
        </w:rPr>
      </w:pPr>
    </w:p>
    <w:p w14:paraId="736844FA">
      <w:pPr>
        <w:pStyle w:val="5"/>
        <w:rPr>
          <w:rFonts w:hint="eastAsia" w:ascii="宋体" w:hAnsi="宋体" w:eastAsia="宋体" w:cs="宋体"/>
          <w:b/>
          <w:bCs/>
          <w:color w:val="auto"/>
          <w:highlight w:val="none"/>
        </w:rPr>
      </w:pPr>
    </w:p>
    <w:p w14:paraId="7C048156">
      <w:pPr>
        <w:pStyle w:val="5"/>
        <w:rPr>
          <w:rFonts w:hint="eastAsia" w:ascii="宋体" w:hAnsi="宋体" w:eastAsia="宋体" w:cs="宋体"/>
          <w:b/>
          <w:bCs/>
          <w:color w:val="auto"/>
          <w:highlight w:val="none"/>
        </w:rPr>
      </w:pPr>
    </w:p>
    <w:p w14:paraId="6EFF072B">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CFBE809">
      <w:pPr>
        <w:pStyle w:val="27"/>
        <w:rPr>
          <w:rFonts w:hint="eastAsia" w:ascii="宋体" w:hAnsi="宋体" w:eastAsia="宋体" w:cs="宋体"/>
          <w:color w:val="auto"/>
          <w:highlight w:val="none"/>
        </w:rPr>
      </w:pPr>
    </w:p>
    <w:p w14:paraId="67FE75CD">
      <w:pPr>
        <w:pStyle w:val="2"/>
        <w:keepNext/>
        <w:keepLines/>
        <w:pageBreakBefore w:val="0"/>
        <w:widowControl w:val="0"/>
        <w:kinsoku/>
        <w:wordWrap/>
        <w:overflowPunct/>
        <w:topLinePunct w:val="0"/>
        <w:autoSpaceDE/>
        <w:autoSpaceDN/>
        <w:bidi w:val="0"/>
        <w:adjustRightInd/>
        <w:snapToGrid w:val="0"/>
        <w:spacing w:before="20" w:after="20" w:line="360" w:lineRule="auto"/>
        <w:textAlignment w:val="auto"/>
        <w:rPr>
          <w:rFonts w:hint="eastAsia" w:ascii="宋体" w:hAnsi="宋体" w:eastAsia="宋体" w:cs="宋体"/>
          <w:color w:val="auto"/>
          <w:sz w:val="28"/>
          <w:szCs w:val="28"/>
          <w:highlight w:val="none"/>
        </w:rPr>
      </w:pPr>
      <w:bookmarkStart w:id="64" w:name="_Toc31798"/>
      <w:bookmarkStart w:id="65" w:name="_Toc24743"/>
      <w:r>
        <w:rPr>
          <w:rFonts w:hint="eastAsia" w:ascii="宋体" w:hAnsi="宋体" w:eastAsia="宋体" w:cs="宋体"/>
          <w:color w:val="auto"/>
          <w:sz w:val="28"/>
          <w:szCs w:val="28"/>
          <w:highlight w:val="none"/>
        </w:rPr>
        <w:t xml:space="preserve">附件1               </w:t>
      </w:r>
      <w:r>
        <w:rPr>
          <w:rFonts w:hint="eastAsia" w:ascii="宋体" w:hAnsi="宋体" w:eastAsia="宋体" w:cs="宋体"/>
          <w:color w:val="auto"/>
          <w:sz w:val="28"/>
          <w:szCs w:val="28"/>
          <w:highlight w:val="none"/>
          <w:lang w:val="en-US" w:eastAsia="zh-CN"/>
        </w:rPr>
        <w:t>响应</w:t>
      </w:r>
      <w:r>
        <w:rPr>
          <w:rFonts w:hint="eastAsia" w:ascii="宋体" w:hAnsi="宋体" w:eastAsia="宋体" w:cs="宋体"/>
          <w:color w:val="auto"/>
          <w:sz w:val="28"/>
          <w:szCs w:val="28"/>
          <w:highlight w:val="none"/>
        </w:rPr>
        <w:t>文件封面（格式）</w:t>
      </w:r>
      <w:bookmarkEnd w:id="64"/>
      <w:bookmarkEnd w:id="65"/>
    </w:p>
    <w:p w14:paraId="3A0AC99C">
      <w:pPr>
        <w:widowControl/>
        <w:wordWrap w:val="0"/>
        <w:spacing w:line="460" w:lineRule="exact"/>
        <w:ind w:firstLine="482" w:firstLineChars="200"/>
        <w:jc w:val="center"/>
        <w:rPr>
          <w:rFonts w:hint="eastAsia" w:ascii="宋体" w:hAnsi="宋体" w:eastAsia="宋体" w:cs="宋体"/>
          <w:b/>
          <w:color w:val="auto"/>
          <w:kern w:val="0"/>
          <w:sz w:val="24"/>
          <w:highlight w:val="none"/>
        </w:rPr>
      </w:pPr>
    </w:p>
    <w:p w14:paraId="60EF64BA">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驻马店市中心医院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14:paraId="37E7F995">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lang w:val="en-US" w:eastAsia="zh-CN"/>
        </w:rPr>
        <w:t>响应</w:t>
      </w:r>
      <w:r>
        <w:rPr>
          <w:rFonts w:hint="eastAsia" w:ascii="宋体" w:hAnsi="宋体" w:eastAsia="宋体" w:cs="宋体"/>
          <w:b/>
          <w:color w:val="auto"/>
          <w:spacing w:val="90"/>
          <w:sz w:val="52"/>
          <w:szCs w:val="52"/>
          <w:highlight w:val="none"/>
        </w:rPr>
        <w:t>文件</w:t>
      </w:r>
    </w:p>
    <w:p w14:paraId="2A04A499">
      <w:pPr>
        <w:spacing w:line="360" w:lineRule="auto"/>
        <w:rPr>
          <w:rFonts w:hint="eastAsia" w:ascii="宋体" w:hAnsi="宋体" w:eastAsia="宋体" w:cs="宋体"/>
          <w:color w:val="auto"/>
          <w:sz w:val="28"/>
          <w:highlight w:val="none"/>
        </w:rPr>
      </w:pPr>
    </w:p>
    <w:p w14:paraId="596DC1AB">
      <w:pPr>
        <w:pStyle w:val="5"/>
        <w:spacing w:line="360" w:lineRule="auto"/>
        <w:rPr>
          <w:rFonts w:hint="eastAsia" w:ascii="宋体" w:hAnsi="宋体" w:eastAsia="宋体" w:cs="宋体"/>
          <w:color w:val="auto"/>
          <w:highlight w:val="none"/>
        </w:rPr>
      </w:pPr>
    </w:p>
    <w:p w14:paraId="51E48B65">
      <w:pPr>
        <w:pStyle w:val="5"/>
        <w:spacing w:line="360" w:lineRule="auto"/>
        <w:rPr>
          <w:rFonts w:hint="eastAsia" w:ascii="宋体" w:hAnsi="宋体" w:eastAsia="宋体" w:cs="宋体"/>
          <w:color w:val="auto"/>
          <w:highlight w:val="none"/>
        </w:rPr>
      </w:pPr>
    </w:p>
    <w:p w14:paraId="0AF50E0B">
      <w:pPr>
        <w:spacing w:line="360" w:lineRule="auto"/>
        <w:rPr>
          <w:rFonts w:hint="eastAsia" w:ascii="宋体" w:hAnsi="宋体" w:eastAsia="宋体" w:cs="宋体"/>
          <w:color w:val="auto"/>
          <w:sz w:val="28"/>
          <w:highlight w:val="none"/>
        </w:rPr>
      </w:pPr>
    </w:p>
    <w:p w14:paraId="5DD912A3">
      <w:pPr>
        <w:spacing w:line="360" w:lineRule="auto"/>
        <w:rPr>
          <w:rFonts w:hint="eastAsia" w:ascii="宋体" w:hAnsi="宋体" w:eastAsia="宋体" w:cs="宋体"/>
          <w:color w:val="auto"/>
          <w:sz w:val="28"/>
          <w:highlight w:val="none"/>
        </w:rPr>
      </w:pPr>
    </w:p>
    <w:p w14:paraId="5C511D16">
      <w:pPr>
        <w:spacing w:line="360" w:lineRule="auto"/>
        <w:rPr>
          <w:rFonts w:hint="eastAsia" w:ascii="宋体" w:hAnsi="宋体" w:eastAsia="宋体" w:cs="宋体"/>
          <w:color w:val="auto"/>
          <w:sz w:val="28"/>
          <w:highlight w:val="none"/>
        </w:rPr>
      </w:pPr>
    </w:p>
    <w:p w14:paraId="5F7D4E3C">
      <w:pPr>
        <w:spacing w:line="360" w:lineRule="auto"/>
        <w:rPr>
          <w:rFonts w:hint="eastAsia" w:ascii="宋体" w:hAnsi="宋体" w:eastAsia="宋体" w:cs="宋体"/>
          <w:color w:val="auto"/>
          <w:sz w:val="28"/>
          <w:highlight w:val="none"/>
        </w:rPr>
      </w:pPr>
    </w:p>
    <w:p w14:paraId="4A8855A5">
      <w:pPr>
        <w:spacing w:line="360" w:lineRule="auto"/>
        <w:rPr>
          <w:rFonts w:hint="eastAsia" w:ascii="宋体" w:hAnsi="宋体" w:eastAsia="宋体" w:cs="宋体"/>
          <w:color w:val="auto"/>
          <w:sz w:val="28"/>
          <w:highlight w:val="none"/>
        </w:rPr>
      </w:pPr>
    </w:p>
    <w:p w14:paraId="6544AFF1">
      <w:pPr>
        <w:spacing w:line="360" w:lineRule="auto"/>
        <w:rPr>
          <w:rFonts w:hint="eastAsia" w:ascii="宋体" w:hAnsi="宋体" w:eastAsia="宋体" w:cs="宋体"/>
          <w:color w:val="auto"/>
          <w:sz w:val="28"/>
          <w:highlight w:val="none"/>
        </w:rPr>
      </w:pPr>
    </w:p>
    <w:p w14:paraId="26F246B9">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全称并</w:t>
      </w:r>
      <w:r>
        <w:rPr>
          <w:rFonts w:hint="eastAsia" w:ascii="宋体" w:hAnsi="宋体" w:eastAsia="宋体" w:cs="宋体"/>
          <w:color w:val="auto"/>
          <w:sz w:val="28"/>
          <w:szCs w:val="28"/>
          <w:highlight w:val="none"/>
          <w:lang w:val="en-US" w:eastAsia="zh-CN"/>
        </w:rPr>
        <w:t>加</w:t>
      </w:r>
      <w:r>
        <w:rPr>
          <w:rFonts w:hint="eastAsia" w:ascii="宋体" w:hAnsi="宋体" w:eastAsia="宋体" w:cs="宋体"/>
          <w:color w:val="auto"/>
          <w:sz w:val="28"/>
          <w:szCs w:val="28"/>
          <w:highlight w:val="none"/>
          <w:lang w:eastAsia="zh-CN"/>
        </w:rPr>
        <w:t>盖</w:t>
      </w:r>
      <w:r>
        <w:rPr>
          <w:rFonts w:hint="eastAsia" w:ascii="宋体" w:hAnsi="宋体" w:eastAsia="宋体" w:cs="宋体"/>
          <w:color w:val="auto"/>
          <w:sz w:val="28"/>
          <w:szCs w:val="28"/>
          <w:highlight w:val="none"/>
          <w:lang w:val="en-US" w:eastAsia="zh-CN"/>
        </w:rPr>
        <w:t>公</w:t>
      </w:r>
      <w:r>
        <w:rPr>
          <w:rFonts w:hint="eastAsia" w:ascii="宋体" w:hAnsi="宋体" w:eastAsia="宋体" w:cs="宋体"/>
          <w:color w:val="auto"/>
          <w:sz w:val="28"/>
          <w:szCs w:val="28"/>
          <w:highlight w:val="none"/>
          <w:lang w:eastAsia="zh-CN"/>
        </w:rPr>
        <w:t>章</w:t>
      </w:r>
      <w:r>
        <w:rPr>
          <w:rFonts w:hint="eastAsia" w:ascii="宋体" w:hAnsi="宋体" w:eastAsia="宋体" w:cs="宋体"/>
          <w:color w:val="auto"/>
          <w:sz w:val="28"/>
          <w:szCs w:val="28"/>
          <w:highlight w:val="none"/>
        </w:rPr>
        <w:t>）：</w:t>
      </w:r>
    </w:p>
    <w:p w14:paraId="79D76E85">
      <w:pPr>
        <w:widowControl/>
        <w:wordWrap w:val="0"/>
        <w:spacing w:line="460" w:lineRule="exact"/>
        <w:ind w:left="0" w:leftChars="0" w:firstLine="0" w:firstLineChars="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法定代表人或委托代理人（签字</w:t>
      </w:r>
      <w:r>
        <w:rPr>
          <w:rFonts w:hint="eastAsia" w:ascii="宋体" w:hAnsi="宋体" w:eastAsia="宋体" w:cs="宋体"/>
          <w:color w:val="auto"/>
          <w:sz w:val="28"/>
          <w:szCs w:val="28"/>
          <w:highlight w:val="none"/>
          <w:lang w:val="en-US" w:eastAsia="zh-CN"/>
        </w:rPr>
        <w:t>或盖章</w:t>
      </w:r>
      <w:r>
        <w:rPr>
          <w:rFonts w:hint="eastAsia" w:ascii="宋体" w:hAnsi="宋体" w:eastAsia="宋体" w:cs="宋体"/>
          <w:color w:val="auto"/>
          <w:sz w:val="28"/>
          <w:szCs w:val="28"/>
          <w:highlight w:val="none"/>
        </w:rPr>
        <w:t>）：</w:t>
      </w:r>
    </w:p>
    <w:p w14:paraId="4D5E55DE">
      <w:pPr>
        <w:widowControl/>
        <w:wordWrap w:val="0"/>
        <w:spacing w:line="460" w:lineRule="exact"/>
        <w:ind w:left="0" w:leftChars="0" w:firstLine="0" w:firstLineChars="0"/>
        <w:jc w:val="center"/>
        <w:rPr>
          <w:rFonts w:hint="eastAsia" w:ascii="宋体" w:hAnsi="宋体" w:eastAsia="宋体" w:cs="宋体"/>
          <w:b/>
          <w:color w:val="auto"/>
          <w:kern w:val="0"/>
          <w:sz w:val="24"/>
          <w:highlight w:val="none"/>
        </w:rPr>
      </w:pPr>
      <w:r>
        <w:rPr>
          <w:rFonts w:hint="eastAsia" w:ascii="宋体" w:hAnsi="宋体" w:eastAsia="宋体" w:cs="宋体"/>
          <w:color w:val="auto"/>
          <w:sz w:val="28"/>
          <w:szCs w:val="28"/>
          <w:highlight w:val="none"/>
        </w:rPr>
        <w:t>年   月   日</w:t>
      </w:r>
    </w:p>
    <w:p w14:paraId="55BD49F4">
      <w:pPr>
        <w:widowControl/>
        <w:wordWrap w:val="0"/>
        <w:spacing w:line="460" w:lineRule="exact"/>
        <w:ind w:firstLine="482" w:firstLineChars="200"/>
        <w:jc w:val="left"/>
        <w:rPr>
          <w:rFonts w:hint="eastAsia" w:ascii="宋体" w:hAnsi="宋体" w:eastAsia="宋体" w:cs="宋体"/>
          <w:b/>
          <w:color w:val="auto"/>
          <w:kern w:val="0"/>
          <w:sz w:val="24"/>
          <w:highlight w:val="none"/>
        </w:rPr>
      </w:pPr>
    </w:p>
    <w:p w14:paraId="608C8D96">
      <w:pPr>
        <w:pStyle w:val="4"/>
        <w:rPr>
          <w:rFonts w:hint="eastAsia" w:ascii="宋体" w:hAnsi="宋体" w:eastAsia="宋体" w:cs="宋体"/>
          <w:b/>
          <w:color w:val="auto"/>
          <w:kern w:val="0"/>
          <w:sz w:val="24"/>
          <w:highlight w:val="none"/>
        </w:rPr>
      </w:pPr>
    </w:p>
    <w:p w14:paraId="7B4C1E5E">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5D8F552F">
      <w:pPr>
        <w:rPr>
          <w:rFonts w:hint="eastAsia" w:ascii="宋体" w:hAnsi="宋体" w:eastAsia="宋体" w:cs="宋体"/>
          <w:color w:val="auto"/>
          <w:highlight w:val="none"/>
        </w:rPr>
      </w:pPr>
    </w:p>
    <w:p w14:paraId="4F2DC55F">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66" w:name="_Toc14560"/>
      <w:bookmarkStart w:id="67" w:name="_Toc8818"/>
      <w:r>
        <w:rPr>
          <w:rFonts w:hint="eastAsia" w:ascii="宋体" w:hAnsi="宋体" w:eastAsia="宋体" w:cs="宋体"/>
          <w:color w:val="auto"/>
          <w:sz w:val="28"/>
          <w:szCs w:val="28"/>
          <w:highlight w:val="none"/>
          <w:lang w:val="en-US" w:eastAsia="zh-CN"/>
        </w:rPr>
        <w:t>附件2            投  标  书（格式）</w:t>
      </w:r>
      <w:bookmarkEnd w:id="66"/>
      <w:bookmarkEnd w:id="67"/>
    </w:p>
    <w:p w14:paraId="67AC1E72">
      <w:pPr>
        <w:widowControl/>
        <w:wordWrap w:val="0"/>
        <w:snapToGrid w:val="0"/>
        <w:spacing w:line="46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采购人</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w:t>
      </w:r>
    </w:p>
    <w:p w14:paraId="3EE7C5AA">
      <w:pPr>
        <w:widowControl/>
        <w:wordWrap w:val="0"/>
        <w:spacing w:line="460" w:lineRule="exact"/>
        <w:ind w:firstLine="525" w:firstLine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eastAsia="zh-CN"/>
        </w:rPr>
        <w:t>供应商</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 xml:space="preserve">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（姓名）为我方代理人，参加贵方组织的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项目的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。现正式提交下述文件1份：</w:t>
      </w:r>
    </w:p>
    <w:p w14:paraId="49F687D2">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1、开标一览表。</w:t>
      </w:r>
    </w:p>
    <w:p w14:paraId="00DA494B">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2、报价明细表。</w:t>
      </w:r>
    </w:p>
    <w:p w14:paraId="08E646E7">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4、技术响应表。</w:t>
      </w:r>
    </w:p>
    <w:p w14:paraId="1B1B8706">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、商务响应表。</w:t>
      </w:r>
    </w:p>
    <w:p w14:paraId="0E978E90">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、证明文件。</w:t>
      </w:r>
    </w:p>
    <w:p w14:paraId="3FBE8353">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为便于贵方公正、择优地确定中标供应商及其投标产品和服务，我方就本次投标有关事项郑重声明并宣布同意如下：</w:t>
      </w:r>
    </w:p>
    <w:p w14:paraId="40C927B3">
      <w:pPr>
        <w:widowControl/>
        <w:wordWrap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1、我方承诺已经具备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文件中规定的参加政府采购活动的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应当具备的条件。我方愿意向贵方提供任何与本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项目投标有关的数据、情况和技术资料，并根据需要提供一切承诺的证明材料，并保证其真实、合法、有效。</w:t>
      </w:r>
    </w:p>
    <w:p w14:paraId="60B57D12">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活动中提供的各种材料真实有效。</w:t>
      </w:r>
    </w:p>
    <w:p w14:paraId="367A57E3">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3、我方同意在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文件有效期内遵守本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文件中的承诺且在此期限期满之前均具有约束力。如果我方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文件有效期与合同履行期相同。</w:t>
      </w:r>
    </w:p>
    <w:p w14:paraId="585D308B">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4、我方已详细审查全部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文件，包括修改文件（如有的话）和有关附件，将自行承担因对全部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文件理解不正确或误解而产生的相应后果。</w:t>
      </w:r>
    </w:p>
    <w:p w14:paraId="215B5A76">
      <w:pPr>
        <w:widowControl/>
        <w:wordWrap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5、我方保证尊重</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的评</w:t>
      </w:r>
      <w:r>
        <w:rPr>
          <w:rFonts w:hint="eastAsia" w:ascii="宋体" w:hAnsi="宋体" w:eastAsia="宋体" w:cs="宋体"/>
          <w:color w:val="auto"/>
          <w:kern w:val="0"/>
          <w:szCs w:val="21"/>
          <w:highlight w:val="none"/>
          <w:lang w:val="en-US" w:eastAsia="zh-CN"/>
        </w:rPr>
        <w:t>审</w:t>
      </w:r>
      <w:r>
        <w:rPr>
          <w:rFonts w:hint="eastAsia" w:ascii="宋体" w:hAnsi="宋体" w:eastAsia="宋体" w:cs="宋体"/>
          <w:color w:val="auto"/>
          <w:kern w:val="0"/>
          <w:szCs w:val="21"/>
          <w:highlight w:val="none"/>
        </w:rPr>
        <w:t>结果，完全理解本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项目最低投标价不作为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的保证。</w:t>
      </w:r>
    </w:p>
    <w:p w14:paraId="037666F6">
      <w:pPr>
        <w:widowControl/>
        <w:wordWrap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6、我方理解并遵守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文件的全部规定，接受</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文件中政府采购合同的全部条款且无任何异议。</w:t>
      </w:r>
    </w:p>
    <w:p w14:paraId="5DDB71B9">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7、如果我方代表</w:t>
      </w:r>
      <w:r>
        <w:rPr>
          <w:rFonts w:hint="eastAsia" w:ascii="宋体" w:hAnsi="宋体" w:eastAsia="宋体" w:cs="宋体"/>
          <w:bCs/>
          <w:color w:val="auto"/>
          <w:kern w:val="0"/>
          <w:szCs w:val="21"/>
          <w:highlight w:val="none"/>
        </w:rPr>
        <w:t>未按时参加开标的，视同放弃开标监督权利，认可开标结果。</w:t>
      </w:r>
    </w:p>
    <w:p w14:paraId="260130A0">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8、如果我方存在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须知第9.3项所述情况，同意被认定为在经营活动中有重大违法记录。</w:t>
      </w:r>
    </w:p>
    <w:p w14:paraId="0986EED1">
      <w:pPr>
        <w:widowControl/>
        <w:wordWrap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.4.3项所述情况，同意我方投标被作为无效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处理。</w:t>
      </w:r>
    </w:p>
    <w:p w14:paraId="40611F1D">
      <w:pPr>
        <w:widowControl/>
        <w:wordWrap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.5项所述情况，同意</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认定我方的行为属于串通投标的行为，并自愿接受监管部门的处罚。</w:t>
      </w:r>
    </w:p>
    <w:p w14:paraId="75E164B2">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11、如果现场变更采购方式，我方同意在不改变</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需求、资质条件等情况下，按变更后的采购方式的规定程序进行采购。</w:t>
      </w:r>
    </w:p>
    <w:p w14:paraId="32832C1B">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供应商，我方同意按</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并缴纳服务费。否则，视为我方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后自动放弃中标资格，承担由此引起的一切后果。</w:t>
      </w:r>
    </w:p>
    <w:p w14:paraId="3E427AB7">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供应商，我方同意在领取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u w:val="single"/>
          <w:lang w:val="en-US" w:eastAsia="zh-CN"/>
        </w:rPr>
        <w:t xml:space="preserve"> 30  </w:t>
      </w:r>
      <w:r>
        <w:rPr>
          <w:rFonts w:hint="eastAsia" w:ascii="宋体" w:hAnsi="宋体" w:eastAsia="宋体" w:cs="宋体"/>
          <w:color w:val="auto"/>
          <w:kern w:val="0"/>
          <w:szCs w:val="21"/>
          <w:highlight w:val="none"/>
        </w:rPr>
        <w:t>日内，按照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文件的规定与采购人签订采购合同。否则，视为我方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后无正当理由不与采购人签订合同并承担相应法律责任。</w:t>
      </w:r>
    </w:p>
    <w:p w14:paraId="19CD535E">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14、我方最近3年内的被公开披露或查处的违法违规行为有：</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p>
    <w:p w14:paraId="6E9B792B">
      <w:pPr>
        <w:widowControl/>
        <w:tabs>
          <w:tab w:val="left" w:pos="939"/>
        </w:tabs>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15、以上事项如有虚假或隐瞒，我方愿意承担一切后果和责任。</w:t>
      </w:r>
    </w:p>
    <w:p w14:paraId="4F5F1F60">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有关的一切正式往来通讯请寄（地址电话必须为最新并可以联系到）：</w:t>
      </w:r>
    </w:p>
    <w:p w14:paraId="096D1A4D">
      <w:pPr>
        <w:widowControl/>
        <w:wordWrap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地址：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邮编：</w:t>
      </w:r>
    </w:p>
    <w:p w14:paraId="2CE1D3D1">
      <w:pPr>
        <w:widowControl/>
        <w:wordWrap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电话：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 xml:space="preserve">传真： </w:t>
      </w:r>
    </w:p>
    <w:p w14:paraId="0CA59689">
      <w:pPr>
        <w:widowControl/>
        <w:wordWrap w:val="0"/>
        <w:spacing w:line="460" w:lineRule="exact"/>
        <w:ind w:firstLine="420" w:firstLineChars="200"/>
        <w:jc w:val="left"/>
        <w:rPr>
          <w:rFonts w:hint="eastAsia" w:ascii="宋体" w:hAnsi="宋体" w:eastAsia="宋体" w:cs="宋体"/>
          <w:color w:val="auto"/>
          <w:kern w:val="0"/>
          <w:szCs w:val="21"/>
          <w:highlight w:val="none"/>
        </w:rPr>
      </w:pPr>
    </w:p>
    <w:p w14:paraId="60B92D58">
      <w:pPr>
        <w:widowControl/>
        <w:wordWrap w:val="0"/>
        <w:spacing w:line="460" w:lineRule="exact"/>
        <w:ind w:firstLine="735" w:firstLineChars="350"/>
        <w:jc w:val="left"/>
        <w:rPr>
          <w:rFonts w:hint="eastAsia" w:ascii="宋体" w:hAnsi="宋体" w:eastAsia="宋体" w:cs="宋体"/>
          <w:color w:val="auto"/>
          <w:kern w:val="0"/>
          <w:szCs w:val="21"/>
          <w:highlight w:val="none"/>
          <w:u w:val="single"/>
        </w:rPr>
      </w:pP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 xml:space="preserve">： </w:t>
      </w:r>
    </w:p>
    <w:p w14:paraId="7EA0920E">
      <w:pPr>
        <w:widowControl/>
        <w:wordWrap w:val="0"/>
        <w:spacing w:line="460" w:lineRule="exact"/>
        <w:ind w:firstLine="420"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w:t>
      </w:r>
    </w:p>
    <w:p w14:paraId="6A3FA220">
      <w:pPr>
        <w:widowControl/>
        <w:snapToGrid w:val="0"/>
        <w:spacing w:line="460" w:lineRule="exact"/>
        <w:ind w:firstLine="1260" w:firstLineChars="600"/>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年    月   日 </w:t>
      </w:r>
    </w:p>
    <w:p w14:paraId="6540FD87">
      <w:pPr>
        <w:widowControl/>
        <w:wordWrap w:val="0"/>
        <w:snapToGrid w:val="0"/>
        <w:spacing w:before="50" w:after="50" w:line="480" w:lineRule="auto"/>
        <w:jc w:val="left"/>
        <w:rPr>
          <w:rFonts w:hint="eastAsia" w:ascii="宋体" w:hAnsi="宋体" w:eastAsia="宋体" w:cs="宋体"/>
          <w:b/>
          <w:color w:val="auto"/>
          <w:kern w:val="0"/>
          <w:sz w:val="24"/>
          <w:highlight w:val="none"/>
        </w:rPr>
      </w:pPr>
    </w:p>
    <w:p w14:paraId="3EEA7A31">
      <w:pPr>
        <w:widowControl/>
        <w:wordWrap w:val="0"/>
        <w:snapToGrid w:val="0"/>
        <w:spacing w:before="50" w:after="50" w:line="480" w:lineRule="auto"/>
        <w:jc w:val="left"/>
        <w:rPr>
          <w:rFonts w:hint="eastAsia" w:ascii="宋体" w:hAnsi="宋体" w:eastAsia="宋体" w:cs="宋体"/>
          <w:b/>
          <w:color w:val="auto"/>
          <w:kern w:val="0"/>
          <w:sz w:val="24"/>
          <w:highlight w:val="none"/>
        </w:rPr>
      </w:pPr>
    </w:p>
    <w:p w14:paraId="7D79496B">
      <w:pPr>
        <w:spacing w:line="500" w:lineRule="exact"/>
        <w:jc w:val="center"/>
        <w:rPr>
          <w:rFonts w:hint="eastAsia" w:ascii="宋体" w:hAnsi="宋体" w:eastAsia="宋体" w:cs="宋体"/>
          <w:b/>
          <w:bCs/>
          <w:color w:val="auto"/>
          <w:sz w:val="24"/>
          <w:highlight w:val="none"/>
        </w:rPr>
      </w:pPr>
    </w:p>
    <w:p w14:paraId="77439107">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0A09D513">
      <w:pPr>
        <w:rPr>
          <w:rFonts w:hint="eastAsia" w:ascii="宋体" w:hAnsi="宋体" w:eastAsia="宋体" w:cs="宋体"/>
          <w:color w:val="auto"/>
          <w:highlight w:val="none"/>
        </w:rPr>
      </w:pPr>
    </w:p>
    <w:p w14:paraId="12E02C04">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68" w:name="_Toc7838"/>
      <w:r>
        <w:rPr>
          <w:rFonts w:hint="eastAsia" w:ascii="宋体" w:hAnsi="宋体" w:eastAsia="宋体" w:cs="宋体"/>
          <w:color w:val="auto"/>
          <w:sz w:val="28"/>
          <w:szCs w:val="28"/>
          <w:highlight w:val="none"/>
          <w:lang w:val="en-US" w:eastAsia="zh-CN"/>
        </w:rPr>
        <w:t>附件3            开标一览表</w:t>
      </w:r>
      <w:bookmarkEnd w:id="68"/>
      <w:r>
        <w:rPr>
          <w:rFonts w:hint="eastAsia" w:ascii="宋体" w:hAnsi="宋体" w:eastAsia="宋体" w:cs="宋体"/>
          <w:color w:val="auto"/>
          <w:sz w:val="28"/>
          <w:szCs w:val="28"/>
          <w:highlight w:val="none"/>
          <w:lang w:val="en-US" w:eastAsia="zh-CN"/>
        </w:rPr>
        <w:t>（格式）</w:t>
      </w:r>
    </w:p>
    <w:p w14:paraId="163DE47D">
      <w:pPr>
        <w:spacing w:line="239" w:lineRule="auto"/>
        <w:jc w:val="right"/>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rPr>
        <w:t>单位：人民币</w:t>
      </w:r>
      <w:r>
        <w:rPr>
          <w:rFonts w:hint="eastAsia" w:ascii="宋体" w:hAnsi="宋体" w:eastAsia="宋体" w:cs="宋体"/>
          <w:color w:val="auto"/>
          <w:sz w:val="24"/>
          <w:highlight w:val="none"/>
          <w:lang w:val="en-US" w:eastAsia="zh-CN"/>
        </w:rPr>
        <w:t>/元</w:t>
      </w:r>
    </w:p>
    <w:p w14:paraId="7731EC5A">
      <w:pPr>
        <w:rPr>
          <w:rFonts w:hint="eastAsia" w:ascii="宋体" w:hAnsi="宋体" w:eastAsia="宋体" w:cs="宋体"/>
          <w:color w:val="auto"/>
          <w:highlight w:val="none"/>
        </w:rPr>
      </w:pPr>
    </w:p>
    <w:tbl>
      <w:tblPr>
        <w:tblStyle w:val="33"/>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14:paraId="16E58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7D35BE1C">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项目名称</w:t>
            </w:r>
          </w:p>
        </w:tc>
        <w:tc>
          <w:tcPr>
            <w:tcW w:w="7708" w:type="dxa"/>
            <w:noWrap/>
            <w:vAlign w:val="center"/>
          </w:tcPr>
          <w:p w14:paraId="29544E6D">
            <w:pPr>
              <w:rPr>
                <w:rFonts w:hint="eastAsia" w:ascii="宋体" w:hAnsi="宋体" w:eastAsia="宋体" w:cs="宋体"/>
                <w:bCs/>
                <w:color w:val="auto"/>
                <w:szCs w:val="21"/>
                <w:highlight w:val="none"/>
              </w:rPr>
            </w:pPr>
          </w:p>
        </w:tc>
      </w:tr>
      <w:tr w14:paraId="58A91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61935F99">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名称</w:t>
            </w:r>
          </w:p>
        </w:tc>
        <w:tc>
          <w:tcPr>
            <w:tcW w:w="7708" w:type="dxa"/>
            <w:noWrap/>
            <w:vAlign w:val="center"/>
          </w:tcPr>
          <w:p w14:paraId="07B627DC">
            <w:pPr>
              <w:rPr>
                <w:rFonts w:hint="eastAsia" w:ascii="宋体" w:hAnsi="宋体" w:eastAsia="宋体" w:cs="宋体"/>
                <w:color w:val="auto"/>
                <w:szCs w:val="21"/>
                <w:highlight w:val="none"/>
              </w:rPr>
            </w:pPr>
          </w:p>
        </w:tc>
      </w:tr>
      <w:tr w14:paraId="362D0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78" w:type="dxa"/>
            <w:noWrap/>
            <w:vAlign w:val="center"/>
          </w:tcPr>
          <w:p w14:paraId="2A3EC86B">
            <w:pPr>
              <w:jc w:val="center"/>
              <w:rPr>
                <w:rFonts w:hint="eastAsia" w:ascii="宋体" w:hAnsi="宋体" w:eastAsia="宋体" w:cs="宋体"/>
                <w:color w:val="auto"/>
                <w:spacing w:val="-20"/>
                <w:szCs w:val="21"/>
                <w:highlight w:val="none"/>
                <w:lang w:eastAsia="zh-CN"/>
              </w:rPr>
            </w:pP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w:t>
            </w:r>
          </w:p>
        </w:tc>
        <w:tc>
          <w:tcPr>
            <w:tcW w:w="7708" w:type="dxa"/>
            <w:noWrap/>
            <w:vAlign w:val="center"/>
          </w:tcPr>
          <w:p w14:paraId="3208326C">
            <w:pP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 xml:space="preserve">大写：        </w:t>
            </w:r>
          </w:p>
          <w:p w14:paraId="40CA338C">
            <w:pPr>
              <w:rPr>
                <w:rFonts w:hint="eastAsia" w:ascii="宋体" w:hAnsi="宋体" w:eastAsia="宋体" w:cs="宋体"/>
                <w:color w:val="auto"/>
                <w:szCs w:val="21"/>
                <w:highlight w:val="none"/>
                <w:lang w:val="en-US" w:eastAsia="zh-CN"/>
              </w:rPr>
            </w:pPr>
            <w:r>
              <w:rPr>
                <w:rFonts w:hint="eastAsia" w:ascii="宋体" w:hAnsi="宋体" w:eastAsia="宋体" w:cs="宋体"/>
                <w:color w:val="000000" w:themeColor="text1"/>
                <w:szCs w:val="21"/>
                <w:highlight w:val="none"/>
                <w:lang w:val="en-US" w:eastAsia="zh-CN"/>
                <w14:textFill>
                  <w14:solidFill>
                    <w14:schemeClr w14:val="tx1"/>
                  </w14:solidFill>
                </w14:textFill>
              </w:rPr>
              <w:t xml:space="preserve">小写：       </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元</w:t>
            </w:r>
            <w:r>
              <w:rPr>
                <w:rFonts w:hint="eastAsia" w:ascii="宋体" w:hAnsi="宋体" w:eastAsia="宋体" w:cs="宋体"/>
                <w:color w:val="000000" w:themeColor="text1"/>
                <w:szCs w:val="21"/>
                <w:highlight w:val="none"/>
                <w:lang w:val="en-US" w:eastAsia="zh-CN"/>
                <w14:textFill>
                  <w14:solidFill>
                    <w14:schemeClr w14:val="tx1"/>
                  </w14:solidFill>
                </w14:textFill>
              </w:rPr>
              <w:t>（详见报价明细表）</w:t>
            </w:r>
          </w:p>
        </w:tc>
      </w:tr>
      <w:tr w14:paraId="4A94A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726D305D">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交货</w:t>
            </w:r>
            <w:r>
              <w:rPr>
                <w:rFonts w:hint="eastAsia" w:ascii="宋体" w:hAnsi="宋体" w:eastAsia="宋体" w:cs="宋体"/>
                <w:color w:val="auto"/>
                <w:szCs w:val="21"/>
                <w:highlight w:val="none"/>
              </w:rPr>
              <w:t>地点</w:t>
            </w:r>
          </w:p>
        </w:tc>
        <w:tc>
          <w:tcPr>
            <w:tcW w:w="7708" w:type="dxa"/>
            <w:noWrap/>
            <w:vAlign w:val="bottom"/>
          </w:tcPr>
          <w:p w14:paraId="47FD65BE">
            <w:pPr>
              <w:spacing w:line="360" w:lineRule="auto"/>
              <w:ind w:firstLine="1155" w:firstLineChars="550"/>
              <w:rPr>
                <w:rFonts w:hint="eastAsia" w:ascii="宋体" w:hAnsi="宋体" w:eastAsia="宋体" w:cs="宋体"/>
                <w:color w:val="auto"/>
                <w:szCs w:val="21"/>
                <w:highlight w:val="none"/>
              </w:rPr>
            </w:pPr>
          </w:p>
        </w:tc>
      </w:tr>
      <w:tr w14:paraId="4EA91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53EB6551">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交货期</w:t>
            </w:r>
          </w:p>
        </w:tc>
        <w:tc>
          <w:tcPr>
            <w:tcW w:w="7708" w:type="dxa"/>
            <w:noWrap/>
            <w:vAlign w:val="bottom"/>
          </w:tcPr>
          <w:p w14:paraId="073B5590">
            <w:pPr>
              <w:spacing w:line="360" w:lineRule="auto"/>
              <w:ind w:firstLine="1155" w:firstLineChars="550"/>
              <w:rPr>
                <w:rFonts w:hint="eastAsia" w:ascii="宋体" w:hAnsi="宋体" w:eastAsia="宋体" w:cs="宋体"/>
                <w:color w:val="auto"/>
                <w:szCs w:val="21"/>
                <w:highlight w:val="none"/>
                <w:u w:val="single"/>
              </w:rPr>
            </w:pPr>
          </w:p>
        </w:tc>
      </w:tr>
      <w:tr w14:paraId="1D87B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2F4DE8E1">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质量标准</w:t>
            </w:r>
          </w:p>
        </w:tc>
        <w:tc>
          <w:tcPr>
            <w:tcW w:w="7708" w:type="dxa"/>
            <w:noWrap/>
            <w:vAlign w:val="bottom"/>
          </w:tcPr>
          <w:p w14:paraId="4A1BCE5B">
            <w:pPr>
              <w:spacing w:line="360" w:lineRule="auto"/>
              <w:ind w:firstLine="1155" w:firstLineChars="550"/>
              <w:rPr>
                <w:rFonts w:hint="eastAsia" w:ascii="宋体" w:hAnsi="宋体" w:eastAsia="宋体" w:cs="宋体"/>
                <w:color w:val="auto"/>
                <w:szCs w:val="21"/>
                <w:highlight w:val="none"/>
                <w:u w:val="single"/>
              </w:rPr>
            </w:pPr>
          </w:p>
        </w:tc>
      </w:tr>
      <w:tr w14:paraId="0543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2D64A98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  注</w:t>
            </w:r>
          </w:p>
        </w:tc>
        <w:tc>
          <w:tcPr>
            <w:tcW w:w="7708" w:type="dxa"/>
            <w:noWrap/>
            <w:vAlign w:val="center"/>
          </w:tcPr>
          <w:p w14:paraId="0FDD4FAD">
            <w:pPr>
              <w:pStyle w:val="21"/>
              <w:ind w:left="0" w:leftChars="0"/>
              <w:rPr>
                <w:rFonts w:hint="eastAsia" w:ascii="宋体" w:hAnsi="宋体" w:eastAsia="宋体" w:cs="宋体"/>
                <w:color w:val="auto"/>
                <w:sz w:val="21"/>
                <w:szCs w:val="21"/>
                <w:highlight w:val="none"/>
              </w:rPr>
            </w:pPr>
          </w:p>
        </w:tc>
      </w:tr>
    </w:tbl>
    <w:p w14:paraId="54676367">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 1、报价一经涂改，应在涂改处加盖单位公章或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代表签字或盖章，否则其投标作无效标处理。</w:t>
      </w:r>
    </w:p>
    <w:p w14:paraId="6356503C">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2、以上报价应与“报价明细表”中的报价相一致。</w:t>
      </w:r>
    </w:p>
    <w:p w14:paraId="21F61DCA">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3、凡认为所投产品符合价格折扣条件的，在相应的产品的“备注”栏内注明符合何种折扣条件。</w:t>
      </w:r>
    </w:p>
    <w:p w14:paraId="0C4C116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按格式填列，不得自行更改。否则引起的不利后果由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承担。</w:t>
      </w:r>
    </w:p>
    <w:p w14:paraId="3A5C10C0">
      <w:pPr>
        <w:spacing w:line="360" w:lineRule="auto"/>
        <w:ind w:firstLine="420" w:firstLineChars="200"/>
        <w:jc w:val="center"/>
        <w:rPr>
          <w:rFonts w:hint="eastAsia" w:ascii="宋体" w:hAnsi="宋体" w:eastAsia="宋体" w:cs="宋体"/>
          <w:color w:val="auto"/>
          <w:szCs w:val="21"/>
          <w:highlight w:val="none"/>
        </w:rPr>
      </w:pPr>
      <w:bookmarkStart w:id="69" w:name="_Toc20877"/>
      <w:bookmarkStart w:id="70" w:name="_Toc11620"/>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（全称并加盖公章）：</w:t>
      </w:r>
      <w:bookmarkEnd w:id="69"/>
      <w:bookmarkEnd w:id="70"/>
    </w:p>
    <w:p w14:paraId="1523170F">
      <w:pPr>
        <w:spacing w:line="360" w:lineRule="auto"/>
        <w:ind w:firstLine="420" w:firstLineChars="200"/>
        <w:jc w:val="center"/>
        <w:rPr>
          <w:rFonts w:hint="eastAsia" w:ascii="宋体" w:hAnsi="宋体" w:eastAsia="宋体" w:cs="宋体"/>
          <w:color w:val="auto"/>
          <w:szCs w:val="21"/>
          <w:highlight w:val="none"/>
          <w:u w:val="single"/>
        </w:rPr>
      </w:pPr>
      <w:bookmarkStart w:id="71" w:name="_Toc12222"/>
      <w:bookmarkStart w:id="72" w:name="_Toc625"/>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bookmarkEnd w:id="71"/>
      <w:bookmarkEnd w:id="72"/>
    </w:p>
    <w:p w14:paraId="2959E3BC">
      <w:pPr>
        <w:jc w:val="center"/>
        <w:rPr>
          <w:rFonts w:hint="eastAsia" w:ascii="宋体" w:hAnsi="宋体" w:eastAsia="宋体" w:cs="宋体"/>
          <w:color w:val="auto"/>
          <w:szCs w:val="21"/>
          <w:highlight w:val="none"/>
        </w:rPr>
      </w:pPr>
    </w:p>
    <w:p w14:paraId="64AF2685">
      <w:pPr>
        <w:spacing w:line="360" w:lineRule="auto"/>
        <w:ind w:firstLine="420" w:firstLineChars="200"/>
        <w:jc w:val="center"/>
        <w:rPr>
          <w:rFonts w:hint="eastAsia" w:ascii="宋体" w:hAnsi="宋体" w:eastAsia="宋体" w:cs="宋体"/>
          <w:color w:val="auto"/>
          <w:highlight w:val="none"/>
        </w:rPr>
      </w:pPr>
      <w:bookmarkStart w:id="73" w:name="_Toc9950"/>
      <w:bookmarkStart w:id="74" w:name="_Toc1330"/>
      <w:r>
        <w:rPr>
          <w:rFonts w:hint="eastAsia" w:ascii="宋体" w:hAnsi="宋体" w:eastAsia="宋体" w:cs="宋体"/>
          <w:color w:val="auto"/>
          <w:szCs w:val="21"/>
          <w:highlight w:val="none"/>
        </w:rPr>
        <w:t>年  月  日</w:t>
      </w:r>
      <w:bookmarkEnd w:id="73"/>
      <w:bookmarkEnd w:id="74"/>
    </w:p>
    <w:p w14:paraId="75AF52ED">
      <w:pPr>
        <w:rPr>
          <w:rFonts w:hint="eastAsia" w:ascii="宋体" w:hAnsi="宋体" w:eastAsia="宋体" w:cs="宋体"/>
          <w:color w:val="auto"/>
          <w:highlight w:val="none"/>
        </w:rPr>
      </w:pPr>
    </w:p>
    <w:bookmarkEnd w:id="49"/>
    <w:bookmarkEnd w:id="50"/>
    <w:p w14:paraId="32162F70">
      <w:pPr>
        <w:spacing w:before="20" w:after="20"/>
        <w:outlineLvl w:val="9"/>
        <w:rPr>
          <w:rFonts w:hint="eastAsia" w:ascii="宋体" w:hAnsi="宋体" w:eastAsia="宋体" w:cs="宋体"/>
          <w:color w:val="auto"/>
          <w:highlight w:val="none"/>
          <w:lang w:eastAsia="zh-CN"/>
        </w:rPr>
      </w:pPr>
      <w:bookmarkStart w:id="75" w:name="_Toc24984"/>
      <w:bookmarkStart w:id="76" w:name="_Toc22004"/>
    </w:p>
    <w:p w14:paraId="35B35CE5">
      <w:pPr>
        <w:outlineLvl w:val="9"/>
        <w:rPr>
          <w:rFonts w:hint="eastAsia" w:ascii="宋体" w:hAnsi="宋体" w:eastAsia="宋体" w:cs="宋体"/>
          <w:color w:val="auto"/>
          <w:highlight w:val="none"/>
          <w:lang w:eastAsia="zh-CN"/>
        </w:rPr>
      </w:pPr>
    </w:p>
    <w:p w14:paraId="55668C7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A621A8C">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附件4            </w:t>
      </w:r>
      <w:bookmarkEnd w:id="75"/>
      <w:bookmarkEnd w:id="76"/>
      <w:r>
        <w:rPr>
          <w:rFonts w:hint="eastAsia" w:ascii="宋体" w:hAnsi="宋体" w:eastAsia="宋体" w:cs="宋体"/>
          <w:color w:val="auto"/>
          <w:sz w:val="28"/>
          <w:szCs w:val="28"/>
          <w:highlight w:val="none"/>
          <w:lang w:val="en-US" w:eastAsia="zh-CN"/>
        </w:rPr>
        <w:t>报价明细表（格式）</w:t>
      </w:r>
    </w:p>
    <w:p w14:paraId="32072762">
      <w:pPr>
        <w:keepNext w:val="0"/>
        <w:keepLines w:val="0"/>
        <w:pageBreakBefore w:val="0"/>
        <w:widowControl/>
        <w:kinsoku/>
        <w:wordWrap w:val="0"/>
        <w:overflowPunct/>
        <w:topLinePunct w:val="0"/>
        <w:autoSpaceDE/>
        <w:autoSpaceDN/>
        <w:bidi w:val="0"/>
        <w:adjustRightInd/>
        <w:snapToGrid w:val="0"/>
        <w:spacing w:before="50" w:after="50" w:line="400" w:lineRule="exact"/>
        <w:ind w:left="88" w:leftChars="42" w:right="-817" w:rightChars="-389" w:firstLine="3641" w:firstLineChars="1734"/>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金额单位：人民币（元）</w:t>
      </w:r>
    </w:p>
    <w:tbl>
      <w:tblPr>
        <w:tblStyle w:val="33"/>
        <w:tblpPr w:leftFromText="180" w:rightFromText="180" w:vertAnchor="text" w:horzAnchor="page" w:tblpX="1095" w:tblpY="449"/>
        <w:tblOverlap w:val="never"/>
        <w:tblW w:w="988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3"/>
        <w:gridCol w:w="1686"/>
        <w:gridCol w:w="1394"/>
        <w:gridCol w:w="1464"/>
        <w:gridCol w:w="1377"/>
        <w:gridCol w:w="1006"/>
        <w:gridCol w:w="935"/>
        <w:gridCol w:w="1375"/>
      </w:tblGrid>
      <w:tr w14:paraId="407030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4" w:hRule="atLeast"/>
        </w:trPr>
        <w:tc>
          <w:tcPr>
            <w:tcW w:w="643" w:type="dxa"/>
            <w:tcBorders>
              <w:top w:val="single" w:color="auto" w:sz="4" w:space="0"/>
              <w:left w:val="single" w:color="auto" w:sz="4" w:space="0"/>
              <w:bottom w:val="nil"/>
              <w:right w:val="single" w:color="auto" w:sz="4" w:space="0"/>
            </w:tcBorders>
            <w:vAlign w:val="center"/>
          </w:tcPr>
          <w:p w14:paraId="3AC1E14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序号</w:t>
            </w:r>
          </w:p>
        </w:tc>
        <w:tc>
          <w:tcPr>
            <w:tcW w:w="1686" w:type="dxa"/>
            <w:tcBorders>
              <w:top w:val="single" w:color="auto" w:sz="4" w:space="0"/>
              <w:left w:val="single" w:color="auto" w:sz="4" w:space="0"/>
              <w:bottom w:val="nil"/>
              <w:right w:val="single" w:color="auto" w:sz="4" w:space="0"/>
            </w:tcBorders>
            <w:vAlign w:val="center"/>
          </w:tcPr>
          <w:p w14:paraId="4CD8FB1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20"/>
                <w:kern w:val="0"/>
                <w:sz w:val="21"/>
                <w:szCs w:val="21"/>
                <w:highlight w:val="none"/>
                <w:lang w:val="en-US" w:eastAsia="zh-CN" w:bidi="ar-SA"/>
                <w14:textFill>
                  <w14:solidFill>
                    <w14:schemeClr w14:val="tx1"/>
                  </w14:solidFill>
                </w14:textFill>
              </w:rPr>
              <w:t>名称</w:t>
            </w:r>
          </w:p>
        </w:tc>
        <w:tc>
          <w:tcPr>
            <w:tcW w:w="1394" w:type="dxa"/>
            <w:tcBorders>
              <w:top w:val="single" w:color="auto" w:sz="4" w:space="0"/>
              <w:left w:val="single" w:color="auto" w:sz="4" w:space="0"/>
              <w:bottom w:val="nil"/>
              <w:right w:val="single" w:color="auto" w:sz="4" w:space="0"/>
            </w:tcBorders>
            <w:vAlign w:val="center"/>
          </w:tcPr>
          <w:p w14:paraId="4D93AB9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20"/>
                <w:kern w:val="0"/>
                <w:sz w:val="21"/>
                <w:szCs w:val="21"/>
                <w:highlight w:val="none"/>
                <w:lang w:val="en-US" w:eastAsia="zh-CN" w:bidi="ar-SA"/>
                <w14:textFill>
                  <w14:solidFill>
                    <w14:schemeClr w14:val="tx1"/>
                  </w14:solidFill>
                </w14:textFill>
              </w:rPr>
              <w:t>品牌</w:t>
            </w:r>
          </w:p>
        </w:tc>
        <w:tc>
          <w:tcPr>
            <w:tcW w:w="1464" w:type="dxa"/>
            <w:tcBorders>
              <w:top w:val="single" w:color="auto" w:sz="4" w:space="0"/>
              <w:left w:val="single" w:color="auto" w:sz="4" w:space="0"/>
              <w:bottom w:val="nil"/>
              <w:right w:val="single" w:color="auto" w:sz="4" w:space="0"/>
            </w:tcBorders>
            <w:vAlign w:val="center"/>
          </w:tcPr>
          <w:p w14:paraId="5229129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20"/>
                <w:kern w:val="0"/>
                <w:sz w:val="21"/>
                <w:szCs w:val="21"/>
                <w:highlight w:val="none"/>
                <w:lang w:val="en-US" w:eastAsia="zh-CN" w:bidi="ar-SA"/>
                <w14:textFill>
                  <w14:solidFill>
                    <w14:schemeClr w14:val="tx1"/>
                  </w14:solidFill>
                </w14:textFill>
              </w:rPr>
              <w:t>规格型号</w:t>
            </w:r>
          </w:p>
        </w:tc>
        <w:tc>
          <w:tcPr>
            <w:tcW w:w="1377" w:type="dxa"/>
            <w:tcBorders>
              <w:top w:val="single" w:color="auto" w:sz="4" w:space="0"/>
              <w:left w:val="single" w:color="auto" w:sz="4" w:space="0"/>
              <w:bottom w:val="nil"/>
              <w:right w:val="single" w:color="auto" w:sz="4" w:space="0"/>
            </w:tcBorders>
            <w:vAlign w:val="center"/>
          </w:tcPr>
          <w:p w14:paraId="1657BED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产地</w:t>
            </w:r>
          </w:p>
        </w:tc>
        <w:tc>
          <w:tcPr>
            <w:tcW w:w="1006" w:type="dxa"/>
            <w:tcBorders>
              <w:top w:val="single" w:color="auto" w:sz="4" w:space="0"/>
              <w:left w:val="single" w:color="auto" w:sz="4" w:space="0"/>
              <w:bottom w:val="nil"/>
              <w:right w:val="single" w:color="auto" w:sz="4" w:space="0"/>
            </w:tcBorders>
            <w:vAlign w:val="center"/>
          </w:tcPr>
          <w:p w14:paraId="09D23BE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数量</w:t>
            </w:r>
          </w:p>
        </w:tc>
        <w:tc>
          <w:tcPr>
            <w:tcW w:w="935" w:type="dxa"/>
            <w:tcBorders>
              <w:top w:val="single" w:color="auto" w:sz="4" w:space="0"/>
              <w:left w:val="single" w:color="auto" w:sz="4" w:space="0"/>
              <w:bottom w:val="nil"/>
              <w:right w:val="single" w:color="auto" w:sz="4" w:space="0"/>
            </w:tcBorders>
            <w:vAlign w:val="center"/>
          </w:tcPr>
          <w:p w14:paraId="2847D2D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单价</w:t>
            </w:r>
          </w:p>
        </w:tc>
        <w:tc>
          <w:tcPr>
            <w:tcW w:w="1375" w:type="dxa"/>
            <w:tcBorders>
              <w:top w:val="single" w:color="auto" w:sz="4" w:space="0"/>
              <w:left w:val="single" w:color="auto" w:sz="4" w:space="0"/>
              <w:bottom w:val="nil"/>
              <w:right w:val="single" w:color="auto" w:sz="4" w:space="0"/>
            </w:tcBorders>
            <w:vAlign w:val="center"/>
          </w:tcPr>
          <w:p w14:paraId="45FA19B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pacing w:val="20"/>
                <w:kern w:val="0"/>
                <w:sz w:val="21"/>
                <w:szCs w:val="21"/>
                <w:highlight w:val="none"/>
                <w:lang w:val="en-US" w:eastAsia="zh-CN"/>
                <w14:textFill>
                  <w14:solidFill>
                    <w14:schemeClr w14:val="tx1"/>
                  </w14:solidFill>
                </w14:textFill>
              </w:rPr>
              <w:t>总价</w:t>
            </w:r>
          </w:p>
        </w:tc>
      </w:tr>
      <w:tr w14:paraId="6177C2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1E4D6357">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spacing w:val="20"/>
                <w:kern w:val="0"/>
                <w:sz w:val="21"/>
                <w:szCs w:val="21"/>
                <w:highlight w:val="none"/>
                <w:lang w:val="en-US" w:eastAsia="zh-CN"/>
                <w14:textFill>
                  <w14:solidFill>
                    <w14:schemeClr w14:val="tx1"/>
                  </w14:solidFill>
                </w14:textFill>
              </w:rPr>
              <w:t>1</w:t>
            </w:r>
          </w:p>
        </w:tc>
        <w:tc>
          <w:tcPr>
            <w:tcW w:w="1686" w:type="dxa"/>
            <w:tcBorders>
              <w:top w:val="single" w:color="auto" w:sz="4" w:space="0"/>
              <w:left w:val="single" w:color="auto" w:sz="4" w:space="0"/>
              <w:bottom w:val="single" w:color="auto" w:sz="4" w:space="0"/>
              <w:right w:val="single" w:color="auto" w:sz="4" w:space="0"/>
            </w:tcBorders>
          </w:tcPr>
          <w:p w14:paraId="7759AB2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1"/>
                <w:szCs w:val="21"/>
                <w:highlight w:val="none"/>
                <w14:textFill>
                  <w14:solidFill>
                    <w14:schemeClr w14:val="tx1"/>
                  </w14:solidFill>
                </w14:textFill>
              </w:rPr>
            </w:pPr>
          </w:p>
        </w:tc>
        <w:tc>
          <w:tcPr>
            <w:tcW w:w="1394" w:type="dxa"/>
            <w:tcBorders>
              <w:top w:val="single" w:color="auto" w:sz="4" w:space="0"/>
              <w:left w:val="single" w:color="auto" w:sz="4" w:space="0"/>
              <w:bottom w:val="single" w:color="auto" w:sz="4" w:space="0"/>
              <w:right w:val="single" w:color="auto" w:sz="4" w:space="0"/>
            </w:tcBorders>
          </w:tcPr>
          <w:p w14:paraId="668B7005">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1"/>
                <w:szCs w:val="21"/>
                <w:highlight w:val="none"/>
                <w14:textFill>
                  <w14:solidFill>
                    <w14:schemeClr w14:val="tx1"/>
                  </w14:solidFill>
                </w14:textFill>
              </w:rPr>
            </w:pPr>
          </w:p>
        </w:tc>
        <w:tc>
          <w:tcPr>
            <w:tcW w:w="1464" w:type="dxa"/>
            <w:tcBorders>
              <w:top w:val="single" w:color="auto" w:sz="4" w:space="0"/>
              <w:left w:val="single" w:color="auto" w:sz="4" w:space="0"/>
              <w:bottom w:val="single" w:color="auto" w:sz="4" w:space="0"/>
              <w:right w:val="single" w:color="auto" w:sz="4" w:space="0"/>
            </w:tcBorders>
          </w:tcPr>
          <w:p w14:paraId="1D8AF46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1"/>
                <w:szCs w:val="21"/>
                <w:highlight w:val="none"/>
                <w14:textFill>
                  <w14:solidFill>
                    <w14:schemeClr w14:val="tx1"/>
                  </w14:solidFill>
                </w14:textFill>
              </w:rPr>
            </w:pPr>
          </w:p>
        </w:tc>
        <w:tc>
          <w:tcPr>
            <w:tcW w:w="1377" w:type="dxa"/>
            <w:tcBorders>
              <w:top w:val="single" w:color="auto" w:sz="4" w:space="0"/>
              <w:left w:val="single" w:color="auto" w:sz="4" w:space="0"/>
              <w:bottom w:val="single" w:color="auto" w:sz="4" w:space="0"/>
              <w:right w:val="single" w:color="auto" w:sz="4" w:space="0"/>
            </w:tcBorders>
          </w:tcPr>
          <w:p w14:paraId="223570D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1"/>
                <w:szCs w:val="21"/>
                <w:highlight w:val="none"/>
                <w14:textFill>
                  <w14:solidFill>
                    <w14:schemeClr w14:val="tx1"/>
                  </w14:solidFill>
                </w14:textFill>
              </w:rPr>
            </w:pPr>
          </w:p>
        </w:tc>
        <w:tc>
          <w:tcPr>
            <w:tcW w:w="1006" w:type="dxa"/>
            <w:tcBorders>
              <w:top w:val="single" w:color="auto" w:sz="4" w:space="0"/>
              <w:left w:val="single" w:color="auto" w:sz="4" w:space="0"/>
              <w:bottom w:val="single" w:color="auto" w:sz="4" w:space="0"/>
              <w:right w:val="single" w:color="auto" w:sz="4" w:space="0"/>
            </w:tcBorders>
          </w:tcPr>
          <w:p w14:paraId="656D8837">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1"/>
                <w:szCs w:val="21"/>
                <w:highlight w:val="none"/>
                <w14:textFill>
                  <w14:solidFill>
                    <w14:schemeClr w14:val="tx1"/>
                  </w14:solidFill>
                </w14:textFill>
              </w:rPr>
            </w:pPr>
          </w:p>
        </w:tc>
        <w:tc>
          <w:tcPr>
            <w:tcW w:w="935" w:type="dxa"/>
            <w:tcBorders>
              <w:top w:val="single" w:color="auto" w:sz="4" w:space="0"/>
              <w:left w:val="single" w:color="auto" w:sz="4" w:space="0"/>
              <w:bottom w:val="single" w:color="auto" w:sz="4" w:space="0"/>
              <w:right w:val="single" w:color="auto" w:sz="4" w:space="0"/>
            </w:tcBorders>
          </w:tcPr>
          <w:p w14:paraId="4FBDDA2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1"/>
                <w:szCs w:val="21"/>
                <w:highlight w:val="none"/>
                <w14:textFill>
                  <w14:solidFill>
                    <w14:schemeClr w14:val="tx1"/>
                  </w14:solidFill>
                </w14:textFill>
              </w:rPr>
            </w:pPr>
          </w:p>
        </w:tc>
        <w:tc>
          <w:tcPr>
            <w:tcW w:w="1375" w:type="dxa"/>
            <w:tcBorders>
              <w:top w:val="single" w:color="auto" w:sz="4" w:space="0"/>
              <w:left w:val="single" w:color="auto" w:sz="4" w:space="0"/>
              <w:bottom w:val="single" w:color="auto" w:sz="4" w:space="0"/>
              <w:right w:val="single" w:color="auto" w:sz="4" w:space="0"/>
            </w:tcBorders>
          </w:tcPr>
          <w:p w14:paraId="6E2FDE9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1"/>
                <w:szCs w:val="21"/>
                <w:highlight w:val="none"/>
                <w14:textFill>
                  <w14:solidFill>
                    <w14:schemeClr w14:val="tx1"/>
                  </w14:solidFill>
                </w14:textFill>
              </w:rPr>
            </w:pPr>
          </w:p>
        </w:tc>
      </w:tr>
      <w:tr w14:paraId="1D141A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040D9A4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spacing w:val="20"/>
                <w:kern w:val="0"/>
                <w:sz w:val="21"/>
                <w:szCs w:val="21"/>
                <w:highlight w:val="none"/>
                <w:lang w:val="en-US" w:eastAsia="zh-CN"/>
                <w14:textFill>
                  <w14:solidFill>
                    <w14:schemeClr w14:val="tx1"/>
                  </w14:solidFill>
                </w14:textFill>
              </w:rPr>
              <w:t>2</w:t>
            </w:r>
          </w:p>
        </w:tc>
        <w:tc>
          <w:tcPr>
            <w:tcW w:w="1686" w:type="dxa"/>
            <w:tcBorders>
              <w:top w:val="single" w:color="auto" w:sz="4" w:space="0"/>
              <w:left w:val="single" w:color="auto" w:sz="4" w:space="0"/>
              <w:bottom w:val="single" w:color="auto" w:sz="4" w:space="0"/>
              <w:right w:val="single" w:color="auto" w:sz="4" w:space="0"/>
            </w:tcBorders>
          </w:tcPr>
          <w:p w14:paraId="3752EC95">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1"/>
                <w:szCs w:val="21"/>
                <w:highlight w:val="none"/>
                <w14:textFill>
                  <w14:solidFill>
                    <w14:schemeClr w14:val="tx1"/>
                  </w14:solidFill>
                </w14:textFill>
              </w:rPr>
            </w:pPr>
          </w:p>
        </w:tc>
        <w:tc>
          <w:tcPr>
            <w:tcW w:w="1394" w:type="dxa"/>
            <w:tcBorders>
              <w:top w:val="single" w:color="auto" w:sz="4" w:space="0"/>
              <w:left w:val="single" w:color="auto" w:sz="4" w:space="0"/>
              <w:bottom w:val="single" w:color="auto" w:sz="4" w:space="0"/>
              <w:right w:val="single" w:color="auto" w:sz="4" w:space="0"/>
            </w:tcBorders>
          </w:tcPr>
          <w:p w14:paraId="2EF7F5E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1"/>
                <w:szCs w:val="21"/>
                <w:highlight w:val="none"/>
                <w14:textFill>
                  <w14:solidFill>
                    <w14:schemeClr w14:val="tx1"/>
                  </w14:solidFill>
                </w14:textFill>
              </w:rPr>
            </w:pPr>
          </w:p>
        </w:tc>
        <w:tc>
          <w:tcPr>
            <w:tcW w:w="1464" w:type="dxa"/>
            <w:tcBorders>
              <w:top w:val="single" w:color="auto" w:sz="4" w:space="0"/>
              <w:left w:val="single" w:color="auto" w:sz="4" w:space="0"/>
              <w:bottom w:val="single" w:color="auto" w:sz="4" w:space="0"/>
              <w:right w:val="single" w:color="auto" w:sz="4" w:space="0"/>
            </w:tcBorders>
          </w:tcPr>
          <w:p w14:paraId="45C602C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1"/>
                <w:szCs w:val="21"/>
                <w:highlight w:val="none"/>
                <w14:textFill>
                  <w14:solidFill>
                    <w14:schemeClr w14:val="tx1"/>
                  </w14:solidFill>
                </w14:textFill>
              </w:rPr>
            </w:pPr>
          </w:p>
        </w:tc>
        <w:tc>
          <w:tcPr>
            <w:tcW w:w="1377" w:type="dxa"/>
            <w:tcBorders>
              <w:top w:val="single" w:color="auto" w:sz="4" w:space="0"/>
              <w:left w:val="single" w:color="auto" w:sz="4" w:space="0"/>
              <w:bottom w:val="single" w:color="auto" w:sz="4" w:space="0"/>
              <w:right w:val="single" w:color="auto" w:sz="4" w:space="0"/>
            </w:tcBorders>
          </w:tcPr>
          <w:p w14:paraId="47F8AAA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1"/>
                <w:szCs w:val="21"/>
                <w:highlight w:val="none"/>
                <w14:textFill>
                  <w14:solidFill>
                    <w14:schemeClr w14:val="tx1"/>
                  </w14:solidFill>
                </w14:textFill>
              </w:rPr>
            </w:pPr>
          </w:p>
        </w:tc>
        <w:tc>
          <w:tcPr>
            <w:tcW w:w="1006" w:type="dxa"/>
            <w:tcBorders>
              <w:top w:val="single" w:color="auto" w:sz="4" w:space="0"/>
              <w:left w:val="single" w:color="auto" w:sz="4" w:space="0"/>
              <w:bottom w:val="single" w:color="auto" w:sz="4" w:space="0"/>
              <w:right w:val="single" w:color="auto" w:sz="4" w:space="0"/>
            </w:tcBorders>
          </w:tcPr>
          <w:p w14:paraId="0B806D07">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1"/>
                <w:szCs w:val="21"/>
                <w:highlight w:val="none"/>
                <w14:textFill>
                  <w14:solidFill>
                    <w14:schemeClr w14:val="tx1"/>
                  </w14:solidFill>
                </w14:textFill>
              </w:rPr>
            </w:pPr>
          </w:p>
        </w:tc>
        <w:tc>
          <w:tcPr>
            <w:tcW w:w="935" w:type="dxa"/>
            <w:tcBorders>
              <w:top w:val="single" w:color="auto" w:sz="4" w:space="0"/>
              <w:left w:val="single" w:color="auto" w:sz="4" w:space="0"/>
              <w:bottom w:val="single" w:color="auto" w:sz="4" w:space="0"/>
              <w:right w:val="single" w:color="auto" w:sz="4" w:space="0"/>
            </w:tcBorders>
          </w:tcPr>
          <w:p w14:paraId="087C49D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1"/>
                <w:szCs w:val="21"/>
                <w:highlight w:val="none"/>
                <w14:textFill>
                  <w14:solidFill>
                    <w14:schemeClr w14:val="tx1"/>
                  </w14:solidFill>
                </w14:textFill>
              </w:rPr>
            </w:pPr>
          </w:p>
        </w:tc>
        <w:tc>
          <w:tcPr>
            <w:tcW w:w="1375" w:type="dxa"/>
            <w:tcBorders>
              <w:top w:val="single" w:color="auto" w:sz="4" w:space="0"/>
              <w:left w:val="single" w:color="auto" w:sz="4" w:space="0"/>
              <w:bottom w:val="single" w:color="auto" w:sz="4" w:space="0"/>
              <w:right w:val="single" w:color="auto" w:sz="4" w:space="0"/>
            </w:tcBorders>
          </w:tcPr>
          <w:p w14:paraId="7175C14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1"/>
                <w:szCs w:val="21"/>
                <w:highlight w:val="none"/>
                <w14:textFill>
                  <w14:solidFill>
                    <w14:schemeClr w14:val="tx1"/>
                  </w14:solidFill>
                </w14:textFill>
              </w:rPr>
            </w:pPr>
          </w:p>
        </w:tc>
      </w:tr>
      <w:tr w14:paraId="6B4CE1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656F099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spacing w:val="20"/>
                <w:kern w:val="0"/>
                <w:sz w:val="21"/>
                <w:szCs w:val="21"/>
                <w:highlight w:val="none"/>
                <w:lang w:val="en-US" w:eastAsia="zh-CN"/>
                <w14:textFill>
                  <w14:solidFill>
                    <w14:schemeClr w14:val="tx1"/>
                  </w14:solidFill>
                </w14:textFill>
              </w:rPr>
              <w:t>3</w:t>
            </w:r>
          </w:p>
        </w:tc>
        <w:tc>
          <w:tcPr>
            <w:tcW w:w="1686" w:type="dxa"/>
            <w:tcBorders>
              <w:top w:val="single" w:color="auto" w:sz="4" w:space="0"/>
              <w:left w:val="single" w:color="auto" w:sz="4" w:space="0"/>
              <w:bottom w:val="single" w:color="auto" w:sz="4" w:space="0"/>
              <w:right w:val="single" w:color="auto" w:sz="4" w:space="0"/>
            </w:tcBorders>
          </w:tcPr>
          <w:p w14:paraId="206F58F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1"/>
                <w:szCs w:val="21"/>
                <w:highlight w:val="none"/>
                <w14:textFill>
                  <w14:solidFill>
                    <w14:schemeClr w14:val="tx1"/>
                  </w14:solidFill>
                </w14:textFill>
              </w:rPr>
            </w:pPr>
          </w:p>
        </w:tc>
        <w:tc>
          <w:tcPr>
            <w:tcW w:w="1394" w:type="dxa"/>
            <w:tcBorders>
              <w:top w:val="single" w:color="auto" w:sz="4" w:space="0"/>
              <w:left w:val="single" w:color="auto" w:sz="4" w:space="0"/>
              <w:bottom w:val="single" w:color="auto" w:sz="4" w:space="0"/>
              <w:right w:val="single" w:color="auto" w:sz="4" w:space="0"/>
            </w:tcBorders>
          </w:tcPr>
          <w:p w14:paraId="3667217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1"/>
                <w:szCs w:val="21"/>
                <w:highlight w:val="none"/>
                <w14:textFill>
                  <w14:solidFill>
                    <w14:schemeClr w14:val="tx1"/>
                  </w14:solidFill>
                </w14:textFill>
              </w:rPr>
            </w:pPr>
          </w:p>
        </w:tc>
        <w:tc>
          <w:tcPr>
            <w:tcW w:w="1464" w:type="dxa"/>
            <w:tcBorders>
              <w:top w:val="single" w:color="auto" w:sz="4" w:space="0"/>
              <w:left w:val="single" w:color="auto" w:sz="4" w:space="0"/>
              <w:bottom w:val="single" w:color="auto" w:sz="4" w:space="0"/>
              <w:right w:val="single" w:color="auto" w:sz="4" w:space="0"/>
            </w:tcBorders>
          </w:tcPr>
          <w:p w14:paraId="4EBC2F5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1"/>
                <w:szCs w:val="21"/>
                <w:highlight w:val="none"/>
                <w14:textFill>
                  <w14:solidFill>
                    <w14:schemeClr w14:val="tx1"/>
                  </w14:solidFill>
                </w14:textFill>
              </w:rPr>
            </w:pPr>
          </w:p>
        </w:tc>
        <w:tc>
          <w:tcPr>
            <w:tcW w:w="1377" w:type="dxa"/>
            <w:tcBorders>
              <w:top w:val="single" w:color="auto" w:sz="4" w:space="0"/>
              <w:left w:val="single" w:color="auto" w:sz="4" w:space="0"/>
              <w:bottom w:val="single" w:color="auto" w:sz="4" w:space="0"/>
              <w:right w:val="single" w:color="auto" w:sz="4" w:space="0"/>
            </w:tcBorders>
          </w:tcPr>
          <w:p w14:paraId="7EBFE86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1"/>
                <w:szCs w:val="21"/>
                <w:highlight w:val="none"/>
                <w14:textFill>
                  <w14:solidFill>
                    <w14:schemeClr w14:val="tx1"/>
                  </w14:solidFill>
                </w14:textFill>
              </w:rPr>
            </w:pPr>
          </w:p>
        </w:tc>
        <w:tc>
          <w:tcPr>
            <w:tcW w:w="1006" w:type="dxa"/>
            <w:tcBorders>
              <w:top w:val="single" w:color="auto" w:sz="4" w:space="0"/>
              <w:left w:val="single" w:color="auto" w:sz="4" w:space="0"/>
              <w:bottom w:val="single" w:color="auto" w:sz="4" w:space="0"/>
              <w:right w:val="single" w:color="auto" w:sz="4" w:space="0"/>
            </w:tcBorders>
          </w:tcPr>
          <w:p w14:paraId="052B946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1"/>
                <w:szCs w:val="21"/>
                <w:highlight w:val="none"/>
                <w14:textFill>
                  <w14:solidFill>
                    <w14:schemeClr w14:val="tx1"/>
                  </w14:solidFill>
                </w14:textFill>
              </w:rPr>
            </w:pPr>
          </w:p>
        </w:tc>
        <w:tc>
          <w:tcPr>
            <w:tcW w:w="935" w:type="dxa"/>
            <w:tcBorders>
              <w:top w:val="single" w:color="auto" w:sz="4" w:space="0"/>
              <w:left w:val="single" w:color="auto" w:sz="4" w:space="0"/>
              <w:bottom w:val="single" w:color="auto" w:sz="4" w:space="0"/>
              <w:right w:val="single" w:color="auto" w:sz="4" w:space="0"/>
            </w:tcBorders>
          </w:tcPr>
          <w:p w14:paraId="28B41EA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1"/>
                <w:szCs w:val="21"/>
                <w:highlight w:val="none"/>
                <w14:textFill>
                  <w14:solidFill>
                    <w14:schemeClr w14:val="tx1"/>
                  </w14:solidFill>
                </w14:textFill>
              </w:rPr>
            </w:pPr>
          </w:p>
        </w:tc>
        <w:tc>
          <w:tcPr>
            <w:tcW w:w="1375" w:type="dxa"/>
            <w:tcBorders>
              <w:top w:val="single" w:color="auto" w:sz="4" w:space="0"/>
              <w:left w:val="single" w:color="auto" w:sz="4" w:space="0"/>
              <w:bottom w:val="single" w:color="auto" w:sz="4" w:space="0"/>
              <w:right w:val="single" w:color="auto" w:sz="4" w:space="0"/>
            </w:tcBorders>
          </w:tcPr>
          <w:p w14:paraId="3C2F7AD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1"/>
                <w:szCs w:val="21"/>
                <w:highlight w:val="none"/>
                <w14:textFill>
                  <w14:solidFill>
                    <w14:schemeClr w14:val="tx1"/>
                  </w14:solidFill>
                </w14:textFill>
              </w:rPr>
            </w:pPr>
          </w:p>
        </w:tc>
      </w:tr>
      <w:tr w14:paraId="082939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4ECA6AA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spacing w:val="20"/>
                <w:kern w:val="0"/>
                <w:sz w:val="21"/>
                <w:szCs w:val="21"/>
                <w:highlight w:val="none"/>
                <w:lang w:val="en-US" w:eastAsia="zh-CN"/>
                <w14:textFill>
                  <w14:solidFill>
                    <w14:schemeClr w14:val="tx1"/>
                  </w14:solidFill>
                </w14:textFill>
              </w:rPr>
              <w:t>4</w:t>
            </w:r>
          </w:p>
        </w:tc>
        <w:tc>
          <w:tcPr>
            <w:tcW w:w="1686" w:type="dxa"/>
            <w:tcBorders>
              <w:top w:val="single" w:color="auto" w:sz="4" w:space="0"/>
              <w:left w:val="single" w:color="auto" w:sz="4" w:space="0"/>
              <w:bottom w:val="single" w:color="auto" w:sz="4" w:space="0"/>
              <w:right w:val="single" w:color="auto" w:sz="4" w:space="0"/>
            </w:tcBorders>
          </w:tcPr>
          <w:p w14:paraId="504699E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1"/>
                <w:szCs w:val="21"/>
                <w:highlight w:val="none"/>
                <w14:textFill>
                  <w14:solidFill>
                    <w14:schemeClr w14:val="tx1"/>
                  </w14:solidFill>
                </w14:textFill>
              </w:rPr>
            </w:pPr>
          </w:p>
        </w:tc>
        <w:tc>
          <w:tcPr>
            <w:tcW w:w="1394" w:type="dxa"/>
            <w:tcBorders>
              <w:top w:val="single" w:color="auto" w:sz="4" w:space="0"/>
              <w:left w:val="single" w:color="auto" w:sz="4" w:space="0"/>
              <w:bottom w:val="single" w:color="auto" w:sz="4" w:space="0"/>
              <w:right w:val="single" w:color="auto" w:sz="4" w:space="0"/>
            </w:tcBorders>
          </w:tcPr>
          <w:p w14:paraId="0E30236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1"/>
                <w:szCs w:val="21"/>
                <w:highlight w:val="none"/>
                <w14:textFill>
                  <w14:solidFill>
                    <w14:schemeClr w14:val="tx1"/>
                  </w14:solidFill>
                </w14:textFill>
              </w:rPr>
            </w:pPr>
          </w:p>
        </w:tc>
        <w:tc>
          <w:tcPr>
            <w:tcW w:w="1464" w:type="dxa"/>
            <w:tcBorders>
              <w:top w:val="single" w:color="auto" w:sz="4" w:space="0"/>
              <w:left w:val="single" w:color="auto" w:sz="4" w:space="0"/>
              <w:bottom w:val="single" w:color="auto" w:sz="4" w:space="0"/>
              <w:right w:val="single" w:color="auto" w:sz="4" w:space="0"/>
            </w:tcBorders>
          </w:tcPr>
          <w:p w14:paraId="67A995C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1"/>
                <w:szCs w:val="21"/>
                <w:highlight w:val="none"/>
                <w14:textFill>
                  <w14:solidFill>
                    <w14:schemeClr w14:val="tx1"/>
                  </w14:solidFill>
                </w14:textFill>
              </w:rPr>
            </w:pPr>
          </w:p>
        </w:tc>
        <w:tc>
          <w:tcPr>
            <w:tcW w:w="1377" w:type="dxa"/>
            <w:tcBorders>
              <w:top w:val="single" w:color="auto" w:sz="4" w:space="0"/>
              <w:left w:val="single" w:color="auto" w:sz="4" w:space="0"/>
              <w:bottom w:val="single" w:color="auto" w:sz="4" w:space="0"/>
              <w:right w:val="single" w:color="auto" w:sz="4" w:space="0"/>
            </w:tcBorders>
          </w:tcPr>
          <w:p w14:paraId="5EB284A7">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1"/>
                <w:szCs w:val="21"/>
                <w:highlight w:val="none"/>
                <w14:textFill>
                  <w14:solidFill>
                    <w14:schemeClr w14:val="tx1"/>
                  </w14:solidFill>
                </w14:textFill>
              </w:rPr>
            </w:pPr>
          </w:p>
        </w:tc>
        <w:tc>
          <w:tcPr>
            <w:tcW w:w="1006" w:type="dxa"/>
            <w:tcBorders>
              <w:top w:val="single" w:color="auto" w:sz="4" w:space="0"/>
              <w:left w:val="single" w:color="auto" w:sz="4" w:space="0"/>
              <w:bottom w:val="single" w:color="auto" w:sz="4" w:space="0"/>
              <w:right w:val="single" w:color="auto" w:sz="4" w:space="0"/>
            </w:tcBorders>
          </w:tcPr>
          <w:p w14:paraId="6252413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1"/>
                <w:szCs w:val="21"/>
                <w:highlight w:val="none"/>
                <w14:textFill>
                  <w14:solidFill>
                    <w14:schemeClr w14:val="tx1"/>
                  </w14:solidFill>
                </w14:textFill>
              </w:rPr>
            </w:pPr>
          </w:p>
        </w:tc>
        <w:tc>
          <w:tcPr>
            <w:tcW w:w="935" w:type="dxa"/>
            <w:tcBorders>
              <w:top w:val="single" w:color="auto" w:sz="4" w:space="0"/>
              <w:left w:val="single" w:color="auto" w:sz="4" w:space="0"/>
              <w:bottom w:val="single" w:color="auto" w:sz="4" w:space="0"/>
              <w:right w:val="single" w:color="auto" w:sz="4" w:space="0"/>
            </w:tcBorders>
          </w:tcPr>
          <w:p w14:paraId="0ADB91F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1"/>
                <w:szCs w:val="21"/>
                <w:highlight w:val="none"/>
                <w14:textFill>
                  <w14:solidFill>
                    <w14:schemeClr w14:val="tx1"/>
                  </w14:solidFill>
                </w14:textFill>
              </w:rPr>
            </w:pPr>
          </w:p>
        </w:tc>
        <w:tc>
          <w:tcPr>
            <w:tcW w:w="1375" w:type="dxa"/>
            <w:tcBorders>
              <w:top w:val="single" w:color="auto" w:sz="4" w:space="0"/>
              <w:left w:val="single" w:color="auto" w:sz="4" w:space="0"/>
              <w:bottom w:val="single" w:color="auto" w:sz="4" w:space="0"/>
              <w:right w:val="single" w:color="auto" w:sz="4" w:space="0"/>
            </w:tcBorders>
          </w:tcPr>
          <w:p w14:paraId="064484E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1"/>
                <w:szCs w:val="21"/>
                <w:highlight w:val="none"/>
                <w14:textFill>
                  <w14:solidFill>
                    <w14:schemeClr w14:val="tx1"/>
                  </w14:solidFill>
                </w14:textFill>
              </w:rPr>
            </w:pPr>
          </w:p>
        </w:tc>
      </w:tr>
      <w:tr w14:paraId="2FA8FC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2FC9E2C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1"/>
                <w:szCs w:val="21"/>
                <w:highlight w:val="none"/>
                <w14:textFill>
                  <w14:solidFill>
                    <w14:schemeClr w14:val="tx1"/>
                  </w14:solidFill>
                </w14:textFill>
              </w:rPr>
            </w:pPr>
          </w:p>
        </w:tc>
        <w:tc>
          <w:tcPr>
            <w:tcW w:w="1686" w:type="dxa"/>
            <w:tcBorders>
              <w:top w:val="single" w:color="auto" w:sz="4" w:space="0"/>
              <w:left w:val="single" w:color="auto" w:sz="4" w:space="0"/>
              <w:bottom w:val="single" w:color="auto" w:sz="4" w:space="0"/>
              <w:right w:val="single" w:color="auto" w:sz="4" w:space="0"/>
            </w:tcBorders>
          </w:tcPr>
          <w:p w14:paraId="6F7C957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1"/>
                <w:szCs w:val="21"/>
                <w:highlight w:val="none"/>
                <w14:textFill>
                  <w14:solidFill>
                    <w14:schemeClr w14:val="tx1"/>
                  </w14:solidFill>
                </w14:textFill>
              </w:rPr>
            </w:pPr>
          </w:p>
        </w:tc>
        <w:tc>
          <w:tcPr>
            <w:tcW w:w="1394" w:type="dxa"/>
            <w:tcBorders>
              <w:top w:val="single" w:color="auto" w:sz="4" w:space="0"/>
              <w:left w:val="single" w:color="auto" w:sz="4" w:space="0"/>
              <w:bottom w:val="single" w:color="auto" w:sz="4" w:space="0"/>
              <w:right w:val="single" w:color="auto" w:sz="4" w:space="0"/>
            </w:tcBorders>
          </w:tcPr>
          <w:p w14:paraId="0920E6B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1"/>
                <w:szCs w:val="21"/>
                <w:highlight w:val="none"/>
                <w14:textFill>
                  <w14:solidFill>
                    <w14:schemeClr w14:val="tx1"/>
                  </w14:solidFill>
                </w14:textFill>
              </w:rPr>
            </w:pPr>
          </w:p>
        </w:tc>
        <w:tc>
          <w:tcPr>
            <w:tcW w:w="1464" w:type="dxa"/>
            <w:tcBorders>
              <w:top w:val="single" w:color="auto" w:sz="4" w:space="0"/>
              <w:left w:val="single" w:color="auto" w:sz="4" w:space="0"/>
              <w:bottom w:val="single" w:color="auto" w:sz="4" w:space="0"/>
              <w:right w:val="single" w:color="auto" w:sz="4" w:space="0"/>
            </w:tcBorders>
          </w:tcPr>
          <w:p w14:paraId="6A5082E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1"/>
                <w:szCs w:val="21"/>
                <w:highlight w:val="none"/>
                <w14:textFill>
                  <w14:solidFill>
                    <w14:schemeClr w14:val="tx1"/>
                  </w14:solidFill>
                </w14:textFill>
              </w:rPr>
            </w:pPr>
          </w:p>
        </w:tc>
        <w:tc>
          <w:tcPr>
            <w:tcW w:w="1377" w:type="dxa"/>
            <w:tcBorders>
              <w:top w:val="single" w:color="auto" w:sz="4" w:space="0"/>
              <w:left w:val="single" w:color="auto" w:sz="4" w:space="0"/>
              <w:bottom w:val="single" w:color="auto" w:sz="4" w:space="0"/>
              <w:right w:val="single" w:color="auto" w:sz="4" w:space="0"/>
            </w:tcBorders>
          </w:tcPr>
          <w:p w14:paraId="0B786475">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1"/>
                <w:szCs w:val="21"/>
                <w:highlight w:val="none"/>
                <w14:textFill>
                  <w14:solidFill>
                    <w14:schemeClr w14:val="tx1"/>
                  </w14:solidFill>
                </w14:textFill>
              </w:rPr>
            </w:pPr>
          </w:p>
        </w:tc>
        <w:tc>
          <w:tcPr>
            <w:tcW w:w="1006" w:type="dxa"/>
            <w:tcBorders>
              <w:top w:val="single" w:color="auto" w:sz="4" w:space="0"/>
              <w:left w:val="single" w:color="auto" w:sz="4" w:space="0"/>
              <w:bottom w:val="single" w:color="auto" w:sz="4" w:space="0"/>
              <w:right w:val="single" w:color="auto" w:sz="4" w:space="0"/>
            </w:tcBorders>
          </w:tcPr>
          <w:p w14:paraId="27EEF6D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1"/>
                <w:szCs w:val="21"/>
                <w:highlight w:val="none"/>
                <w14:textFill>
                  <w14:solidFill>
                    <w14:schemeClr w14:val="tx1"/>
                  </w14:solidFill>
                </w14:textFill>
              </w:rPr>
            </w:pPr>
          </w:p>
        </w:tc>
        <w:tc>
          <w:tcPr>
            <w:tcW w:w="935" w:type="dxa"/>
            <w:tcBorders>
              <w:top w:val="single" w:color="auto" w:sz="4" w:space="0"/>
              <w:left w:val="single" w:color="auto" w:sz="4" w:space="0"/>
              <w:bottom w:val="single" w:color="auto" w:sz="4" w:space="0"/>
              <w:right w:val="single" w:color="auto" w:sz="4" w:space="0"/>
            </w:tcBorders>
          </w:tcPr>
          <w:p w14:paraId="64485A4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1"/>
                <w:szCs w:val="21"/>
                <w:highlight w:val="none"/>
                <w14:textFill>
                  <w14:solidFill>
                    <w14:schemeClr w14:val="tx1"/>
                  </w14:solidFill>
                </w14:textFill>
              </w:rPr>
            </w:pPr>
          </w:p>
        </w:tc>
        <w:tc>
          <w:tcPr>
            <w:tcW w:w="1375" w:type="dxa"/>
            <w:tcBorders>
              <w:top w:val="single" w:color="auto" w:sz="4" w:space="0"/>
              <w:left w:val="single" w:color="auto" w:sz="4" w:space="0"/>
              <w:bottom w:val="single" w:color="auto" w:sz="4" w:space="0"/>
              <w:right w:val="single" w:color="auto" w:sz="4" w:space="0"/>
            </w:tcBorders>
          </w:tcPr>
          <w:p w14:paraId="0E03BAA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1"/>
                <w:szCs w:val="21"/>
                <w:highlight w:val="none"/>
                <w14:textFill>
                  <w14:solidFill>
                    <w14:schemeClr w14:val="tx1"/>
                  </w14:solidFill>
                </w14:textFill>
              </w:rPr>
            </w:pPr>
          </w:p>
        </w:tc>
      </w:tr>
      <w:tr w14:paraId="5034A9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3B640F7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spacing w:val="20"/>
                <w:kern w:val="0"/>
                <w:sz w:val="21"/>
                <w:szCs w:val="21"/>
                <w:highlight w:val="none"/>
                <w:lang w:val="en-US" w:eastAsia="zh-CN"/>
                <w14:textFill>
                  <w14:solidFill>
                    <w14:schemeClr w14:val="tx1"/>
                  </w14:solidFill>
                </w14:textFill>
              </w:rPr>
              <w:t>...</w:t>
            </w:r>
          </w:p>
        </w:tc>
        <w:tc>
          <w:tcPr>
            <w:tcW w:w="1686" w:type="dxa"/>
            <w:tcBorders>
              <w:top w:val="single" w:color="auto" w:sz="4" w:space="0"/>
              <w:left w:val="single" w:color="auto" w:sz="4" w:space="0"/>
              <w:bottom w:val="single" w:color="auto" w:sz="4" w:space="0"/>
              <w:right w:val="single" w:color="auto" w:sz="4" w:space="0"/>
            </w:tcBorders>
          </w:tcPr>
          <w:p w14:paraId="02130AB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spacing w:val="20"/>
                <w:kern w:val="0"/>
                <w:sz w:val="21"/>
                <w:szCs w:val="21"/>
                <w:highlight w:val="none"/>
                <w:lang w:val="en-US" w:eastAsia="zh-CN"/>
                <w14:textFill>
                  <w14:solidFill>
                    <w14:schemeClr w14:val="tx1"/>
                  </w14:solidFill>
                </w14:textFill>
              </w:rPr>
              <w:t>合计</w:t>
            </w:r>
          </w:p>
        </w:tc>
        <w:tc>
          <w:tcPr>
            <w:tcW w:w="1394" w:type="dxa"/>
            <w:tcBorders>
              <w:top w:val="single" w:color="auto" w:sz="4" w:space="0"/>
              <w:left w:val="single" w:color="auto" w:sz="4" w:space="0"/>
              <w:bottom w:val="single" w:color="auto" w:sz="4" w:space="0"/>
              <w:right w:val="single" w:color="auto" w:sz="4" w:space="0"/>
            </w:tcBorders>
          </w:tcPr>
          <w:p w14:paraId="597047A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1"/>
                <w:szCs w:val="21"/>
                <w:highlight w:val="none"/>
                <w14:textFill>
                  <w14:solidFill>
                    <w14:schemeClr w14:val="tx1"/>
                  </w14:solidFill>
                </w14:textFill>
              </w:rPr>
            </w:pPr>
          </w:p>
        </w:tc>
        <w:tc>
          <w:tcPr>
            <w:tcW w:w="1464" w:type="dxa"/>
            <w:tcBorders>
              <w:top w:val="single" w:color="auto" w:sz="4" w:space="0"/>
              <w:left w:val="single" w:color="auto" w:sz="4" w:space="0"/>
              <w:bottom w:val="single" w:color="auto" w:sz="4" w:space="0"/>
              <w:right w:val="single" w:color="auto" w:sz="4" w:space="0"/>
            </w:tcBorders>
          </w:tcPr>
          <w:p w14:paraId="143B41C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1"/>
                <w:szCs w:val="21"/>
                <w:highlight w:val="none"/>
                <w14:textFill>
                  <w14:solidFill>
                    <w14:schemeClr w14:val="tx1"/>
                  </w14:solidFill>
                </w14:textFill>
              </w:rPr>
            </w:pPr>
          </w:p>
        </w:tc>
        <w:tc>
          <w:tcPr>
            <w:tcW w:w="1377" w:type="dxa"/>
            <w:tcBorders>
              <w:top w:val="single" w:color="auto" w:sz="4" w:space="0"/>
              <w:left w:val="single" w:color="auto" w:sz="4" w:space="0"/>
              <w:bottom w:val="single" w:color="auto" w:sz="4" w:space="0"/>
              <w:right w:val="single" w:color="auto" w:sz="4" w:space="0"/>
            </w:tcBorders>
          </w:tcPr>
          <w:p w14:paraId="6D86806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1"/>
                <w:szCs w:val="21"/>
                <w:highlight w:val="none"/>
                <w14:textFill>
                  <w14:solidFill>
                    <w14:schemeClr w14:val="tx1"/>
                  </w14:solidFill>
                </w14:textFill>
              </w:rPr>
            </w:pPr>
          </w:p>
        </w:tc>
        <w:tc>
          <w:tcPr>
            <w:tcW w:w="1006" w:type="dxa"/>
            <w:tcBorders>
              <w:top w:val="single" w:color="auto" w:sz="4" w:space="0"/>
              <w:left w:val="single" w:color="auto" w:sz="4" w:space="0"/>
              <w:bottom w:val="single" w:color="auto" w:sz="4" w:space="0"/>
              <w:right w:val="single" w:color="auto" w:sz="4" w:space="0"/>
            </w:tcBorders>
          </w:tcPr>
          <w:p w14:paraId="5CCE974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1"/>
                <w:szCs w:val="21"/>
                <w:highlight w:val="none"/>
                <w14:textFill>
                  <w14:solidFill>
                    <w14:schemeClr w14:val="tx1"/>
                  </w14:solidFill>
                </w14:textFill>
              </w:rPr>
            </w:pPr>
          </w:p>
        </w:tc>
        <w:tc>
          <w:tcPr>
            <w:tcW w:w="935" w:type="dxa"/>
            <w:tcBorders>
              <w:top w:val="single" w:color="auto" w:sz="4" w:space="0"/>
              <w:left w:val="single" w:color="auto" w:sz="4" w:space="0"/>
              <w:bottom w:val="single" w:color="auto" w:sz="4" w:space="0"/>
              <w:right w:val="single" w:color="auto" w:sz="4" w:space="0"/>
            </w:tcBorders>
          </w:tcPr>
          <w:p w14:paraId="6FE3498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1"/>
                <w:szCs w:val="21"/>
                <w:highlight w:val="none"/>
                <w14:textFill>
                  <w14:solidFill>
                    <w14:schemeClr w14:val="tx1"/>
                  </w14:solidFill>
                </w14:textFill>
              </w:rPr>
            </w:pPr>
          </w:p>
        </w:tc>
        <w:tc>
          <w:tcPr>
            <w:tcW w:w="1375" w:type="dxa"/>
            <w:tcBorders>
              <w:top w:val="single" w:color="auto" w:sz="4" w:space="0"/>
              <w:left w:val="single" w:color="auto" w:sz="4" w:space="0"/>
              <w:bottom w:val="single" w:color="auto" w:sz="4" w:space="0"/>
              <w:right w:val="single" w:color="auto" w:sz="4" w:space="0"/>
            </w:tcBorders>
          </w:tcPr>
          <w:p w14:paraId="44E8564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1"/>
                <w:szCs w:val="21"/>
                <w:highlight w:val="none"/>
                <w14:textFill>
                  <w14:solidFill>
                    <w14:schemeClr w14:val="tx1"/>
                  </w14:solidFill>
                </w14:textFill>
              </w:rPr>
            </w:pPr>
          </w:p>
        </w:tc>
      </w:tr>
      <w:tr w14:paraId="04EEE5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643" w:type="dxa"/>
            <w:tcBorders>
              <w:top w:val="single" w:color="auto" w:sz="4" w:space="0"/>
              <w:left w:val="single" w:color="auto" w:sz="4" w:space="0"/>
              <w:bottom w:val="single" w:color="auto" w:sz="4" w:space="0"/>
              <w:right w:val="single" w:color="auto" w:sz="4" w:space="0"/>
            </w:tcBorders>
            <w:vAlign w:val="top"/>
          </w:tcPr>
          <w:p w14:paraId="7AE1F02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left"/>
              <w:textAlignment w:val="auto"/>
              <w:rPr>
                <w:rFonts w:hint="eastAsia" w:ascii="宋体" w:hAnsi="宋体" w:eastAsia="宋体" w:cs="宋体"/>
                <w:color w:val="000000" w:themeColor="text1"/>
                <w:spacing w:val="20"/>
                <w:kern w:val="0"/>
                <w:sz w:val="21"/>
                <w:szCs w:val="21"/>
                <w:highlight w:val="none"/>
                <w14:textFill>
                  <w14:solidFill>
                    <w14:schemeClr w14:val="tx1"/>
                  </w14:solidFill>
                </w14:textFill>
              </w:rPr>
            </w:pPr>
          </w:p>
        </w:tc>
        <w:tc>
          <w:tcPr>
            <w:tcW w:w="9237" w:type="dxa"/>
            <w:gridSpan w:val="7"/>
            <w:tcBorders>
              <w:top w:val="single" w:color="auto" w:sz="4" w:space="0"/>
              <w:left w:val="single" w:color="auto" w:sz="4" w:space="0"/>
              <w:bottom w:val="single" w:color="auto" w:sz="4" w:space="0"/>
              <w:right w:val="single" w:color="auto" w:sz="4" w:space="0"/>
            </w:tcBorders>
            <w:vAlign w:val="top"/>
          </w:tcPr>
          <w:p w14:paraId="34D9C66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left"/>
              <w:textAlignment w:val="auto"/>
              <w:rPr>
                <w:rFonts w:hint="eastAsia" w:ascii="宋体" w:hAnsi="宋体" w:eastAsia="宋体" w:cs="宋体"/>
                <w:color w:val="000000" w:themeColor="text1"/>
                <w:spacing w:val="20"/>
                <w:kern w:val="0"/>
                <w:sz w:val="21"/>
                <w:szCs w:val="21"/>
                <w:highlight w:val="none"/>
                <w:u w:val="single"/>
                <w:lang w:val="en-US" w:eastAsia="zh-CN"/>
                <w14:textFill>
                  <w14:solidFill>
                    <w14:schemeClr w14:val="tx1"/>
                  </w14:solidFill>
                </w14:textFill>
              </w:rPr>
            </w:pPr>
            <w:r>
              <w:rPr>
                <w:rFonts w:hint="eastAsia" w:ascii="宋体" w:hAnsi="宋体" w:eastAsia="宋体" w:cs="宋体"/>
                <w:color w:val="000000" w:themeColor="text1"/>
                <w:spacing w:val="20"/>
                <w:kern w:val="0"/>
                <w:sz w:val="21"/>
                <w:szCs w:val="21"/>
                <w:highlight w:val="none"/>
                <w14:textFill>
                  <w14:solidFill>
                    <w14:schemeClr w14:val="tx1"/>
                  </w14:solidFill>
                </w14:textFill>
              </w:rPr>
              <w:t>投标</w:t>
            </w:r>
            <w:r>
              <w:rPr>
                <w:rFonts w:hint="eastAsia" w:ascii="宋体" w:hAnsi="宋体" w:eastAsia="宋体" w:cs="宋体"/>
                <w:color w:val="000000" w:themeColor="text1"/>
                <w:spacing w:val="20"/>
                <w:kern w:val="0"/>
                <w:sz w:val="21"/>
                <w:szCs w:val="21"/>
                <w:highlight w:val="none"/>
                <w:lang w:val="en-US" w:eastAsia="zh-CN"/>
                <w14:textFill>
                  <w14:solidFill>
                    <w14:schemeClr w14:val="tx1"/>
                  </w14:solidFill>
                </w14:textFill>
              </w:rPr>
              <w:t>总</w:t>
            </w:r>
            <w:r>
              <w:rPr>
                <w:rFonts w:hint="eastAsia" w:ascii="宋体" w:hAnsi="宋体" w:eastAsia="宋体" w:cs="宋体"/>
                <w:color w:val="000000" w:themeColor="text1"/>
                <w:spacing w:val="20"/>
                <w:kern w:val="0"/>
                <w:sz w:val="21"/>
                <w:szCs w:val="21"/>
                <w:highlight w:val="none"/>
                <w14:textFill>
                  <w14:solidFill>
                    <w14:schemeClr w14:val="tx1"/>
                  </w14:solidFill>
                </w14:textFill>
              </w:rPr>
              <w:t>价(</w:t>
            </w:r>
            <w:r>
              <w:rPr>
                <w:rFonts w:hint="eastAsia" w:ascii="宋体" w:hAnsi="宋体" w:eastAsia="宋体" w:cs="宋体"/>
                <w:color w:val="000000" w:themeColor="text1"/>
                <w:kern w:val="0"/>
                <w:sz w:val="21"/>
                <w:szCs w:val="21"/>
                <w:highlight w:val="none"/>
                <w14:textFill>
                  <w14:solidFill>
                    <w14:schemeClr w14:val="tx1"/>
                  </w14:solidFill>
                </w14:textFill>
              </w:rPr>
              <w:t>大写)：</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kern w:val="0"/>
                <w:sz w:val="21"/>
                <w:szCs w:val="21"/>
                <w:highlight w:val="none"/>
                <w14:textFill>
                  <w14:solidFill>
                    <w14:schemeClr w14:val="tx1"/>
                  </w14:solidFill>
                </w14:textFill>
              </w:rPr>
              <w:t>￥</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1"/>
                <w:szCs w:val="21"/>
                <w:highlight w:val="none"/>
                <w:u w:val="none"/>
                <w:lang w:val="en-US" w:eastAsia="zh-CN"/>
                <w14:textFill>
                  <w14:solidFill>
                    <w14:schemeClr w14:val="tx1"/>
                  </w14:solidFill>
                </w14:textFill>
              </w:rPr>
              <w:t>（小写）</w:t>
            </w:r>
          </w:p>
        </w:tc>
      </w:tr>
    </w:tbl>
    <w:p w14:paraId="636E8530">
      <w:pPr>
        <w:widowControl/>
        <w:shd w:val="clear" w:color="auto" w:fill="FFFFFF"/>
        <w:spacing w:line="360" w:lineRule="auto"/>
        <w:ind w:left="1418" w:hanging="567"/>
        <w:jc w:val="both"/>
        <w:rPr>
          <w:rFonts w:hint="eastAsia" w:ascii="宋体" w:hAnsi="宋体" w:eastAsia="宋体" w:cs="宋体"/>
          <w:color w:val="auto"/>
          <w:kern w:val="0"/>
          <w:sz w:val="21"/>
          <w:szCs w:val="21"/>
          <w:highlight w:val="none"/>
        </w:rPr>
      </w:pPr>
    </w:p>
    <w:p w14:paraId="080DC59C">
      <w:pPr>
        <w:pStyle w:val="32"/>
        <w:ind w:firstLine="3990" w:firstLineChars="1900"/>
        <w:rPr>
          <w:rFonts w:hint="eastAsia" w:ascii="宋体" w:hAnsi="宋体" w:eastAsia="宋体" w:cs="宋体"/>
          <w:color w:val="auto"/>
          <w:sz w:val="21"/>
          <w:szCs w:val="21"/>
          <w:highlight w:val="none"/>
          <w:lang w:eastAsia="zh-CN"/>
        </w:rPr>
      </w:pPr>
    </w:p>
    <w:p w14:paraId="2CBDDC0D">
      <w:pPr>
        <w:pStyle w:val="32"/>
        <w:ind w:firstLine="3990" w:firstLineChars="1900"/>
        <w:rPr>
          <w:rFonts w:hint="eastAsia" w:ascii="宋体" w:hAnsi="宋体" w:eastAsia="宋体" w:cs="宋体"/>
          <w:color w:val="auto"/>
          <w:sz w:val="21"/>
          <w:szCs w:val="21"/>
          <w:highlight w:val="none"/>
          <w:lang w:eastAsia="zh-CN"/>
        </w:rPr>
      </w:pPr>
    </w:p>
    <w:p w14:paraId="48F290DC">
      <w:pPr>
        <w:pStyle w:val="32"/>
        <w:ind w:firstLine="3990" w:firstLineChars="1900"/>
        <w:rPr>
          <w:rFonts w:hint="eastAsia" w:ascii="宋体" w:hAnsi="宋体" w:eastAsia="宋体" w:cs="宋体"/>
          <w:color w:val="auto"/>
          <w:sz w:val="21"/>
          <w:szCs w:val="21"/>
          <w:highlight w:val="none"/>
          <w:lang w:eastAsia="zh-CN"/>
        </w:rPr>
      </w:pPr>
    </w:p>
    <w:p w14:paraId="3C53A5A9">
      <w:pPr>
        <w:pStyle w:val="32"/>
        <w:ind w:firstLine="3990" w:firstLineChars="19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（全称并加盖公章）：</w:t>
      </w:r>
    </w:p>
    <w:p w14:paraId="343B3390">
      <w:pPr>
        <w:widowControl/>
        <w:shd w:val="clear" w:color="auto" w:fill="FFFFFF"/>
        <w:spacing w:line="360" w:lineRule="auto"/>
        <w:ind w:left="1480" w:leftChars="705" w:firstLine="1524" w:firstLineChars="726"/>
        <w:jc w:val="both"/>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法定代表人或委托代理人（签字</w:t>
      </w:r>
      <w:r>
        <w:rPr>
          <w:rFonts w:hint="eastAsia" w:ascii="宋体" w:hAnsi="宋体" w:eastAsia="宋体" w:cs="宋体"/>
          <w:color w:val="auto"/>
          <w:kern w:val="0"/>
          <w:sz w:val="21"/>
          <w:szCs w:val="21"/>
          <w:highlight w:val="none"/>
          <w:lang w:val="en-US" w:eastAsia="zh-CN"/>
        </w:rPr>
        <w:t>或盖章</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u w:val="single"/>
        </w:rPr>
        <w:t xml:space="preserve">           </w:t>
      </w:r>
    </w:p>
    <w:p w14:paraId="3603295E">
      <w:pPr>
        <w:widowControl/>
        <w:wordWrap w:val="0"/>
        <w:spacing w:line="460" w:lineRule="exact"/>
        <w:ind w:firstLine="4410" w:firstLineChars="21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年    月    日</w:t>
      </w:r>
    </w:p>
    <w:p w14:paraId="56981875">
      <w:pPr>
        <w:widowControl/>
        <w:wordWrap w:val="0"/>
        <w:spacing w:line="460" w:lineRule="exact"/>
        <w:ind w:firstLine="4800" w:firstLineChars="20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w:t>
      </w:r>
    </w:p>
    <w:p w14:paraId="251A7CEE">
      <w:pPr>
        <w:pStyle w:val="15"/>
        <w:rPr>
          <w:rFonts w:hint="eastAsia" w:ascii="宋体" w:hAnsi="宋体" w:eastAsia="宋体" w:cs="宋体"/>
          <w:color w:val="auto"/>
          <w:kern w:val="0"/>
          <w:sz w:val="24"/>
          <w:highlight w:val="none"/>
        </w:rPr>
      </w:pPr>
    </w:p>
    <w:p w14:paraId="01008907">
      <w:pPr>
        <w:pStyle w:val="24"/>
        <w:rPr>
          <w:rFonts w:hint="eastAsia" w:ascii="宋体" w:hAnsi="宋体" w:eastAsia="宋体" w:cs="宋体"/>
          <w:color w:val="auto"/>
          <w:kern w:val="0"/>
          <w:sz w:val="24"/>
          <w:highlight w:val="none"/>
        </w:rPr>
      </w:pPr>
    </w:p>
    <w:p w14:paraId="1D5F4E1A">
      <w:pPr>
        <w:pStyle w:val="24"/>
        <w:rPr>
          <w:rFonts w:hint="eastAsia" w:ascii="宋体" w:hAnsi="宋体" w:eastAsia="宋体" w:cs="宋体"/>
          <w:color w:val="auto"/>
          <w:kern w:val="0"/>
          <w:sz w:val="24"/>
          <w:highlight w:val="none"/>
        </w:rPr>
      </w:pPr>
    </w:p>
    <w:p w14:paraId="293CB8C1">
      <w:pPr>
        <w:pStyle w:val="24"/>
        <w:rPr>
          <w:rFonts w:hint="eastAsia" w:ascii="宋体" w:hAnsi="宋体" w:eastAsia="宋体" w:cs="宋体"/>
          <w:color w:val="auto"/>
          <w:kern w:val="0"/>
          <w:sz w:val="24"/>
          <w:highlight w:val="none"/>
        </w:rPr>
      </w:pPr>
    </w:p>
    <w:p w14:paraId="07FFC539">
      <w:pPr>
        <w:pStyle w:val="24"/>
        <w:rPr>
          <w:rFonts w:hint="eastAsia" w:ascii="宋体" w:hAnsi="宋体" w:eastAsia="宋体" w:cs="宋体"/>
          <w:color w:val="auto"/>
          <w:kern w:val="0"/>
          <w:sz w:val="24"/>
          <w:highlight w:val="none"/>
        </w:rPr>
      </w:pPr>
    </w:p>
    <w:p w14:paraId="5CC8F80F">
      <w:pPr>
        <w:pStyle w:val="24"/>
        <w:rPr>
          <w:rFonts w:hint="eastAsia" w:ascii="宋体" w:hAnsi="宋体" w:eastAsia="宋体" w:cs="宋体"/>
          <w:color w:val="auto"/>
          <w:kern w:val="0"/>
          <w:sz w:val="24"/>
          <w:highlight w:val="none"/>
        </w:rPr>
      </w:pPr>
    </w:p>
    <w:p w14:paraId="13D44956">
      <w:pPr>
        <w:pStyle w:val="24"/>
        <w:rPr>
          <w:rFonts w:hint="eastAsia" w:ascii="宋体" w:hAnsi="宋体" w:eastAsia="宋体" w:cs="宋体"/>
          <w:color w:val="auto"/>
          <w:kern w:val="0"/>
          <w:sz w:val="24"/>
          <w:highlight w:val="none"/>
        </w:rPr>
      </w:pPr>
    </w:p>
    <w:p w14:paraId="2A5B2016">
      <w:pPr>
        <w:pStyle w:val="24"/>
        <w:rPr>
          <w:rFonts w:hint="eastAsia" w:ascii="宋体" w:hAnsi="宋体" w:eastAsia="宋体" w:cs="宋体"/>
          <w:color w:val="auto"/>
          <w:kern w:val="0"/>
          <w:sz w:val="24"/>
          <w:highlight w:val="none"/>
        </w:rPr>
      </w:pPr>
    </w:p>
    <w:p w14:paraId="46092994">
      <w:pPr>
        <w:pStyle w:val="24"/>
        <w:rPr>
          <w:rFonts w:hint="eastAsia" w:ascii="宋体" w:hAnsi="宋体" w:eastAsia="宋体" w:cs="宋体"/>
          <w:color w:val="auto"/>
          <w:kern w:val="0"/>
          <w:sz w:val="24"/>
          <w:highlight w:val="none"/>
        </w:rPr>
      </w:pPr>
    </w:p>
    <w:p w14:paraId="0BF340EE">
      <w:pPr>
        <w:pStyle w:val="24"/>
        <w:rPr>
          <w:rFonts w:hint="eastAsia" w:ascii="宋体" w:hAnsi="宋体" w:eastAsia="宋体" w:cs="宋体"/>
          <w:color w:val="auto"/>
          <w:kern w:val="0"/>
          <w:sz w:val="24"/>
          <w:highlight w:val="none"/>
        </w:rPr>
      </w:pPr>
    </w:p>
    <w:p w14:paraId="19356493">
      <w:pPr>
        <w:pStyle w:val="24"/>
        <w:rPr>
          <w:rFonts w:hint="eastAsia" w:ascii="宋体" w:hAnsi="宋体" w:eastAsia="宋体" w:cs="宋体"/>
          <w:color w:val="auto"/>
          <w:kern w:val="0"/>
          <w:sz w:val="24"/>
          <w:highlight w:val="none"/>
        </w:rPr>
        <w:sectPr>
          <w:footerReference r:id="rId5" w:type="default"/>
          <w:pgSz w:w="11906" w:h="16838"/>
          <w:pgMar w:top="1417" w:right="1474" w:bottom="1417" w:left="1474" w:header="851" w:footer="624" w:gutter="0"/>
          <w:pgNumType w:fmt="decimal"/>
          <w:cols w:space="720" w:num="1"/>
          <w:docGrid w:type="lines" w:linePitch="319" w:charSpace="0"/>
        </w:sectPr>
      </w:pPr>
    </w:p>
    <w:p w14:paraId="568848E2">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77" w:name="_Toc15804"/>
      <w:bookmarkStart w:id="78" w:name="_Toc226"/>
      <w:r>
        <w:rPr>
          <w:rFonts w:hint="eastAsia" w:ascii="宋体" w:hAnsi="宋体" w:eastAsia="宋体" w:cs="宋体"/>
          <w:color w:val="auto"/>
          <w:sz w:val="28"/>
          <w:szCs w:val="28"/>
          <w:highlight w:val="none"/>
          <w:lang w:val="en-US" w:eastAsia="zh-CN"/>
        </w:rPr>
        <w:t xml:space="preserve">附件5         </w:t>
      </w:r>
      <w:bookmarkEnd w:id="77"/>
      <w:bookmarkEnd w:id="78"/>
      <w:r>
        <w:rPr>
          <w:rFonts w:hint="eastAsia" w:ascii="宋体" w:hAnsi="宋体" w:eastAsia="宋体" w:cs="宋体"/>
          <w:color w:val="auto"/>
          <w:sz w:val="28"/>
          <w:szCs w:val="28"/>
          <w:highlight w:val="none"/>
          <w:lang w:val="en-US" w:eastAsia="zh-CN"/>
        </w:rPr>
        <w:t xml:space="preserve">  技术响应表（格式）</w:t>
      </w:r>
    </w:p>
    <w:tbl>
      <w:tblPr>
        <w:tblStyle w:val="90"/>
        <w:tblW w:w="9077"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2"/>
        <w:gridCol w:w="1833"/>
        <w:gridCol w:w="2625"/>
        <w:gridCol w:w="2379"/>
        <w:gridCol w:w="1468"/>
      </w:tblGrid>
      <w:tr w14:paraId="0D3619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772" w:type="dxa"/>
            <w:noWrap w:val="0"/>
            <w:vAlign w:val="center"/>
          </w:tcPr>
          <w:p w14:paraId="6640C7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833" w:type="dxa"/>
            <w:noWrap w:val="0"/>
            <w:vAlign w:val="center"/>
          </w:tcPr>
          <w:p w14:paraId="2D72A28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名称</w:t>
            </w:r>
          </w:p>
        </w:tc>
        <w:tc>
          <w:tcPr>
            <w:tcW w:w="2625" w:type="dxa"/>
            <w:noWrap w:val="0"/>
            <w:vAlign w:val="center"/>
          </w:tcPr>
          <w:p w14:paraId="2CADDFB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采购</w:t>
            </w:r>
            <w:r>
              <w:rPr>
                <w:rFonts w:hint="eastAsia" w:ascii="宋体" w:hAnsi="宋体" w:eastAsia="宋体" w:cs="宋体"/>
                <w:color w:val="auto"/>
                <w:sz w:val="21"/>
                <w:szCs w:val="21"/>
                <w:highlight w:val="none"/>
              </w:rPr>
              <w:t>文件要求</w:t>
            </w:r>
          </w:p>
        </w:tc>
        <w:tc>
          <w:tcPr>
            <w:tcW w:w="2379" w:type="dxa"/>
            <w:noWrap w:val="0"/>
            <w:vAlign w:val="center"/>
          </w:tcPr>
          <w:p w14:paraId="64D1E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文件响应</w:t>
            </w:r>
          </w:p>
        </w:tc>
        <w:tc>
          <w:tcPr>
            <w:tcW w:w="1468" w:type="dxa"/>
            <w:noWrap w:val="0"/>
            <w:vAlign w:val="center"/>
          </w:tcPr>
          <w:p w14:paraId="0239E58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偏离情况</w:t>
            </w:r>
          </w:p>
        </w:tc>
      </w:tr>
      <w:tr w14:paraId="2D4D93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72" w:type="dxa"/>
            <w:noWrap w:val="0"/>
            <w:vAlign w:val="center"/>
          </w:tcPr>
          <w:p w14:paraId="7EAE5FC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833" w:type="dxa"/>
            <w:noWrap w:val="0"/>
            <w:vAlign w:val="center"/>
          </w:tcPr>
          <w:p w14:paraId="4533500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625" w:type="dxa"/>
            <w:noWrap w:val="0"/>
            <w:vAlign w:val="center"/>
          </w:tcPr>
          <w:p w14:paraId="4AECB74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79" w:type="dxa"/>
            <w:noWrap w:val="0"/>
            <w:vAlign w:val="center"/>
          </w:tcPr>
          <w:p w14:paraId="6308173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68" w:type="dxa"/>
            <w:noWrap w:val="0"/>
            <w:vAlign w:val="center"/>
          </w:tcPr>
          <w:p w14:paraId="0321D34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548DA0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772" w:type="dxa"/>
            <w:noWrap w:val="0"/>
            <w:vAlign w:val="center"/>
          </w:tcPr>
          <w:p w14:paraId="6320EBC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833" w:type="dxa"/>
            <w:noWrap w:val="0"/>
            <w:vAlign w:val="center"/>
          </w:tcPr>
          <w:p w14:paraId="61E0DE6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625" w:type="dxa"/>
            <w:noWrap w:val="0"/>
            <w:vAlign w:val="center"/>
          </w:tcPr>
          <w:p w14:paraId="6D2286C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79" w:type="dxa"/>
            <w:noWrap w:val="0"/>
            <w:vAlign w:val="center"/>
          </w:tcPr>
          <w:p w14:paraId="3F06F6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68" w:type="dxa"/>
            <w:noWrap w:val="0"/>
            <w:vAlign w:val="center"/>
          </w:tcPr>
          <w:p w14:paraId="76A698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51E54C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772" w:type="dxa"/>
            <w:noWrap w:val="0"/>
            <w:vAlign w:val="center"/>
          </w:tcPr>
          <w:p w14:paraId="6191A7F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833" w:type="dxa"/>
            <w:noWrap w:val="0"/>
            <w:vAlign w:val="center"/>
          </w:tcPr>
          <w:p w14:paraId="25917D6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625" w:type="dxa"/>
            <w:noWrap w:val="0"/>
            <w:vAlign w:val="center"/>
          </w:tcPr>
          <w:p w14:paraId="3C39ED8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79" w:type="dxa"/>
            <w:noWrap w:val="0"/>
            <w:vAlign w:val="center"/>
          </w:tcPr>
          <w:p w14:paraId="1873EC3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68" w:type="dxa"/>
            <w:noWrap w:val="0"/>
            <w:vAlign w:val="center"/>
          </w:tcPr>
          <w:p w14:paraId="6F8C606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42FF9128">
      <w:pPr>
        <w:widowControl/>
        <w:wordWrap w:val="0"/>
        <w:spacing w:line="460" w:lineRule="exact"/>
        <w:ind w:firstLine="422" w:firstLineChars="200"/>
        <w:jc w:val="left"/>
        <w:rPr>
          <w:rFonts w:hint="eastAsia" w:ascii="宋体" w:hAnsi="宋体" w:eastAsia="宋体" w:cs="宋体"/>
          <w:b/>
          <w:color w:val="auto"/>
          <w:kern w:val="0"/>
          <w:sz w:val="21"/>
          <w:szCs w:val="21"/>
          <w:highlight w:val="none"/>
          <w:lang w:val="en-US" w:eastAsia="zh-CN"/>
        </w:rPr>
      </w:pPr>
    </w:p>
    <w:p w14:paraId="6CF19DC9">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注：供应商必须如实完整填写表格，“偏离情况”是指“正偏离”、“负偏离”或“无偏离”。</w:t>
      </w:r>
    </w:p>
    <w:p w14:paraId="75C7CAD4">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p>
    <w:p w14:paraId="253A2AFC">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379247D3">
      <w:pPr>
        <w:pageBreakBefore w:val="0"/>
        <w:widowControl/>
        <w:wordWrap/>
        <w:overflowPunct/>
        <w:topLinePunct w:val="0"/>
        <w:bidi w:val="0"/>
        <w:spacing w:line="360" w:lineRule="auto"/>
        <w:ind w:firstLine="2100" w:firstLineChars="10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2C0005D5">
      <w:pPr>
        <w:widowControl/>
        <w:wordWrap w:val="0"/>
        <w:spacing w:line="460" w:lineRule="exact"/>
        <w:ind w:firstLine="3570" w:firstLineChars="1700"/>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color w:val="auto"/>
          <w:sz w:val="21"/>
          <w:szCs w:val="21"/>
          <w:highlight w:val="none"/>
        </w:rPr>
        <w:t>年    月    日</w:t>
      </w:r>
    </w:p>
    <w:p w14:paraId="0E8A4B7C">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39AF219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543AA529">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EFDFB9A">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26D09C0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79BF405">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14:paraId="0D4CA0FB">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3C754F10">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79" w:name="_Toc24168"/>
      <w:bookmarkStart w:id="80" w:name="_Toc29960"/>
      <w:bookmarkStart w:id="81" w:name="_Toc20420"/>
      <w:r>
        <w:rPr>
          <w:rFonts w:hint="eastAsia" w:ascii="宋体" w:hAnsi="宋体" w:eastAsia="宋体" w:cs="宋体"/>
          <w:color w:val="auto"/>
          <w:sz w:val="28"/>
          <w:szCs w:val="28"/>
          <w:highlight w:val="none"/>
          <w:lang w:val="en-US" w:eastAsia="zh-CN"/>
        </w:rPr>
        <w:t>附件6            商务响应</w:t>
      </w:r>
      <w:bookmarkEnd w:id="79"/>
      <w:bookmarkEnd w:id="80"/>
      <w:bookmarkEnd w:id="81"/>
      <w:r>
        <w:rPr>
          <w:rFonts w:hint="eastAsia" w:ascii="宋体" w:hAnsi="宋体" w:eastAsia="宋体" w:cs="宋体"/>
          <w:color w:val="auto"/>
          <w:sz w:val="28"/>
          <w:szCs w:val="28"/>
          <w:highlight w:val="none"/>
          <w:lang w:val="en-US" w:eastAsia="zh-CN"/>
        </w:rPr>
        <w:t>表（格式）</w:t>
      </w:r>
    </w:p>
    <w:p w14:paraId="6D8CC24E">
      <w:pPr>
        <w:widowControl/>
        <w:wordWrap w:val="0"/>
        <w:spacing w:line="460" w:lineRule="exact"/>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b/>
          <w:color w:val="auto"/>
          <w:kern w:val="0"/>
          <w:sz w:val="32"/>
          <w:szCs w:val="32"/>
          <w:highlight w:val="none"/>
          <w:lang w:val="en-US" w:eastAsia="zh-CN"/>
        </w:rPr>
        <w:t xml:space="preserve">  </w:t>
      </w:r>
    </w:p>
    <w:tbl>
      <w:tblPr>
        <w:tblStyle w:val="90"/>
        <w:tblW w:w="9037" w:type="dxa"/>
        <w:tblInd w:w="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13"/>
        <w:gridCol w:w="1328"/>
        <w:gridCol w:w="2055"/>
        <w:gridCol w:w="2025"/>
        <w:gridCol w:w="1620"/>
        <w:gridCol w:w="1196"/>
      </w:tblGrid>
      <w:tr w14:paraId="77FD3E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1" w:hRule="atLeast"/>
        </w:trPr>
        <w:tc>
          <w:tcPr>
            <w:tcW w:w="813" w:type="dxa"/>
            <w:noWrap w:val="0"/>
            <w:vAlign w:val="center"/>
          </w:tcPr>
          <w:p w14:paraId="4D3BB038">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序号</w:t>
            </w:r>
          </w:p>
        </w:tc>
        <w:tc>
          <w:tcPr>
            <w:tcW w:w="1328" w:type="dxa"/>
            <w:noWrap w:val="0"/>
            <w:vAlign w:val="center"/>
          </w:tcPr>
          <w:p w14:paraId="2F7728F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名称</w:t>
            </w:r>
          </w:p>
        </w:tc>
        <w:tc>
          <w:tcPr>
            <w:tcW w:w="2055" w:type="dxa"/>
            <w:noWrap w:val="0"/>
            <w:vAlign w:val="center"/>
          </w:tcPr>
          <w:p w14:paraId="6986079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000000" w:themeColor="text1"/>
                <w:sz w:val="21"/>
                <w:szCs w:val="21"/>
                <w:highlight w:val="none"/>
                <w:lang w:eastAsia="zh-CN"/>
                <w14:textFill>
                  <w14:solidFill>
                    <w14:schemeClr w14:val="tx1"/>
                  </w14:solidFill>
                </w14:textFill>
              </w:rPr>
              <w:t>采购</w:t>
            </w:r>
            <w:r>
              <w:rPr>
                <w:rFonts w:hint="eastAsia" w:ascii="宋体" w:hAnsi="宋体" w:eastAsia="宋体" w:cs="宋体"/>
                <w:color w:val="000000" w:themeColor="text1"/>
                <w:sz w:val="21"/>
                <w:szCs w:val="21"/>
                <w:highlight w:val="none"/>
                <w14:textFill>
                  <w14:solidFill>
                    <w14:schemeClr w14:val="tx1"/>
                  </w14:solidFill>
                </w14:textFill>
              </w:rPr>
              <w:t>文件要求</w:t>
            </w:r>
          </w:p>
        </w:tc>
        <w:tc>
          <w:tcPr>
            <w:tcW w:w="2025" w:type="dxa"/>
            <w:noWrap w:val="0"/>
            <w:vAlign w:val="center"/>
          </w:tcPr>
          <w:p w14:paraId="57F62E4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响应</w:t>
            </w:r>
            <w:r>
              <w:rPr>
                <w:rFonts w:hint="eastAsia" w:ascii="宋体" w:hAnsi="宋体" w:eastAsia="宋体" w:cs="宋体"/>
                <w:color w:val="000000" w:themeColor="text1"/>
                <w:sz w:val="21"/>
                <w:szCs w:val="21"/>
                <w:highlight w:val="none"/>
                <w14:textFill>
                  <w14:solidFill>
                    <w14:schemeClr w14:val="tx1"/>
                  </w14:solidFill>
                </w14:textFill>
              </w:rPr>
              <w:t>文件响应</w:t>
            </w:r>
          </w:p>
        </w:tc>
        <w:tc>
          <w:tcPr>
            <w:tcW w:w="1620" w:type="dxa"/>
            <w:noWrap w:val="0"/>
            <w:vAlign w:val="center"/>
          </w:tcPr>
          <w:p w14:paraId="433E3ED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偏离情况</w:t>
            </w:r>
          </w:p>
        </w:tc>
        <w:tc>
          <w:tcPr>
            <w:tcW w:w="1196" w:type="dxa"/>
            <w:noWrap w:val="0"/>
            <w:vAlign w:val="center"/>
          </w:tcPr>
          <w:p w14:paraId="76FA13D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备注</w:t>
            </w:r>
          </w:p>
        </w:tc>
      </w:tr>
      <w:tr w14:paraId="67E193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813" w:type="dxa"/>
            <w:noWrap w:val="0"/>
            <w:vAlign w:val="center"/>
          </w:tcPr>
          <w:p w14:paraId="1DD3322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328" w:type="dxa"/>
            <w:noWrap w:val="0"/>
            <w:vAlign w:val="center"/>
          </w:tcPr>
          <w:p w14:paraId="7A24A9AD">
            <w:pPr>
              <w:pStyle w:val="15"/>
              <w:ind w:left="0" w:leftChars="0"/>
              <w:jc w:val="center"/>
              <w:rPr>
                <w:rFonts w:hint="eastAsia" w:ascii="宋体" w:hAnsi="宋体" w:eastAsia="宋体" w:cs="宋体"/>
                <w:color w:val="auto"/>
                <w:sz w:val="21"/>
                <w:szCs w:val="21"/>
                <w:highlight w:val="none"/>
              </w:rPr>
            </w:pPr>
          </w:p>
        </w:tc>
        <w:tc>
          <w:tcPr>
            <w:tcW w:w="2055" w:type="dxa"/>
            <w:noWrap w:val="0"/>
            <w:vAlign w:val="center"/>
          </w:tcPr>
          <w:p w14:paraId="493156F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25" w:type="dxa"/>
            <w:noWrap w:val="0"/>
            <w:vAlign w:val="center"/>
          </w:tcPr>
          <w:p w14:paraId="00D9296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620" w:type="dxa"/>
            <w:noWrap w:val="0"/>
            <w:vAlign w:val="center"/>
          </w:tcPr>
          <w:p w14:paraId="6A3103D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96" w:type="dxa"/>
            <w:noWrap w:val="0"/>
            <w:vAlign w:val="center"/>
          </w:tcPr>
          <w:p w14:paraId="169D8C2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94B40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813" w:type="dxa"/>
            <w:noWrap w:val="0"/>
            <w:vAlign w:val="center"/>
          </w:tcPr>
          <w:p w14:paraId="34AEC88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2</w:t>
            </w:r>
          </w:p>
        </w:tc>
        <w:tc>
          <w:tcPr>
            <w:tcW w:w="1328" w:type="dxa"/>
            <w:noWrap w:val="0"/>
            <w:vAlign w:val="center"/>
          </w:tcPr>
          <w:p w14:paraId="32D265A2">
            <w:pPr>
              <w:pStyle w:val="15"/>
              <w:ind w:left="0" w:leftChars="0"/>
              <w:jc w:val="center"/>
              <w:rPr>
                <w:rFonts w:hint="eastAsia" w:ascii="宋体" w:hAnsi="宋体" w:eastAsia="宋体" w:cs="宋体"/>
                <w:color w:val="auto"/>
                <w:sz w:val="21"/>
                <w:szCs w:val="21"/>
                <w:highlight w:val="none"/>
                <w:lang w:val="en-US" w:eastAsia="zh-CN"/>
              </w:rPr>
            </w:pPr>
          </w:p>
        </w:tc>
        <w:tc>
          <w:tcPr>
            <w:tcW w:w="2055" w:type="dxa"/>
            <w:noWrap w:val="0"/>
            <w:vAlign w:val="center"/>
          </w:tcPr>
          <w:p w14:paraId="549C2C7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25" w:type="dxa"/>
            <w:noWrap w:val="0"/>
            <w:vAlign w:val="center"/>
          </w:tcPr>
          <w:p w14:paraId="41467CC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620" w:type="dxa"/>
            <w:noWrap w:val="0"/>
            <w:vAlign w:val="center"/>
          </w:tcPr>
          <w:p w14:paraId="7759A7A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96" w:type="dxa"/>
            <w:noWrap w:val="0"/>
            <w:vAlign w:val="center"/>
          </w:tcPr>
          <w:p w14:paraId="76BF81A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625315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813" w:type="dxa"/>
            <w:noWrap w:val="0"/>
            <w:vAlign w:val="center"/>
          </w:tcPr>
          <w:p w14:paraId="250354C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328" w:type="dxa"/>
            <w:noWrap w:val="0"/>
            <w:vAlign w:val="center"/>
          </w:tcPr>
          <w:p w14:paraId="5FBC217B">
            <w:pPr>
              <w:pStyle w:val="15"/>
              <w:ind w:left="0" w:leftChars="0"/>
              <w:jc w:val="center"/>
              <w:rPr>
                <w:rFonts w:hint="eastAsia" w:ascii="宋体" w:hAnsi="宋体" w:eastAsia="宋体" w:cs="宋体"/>
                <w:color w:val="auto"/>
                <w:sz w:val="21"/>
                <w:szCs w:val="21"/>
                <w:highlight w:val="none"/>
              </w:rPr>
            </w:pPr>
          </w:p>
        </w:tc>
        <w:tc>
          <w:tcPr>
            <w:tcW w:w="2055" w:type="dxa"/>
            <w:noWrap w:val="0"/>
            <w:vAlign w:val="center"/>
          </w:tcPr>
          <w:p w14:paraId="2E1B9C1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25" w:type="dxa"/>
            <w:noWrap w:val="0"/>
            <w:vAlign w:val="center"/>
          </w:tcPr>
          <w:p w14:paraId="55EABBF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620" w:type="dxa"/>
            <w:noWrap w:val="0"/>
            <w:vAlign w:val="center"/>
          </w:tcPr>
          <w:p w14:paraId="5ABEA98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96" w:type="dxa"/>
            <w:noWrap w:val="0"/>
            <w:vAlign w:val="center"/>
          </w:tcPr>
          <w:p w14:paraId="16FACE7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37B22672">
      <w:pPr>
        <w:rPr>
          <w:rFonts w:hint="eastAsia" w:ascii="宋体" w:hAnsi="宋体" w:eastAsia="宋体" w:cs="宋体"/>
          <w:b/>
          <w:color w:val="auto"/>
          <w:kern w:val="0"/>
          <w:sz w:val="21"/>
          <w:szCs w:val="21"/>
          <w:highlight w:val="none"/>
        </w:rPr>
      </w:pPr>
    </w:p>
    <w:p w14:paraId="3FD13902">
      <w:pPr>
        <w:pStyle w:val="32"/>
        <w:rPr>
          <w:rFonts w:hint="eastAsia" w:ascii="宋体" w:hAnsi="宋体" w:eastAsia="宋体" w:cs="宋体"/>
          <w:color w:val="auto"/>
          <w:sz w:val="21"/>
          <w:szCs w:val="21"/>
          <w:highlight w:val="none"/>
        </w:rPr>
      </w:pPr>
    </w:p>
    <w:p w14:paraId="0A635B83">
      <w:pPr>
        <w:pageBreakBefore w:val="0"/>
        <w:widowControl/>
        <w:wordWrap/>
        <w:overflowPunct/>
        <w:topLinePunct w:val="0"/>
        <w:bidi w:val="0"/>
        <w:spacing w:line="360" w:lineRule="auto"/>
        <w:ind w:firstLine="3360" w:firstLineChars="16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50A32A50">
      <w:pPr>
        <w:pageBreakBefore w:val="0"/>
        <w:widowControl/>
        <w:wordWrap/>
        <w:overflowPunct/>
        <w:topLinePunct w:val="0"/>
        <w:bidi w:val="0"/>
        <w:spacing w:line="360" w:lineRule="auto"/>
        <w:ind w:firstLine="4410" w:firstLineChars="21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1"/>
          <w:szCs w:val="21"/>
          <w:highlight w:val="none"/>
        </w:rPr>
        <w:t>年    月    日</w:t>
      </w:r>
    </w:p>
    <w:p w14:paraId="1443043E">
      <w:pPr>
        <w:outlineLvl w:val="9"/>
        <w:rPr>
          <w:rFonts w:hint="eastAsia" w:ascii="宋体" w:hAnsi="宋体" w:eastAsia="宋体" w:cs="宋体"/>
          <w:color w:val="auto"/>
          <w:highlight w:val="none"/>
        </w:rPr>
      </w:pPr>
    </w:p>
    <w:p w14:paraId="01B51371">
      <w:pPr>
        <w:outlineLvl w:val="9"/>
        <w:rPr>
          <w:rFonts w:hint="eastAsia" w:ascii="宋体" w:hAnsi="宋体" w:eastAsia="宋体" w:cs="宋体"/>
          <w:color w:val="auto"/>
          <w:highlight w:val="none"/>
        </w:rPr>
      </w:pPr>
    </w:p>
    <w:p w14:paraId="63CC00FA">
      <w:pPr>
        <w:outlineLvl w:val="9"/>
        <w:rPr>
          <w:rFonts w:hint="eastAsia" w:ascii="宋体" w:hAnsi="宋体" w:eastAsia="宋体" w:cs="宋体"/>
          <w:color w:val="auto"/>
          <w:highlight w:val="none"/>
        </w:rPr>
      </w:pPr>
    </w:p>
    <w:p w14:paraId="6CCCA408">
      <w:pPr>
        <w:outlineLvl w:val="9"/>
        <w:rPr>
          <w:rFonts w:hint="eastAsia" w:ascii="宋体" w:hAnsi="宋体" w:eastAsia="宋体" w:cs="宋体"/>
          <w:color w:val="auto"/>
          <w:highlight w:val="none"/>
        </w:rPr>
      </w:pPr>
    </w:p>
    <w:p w14:paraId="68650ED4">
      <w:pPr>
        <w:outlineLvl w:val="9"/>
        <w:rPr>
          <w:rFonts w:hint="eastAsia" w:ascii="宋体" w:hAnsi="宋体" w:eastAsia="宋体" w:cs="宋体"/>
          <w:color w:val="auto"/>
          <w:highlight w:val="none"/>
        </w:rPr>
      </w:pPr>
    </w:p>
    <w:p w14:paraId="7A7472C6">
      <w:pPr>
        <w:outlineLvl w:val="9"/>
        <w:rPr>
          <w:rFonts w:hint="eastAsia" w:ascii="宋体" w:hAnsi="宋体" w:eastAsia="宋体" w:cs="宋体"/>
          <w:color w:val="auto"/>
          <w:highlight w:val="none"/>
        </w:rPr>
      </w:pPr>
    </w:p>
    <w:p w14:paraId="602BD040">
      <w:pPr>
        <w:outlineLvl w:val="9"/>
        <w:rPr>
          <w:rFonts w:hint="eastAsia" w:ascii="宋体" w:hAnsi="宋体" w:eastAsia="宋体" w:cs="宋体"/>
          <w:color w:val="auto"/>
          <w:highlight w:val="none"/>
        </w:rPr>
      </w:pPr>
    </w:p>
    <w:p w14:paraId="28936226">
      <w:pPr>
        <w:outlineLvl w:val="9"/>
        <w:rPr>
          <w:rFonts w:hint="eastAsia" w:ascii="宋体" w:hAnsi="宋体" w:eastAsia="宋体" w:cs="宋体"/>
          <w:color w:val="auto"/>
          <w:highlight w:val="none"/>
        </w:rPr>
      </w:pPr>
    </w:p>
    <w:p w14:paraId="4E851B2D">
      <w:pPr>
        <w:outlineLvl w:val="9"/>
        <w:rPr>
          <w:rFonts w:hint="eastAsia" w:ascii="宋体" w:hAnsi="宋体" w:eastAsia="宋体" w:cs="宋体"/>
          <w:color w:val="auto"/>
          <w:highlight w:val="none"/>
        </w:rPr>
      </w:pPr>
    </w:p>
    <w:p w14:paraId="41A3FBDB">
      <w:pPr>
        <w:outlineLvl w:val="9"/>
        <w:rPr>
          <w:rFonts w:hint="eastAsia" w:ascii="宋体" w:hAnsi="宋体" w:eastAsia="宋体" w:cs="宋体"/>
          <w:color w:val="auto"/>
          <w:highlight w:val="none"/>
        </w:rPr>
      </w:pPr>
    </w:p>
    <w:p w14:paraId="40CD9C9C">
      <w:pPr>
        <w:outlineLvl w:val="9"/>
        <w:rPr>
          <w:rFonts w:hint="eastAsia" w:ascii="宋体" w:hAnsi="宋体" w:eastAsia="宋体" w:cs="宋体"/>
          <w:color w:val="auto"/>
          <w:highlight w:val="none"/>
        </w:rPr>
      </w:pPr>
    </w:p>
    <w:p w14:paraId="086CDF95">
      <w:pPr>
        <w:outlineLvl w:val="9"/>
        <w:rPr>
          <w:rFonts w:hint="eastAsia" w:ascii="宋体" w:hAnsi="宋体" w:eastAsia="宋体" w:cs="宋体"/>
          <w:color w:val="auto"/>
          <w:highlight w:val="none"/>
        </w:rPr>
      </w:pPr>
    </w:p>
    <w:p w14:paraId="4687954A">
      <w:pPr>
        <w:outlineLvl w:val="9"/>
        <w:rPr>
          <w:rFonts w:hint="eastAsia" w:ascii="宋体" w:hAnsi="宋体" w:eastAsia="宋体" w:cs="宋体"/>
          <w:color w:val="auto"/>
          <w:highlight w:val="none"/>
        </w:rPr>
      </w:pPr>
    </w:p>
    <w:p w14:paraId="14741946">
      <w:pPr>
        <w:outlineLvl w:val="9"/>
        <w:rPr>
          <w:rFonts w:hint="eastAsia" w:ascii="宋体" w:hAnsi="宋体" w:eastAsia="宋体" w:cs="宋体"/>
          <w:color w:val="auto"/>
          <w:highlight w:val="none"/>
        </w:rPr>
      </w:pPr>
    </w:p>
    <w:p w14:paraId="5FAC0DBC">
      <w:pPr>
        <w:outlineLvl w:val="9"/>
        <w:rPr>
          <w:rFonts w:hint="eastAsia" w:ascii="宋体" w:hAnsi="宋体" w:eastAsia="宋体" w:cs="宋体"/>
          <w:color w:val="auto"/>
          <w:highlight w:val="none"/>
        </w:rPr>
      </w:pPr>
    </w:p>
    <w:p w14:paraId="4006A082">
      <w:pPr>
        <w:rPr>
          <w:rFonts w:hint="eastAsia" w:ascii="宋体" w:hAnsi="宋体" w:eastAsia="宋体" w:cs="宋体"/>
          <w:b/>
          <w:color w:val="auto"/>
          <w:sz w:val="28"/>
          <w:highlight w:val="none"/>
        </w:rPr>
      </w:pPr>
      <w:bookmarkStart w:id="82" w:name="_Toc28621"/>
      <w:bookmarkStart w:id="83" w:name="_Toc31526"/>
      <w:r>
        <w:rPr>
          <w:rFonts w:hint="eastAsia" w:ascii="宋体" w:hAnsi="宋体" w:eastAsia="宋体" w:cs="宋体"/>
          <w:b/>
          <w:color w:val="auto"/>
          <w:sz w:val="28"/>
          <w:highlight w:val="none"/>
        </w:rPr>
        <w:br w:type="page"/>
      </w:r>
    </w:p>
    <w:p w14:paraId="40257B96">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4" w:name="_Toc29406"/>
      <w:r>
        <w:rPr>
          <w:rFonts w:hint="eastAsia" w:ascii="宋体" w:hAnsi="宋体" w:eastAsia="宋体" w:cs="宋体"/>
          <w:color w:val="auto"/>
          <w:sz w:val="28"/>
          <w:szCs w:val="28"/>
          <w:highlight w:val="none"/>
          <w:lang w:val="en-US" w:eastAsia="zh-CN"/>
        </w:rPr>
        <w:t>附件7         法定代表人身份证明（格式）</w:t>
      </w:r>
      <w:bookmarkEnd w:id="82"/>
      <w:bookmarkEnd w:id="83"/>
      <w:bookmarkEnd w:id="84"/>
    </w:p>
    <w:p w14:paraId="566EF75F">
      <w:pPr>
        <w:widowControl/>
        <w:wordWrap w:val="0"/>
        <w:spacing w:line="460" w:lineRule="exact"/>
        <w:jc w:val="left"/>
        <w:rPr>
          <w:rFonts w:hint="eastAsia" w:ascii="宋体" w:hAnsi="宋体" w:eastAsia="宋体" w:cs="宋体"/>
          <w:color w:val="auto"/>
          <w:kern w:val="0"/>
          <w:sz w:val="24"/>
          <w:highlight w:val="none"/>
        </w:rPr>
      </w:pPr>
    </w:p>
    <w:p w14:paraId="64E6DF5B">
      <w:pPr>
        <w:widowControl/>
        <w:wordWrap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名称：</w:t>
      </w:r>
      <w:r>
        <w:rPr>
          <w:rFonts w:hint="eastAsia" w:ascii="宋体" w:hAnsi="宋体" w:eastAsia="宋体" w:cs="宋体"/>
          <w:color w:val="auto"/>
          <w:kern w:val="0"/>
          <w:szCs w:val="21"/>
          <w:highlight w:val="none"/>
          <w:u w:val="single"/>
          <w:lang w:val="en-US" w:eastAsia="zh-CN"/>
        </w:rPr>
        <w:t xml:space="preserve">                                </w:t>
      </w:r>
    </w:p>
    <w:p w14:paraId="718D7915">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地址：</w:t>
      </w:r>
      <w:r>
        <w:rPr>
          <w:rFonts w:hint="eastAsia" w:ascii="宋体" w:hAnsi="宋体" w:eastAsia="宋体" w:cs="宋体"/>
          <w:color w:val="auto"/>
          <w:kern w:val="0"/>
          <w:szCs w:val="21"/>
          <w:highlight w:val="none"/>
          <w:u w:val="single"/>
          <w:lang w:val="en-US" w:eastAsia="zh-CN"/>
        </w:rPr>
        <w:t xml:space="preserve">                                        </w:t>
      </w:r>
    </w:p>
    <w:p w14:paraId="2C11F584">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年</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月</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日</w:t>
      </w:r>
    </w:p>
    <w:p w14:paraId="63386B5D">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szCs w:val="20"/>
          <w:highlight w:val="none"/>
        </w:rPr>
        <w:t>经营期限：</w:t>
      </w:r>
      <w:r>
        <w:rPr>
          <w:rFonts w:hint="eastAsia" w:ascii="宋体" w:hAnsi="宋体" w:eastAsia="宋体" w:cs="宋体"/>
          <w:color w:val="auto"/>
          <w:kern w:val="0"/>
          <w:szCs w:val="21"/>
          <w:highlight w:val="none"/>
          <w:u w:val="single"/>
          <w:lang w:val="en-US" w:eastAsia="zh-CN"/>
        </w:rPr>
        <w:t xml:space="preserve">                        </w:t>
      </w:r>
    </w:p>
    <w:p w14:paraId="2F81B036">
      <w:pPr>
        <w:widowControl/>
        <w:wordWrap w:val="0"/>
        <w:spacing w:line="460" w:lineRule="exact"/>
        <w:ind w:firstLine="48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 w:val="24"/>
          <w:highlight w:val="none"/>
        </w:rPr>
        <w:t>姓名：</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，性别：</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，年龄：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，职务：</w:t>
      </w:r>
      <w:r>
        <w:rPr>
          <w:rFonts w:hint="eastAsia" w:ascii="宋体" w:hAnsi="宋体" w:eastAsia="宋体" w:cs="宋体"/>
          <w:color w:val="auto"/>
          <w:kern w:val="0"/>
          <w:szCs w:val="21"/>
          <w:highlight w:val="none"/>
          <w:u w:val="single"/>
          <w:lang w:val="en-US" w:eastAsia="zh-CN"/>
        </w:rPr>
        <w:t xml:space="preserve">        </w:t>
      </w:r>
    </w:p>
    <w:p w14:paraId="7C90C00B">
      <w:pPr>
        <w:widowControl/>
        <w:wordWrap w:val="0"/>
        <w:spacing w:line="460" w:lineRule="exact"/>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w:t>
      </w:r>
      <w:r>
        <w:rPr>
          <w:rFonts w:hint="eastAsia" w:ascii="宋体" w:hAnsi="宋体" w:eastAsia="宋体" w:cs="宋体"/>
          <w:color w:val="auto"/>
          <w:kern w:val="0"/>
          <w:sz w:val="24"/>
          <w:szCs w:val="20"/>
          <w:highlight w:val="none"/>
          <w:lang w:eastAsia="zh-CN"/>
        </w:rPr>
        <w:t>供应商</w:t>
      </w:r>
      <w:r>
        <w:rPr>
          <w:rFonts w:hint="eastAsia" w:ascii="宋体" w:hAnsi="宋体" w:eastAsia="宋体" w:cs="宋体"/>
          <w:color w:val="auto"/>
          <w:kern w:val="0"/>
          <w:sz w:val="24"/>
          <w:szCs w:val="20"/>
          <w:highlight w:val="none"/>
        </w:rPr>
        <w:t>名称）的法定代表人。</w:t>
      </w:r>
    </w:p>
    <w:p w14:paraId="4FE062B6">
      <w:pPr>
        <w:widowControl/>
        <w:wordWrap w:val="0"/>
        <w:spacing w:line="460" w:lineRule="exact"/>
        <w:jc w:val="left"/>
        <w:rPr>
          <w:rFonts w:hint="eastAsia" w:ascii="宋体" w:hAnsi="宋体" w:eastAsia="宋体" w:cs="宋体"/>
          <w:color w:val="auto"/>
          <w:kern w:val="0"/>
          <w:sz w:val="24"/>
          <w:szCs w:val="20"/>
          <w:highlight w:val="none"/>
        </w:rPr>
      </w:pPr>
    </w:p>
    <w:p w14:paraId="30B3A2FC">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特此证明。</w:t>
      </w:r>
    </w:p>
    <w:p w14:paraId="5CBF5780">
      <w:pPr>
        <w:widowControl/>
        <w:wordWrap w:val="0"/>
        <w:spacing w:line="460" w:lineRule="exact"/>
        <w:jc w:val="left"/>
        <w:rPr>
          <w:rFonts w:hint="eastAsia" w:ascii="宋体" w:hAnsi="宋体" w:eastAsia="宋体" w:cs="宋体"/>
          <w:color w:val="auto"/>
          <w:kern w:val="0"/>
          <w:sz w:val="24"/>
          <w:szCs w:val="20"/>
          <w:highlight w:val="none"/>
        </w:rPr>
      </w:pPr>
    </w:p>
    <w:p w14:paraId="5DBEE591">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tbl>
      <w:tblPr>
        <w:tblStyle w:val="33"/>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2952C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0AA5E577">
            <w:pPr>
              <w:widowControl/>
              <w:spacing w:line="480" w:lineRule="exact"/>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此处请粘贴法定代表人身份证复印件</w:t>
            </w:r>
          </w:p>
          <w:p w14:paraId="608D1BA3">
            <w:pPr>
              <w:widowControl/>
              <w:spacing w:line="480" w:lineRule="exact"/>
              <w:jc w:val="left"/>
              <w:rPr>
                <w:rFonts w:hint="eastAsia" w:ascii="宋体" w:hAnsi="宋体" w:eastAsia="宋体" w:cs="宋体"/>
                <w:color w:val="auto"/>
                <w:kern w:val="0"/>
                <w:sz w:val="24"/>
                <w:highlight w:val="none"/>
              </w:rPr>
            </w:pPr>
          </w:p>
          <w:p w14:paraId="425F1145">
            <w:pPr>
              <w:widowControl/>
              <w:spacing w:line="480" w:lineRule="exact"/>
              <w:jc w:val="left"/>
              <w:rPr>
                <w:rFonts w:hint="eastAsia" w:ascii="宋体" w:hAnsi="宋体" w:eastAsia="宋体" w:cs="宋体"/>
                <w:color w:val="auto"/>
                <w:kern w:val="0"/>
                <w:sz w:val="24"/>
                <w:highlight w:val="none"/>
              </w:rPr>
            </w:pPr>
          </w:p>
        </w:tc>
      </w:tr>
    </w:tbl>
    <w:p w14:paraId="43EC0505">
      <w:pPr>
        <w:widowControl/>
        <w:wordWrap w:val="0"/>
        <w:spacing w:beforeLines="100" w:afterLines="100" w:line="480" w:lineRule="exact"/>
        <w:jc w:val="center"/>
        <w:rPr>
          <w:rFonts w:hint="eastAsia" w:ascii="宋体" w:hAnsi="宋体" w:eastAsia="宋体" w:cs="宋体"/>
          <w:b/>
          <w:color w:val="auto"/>
          <w:kern w:val="0"/>
          <w:sz w:val="24"/>
          <w:highlight w:val="none"/>
        </w:rPr>
      </w:pPr>
    </w:p>
    <w:p w14:paraId="7DE72753">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42F8CBEC">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7F75A711">
      <w:pPr>
        <w:widowControl/>
        <w:wordWrap w:val="0"/>
        <w:spacing w:line="480" w:lineRule="exact"/>
        <w:jc w:val="right"/>
        <w:rPr>
          <w:rFonts w:hint="eastAsia" w:ascii="宋体" w:hAnsi="宋体" w:eastAsia="宋体" w:cs="宋体"/>
          <w:color w:val="auto"/>
          <w:kern w:val="0"/>
          <w:sz w:val="24"/>
          <w:highlight w:val="none"/>
        </w:rPr>
      </w:pPr>
    </w:p>
    <w:p w14:paraId="4EC9ECDA">
      <w:pPr>
        <w:widowControl/>
        <w:wordWrap w:val="0"/>
        <w:spacing w:line="480" w:lineRule="exact"/>
        <w:jc w:val="right"/>
        <w:rPr>
          <w:rFonts w:hint="eastAsia" w:ascii="宋体" w:hAnsi="宋体" w:eastAsia="宋体" w:cs="宋体"/>
          <w:color w:val="auto"/>
          <w:kern w:val="0"/>
          <w:sz w:val="24"/>
          <w:highlight w:val="none"/>
        </w:rPr>
      </w:pPr>
    </w:p>
    <w:p w14:paraId="137FFC23">
      <w:pPr>
        <w:widowControl/>
        <w:wordWrap w:val="0"/>
        <w:snapToGrid w:val="0"/>
        <w:spacing w:line="460" w:lineRule="exact"/>
        <w:ind w:firstLine="2760" w:firstLineChars="1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3C284A57">
      <w:pPr>
        <w:widowControl/>
        <w:wordWrap w:val="0"/>
        <w:spacing w:line="460" w:lineRule="exact"/>
        <w:ind w:left="3780" w:leftChars="1800"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年    月    日</w:t>
      </w:r>
    </w:p>
    <w:p w14:paraId="06A5A9BF">
      <w:pPr>
        <w:rPr>
          <w:rFonts w:hint="eastAsia" w:ascii="宋体" w:hAnsi="宋体" w:eastAsia="宋体" w:cs="宋体"/>
          <w:color w:val="auto"/>
          <w:highlight w:val="none"/>
        </w:rPr>
      </w:pPr>
    </w:p>
    <w:p w14:paraId="24E0BC4A">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DDD2863">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5" w:name="_Toc30519"/>
      <w:bookmarkStart w:id="86" w:name="_Toc12939"/>
      <w:bookmarkStart w:id="87" w:name="_Toc13976"/>
      <w:r>
        <w:rPr>
          <w:rFonts w:hint="eastAsia" w:ascii="宋体" w:hAnsi="宋体" w:eastAsia="宋体" w:cs="宋体"/>
          <w:color w:val="auto"/>
          <w:sz w:val="28"/>
          <w:szCs w:val="28"/>
          <w:highlight w:val="none"/>
          <w:lang w:val="en-US" w:eastAsia="zh-CN"/>
        </w:rPr>
        <w:t>附件8         法定代表人授权书（格式）</w:t>
      </w:r>
      <w:bookmarkEnd w:id="85"/>
      <w:bookmarkEnd w:id="86"/>
      <w:bookmarkEnd w:id="87"/>
    </w:p>
    <w:p w14:paraId="26F37052">
      <w:pPr>
        <w:widowControl/>
        <w:tabs>
          <w:tab w:val="left" w:pos="420"/>
          <w:tab w:val="left" w:pos="2160"/>
        </w:tabs>
        <w:wordWrap w:val="0"/>
        <w:spacing w:line="460" w:lineRule="exact"/>
        <w:ind w:firstLine="480" w:firstLineChars="200"/>
        <w:jc w:val="left"/>
        <w:rPr>
          <w:rFonts w:hint="eastAsia" w:ascii="宋体" w:hAnsi="宋体" w:eastAsia="宋体" w:cs="宋体"/>
          <w:color w:val="auto"/>
          <w:kern w:val="0"/>
          <w:sz w:val="24"/>
          <w:highlight w:val="none"/>
        </w:rPr>
      </w:pPr>
    </w:p>
    <w:p w14:paraId="20CFE6F1">
      <w:pPr>
        <w:widowControl/>
        <w:wordWrap w:val="0"/>
        <w:snapToGrid w:val="0"/>
        <w:spacing w:line="460" w:lineRule="exact"/>
        <w:jc w:val="left"/>
        <w:rPr>
          <w:rFonts w:hint="eastAsia" w:ascii="宋体" w:hAnsi="宋体" w:eastAsia="宋体" w:cs="宋体"/>
          <w:b/>
          <w:bCs/>
          <w:color w:val="auto"/>
          <w:kern w:val="0"/>
          <w:sz w:val="24"/>
          <w:highlight w:val="none"/>
        </w:rPr>
      </w:pPr>
      <w:r>
        <w:rPr>
          <w:rFonts w:hint="eastAsia" w:ascii="宋体" w:hAnsi="宋体" w:eastAsia="宋体" w:cs="宋体"/>
          <w:bCs/>
          <w:color w:val="auto"/>
          <w:kern w:val="0"/>
          <w:sz w:val="24"/>
          <w:highlight w:val="none"/>
        </w:rPr>
        <w:t>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采购人</w:t>
      </w:r>
      <w:r>
        <w:rPr>
          <w:rFonts w:hint="eastAsia" w:ascii="宋体" w:hAnsi="宋体" w:eastAsia="宋体" w:cs="宋体"/>
          <w:color w:val="auto"/>
          <w:kern w:val="0"/>
          <w:sz w:val="24"/>
          <w:highlight w:val="none"/>
        </w:rPr>
        <w:t>名称）：</w:t>
      </w:r>
    </w:p>
    <w:p w14:paraId="07D8310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 xml:space="preserve">名称）的法定代表人，现委托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（姓名）为我方代理人。代理人根据本授权，以我方的名义参加</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项目的投标活动，并代表我方全权办理针对上述项目的</w:t>
      </w:r>
      <w:r>
        <w:rPr>
          <w:rFonts w:hint="eastAsia" w:ascii="宋体" w:hAnsi="宋体" w:eastAsia="宋体" w:cs="宋体"/>
          <w:color w:val="auto"/>
          <w:kern w:val="0"/>
          <w:sz w:val="24"/>
          <w:highlight w:val="none"/>
          <w:lang w:val="en-US" w:eastAsia="zh-CN"/>
        </w:rPr>
        <w:t>磋商</w:t>
      </w:r>
      <w:r>
        <w:rPr>
          <w:rFonts w:hint="eastAsia" w:ascii="宋体" w:hAnsi="宋体" w:eastAsia="宋体" w:cs="宋体"/>
          <w:color w:val="auto"/>
          <w:kern w:val="0"/>
          <w:sz w:val="24"/>
          <w:highlight w:val="none"/>
        </w:rPr>
        <w:t>、开标、评</w:t>
      </w:r>
      <w:r>
        <w:rPr>
          <w:rFonts w:hint="eastAsia" w:ascii="宋体" w:hAnsi="宋体" w:eastAsia="宋体" w:cs="宋体"/>
          <w:color w:val="auto"/>
          <w:kern w:val="0"/>
          <w:sz w:val="24"/>
          <w:highlight w:val="none"/>
          <w:lang w:val="en-US" w:eastAsia="zh-CN"/>
        </w:rPr>
        <w:t>审</w:t>
      </w:r>
      <w:r>
        <w:rPr>
          <w:rFonts w:hint="eastAsia" w:ascii="宋体" w:hAnsi="宋体" w:eastAsia="宋体" w:cs="宋体"/>
          <w:color w:val="auto"/>
          <w:kern w:val="0"/>
          <w:sz w:val="24"/>
          <w:highlight w:val="none"/>
        </w:rPr>
        <w:t>、签约等具体事务和签署相关文件。</w:t>
      </w:r>
    </w:p>
    <w:p w14:paraId="3311EE7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14:paraId="2E14D7BF">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如果本次采购活动现场变更采购方式，本授权书有效。</w:t>
      </w:r>
    </w:p>
    <w:p w14:paraId="44AA202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代理人无转委托权。</w:t>
      </w:r>
    </w:p>
    <w:p w14:paraId="7CE853A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委托期限：</w:t>
      </w:r>
    </w:p>
    <w:p w14:paraId="409406BE">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p>
    <w:p w14:paraId="208D12AA">
      <w:pPr>
        <w:widowControl/>
        <w:wordWrap w:val="0"/>
        <w:snapToGrid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委托代理人签名：             法定代表人签名：</w:t>
      </w:r>
    </w:p>
    <w:p w14:paraId="414CFA2B">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职务：                      职务：</w:t>
      </w:r>
    </w:p>
    <w:tbl>
      <w:tblPr>
        <w:tblStyle w:val="33"/>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6E7EB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58C9EA2A">
            <w:pPr>
              <w:widowControl/>
              <w:spacing w:line="480" w:lineRule="exact"/>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此处请粘贴</w:t>
            </w:r>
            <w:r>
              <w:rPr>
                <w:rFonts w:hint="eastAsia" w:ascii="宋体" w:hAnsi="宋体" w:eastAsia="宋体" w:cs="宋体"/>
                <w:color w:val="auto"/>
                <w:kern w:val="0"/>
                <w:sz w:val="24"/>
                <w:highlight w:val="none"/>
              </w:rPr>
              <w:t>委托代理人</w:t>
            </w:r>
            <w:r>
              <w:rPr>
                <w:rFonts w:hint="eastAsia" w:ascii="宋体" w:hAnsi="宋体" w:eastAsia="宋体" w:cs="宋体"/>
                <w:bCs/>
                <w:color w:val="auto"/>
                <w:kern w:val="0"/>
                <w:sz w:val="24"/>
                <w:highlight w:val="none"/>
              </w:rPr>
              <w:t>身份证复印件</w:t>
            </w:r>
          </w:p>
        </w:tc>
      </w:tr>
    </w:tbl>
    <w:p w14:paraId="527C7F41">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委托代理人身份证号码：</w:t>
      </w:r>
    </w:p>
    <w:p w14:paraId="3F0C663B">
      <w:pPr>
        <w:widowControl/>
        <w:wordWrap w:val="0"/>
        <w:spacing w:line="460" w:lineRule="exact"/>
        <w:ind w:firstLine="4800" w:firstLineChars="2000"/>
        <w:jc w:val="left"/>
        <w:rPr>
          <w:rFonts w:hint="eastAsia" w:ascii="宋体" w:hAnsi="宋体" w:eastAsia="宋体" w:cs="宋体"/>
          <w:color w:val="auto"/>
          <w:kern w:val="0"/>
          <w:sz w:val="24"/>
          <w:highlight w:val="none"/>
        </w:rPr>
      </w:pPr>
    </w:p>
    <w:p w14:paraId="47490F48">
      <w:pPr>
        <w:widowControl/>
        <w:wordWrap w:val="0"/>
        <w:spacing w:line="360" w:lineRule="auto"/>
        <w:jc w:val="center"/>
        <w:rPr>
          <w:rFonts w:hint="eastAsia" w:ascii="宋体" w:hAnsi="宋体" w:eastAsia="宋体" w:cs="宋体"/>
          <w:color w:val="auto"/>
          <w:kern w:val="0"/>
          <w:sz w:val="24"/>
          <w:highlight w:val="none"/>
        </w:rPr>
      </w:pPr>
    </w:p>
    <w:p w14:paraId="10F674C3">
      <w:pPr>
        <w:widowControl/>
        <w:wordWrap w:val="0"/>
        <w:spacing w:line="360" w:lineRule="auto"/>
        <w:jc w:val="right"/>
        <w:rPr>
          <w:rFonts w:hint="eastAsia" w:ascii="宋体" w:hAnsi="宋体" w:eastAsia="宋体" w:cs="宋体"/>
          <w:color w:val="auto"/>
          <w:kern w:val="0"/>
          <w:sz w:val="24"/>
          <w:highlight w:val="none"/>
        </w:rPr>
      </w:pPr>
    </w:p>
    <w:p w14:paraId="64EEE987">
      <w:pPr>
        <w:widowControl/>
        <w:wordWrap w:val="0"/>
        <w:spacing w:line="360" w:lineRule="auto"/>
        <w:jc w:val="right"/>
        <w:rPr>
          <w:rFonts w:hint="eastAsia" w:ascii="宋体" w:hAnsi="宋体" w:eastAsia="宋体" w:cs="宋体"/>
          <w:color w:val="auto"/>
          <w:kern w:val="0"/>
          <w:sz w:val="24"/>
          <w:highlight w:val="none"/>
        </w:rPr>
      </w:pPr>
    </w:p>
    <w:p w14:paraId="1DA78FC1">
      <w:pPr>
        <w:widowControl/>
        <w:wordWrap w:val="0"/>
        <w:spacing w:line="360" w:lineRule="auto"/>
        <w:jc w:val="right"/>
        <w:rPr>
          <w:rFonts w:hint="eastAsia" w:ascii="宋体" w:hAnsi="宋体" w:eastAsia="宋体" w:cs="宋体"/>
          <w:color w:val="auto"/>
          <w:kern w:val="0"/>
          <w:sz w:val="24"/>
          <w:highlight w:val="none"/>
        </w:rPr>
      </w:pPr>
    </w:p>
    <w:p w14:paraId="03DDFB0A">
      <w:pPr>
        <w:widowControl/>
        <w:wordWrap w:val="0"/>
        <w:spacing w:line="360" w:lineRule="auto"/>
        <w:jc w:val="right"/>
        <w:rPr>
          <w:rFonts w:hint="eastAsia" w:ascii="宋体" w:hAnsi="宋体" w:eastAsia="宋体" w:cs="宋体"/>
          <w:color w:val="auto"/>
          <w:kern w:val="0"/>
          <w:sz w:val="24"/>
          <w:highlight w:val="none"/>
        </w:rPr>
      </w:pPr>
    </w:p>
    <w:p w14:paraId="44C38315">
      <w:pPr>
        <w:widowControl/>
        <w:wordWrap w:val="0"/>
        <w:spacing w:line="360" w:lineRule="auto"/>
        <w:jc w:val="right"/>
        <w:rPr>
          <w:rFonts w:hint="eastAsia" w:ascii="宋体" w:hAnsi="宋体" w:eastAsia="宋体" w:cs="宋体"/>
          <w:color w:val="auto"/>
          <w:kern w:val="0"/>
          <w:sz w:val="24"/>
          <w:highlight w:val="none"/>
        </w:rPr>
      </w:pPr>
    </w:p>
    <w:p w14:paraId="37BFC090">
      <w:pPr>
        <w:widowControl/>
        <w:wordWrap/>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65EA290B">
      <w:pPr>
        <w:widowControl/>
        <w:wordWrap w:val="0"/>
        <w:spacing w:line="460" w:lineRule="exact"/>
        <w:ind w:firstLine="3840" w:firstLineChars="1600"/>
        <w:jc w:val="left"/>
        <w:rPr>
          <w:rFonts w:hint="eastAsia" w:ascii="宋体" w:hAnsi="宋体" w:eastAsia="宋体" w:cs="宋体"/>
          <w:b/>
          <w:color w:val="auto"/>
          <w:kern w:val="0"/>
          <w:sz w:val="32"/>
          <w:szCs w:val="32"/>
          <w:highlight w:val="none"/>
        </w:rPr>
      </w:pPr>
      <w:r>
        <w:rPr>
          <w:rFonts w:hint="eastAsia" w:ascii="宋体" w:hAnsi="宋体" w:eastAsia="宋体" w:cs="宋体"/>
          <w:color w:val="auto"/>
          <w:kern w:val="0"/>
          <w:sz w:val="24"/>
          <w:highlight w:val="none"/>
        </w:rPr>
        <w:t>年    月    日</w:t>
      </w:r>
    </w:p>
    <w:p w14:paraId="6933104B">
      <w:pPr>
        <w:widowControl/>
        <w:spacing w:line="360" w:lineRule="auto"/>
        <w:ind w:firstLine="7228" w:firstLineChars="2250"/>
        <w:jc w:val="left"/>
        <w:rPr>
          <w:rFonts w:hint="eastAsia" w:ascii="宋体" w:hAnsi="宋体" w:eastAsia="宋体" w:cs="宋体"/>
          <w:b/>
          <w:color w:val="auto"/>
          <w:kern w:val="0"/>
          <w:sz w:val="32"/>
          <w:szCs w:val="32"/>
          <w:highlight w:val="none"/>
        </w:rPr>
      </w:pPr>
    </w:p>
    <w:p w14:paraId="04D315BF">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3D24408E">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8" w:name="_Toc18105"/>
      <w:bookmarkStart w:id="89" w:name="_Toc24693"/>
      <w:bookmarkStart w:id="90" w:name="_Toc3342"/>
      <w:r>
        <w:rPr>
          <w:rFonts w:hint="eastAsia" w:ascii="宋体" w:hAnsi="宋体" w:eastAsia="宋体" w:cs="宋体"/>
          <w:color w:val="auto"/>
          <w:sz w:val="28"/>
          <w:szCs w:val="28"/>
          <w:highlight w:val="none"/>
          <w:lang w:val="en-US" w:eastAsia="zh-CN"/>
        </w:rPr>
        <w:t>附件9          证明文件</w:t>
      </w:r>
      <w:bookmarkEnd w:id="88"/>
      <w:bookmarkEnd w:id="89"/>
      <w:bookmarkEnd w:id="90"/>
    </w:p>
    <w:p w14:paraId="644D293B">
      <w:pPr>
        <w:pStyle w:val="11"/>
        <w:spacing w:beforeAutospacing="0" w:afterAutospacing="0" w:line="480" w:lineRule="auto"/>
        <w:ind w:firstLine="470" w:firstLineChars="224"/>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9.1</w:t>
      </w:r>
      <w:r>
        <w:rPr>
          <w:rFonts w:hint="eastAsia" w:ascii="宋体" w:hAnsi="宋体" w:eastAsia="宋体" w:cs="宋体"/>
          <w:bCs/>
          <w:color w:val="auto"/>
          <w:sz w:val="21"/>
          <w:szCs w:val="21"/>
          <w:highlight w:val="none"/>
          <w:lang w:val="en-US" w:eastAsia="zh-CN"/>
        </w:rPr>
        <w:t xml:space="preserve"> </w:t>
      </w:r>
      <w:r>
        <w:rPr>
          <w:rFonts w:hint="eastAsia" w:ascii="宋体" w:hAnsi="宋体" w:eastAsia="宋体" w:cs="宋体"/>
          <w:bCs/>
          <w:color w:val="auto"/>
          <w:sz w:val="21"/>
          <w:szCs w:val="21"/>
          <w:highlight w:val="none"/>
        </w:rPr>
        <w:t>资格审查资料</w:t>
      </w:r>
    </w:p>
    <w:p w14:paraId="4813F031">
      <w:pPr>
        <w:pStyle w:val="11"/>
        <w:spacing w:beforeAutospacing="0" w:afterAutospacing="0" w:line="480" w:lineRule="auto"/>
        <w:ind w:firstLine="470" w:firstLineChars="224"/>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9.2产品技术参数支持资料</w:t>
      </w:r>
    </w:p>
    <w:p w14:paraId="00828F39">
      <w:pPr>
        <w:pStyle w:val="11"/>
        <w:spacing w:beforeAutospacing="0" w:afterAutospacing="0" w:line="480" w:lineRule="auto"/>
        <w:ind w:firstLine="470" w:firstLineChars="224"/>
        <w:jc w:val="both"/>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rPr>
        <w:t>9.3</w:t>
      </w:r>
      <w:r>
        <w:rPr>
          <w:rFonts w:hint="eastAsia" w:ascii="宋体" w:hAnsi="宋体" w:eastAsia="宋体" w:cs="宋体"/>
          <w:bCs/>
          <w:color w:val="auto"/>
          <w:sz w:val="21"/>
          <w:szCs w:val="21"/>
          <w:highlight w:val="none"/>
          <w:lang w:val="en-US" w:eastAsia="zh-CN"/>
        </w:rPr>
        <w:t xml:space="preserve"> </w:t>
      </w:r>
      <w:bookmarkStart w:id="91" w:name="_Toc17966"/>
      <w:r>
        <w:rPr>
          <w:rFonts w:hint="eastAsia" w:ascii="宋体" w:hAnsi="宋体" w:eastAsia="宋体" w:cs="宋体"/>
          <w:bCs/>
          <w:color w:val="auto"/>
          <w:sz w:val="21"/>
          <w:szCs w:val="21"/>
          <w:highlight w:val="none"/>
          <w:lang w:val="en-US" w:eastAsia="zh-CN"/>
        </w:rPr>
        <w:t>评分标准中需提供的证明材料</w:t>
      </w:r>
    </w:p>
    <w:p w14:paraId="401A2B52">
      <w:pPr>
        <w:pStyle w:val="11"/>
        <w:spacing w:beforeAutospacing="0" w:afterAutospacing="0" w:line="480" w:lineRule="auto"/>
        <w:ind w:firstLine="470" w:firstLineChars="224"/>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9.</w:t>
      </w:r>
      <w:r>
        <w:rPr>
          <w:rFonts w:hint="eastAsia" w:ascii="宋体" w:hAnsi="宋体" w:eastAsia="宋体" w:cs="宋体"/>
          <w:bCs/>
          <w:color w:val="auto"/>
          <w:sz w:val="21"/>
          <w:szCs w:val="21"/>
          <w:highlight w:val="none"/>
          <w:lang w:val="en-US" w:eastAsia="zh-CN"/>
        </w:rPr>
        <w:t>4 供应商认为其他需要提供的证明材料</w:t>
      </w:r>
      <w:r>
        <w:rPr>
          <w:rFonts w:hint="eastAsia" w:ascii="宋体" w:hAnsi="宋体" w:eastAsia="宋体" w:cs="宋体"/>
          <w:bCs/>
          <w:color w:val="auto"/>
          <w:sz w:val="21"/>
          <w:szCs w:val="21"/>
          <w:highlight w:val="none"/>
        </w:rPr>
        <w:t>。</w:t>
      </w:r>
    </w:p>
    <w:p w14:paraId="38997C36">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63B9045E">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0CF185C0">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5A38418C">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6EE51B98">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615549B2">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6366152E">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4F755349">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4DBE70D8">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45048D1C">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4FD293BC">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2AFAC9D1">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0629ABF5">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411E6D38">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42761FA2">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3C0135E1">
      <w:pPr>
        <w:pStyle w:val="11"/>
        <w:spacing w:beforeAutospacing="0" w:afterAutospacing="0" w:line="480" w:lineRule="auto"/>
        <w:ind w:firstLine="540" w:firstLineChars="224"/>
        <w:jc w:val="both"/>
        <w:rPr>
          <w:rFonts w:hint="eastAsia" w:ascii="宋体" w:hAnsi="宋体" w:eastAsia="宋体" w:cs="宋体"/>
          <w:b/>
          <w:bCs/>
          <w:color w:val="auto"/>
          <w:highlight w:val="none"/>
        </w:rPr>
      </w:pPr>
    </w:p>
    <w:p w14:paraId="3BB81C13">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92" w:name="_Toc12888"/>
      <w:bookmarkStart w:id="93" w:name="_Toc13726"/>
      <w:bookmarkStart w:id="94" w:name="_Toc16083"/>
      <w:r>
        <w:rPr>
          <w:rFonts w:hint="eastAsia" w:ascii="宋体" w:hAnsi="宋体" w:eastAsia="宋体" w:cs="宋体"/>
          <w:color w:val="auto"/>
          <w:sz w:val="28"/>
          <w:szCs w:val="28"/>
          <w:highlight w:val="none"/>
          <w:lang w:val="en-US" w:eastAsia="zh-CN"/>
        </w:rPr>
        <w:t xml:space="preserve">附件10      </w:t>
      </w:r>
      <w:bookmarkEnd w:id="91"/>
      <w:r>
        <w:rPr>
          <w:rFonts w:hint="eastAsia" w:ascii="宋体" w:hAnsi="宋体" w:eastAsia="宋体" w:cs="宋体"/>
          <w:color w:val="auto"/>
          <w:sz w:val="28"/>
          <w:szCs w:val="28"/>
          <w:highlight w:val="none"/>
          <w:lang w:val="en-US" w:eastAsia="zh-CN"/>
        </w:rPr>
        <w:t>供 应 商 承 诺 书 （格式）</w:t>
      </w:r>
      <w:bookmarkEnd w:id="92"/>
      <w:bookmarkEnd w:id="93"/>
      <w:bookmarkEnd w:id="94"/>
    </w:p>
    <w:p w14:paraId="02DAF775">
      <w:pPr>
        <w:bidi w:val="0"/>
        <w:rPr>
          <w:rFonts w:hint="eastAsia" w:ascii="宋体" w:hAnsi="宋体" w:eastAsia="宋体" w:cs="宋体"/>
          <w:color w:val="auto"/>
          <w:highlight w:val="none"/>
        </w:rPr>
      </w:pPr>
    </w:p>
    <w:p w14:paraId="068327A4">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院（以下简称甲方）组织的本次采购，在遵守《招标投标法》、《政府采购法》、《合同法》、《反不正当竞争法》和《关于推进招投标监督领域诚信建设的意见》等法律法规的基础上，要求贵方（以下简称乙方）做出如下承诺：</w:t>
      </w:r>
    </w:p>
    <w:p w14:paraId="0C418C4C">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1、遵循公开、公平、公正和诚实信用的原则自愿参加，所提供的一切材料真实、有效、合法。</w:t>
      </w:r>
    </w:p>
    <w:p w14:paraId="4ADAE269">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2、遵守甲方采购纪律，诚实守信地为甲方提供安全可靠的产品、服务及相关技术，保证质量并主动做好售后服务工作。</w:t>
      </w:r>
    </w:p>
    <w:p w14:paraId="25862B72">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3、杜绝利用提供财物或给予其他不正当利益谋取中标的不良行为。</w:t>
      </w:r>
    </w:p>
    <w:p w14:paraId="54B1AF16">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4、不发生其他任何可能影响甲方工作人员公正执行公务或者职务廉洁的行为。</w:t>
      </w:r>
    </w:p>
    <w:p w14:paraId="545BED46">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5、不参与串标、围标或其他不正当竞争行为；杜绝以虚报资质、业绩或其他弄虚作假等方式骗取中标。</w:t>
      </w:r>
    </w:p>
    <w:p w14:paraId="4A8907A2">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6、响应时，杜绝擅自修改采购文件或技术标准（包括差异表）技术配置的行为。</w:t>
      </w:r>
    </w:p>
    <w:p w14:paraId="0F6AC67C">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7、严格按照采购、</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文件要求签订合同，不违反法律无故拒签合同，不签订背离合同（或技术协议书）实质性内容的协议。</w:t>
      </w:r>
    </w:p>
    <w:p w14:paraId="4F121AA1">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4"/>
          <w:szCs w:val="24"/>
          <w:highlight w:val="none"/>
        </w:rPr>
      </w:pPr>
    </w:p>
    <w:p w14:paraId="330FDCCA">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公司名称</w:t>
      </w:r>
      <w:r>
        <w:rPr>
          <w:rFonts w:hint="eastAsia" w:ascii="宋体" w:hAnsi="宋体" w:eastAsia="宋体" w:cs="宋体"/>
          <w:color w:val="auto"/>
          <w:sz w:val="24"/>
          <w:szCs w:val="24"/>
          <w:highlight w:val="none"/>
        </w:rPr>
        <w:t xml:space="preserve">）：               </w:t>
      </w:r>
    </w:p>
    <w:p w14:paraId="340B8D12">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4"/>
          <w:szCs w:val="24"/>
          <w:highlight w:val="none"/>
        </w:rPr>
        <w:t>法定代表人或委托人（签字）：                   年   月   日</w:t>
      </w:r>
    </w:p>
    <w:p w14:paraId="6CCC32DA">
      <w:pPr>
        <w:widowControl/>
        <w:spacing w:line="360" w:lineRule="auto"/>
        <w:ind w:firstLine="4305" w:firstLineChars="2050"/>
        <w:jc w:val="left"/>
        <w:rPr>
          <w:rFonts w:hint="eastAsia" w:ascii="宋体" w:hAnsi="宋体" w:eastAsia="宋体" w:cs="宋体"/>
          <w:color w:val="auto"/>
          <w:kern w:val="0"/>
          <w:szCs w:val="21"/>
          <w:highlight w:val="none"/>
        </w:rPr>
      </w:pPr>
    </w:p>
    <w:p w14:paraId="2B1C72AF">
      <w:pPr>
        <w:pStyle w:val="32"/>
        <w:rPr>
          <w:rFonts w:hint="eastAsia" w:ascii="宋体" w:hAnsi="宋体" w:eastAsia="宋体" w:cs="宋体"/>
          <w:color w:val="auto"/>
          <w:kern w:val="0"/>
          <w:szCs w:val="21"/>
          <w:highlight w:val="none"/>
        </w:rPr>
      </w:pPr>
    </w:p>
    <w:p w14:paraId="7C0BDA51">
      <w:pPr>
        <w:pStyle w:val="16"/>
        <w:rPr>
          <w:rFonts w:hint="eastAsia" w:ascii="宋体" w:hAnsi="宋体" w:eastAsia="宋体" w:cs="宋体"/>
          <w:color w:val="auto"/>
          <w:kern w:val="0"/>
          <w:szCs w:val="21"/>
          <w:highlight w:val="none"/>
        </w:rPr>
      </w:pPr>
    </w:p>
    <w:p w14:paraId="7CC90B0D">
      <w:pPr>
        <w:pStyle w:val="11"/>
        <w:rPr>
          <w:rFonts w:hint="eastAsia" w:ascii="宋体" w:hAnsi="宋体" w:eastAsia="宋体" w:cs="宋体"/>
          <w:color w:val="auto"/>
          <w:highlight w:val="none"/>
        </w:rPr>
      </w:pPr>
    </w:p>
    <w:p w14:paraId="5CAC53F3">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附件11     供应商信用承诺函（格式）</w:t>
      </w:r>
    </w:p>
    <w:p w14:paraId="11D54CC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致（采购人或政府采购代理机构）：</w:t>
      </w:r>
    </w:p>
    <w:p w14:paraId="5B15E3F4">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单位名称（自然人姓名）：</w:t>
      </w:r>
    </w:p>
    <w:p w14:paraId="796876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统一社会信用代码（身份证号码）：</w:t>
      </w:r>
    </w:p>
    <w:p w14:paraId="571F940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法定代表人（负责人）：</w:t>
      </w:r>
    </w:p>
    <w:p w14:paraId="35ABFF3F">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联系地址和电话：</w:t>
      </w:r>
    </w:p>
    <w:p w14:paraId="55C26F3B">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76CA75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（一）具有独立承担民事责任的能力；</w:t>
      </w:r>
    </w:p>
    <w:p w14:paraId="0CBDAC03">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（二）具有良好的商业信誉和健全的财务会计制度；</w:t>
      </w:r>
    </w:p>
    <w:p w14:paraId="2394BAF5">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（三）具有履行合同所必需的设备和专业技术能力；</w:t>
      </w:r>
    </w:p>
    <w:p w14:paraId="2ABB3196">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（四）有依法缴纳税收和社会保障资金的良好记录；</w:t>
      </w:r>
    </w:p>
    <w:p w14:paraId="465F180E">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（五）参加政府采购活动前三年内，在经营活动中没有重大违法记录；</w:t>
      </w:r>
    </w:p>
    <w:p w14:paraId="2A428F7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（六）未被列入严重失信主体名单、失信被执行人、税收违法黑名单、政府采购严重违法失信行为记录名单，未曾作出虚假承诺；</w:t>
      </w:r>
    </w:p>
    <w:p w14:paraId="28C5766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（七）符合法律、行政法规规定的其他条件。</w:t>
      </w:r>
    </w:p>
    <w:p w14:paraId="281F3A9C">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我单位（本人）保证上述承诺事项的真实性，如有弄虚作假或其他违法违规行为，愿意承担一切法律责任，并承担因此所造成的一切损失。</w:t>
      </w:r>
    </w:p>
    <w:p w14:paraId="5D94361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7D8C474A">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供应商名称（盖章）：</w:t>
      </w:r>
    </w:p>
    <w:p w14:paraId="6B3DF1A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法定代表人、负责人、自然人或授权代表(签字)：</w:t>
      </w:r>
    </w:p>
    <w:p w14:paraId="50178CB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日期：       年         月          日</w:t>
      </w:r>
    </w:p>
    <w:p w14:paraId="5A75BB3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19ACDF2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3D986FD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注：1.供应商须在投标（响应性）文件中按此模板提供承诺函，未提供视为未实质性响应招标文件要求，按无效投标（响应）处理。</w:t>
      </w:r>
    </w:p>
    <w:p w14:paraId="10787DD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2.供应商的法定代表人或者授权代表的签字或盖章应真实、有效，如由授权代表签字或盖章的，应提供“法定代表人授权书”。</w:t>
      </w:r>
    </w:p>
    <w:p w14:paraId="1FC119EF">
      <w:pPr>
        <w:pStyle w:val="11"/>
        <w:spacing w:beforeAutospacing="0" w:afterAutospacing="0" w:line="460" w:lineRule="atLeast"/>
        <w:jc w:val="both"/>
        <w:rPr>
          <w:rFonts w:hint="eastAsia" w:ascii="宋体" w:hAnsi="宋体" w:eastAsia="宋体" w:cs="宋体"/>
          <w:b/>
          <w:bCs/>
          <w:color w:val="auto"/>
          <w:sz w:val="28"/>
          <w:szCs w:val="28"/>
          <w:highlight w:val="none"/>
        </w:rPr>
        <w:sectPr>
          <w:pgSz w:w="11906" w:h="16838"/>
          <w:pgMar w:top="1417" w:right="1474" w:bottom="1417" w:left="1474" w:header="851" w:footer="624" w:gutter="0"/>
          <w:pgNumType w:fmt="decimal"/>
          <w:cols w:space="720" w:num="1"/>
          <w:docGrid w:type="lines" w:linePitch="319" w:charSpace="0"/>
        </w:sectPr>
      </w:pPr>
    </w:p>
    <w:p w14:paraId="36FCA787">
      <w:pPr>
        <w:bidi w:val="0"/>
        <w:rPr>
          <w:rFonts w:hint="eastAsia" w:ascii="宋体" w:hAnsi="宋体" w:eastAsia="宋体" w:cs="宋体"/>
          <w:color w:val="auto"/>
          <w:highlight w:val="none"/>
          <w:lang w:eastAsia="zh-CN"/>
        </w:rPr>
      </w:pPr>
      <w:bookmarkStart w:id="95" w:name="_Toc25094"/>
      <w:bookmarkStart w:id="96" w:name="_Toc31685"/>
      <w:bookmarkStart w:id="97" w:name="_Toc23394"/>
    </w:p>
    <w:p w14:paraId="24DE6E54">
      <w:pPr>
        <w:pStyle w:val="2"/>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rPr>
      </w:pPr>
      <w:r>
        <w:rPr>
          <w:rFonts w:hint="eastAsia" w:ascii="宋体" w:hAnsi="宋体" w:eastAsia="宋体" w:cs="宋体"/>
          <w:lang w:eastAsia="zh-CN"/>
        </w:rPr>
        <w:t>供应商</w:t>
      </w:r>
      <w:r>
        <w:rPr>
          <w:rFonts w:hint="eastAsia" w:ascii="宋体" w:hAnsi="宋体" w:eastAsia="宋体" w:cs="宋体"/>
        </w:rPr>
        <w:t>认为有必要的其他资料</w:t>
      </w:r>
      <w:bookmarkEnd w:id="95"/>
      <w:bookmarkEnd w:id="96"/>
      <w:bookmarkEnd w:id="97"/>
    </w:p>
    <w:p w14:paraId="6AA68725">
      <w:pPr>
        <w:widowControl/>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备注：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应当仔细核对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文件中有关废标条款和评标标准，提供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认为应当附加的其它内容，以充分证明其投标符合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文件规定，并为评标提供充分依据。如果</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未能提供相关证明文件，将有可能导致废标或者无法得分。</w:t>
      </w:r>
    </w:p>
    <w:p w14:paraId="5BAC190B">
      <w:pPr>
        <w:pStyle w:val="11"/>
        <w:spacing w:beforeAutospacing="0" w:afterAutospacing="0" w:line="460" w:lineRule="atLeast"/>
        <w:jc w:val="both"/>
        <w:rPr>
          <w:rFonts w:hint="eastAsia" w:ascii="宋体" w:hAnsi="宋体" w:eastAsia="宋体" w:cs="宋体"/>
          <w:b/>
          <w:bCs/>
          <w:color w:val="auto"/>
          <w:sz w:val="28"/>
          <w:szCs w:val="28"/>
          <w:highlight w:val="none"/>
        </w:rPr>
      </w:pPr>
    </w:p>
    <w:sectPr>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20089">
    <w:pPr>
      <w:pStyle w:val="23"/>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2EF6B5B">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14:paraId="62EF6B5B">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C7533">
    <w:pPr>
      <w:pStyle w:val="23"/>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26B58A8D">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26B58A8D">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1B4A088B">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41D8B">
    <w:pPr>
      <w:pStyle w:val="6"/>
      <w:jc w:val="right"/>
      <w:rPr>
        <w:rFonts w:hint="eastAsia"/>
      </w:rPr>
    </w:pPr>
    <w:r>
      <w:rPr>
        <w:rFonts w:hint="eastAsia" w:ascii="宋体" w:hAnsi="宋体" w:cs="宋体"/>
        <w:color w:val="auto"/>
        <w:szCs w:val="21"/>
        <w:highlight w:val="none"/>
        <w:u w:val="none"/>
        <w:shd w:val="clear" w:color="auto" w:fill="FFFFFF"/>
        <w:lang w:val="en-US" w:eastAsia="zh-CN"/>
      </w:rPr>
      <w:t>驻马店市中心医院电子支气管镜采购项目采购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11B427"/>
    <w:multiLevelType w:val="singleLevel"/>
    <w:tmpl w:val="8911B427"/>
    <w:lvl w:ilvl="0" w:tentative="0">
      <w:start w:val="3"/>
      <w:numFmt w:val="chineseCounting"/>
      <w:suff w:val="nothing"/>
      <w:lvlText w:val="%1、"/>
      <w:lvlJc w:val="left"/>
      <w:rPr>
        <w:rFonts w:hint="eastAsia"/>
      </w:rPr>
    </w:lvl>
  </w:abstractNum>
  <w:abstractNum w:abstractNumId="1">
    <w:nsid w:val="E8A954FB"/>
    <w:multiLevelType w:val="singleLevel"/>
    <w:tmpl w:val="E8A954FB"/>
    <w:lvl w:ilvl="0" w:tentative="0">
      <w:start w:val="1"/>
      <w:numFmt w:val="decimal"/>
      <w:suff w:val="nothing"/>
      <w:lvlText w:val="%1、"/>
      <w:lvlJc w:val="left"/>
    </w:lvl>
  </w:abstractNum>
  <w:abstractNum w:abstractNumId="2">
    <w:nsid w:val="59B6410A"/>
    <w:multiLevelType w:val="singleLevel"/>
    <w:tmpl w:val="59B6410A"/>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xZTMwNmMyMDcwMThhNDM2NzZhZjYxYzY5Y2VkNzQ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1344"/>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5500"/>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1E110B"/>
    <w:rsid w:val="01525212"/>
    <w:rsid w:val="01564054"/>
    <w:rsid w:val="015C0A67"/>
    <w:rsid w:val="01745FBF"/>
    <w:rsid w:val="017E6D95"/>
    <w:rsid w:val="018D0058"/>
    <w:rsid w:val="01976717"/>
    <w:rsid w:val="01C46CCE"/>
    <w:rsid w:val="01D715BE"/>
    <w:rsid w:val="01EB45BC"/>
    <w:rsid w:val="01F04981"/>
    <w:rsid w:val="01F9035B"/>
    <w:rsid w:val="01FA63A5"/>
    <w:rsid w:val="02011C7D"/>
    <w:rsid w:val="02035523"/>
    <w:rsid w:val="021C6E40"/>
    <w:rsid w:val="02222FF2"/>
    <w:rsid w:val="02384FF4"/>
    <w:rsid w:val="023D0B8F"/>
    <w:rsid w:val="023F67A9"/>
    <w:rsid w:val="0247575A"/>
    <w:rsid w:val="025235B1"/>
    <w:rsid w:val="0262674D"/>
    <w:rsid w:val="02747B01"/>
    <w:rsid w:val="027619AC"/>
    <w:rsid w:val="02890D36"/>
    <w:rsid w:val="02C866AB"/>
    <w:rsid w:val="02D92EF7"/>
    <w:rsid w:val="02DA4665"/>
    <w:rsid w:val="02F40325"/>
    <w:rsid w:val="02FA082F"/>
    <w:rsid w:val="031126C4"/>
    <w:rsid w:val="034733B8"/>
    <w:rsid w:val="03475E56"/>
    <w:rsid w:val="035E4919"/>
    <w:rsid w:val="03675F31"/>
    <w:rsid w:val="036A009A"/>
    <w:rsid w:val="037A734D"/>
    <w:rsid w:val="03844805"/>
    <w:rsid w:val="03845791"/>
    <w:rsid w:val="03A011E9"/>
    <w:rsid w:val="03AE7F27"/>
    <w:rsid w:val="03BD2BCD"/>
    <w:rsid w:val="03CC058D"/>
    <w:rsid w:val="03E017D2"/>
    <w:rsid w:val="03F447E2"/>
    <w:rsid w:val="03F77068"/>
    <w:rsid w:val="03FB660C"/>
    <w:rsid w:val="042E37DB"/>
    <w:rsid w:val="04416C20"/>
    <w:rsid w:val="047968B1"/>
    <w:rsid w:val="04870542"/>
    <w:rsid w:val="04B30F7A"/>
    <w:rsid w:val="050E236F"/>
    <w:rsid w:val="054C0111"/>
    <w:rsid w:val="05545DD3"/>
    <w:rsid w:val="056E2AD6"/>
    <w:rsid w:val="05806815"/>
    <w:rsid w:val="058251D3"/>
    <w:rsid w:val="058C28F1"/>
    <w:rsid w:val="05945CCE"/>
    <w:rsid w:val="059D05A4"/>
    <w:rsid w:val="059D5E17"/>
    <w:rsid w:val="059E1E1A"/>
    <w:rsid w:val="05AB0A28"/>
    <w:rsid w:val="05AB0F81"/>
    <w:rsid w:val="05B93D6B"/>
    <w:rsid w:val="05C23EEE"/>
    <w:rsid w:val="05CA4074"/>
    <w:rsid w:val="05D53002"/>
    <w:rsid w:val="05D75738"/>
    <w:rsid w:val="05EB110D"/>
    <w:rsid w:val="05EB4481"/>
    <w:rsid w:val="05F17CC7"/>
    <w:rsid w:val="061E7D14"/>
    <w:rsid w:val="06446B44"/>
    <w:rsid w:val="06560AED"/>
    <w:rsid w:val="066469C9"/>
    <w:rsid w:val="066646A1"/>
    <w:rsid w:val="068E7B23"/>
    <w:rsid w:val="06983B20"/>
    <w:rsid w:val="069A3B66"/>
    <w:rsid w:val="06A869D6"/>
    <w:rsid w:val="06A9264E"/>
    <w:rsid w:val="06B31420"/>
    <w:rsid w:val="06B91765"/>
    <w:rsid w:val="06CA2AD2"/>
    <w:rsid w:val="06CB0D68"/>
    <w:rsid w:val="06CE3071"/>
    <w:rsid w:val="06D33DBA"/>
    <w:rsid w:val="06D73361"/>
    <w:rsid w:val="06E13F9F"/>
    <w:rsid w:val="06FB0AC5"/>
    <w:rsid w:val="06FE7278"/>
    <w:rsid w:val="070D2D5D"/>
    <w:rsid w:val="07111B8D"/>
    <w:rsid w:val="072C5514"/>
    <w:rsid w:val="0737768A"/>
    <w:rsid w:val="074A5B92"/>
    <w:rsid w:val="075D0147"/>
    <w:rsid w:val="075E3193"/>
    <w:rsid w:val="078E18EB"/>
    <w:rsid w:val="07B10EA5"/>
    <w:rsid w:val="07C510CB"/>
    <w:rsid w:val="07CD6512"/>
    <w:rsid w:val="07CE3FA1"/>
    <w:rsid w:val="07EC2ECB"/>
    <w:rsid w:val="07FE66CB"/>
    <w:rsid w:val="080B4D47"/>
    <w:rsid w:val="081B727D"/>
    <w:rsid w:val="08321601"/>
    <w:rsid w:val="08326375"/>
    <w:rsid w:val="083D5C91"/>
    <w:rsid w:val="0847191F"/>
    <w:rsid w:val="08591DC3"/>
    <w:rsid w:val="08672793"/>
    <w:rsid w:val="08695E80"/>
    <w:rsid w:val="087C4541"/>
    <w:rsid w:val="087E5595"/>
    <w:rsid w:val="088D6973"/>
    <w:rsid w:val="08BC0A60"/>
    <w:rsid w:val="08C52D6F"/>
    <w:rsid w:val="08EF0201"/>
    <w:rsid w:val="08F41DE8"/>
    <w:rsid w:val="094840A2"/>
    <w:rsid w:val="09737462"/>
    <w:rsid w:val="099156C3"/>
    <w:rsid w:val="09A33F5B"/>
    <w:rsid w:val="09A53F39"/>
    <w:rsid w:val="09A60E13"/>
    <w:rsid w:val="09A82D92"/>
    <w:rsid w:val="09AB2883"/>
    <w:rsid w:val="09CD0A4B"/>
    <w:rsid w:val="09D206F0"/>
    <w:rsid w:val="0A321AC2"/>
    <w:rsid w:val="0A343D4E"/>
    <w:rsid w:val="0A3E6D2E"/>
    <w:rsid w:val="0A4232E4"/>
    <w:rsid w:val="0A4F145F"/>
    <w:rsid w:val="0A8455AD"/>
    <w:rsid w:val="0AD13A85"/>
    <w:rsid w:val="0AE0655C"/>
    <w:rsid w:val="0B091954"/>
    <w:rsid w:val="0B195776"/>
    <w:rsid w:val="0B34773E"/>
    <w:rsid w:val="0B3B7D65"/>
    <w:rsid w:val="0B434C20"/>
    <w:rsid w:val="0B5F0822"/>
    <w:rsid w:val="0B637D77"/>
    <w:rsid w:val="0B7006C4"/>
    <w:rsid w:val="0B726646"/>
    <w:rsid w:val="0B7606E8"/>
    <w:rsid w:val="0B924545"/>
    <w:rsid w:val="0BAC324F"/>
    <w:rsid w:val="0BC11EE9"/>
    <w:rsid w:val="0BF16C73"/>
    <w:rsid w:val="0BF72F1E"/>
    <w:rsid w:val="0C0A7D34"/>
    <w:rsid w:val="0C230DF6"/>
    <w:rsid w:val="0C3152C1"/>
    <w:rsid w:val="0C3957A5"/>
    <w:rsid w:val="0C507E2F"/>
    <w:rsid w:val="0C600D66"/>
    <w:rsid w:val="0C626DA7"/>
    <w:rsid w:val="0C6876AE"/>
    <w:rsid w:val="0C71390F"/>
    <w:rsid w:val="0C720EC8"/>
    <w:rsid w:val="0C942042"/>
    <w:rsid w:val="0C9D50DC"/>
    <w:rsid w:val="0CA5271D"/>
    <w:rsid w:val="0CAC4D10"/>
    <w:rsid w:val="0CC72121"/>
    <w:rsid w:val="0CEE5A21"/>
    <w:rsid w:val="0D05268E"/>
    <w:rsid w:val="0D0646E7"/>
    <w:rsid w:val="0D0C38CA"/>
    <w:rsid w:val="0D206810"/>
    <w:rsid w:val="0D4861FD"/>
    <w:rsid w:val="0D735465"/>
    <w:rsid w:val="0DC577E0"/>
    <w:rsid w:val="0DDC6319"/>
    <w:rsid w:val="0DFE4F67"/>
    <w:rsid w:val="0E0C0D4C"/>
    <w:rsid w:val="0E115DA1"/>
    <w:rsid w:val="0E162D6D"/>
    <w:rsid w:val="0E46753C"/>
    <w:rsid w:val="0E541CA2"/>
    <w:rsid w:val="0E594756"/>
    <w:rsid w:val="0E95596D"/>
    <w:rsid w:val="0EAE6205"/>
    <w:rsid w:val="0EAE6579"/>
    <w:rsid w:val="0EAF71BF"/>
    <w:rsid w:val="0ECE6257"/>
    <w:rsid w:val="0EE4129D"/>
    <w:rsid w:val="0F171032"/>
    <w:rsid w:val="0F335E69"/>
    <w:rsid w:val="0F372614"/>
    <w:rsid w:val="0F3D59C9"/>
    <w:rsid w:val="0F516D5A"/>
    <w:rsid w:val="0F565B36"/>
    <w:rsid w:val="0F684933"/>
    <w:rsid w:val="0F6E2388"/>
    <w:rsid w:val="0F821E7D"/>
    <w:rsid w:val="0FCA42ED"/>
    <w:rsid w:val="0FDB5F4F"/>
    <w:rsid w:val="0FE7592C"/>
    <w:rsid w:val="0FFC17A5"/>
    <w:rsid w:val="0FFD20F0"/>
    <w:rsid w:val="10142F30"/>
    <w:rsid w:val="103E6E57"/>
    <w:rsid w:val="1041497B"/>
    <w:rsid w:val="10425FF6"/>
    <w:rsid w:val="106612B1"/>
    <w:rsid w:val="109010E6"/>
    <w:rsid w:val="10B271F4"/>
    <w:rsid w:val="10B537CC"/>
    <w:rsid w:val="10C61D50"/>
    <w:rsid w:val="10C8275C"/>
    <w:rsid w:val="10C86D3B"/>
    <w:rsid w:val="10E03539"/>
    <w:rsid w:val="10E82D1F"/>
    <w:rsid w:val="10EE5C94"/>
    <w:rsid w:val="10F5757C"/>
    <w:rsid w:val="10F93ED3"/>
    <w:rsid w:val="113329E7"/>
    <w:rsid w:val="113F294C"/>
    <w:rsid w:val="11437C85"/>
    <w:rsid w:val="11575085"/>
    <w:rsid w:val="1166372C"/>
    <w:rsid w:val="11700D10"/>
    <w:rsid w:val="1178125A"/>
    <w:rsid w:val="118441E0"/>
    <w:rsid w:val="1196056D"/>
    <w:rsid w:val="11CD20A0"/>
    <w:rsid w:val="11D34654"/>
    <w:rsid w:val="11E02D95"/>
    <w:rsid w:val="12010480"/>
    <w:rsid w:val="120E707F"/>
    <w:rsid w:val="121D0051"/>
    <w:rsid w:val="12413D84"/>
    <w:rsid w:val="127A7D1C"/>
    <w:rsid w:val="12836D8B"/>
    <w:rsid w:val="12993BC0"/>
    <w:rsid w:val="12AB0349"/>
    <w:rsid w:val="12B66520"/>
    <w:rsid w:val="12CD57F1"/>
    <w:rsid w:val="12CE5941"/>
    <w:rsid w:val="12CE7AFA"/>
    <w:rsid w:val="12D67466"/>
    <w:rsid w:val="13036052"/>
    <w:rsid w:val="13272A5D"/>
    <w:rsid w:val="133C40E3"/>
    <w:rsid w:val="13493108"/>
    <w:rsid w:val="134A4EBA"/>
    <w:rsid w:val="13713CFE"/>
    <w:rsid w:val="13733928"/>
    <w:rsid w:val="13741F37"/>
    <w:rsid w:val="13857CA0"/>
    <w:rsid w:val="13920D68"/>
    <w:rsid w:val="139C16C9"/>
    <w:rsid w:val="13A5238E"/>
    <w:rsid w:val="13B63CE1"/>
    <w:rsid w:val="13BC6684"/>
    <w:rsid w:val="13C72B3A"/>
    <w:rsid w:val="13D12EE6"/>
    <w:rsid w:val="13DF575E"/>
    <w:rsid w:val="13E470BD"/>
    <w:rsid w:val="13EE3A98"/>
    <w:rsid w:val="13F3280A"/>
    <w:rsid w:val="142123F7"/>
    <w:rsid w:val="142A11D8"/>
    <w:rsid w:val="144B544C"/>
    <w:rsid w:val="145B7B45"/>
    <w:rsid w:val="14627FE2"/>
    <w:rsid w:val="14717443"/>
    <w:rsid w:val="14825F8A"/>
    <w:rsid w:val="148C70AD"/>
    <w:rsid w:val="148D52E3"/>
    <w:rsid w:val="14992B90"/>
    <w:rsid w:val="149F10C7"/>
    <w:rsid w:val="14AF1856"/>
    <w:rsid w:val="14AF19A3"/>
    <w:rsid w:val="14B53957"/>
    <w:rsid w:val="14C53ECE"/>
    <w:rsid w:val="14CF6CB0"/>
    <w:rsid w:val="14D10E8D"/>
    <w:rsid w:val="14DB04C0"/>
    <w:rsid w:val="14DC5FE6"/>
    <w:rsid w:val="14E002E6"/>
    <w:rsid w:val="14FC36BD"/>
    <w:rsid w:val="14FF5EA7"/>
    <w:rsid w:val="15127C5A"/>
    <w:rsid w:val="151E3A0F"/>
    <w:rsid w:val="152534E9"/>
    <w:rsid w:val="153A36AA"/>
    <w:rsid w:val="15477903"/>
    <w:rsid w:val="1557566D"/>
    <w:rsid w:val="156E0971"/>
    <w:rsid w:val="15785B3E"/>
    <w:rsid w:val="15811F1B"/>
    <w:rsid w:val="15A30135"/>
    <w:rsid w:val="15A34015"/>
    <w:rsid w:val="15BB487B"/>
    <w:rsid w:val="15CE086D"/>
    <w:rsid w:val="15E2236F"/>
    <w:rsid w:val="16005D04"/>
    <w:rsid w:val="161D09ED"/>
    <w:rsid w:val="162323A3"/>
    <w:rsid w:val="162F30B1"/>
    <w:rsid w:val="1650762F"/>
    <w:rsid w:val="16510F12"/>
    <w:rsid w:val="166448F9"/>
    <w:rsid w:val="1677211D"/>
    <w:rsid w:val="167954F9"/>
    <w:rsid w:val="169F7296"/>
    <w:rsid w:val="16A060BA"/>
    <w:rsid w:val="16A57EAF"/>
    <w:rsid w:val="16AC6E3F"/>
    <w:rsid w:val="16C872D5"/>
    <w:rsid w:val="16D54FA3"/>
    <w:rsid w:val="16D84D9F"/>
    <w:rsid w:val="16E94D3E"/>
    <w:rsid w:val="170D06E0"/>
    <w:rsid w:val="17233E03"/>
    <w:rsid w:val="17332185"/>
    <w:rsid w:val="17475951"/>
    <w:rsid w:val="175C542D"/>
    <w:rsid w:val="17793FC0"/>
    <w:rsid w:val="179D33A9"/>
    <w:rsid w:val="179F2E61"/>
    <w:rsid w:val="17A06264"/>
    <w:rsid w:val="17BE19D3"/>
    <w:rsid w:val="17C227C0"/>
    <w:rsid w:val="17D66D7C"/>
    <w:rsid w:val="17EE5BFF"/>
    <w:rsid w:val="18097740"/>
    <w:rsid w:val="18136133"/>
    <w:rsid w:val="184055B9"/>
    <w:rsid w:val="184A2082"/>
    <w:rsid w:val="185D3C42"/>
    <w:rsid w:val="185F38AF"/>
    <w:rsid w:val="188F0211"/>
    <w:rsid w:val="18AD1BEB"/>
    <w:rsid w:val="18B3004A"/>
    <w:rsid w:val="18B31B6D"/>
    <w:rsid w:val="18B96080"/>
    <w:rsid w:val="18CE20EA"/>
    <w:rsid w:val="18DB2CD8"/>
    <w:rsid w:val="18F67868"/>
    <w:rsid w:val="190B2D88"/>
    <w:rsid w:val="190E6B63"/>
    <w:rsid w:val="19123928"/>
    <w:rsid w:val="19194264"/>
    <w:rsid w:val="19283048"/>
    <w:rsid w:val="19420786"/>
    <w:rsid w:val="19427EC0"/>
    <w:rsid w:val="195711D7"/>
    <w:rsid w:val="195D2A3F"/>
    <w:rsid w:val="198310E9"/>
    <w:rsid w:val="198D747A"/>
    <w:rsid w:val="19A15638"/>
    <w:rsid w:val="19A74DFE"/>
    <w:rsid w:val="19A753EF"/>
    <w:rsid w:val="1A125525"/>
    <w:rsid w:val="1A5F4342"/>
    <w:rsid w:val="1A616E2C"/>
    <w:rsid w:val="1A7F369B"/>
    <w:rsid w:val="1A8C5D82"/>
    <w:rsid w:val="1A994988"/>
    <w:rsid w:val="1A9B546C"/>
    <w:rsid w:val="1AA3511F"/>
    <w:rsid w:val="1AAE3B54"/>
    <w:rsid w:val="1AC10987"/>
    <w:rsid w:val="1AEB6F83"/>
    <w:rsid w:val="1AF423FA"/>
    <w:rsid w:val="1B0C5B32"/>
    <w:rsid w:val="1B0D3E82"/>
    <w:rsid w:val="1B1464DA"/>
    <w:rsid w:val="1B1652AB"/>
    <w:rsid w:val="1B181CD5"/>
    <w:rsid w:val="1B265306"/>
    <w:rsid w:val="1B4346C9"/>
    <w:rsid w:val="1B4F2450"/>
    <w:rsid w:val="1B530868"/>
    <w:rsid w:val="1B6573E8"/>
    <w:rsid w:val="1B6922A5"/>
    <w:rsid w:val="1B721452"/>
    <w:rsid w:val="1B8C18B7"/>
    <w:rsid w:val="1BB73AE1"/>
    <w:rsid w:val="1BDA6D68"/>
    <w:rsid w:val="1BF14125"/>
    <w:rsid w:val="1C002CEE"/>
    <w:rsid w:val="1C555978"/>
    <w:rsid w:val="1C6554A1"/>
    <w:rsid w:val="1C7971B7"/>
    <w:rsid w:val="1C917D91"/>
    <w:rsid w:val="1CAB2820"/>
    <w:rsid w:val="1CD402EC"/>
    <w:rsid w:val="1CED16EF"/>
    <w:rsid w:val="1CF02333"/>
    <w:rsid w:val="1D0C33A2"/>
    <w:rsid w:val="1D113E6E"/>
    <w:rsid w:val="1D114E5E"/>
    <w:rsid w:val="1D1F0050"/>
    <w:rsid w:val="1D214EDE"/>
    <w:rsid w:val="1D2222DC"/>
    <w:rsid w:val="1D5144F7"/>
    <w:rsid w:val="1D5B3CDE"/>
    <w:rsid w:val="1D6E2950"/>
    <w:rsid w:val="1D98209B"/>
    <w:rsid w:val="1DA23746"/>
    <w:rsid w:val="1DAA14B9"/>
    <w:rsid w:val="1DD04513"/>
    <w:rsid w:val="1DDD2BCB"/>
    <w:rsid w:val="1E0345E3"/>
    <w:rsid w:val="1E1B7B7F"/>
    <w:rsid w:val="1E443370"/>
    <w:rsid w:val="1E656063"/>
    <w:rsid w:val="1E6B06A5"/>
    <w:rsid w:val="1E7F7D9E"/>
    <w:rsid w:val="1E840DA4"/>
    <w:rsid w:val="1EA5444C"/>
    <w:rsid w:val="1EB350EF"/>
    <w:rsid w:val="1EC21749"/>
    <w:rsid w:val="1EEB7C4E"/>
    <w:rsid w:val="1F072441"/>
    <w:rsid w:val="1F171B83"/>
    <w:rsid w:val="1F2D491A"/>
    <w:rsid w:val="1F66355F"/>
    <w:rsid w:val="1F7369C7"/>
    <w:rsid w:val="1F9113A9"/>
    <w:rsid w:val="1F94547B"/>
    <w:rsid w:val="1FA47700"/>
    <w:rsid w:val="1FAF308C"/>
    <w:rsid w:val="1FB64FF9"/>
    <w:rsid w:val="1FC11109"/>
    <w:rsid w:val="1FDA3223"/>
    <w:rsid w:val="1FDE2C12"/>
    <w:rsid w:val="1FEF08C8"/>
    <w:rsid w:val="1FF72E6A"/>
    <w:rsid w:val="1FFB6F12"/>
    <w:rsid w:val="201B3ED4"/>
    <w:rsid w:val="20230F6D"/>
    <w:rsid w:val="20310B02"/>
    <w:rsid w:val="206F0406"/>
    <w:rsid w:val="207417C9"/>
    <w:rsid w:val="20784063"/>
    <w:rsid w:val="207E346A"/>
    <w:rsid w:val="208E12C3"/>
    <w:rsid w:val="209502A3"/>
    <w:rsid w:val="20EA3839"/>
    <w:rsid w:val="2100305C"/>
    <w:rsid w:val="210F579E"/>
    <w:rsid w:val="21163FF0"/>
    <w:rsid w:val="211B39F2"/>
    <w:rsid w:val="212550B5"/>
    <w:rsid w:val="21592B62"/>
    <w:rsid w:val="2172049B"/>
    <w:rsid w:val="21747CD2"/>
    <w:rsid w:val="219263AA"/>
    <w:rsid w:val="219E5782"/>
    <w:rsid w:val="21D10545"/>
    <w:rsid w:val="21E72B0B"/>
    <w:rsid w:val="21E76A4A"/>
    <w:rsid w:val="21EE607E"/>
    <w:rsid w:val="21F66F4C"/>
    <w:rsid w:val="221F2D96"/>
    <w:rsid w:val="22246DB1"/>
    <w:rsid w:val="22440067"/>
    <w:rsid w:val="225A6017"/>
    <w:rsid w:val="22631AF5"/>
    <w:rsid w:val="227A5532"/>
    <w:rsid w:val="22843A03"/>
    <w:rsid w:val="228E5C2C"/>
    <w:rsid w:val="22A338AB"/>
    <w:rsid w:val="22AD37A2"/>
    <w:rsid w:val="22B31E8A"/>
    <w:rsid w:val="22C05285"/>
    <w:rsid w:val="22C735BD"/>
    <w:rsid w:val="22CF0F38"/>
    <w:rsid w:val="22D729A8"/>
    <w:rsid w:val="22F06957"/>
    <w:rsid w:val="23057681"/>
    <w:rsid w:val="23122833"/>
    <w:rsid w:val="231D4917"/>
    <w:rsid w:val="23223458"/>
    <w:rsid w:val="23225D32"/>
    <w:rsid w:val="23357BE6"/>
    <w:rsid w:val="2342574E"/>
    <w:rsid w:val="236D1BFA"/>
    <w:rsid w:val="236D331D"/>
    <w:rsid w:val="2377331D"/>
    <w:rsid w:val="237D43DE"/>
    <w:rsid w:val="23940114"/>
    <w:rsid w:val="239A1546"/>
    <w:rsid w:val="23B57016"/>
    <w:rsid w:val="23C4797E"/>
    <w:rsid w:val="23CD5478"/>
    <w:rsid w:val="23D4764B"/>
    <w:rsid w:val="23EC3718"/>
    <w:rsid w:val="24044EF2"/>
    <w:rsid w:val="2407139D"/>
    <w:rsid w:val="240B04F4"/>
    <w:rsid w:val="240E369A"/>
    <w:rsid w:val="242A0646"/>
    <w:rsid w:val="2435301D"/>
    <w:rsid w:val="243A0633"/>
    <w:rsid w:val="243D6E1A"/>
    <w:rsid w:val="24453D05"/>
    <w:rsid w:val="24607F91"/>
    <w:rsid w:val="246C581B"/>
    <w:rsid w:val="247C52A2"/>
    <w:rsid w:val="24942917"/>
    <w:rsid w:val="24CC106B"/>
    <w:rsid w:val="24D00598"/>
    <w:rsid w:val="24D725E9"/>
    <w:rsid w:val="24EC31CF"/>
    <w:rsid w:val="25045F70"/>
    <w:rsid w:val="250474F1"/>
    <w:rsid w:val="25056E93"/>
    <w:rsid w:val="25092EBA"/>
    <w:rsid w:val="250E5D48"/>
    <w:rsid w:val="25241020"/>
    <w:rsid w:val="25302410"/>
    <w:rsid w:val="255D6CCF"/>
    <w:rsid w:val="257572C3"/>
    <w:rsid w:val="25790E85"/>
    <w:rsid w:val="25972C60"/>
    <w:rsid w:val="25974C6F"/>
    <w:rsid w:val="259D1676"/>
    <w:rsid w:val="25A353EB"/>
    <w:rsid w:val="25B87B65"/>
    <w:rsid w:val="25CB78C3"/>
    <w:rsid w:val="25D54390"/>
    <w:rsid w:val="261879A7"/>
    <w:rsid w:val="261A071C"/>
    <w:rsid w:val="26395046"/>
    <w:rsid w:val="264B0BA4"/>
    <w:rsid w:val="264F4111"/>
    <w:rsid w:val="265E0AEC"/>
    <w:rsid w:val="2661459D"/>
    <w:rsid w:val="268C5256"/>
    <w:rsid w:val="268E455B"/>
    <w:rsid w:val="26912B30"/>
    <w:rsid w:val="269772F0"/>
    <w:rsid w:val="26997893"/>
    <w:rsid w:val="26A30712"/>
    <w:rsid w:val="26AC0C27"/>
    <w:rsid w:val="26C807A6"/>
    <w:rsid w:val="26D1527F"/>
    <w:rsid w:val="26DB67BA"/>
    <w:rsid w:val="26E311CD"/>
    <w:rsid w:val="26EF24ED"/>
    <w:rsid w:val="26F1408A"/>
    <w:rsid w:val="26F96584"/>
    <w:rsid w:val="27015370"/>
    <w:rsid w:val="270B421F"/>
    <w:rsid w:val="2713264F"/>
    <w:rsid w:val="274E2228"/>
    <w:rsid w:val="27517A93"/>
    <w:rsid w:val="275E53AF"/>
    <w:rsid w:val="276658E8"/>
    <w:rsid w:val="276F6846"/>
    <w:rsid w:val="277E30D2"/>
    <w:rsid w:val="27803F2A"/>
    <w:rsid w:val="278A18D2"/>
    <w:rsid w:val="27983FEE"/>
    <w:rsid w:val="27A34941"/>
    <w:rsid w:val="27EE3A7B"/>
    <w:rsid w:val="282B09BF"/>
    <w:rsid w:val="282E4F00"/>
    <w:rsid w:val="283C23DF"/>
    <w:rsid w:val="283D69F1"/>
    <w:rsid w:val="284C16F5"/>
    <w:rsid w:val="28570AB5"/>
    <w:rsid w:val="285F2CDC"/>
    <w:rsid w:val="28622C36"/>
    <w:rsid w:val="288C2D07"/>
    <w:rsid w:val="289E7E22"/>
    <w:rsid w:val="28C2534B"/>
    <w:rsid w:val="28C5525A"/>
    <w:rsid w:val="28D14B96"/>
    <w:rsid w:val="29020C46"/>
    <w:rsid w:val="290240C7"/>
    <w:rsid w:val="291713AF"/>
    <w:rsid w:val="291A2B97"/>
    <w:rsid w:val="29274EE0"/>
    <w:rsid w:val="294F692F"/>
    <w:rsid w:val="295029E3"/>
    <w:rsid w:val="29543A59"/>
    <w:rsid w:val="29670ED3"/>
    <w:rsid w:val="2969197F"/>
    <w:rsid w:val="29746E87"/>
    <w:rsid w:val="297939AC"/>
    <w:rsid w:val="297C03C2"/>
    <w:rsid w:val="299573AB"/>
    <w:rsid w:val="29B05804"/>
    <w:rsid w:val="29BE5BD0"/>
    <w:rsid w:val="29C01572"/>
    <w:rsid w:val="29CA4207"/>
    <w:rsid w:val="29D82DC8"/>
    <w:rsid w:val="29DB6414"/>
    <w:rsid w:val="29E74CE2"/>
    <w:rsid w:val="2A133E00"/>
    <w:rsid w:val="2A241B69"/>
    <w:rsid w:val="2A306A36"/>
    <w:rsid w:val="2A457300"/>
    <w:rsid w:val="2A5372C6"/>
    <w:rsid w:val="2A5B03D8"/>
    <w:rsid w:val="2A6F6D07"/>
    <w:rsid w:val="2A882500"/>
    <w:rsid w:val="2AA35184"/>
    <w:rsid w:val="2AAB4E76"/>
    <w:rsid w:val="2AB63ABC"/>
    <w:rsid w:val="2AB63D0A"/>
    <w:rsid w:val="2AD549F8"/>
    <w:rsid w:val="2AEA74E5"/>
    <w:rsid w:val="2AFB4FC0"/>
    <w:rsid w:val="2B003D00"/>
    <w:rsid w:val="2B074D5E"/>
    <w:rsid w:val="2B0A6991"/>
    <w:rsid w:val="2B100BA9"/>
    <w:rsid w:val="2B1B5825"/>
    <w:rsid w:val="2B1E3AFC"/>
    <w:rsid w:val="2B574FD9"/>
    <w:rsid w:val="2B681F2A"/>
    <w:rsid w:val="2B8D373E"/>
    <w:rsid w:val="2B9E4F56"/>
    <w:rsid w:val="2BAA4841"/>
    <w:rsid w:val="2BDB5A88"/>
    <w:rsid w:val="2BDB6BA0"/>
    <w:rsid w:val="2BE91C37"/>
    <w:rsid w:val="2BEC3F72"/>
    <w:rsid w:val="2C083572"/>
    <w:rsid w:val="2C185F94"/>
    <w:rsid w:val="2C1F1AC4"/>
    <w:rsid w:val="2C2945BA"/>
    <w:rsid w:val="2C2E71FC"/>
    <w:rsid w:val="2C3F3A41"/>
    <w:rsid w:val="2C4431C4"/>
    <w:rsid w:val="2C55747C"/>
    <w:rsid w:val="2C62059F"/>
    <w:rsid w:val="2C6634FA"/>
    <w:rsid w:val="2C7843EE"/>
    <w:rsid w:val="2CA25191"/>
    <w:rsid w:val="2CAC022C"/>
    <w:rsid w:val="2CC11807"/>
    <w:rsid w:val="2CE327BC"/>
    <w:rsid w:val="2CF16074"/>
    <w:rsid w:val="2CF81D1B"/>
    <w:rsid w:val="2D3F2453"/>
    <w:rsid w:val="2D835174"/>
    <w:rsid w:val="2D9331F9"/>
    <w:rsid w:val="2DD90B7B"/>
    <w:rsid w:val="2DDD3FC1"/>
    <w:rsid w:val="2DEA131C"/>
    <w:rsid w:val="2DF701D8"/>
    <w:rsid w:val="2DF970A1"/>
    <w:rsid w:val="2E0665A9"/>
    <w:rsid w:val="2E085834"/>
    <w:rsid w:val="2E1034F8"/>
    <w:rsid w:val="2E112405"/>
    <w:rsid w:val="2E120D8E"/>
    <w:rsid w:val="2E443652"/>
    <w:rsid w:val="2E4F3FDB"/>
    <w:rsid w:val="2E505773"/>
    <w:rsid w:val="2E5C0A3D"/>
    <w:rsid w:val="2E742F70"/>
    <w:rsid w:val="2E9574DA"/>
    <w:rsid w:val="2E9A689E"/>
    <w:rsid w:val="2ED61D9E"/>
    <w:rsid w:val="2EDC2A13"/>
    <w:rsid w:val="2EFD7DB9"/>
    <w:rsid w:val="2F1A081D"/>
    <w:rsid w:val="2F1C72B3"/>
    <w:rsid w:val="2F1E3DC0"/>
    <w:rsid w:val="2F2D326E"/>
    <w:rsid w:val="2F3112DE"/>
    <w:rsid w:val="2F3B6922"/>
    <w:rsid w:val="2F3D7B25"/>
    <w:rsid w:val="2F480119"/>
    <w:rsid w:val="2F506C6D"/>
    <w:rsid w:val="2F512253"/>
    <w:rsid w:val="2F51291F"/>
    <w:rsid w:val="2F55758A"/>
    <w:rsid w:val="2F7F15AE"/>
    <w:rsid w:val="2F912594"/>
    <w:rsid w:val="2FA54796"/>
    <w:rsid w:val="2FA674E2"/>
    <w:rsid w:val="2FFE7D49"/>
    <w:rsid w:val="3002294D"/>
    <w:rsid w:val="3011153D"/>
    <w:rsid w:val="30142680"/>
    <w:rsid w:val="302A11B1"/>
    <w:rsid w:val="302A5C42"/>
    <w:rsid w:val="30662043"/>
    <w:rsid w:val="3083092C"/>
    <w:rsid w:val="30930D2E"/>
    <w:rsid w:val="30B8125D"/>
    <w:rsid w:val="30BF439A"/>
    <w:rsid w:val="30CF6A37"/>
    <w:rsid w:val="30D250CF"/>
    <w:rsid w:val="30E7260A"/>
    <w:rsid w:val="31002970"/>
    <w:rsid w:val="311016AD"/>
    <w:rsid w:val="3136622A"/>
    <w:rsid w:val="31393501"/>
    <w:rsid w:val="3139422E"/>
    <w:rsid w:val="31496359"/>
    <w:rsid w:val="314D19A6"/>
    <w:rsid w:val="316177A4"/>
    <w:rsid w:val="31700E4B"/>
    <w:rsid w:val="3172683C"/>
    <w:rsid w:val="31A359FC"/>
    <w:rsid w:val="31AD0D61"/>
    <w:rsid w:val="31C42968"/>
    <w:rsid w:val="31CD297B"/>
    <w:rsid w:val="31CD73BD"/>
    <w:rsid w:val="31D66571"/>
    <w:rsid w:val="31DB4220"/>
    <w:rsid w:val="31DC56CD"/>
    <w:rsid w:val="31E63B94"/>
    <w:rsid w:val="31F27AF7"/>
    <w:rsid w:val="31FA74CA"/>
    <w:rsid w:val="32176602"/>
    <w:rsid w:val="322A7699"/>
    <w:rsid w:val="322B25C6"/>
    <w:rsid w:val="32422E70"/>
    <w:rsid w:val="325E56C6"/>
    <w:rsid w:val="3275698A"/>
    <w:rsid w:val="327C0679"/>
    <w:rsid w:val="32943B86"/>
    <w:rsid w:val="32A93829"/>
    <w:rsid w:val="32B943EC"/>
    <w:rsid w:val="32DC63A0"/>
    <w:rsid w:val="32E429C1"/>
    <w:rsid w:val="330503EE"/>
    <w:rsid w:val="334045BE"/>
    <w:rsid w:val="334A3B2A"/>
    <w:rsid w:val="3365592E"/>
    <w:rsid w:val="336A31F3"/>
    <w:rsid w:val="336F6533"/>
    <w:rsid w:val="337E5E2F"/>
    <w:rsid w:val="3384610D"/>
    <w:rsid w:val="33AA5979"/>
    <w:rsid w:val="33C03E90"/>
    <w:rsid w:val="33C96649"/>
    <w:rsid w:val="33CC3D88"/>
    <w:rsid w:val="33D939C5"/>
    <w:rsid w:val="33DD0306"/>
    <w:rsid w:val="33FD722F"/>
    <w:rsid w:val="3400362D"/>
    <w:rsid w:val="340B09C5"/>
    <w:rsid w:val="341E4CAB"/>
    <w:rsid w:val="34584EE2"/>
    <w:rsid w:val="347A1C51"/>
    <w:rsid w:val="347D373F"/>
    <w:rsid w:val="34922A93"/>
    <w:rsid w:val="34956481"/>
    <w:rsid w:val="34A35871"/>
    <w:rsid w:val="34C06C9D"/>
    <w:rsid w:val="34DF24AE"/>
    <w:rsid w:val="351C4931"/>
    <w:rsid w:val="351C4EAC"/>
    <w:rsid w:val="351D4C26"/>
    <w:rsid w:val="352E7D40"/>
    <w:rsid w:val="35361A77"/>
    <w:rsid w:val="35461A22"/>
    <w:rsid w:val="35483CC9"/>
    <w:rsid w:val="354B08F2"/>
    <w:rsid w:val="356E46AA"/>
    <w:rsid w:val="357235B0"/>
    <w:rsid w:val="3578502D"/>
    <w:rsid w:val="3586192A"/>
    <w:rsid w:val="35A815CB"/>
    <w:rsid w:val="35A85BD0"/>
    <w:rsid w:val="35AA1B9C"/>
    <w:rsid w:val="35D501BC"/>
    <w:rsid w:val="35DB09A6"/>
    <w:rsid w:val="36080591"/>
    <w:rsid w:val="3609472F"/>
    <w:rsid w:val="36203B2D"/>
    <w:rsid w:val="369B4CF0"/>
    <w:rsid w:val="36D62629"/>
    <w:rsid w:val="36D76172"/>
    <w:rsid w:val="36D84407"/>
    <w:rsid w:val="36E833BB"/>
    <w:rsid w:val="36EB1E1B"/>
    <w:rsid w:val="36F17F0D"/>
    <w:rsid w:val="37103BA1"/>
    <w:rsid w:val="37224581"/>
    <w:rsid w:val="3735197D"/>
    <w:rsid w:val="373756A2"/>
    <w:rsid w:val="375E0DA6"/>
    <w:rsid w:val="377639AE"/>
    <w:rsid w:val="378142CB"/>
    <w:rsid w:val="378B61A6"/>
    <w:rsid w:val="37B90F0B"/>
    <w:rsid w:val="37CD3F98"/>
    <w:rsid w:val="37DF75BA"/>
    <w:rsid w:val="37E148E2"/>
    <w:rsid w:val="37F848EE"/>
    <w:rsid w:val="37F912FC"/>
    <w:rsid w:val="380D59EE"/>
    <w:rsid w:val="38304889"/>
    <w:rsid w:val="3836588A"/>
    <w:rsid w:val="38382675"/>
    <w:rsid w:val="383B7B0D"/>
    <w:rsid w:val="3848553B"/>
    <w:rsid w:val="3851700B"/>
    <w:rsid w:val="385246B6"/>
    <w:rsid w:val="3876113B"/>
    <w:rsid w:val="38A53DB7"/>
    <w:rsid w:val="38BF3388"/>
    <w:rsid w:val="38CC268D"/>
    <w:rsid w:val="38DF1FDA"/>
    <w:rsid w:val="38EC2960"/>
    <w:rsid w:val="390069DD"/>
    <w:rsid w:val="39030CF9"/>
    <w:rsid w:val="39091F35"/>
    <w:rsid w:val="392536E2"/>
    <w:rsid w:val="39465F15"/>
    <w:rsid w:val="39505209"/>
    <w:rsid w:val="396453C5"/>
    <w:rsid w:val="39922CCF"/>
    <w:rsid w:val="39A65327"/>
    <w:rsid w:val="39A65C9B"/>
    <w:rsid w:val="39BC5ED6"/>
    <w:rsid w:val="39D27231"/>
    <w:rsid w:val="39EB39E0"/>
    <w:rsid w:val="39EF02D4"/>
    <w:rsid w:val="3A11342A"/>
    <w:rsid w:val="3A153110"/>
    <w:rsid w:val="3A2149EA"/>
    <w:rsid w:val="3A2507C0"/>
    <w:rsid w:val="3A285AD8"/>
    <w:rsid w:val="3A393FA7"/>
    <w:rsid w:val="3A3A5A22"/>
    <w:rsid w:val="3A524858"/>
    <w:rsid w:val="3A64203E"/>
    <w:rsid w:val="3A663D00"/>
    <w:rsid w:val="3A7428D0"/>
    <w:rsid w:val="3A747EDD"/>
    <w:rsid w:val="3A923AE4"/>
    <w:rsid w:val="3AA50E25"/>
    <w:rsid w:val="3AC566E3"/>
    <w:rsid w:val="3AD6747A"/>
    <w:rsid w:val="3AD95C48"/>
    <w:rsid w:val="3ADF5D0A"/>
    <w:rsid w:val="3B312338"/>
    <w:rsid w:val="3B3C5B77"/>
    <w:rsid w:val="3B3D0FF2"/>
    <w:rsid w:val="3B501351"/>
    <w:rsid w:val="3B521A18"/>
    <w:rsid w:val="3B8D2B96"/>
    <w:rsid w:val="3B923660"/>
    <w:rsid w:val="3BCA44BE"/>
    <w:rsid w:val="3C061F3A"/>
    <w:rsid w:val="3C0A04F9"/>
    <w:rsid w:val="3C495480"/>
    <w:rsid w:val="3C4C3A42"/>
    <w:rsid w:val="3C6F0167"/>
    <w:rsid w:val="3C71667B"/>
    <w:rsid w:val="3C914F3B"/>
    <w:rsid w:val="3CC17F13"/>
    <w:rsid w:val="3CD50B40"/>
    <w:rsid w:val="3CE320A3"/>
    <w:rsid w:val="3CE9196C"/>
    <w:rsid w:val="3CF15105"/>
    <w:rsid w:val="3D0C04B9"/>
    <w:rsid w:val="3D1414C5"/>
    <w:rsid w:val="3D1C763E"/>
    <w:rsid w:val="3D201AA5"/>
    <w:rsid w:val="3D2B37EA"/>
    <w:rsid w:val="3D2F7FF3"/>
    <w:rsid w:val="3D3D1507"/>
    <w:rsid w:val="3D62085B"/>
    <w:rsid w:val="3D6B12FD"/>
    <w:rsid w:val="3D7B4622"/>
    <w:rsid w:val="3D8E5820"/>
    <w:rsid w:val="3D942E29"/>
    <w:rsid w:val="3DA53531"/>
    <w:rsid w:val="3DB54E0C"/>
    <w:rsid w:val="3DB900C1"/>
    <w:rsid w:val="3DE51866"/>
    <w:rsid w:val="3DE91725"/>
    <w:rsid w:val="3DF159B1"/>
    <w:rsid w:val="3DFC6C2D"/>
    <w:rsid w:val="3E135D25"/>
    <w:rsid w:val="3E1A106E"/>
    <w:rsid w:val="3E36303B"/>
    <w:rsid w:val="3E526044"/>
    <w:rsid w:val="3E5C591E"/>
    <w:rsid w:val="3E6C2B3A"/>
    <w:rsid w:val="3E8C5311"/>
    <w:rsid w:val="3E8E7E55"/>
    <w:rsid w:val="3EB61473"/>
    <w:rsid w:val="3EC66011"/>
    <w:rsid w:val="3ED25BE0"/>
    <w:rsid w:val="3ED75B7F"/>
    <w:rsid w:val="3F315E6B"/>
    <w:rsid w:val="3F5175E2"/>
    <w:rsid w:val="3F56276A"/>
    <w:rsid w:val="3F6C10E0"/>
    <w:rsid w:val="3F963015"/>
    <w:rsid w:val="3F964D35"/>
    <w:rsid w:val="3FA327ED"/>
    <w:rsid w:val="3FB11738"/>
    <w:rsid w:val="3FB5581B"/>
    <w:rsid w:val="3FC33D05"/>
    <w:rsid w:val="3FF46B18"/>
    <w:rsid w:val="3FF74A2E"/>
    <w:rsid w:val="3FFC36E2"/>
    <w:rsid w:val="4005572D"/>
    <w:rsid w:val="402833BA"/>
    <w:rsid w:val="40283C2B"/>
    <w:rsid w:val="40394FD1"/>
    <w:rsid w:val="40425879"/>
    <w:rsid w:val="405C1C05"/>
    <w:rsid w:val="40765D15"/>
    <w:rsid w:val="407B4FC1"/>
    <w:rsid w:val="407F2DE9"/>
    <w:rsid w:val="40920B61"/>
    <w:rsid w:val="40953369"/>
    <w:rsid w:val="40991379"/>
    <w:rsid w:val="409B3C3D"/>
    <w:rsid w:val="40F701DF"/>
    <w:rsid w:val="40FD480A"/>
    <w:rsid w:val="411B59C4"/>
    <w:rsid w:val="412A32F8"/>
    <w:rsid w:val="417F433E"/>
    <w:rsid w:val="419C4043"/>
    <w:rsid w:val="41B7239D"/>
    <w:rsid w:val="41D852BC"/>
    <w:rsid w:val="41FF3845"/>
    <w:rsid w:val="421104A9"/>
    <w:rsid w:val="42143B88"/>
    <w:rsid w:val="42164586"/>
    <w:rsid w:val="424C7A58"/>
    <w:rsid w:val="424E1A22"/>
    <w:rsid w:val="425B5DD1"/>
    <w:rsid w:val="4260300C"/>
    <w:rsid w:val="42755200"/>
    <w:rsid w:val="42772802"/>
    <w:rsid w:val="427C799E"/>
    <w:rsid w:val="42800B9B"/>
    <w:rsid w:val="4281223D"/>
    <w:rsid w:val="42A06B6C"/>
    <w:rsid w:val="42A27996"/>
    <w:rsid w:val="42A45E72"/>
    <w:rsid w:val="42AA04E2"/>
    <w:rsid w:val="42EA5650"/>
    <w:rsid w:val="431408DA"/>
    <w:rsid w:val="4331401E"/>
    <w:rsid w:val="43486FC5"/>
    <w:rsid w:val="43591DDA"/>
    <w:rsid w:val="435A0DF2"/>
    <w:rsid w:val="436C42E1"/>
    <w:rsid w:val="437102E7"/>
    <w:rsid w:val="437C210F"/>
    <w:rsid w:val="43847F02"/>
    <w:rsid w:val="438F113C"/>
    <w:rsid w:val="439E7EFB"/>
    <w:rsid w:val="43B1568A"/>
    <w:rsid w:val="43B64E08"/>
    <w:rsid w:val="43BD7F58"/>
    <w:rsid w:val="43D43ECA"/>
    <w:rsid w:val="43DD452F"/>
    <w:rsid w:val="43DE6CD4"/>
    <w:rsid w:val="43E51150"/>
    <w:rsid w:val="43EF28BB"/>
    <w:rsid w:val="43EF56D3"/>
    <w:rsid w:val="43F47D80"/>
    <w:rsid w:val="44095C00"/>
    <w:rsid w:val="440A6FD2"/>
    <w:rsid w:val="442A1797"/>
    <w:rsid w:val="44366C11"/>
    <w:rsid w:val="444946CA"/>
    <w:rsid w:val="444B3F54"/>
    <w:rsid w:val="4476661F"/>
    <w:rsid w:val="447E3AC5"/>
    <w:rsid w:val="44805ED4"/>
    <w:rsid w:val="448E5DEE"/>
    <w:rsid w:val="449E4142"/>
    <w:rsid w:val="44A90BAA"/>
    <w:rsid w:val="44B24A20"/>
    <w:rsid w:val="44BC0BEE"/>
    <w:rsid w:val="44BF6C07"/>
    <w:rsid w:val="44C55A88"/>
    <w:rsid w:val="44FB1C9C"/>
    <w:rsid w:val="45392A13"/>
    <w:rsid w:val="453E3FCF"/>
    <w:rsid w:val="454F1836"/>
    <w:rsid w:val="45887B45"/>
    <w:rsid w:val="458B66DF"/>
    <w:rsid w:val="45940F0E"/>
    <w:rsid w:val="45AC5DBA"/>
    <w:rsid w:val="45C647AF"/>
    <w:rsid w:val="45DD529D"/>
    <w:rsid w:val="45E57886"/>
    <w:rsid w:val="45E945CC"/>
    <w:rsid w:val="46003076"/>
    <w:rsid w:val="46026F63"/>
    <w:rsid w:val="46177E29"/>
    <w:rsid w:val="46205B7F"/>
    <w:rsid w:val="462A6010"/>
    <w:rsid w:val="465D501C"/>
    <w:rsid w:val="466367DB"/>
    <w:rsid w:val="46686D18"/>
    <w:rsid w:val="466D15DA"/>
    <w:rsid w:val="46BF7E28"/>
    <w:rsid w:val="46C3037C"/>
    <w:rsid w:val="46FF15E0"/>
    <w:rsid w:val="4700581C"/>
    <w:rsid w:val="4702516A"/>
    <w:rsid w:val="4724600B"/>
    <w:rsid w:val="474A4B33"/>
    <w:rsid w:val="47665A15"/>
    <w:rsid w:val="47677941"/>
    <w:rsid w:val="477F1660"/>
    <w:rsid w:val="4788232A"/>
    <w:rsid w:val="478B0398"/>
    <w:rsid w:val="478F5D0B"/>
    <w:rsid w:val="479D5A47"/>
    <w:rsid w:val="47A31F5F"/>
    <w:rsid w:val="47A84BA6"/>
    <w:rsid w:val="47B52444"/>
    <w:rsid w:val="47B8724E"/>
    <w:rsid w:val="47ED7BCA"/>
    <w:rsid w:val="48016F34"/>
    <w:rsid w:val="480556DB"/>
    <w:rsid w:val="48185C56"/>
    <w:rsid w:val="48450F81"/>
    <w:rsid w:val="48455675"/>
    <w:rsid w:val="484E729D"/>
    <w:rsid w:val="48566773"/>
    <w:rsid w:val="485A23C2"/>
    <w:rsid w:val="48895289"/>
    <w:rsid w:val="48A16B62"/>
    <w:rsid w:val="48BC6222"/>
    <w:rsid w:val="48C245E9"/>
    <w:rsid w:val="48DB312A"/>
    <w:rsid w:val="48DF49D9"/>
    <w:rsid w:val="492108CC"/>
    <w:rsid w:val="49413F52"/>
    <w:rsid w:val="494F6304"/>
    <w:rsid w:val="4A05334F"/>
    <w:rsid w:val="4A244932"/>
    <w:rsid w:val="4A2922C8"/>
    <w:rsid w:val="4A4117B2"/>
    <w:rsid w:val="4A4A6F73"/>
    <w:rsid w:val="4A7A4350"/>
    <w:rsid w:val="4A7B1703"/>
    <w:rsid w:val="4A7E2497"/>
    <w:rsid w:val="4A896826"/>
    <w:rsid w:val="4ABF5E17"/>
    <w:rsid w:val="4ACB00B3"/>
    <w:rsid w:val="4ACF7478"/>
    <w:rsid w:val="4AD52CE0"/>
    <w:rsid w:val="4AE01A66"/>
    <w:rsid w:val="4AE104D6"/>
    <w:rsid w:val="4AE724D1"/>
    <w:rsid w:val="4AE77140"/>
    <w:rsid w:val="4AEA4061"/>
    <w:rsid w:val="4AEB3612"/>
    <w:rsid w:val="4AED707B"/>
    <w:rsid w:val="4AFA2F07"/>
    <w:rsid w:val="4B015D61"/>
    <w:rsid w:val="4B0B7979"/>
    <w:rsid w:val="4B1530DD"/>
    <w:rsid w:val="4B520DF4"/>
    <w:rsid w:val="4B603107"/>
    <w:rsid w:val="4B7A5635"/>
    <w:rsid w:val="4B8E10E1"/>
    <w:rsid w:val="4B9802B0"/>
    <w:rsid w:val="4B9E65BE"/>
    <w:rsid w:val="4B9F33A8"/>
    <w:rsid w:val="4BA80AFD"/>
    <w:rsid w:val="4BB033BA"/>
    <w:rsid w:val="4BB469AD"/>
    <w:rsid w:val="4BC06040"/>
    <w:rsid w:val="4BCF5981"/>
    <w:rsid w:val="4BDD5354"/>
    <w:rsid w:val="4BF441D2"/>
    <w:rsid w:val="4C1C2A09"/>
    <w:rsid w:val="4C284AD9"/>
    <w:rsid w:val="4C423098"/>
    <w:rsid w:val="4C694192"/>
    <w:rsid w:val="4C7964D9"/>
    <w:rsid w:val="4C9269F6"/>
    <w:rsid w:val="4CB75F07"/>
    <w:rsid w:val="4CC84335"/>
    <w:rsid w:val="4CE9350A"/>
    <w:rsid w:val="4D014937"/>
    <w:rsid w:val="4D225F85"/>
    <w:rsid w:val="4D297BF3"/>
    <w:rsid w:val="4D2D0EAF"/>
    <w:rsid w:val="4D795A49"/>
    <w:rsid w:val="4D7F0082"/>
    <w:rsid w:val="4D952FD9"/>
    <w:rsid w:val="4D970662"/>
    <w:rsid w:val="4D9A1FBF"/>
    <w:rsid w:val="4DB33393"/>
    <w:rsid w:val="4DBC3CE3"/>
    <w:rsid w:val="4DCB51C5"/>
    <w:rsid w:val="4DCF1E0D"/>
    <w:rsid w:val="4DD632D9"/>
    <w:rsid w:val="4DE05D9E"/>
    <w:rsid w:val="4DE05DF9"/>
    <w:rsid w:val="4DE44800"/>
    <w:rsid w:val="4DEE0709"/>
    <w:rsid w:val="4DF26A56"/>
    <w:rsid w:val="4DFC14EA"/>
    <w:rsid w:val="4DFF6815"/>
    <w:rsid w:val="4E0A3427"/>
    <w:rsid w:val="4E2423AC"/>
    <w:rsid w:val="4E287F63"/>
    <w:rsid w:val="4E304B5D"/>
    <w:rsid w:val="4E611B8B"/>
    <w:rsid w:val="4E6279D7"/>
    <w:rsid w:val="4E682F8C"/>
    <w:rsid w:val="4E6A7BB7"/>
    <w:rsid w:val="4E9133C2"/>
    <w:rsid w:val="4EB23220"/>
    <w:rsid w:val="4F0773B4"/>
    <w:rsid w:val="4F241019"/>
    <w:rsid w:val="4F307BB1"/>
    <w:rsid w:val="4F336227"/>
    <w:rsid w:val="4F3C3EF2"/>
    <w:rsid w:val="4F3D562D"/>
    <w:rsid w:val="4F5C4EE0"/>
    <w:rsid w:val="4F6E1972"/>
    <w:rsid w:val="4F943166"/>
    <w:rsid w:val="4F9C19A5"/>
    <w:rsid w:val="4FBA02A1"/>
    <w:rsid w:val="4FE7106E"/>
    <w:rsid w:val="4FF82FCD"/>
    <w:rsid w:val="50053943"/>
    <w:rsid w:val="50260569"/>
    <w:rsid w:val="50374A3C"/>
    <w:rsid w:val="50550E55"/>
    <w:rsid w:val="50901457"/>
    <w:rsid w:val="509F43E4"/>
    <w:rsid w:val="50A54D3E"/>
    <w:rsid w:val="50B82E88"/>
    <w:rsid w:val="50BB32A7"/>
    <w:rsid w:val="50CC5CB2"/>
    <w:rsid w:val="50F1402B"/>
    <w:rsid w:val="50FD2AD9"/>
    <w:rsid w:val="51081E85"/>
    <w:rsid w:val="51097D9A"/>
    <w:rsid w:val="51237D2E"/>
    <w:rsid w:val="515B06D0"/>
    <w:rsid w:val="51764AF1"/>
    <w:rsid w:val="51996737"/>
    <w:rsid w:val="51B408B8"/>
    <w:rsid w:val="51B80848"/>
    <w:rsid w:val="51CC0868"/>
    <w:rsid w:val="51D5340F"/>
    <w:rsid w:val="52382F2A"/>
    <w:rsid w:val="52386E3D"/>
    <w:rsid w:val="523A7DD1"/>
    <w:rsid w:val="523B7711"/>
    <w:rsid w:val="5271774C"/>
    <w:rsid w:val="528D7B65"/>
    <w:rsid w:val="52DE008D"/>
    <w:rsid w:val="52EE341E"/>
    <w:rsid w:val="52F37FE6"/>
    <w:rsid w:val="52FC1CAF"/>
    <w:rsid w:val="52FE08FA"/>
    <w:rsid w:val="52FF22FE"/>
    <w:rsid w:val="530B071F"/>
    <w:rsid w:val="531A330F"/>
    <w:rsid w:val="532B6CAF"/>
    <w:rsid w:val="53350D91"/>
    <w:rsid w:val="53412644"/>
    <w:rsid w:val="53433903"/>
    <w:rsid w:val="53517A72"/>
    <w:rsid w:val="5361549D"/>
    <w:rsid w:val="536220DA"/>
    <w:rsid w:val="53650637"/>
    <w:rsid w:val="537155BE"/>
    <w:rsid w:val="53757C6B"/>
    <w:rsid w:val="537E1075"/>
    <w:rsid w:val="539A4AC7"/>
    <w:rsid w:val="53A44D07"/>
    <w:rsid w:val="53A46AC8"/>
    <w:rsid w:val="53AB7F1F"/>
    <w:rsid w:val="53AC6F7B"/>
    <w:rsid w:val="53EB297B"/>
    <w:rsid w:val="53EC4BF7"/>
    <w:rsid w:val="53F758A1"/>
    <w:rsid w:val="540D5A7F"/>
    <w:rsid w:val="542E2BC2"/>
    <w:rsid w:val="54352A96"/>
    <w:rsid w:val="54447390"/>
    <w:rsid w:val="544B514D"/>
    <w:rsid w:val="545E1D01"/>
    <w:rsid w:val="54674051"/>
    <w:rsid w:val="54935B8F"/>
    <w:rsid w:val="54CC6227"/>
    <w:rsid w:val="54D10F9B"/>
    <w:rsid w:val="54D97871"/>
    <w:rsid w:val="550B5550"/>
    <w:rsid w:val="551D586C"/>
    <w:rsid w:val="55200298"/>
    <w:rsid w:val="55335E1B"/>
    <w:rsid w:val="554B7EF0"/>
    <w:rsid w:val="556F3D99"/>
    <w:rsid w:val="55720837"/>
    <w:rsid w:val="55860894"/>
    <w:rsid w:val="558F6181"/>
    <w:rsid w:val="55B02DF1"/>
    <w:rsid w:val="55D5456D"/>
    <w:rsid w:val="55DC290C"/>
    <w:rsid w:val="55E71B19"/>
    <w:rsid w:val="55EA5D64"/>
    <w:rsid w:val="55F01FA1"/>
    <w:rsid w:val="55FC19B9"/>
    <w:rsid w:val="56130B60"/>
    <w:rsid w:val="56234F28"/>
    <w:rsid w:val="56567E0C"/>
    <w:rsid w:val="56990B7C"/>
    <w:rsid w:val="569E1126"/>
    <w:rsid w:val="56A8690E"/>
    <w:rsid w:val="56B679AB"/>
    <w:rsid w:val="56B80DEB"/>
    <w:rsid w:val="56E0560F"/>
    <w:rsid w:val="56E06E61"/>
    <w:rsid w:val="56EF3C74"/>
    <w:rsid w:val="56F653FE"/>
    <w:rsid w:val="574448FC"/>
    <w:rsid w:val="57561D39"/>
    <w:rsid w:val="575B7AFD"/>
    <w:rsid w:val="57660D3F"/>
    <w:rsid w:val="5785783C"/>
    <w:rsid w:val="57874C11"/>
    <w:rsid w:val="57CC4BC2"/>
    <w:rsid w:val="57D10760"/>
    <w:rsid w:val="57D1153D"/>
    <w:rsid w:val="57D77297"/>
    <w:rsid w:val="57FA3774"/>
    <w:rsid w:val="58084A3C"/>
    <w:rsid w:val="582772A7"/>
    <w:rsid w:val="58531B77"/>
    <w:rsid w:val="585D2975"/>
    <w:rsid w:val="585E3492"/>
    <w:rsid w:val="585F64F9"/>
    <w:rsid w:val="587E3341"/>
    <w:rsid w:val="587F428B"/>
    <w:rsid w:val="58843A9C"/>
    <w:rsid w:val="58B31855"/>
    <w:rsid w:val="58CF56D8"/>
    <w:rsid w:val="58D31010"/>
    <w:rsid w:val="58D6741E"/>
    <w:rsid w:val="58DB0535"/>
    <w:rsid w:val="58E62E0E"/>
    <w:rsid w:val="58EA3D0E"/>
    <w:rsid w:val="58F24A5D"/>
    <w:rsid w:val="58F71269"/>
    <w:rsid w:val="58FE045E"/>
    <w:rsid w:val="59014CEF"/>
    <w:rsid w:val="59561946"/>
    <w:rsid w:val="59670F51"/>
    <w:rsid w:val="596A44F9"/>
    <w:rsid w:val="596C19BB"/>
    <w:rsid w:val="59790BDB"/>
    <w:rsid w:val="597E3F42"/>
    <w:rsid w:val="598653AC"/>
    <w:rsid w:val="59AC3C86"/>
    <w:rsid w:val="59B817D3"/>
    <w:rsid w:val="59C11856"/>
    <w:rsid w:val="59C153AB"/>
    <w:rsid w:val="59D42FDA"/>
    <w:rsid w:val="59DA4E01"/>
    <w:rsid w:val="59F64E82"/>
    <w:rsid w:val="5A0A5DD6"/>
    <w:rsid w:val="5A10435C"/>
    <w:rsid w:val="5A2654CC"/>
    <w:rsid w:val="5A323A44"/>
    <w:rsid w:val="5A395E66"/>
    <w:rsid w:val="5A476FBE"/>
    <w:rsid w:val="5A484352"/>
    <w:rsid w:val="5A5321A5"/>
    <w:rsid w:val="5A783688"/>
    <w:rsid w:val="5A8734AF"/>
    <w:rsid w:val="5A9D3E45"/>
    <w:rsid w:val="5AA4101D"/>
    <w:rsid w:val="5AB17576"/>
    <w:rsid w:val="5ABD68E6"/>
    <w:rsid w:val="5ABF73D2"/>
    <w:rsid w:val="5ACB3D8A"/>
    <w:rsid w:val="5AE1508F"/>
    <w:rsid w:val="5AF80256"/>
    <w:rsid w:val="5B110CC9"/>
    <w:rsid w:val="5B1F7B5D"/>
    <w:rsid w:val="5B585171"/>
    <w:rsid w:val="5B585B78"/>
    <w:rsid w:val="5B6D62B9"/>
    <w:rsid w:val="5B746CFA"/>
    <w:rsid w:val="5B9A2B59"/>
    <w:rsid w:val="5BC0085A"/>
    <w:rsid w:val="5BE03293"/>
    <w:rsid w:val="5BF03D58"/>
    <w:rsid w:val="5BF20AFB"/>
    <w:rsid w:val="5C1A6BB2"/>
    <w:rsid w:val="5C306D31"/>
    <w:rsid w:val="5C37233A"/>
    <w:rsid w:val="5C5355FE"/>
    <w:rsid w:val="5C5A49A5"/>
    <w:rsid w:val="5C6715FE"/>
    <w:rsid w:val="5C6F4105"/>
    <w:rsid w:val="5CBB7F6F"/>
    <w:rsid w:val="5CC248CE"/>
    <w:rsid w:val="5D042FB1"/>
    <w:rsid w:val="5D442CB4"/>
    <w:rsid w:val="5D7C3F11"/>
    <w:rsid w:val="5D971C5A"/>
    <w:rsid w:val="5D9D49E0"/>
    <w:rsid w:val="5DC310BE"/>
    <w:rsid w:val="5DDF1821"/>
    <w:rsid w:val="5DE2656A"/>
    <w:rsid w:val="5DEA2F91"/>
    <w:rsid w:val="5DF94AE0"/>
    <w:rsid w:val="5DFA5883"/>
    <w:rsid w:val="5E224037"/>
    <w:rsid w:val="5E3146A3"/>
    <w:rsid w:val="5E442F62"/>
    <w:rsid w:val="5E6C2C5B"/>
    <w:rsid w:val="5E6E2DD8"/>
    <w:rsid w:val="5E7251A2"/>
    <w:rsid w:val="5E7C3591"/>
    <w:rsid w:val="5E9D0E18"/>
    <w:rsid w:val="5EA26F25"/>
    <w:rsid w:val="5EA341D7"/>
    <w:rsid w:val="5EA755DE"/>
    <w:rsid w:val="5EAE7678"/>
    <w:rsid w:val="5ED35F0E"/>
    <w:rsid w:val="5EDF7832"/>
    <w:rsid w:val="5EFC1390"/>
    <w:rsid w:val="5EFC3EB6"/>
    <w:rsid w:val="5F03335D"/>
    <w:rsid w:val="5F0368C7"/>
    <w:rsid w:val="5F1544E7"/>
    <w:rsid w:val="5F197EE8"/>
    <w:rsid w:val="5F312D8D"/>
    <w:rsid w:val="5F3C4923"/>
    <w:rsid w:val="5F4160B0"/>
    <w:rsid w:val="5F5A7800"/>
    <w:rsid w:val="5F6368E9"/>
    <w:rsid w:val="5F7811D3"/>
    <w:rsid w:val="5F9A65E6"/>
    <w:rsid w:val="5F9B2627"/>
    <w:rsid w:val="5FAC7B1F"/>
    <w:rsid w:val="5FB80E3D"/>
    <w:rsid w:val="5FB831B4"/>
    <w:rsid w:val="5FD40999"/>
    <w:rsid w:val="5FE5522B"/>
    <w:rsid w:val="5FF03F08"/>
    <w:rsid w:val="5FF2548E"/>
    <w:rsid w:val="5FF313D3"/>
    <w:rsid w:val="602610FD"/>
    <w:rsid w:val="602808B2"/>
    <w:rsid w:val="602C2F4B"/>
    <w:rsid w:val="60307A2A"/>
    <w:rsid w:val="603814FF"/>
    <w:rsid w:val="604109A8"/>
    <w:rsid w:val="605D2617"/>
    <w:rsid w:val="60616CDC"/>
    <w:rsid w:val="60624E53"/>
    <w:rsid w:val="606319E5"/>
    <w:rsid w:val="607A77D8"/>
    <w:rsid w:val="607B3C50"/>
    <w:rsid w:val="608B6567"/>
    <w:rsid w:val="60902A4E"/>
    <w:rsid w:val="60AA3E6F"/>
    <w:rsid w:val="60FF21D9"/>
    <w:rsid w:val="610C0686"/>
    <w:rsid w:val="611E37D0"/>
    <w:rsid w:val="613021B3"/>
    <w:rsid w:val="61306A6A"/>
    <w:rsid w:val="613253FD"/>
    <w:rsid w:val="61421F29"/>
    <w:rsid w:val="61712185"/>
    <w:rsid w:val="618B7207"/>
    <w:rsid w:val="61907E69"/>
    <w:rsid w:val="61A90D68"/>
    <w:rsid w:val="61B43A15"/>
    <w:rsid w:val="62065A1D"/>
    <w:rsid w:val="6213792C"/>
    <w:rsid w:val="621775E2"/>
    <w:rsid w:val="621C0D9D"/>
    <w:rsid w:val="622F7552"/>
    <w:rsid w:val="6250406E"/>
    <w:rsid w:val="627D6831"/>
    <w:rsid w:val="62811B1C"/>
    <w:rsid w:val="62A20409"/>
    <w:rsid w:val="62B54B44"/>
    <w:rsid w:val="62E045DA"/>
    <w:rsid w:val="62E454A1"/>
    <w:rsid w:val="62E95123"/>
    <w:rsid w:val="62F36E4C"/>
    <w:rsid w:val="62F47F8F"/>
    <w:rsid w:val="62F7233F"/>
    <w:rsid w:val="631F3FB4"/>
    <w:rsid w:val="63364F75"/>
    <w:rsid w:val="6340438B"/>
    <w:rsid w:val="6353238E"/>
    <w:rsid w:val="63612AB8"/>
    <w:rsid w:val="6379289B"/>
    <w:rsid w:val="637D0978"/>
    <w:rsid w:val="638906B4"/>
    <w:rsid w:val="638968B0"/>
    <w:rsid w:val="638A282C"/>
    <w:rsid w:val="63A75341"/>
    <w:rsid w:val="63A85E90"/>
    <w:rsid w:val="63A962DB"/>
    <w:rsid w:val="63AB1A91"/>
    <w:rsid w:val="63B75221"/>
    <w:rsid w:val="63B82D47"/>
    <w:rsid w:val="63C74D38"/>
    <w:rsid w:val="63EE4692"/>
    <w:rsid w:val="63FD622D"/>
    <w:rsid w:val="64177A6E"/>
    <w:rsid w:val="643F32F9"/>
    <w:rsid w:val="64582686"/>
    <w:rsid w:val="64673C87"/>
    <w:rsid w:val="64877733"/>
    <w:rsid w:val="64A170D2"/>
    <w:rsid w:val="64A251DD"/>
    <w:rsid w:val="64BC182A"/>
    <w:rsid w:val="64E17C4F"/>
    <w:rsid w:val="650242F0"/>
    <w:rsid w:val="65365B2B"/>
    <w:rsid w:val="653F447E"/>
    <w:rsid w:val="65542778"/>
    <w:rsid w:val="655829AF"/>
    <w:rsid w:val="656B70C3"/>
    <w:rsid w:val="658F4798"/>
    <w:rsid w:val="659B1EBA"/>
    <w:rsid w:val="65A11CE5"/>
    <w:rsid w:val="65A83379"/>
    <w:rsid w:val="65B461E9"/>
    <w:rsid w:val="65BE39A8"/>
    <w:rsid w:val="65FB3FBE"/>
    <w:rsid w:val="66247D11"/>
    <w:rsid w:val="663B3EC9"/>
    <w:rsid w:val="66736112"/>
    <w:rsid w:val="667F5B5B"/>
    <w:rsid w:val="6694262A"/>
    <w:rsid w:val="66990381"/>
    <w:rsid w:val="66B31B01"/>
    <w:rsid w:val="66CE1E80"/>
    <w:rsid w:val="66E362F9"/>
    <w:rsid w:val="66E47FD9"/>
    <w:rsid w:val="66F127F8"/>
    <w:rsid w:val="67071922"/>
    <w:rsid w:val="673B73C0"/>
    <w:rsid w:val="674743C8"/>
    <w:rsid w:val="675608B6"/>
    <w:rsid w:val="67754402"/>
    <w:rsid w:val="677D54ED"/>
    <w:rsid w:val="678B726C"/>
    <w:rsid w:val="67B25E27"/>
    <w:rsid w:val="67B4646D"/>
    <w:rsid w:val="67B464CA"/>
    <w:rsid w:val="67C4383B"/>
    <w:rsid w:val="67D35E1A"/>
    <w:rsid w:val="67D839B8"/>
    <w:rsid w:val="67F35317"/>
    <w:rsid w:val="680201B7"/>
    <w:rsid w:val="68362BFB"/>
    <w:rsid w:val="683D085A"/>
    <w:rsid w:val="683F1130"/>
    <w:rsid w:val="684456A1"/>
    <w:rsid w:val="685E1363"/>
    <w:rsid w:val="687731D1"/>
    <w:rsid w:val="6878475E"/>
    <w:rsid w:val="688E1089"/>
    <w:rsid w:val="68993219"/>
    <w:rsid w:val="68A026F3"/>
    <w:rsid w:val="68AF6C13"/>
    <w:rsid w:val="68F25680"/>
    <w:rsid w:val="69074555"/>
    <w:rsid w:val="690E07C7"/>
    <w:rsid w:val="69236A65"/>
    <w:rsid w:val="692E469B"/>
    <w:rsid w:val="69315C48"/>
    <w:rsid w:val="694019EC"/>
    <w:rsid w:val="694841AF"/>
    <w:rsid w:val="69584DB4"/>
    <w:rsid w:val="696C3D80"/>
    <w:rsid w:val="698A5EE4"/>
    <w:rsid w:val="69C811ED"/>
    <w:rsid w:val="69D33070"/>
    <w:rsid w:val="69E97E75"/>
    <w:rsid w:val="69FB5D9E"/>
    <w:rsid w:val="69FF6FDA"/>
    <w:rsid w:val="6A1A3007"/>
    <w:rsid w:val="6A1E645E"/>
    <w:rsid w:val="6A417049"/>
    <w:rsid w:val="6A7903E5"/>
    <w:rsid w:val="6A8219B9"/>
    <w:rsid w:val="6A8641F2"/>
    <w:rsid w:val="6A9701A5"/>
    <w:rsid w:val="6AA03032"/>
    <w:rsid w:val="6AA86FEC"/>
    <w:rsid w:val="6ACB20F7"/>
    <w:rsid w:val="6ADA6AC4"/>
    <w:rsid w:val="6ADB11D6"/>
    <w:rsid w:val="6B1A2C3C"/>
    <w:rsid w:val="6B221F4E"/>
    <w:rsid w:val="6B31644D"/>
    <w:rsid w:val="6B486C86"/>
    <w:rsid w:val="6B554C72"/>
    <w:rsid w:val="6B774DF2"/>
    <w:rsid w:val="6B847AD7"/>
    <w:rsid w:val="6B961F07"/>
    <w:rsid w:val="6B9A2DF9"/>
    <w:rsid w:val="6BA56BC7"/>
    <w:rsid w:val="6BAA566B"/>
    <w:rsid w:val="6BAC4619"/>
    <w:rsid w:val="6BB118FD"/>
    <w:rsid w:val="6BC60150"/>
    <w:rsid w:val="6BCD2823"/>
    <w:rsid w:val="6BDD15DD"/>
    <w:rsid w:val="6BDF2966"/>
    <w:rsid w:val="6BE86A5F"/>
    <w:rsid w:val="6C0D357A"/>
    <w:rsid w:val="6C234DED"/>
    <w:rsid w:val="6C29198B"/>
    <w:rsid w:val="6C3A67D1"/>
    <w:rsid w:val="6C3D2D5C"/>
    <w:rsid w:val="6C4800AA"/>
    <w:rsid w:val="6C4D28F8"/>
    <w:rsid w:val="6C573E9C"/>
    <w:rsid w:val="6C5C23DC"/>
    <w:rsid w:val="6C6D1126"/>
    <w:rsid w:val="6C986334"/>
    <w:rsid w:val="6CA35B3A"/>
    <w:rsid w:val="6CA41A5D"/>
    <w:rsid w:val="6CA479DF"/>
    <w:rsid w:val="6CAF588C"/>
    <w:rsid w:val="6CB4638E"/>
    <w:rsid w:val="6CBF3C6A"/>
    <w:rsid w:val="6CBF5306"/>
    <w:rsid w:val="6CD930DF"/>
    <w:rsid w:val="6CDC1854"/>
    <w:rsid w:val="6CE70FA1"/>
    <w:rsid w:val="6CF05300"/>
    <w:rsid w:val="6CFA6351"/>
    <w:rsid w:val="6CFC3C40"/>
    <w:rsid w:val="6D2F6F7D"/>
    <w:rsid w:val="6D480984"/>
    <w:rsid w:val="6D8079F9"/>
    <w:rsid w:val="6DB13E57"/>
    <w:rsid w:val="6DC245A2"/>
    <w:rsid w:val="6DC71662"/>
    <w:rsid w:val="6DCD5126"/>
    <w:rsid w:val="6DDB6CB0"/>
    <w:rsid w:val="6DE21877"/>
    <w:rsid w:val="6DE52ACD"/>
    <w:rsid w:val="6DFC0B44"/>
    <w:rsid w:val="6E0458E7"/>
    <w:rsid w:val="6E212037"/>
    <w:rsid w:val="6E3B221B"/>
    <w:rsid w:val="6E475779"/>
    <w:rsid w:val="6E51424D"/>
    <w:rsid w:val="6E663C68"/>
    <w:rsid w:val="6E7764EF"/>
    <w:rsid w:val="6EAD447C"/>
    <w:rsid w:val="6EAE5472"/>
    <w:rsid w:val="6EBC069A"/>
    <w:rsid w:val="6ECD7F59"/>
    <w:rsid w:val="6ECF449B"/>
    <w:rsid w:val="6EED7C80"/>
    <w:rsid w:val="6EF773A4"/>
    <w:rsid w:val="6F1E2E65"/>
    <w:rsid w:val="6F2F2D9E"/>
    <w:rsid w:val="6F4147D9"/>
    <w:rsid w:val="6F581F47"/>
    <w:rsid w:val="6F5B0D5A"/>
    <w:rsid w:val="6F5C35EA"/>
    <w:rsid w:val="6F6B6A15"/>
    <w:rsid w:val="6F947E4B"/>
    <w:rsid w:val="6FA30BDA"/>
    <w:rsid w:val="6FB21D4C"/>
    <w:rsid w:val="6FB80698"/>
    <w:rsid w:val="6FFD5E0F"/>
    <w:rsid w:val="701021F4"/>
    <w:rsid w:val="701C29A6"/>
    <w:rsid w:val="7024611F"/>
    <w:rsid w:val="7038498C"/>
    <w:rsid w:val="70637B96"/>
    <w:rsid w:val="70797317"/>
    <w:rsid w:val="7099044B"/>
    <w:rsid w:val="709A06E1"/>
    <w:rsid w:val="709D518F"/>
    <w:rsid w:val="70C759D3"/>
    <w:rsid w:val="70CD7E32"/>
    <w:rsid w:val="70CF2B23"/>
    <w:rsid w:val="70D70CB1"/>
    <w:rsid w:val="710952C1"/>
    <w:rsid w:val="713954C7"/>
    <w:rsid w:val="713F70AB"/>
    <w:rsid w:val="71452CD8"/>
    <w:rsid w:val="71583F2D"/>
    <w:rsid w:val="7158683A"/>
    <w:rsid w:val="715B2F52"/>
    <w:rsid w:val="7167680B"/>
    <w:rsid w:val="71764F23"/>
    <w:rsid w:val="71881188"/>
    <w:rsid w:val="71946576"/>
    <w:rsid w:val="71967E84"/>
    <w:rsid w:val="7197629F"/>
    <w:rsid w:val="71A61873"/>
    <w:rsid w:val="71AF4936"/>
    <w:rsid w:val="71B12351"/>
    <w:rsid w:val="71D07496"/>
    <w:rsid w:val="71D75D0F"/>
    <w:rsid w:val="71F437A4"/>
    <w:rsid w:val="721919B3"/>
    <w:rsid w:val="721A6098"/>
    <w:rsid w:val="721D18D3"/>
    <w:rsid w:val="72310D1A"/>
    <w:rsid w:val="725D6B54"/>
    <w:rsid w:val="72986FA0"/>
    <w:rsid w:val="72A17C99"/>
    <w:rsid w:val="72A5093A"/>
    <w:rsid w:val="72AD7197"/>
    <w:rsid w:val="72AF6F7E"/>
    <w:rsid w:val="72CD226C"/>
    <w:rsid w:val="73047904"/>
    <w:rsid w:val="73253EFA"/>
    <w:rsid w:val="734C1A6A"/>
    <w:rsid w:val="735663B7"/>
    <w:rsid w:val="735C5949"/>
    <w:rsid w:val="73671287"/>
    <w:rsid w:val="736B3229"/>
    <w:rsid w:val="73737DA5"/>
    <w:rsid w:val="73740A39"/>
    <w:rsid w:val="73783823"/>
    <w:rsid w:val="73887B3E"/>
    <w:rsid w:val="73892412"/>
    <w:rsid w:val="73AF2114"/>
    <w:rsid w:val="73E96BCA"/>
    <w:rsid w:val="73EE4A6E"/>
    <w:rsid w:val="741048BC"/>
    <w:rsid w:val="742E78D4"/>
    <w:rsid w:val="74317498"/>
    <w:rsid w:val="74335A84"/>
    <w:rsid w:val="743A6A13"/>
    <w:rsid w:val="74676A28"/>
    <w:rsid w:val="747E40B6"/>
    <w:rsid w:val="74AC3224"/>
    <w:rsid w:val="74B21065"/>
    <w:rsid w:val="74BB2C83"/>
    <w:rsid w:val="74C33758"/>
    <w:rsid w:val="74D72451"/>
    <w:rsid w:val="74DE4E5F"/>
    <w:rsid w:val="74EB54AB"/>
    <w:rsid w:val="74F0689A"/>
    <w:rsid w:val="74FF6D43"/>
    <w:rsid w:val="750201A2"/>
    <w:rsid w:val="75137DDD"/>
    <w:rsid w:val="751A76AF"/>
    <w:rsid w:val="75241FEA"/>
    <w:rsid w:val="75250574"/>
    <w:rsid w:val="75415723"/>
    <w:rsid w:val="754459E0"/>
    <w:rsid w:val="7550443E"/>
    <w:rsid w:val="755F0BCC"/>
    <w:rsid w:val="7561323F"/>
    <w:rsid w:val="756F17F9"/>
    <w:rsid w:val="757E5B9F"/>
    <w:rsid w:val="75825461"/>
    <w:rsid w:val="75907680"/>
    <w:rsid w:val="75916599"/>
    <w:rsid w:val="759926FC"/>
    <w:rsid w:val="75A24276"/>
    <w:rsid w:val="75AA231D"/>
    <w:rsid w:val="75AD6340"/>
    <w:rsid w:val="75DF5F11"/>
    <w:rsid w:val="75E8633A"/>
    <w:rsid w:val="76393874"/>
    <w:rsid w:val="763F09AA"/>
    <w:rsid w:val="764F3FCC"/>
    <w:rsid w:val="7650339F"/>
    <w:rsid w:val="76603C9A"/>
    <w:rsid w:val="766B00E5"/>
    <w:rsid w:val="76832D41"/>
    <w:rsid w:val="768B2C28"/>
    <w:rsid w:val="76BB1CAB"/>
    <w:rsid w:val="76C04050"/>
    <w:rsid w:val="76D67314"/>
    <w:rsid w:val="76E00193"/>
    <w:rsid w:val="76E65049"/>
    <w:rsid w:val="77076007"/>
    <w:rsid w:val="77413F7E"/>
    <w:rsid w:val="77464076"/>
    <w:rsid w:val="7758241F"/>
    <w:rsid w:val="777A7D22"/>
    <w:rsid w:val="777E28EC"/>
    <w:rsid w:val="77835654"/>
    <w:rsid w:val="7797109C"/>
    <w:rsid w:val="779A2A38"/>
    <w:rsid w:val="77B4450A"/>
    <w:rsid w:val="77B46E73"/>
    <w:rsid w:val="77E37A12"/>
    <w:rsid w:val="77FE3468"/>
    <w:rsid w:val="78250553"/>
    <w:rsid w:val="783B17B1"/>
    <w:rsid w:val="784E2046"/>
    <w:rsid w:val="78546F0C"/>
    <w:rsid w:val="786778FE"/>
    <w:rsid w:val="789D588A"/>
    <w:rsid w:val="78B65E3A"/>
    <w:rsid w:val="78EE1C79"/>
    <w:rsid w:val="78F85605"/>
    <w:rsid w:val="78FA66FA"/>
    <w:rsid w:val="79424F6E"/>
    <w:rsid w:val="795F3706"/>
    <w:rsid w:val="797239CC"/>
    <w:rsid w:val="797F54AB"/>
    <w:rsid w:val="79831473"/>
    <w:rsid w:val="79983E9C"/>
    <w:rsid w:val="7999527A"/>
    <w:rsid w:val="79AF76C5"/>
    <w:rsid w:val="79C25EE1"/>
    <w:rsid w:val="79CE2967"/>
    <w:rsid w:val="79DA55B2"/>
    <w:rsid w:val="79E30EE8"/>
    <w:rsid w:val="79E34934"/>
    <w:rsid w:val="79EA664C"/>
    <w:rsid w:val="79F9627A"/>
    <w:rsid w:val="79FF6948"/>
    <w:rsid w:val="7A2F3BBF"/>
    <w:rsid w:val="7A2F459A"/>
    <w:rsid w:val="7A322A39"/>
    <w:rsid w:val="7A517022"/>
    <w:rsid w:val="7A6F5001"/>
    <w:rsid w:val="7A9635B3"/>
    <w:rsid w:val="7AA2343E"/>
    <w:rsid w:val="7AD60EB8"/>
    <w:rsid w:val="7ADA73A4"/>
    <w:rsid w:val="7AE66B99"/>
    <w:rsid w:val="7AF34646"/>
    <w:rsid w:val="7AFE508C"/>
    <w:rsid w:val="7B0A3BCA"/>
    <w:rsid w:val="7B1C0EF4"/>
    <w:rsid w:val="7B345AA9"/>
    <w:rsid w:val="7B4048C1"/>
    <w:rsid w:val="7B4C5DF7"/>
    <w:rsid w:val="7B73082F"/>
    <w:rsid w:val="7B7B492E"/>
    <w:rsid w:val="7B9A3D1D"/>
    <w:rsid w:val="7BB46FBD"/>
    <w:rsid w:val="7BC62E00"/>
    <w:rsid w:val="7BC73B55"/>
    <w:rsid w:val="7BE35E2A"/>
    <w:rsid w:val="7BF538C2"/>
    <w:rsid w:val="7BF66C24"/>
    <w:rsid w:val="7BFA1CC7"/>
    <w:rsid w:val="7BFB70B3"/>
    <w:rsid w:val="7C0251DA"/>
    <w:rsid w:val="7C0E41D1"/>
    <w:rsid w:val="7C1052F2"/>
    <w:rsid w:val="7C21292C"/>
    <w:rsid w:val="7C2668D9"/>
    <w:rsid w:val="7C32497F"/>
    <w:rsid w:val="7C3C69AE"/>
    <w:rsid w:val="7C691974"/>
    <w:rsid w:val="7C8A6570"/>
    <w:rsid w:val="7C8B7390"/>
    <w:rsid w:val="7C9B0D0E"/>
    <w:rsid w:val="7CA42B03"/>
    <w:rsid w:val="7CC55E61"/>
    <w:rsid w:val="7CCC5441"/>
    <w:rsid w:val="7CD2318A"/>
    <w:rsid w:val="7CD2702A"/>
    <w:rsid w:val="7CD34C42"/>
    <w:rsid w:val="7CD46B29"/>
    <w:rsid w:val="7CDE3FF9"/>
    <w:rsid w:val="7CE26EBF"/>
    <w:rsid w:val="7CEE3130"/>
    <w:rsid w:val="7CFC08E8"/>
    <w:rsid w:val="7D1F6674"/>
    <w:rsid w:val="7D475E29"/>
    <w:rsid w:val="7D480B34"/>
    <w:rsid w:val="7D777A3E"/>
    <w:rsid w:val="7D9005BC"/>
    <w:rsid w:val="7D9F0AD0"/>
    <w:rsid w:val="7DD12BB7"/>
    <w:rsid w:val="7DF223A2"/>
    <w:rsid w:val="7DFF0955"/>
    <w:rsid w:val="7E0B750E"/>
    <w:rsid w:val="7E1939E8"/>
    <w:rsid w:val="7E2400E7"/>
    <w:rsid w:val="7E2822EA"/>
    <w:rsid w:val="7E2A20CE"/>
    <w:rsid w:val="7E355A7B"/>
    <w:rsid w:val="7E455322"/>
    <w:rsid w:val="7E6E3E85"/>
    <w:rsid w:val="7E991353"/>
    <w:rsid w:val="7E9C184B"/>
    <w:rsid w:val="7EA72948"/>
    <w:rsid w:val="7EB31EDB"/>
    <w:rsid w:val="7ED61132"/>
    <w:rsid w:val="7EE70CC0"/>
    <w:rsid w:val="7EEB48DB"/>
    <w:rsid w:val="7EF27444"/>
    <w:rsid w:val="7F185A04"/>
    <w:rsid w:val="7F265C58"/>
    <w:rsid w:val="7F4C4618"/>
    <w:rsid w:val="7F4D13A6"/>
    <w:rsid w:val="7F582CF2"/>
    <w:rsid w:val="7F951B40"/>
    <w:rsid w:val="7FA501CC"/>
    <w:rsid w:val="7FA820A8"/>
    <w:rsid w:val="7FAF2DF8"/>
    <w:rsid w:val="7FB90D50"/>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4"/>
    <w:autoRedefine/>
    <w:qFormat/>
    <w:uiPriority w:val="0"/>
    <w:pPr>
      <w:keepNext/>
      <w:keepLines/>
      <w:spacing w:before="340" w:after="330" w:line="576" w:lineRule="auto"/>
      <w:outlineLvl w:val="0"/>
    </w:pPr>
    <w:rPr>
      <w:b/>
      <w:bCs/>
      <w:kern w:val="44"/>
      <w:sz w:val="44"/>
      <w:szCs w:val="44"/>
    </w:rPr>
  </w:style>
  <w:style w:type="paragraph" w:styleId="2">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7">
    <w:name w:val="heading 3"/>
    <w:basedOn w:val="1"/>
    <w:next w:val="1"/>
    <w:autoRedefine/>
    <w:qFormat/>
    <w:uiPriority w:val="0"/>
    <w:pPr>
      <w:keepNext/>
      <w:keepLines/>
      <w:spacing w:before="260" w:after="260" w:line="416" w:lineRule="auto"/>
      <w:outlineLvl w:val="2"/>
    </w:pPr>
    <w:rPr>
      <w:b/>
      <w:bCs/>
      <w:sz w:val="32"/>
      <w:szCs w:val="32"/>
    </w:rPr>
  </w:style>
  <w:style w:type="paragraph" w:styleId="8">
    <w:name w:val="heading 4"/>
    <w:basedOn w:val="1"/>
    <w:next w:val="1"/>
    <w:autoRedefine/>
    <w:qFormat/>
    <w:uiPriority w:val="0"/>
    <w:pPr>
      <w:keepNext/>
      <w:keepLines/>
      <w:spacing w:line="360" w:lineRule="auto"/>
      <w:outlineLvl w:val="3"/>
    </w:pPr>
    <w:rPr>
      <w:rFonts w:ascii="Arial" w:hAnsi="Arial"/>
      <w:b/>
      <w:bCs/>
      <w:szCs w:val="28"/>
    </w:rPr>
  </w:style>
  <w:style w:type="paragraph" w:styleId="9">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5">
    <w:name w:val="Default Paragraph Font"/>
    <w:autoRedefine/>
    <w:semiHidden/>
    <w:unhideWhenUsed/>
    <w:qFormat/>
    <w:uiPriority w:val="1"/>
  </w:style>
  <w:style w:type="table" w:default="1" w:styleId="33">
    <w:name w:val="Normal Table"/>
    <w:autoRedefine/>
    <w:semiHidden/>
    <w:unhideWhenUsed/>
    <w:qFormat/>
    <w:uiPriority w:val="99"/>
    <w:tblPr>
      <w:tblCellMar>
        <w:top w:w="0" w:type="dxa"/>
        <w:left w:w="108" w:type="dxa"/>
        <w:bottom w:w="0" w:type="dxa"/>
        <w:right w:w="108" w:type="dxa"/>
      </w:tblCellMar>
    </w:tblPr>
  </w:style>
  <w:style w:type="paragraph" w:styleId="4">
    <w:name w:val="Body Text"/>
    <w:basedOn w:val="1"/>
    <w:next w:val="5"/>
    <w:link w:val="74"/>
    <w:autoRedefine/>
    <w:qFormat/>
    <w:uiPriority w:val="0"/>
  </w:style>
  <w:style w:type="paragraph" w:customStyle="1" w:styleId="5">
    <w:name w:val="Default"/>
    <w:next w:val="6"/>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6">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List Number"/>
    <w:basedOn w:val="1"/>
    <w:autoRedefine/>
    <w:qFormat/>
    <w:uiPriority w:val="0"/>
    <w:pPr>
      <w:widowControl/>
      <w:spacing w:beforeAutospacing="1" w:afterAutospacing="1"/>
      <w:jc w:val="left"/>
    </w:pPr>
    <w:rPr>
      <w:rFonts w:ascii="宋体" w:hAnsi="宋体" w:cs="宋体"/>
      <w:kern w:val="0"/>
      <w:sz w:val="24"/>
    </w:rPr>
  </w:style>
  <w:style w:type="paragraph" w:styleId="11">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2">
    <w:name w:val="Document Map"/>
    <w:basedOn w:val="1"/>
    <w:link w:val="76"/>
    <w:autoRedefine/>
    <w:qFormat/>
    <w:uiPriority w:val="0"/>
    <w:rPr>
      <w:rFonts w:ascii="宋体" w:hAnsi="Calibri"/>
      <w:sz w:val="18"/>
      <w:szCs w:val="18"/>
    </w:rPr>
  </w:style>
  <w:style w:type="paragraph" w:styleId="13">
    <w:name w:val="annotation text"/>
    <w:basedOn w:val="1"/>
    <w:autoRedefine/>
    <w:qFormat/>
    <w:uiPriority w:val="0"/>
    <w:pPr>
      <w:jc w:val="left"/>
    </w:pPr>
  </w:style>
  <w:style w:type="paragraph" w:styleId="14">
    <w:name w:val="Body Text 3"/>
    <w:basedOn w:val="1"/>
    <w:autoRedefine/>
    <w:qFormat/>
    <w:uiPriority w:val="0"/>
    <w:rPr>
      <w:sz w:val="16"/>
      <w:szCs w:val="16"/>
    </w:rPr>
  </w:style>
  <w:style w:type="paragraph" w:styleId="15">
    <w:name w:val="Body Text Indent"/>
    <w:basedOn w:val="1"/>
    <w:next w:val="16"/>
    <w:autoRedefine/>
    <w:qFormat/>
    <w:uiPriority w:val="0"/>
    <w:pPr>
      <w:widowControl/>
      <w:spacing w:beforeAutospacing="1" w:afterAutospacing="1"/>
      <w:jc w:val="left"/>
    </w:pPr>
    <w:rPr>
      <w:rFonts w:ascii="宋体" w:hAnsi="宋体" w:cs="宋体"/>
      <w:kern w:val="0"/>
      <w:sz w:val="24"/>
    </w:rPr>
  </w:style>
  <w:style w:type="paragraph" w:styleId="16">
    <w:name w:val="Body Text First Indent 2"/>
    <w:basedOn w:val="15"/>
    <w:autoRedefine/>
    <w:qFormat/>
    <w:uiPriority w:val="0"/>
    <w:pPr>
      <w:ind w:firstLine="420" w:firstLineChars="200"/>
    </w:pPr>
  </w:style>
  <w:style w:type="paragraph" w:styleId="17">
    <w:name w:val="List 2"/>
    <w:basedOn w:val="1"/>
    <w:autoRedefine/>
    <w:qFormat/>
    <w:uiPriority w:val="0"/>
    <w:pPr>
      <w:ind w:left="100" w:leftChars="200" w:hanging="200" w:hangingChars="200"/>
    </w:pPr>
  </w:style>
  <w:style w:type="paragraph" w:styleId="18">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9">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20">
    <w:name w:val="Plain Text"/>
    <w:basedOn w:val="1"/>
    <w:autoRedefine/>
    <w:qFormat/>
    <w:uiPriority w:val="0"/>
    <w:pPr>
      <w:widowControl/>
      <w:spacing w:beforeAutospacing="1" w:afterAutospacing="1"/>
      <w:jc w:val="left"/>
    </w:pPr>
    <w:rPr>
      <w:rFonts w:ascii="宋体" w:hAnsi="宋体" w:cs="宋体"/>
      <w:kern w:val="0"/>
      <w:sz w:val="24"/>
    </w:rPr>
  </w:style>
  <w:style w:type="paragraph" w:styleId="21">
    <w:name w:val="Date"/>
    <w:basedOn w:val="1"/>
    <w:next w:val="1"/>
    <w:autoRedefine/>
    <w:qFormat/>
    <w:uiPriority w:val="0"/>
    <w:pPr>
      <w:ind w:left="100" w:leftChars="2500"/>
    </w:pPr>
    <w:rPr>
      <w:rFonts w:ascii="宋体" w:hAnsi="宋体"/>
      <w:sz w:val="28"/>
    </w:rPr>
  </w:style>
  <w:style w:type="paragraph" w:styleId="22">
    <w:name w:val="Body Text Indent 2"/>
    <w:basedOn w:val="1"/>
    <w:autoRedefine/>
    <w:qFormat/>
    <w:uiPriority w:val="0"/>
    <w:pPr>
      <w:spacing w:line="480" w:lineRule="auto"/>
      <w:ind w:left="420" w:leftChars="200"/>
    </w:pPr>
  </w:style>
  <w:style w:type="paragraph" w:styleId="23">
    <w:name w:val="footer"/>
    <w:basedOn w:val="1"/>
    <w:autoRedefine/>
    <w:qFormat/>
    <w:uiPriority w:val="0"/>
    <w:pPr>
      <w:tabs>
        <w:tab w:val="center" w:pos="4153"/>
        <w:tab w:val="right" w:pos="8306"/>
      </w:tabs>
      <w:snapToGrid w:val="0"/>
      <w:jc w:val="left"/>
    </w:pPr>
    <w:rPr>
      <w:sz w:val="18"/>
      <w:szCs w:val="18"/>
    </w:rPr>
  </w:style>
  <w:style w:type="paragraph" w:styleId="24">
    <w:name w:val="envelope return"/>
    <w:basedOn w:val="1"/>
    <w:autoRedefine/>
    <w:unhideWhenUsed/>
    <w:qFormat/>
    <w:uiPriority w:val="99"/>
    <w:pPr>
      <w:snapToGrid w:val="0"/>
    </w:pPr>
    <w:rPr>
      <w:rFonts w:ascii="Arial" w:hAnsi="Arial"/>
    </w:rPr>
  </w:style>
  <w:style w:type="paragraph" w:styleId="25">
    <w:name w:val="toc 1"/>
    <w:basedOn w:val="1"/>
    <w:next w:val="1"/>
    <w:autoRedefine/>
    <w:qFormat/>
    <w:uiPriority w:val="0"/>
  </w:style>
  <w:style w:type="paragraph" w:styleId="26">
    <w:name w:val="List"/>
    <w:basedOn w:val="1"/>
    <w:autoRedefine/>
    <w:qFormat/>
    <w:uiPriority w:val="0"/>
    <w:pPr>
      <w:ind w:left="200" w:hanging="200" w:hangingChars="200"/>
    </w:pPr>
  </w:style>
  <w:style w:type="paragraph" w:styleId="27">
    <w:name w:val="Body Text 2"/>
    <w:basedOn w:val="1"/>
    <w:next w:val="4"/>
    <w:autoRedefine/>
    <w:qFormat/>
    <w:uiPriority w:val="0"/>
    <w:pPr>
      <w:spacing w:line="480" w:lineRule="auto"/>
    </w:pPr>
  </w:style>
  <w:style w:type="paragraph" w:styleId="28">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9">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0">
    <w:name w:val="Normal (Web)"/>
    <w:basedOn w:val="1"/>
    <w:autoRedefine/>
    <w:qFormat/>
    <w:uiPriority w:val="99"/>
    <w:pPr>
      <w:spacing w:before="100" w:beforeAutospacing="1" w:after="100" w:afterAutospacing="1"/>
      <w:jc w:val="left"/>
    </w:pPr>
    <w:rPr>
      <w:kern w:val="0"/>
      <w:sz w:val="24"/>
    </w:rPr>
  </w:style>
  <w:style w:type="paragraph" w:styleId="31">
    <w:name w:val="Title"/>
    <w:basedOn w:val="1"/>
    <w:autoRedefine/>
    <w:qFormat/>
    <w:uiPriority w:val="0"/>
    <w:pPr>
      <w:jc w:val="center"/>
      <w:outlineLvl w:val="0"/>
    </w:pPr>
    <w:rPr>
      <w:rFonts w:ascii="Arial" w:hAnsi="Arial" w:cs="Arial"/>
      <w:b/>
      <w:bCs/>
      <w:sz w:val="32"/>
      <w:szCs w:val="32"/>
    </w:rPr>
  </w:style>
  <w:style w:type="paragraph" w:styleId="32">
    <w:name w:val="Body Text First Indent"/>
    <w:basedOn w:val="4"/>
    <w:next w:val="16"/>
    <w:autoRedefine/>
    <w:qFormat/>
    <w:uiPriority w:val="0"/>
    <w:pPr>
      <w:spacing w:line="360" w:lineRule="auto"/>
      <w:ind w:firstLine="420" w:firstLineChars="100"/>
    </w:pPr>
    <w:rPr>
      <w:szCs w:val="21"/>
    </w:rPr>
  </w:style>
  <w:style w:type="table" w:styleId="34">
    <w:name w:val="Table Grid"/>
    <w:basedOn w:val="33"/>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6">
    <w:name w:val="Strong"/>
    <w:autoRedefine/>
    <w:qFormat/>
    <w:uiPriority w:val="0"/>
    <w:rPr>
      <w:b/>
      <w:bCs/>
      <w:szCs w:val="24"/>
    </w:rPr>
  </w:style>
  <w:style w:type="character" w:styleId="37">
    <w:name w:val="page number"/>
    <w:basedOn w:val="35"/>
    <w:autoRedefine/>
    <w:qFormat/>
    <w:uiPriority w:val="0"/>
  </w:style>
  <w:style w:type="character" w:styleId="38">
    <w:name w:val="FollowedHyperlink"/>
    <w:autoRedefine/>
    <w:qFormat/>
    <w:uiPriority w:val="0"/>
    <w:rPr>
      <w:color w:val="333333"/>
      <w:szCs w:val="24"/>
      <w:u w:val="none"/>
    </w:rPr>
  </w:style>
  <w:style w:type="character" w:styleId="39">
    <w:name w:val="Emphasis"/>
    <w:basedOn w:val="35"/>
    <w:autoRedefine/>
    <w:qFormat/>
    <w:uiPriority w:val="0"/>
  </w:style>
  <w:style w:type="character" w:styleId="40">
    <w:name w:val="HTML Definition"/>
    <w:basedOn w:val="35"/>
    <w:autoRedefine/>
    <w:qFormat/>
    <w:uiPriority w:val="0"/>
  </w:style>
  <w:style w:type="character" w:styleId="41">
    <w:name w:val="HTML Typewriter"/>
    <w:basedOn w:val="35"/>
    <w:autoRedefine/>
    <w:qFormat/>
    <w:uiPriority w:val="0"/>
    <w:rPr>
      <w:rFonts w:hint="default" w:ascii="monospace" w:hAnsi="monospace" w:eastAsia="monospace" w:cs="monospace"/>
      <w:sz w:val="20"/>
    </w:rPr>
  </w:style>
  <w:style w:type="character" w:styleId="42">
    <w:name w:val="HTML Acronym"/>
    <w:basedOn w:val="35"/>
    <w:autoRedefine/>
    <w:qFormat/>
    <w:uiPriority w:val="0"/>
  </w:style>
  <w:style w:type="character" w:styleId="43">
    <w:name w:val="HTML Variable"/>
    <w:basedOn w:val="35"/>
    <w:autoRedefine/>
    <w:qFormat/>
    <w:uiPriority w:val="0"/>
  </w:style>
  <w:style w:type="character" w:styleId="44">
    <w:name w:val="Hyperlink"/>
    <w:basedOn w:val="35"/>
    <w:autoRedefine/>
    <w:qFormat/>
    <w:uiPriority w:val="0"/>
    <w:rPr>
      <w:color w:val="333333"/>
      <w:szCs w:val="24"/>
      <w:u w:val="none"/>
    </w:rPr>
  </w:style>
  <w:style w:type="character" w:styleId="45">
    <w:name w:val="HTML Code"/>
    <w:basedOn w:val="35"/>
    <w:autoRedefine/>
    <w:qFormat/>
    <w:uiPriority w:val="0"/>
    <w:rPr>
      <w:rFonts w:ascii="monospace" w:hAnsi="monospace" w:eastAsia="monospace" w:cs="monospace"/>
      <w:sz w:val="20"/>
    </w:rPr>
  </w:style>
  <w:style w:type="character" w:styleId="46">
    <w:name w:val="HTML Cite"/>
    <w:basedOn w:val="35"/>
    <w:autoRedefine/>
    <w:qFormat/>
    <w:uiPriority w:val="0"/>
  </w:style>
  <w:style w:type="character" w:styleId="47">
    <w:name w:val="HTML Keyboard"/>
    <w:basedOn w:val="35"/>
    <w:autoRedefine/>
    <w:qFormat/>
    <w:uiPriority w:val="0"/>
    <w:rPr>
      <w:rFonts w:hint="default" w:ascii="monospace" w:hAnsi="monospace" w:eastAsia="monospace" w:cs="monospace"/>
      <w:sz w:val="20"/>
    </w:rPr>
  </w:style>
  <w:style w:type="character" w:styleId="48">
    <w:name w:val="HTML Sample"/>
    <w:basedOn w:val="35"/>
    <w:autoRedefine/>
    <w:qFormat/>
    <w:uiPriority w:val="0"/>
    <w:rPr>
      <w:rFonts w:hint="default" w:ascii="monospace" w:hAnsi="monospace" w:eastAsia="monospace" w:cs="monospace"/>
    </w:rPr>
  </w:style>
  <w:style w:type="paragraph" w:customStyle="1" w:styleId="49">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0">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1">
    <w:name w:val="No Spacing1"/>
    <w:basedOn w:val="1"/>
    <w:autoRedefine/>
    <w:qFormat/>
    <w:uiPriority w:val="0"/>
    <w:pPr>
      <w:spacing w:line="400" w:lineRule="exact"/>
    </w:pPr>
    <w:rPr>
      <w:sz w:val="24"/>
    </w:rPr>
  </w:style>
  <w:style w:type="paragraph" w:customStyle="1" w:styleId="52">
    <w:name w:val="大标题"/>
    <w:basedOn w:val="1"/>
    <w:next w:val="16"/>
    <w:autoRedefine/>
    <w:qFormat/>
    <w:uiPriority w:val="0"/>
    <w:pPr>
      <w:jc w:val="center"/>
    </w:pPr>
    <w:rPr>
      <w:rFonts w:ascii="Arial" w:hAnsi="Arial"/>
      <w:b/>
      <w:sz w:val="28"/>
    </w:rPr>
  </w:style>
  <w:style w:type="paragraph" w:customStyle="1" w:styleId="53">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4">
    <w:name w:val="Char"/>
    <w:basedOn w:val="1"/>
    <w:autoRedefine/>
    <w:qFormat/>
    <w:uiPriority w:val="0"/>
  </w:style>
  <w:style w:type="paragraph" w:customStyle="1" w:styleId="55">
    <w:name w:val="正文缩进1"/>
    <w:basedOn w:val="1"/>
    <w:autoRedefine/>
    <w:qFormat/>
    <w:uiPriority w:val="0"/>
    <w:pPr>
      <w:widowControl/>
      <w:ind w:firstLine="420"/>
      <w:jc w:val="left"/>
    </w:pPr>
    <w:rPr>
      <w:kern w:val="0"/>
      <w:szCs w:val="20"/>
    </w:rPr>
  </w:style>
  <w:style w:type="paragraph" w:customStyle="1" w:styleId="56">
    <w:name w:val="列出段落2"/>
    <w:basedOn w:val="1"/>
    <w:autoRedefine/>
    <w:qFormat/>
    <w:uiPriority w:val="34"/>
    <w:pPr>
      <w:ind w:firstLine="420" w:firstLineChars="200"/>
    </w:pPr>
  </w:style>
  <w:style w:type="paragraph" w:customStyle="1" w:styleId="57">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8">
    <w:name w:val="1"/>
    <w:basedOn w:val="1"/>
    <w:autoRedefine/>
    <w:qFormat/>
    <w:uiPriority w:val="0"/>
    <w:pPr>
      <w:widowControl/>
      <w:spacing w:beforeAutospacing="1" w:afterAutospacing="1"/>
      <w:jc w:val="left"/>
    </w:pPr>
    <w:rPr>
      <w:rFonts w:ascii="宋体" w:hAnsi="宋体" w:cs="宋体"/>
      <w:kern w:val="0"/>
      <w:sz w:val="24"/>
    </w:rPr>
  </w:style>
  <w:style w:type="paragraph" w:styleId="59">
    <w:name w:val="No Spacing"/>
    <w:autoRedefine/>
    <w:qFormat/>
    <w:uiPriority w:val="1"/>
    <w:rPr>
      <w:rFonts w:ascii="Calibri" w:hAnsi="Calibri" w:eastAsia="宋体" w:cs="Times New Roman"/>
      <w:sz w:val="22"/>
      <w:szCs w:val="22"/>
      <w:lang w:val="en-US" w:eastAsia="zh-CN" w:bidi="ar-SA"/>
    </w:rPr>
  </w:style>
  <w:style w:type="paragraph" w:customStyle="1" w:styleId="60">
    <w:name w:val="_Style 2"/>
    <w:basedOn w:val="1"/>
    <w:autoRedefine/>
    <w:qFormat/>
    <w:uiPriority w:val="34"/>
    <w:pPr>
      <w:ind w:firstLine="420" w:firstLineChars="200"/>
    </w:pPr>
    <w:rPr>
      <w:rFonts w:ascii="Calibri" w:hAnsi="Calibri"/>
    </w:rPr>
  </w:style>
  <w:style w:type="paragraph" w:customStyle="1" w:styleId="61">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2">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3">
    <w:name w:val="Char1"/>
    <w:basedOn w:val="1"/>
    <w:autoRedefine/>
    <w:qFormat/>
    <w:uiPriority w:val="0"/>
  </w:style>
  <w:style w:type="paragraph" w:customStyle="1" w:styleId="64">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5">
    <w:name w:val="Table Paragraph"/>
    <w:basedOn w:val="1"/>
    <w:autoRedefine/>
    <w:qFormat/>
    <w:uiPriority w:val="1"/>
    <w:pPr>
      <w:jc w:val="left"/>
    </w:pPr>
    <w:rPr>
      <w:rFonts w:ascii="宋体" w:hAnsi="宋体" w:cs="宋体"/>
      <w:kern w:val="0"/>
      <w:sz w:val="22"/>
      <w:szCs w:val="22"/>
      <w:lang w:eastAsia="en-US"/>
    </w:rPr>
  </w:style>
  <w:style w:type="paragraph" w:customStyle="1" w:styleId="66">
    <w:name w:val="无间隔1"/>
    <w:basedOn w:val="1"/>
    <w:autoRedefine/>
    <w:qFormat/>
    <w:uiPriority w:val="1"/>
    <w:pPr>
      <w:spacing w:line="400" w:lineRule="exact"/>
    </w:pPr>
    <w:rPr>
      <w:sz w:val="24"/>
    </w:rPr>
  </w:style>
  <w:style w:type="paragraph" w:customStyle="1" w:styleId="67">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8">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69">
    <w:name w:val="列出段落1"/>
    <w:basedOn w:val="1"/>
    <w:autoRedefine/>
    <w:qFormat/>
    <w:uiPriority w:val="34"/>
    <w:pPr>
      <w:ind w:firstLine="420" w:firstLineChars="200"/>
    </w:pPr>
  </w:style>
  <w:style w:type="paragraph" w:customStyle="1" w:styleId="70">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1">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2">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3">
    <w:name w:val="列出段落11"/>
    <w:basedOn w:val="1"/>
    <w:autoRedefine/>
    <w:qFormat/>
    <w:uiPriority w:val="0"/>
    <w:pPr>
      <w:ind w:firstLine="420" w:firstLineChars="200"/>
    </w:pPr>
    <w:rPr>
      <w:rFonts w:ascii="Calibri" w:hAnsi="Calibri"/>
      <w:szCs w:val="22"/>
    </w:rPr>
  </w:style>
  <w:style w:type="character" w:customStyle="1" w:styleId="74">
    <w:name w:val="正文文本 Char"/>
    <w:basedOn w:val="35"/>
    <w:link w:val="4"/>
    <w:autoRedefine/>
    <w:qFormat/>
    <w:uiPriority w:val="0"/>
  </w:style>
  <w:style w:type="character" w:customStyle="1" w:styleId="75">
    <w:name w:val="apple-converted-space"/>
    <w:basedOn w:val="35"/>
    <w:autoRedefine/>
    <w:qFormat/>
    <w:uiPriority w:val="0"/>
  </w:style>
  <w:style w:type="character" w:customStyle="1" w:styleId="76">
    <w:name w:val="文档结构图 Char"/>
    <w:link w:val="12"/>
    <w:autoRedefine/>
    <w:qFormat/>
    <w:uiPriority w:val="0"/>
    <w:rPr>
      <w:rFonts w:ascii="宋体"/>
      <w:kern w:val="2"/>
      <w:sz w:val="18"/>
      <w:szCs w:val="18"/>
    </w:rPr>
  </w:style>
  <w:style w:type="character" w:customStyle="1" w:styleId="77">
    <w:name w:val="不明显强调1"/>
    <w:autoRedefine/>
    <w:qFormat/>
    <w:uiPriority w:val="19"/>
    <w:rPr>
      <w:i/>
      <w:iCs/>
      <w:color w:val="7F7F7F"/>
      <w:szCs w:val="24"/>
    </w:rPr>
  </w:style>
  <w:style w:type="character" w:customStyle="1" w:styleId="78">
    <w:name w:val="font71"/>
    <w:autoRedefine/>
    <w:qFormat/>
    <w:uiPriority w:val="0"/>
    <w:rPr>
      <w:rFonts w:hint="eastAsia" w:ascii="宋体" w:hAnsi="宋体" w:eastAsia="宋体" w:cs="宋体"/>
      <w:color w:val="000000"/>
      <w:sz w:val="28"/>
      <w:szCs w:val="28"/>
      <w:u w:val="none"/>
    </w:rPr>
  </w:style>
  <w:style w:type="character" w:customStyle="1" w:styleId="79">
    <w:name w:val="font21"/>
    <w:autoRedefine/>
    <w:qFormat/>
    <w:uiPriority w:val="0"/>
    <w:rPr>
      <w:rFonts w:hint="default" w:ascii="Calibri" w:hAnsi="Calibri" w:cs="Calibri"/>
      <w:color w:val="000000"/>
      <w:sz w:val="28"/>
      <w:szCs w:val="28"/>
      <w:u w:val="none"/>
    </w:rPr>
  </w:style>
  <w:style w:type="character" w:customStyle="1" w:styleId="80">
    <w:name w:val="17"/>
    <w:autoRedefine/>
    <w:qFormat/>
    <w:uiPriority w:val="0"/>
    <w:rPr>
      <w:rFonts w:hint="eastAsia" w:ascii="宋体" w:hAnsi="宋体" w:eastAsia="宋体"/>
      <w:color w:val="000000"/>
    </w:rPr>
  </w:style>
  <w:style w:type="character" w:customStyle="1" w:styleId="81">
    <w:name w:val="font91"/>
    <w:autoRedefine/>
    <w:qFormat/>
    <w:uiPriority w:val="0"/>
    <w:rPr>
      <w:rFonts w:hint="eastAsia" w:ascii="宋体" w:hAnsi="宋体" w:eastAsia="宋体" w:cs="宋体"/>
      <w:color w:val="FF0000"/>
      <w:sz w:val="28"/>
      <w:szCs w:val="28"/>
      <w:u w:val="none"/>
    </w:rPr>
  </w:style>
  <w:style w:type="paragraph" w:customStyle="1" w:styleId="82">
    <w:name w:val="p"/>
    <w:basedOn w:val="1"/>
    <w:autoRedefine/>
    <w:qFormat/>
    <w:uiPriority w:val="0"/>
    <w:pPr>
      <w:widowControl/>
      <w:spacing w:line="432" w:lineRule="auto"/>
      <w:jc w:val="left"/>
    </w:pPr>
    <w:rPr>
      <w:rFonts w:ascii="宋体" w:hAnsi="宋体" w:cs="宋体"/>
      <w:kern w:val="0"/>
      <w:sz w:val="24"/>
    </w:rPr>
  </w:style>
  <w:style w:type="paragraph" w:customStyle="1" w:styleId="83">
    <w:name w:val="WPSOffice手动目录 1"/>
    <w:autoRedefine/>
    <w:qFormat/>
    <w:uiPriority w:val="0"/>
    <w:rPr>
      <w:rFonts w:ascii="Times New Roman" w:hAnsi="Times New Roman" w:eastAsia="宋体" w:cs="Times New Roman"/>
      <w:lang w:val="en-US" w:eastAsia="zh-CN" w:bidi="ar-SA"/>
    </w:rPr>
  </w:style>
  <w:style w:type="paragraph" w:customStyle="1" w:styleId="84">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5">
    <w:name w:val="表格文字"/>
    <w:basedOn w:val="1"/>
    <w:next w:val="4"/>
    <w:autoRedefine/>
    <w:qFormat/>
    <w:uiPriority w:val="0"/>
    <w:pPr>
      <w:adjustRightInd w:val="0"/>
      <w:spacing w:line="420" w:lineRule="atLeast"/>
      <w:jc w:val="left"/>
      <w:textAlignment w:val="baseline"/>
    </w:pPr>
    <w:rPr>
      <w:kern w:val="0"/>
      <w:szCs w:val="20"/>
    </w:rPr>
  </w:style>
  <w:style w:type="character" w:customStyle="1" w:styleId="86">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7">
    <w:name w:val="列表段落1"/>
    <w:basedOn w:val="1"/>
    <w:autoRedefine/>
    <w:qFormat/>
    <w:uiPriority w:val="34"/>
    <w:pPr>
      <w:widowControl/>
      <w:ind w:firstLine="420"/>
      <w:jc w:val="left"/>
    </w:pPr>
    <w:rPr>
      <w:kern w:val="0"/>
    </w:rPr>
  </w:style>
  <w:style w:type="paragraph" w:styleId="88">
    <w:name w:val="List Paragraph"/>
    <w:basedOn w:val="1"/>
    <w:autoRedefine/>
    <w:qFormat/>
    <w:uiPriority w:val="34"/>
    <w:pPr>
      <w:ind w:firstLine="420" w:firstLineChars="200"/>
    </w:pPr>
  </w:style>
  <w:style w:type="character" w:customStyle="1" w:styleId="89">
    <w:name w:val="hover18"/>
    <w:basedOn w:val="35"/>
    <w:autoRedefine/>
    <w:qFormat/>
    <w:uiPriority w:val="0"/>
  </w:style>
  <w:style w:type="table" w:customStyle="1" w:styleId="90">
    <w:name w:val="Table Normal"/>
    <w:autoRedefine/>
    <w:qFormat/>
    <w:uiPriority w:val="0"/>
    <w:tblPr>
      <w:tblCellMar>
        <w:top w:w="0" w:type="dxa"/>
        <w:left w:w="0" w:type="dxa"/>
        <w:bottom w:w="0" w:type="dxa"/>
        <w:right w:w="0" w:type="dxa"/>
      </w:tblCellMar>
    </w:tblPr>
  </w:style>
  <w:style w:type="paragraph" w:customStyle="1" w:styleId="91">
    <w:name w:val="Table Text"/>
    <w:basedOn w:val="1"/>
    <w:autoRedefine/>
    <w:semiHidden/>
    <w:qFormat/>
    <w:uiPriority w:val="0"/>
    <w:rPr>
      <w:rFonts w:ascii="宋体" w:hAnsi="宋体" w:eastAsia="宋体" w:cs="宋体"/>
      <w:sz w:val="45"/>
      <w:szCs w:val="45"/>
      <w:lang w:val="en-US" w:eastAsia="en-US" w:bidi="ar-SA"/>
    </w:rPr>
  </w:style>
  <w:style w:type="character" w:customStyle="1" w:styleId="92">
    <w:name w:val="font11"/>
    <w:basedOn w:val="35"/>
    <w:autoRedefine/>
    <w:qFormat/>
    <w:uiPriority w:val="0"/>
    <w:rPr>
      <w:rFonts w:ascii="Calibri" w:hAnsi="Calibri" w:cs="Calibri"/>
      <w:color w:val="000000"/>
      <w:sz w:val="24"/>
      <w:szCs w:val="24"/>
      <w:u w:val="none"/>
    </w:rPr>
  </w:style>
  <w:style w:type="paragraph" w:customStyle="1" w:styleId="93">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34</Pages>
  <Words>14974</Words>
  <Characters>15741</Characters>
  <Lines>50</Lines>
  <Paragraphs>68</Paragraphs>
  <TotalTime>2</TotalTime>
  <ScaleCrop>false</ScaleCrop>
  <LinksUpToDate>false</LinksUpToDate>
  <CharactersWithSpaces>16516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陈壹</cp:lastModifiedBy>
  <cp:lastPrinted>2021-09-30T00:46:00Z</cp:lastPrinted>
  <dcterms:modified xsi:type="dcterms:W3CDTF">2025-02-08T06:57:59Z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6B4FDCA957CB4E82998C2E32247B97ED_13</vt:lpwstr>
  </property>
  <property fmtid="{D5CDD505-2E9C-101B-9397-08002B2CF9AE}" pid="4" name="KSOTemplateDocerSaveRecord">
    <vt:lpwstr>eyJoZGlkIjoiYzIwMjRmYTY4OTJhZjc1NTA1MGQwNDc0NzZhNTkwMmUiLCJ1c2VySWQiOiI0NDQ5MjU4MjIifQ==</vt:lpwstr>
  </property>
</Properties>
</file>