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B9EB609">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804073"/>
      <w:bookmarkEnd w:id="0"/>
      <w:bookmarkStart w:id="1" w:name="_Toc22953395"/>
      <w:bookmarkEnd w:id="1"/>
    </w:p>
    <w:p w14:paraId="415F7A08">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驻马店市中心医院聘请法律顾问服务项目</w:t>
      </w:r>
    </w:p>
    <w:p w14:paraId="3BDD9BDF">
      <w:pPr>
        <w:pStyle w:val="18"/>
        <w:bidi w:val="0"/>
        <w:jc w:val="center"/>
        <w:rPr>
          <w:rStyle w:val="44"/>
          <w:rFonts w:hint="eastAsia" w:ascii="宋体" w:hAnsi="宋体" w:eastAsia="宋体" w:cs="宋体"/>
          <w:b/>
          <w:bCs/>
          <w:color w:val="auto"/>
          <w:sz w:val="48"/>
          <w:szCs w:val="48"/>
        </w:rPr>
      </w:pPr>
    </w:p>
    <w:p w14:paraId="11727193">
      <w:pPr>
        <w:pStyle w:val="18"/>
        <w:bidi w:val="0"/>
        <w:jc w:val="center"/>
        <w:rPr>
          <w:rStyle w:val="44"/>
          <w:rFonts w:hint="eastAsia" w:ascii="宋体" w:hAnsi="宋体" w:eastAsia="宋体" w:cs="宋体"/>
          <w:b/>
          <w:bCs/>
          <w:color w:val="auto"/>
          <w:sz w:val="48"/>
          <w:szCs w:val="48"/>
        </w:rPr>
      </w:pPr>
    </w:p>
    <w:p w14:paraId="03A21784">
      <w:pPr>
        <w:pStyle w:val="18"/>
        <w:bidi w:val="0"/>
        <w:jc w:val="center"/>
        <w:rPr>
          <w:rStyle w:val="44"/>
          <w:rFonts w:hint="eastAsia" w:ascii="宋体" w:hAnsi="宋体" w:eastAsia="宋体" w:cs="宋体"/>
          <w:b/>
          <w:bCs/>
          <w:color w:val="auto"/>
          <w:sz w:val="48"/>
          <w:szCs w:val="48"/>
        </w:rPr>
      </w:pPr>
    </w:p>
    <w:p w14:paraId="6DFB9800">
      <w:pPr>
        <w:pStyle w:val="18"/>
        <w:bidi w:val="0"/>
        <w:jc w:val="center"/>
        <w:rPr>
          <w:rStyle w:val="44"/>
          <w:rFonts w:hint="eastAsia" w:ascii="宋体" w:hAnsi="宋体" w:eastAsia="宋体" w:cs="宋体"/>
          <w:b/>
          <w:bCs/>
          <w:color w:val="auto"/>
          <w:sz w:val="48"/>
          <w:szCs w:val="48"/>
        </w:rPr>
      </w:pPr>
    </w:p>
    <w:p w14:paraId="4545096D">
      <w:pPr>
        <w:pStyle w:val="18"/>
        <w:bidi w:val="0"/>
        <w:jc w:val="center"/>
        <w:rPr>
          <w:rStyle w:val="44"/>
          <w:rFonts w:hint="eastAsia" w:ascii="宋体" w:hAnsi="宋体" w:eastAsia="宋体" w:cs="宋体"/>
          <w:b/>
          <w:bCs/>
          <w:color w:val="auto"/>
          <w:szCs w:val="44"/>
        </w:rPr>
      </w:pPr>
      <w:r>
        <w:rPr>
          <w:rStyle w:val="44"/>
          <w:rFonts w:hint="eastAsia" w:ascii="宋体" w:hAnsi="宋体" w:eastAsia="宋体" w:cs="宋体"/>
          <w:b/>
          <w:bCs/>
          <w:color w:val="auto"/>
          <w:sz w:val="72"/>
          <w:szCs w:val="72"/>
          <w:lang w:val="en-US" w:eastAsia="zh-CN"/>
        </w:rPr>
        <w:t>采购</w:t>
      </w:r>
      <w:r>
        <w:rPr>
          <w:rStyle w:val="44"/>
          <w:rFonts w:hint="eastAsia" w:ascii="宋体" w:hAnsi="宋体" w:eastAsia="宋体" w:cs="宋体"/>
          <w:b/>
          <w:bCs/>
          <w:color w:val="auto"/>
          <w:sz w:val="72"/>
          <w:szCs w:val="72"/>
        </w:rPr>
        <w:t>文件</w:t>
      </w:r>
    </w:p>
    <w:p w14:paraId="74E396BD">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14:paraId="1D8AB8D0">
      <w:pPr>
        <w:snapToGrid w:val="0"/>
        <w:spacing w:line="380" w:lineRule="exact"/>
        <w:jc w:val="center"/>
        <w:rPr>
          <w:rFonts w:hint="eastAsia" w:ascii="宋体" w:hAnsi="宋体" w:eastAsia="宋体" w:cs="宋体"/>
          <w:b/>
          <w:sz w:val="32"/>
          <w:szCs w:val="32"/>
        </w:rPr>
      </w:pPr>
    </w:p>
    <w:p w14:paraId="2E977DF2">
      <w:pPr>
        <w:pStyle w:val="31"/>
        <w:rPr>
          <w:rFonts w:hint="eastAsia" w:ascii="宋体" w:hAnsi="宋体" w:eastAsia="宋体" w:cs="宋体"/>
        </w:rPr>
      </w:pPr>
    </w:p>
    <w:p w14:paraId="601AE70D">
      <w:pPr>
        <w:pStyle w:val="59"/>
        <w:rPr>
          <w:rFonts w:hint="eastAsia" w:ascii="宋体" w:hAnsi="宋体" w:eastAsia="宋体" w:cs="宋体"/>
          <w:bCs/>
          <w:sz w:val="2"/>
          <w:szCs w:val="2"/>
        </w:rPr>
      </w:pPr>
    </w:p>
    <w:p w14:paraId="7C19AAFA">
      <w:pPr>
        <w:rPr>
          <w:rFonts w:hint="eastAsia" w:ascii="宋体" w:hAnsi="宋体" w:eastAsia="宋体" w:cs="宋体"/>
          <w:bCs/>
          <w:sz w:val="2"/>
          <w:szCs w:val="2"/>
        </w:rPr>
      </w:pPr>
    </w:p>
    <w:p w14:paraId="0BCFFC55">
      <w:pPr>
        <w:spacing w:line="20" w:lineRule="exact"/>
        <w:rPr>
          <w:rFonts w:hint="eastAsia" w:ascii="宋体" w:hAnsi="宋体" w:eastAsia="宋体" w:cs="宋体"/>
          <w:bCs/>
          <w:sz w:val="2"/>
          <w:szCs w:val="2"/>
        </w:rPr>
      </w:pPr>
    </w:p>
    <w:p w14:paraId="35B6F991">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14:paraId="0F76B444">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14:paraId="6B700497">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14:paraId="16D1DC78">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14:paraId="505445A0">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2024</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eastAsia="宋体" w:cs="宋体"/>
          <w:b/>
          <w:bCs/>
          <w:color w:val="000000" w:themeColor="text1"/>
          <w:spacing w:val="40"/>
          <w:sz w:val="34"/>
          <w:szCs w:val="34"/>
          <w:lang w:val="en-US" w:eastAsia="zh-CN"/>
          <w14:textFill>
            <w14:solidFill>
              <w14:schemeClr w14:val="tx1"/>
            </w14:solidFill>
          </w14:textFill>
        </w:rPr>
        <w:t>09</w:t>
      </w:r>
      <w:r>
        <w:rPr>
          <w:rFonts w:hint="eastAsia" w:ascii="宋体" w:hAnsi="宋体" w:eastAsia="宋体" w:cs="宋体"/>
          <w:b/>
          <w:bCs/>
          <w:color w:val="000000" w:themeColor="text1"/>
          <w:spacing w:val="40"/>
          <w:sz w:val="34"/>
          <w:szCs w:val="34"/>
          <w14:textFill>
            <w14:solidFill>
              <w14:schemeClr w14:val="tx1"/>
            </w14:solidFill>
          </w14:textFill>
        </w:rPr>
        <w:t>月</w:t>
      </w:r>
    </w:p>
    <w:p w14:paraId="21DAC3F1">
      <w:pPr>
        <w:rPr>
          <w:rFonts w:hint="eastAsia" w:ascii="宋体" w:hAnsi="宋体" w:eastAsia="宋体" w:cs="宋体"/>
          <w:bCs/>
          <w:color w:val="auto"/>
          <w:sz w:val="24"/>
          <w:highlight w:val="none"/>
        </w:rPr>
      </w:pPr>
    </w:p>
    <w:p w14:paraId="44E47A1E">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4AA04238">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_Toc4329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_Toc4329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7DC95DE8">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_Toc26291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_Toc26291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411C621D">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_Toc2919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_Toc2919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7EC8BA86">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_Toc17218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_Toc17218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06977BEF">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_Toc3791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第六章  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_Toc3791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B78C818">
      <w:pPr>
        <w:pStyle w:val="24"/>
        <w:tabs>
          <w:tab w:val="right" w:leader="dot" w:pos="8958"/>
        </w:tabs>
        <w:rPr>
          <w:rFonts w:hint="eastAsia" w:ascii="宋体" w:hAnsi="宋体" w:eastAsia="宋体" w:cs="宋体"/>
        </w:rPr>
      </w:pPr>
    </w:p>
    <w:p w14:paraId="0BB2CAEC">
      <w:pPr>
        <w:pStyle w:val="83"/>
        <w:keepNext w:val="0"/>
        <w:keepLines w:val="0"/>
        <w:pageBreakBefore w:val="0"/>
        <w:tabs>
          <w:tab w:val="right" w:leader="dot" w:pos="8300"/>
        </w:tabs>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6147CF91">
      <w:pPr>
        <w:spacing w:line="440" w:lineRule="exact"/>
        <w:rPr>
          <w:rFonts w:hint="eastAsia" w:ascii="宋体" w:hAnsi="宋体" w:eastAsia="宋体" w:cs="宋体"/>
          <w:b/>
          <w:color w:val="auto"/>
          <w:sz w:val="32"/>
          <w:szCs w:val="32"/>
          <w:highlight w:val="none"/>
        </w:rPr>
      </w:pPr>
    </w:p>
    <w:p w14:paraId="7E7DD11C">
      <w:pPr>
        <w:spacing w:line="360" w:lineRule="auto"/>
        <w:ind w:firstLine="2409" w:firstLineChars="600"/>
        <w:jc w:val="left"/>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23ACE109">
      <w:pPr>
        <w:spacing w:line="360" w:lineRule="auto"/>
        <w:jc w:val="center"/>
        <w:outlineLvl w:val="0"/>
        <w:rPr>
          <w:rFonts w:hint="eastAsia" w:ascii="宋体" w:hAnsi="宋体" w:eastAsia="宋体" w:cs="宋体"/>
          <w:b/>
          <w:color w:val="auto"/>
          <w:sz w:val="32"/>
          <w:szCs w:val="32"/>
          <w:highlight w:val="none"/>
        </w:rPr>
      </w:pPr>
      <w:bookmarkStart w:id="2" w:name="_Toc4329"/>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32EB881C">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u w:val="none"/>
          <w:lang w:val="en-US" w:eastAsia="zh-CN"/>
        </w:rPr>
      </w:pPr>
      <w:r>
        <w:rPr>
          <w:rFonts w:hint="eastAsia" w:ascii="宋体" w:hAnsi="宋体" w:eastAsia="宋体" w:cs="宋体"/>
          <w:b/>
          <w:bCs w:val="0"/>
          <w:color w:val="auto"/>
          <w:kern w:val="0"/>
          <w:sz w:val="28"/>
          <w:szCs w:val="28"/>
          <w:u w:val="none"/>
          <w:lang w:val="en-US" w:eastAsia="zh-CN"/>
        </w:rPr>
        <w:t>驻马店市中心医院聘请法律顾问服务项目</w:t>
      </w:r>
    </w:p>
    <w:p w14:paraId="3E7A3FF4">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0E221570">
      <w:pPr>
        <w:keepNext w:val="0"/>
        <w:keepLines w:val="0"/>
        <w:pageBreakBefore w:val="0"/>
        <w:kinsoku/>
        <w:overflowPunct/>
        <w:topLinePunct w:val="0"/>
        <w:autoSpaceDE/>
        <w:autoSpaceDN/>
        <w:bidi w:val="0"/>
        <w:snapToGrid w:val="0"/>
        <w:spacing w:line="44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lang w:val="en-US" w:eastAsia="zh-CN"/>
        </w:rPr>
        <w:t>聘请法律顾问服务项目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5C56E018">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68FD32FD">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驻马店市中心医院聘请法律顾问服务项目</w:t>
      </w:r>
      <w:r>
        <w:rPr>
          <w:rFonts w:hint="eastAsia" w:ascii="宋体" w:hAnsi="宋体" w:eastAsia="宋体" w:cs="宋体"/>
          <w:color w:val="auto"/>
          <w:szCs w:val="21"/>
          <w:highlight w:val="none"/>
          <w:shd w:val="clear" w:color="auto" w:fill="FFFFFF"/>
          <w:lang w:eastAsia="zh-CN"/>
        </w:rPr>
        <w:t>；</w:t>
      </w:r>
    </w:p>
    <w:p w14:paraId="1A514B91">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14:paraId="5F09411F">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eastAsia="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eastAsia="zh-CN"/>
        </w:rPr>
        <w:t>万元；</w:t>
      </w:r>
    </w:p>
    <w:p w14:paraId="35D86869">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服务期限：一年；</w:t>
      </w:r>
    </w:p>
    <w:p w14:paraId="69AA1633">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符合国家现行规定且满足采购人要求</w:t>
      </w:r>
      <w:r>
        <w:rPr>
          <w:rFonts w:hint="eastAsia" w:ascii="宋体" w:hAnsi="宋体" w:eastAsia="宋体" w:cs="宋体"/>
          <w:color w:val="auto"/>
          <w:szCs w:val="21"/>
          <w:highlight w:val="none"/>
          <w:shd w:val="clear" w:color="auto" w:fill="FFFFFF"/>
          <w:lang w:eastAsia="zh-CN"/>
        </w:rPr>
        <w:t>；</w:t>
      </w:r>
    </w:p>
    <w:p w14:paraId="07ADA1BB">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16639"/>
      <w:bookmarkStart w:id="5" w:name="_Toc23626"/>
      <w:bookmarkStart w:id="6" w:name="_Toc18607"/>
      <w:bookmarkStart w:id="7" w:name="_Toc27704"/>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14:paraId="0A23F02D">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8" w:name="_Toc30971"/>
      <w:bookmarkStart w:id="9" w:name="_Toc9562"/>
      <w:bookmarkStart w:id="10" w:name="_Toc7823"/>
      <w:bookmarkStart w:id="11" w:name="_Toc30643"/>
      <w:bookmarkStart w:id="12" w:name="_Toc23395"/>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营业执照等证明文件。单位负责人为同一人或者存在直接控股、管理关系的不同供应商，不得参加同一合同项下的政府采购活动。</w:t>
      </w:r>
    </w:p>
    <w:p w14:paraId="763A4E7C">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3BD7452F">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3、供应商须提供律师事务所的执业许可证书；</w:t>
      </w:r>
    </w:p>
    <w:p w14:paraId="3589CAB2">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4、具有履行合同所必需的设备和专业技术能力（提供书面声明函）；</w:t>
      </w:r>
    </w:p>
    <w:p w14:paraId="252CC18E">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5、参加本采购活动前三年内，在经营活动中没有重大违法记录（提供书面声明函）；</w:t>
      </w:r>
    </w:p>
    <w:p w14:paraId="27A539F9">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6、符合法律、行政法规规定的其他条件；</w:t>
      </w:r>
    </w:p>
    <w:p w14:paraId="74AFE834">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7、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14:paraId="4E26BC91">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440" w:lineRule="exact"/>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8、不接受联合体投标。</w:t>
      </w:r>
    </w:p>
    <w:p w14:paraId="18625F93">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8"/>
      <w:bookmarkEnd w:id="9"/>
      <w:bookmarkEnd w:id="10"/>
      <w:bookmarkEnd w:id="11"/>
      <w:bookmarkEnd w:id="12"/>
    </w:p>
    <w:p w14:paraId="6C472D89">
      <w:pPr>
        <w:keepNext w:val="0"/>
        <w:keepLines w:val="0"/>
        <w:pageBreakBefore w:val="0"/>
        <w:widowControl/>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eastAsia="宋体" w:cs="宋体"/>
          <w:color w:val="auto"/>
          <w:szCs w:val="21"/>
          <w:shd w:val="clear" w:color="auto" w:fill="FFFFFF"/>
          <w:lang w:val="en-US" w:eastAsia="zh-CN"/>
        </w:rPr>
        <w:t>.</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000000" w:themeColor="text1"/>
          <w:szCs w:val="21"/>
          <w:highlight w:val="none"/>
          <w:shd w:val="clear" w:color="auto" w:fill="FFFFFF"/>
          <w14:textFill>
            <w14:solidFill>
              <w14:schemeClr w14:val="tx1"/>
            </w14:solidFill>
          </w14:textFill>
        </w:rPr>
        <w:t>20</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24</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10</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08</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4</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10</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10</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p>
    <w:p w14:paraId="5E15D33A">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bookmarkStart w:id="111" w:name="_GoBack"/>
      <w:bookmarkEnd w:id="111"/>
    </w:p>
    <w:p w14:paraId="726128F8">
      <w:pPr>
        <w:keepNext w:val="0"/>
        <w:keepLines w:val="0"/>
        <w:pageBreakBefore w:val="0"/>
        <w:widowControl/>
        <w:kinsoku/>
        <w:wordWrap w:val="0"/>
        <w:overflowPunct/>
        <w:topLinePunct w:val="0"/>
        <w:autoSpaceDE/>
        <w:autoSpaceDN/>
        <w:bidi w:val="0"/>
        <w:snapToGrid w:val="0"/>
        <w:spacing w:before="0" w:beforeAutospacing="0" w:after="0" w:afterAutospacing="0" w:line="440" w:lineRule="exact"/>
        <w:ind w:left="0" w:leftChars="0"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3269714460@qq.com,并标明XX公司XX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w:t>
      </w:r>
    </w:p>
    <w:p w14:paraId="103F048A">
      <w:pPr>
        <w:keepNext w:val="0"/>
        <w:keepLines w:val="0"/>
        <w:pageBreakBefore w:val="0"/>
        <w:widowControl/>
        <w:kinsoku/>
        <w:wordWrap w:val="0"/>
        <w:overflowPunct/>
        <w:topLinePunct w:val="0"/>
        <w:autoSpaceDE/>
        <w:autoSpaceDN/>
        <w:bidi w:val="0"/>
        <w:snapToGrid w:val="0"/>
        <w:spacing w:before="0" w:beforeAutospacing="0" w:after="0" w:afterAutospacing="0" w:line="440" w:lineRule="exact"/>
        <w:ind w:left="420" w:leftChars="20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14:paraId="5A380ACC">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lang w:val="en-US" w:eastAsia="zh-CN" w:bidi="ar-SA"/>
        </w:rPr>
      </w:pPr>
      <w:bookmarkStart w:id="13" w:name="_Toc27480"/>
      <w:bookmarkStart w:id="14" w:name="_Toc25869"/>
      <w:bookmarkStart w:id="15" w:name="_Toc15135"/>
      <w:bookmarkStart w:id="16" w:name="_Toc10738"/>
      <w:bookmarkStart w:id="17" w:name="_Toc15111"/>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3"/>
      <w:bookmarkEnd w:id="14"/>
      <w:bookmarkEnd w:id="15"/>
      <w:bookmarkEnd w:id="16"/>
      <w:bookmarkEnd w:id="17"/>
    </w:p>
    <w:p w14:paraId="02B7B364">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7344AF85">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020A7165">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14:paraId="7BC57BAC">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84F5D2B">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76C77907">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lang w:val="en-US" w:eastAsia="zh-CN" w:bidi="ar-SA"/>
        </w:rPr>
      </w:pPr>
      <w:bookmarkStart w:id="18" w:name="_Toc29784"/>
      <w:bookmarkStart w:id="19" w:name="_Toc6523"/>
      <w:bookmarkStart w:id="20" w:name="_Toc20287"/>
      <w:bookmarkStart w:id="21" w:name="_Toc30918"/>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14:paraId="4A912DD0">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公告在《驻马店市中心医院》院内网</w:t>
      </w:r>
      <w:r>
        <w:rPr>
          <w:rFonts w:hint="eastAsia" w:ascii="宋体" w:hAnsi="宋体" w:eastAsia="宋体" w:cs="宋体"/>
          <w:color w:val="auto"/>
          <w:sz w:val="21"/>
          <w:szCs w:val="21"/>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1C143881">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4274"/>
      <w:bookmarkStart w:id="25" w:name="_Toc3604"/>
      <w:bookmarkStart w:id="26" w:name="_Toc16291"/>
      <w:bookmarkStart w:id="27" w:name="_Toc27370"/>
      <w:bookmarkStart w:id="28" w:name="_Toc31928"/>
      <w:r>
        <w:rPr>
          <w:rFonts w:hint="eastAsia" w:ascii="宋体" w:hAnsi="宋体" w:eastAsia="宋体" w:cs="宋体"/>
          <w:b/>
          <w:bCs/>
          <w:color w:val="auto"/>
          <w:kern w:val="2"/>
          <w:sz w:val="21"/>
          <w:szCs w:val="21"/>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6B731194">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1.采购人：驻马店市中心医院 </w:t>
      </w:r>
    </w:p>
    <w:p w14:paraId="4720F702">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地址：驻马店市中华大道747号 </w:t>
      </w:r>
    </w:p>
    <w:p w14:paraId="1702F516">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联系人：陈先生 </w:t>
      </w:r>
    </w:p>
    <w:p w14:paraId="21B88AD1">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电话：0396-2726379 </w:t>
      </w:r>
    </w:p>
    <w:p w14:paraId="7E096444">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2.采购代理机构：大成工程咨询有限公司 </w:t>
      </w:r>
    </w:p>
    <w:p w14:paraId="1CF3C6E1">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地址：驻马店市泰山路与骏马路交叉口广泰大厦22楼　</w:t>
      </w:r>
    </w:p>
    <w:p w14:paraId="5F9816EA">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联系人：张先生、庞先生</w:t>
      </w:r>
    </w:p>
    <w:p w14:paraId="2A03B563">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联系方式：15518321111、18272909999</w:t>
      </w:r>
    </w:p>
    <w:p w14:paraId="6489BDE7">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3.监督部门：驻马店市中心医院纪检监察室 </w:t>
      </w:r>
    </w:p>
    <w:p w14:paraId="30FF6CBA">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监督电话：0396-2726678 </w:t>
      </w:r>
    </w:p>
    <w:p w14:paraId="32EF374D">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right"/>
        <w:textAlignment w:val="auto"/>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14:paraId="1F7B52E8">
      <w:pPr>
        <w:pStyle w:val="29"/>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center"/>
        <w:textAlignment w:val="auto"/>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shd w:val="clear" w:color="auto" w:fill="FFFFFF"/>
          <w:lang w:val="en-US" w:eastAsia="zh-CN" w:bidi="ar-SA"/>
        </w:rPr>
        <w:t xml:space="preserve">  </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2024年09月</w:t>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30</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日</w:t>
      </w:r>
    </w:p>
    <w:p w14:paraId="2CABCB2B">
      <w:pPr>
        <w:widowControl/>
        <w:spacing w:line="360" w:lineRule="auto"/>
        <w:ind w:firstLine="643" w:firstLineChars="200"/>
        <w:jc w:val="center"/>
        <w:outlineLvl w:val="0"/>
        <w:rPr>
          <w:rFonts w:hint="eastAsia" w:ascii="宋体" w:hAnsi="宋体" w:eastAsia="宋体" w:cs="宋体"/>
          <w:b/>
          <w:color w:val="000000" w:themeColor="text1"/>
          <w:sz w:val="32"/>
          <w:szCs w:val="32"/>
          <w:highlight w:val="none"/>
          <w14:textFill>
            <w14:solidFill>
              <w14:schemeClr w14:val="tx1"/>
            </w14:solidFill>
          </w14:textFill>
        </w:rPr>
        <w:sectPr>
          <w:footerReference r:id="rId5" w:type="default"/>
          <w:pgSz w:w="11906" w:h="16838"/>
          <w:pgMar w:top="1417" w:right="1474" w:bottom="1417" w:left="1474" w:header="851" w:footer="624" w:gutter="0"/>
          <w:pgNumType w:fmt="decimal"/>
          <w:cols w:space="720" w:num="1"/>
          <w:docGrid w:type="lines" w:linePitch="319" w:charSpace="0"/>
        </w:sectPr>
      </w:pPr>
      <w:bookmarkStart w:id="29" w:name="_Toc23793"/>
      <w:bookmarkStart w:id="30" w:name="_Toc29890"/>
    </w:p>
    <w:p w14:paraId="6C332F44">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26291"/>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9989"/>
      <w:bookmarkStart w:id="34" w:name="_Toc23610"/>
    </w:p>
    <w:bookmarkEnd w:id="29"/>
    <w:bookmarkEnd w:id="30"/>
    <w:bookmarkEnd w:id="32"/>
    <w:bookmarkEnd w:id="33"/>
    <w:bookmarkEnd w:id="34"/>
    <w:p w14:paraId="0D142B4A">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eastAsia" w:ascii="宋体" w:hAnsi="宋体" w:eastAsia="宋体" w:cs="宋体"/>
          <w:i w:val="0"/>
          <w:iCs/>
          <w:sz w:val="20"/>
          <w:szCs w:val="20"/>
          <w:highlight w:val="none"/>
          <w:u w:val="none"/>
          <w:lang w:val="en-US" w:eastAsia="zh-CN"/>
        </w:rPr>
      </w:pPr>
      <w:r>
        <w:rPr>
          <w:rFonts w:hint="eastAsia" w:ascii="宋体" w:hAnsi="宋体" w:eastAsia="宋体" w:cs="宋体"/>
          <w:b/>
          <w:bCs/>
          <w:i w:val="0"/>
          <w:iCs/>
          <w:kern w:val="2"/>
          <w:sz w:val="24"/>
          <w:szCs w:val="24"/>
          <w:highlight w:val="none"/>
          <w:u w:val="none"/>
          <w:lang w:val="en-US" w:eastAsia="zh-CN" w:bidi="ar-SA"/>
        </w:rPr>
        <w:t>一、项目名称：</w:t>
      </w:r>
      <w:r>
        <w:rPr>
          <w:rFonts w:hint="eastAsia" w:ascii="宋体" w:hAnsi="宋体" w:eastAsia="宋体" w:cs="宋体"/>
          <w:b w:val="0"/>
          <w:bCs w:val="0"/>
          <w:i w:val="0"/>
          <w:iCs/>
          <w:kern w:val="2"/>
          <w:sz w:val="21"/>
          <w:szCs w:val="21"/>
          <w:u w:val="none"/>
          <w:lang w:val="en-US" w:eastAsia="zh-CN" w:bidi="ar-SA"/>
        </w:rPr>
        <w:t>驻马店市中心医院聘请法律顾问服务项目</w:t>
      </w:r>
    </w:p>
    <w:p w14:paraId="4255CB37">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82" w:firstLineChars="200"/>
        <w:jc w:val="both"/>
        <w:textAlignment w:val="auto"/>
        <w:rPr>
          <w:rFonts w:hint="eastAsia" w:ascii="宋体" w:hAnsi="宋体" w:eastAsia="宋体" w:cs="宋体"/>
          <w:color w:val="auto"/>
          <w:kern w:val="2"/>
          <w:sz w:val="20"/>
          <w:szCs w:val="20"/>
          <w:highlight w:val="none"/>
          <w:shd w:val="clear" w:color="auto" w:fill="FFFFFF"/>
          <w:lang w:val="en-US" w:eastAsia="zh-CN" w:bidi="ar-SA"/>
        </w:rPr>
      </w:pPr>
      <w:r>
        <w:rPr>
          <w:rFonts w:hint="eastAsia" w:ascii="宋体" w:hAnsi="宋体" w:eastAsia="宋体" w:cs="宋体"/>
          <w:b/>
          <w:bCs/>
          <w:i w:val="0"/>
          <w:iCs/>
          <w:kern w:val="2"/>
          <w:sz w:val="24"/>
          <w:szCs w:val="24"/>
          <w:highlight w:val="none"/>
          <w:u w:val="none"/>
          <w:lang w:val="en-US" w:eastAsia="zh-CN" w:bidi="ar-SA"/>
        </w:rPr>
        <w:t>二、项目概况：</w:t>
      </w:r>
      <w:r>
        <w:rPr>
          <w:rFonts w:hint="eastAsia" w:ascii="宋体" w:hAnsi="宋体" w:eastAsia="宋体" w:cs="宋体"/>
          <w:b w:val="0"/>
          <w:bCs w:val="0"/>
          <w:i w:val="0"/>
          <w:iCs/>
          <w:kern w:val="2"/>
          <w:sz w:val="21"/>
          <w:szCs w:val="21"/>
          <w:highlight w:val="none"/>
          <w:u w:val="none"/>
          <w:lang w:val="en-US" w:eastAsia="zh-CN" w:bidi="ar-SA"/>
        </w:rPr>
        <w:t>为维护医院正常的运营秩序和合法权益，聘请具有较高知名度的律师事务所的律师为我院提供法律顾问服务，并承担法律诉讼代理等相关工作。</w:t>
      </w:r>
    </w:p>
    <w:p w14:paraId="7B5D61B4">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eastAsia" w:ascii="宋体" w:hAnsi="宋体" w:eastAsia="宋体" w:cs="宋体"/>
          <w:b/>
          <w:bCs/>
          <w:i w:val="0"/>
          <w:iCs/>
          <w:sz w:val="24"/>
          <w:szCs w:val="24"/>
          <w:highlight w:val="none"/>
          <w:u w:val="none"/>
          <w:lang w:val="en-US" w:eastAsia="zh-CN"/>
        </w:rPr>
      </w:pPr>
      <w:r>
        <w:rPr>
          <w:rFonts w:hint="eastAsia" w:ascii="宋体" w:hAnsi="宋体" w:eastAsia="宋体" w:cs="宋体"/>
          <w:b/>
          <w:bCs/>
          <w:i w:val="0"/>
          <w:iCs/>
          <w:sz w:val="24"/>
          <w:szCs w:val="24"/>
          <w:highlight w:val="none"/>
          <w:u w:val="none"/>
          <w:lang w:val="en-US" w:eastAsia="zh-CN"/>
        </w:rPr>
        <w:t>三、采购标的清单：</w:t>
      </w:r>
    </w:p>
    <w:tbl>
      <w:tblPr>
        <w:tblStyle w:val="34"/>
        <w:tblW w:w="9664"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4"/>
        <w:gridCol w:w="801"/>
        <w:gridCol w:w="2939"/>
        <w:gridCol w:w="999"/>
        <w:gridCol w:w="936"/>
        <w:gridCol w:w="1135"/>
        <w:gridCol w:w="1135"/>
        <w:gridCol w:w="1135"/>
      </w:tblGrid>
      <w:tr w14:paraId="03F7C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 w:type="dxa"/>
            <w:vAlign w:val="center"/>
          </w:tcPr>
          <w:p w14:paraId="4E70D160">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b/>
                <w:bCs/>
                <w:sz w:val="21"/>
                <w:szCs w:val="21"/>
                <w:lang w:val="en-US" w:eastAsia="zh-CN"/>
              </w:rPr>
              <w:t>包号</w:t>
            </w:r>
          </w:p>
        </w:tc>
        <w:tc>
          <w:tcPr>
            <w:tcW w:w="801" w:type="dxa"/>
            <w:vAlign w:val="center"/>
          </w:tcPr>
          <w:p w14:paraId="6AA227B2">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b/>
                <w:bCs/>
                <w:sz w:val="21"/>
                <w:szCs w:val="21"/>
              </w:rPr>
              <w:t>序号</w:t>
            </w:r>
          </w:p>
        </w:tc>
        <w:tc>
          <w:tcPr>
            <w:tcW w:w="2939" w:type="dxa"/>
            <w:vAlign w:val="center"/>
          </w:tcPr>
          <w:p w14:paraId="36452BEA">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b/>
                <w:bCs/>
                <w:sz w:val="21"/>
                <w:szCs w:val="21"/>
              </w:rPr>
              <w:t>标的名称</w:t>
            </w:r>
          </w:p>
        </w:tc>
        <w:tc>
          <w:tcPr>
            <w:tcW w:w="999" w:type="dxa"/>
            <w:vAlign w:val="center"/>
          </w:tcPr>
          <w:p w14:paraId="79C1CF7B">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b/>
                <w:bCs/>
                <w:sz w:val="21"/>
                <w:szCs w:val="21"/>
                <w:lang w:val="en-US" w:eastAsia="zh-CN"/>
              </w:rPr>
              <w:t>单位</w:t>
            </w:r>
          </w:p>
        </w:tc>
        <w:tc>
          <w:tcPr>
            <w:tcW w:w="936" w:type="dxa"/>
            <w:vAlign w:val="center"/>
          </w:tcPr>
          <w:p w14:paraId="20FCD05F">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b/>
                <w:bCs/>
                <w:sz w:val="21"/>
                <w:szCs w:val="21"/>
              </w:rPr>
              <w:t>数量</w:t>
            </w:r>
          </w:p>
        </w:tc>
        <w:tc>
          <w:tcPr>
            <w:tcW w:w="1135" w:type="dxa"/>
            <w:vAlign w:val="center"/>
          </w:tcPr>
          <w:p w14:paraId="139635D7">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sz w:val="21"/>
                <w:szCs w:val="21"/>
              </w:rPr>
              <w:t>资金预算</w:t>
            </w:r>
          </w:p>
        </w:tc>
        <w:tc>
          <w:tcPr>
            <w:tcW w:w="1135" w:type="dxa"/>
            <w:vAlign w:val="center"/>
          </w:tcPr>
          <w:p w14:paraId="63F30A06">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b/>
                <w:bCs/>
                <w:sz w:val="21"/>
                <w:szCs w:val="21"/>
                <w:lang w:val="en-US" w:eastAsia="zh-CN"/>
              </w:rPr>
              <w:t>资金性质</w:t>
            </w:r>
          </w:p>
        </w:tc>
        <w:tc>
          <w:tcPr>
            <w:tcW w:w="1135" w:type="dxa"/>
            <w:vAlign w:val="center"/>
          </w:tcPr>
          <w:p w14:paraId="372DDF9F">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rPr>
            </w:pPr>
            <w:r>
              <w:rPr>
                <w:rFonts w:hint="eastAsia" w:ascii="宋体" w:hAnsi="宋体" w:eastAsia="宋体" w:cs="宋体"/>
                <w:b/>
                <w:bCs/>
                <w:sz w:val="21"/>
                <w:szCs w:val="21"/>
                <w:lang w:val="en-US" w:eastAsia="zh-CN"/>
              </w:rPr>
              <w:t>国产/进口</w:t>
            </w:r>
          </w:p>
        </w:tc>
      </w:tr>
      <w:tr w14:paraId="453AE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 w:type="dxa"/>
            <w:vAlign w:val="center"/>
          </w:tcPr>
          <w:p w14:paraId="5DF99D1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801" w:type="dxa"/>
            <w:vAlign w:val="center"/>
          </w:tcPr>
          <w:p w14:paraId="77C1E27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939" w:type="dxa"/>
            <w:vAlign w:val="center"/>
          </w:tcPr>
          <w:p w14:paraId="5D200137">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kern w:val="2"/>
                <w:sz w:val="21"/>
                <w:szCs w:val="21"/>
                <w:vertAlign w:val="baseline"/>
                <w:lang w:val="en-US" w:eastAsia="zh-CN" w:bidi="ar-SA"/>
              </w:rPr>
              <w:t>驻马店市中心医院聘请法律顾问</w:t>
            </w:r>
          </w:p>
        </w:tc>
        <w:tc>
          <w:tcPr>
            <w:tcW w:w="999" w:type="dxa"/>
            <w:vAlign w:val="center"/>
          </w:tcPr>
          <w:p w14:paraId="5A4801E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kern w:val="2"/>
                <w:sz w:val="21"/>
                <w:szCs w:val="21"/>
                <w:vertAlign w:val="baseline"/>
                <w:lang w:val="en-US" w:eastAsia="zh-CN" w:bidi="ar-SA"/>
              </w:rPr>
              <w:t>年</w:t>
            </w:r>
          </w:p>
        </w:tc>
        <w:tc>
          <w:tcPr>
            <w:tcW w:w="936" w:type="dxa"/>
            <w:vAlign w:val="center"/>
          </w:tcPr>
          <w:p w14:paraId="7532D8F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kern w:val="2"/>
                <w:sz w:val="21"/>
                <w:szCs w:val="21"/>
                <w:vertAlign w:val="baseline"/>
                <w:lang w:val="en-US" w:eastAsia="zh-CN" w:bidi="ar-SA"/>
              </w:rPr>
              <w:t>1</w:t>
            </w:r>
          </w:p>
        </w:tc>
        <w:tc>
          <w:tcPr>
            <w:tcW w:w="1135" w:type="dxa"/>
            <w:vAlign w:val="center"/>
          </w:tcPr>
          <w:p w14:paraId="2F36F41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kern w:val="2"/>
                <w:sz w:val="21"/>
                <w:szCs w:val="21"/>
                <w:vertAlign w:val="baseline"/>
                <w:lang w:val="en-US" w:eastAsia="zh-CN" w:bidi="ar-SA"/>
              </w:rPr>
              <w:t>45万元</w:t>
            </w:r>
          </w:p>
        </w:tc>
        <w:tc>
          <w:tcPr>
            <w:tcW w:w="1135" w:type="dxa"/>
            <w:vAlign w:val="center"/>
          </w:tcPr>
          <w:p w14:paraId="13880D7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sz w:val="21"/>
                <w:szCs w:val="21"/>
                <w:vertAlign w:val="baseline"/>
                <w:lang w:val="en-US" w:eastAsia="zh-CN"/>
              </w:rPr>
              <w:t>自筹</w:t>
            </w:r>
          </w:p>
        </w:tc>
        <w:tc>
          <w:tcPr>
            <w:tcW w:w="1135" w:type="dxa"/>
            <w:vAlign w:val="center"/>
          </w:tcPr>
          <w:p w14:paraId="0A68DB5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sz w:val="21"/>
                <w:szCs w:val="21"/>
                <w:vertAlign w:val="baseline"/>
                <w:lang w:val="en-US" w:eastAsia="zh-CN"/>
              </w:rPr>
              <w:t>国产</w:t>
            </w:r>
          </w:p>
        </w:tc>
      </w:tr>
      <w:tr w14:paraId="4C822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gridSpan w:val="2"/>
            <w:vAlign w:val="center"/>
          </w:tcPr>
          <w:p w14:paraId="181589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合计</w:t>
            </w:r>
          </w:p>
        </w:tc>
        <w:tc>
          <w:tcPr>
            <w:tcW w:w="2939" w:type="dxa"/>
            <w:vAlign w:val="center"/>
          </w:tcPr>
          <w:p w14:paraId="5D2EBEB0">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p>
        </w:tc>
        <w:tc>
          <w:tcPr>
            <w:tcW w:w="999" w:type="dxa"/>
            <w:vAlign w:val="center"/>
          </w:tcPr>
          <w:p w14:paraId="016B5D5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年</w:t>
            </w:r>
          </w:p>
        </w:tc>
        <w:tc>
          <w:tcPr>
            <w:tcW w:w="936" w:type="dxa"/>
            <w:vAlign w:val="center"/>
          </w:tcPr>
          <w:p w14:paraId="3E3D767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1</w:t>
            </w:r>
          </w:p>
        </w:tc>
        <w:tc>
          <w:tcPr>
            <w:tcW w:w="1135" w:type="dxa"/>
            <w:vAlign w:val="center"/>
          </w:tcPr>
          <w:p w14:paraId="109FC60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45万元</w:t>
            </w:r>
          </w:p>
        </w:tc>
        <w:tc>
          <w:tcPr>
            <w:tcW w:w="1135" w:type="dxa"/>
            <w:vAlign w:val="center"/>
          </w:tcPr>
          <w:p w14:paraId="33981BD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1135" w:type="dxa"/>
            <w:vAlign w:val="center"/>
          </w:tcPr>
          <w:p w14:paraId="1A12E43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p>
        </w:tc>
      </w:tr>
      <w:tr w14:paraId="2779A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4" w:type="dxa"/>
            <w:gridSpan w:val="8"/>
            <w:vAlign w:val="center"/>
          </w:tcPr>
          <w:p w14:paraId="23C4CEB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注：1、投标人必须具有医疗纠纷调解与处理诉讼、鉴定的能力且无执业违法违规记录，未受过行业处分，能及时参与本院的纠纷调解，时间上能保证本院工作安排。</w:t>
            </w:r>
          </w:p>
          <w:p w14:paraId="0E12A10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2、投标人为我院提供的法律顾问成员，应不少于3人。</w:t>
            </w:r>
          </w:p>
        </w:tc>
      </w:tr>
    </w:tbl>
    <w:p w14:paraId="10340800">
      <w:pPr>
        <w:spacing w:afterAutospacing="0" w:line="360" w:lineRule="auto"/>
        <w:ind w:firstLine="482" w:firstLineChars="200"/>
        <w:jc w:val="left"/>
        <w:rPr>
          <w:rFonts w:hint="eastAsia" w:ascii="宋体" w:hAnsi="宋体" w:eastAsia="宋体" w:cs="宋体"/>
          <w:b/>
          <w:bCs/>
          <w:i w:val="0"/>
          <w:iCs/>
          <w:sz w:val="24"/>
          <w:szCs w:val="24"/>
          <w:u w:val="none"/>
          <w:lang w:val="en-US" w:eastAsia="zh-CN"/>
        </w:rPr>
      </w:pPr>
      <w:r>
        <w:rPr>
          <w:rFonts w:hint="eastAsia" w:ascii="宋体" w:hAnsi="宋体" w:eastAsia="宋体" w:cs="宋体"/>
          <w:b/>
          <w:bCs/>
          <w:i w:val="0"/>
          <w:iCs/>
          <w:sz w:val="24"/>
          <w:szCs w:val="24"/>
          <w:u w:val="none"/>
          <w:lang w:val="en-US" w:eastAsia="zh-CN"/>
        </w:rPr>
        <w:t>四、技术要求：</w:t>
      </w:r>
    </w:p>
    <w:p w14:paraId="562EEB25">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lang w:val="en-US" w:eastAsia="zh-CN"/>
        </w:rPr>
        <w:t>1.</w:t>
      </w:r>
      <w:r>
        <w:rPr>
          <w:rFonts w:hint="eastAsia" w:ascii="宋体" w:hAnsi="宋体" w:eastAsia="宋体" w:cs="宋体"/>
          <w:sz w:val="21"/>
          <w:szCs w:val="21"/>
          <w:u w:val="none"/>
          <w:lang w:eastAsia="zh-CN"/>
        </w:rPr>
        <w:t>投标人</w:t>
      </w:r>
      <w:r>
        <w:rPr>
          <w:rFonts w:hint="eastAsia" w:ascii="宋体" w:hAnsi="宋体" w:eastAsia="宋体" w:cs="宋体"/>
          <w:sz w:val="21"/>
          <w:szCs w:val="21"/>
          <w:u w:val="none"/>
        </w:rPr>
        <w:t>服务费由基本费用、额外费用、激励费用共同构成。基本费用为1</w:t>
      </w:r>
      <w:r>
        <w:rPr>
          <w:rFonts w:hint="eastAsia" w:ascii="宋体" w:hAnsi="宋体" w:eastAsia="宋体" w:cs="宋体"/>
          <w:sz w:val="21"/>
          <w:szCs w:val="21"/>
          <w:u w:val="none"/>
          <w:lang w:val="en-US" w:eastAsia="zh-CN"/>
        </w:rPr>
        <w:t>54</w:t>
      </w:r>
      <w:r>
        <w:rPr>
          <w:rFonts w:hint="eastAsia" w:ascii="宋体" w:hAnsi="宋体" w:eastAsia="宋体" w:cs="宋体"/>
          <w:sz w:val="21"/>
          <w:szCs w:val="21"/>
          <w:u w:val="none"/>
        </w:rPr>
        <w:t>000元/年，额外费用和激励费用见下文规定，法律顾问为办理案件支出的差旅费按《驻马店市市直机关差旅费管理办法》的标准由</w:t>
      </w:r>
      <w:r>
        <w:rPr>
          <w:rFonts w:hint="eastAsia" w:ascii="宋体" w:hAnsi="宋体" w:eastAsia="宋体" w:cs="宋体"/>
          <w:sz w:val="21"/>
          <w:szCs w:val="21"/>
          <w:u w:val="none"/>
          <w:lang w:eastAsia="zh-CN"/>
        </w:rPr>
        <w:t>医院</w:t>
      </w:r>
      <w:r>
        <w:rPr>
          <w:rFonts w:hint="eastAsia" w:ascii="宋体" w:hAnsi="宋体" w:eastAsia="宋体" w:cs="宋体"/>
          <w:sz w:val="21"/>
          <w:szCs w:val="21"/>
          <w:u w:val="none"/>
        </w:rPr>
        <w:t>负担交通费、住宿费。</w:t>
      </w:r>
    </w:p>
    <w:p w14:paraId="5B2946A6">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lang w:val="en-US" w:eastAsia="zh-CN"/>
        </w:rPr>
        <w:t>2.</w:t>
      </w:r>
      <w:r>
        <w:rPr>
          <w:rFonts w:hint="eastAsia" w:ascii="宋体" w:hAnsi="宋体" w:eastAsia="宋体" w:cs="宋体"/>
          <w:sz w:val="21"/>
          <w:szCs w:val="21"/>
          <w:u w:val="none"/>
          <w:lang w:eastAsia="zh-CN"/>
        </w:rPr>
        <w:t>医院</w:t>
      </w:r>
      <w:r>
        <w:rPr>
          <w:rFonts w:hint="eastAsia" w:ascii="宋体" w:hAnsi="宋体" w:eastAsia="宋体" w:cs="宋体"/>
          <w:sz w:val="21"/>
          <w:szCs w:val="21"/>
          <w:u w:val="none"/>
        </w:rPr>
        <w:t>在</w:t>
      </w:r>
      <w:r>
        <w:rPr>
          <w:rFonts w:hint="eastAsia" w:ascii="宋体" w:hAnsi="宋体" w:eastAsia="宋体" w:cs="宋体"/>
          <w:sz w:val="21"/>
          <w:szCs w:val="21"/>
          <w:u w:val="none"/>
          <w:lang w:eastAsia="zh-CN"/>
        </w:rPr>
        <w:t>投标人</w:t>
      </w:r>
      <w:r>
        <w:rPr>
          <w:rFonts w:hint="eastAsia" w:ascii="宋体" w:hAnsi="宋体" w:eastAsia="宋体" w:cs="宋体"/>
          <w:sz w:val="21"/>
          <w:szCs w:val="21"/>
          <w:u w:val="none"/>
        </w:rPr>
        <w:t>服务期限内支付法律顾问基本费用</w:t>
      </w:r>
      <w:r>
        <w:rPr>
          <w:rFonts w:hint="eastAsia" w:ascii="宋体" w:hAnsi="宋体" w:eastAsia="宋体" w:cs="宋体"/>
          <w:sz w:val="21"/>
          <w:szCs w:val="21"/>
          <w:u w:val="none"/>
          <w:lang w:val="en-US" w:eastAsia="zh-CN"/>
        </w:rPr>
        <w:t>154000</w:t>
      </w:r>
      <w:r>
        <w:rPr>
          <w:rFonts w:hint="eastAsia" w:ascii="宋体" w:hAnsi="宋体" w:eastAsia="宋体" w:cs="宋体"/>
          <w:sz w:val="21"/>
          <w:szCs w:val="21"/>
          <w:u w:val="none"/>
        </w:rPr>
        <w:t>元/年，202</w:t>
      </w:r>
      <w:r>
        <w:rPr>
          <w:rFonts w:hint="eastAsia" w:ascii="宋体" w:hAnsi="宋体" w:eastAsia="宋体" w:cs="宋体"/>
          <w:sz w:val="21"/>
          <w:szCs w:val="21"/>
          <w:u w:val="none"/>
          <w:lang w:val="en-US" w:eastAsia="zh-CN"/>
        </w:rPr>
        <w:t>5</w:t>
      </w:r>
      <w:r>
        <w:rPr>
          <w:rFonts w:hint="eastAsia" w:ascii="宋体" w:hAnsi="宋体" w:eastAsia="宋体" w:cs="宋体"/>
          <w:sz w:val="21"/>
          <w:szCs w:val="21"/>
          <w:u w:val="none"/>
        </w:rPr>
        <w:t>年</w:t>
      </w:r>
      <w:r>
        <w:rPr>
          <w:rFonts w:hint="eastAsia" w:ascii="宋体" w:hAnsi="宋体" w:eastAsia="宋体" w:cs="宋体"/>
          <w:sz w:val="21"/>
          <w:szCs w:val="21"/>
          <w:u w:val="none"/>
          <w:lang w:val="en-US" w:eastAsia="zh-CN"/>
        </w:rPr>
        <w:t>3</w:t>
      </w:r>
      <w:r>
        <w:rPr>
          <w:rFonts w:hint="eastAsia" w:ascii="宋体" w:hAnsi="宋体" w:eastAsia="宋体" w:cs="宋体"/>
          <w:sz w:val="21"/>
          <w:szCs w:val="21"/>
          <w:u w:val="none"/>
        </w:rPr>
        <w:t>月30日之前支付45％，202</w:t>
      </w:r>
      <w:r>
        <w:rPr>
          <w:rFonts w:hint="eastAsia" w:ascii="宋体" w:hAnsi="宋体" w:eastAsia="宋体" w:cs="宋体"/>
          <w:sz w:val="21"/>
          <w:szCs w:val="21"/>
          <w:u w:val="none"/>
          <w:lang w:val="en-US" w:eastAsia="zh-CN"/>
        </w:rPr>
        <w:t>5</w:t>
      </w:r>
      <w:r>
        <w:rPr>
          <w:rFonts w:hint="eastAsia" w:ascii="宋体" w:hAnsi="宋体" w:eastAsia="宋体" w:cs="宋体"/>
          <w:sz w:val="21"/>
          <w:szCs w:val="21"/>
          <w:u w:val="none"/>
        </w:rPr>
        <w:t>年</w:t>
      </w:r>
      <w:r>
        <w:rPr>
          <w:rFonts w:hint="eastAsia" w:ascii="宋体" w:hAnsi="宋体" w:eastAsia="宋体" w:cs="宋体"/>
          <w:sz w:val="21"/>
          <w:szCs w:val="21"/>
          <w:u w:val="none"/>
          <w:lang w:val="en-US" w:eastAsia="zh-CN"/>
        </w:rPr>
        <w:t>10</w:t>
      </w:r>
      <w:r>
        <w:rPr>
          <w:rFonts w:hint="eastAsia" w:ascii="宋体" w:hAnsi="宋体" w:eastAsia="宋体" w:cs="宋体"/>
          <w:sz w:val="21"/>
          <w:szCs w:val="21"/>
          <w:u w:val="none"/>
        </w:rPr>
        <w:t>月30日之前支付45％；剩余10％作为考核费用，依《法律顾问考核办法》进行支付。</w:t>
      </w:r>
    </w:p>
    <w:p w14:paraId="1B320114">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lang w:val="en-US" w:eastAsia="zh-CN"/>
        </w:rPr>
        <w:t>3.</w:t>
      </w:r>
      <w:r>
        <w:rPr>
          <w:rFonts w:hint="eastAsia" w:ascii="宋体" w:hAnsi="宋体" w:eastAsia="宋体" w:cs="宋体"/>
          <w:sz w:val="21"/>
          <w:szCs w:val="21"/>
          <w:u w:val="none"/>
        </w:rPr>
        <w:t>合同履行期间如有相关案件需要委托代理，其中20件案件属于基本费用所涵盖范围，该20件案件以外的案件费用或相关费用按额外费用及激励费用计费标准进行收费。</w:t>
      </w:r>
    </w:p>
    <w:p w14:paraId="04131792">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lang w:val="en-US" w:eastAsia="zh-CN"/>
        </w:rPr>
        <w:t>4.</w:t>
      </w:r>
      <w:r>
        <w:rPr>
          <w:rFonts w:hint="eastAsia" w:ascii="宋体" w:hAnsi="宋体" w:eastAsia="宋体" w:cs="宋体"/>
          <w:sz w:val="21"/>
          <w:szCs w:val="21"/>
          <w:u w:val="none"/>
        </w:rPr>
        <w:t>上述第</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3</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项</w:t>
      </w:r>
      <w:r>
        <w:rPr>
          <w:rFonts w:hint="eastAsia" w:ascii="宋体" w:hAnsi="宋体" w:eastAsia="宋体" w:cs="宋体"/>
          <w:sz w:val="21"/>
          <w:szCs w:val="21"/>
          <w:u w:val="none"/>
        </w:rPr>
        <w:t>所称“其中20件案件”，特指</w:t>
      </w:r>
      <w:r>
        <w:rPr>
          <w:rFonts w:hint="eastAsia" w:ascii="宋体" w:hAnsi="宋体" w:eastAsia="宋体" w:cs="宋体"/>
          <w:sz w:val="21"/>
          <w:szCs w:val="21"/>
          <w:u w:val="none"/>
          <w:lang w:val="en-US" w:eastAsia="zh-CN"/>
        </w:rPr>
        <w:t>合同签订后结案的，</w:t>
      </w:r>
      <w:r>
        <w:rPr>
          <w:rFonts w:hint="eastAsia" w:ascii="宋体" w:hAnsi="宋体" w:eastAsia="宋体" w:cs="宋体"/>
          <w:sz w:val="21"/>
          <w:szCs w:val="21"/>
          <w:u w:val="none"/>
        </w:rPr>
        <w:t>经司法鉴定，具有司法鉴定意见书的法院、医调委的案件</w:t>
      </w:r>
      <w:r>
        <w:rPr>
          <w:rFonts w:hint="eastAsia" w:ascii="宋体" w:hAnsi="宋体" w:eastAsia="宋体" w:cs="宋体"/>
          <w:sz w:val="21"/>
          <w:szCs w:val="21"/>
          <w:u w:val="none"/>
          <w:lang w:eastAsia="zh-CN"/>
        </w:rPr>
        <w:t>，</w:t>
      </w:r>
      <w:r>
        <w:rPr>
          <w:rFonts w:hint="eastAsia" w:ascii="宋体" w:hAnsi="宋体" w:eastAsia="宋体" w:cs="宋体"/>
          <w:sz w:val="21"/>
          <w:szCs w:val="21"/>
          <w:u w:val="none"/>
        </w:rPr>
        <w:t>结案后，按结案时间先后顺序核算前20件，合同签订后每半年核算一次。</w:t>
      </w:r>
    </w:p>
    <w:p w14:paraId="545A4B2D">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lang w:val="en-US" w:eastAsia="zh-CN"/>
        </w:rPr>
        <w:t>5.</w:t>
      </w:r>
      <w:r>
        <w:rPr>
          <w:rFonts w:hint="eastAsia" w:ascii="宋体" w:hAnsi="宋体" w:eastAsia="宋体" w:cs="宋体"/>
          <w:sz w:val="21"/>
          <w:szCs w:val="21"/>
          <w:u w:val="none"/>
        </w:rPr>
        <w:t>案件结案后，依下述情形产生额外费用：</w:t>
      </w:r>
    </w:p>
    <w:p w14:paraId="13C8B2BA">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(1)医调委案件</w:t>
      </w:r>
    </w:p>
    <w:p w14:paraId="254E4D82">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1）未经司法鉴定的，或不具有司法鉴定意见书的，不收费。</w:t>
      </w:r>
    </w:p>
    <w:p w14:paraId="434CBD73">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2）经司法鉴定，且具有司法鉴定意见书的：每件以赔偿金额的3％，再下浮20％计算收费。</w:t>
      </w:r>
    </w:p>
    <w:p w14:paraId="7AD30FC0">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lang w:eastAsia="zh-CN"/>
        </w:rPr>
      </w:pPr>
      <w:r>
        <w:rPr>
          <w:rFonts w:hint="eastAsia" w:ascii="宋体" w:hAnsi="宋体" w:eastAsia="宋体" w:cs="宋体"/>
          <w:sz w:val="21"/>
          <w:szCs w:val="21"/>
          <w:u w:val="none"/>
          <w:lang w:val="en-US" w:eastAsia="zh-CN"/>
        </w:rPr>
        <w:t>3</w:t>
      </w:r>
      <w:r>
        <w:rPr>
          <w:rFonts w:hint="eastAsia" w:ascii="宋体" w:hAnsi="宋体" w:eastAsia="宋体" w:cs="宋体"/>
          <w:sz w:val="21"/>
          <w:szCs w:val="21"/>
          <w:u w:val="none"/>
          <w:lang w:eastAsia="zh-CN"/>
        </w:rPr>
        <w:t>）以终止调解结案的，若司法鉴定意见书由当次的</w:t>
      </w:r>
      <w:r>
        <w:rPr>
          <w:rFonts w:hint="eastAsia" w:ascii="宋体" w:hAnsi="宋体" w:eastAsia="宋体" w:cs="宋体"/>
          <w:sz w:val="21"/>
          <w:szCs w:val="21"/>
          <w:u w:val="none"/>
          <w:lang w:val="en-US" w:eastAsia="zh-CN"/>
        </w:rPr>
        <w:t>调解</w:t>
      </w:r>
      <w:r>
        <w:rPr>
          <w:rFonts w:hint="eastAsia" w:ascii="宋体" w:hAnsi="宋体" w:eastAsia="宋体" w:cs="宋体"/>
          <w:sz w:val="21"/>
          <w:szCs w:val="21"/>
          <w:u w:val="none"/>
          <w:lang w:eastAsia="zh-CN"/>
        </w:rPr>
        <w:t>阶段所产生，每件3000元收费，计算收费后又重新至医调委或起诉的，该重新至医调委或起诉的案件不再收费。</w:t>
      </w:r>
    </w:p>
    <w:p w14:paraId="2ED66D05">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(2)法院案件</w:t>
      </w:r>
    </w:p>
    <w:p w14:paraId="60BEE81E">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1）一审案件：（A）以撤诉裁定结案的，不收费。（B）以判决书</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调解书</w:t>
      </w:r>
      <w:r>
        <w:rPr>
          <w:rFonts w:hint="eastAsia" w:ascii="宋体" w:hAnsi="宋体" w:eastAsia="宋体" w:cs="宋体"/>
          <w:sz w:val="21"/>
          <w:szCs w:val="21"/>
          <w:u w:val="none"/>
        </w:rPr>
        <w:t>结案的，标的额在10万元以下的，每件3000元收费；标的额在10万元以上的，10万元以内的部分按3000元计费，超出10万元的部分按超出部分的3％计费，上述两部分计费数额相加后计算收费。</w:t>
      </w:r>
    </w:p>
    <w:p w14:paraId="4D7E014F">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2）二审案件：（A）以判决书</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调解书</w:t>
      </w:r>
      <w:r>
        <w:rPr>
          <w:rFonts w:hint="eastAsia" w:ascii="宋体" w:hAnsi="宋体" w:eastAsia="宋体" w:cs="宋体"/>
          <w:sz w:val="21"/>
          <w:szCs w:val="21"/>
          <w:u w:val="none"/>
        </w:rPr>
        <w:t>结案的，维持原判的，每件3000元收费。（B）以判决书</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调解书</w:t>
      </w:r>
      <w:r>
        <w:rPr>
          <w:rFonts w:hint="eastAsia" w:ascii="宋体" w:hAnsi="宋体" w:eastAsia="宋体" w:cs="宋体"/>
          <w:sz w:val="21"/>
          <w:szCs w:val="21"/>
          <w:u w:val="none"/>
        </w:rPr>
        <w:t>结案的，依法改判或变更的，每件3000元收费。（C）裁定撤销原判决，发回原审人民法院重审的，每件3000元收费。（D）</w:t>
      </w:r>
      <w:r>
        <w:rPr>
          <w:rFonts w:hint="eastAsia" w:ascii="宋体" w:hAnsi="宋体" w:eastAsia="宋体" w:cs="宋体"/>
          <w:sz w:val="21"/>
          <w:szCs w:val="21"/>
          <w:u w:val="none"/>
          <w:lang w:val="en-US" w:eastAsia="zh-CN"/>
        </w:rPr>
        <w:t>以撤诉裁定结案的，不收费。（E）</w:t>
      </w:r>
      <w:bookmarkStart w:id="35" w:name="OLE_LINK1"/>
      <w:r>
        <w:rPr>
          <w:rFonts w:hint="eastAsia" w:ascii="宋体" w:hAnsi="宋体" w:eastAsia="宋体" w:cs="宋体"/>
          <w:sz w:val="21"/>
          <w:szCs w:val="21"/>
          <w:u w:val="none"/>
        </w:rPr>
        <w:t>以撤诉裁定结案的，</w:t>
      </w:r>
      <w:r>
        <w:rPr>
          <w:rFonts w:hint="eastAsia" w:ascii="宋体" w:hAnsi="宋体" w:eastAsia="宋体" w:cs="宋体"/>
          <w:sz w:val="21"/>
          <w:szCs w:val="21"/>
          <w:u w:val="none"/>
          <w:lang w:val="en-US" w:eastAsia="zh-CN"/>
        </w:rPr>
        <w:t>若司法鉴定意见书由当次的审判程序阶段所产生，每件3000元收费，计算收费后又重新起诉或至医调委的，该重新起诉或至医调委的案件不再收费</w:t>
      </w:r>
      <w:r>
        <w:rPr>
          <w:rFonts w:hint="eastAsia" w:ascii="宋体" w:hAnsi="宋体" w:eastAsia="宋体" w:cs="宋体"/>
          <w:sz w:val="21"/>
          <w:szCs w:val="21"/>
          <w:u w:val="none"/>
        </w:rPr>
        <w:t>。</w:t>
      </w:r>
      <w:bookmarkEnd w:id="35"/>
    </w:p>
    <w:p w14:paraId="59FA8AA8">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lang w:eastAsia="zh-CN"/>
        </w:rPr>
      </w:pPr>
      <w:r>
        <w:rPr>
          <w:rFonts w:hint="eastAsia" w:ascii="宋体" w:hAnsi="宋体" w:eastAsia="宋体" w:cs="宋体"/>
          <w:sz w:val="21"/>
          <w:szCs w:val="21"/>
          <w:u w:val="none"/>
        </w:rPr>
        <w:t>3）发回重审的案件：（A）以判决书</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调解书</w:t>
      </w:r>
      <w:r>
        <w:rPr>
          <w:rFonts w:hint="eastAsia" w:ascii="宋体" w:hAnsi="宋体" w:eastAsia="宋体" w:cs="宋体"/>
          <w:sz w:val="21"/>
          <w:szCs w:val="21"/>
          <w:u w:val="none"/>
        </w:rPr>
        <w:t>结案的，维持原判的，每件3000元收费。（B）以判决书</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调解书</w:t>
      </w:r>
      <w:r>
        <w:rPr>
          <w:rFonts w:hint="eastAsia" w:ascii="宋体" w:hAnsi="宋体" w:eastAsia="宋体" w:cs="宋体"/>
          <w:sz w:val="21"/>
          <w:szCs w:val="21"/>
          <w:u w:val="none"/>
        </w:rPr>
        <w:t>结案的，依法改判或变更的，每件3000元收费。（C）以撤诉裁定结案的，不收费。</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D</w:t>
      </w:r>
      <w:r>
        <w:rPr>
          <w:rFonts w:hint="eastAsia" w:ascii="宋体" w:hAnsi="宋体" w:eastAsia="宋体" w:cs="宋体"/>
          <w:sz w:val="21"/>
          <w:szCs w:val="21"/>
          <w:u w:val="none"/>
          <w:lang w:eastAsia="zh-CN"/>
        </w:rPr>
        <w:t>）以撤诉裁定结案的，若司法鉴定意见书由当次的审判程序阶段所产生，每件3000元收费，计算收费后又重新起诉或至医调委的，该重新起诉或至医调委的案件不再收费。</w:t>
      </w:r>
    </w:p>
    <w:p w14:paraId="48B6BD37">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4）审判监督程序的案件，每件按标的额的</w:t>
      </w:r>
      <w:r>
        <w:rPr>
          <w:rFonts w:hint="eastAsia" w:ascii="宋体" w:hAnsi="宋体" w:eastAsia="宋体" w:cs="宋体"/>
          <w:sz w:val="21"/>
          <w:szCs w:val="21"/>
          <w:u w:val="none"/>
          <w:lang w:val="en-US" w:eastAsia="zh-CN"/>
        </w:rPr>
        <w:t>5</w:t>
      </w:r>
      <w:r>
        <w:rPr>
          <w:rFonts w:hint="eastAsia" w:ascii="宋体" w:hAnsi="宋体" w:eastAsia="宋体" w:cs="宋体"/>
          <w:sz w:val="21"/>
          <w:szCs w:val="21"/>
          <w:u w:val="none"/>
        </w:rPr>
        <w:t>％计算收费。</w:t>
      </w:r>
    </w:p>
    <w:p w14:paraId="5F767787">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5）法院案件，若</w:t>
      </w:r>
      <w:r>
        <w:rPr>
          <w:rFonts w:hint="eastAsia" w:ascii="宋体" w:hAnsi="宋体" w:eastAsia="宋体" w:cs="宋体"/>
          <w:sz w:val="21"/>
          <w:szCs w:val="21"/>
          <w:u w:val="none"/>
          <w:lang w:val="en-US" w:eastAsia="zh-CN"/>
        </w:rPr>
        <w:t>我院</w:t>
      </w:r>
      <w:r>
        <w:rPr>
          <w:rFonts w:hint="eastAsia" w:ascii="宋体" w:hAnsi="宋体" w:eastAsia="宋体" w:cs="宋体"/>
          <w:sz w:val="21"/>
          <w:szCs w:val="21"/>
          <w:u w:val="none"/>
        </w:rPr>
        <w:t>为被告、第三人，且存在多个被告、第三人的，标的额以被告和第三人的总数平均计算。</w:t>
      </w:r>
    </w:p>
    <w:p w14:paraId="6ACCDFA0">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6）法院案件，若</w:t>
      </w:r>
      <w:r>
        <w:rPr>
          <w:rFonts w:hint="eastAsia" w:ascii="宋体" w:hAnsi="宋体" w:eastAsia="宋体" w:cs="宋体"/>
          <w:sz w:val="21"/>
          <w:szCs w:val="21"/>
          <w:u w:val="none"/>
          <w:lang w:val="en-US" w:eastAsia="zh-CN"/>
        </w:rPr>
        <w:t>能够以“完全因果关系”来评估赔偿数额，且</w:t>
      </w:r>
      <w:r>
        <w:rPr>
          <w:rFonts w:hint="eastAsia" w:ascii="宋体" w:hAnsi="宋体" w:eastAsia="宋体" w:cs="宋体"/>
          <w:sz w:val="21"/>
          <w:szCs w:val="21"/>
          <w:u w:val="none"/>
        </w:rPr>
        <w:t>对方当事人未聘请律师或法律工作者</w:t>
      </w:r>
      <w:r>
        <w:rPr>
          <w:rFonts w:hint="eastAsia" w:ascii="宋体" w:hAnsi="宋体" w:eastAsia="宋体" w:cs="宋体"/>
          <w:sz w:val="21"/>
          <w:szCs w:val="21"/>
          <w:u w:val="none"/>
          <w:lang w:val="en-US" w:eastAsia="zh-CN"/>
        </w:rPr>
        <w:t>的；</w:t>
      </w:r>
      <w:r>
        <w:rPr>
          <w:rFonts w:hint="eastAsia" w:ascii="宋体" w:hAnsi="宋体" w:eastAsia="宋体" w:cs="宋体"/>
          <w:sz w:val="21"/>
          <w:szCs w:val="21"/>
          <w:u w:val="none"/>
        </w:rPr>
        <w:t>按“标的额”计算费用的情形变更为“依照法律规定，按照</w:t>
      </w:r>
      <w:bookmarkStart w:id="36" w:name="OLE_LINK2"/>
      <w:r>
        <w:rPr>
          <w:rFonts w:hint="eastAsia" w:ascii="宋体" w:hAnsi="宋体" w:eastAsia="宋体" w:cs="宋体"/>
          <w:sz w:val="21"/>
          <w:szCs w:val="21"/>
          <w:u w:val="none"/>
        </w:rPr>
        <w:t>‘完全因果关系’评估的赔偿数额</w:t>
      </w:r>
      <w:bookmarkEnd w:id="36"/>
      <w:r>
        <w:rPr>
          <w:rFonts w:hint="eastAsia" w:ascii="宋体" w:hAnsi="宋体" w:eastAsia="宋体" w:cs="宋体"/>
          <w:sz w:val="21"/>
          <w:szCs w:val="21"/>
          <w:u w:val="none"/>
        </w:rPr>
        <w:t>”计算费用，变更后计算费用的方式参照适用按“标的额”计算费用的方式[即第</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5”项</w:t>
      </w:r>
      <w:r>
        <w:rPr>
          <w:rFonts w:hint="eastAsia" w:ascii="宋体" w:hAnsi="宋体" w:eastAsia="宋体" w:cs="宋体"/>
          <w:sz w:val="21"/>
          <w:szCs w:val="21"/>
          <w:u w:val="none"/>
        </w:rPr>
        <w:t>“（2）法院案件”中第“1）”至第“5）”种方式]。但是“依照法律规定，按照‘完全因果关系’评估的赔偿数额”高于“标的额”的，仍按“标的额”计算费用。</w:t>
      </w:r>
    </w:p>
    <w:p w14:paraId="3523E0ED">
      <w:pPr>
        <w:pStyle w:val="14"/>
        <w:keepNext w:val="0"/>
        <w:keepLines w:val="0"/>
        <w:pageBreakBefore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额外费用精确至个位</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元）</w:t>
      </w:r>
      <w:r>
        <w:rPr>
          <w:rFonts w:hint="eastAsia" w:ascii="宋体" w:hAnsi="宋体" w:eastAsia="宋体" w:cs="宋体"/>
          <w:sz w:val="21"/>
          <w:szCs w:val="21"/>
          <w:u w:val="none"/>
        </w:rPr>
        <w:t>，小数点后一位的数字四舍五入。上述规定未尽事宜，由</w:t>
      </w:r>
      <w:r>
        <w:rPr>
          <w:rFonts w:hint="eastAsia" w:ascii="宋体" w:hAnsi="宋体" w:eastAsia="宋体" w:cs="宋体"/>
          <w:sz w:val="21"/>
          <w:szCs w:val="21"/>
          <w:u w:val="none"/>
          <w:lang w:eastAsia="zh-CN"/>
        </w:rPr>
        <w:t>医院</w:t>
      </w:r>
      <w:r>
        <w:rPr>
          <w:rFonts w:hint="eastAsia" w:ascii="宋体" w:hAnsi="宋体" w:eastAsia="宋体" w:cs="宋体"/>
          <w:sz w:val="21"/>
          <w:szCs w:val="21"/>
          <w:u w:val="none"/>
        </w:rPr>
        <w:t>认定。</w:t>
      </w:r>
    </w:p>
    <w:p w14:paraId="00DB4DD5">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lang w:val="en-US" w:eastAsia="zh-CN"/>
        </w:rPr>
        <w:t>6.</w:t>
      </w:r>
      <w:r>
        <w:rPr>
          <w:rFonts w:hint="eastAsia" w:ascii="宋体" w:hAnsi="宋体" w:eastAsia="宋体" w:cs="宋体"/>
          <w:sz w:val="21"/>
          <w:szCs w:val="21"/>
          <w:u w:val="none"/>
        </w:rPr>
        <w:t>依下述情形产生激励费用：</w:t>
      </w:r>
    </w:p>
    <w:p w14:paraId="01E5D2A8">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（1）上述第</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5</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项</w:t>
      </w:r>
      <w:r>
        <w:rPr>
          <w:rFonts w:hint="eastAsia" w:ascii="宋体" w:hAnsi="宋体" w:eastAsia="宋体" w:cs="宋体"/>
          <w:sz w:val="21"/>
          <w:szCs w:val="21"/>
          <w:u w:val="none"/>
        </w:rPr>
        <w:t>“(1)医调委案件”中“2）经司法鉴定，且具有司法鉴定意见书的”情形，司法鉴定意见书载明</w:t>
      </w:r>
      <w:r>
        <w:rPr>
          <w:rFonts w:hint="eastAsia" w:ascii="宋体" w:hAnsi="宋体" w:eastAsia="宋体" w:cs="宋体"/>
          <w:sz w:val="21"/>
          <w:szCs w:val="21"/>
          <w:u w:val="none"/>
          <w:lang w:eastAsia="zh-CN"/>
        </w:rPr>
        <w:t>医院</w:t>
      </w:r>
      <w:r>
        <w:rPr>
          <w:rFonts w:hint="eastAsia" w:ascii="宋体" w:hAnsi="宋体" w:eastAsia="宋体" w:cs="宋体"/>
          <w:sz w:val="21"/>
          <w:szCs w:val="21"/>
          <w:u w:val="none"/>
        </w:rPr>
        <w:t>的诊疗行为与患者损害无因果关系，且</w:t>
      </w:r>
      <w:r>
        <w:rPr>
          <w:rFonts w:hint="eastAsia" w:ascii="宋体" w:hAnsi="宋体" w:eastAsia="宋体" w:cs="宋体"/>
          <w:sz w:val="21"/>
          <w:szCs w:val="21"/>
          <w:u w:val="none"/>
          <w:lang w:eastAsia="zh-CN"/>
        </w:rPr>
        <w:t>医院</w:t>
      </w:r>
      <w:r>
        <w:rPr>
          <w:rFonts w:hint="eastAsia" w:ascii="宋体" w:hAnsi="宋体" w:eastAsia="宋体" w:cs="宋体"/>
          <w:sz w:val="21"/>
          <w:szCs w:val="21"/>
          <w:u w:val="none"/>
        </w:rPr>
        <w:t>未产生赔偿金额的，该案件产生</w:t>
      </w:r>
      <w:r>
        <w:rPr>
          <w:rFonts w:hint="eastAsia" w:ascii="宋体" w:hAnsi="宋体" w:eastAsia="宋体" w:cs="宋体"/>
          <w:sz w:val="21"/>
          <w:szCs w:val="21"/>
          <w:u w:val="none"/>
          <w:lang w:val="en-US" w:eastAsia="zh-CN"/>
        </w:rPr>
        <w:t>3000</w:t>
      </w:r>
      <w:r>
        <w:rPr>
          <w:rFonts w:hint="eastAsia" w:ascii="宋体" w:hAnsi="宋体" w:eastAsia="宋体" w:cs="宋体"/>
          <w:sz w:val="21"/>
          <w:szCs w:val="21"/>
          <w:u w:val="none"/>
        </w:rPr>
        <w:t>元激励费用。</w:t>
      </w:r>
    </w:p>
    <w:p w14:paraId="4C5B28A0">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（2）上述第</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5”项</w:t>
      </w:r>
      <w:r>
        <w:rPr>
          <w:rFonts w:hint="eastAsia" w:ascii="宋体" w:hAnsi="宋体" w:eastAsia="宋体" w:cs="宋体"/>
          <w:sz w:val="21"/>
          <w:szCs w:val="21"/>
          <w:u w:val="none"/>
        </w:rPr>
        <w:t>“(2)法院案件”中“1）一审案件”第（B）种情形，司法鉴定意见书载明</w:t>
      </w:r>
      <w:r>
        <w:rPr>
          <w:rFonts w:hint="eastAsia" w:ascii="宋体" w:hAnsi="宋体" w:eastAsia="宋体" w:cs="宋体"/>
          <w:sz w:val="21"/>
          <w:szCs w:val="21"/>
          <w:u w:val="none"/>
          <w:lang w:eastAsia="zh-CN"/>
        </w:rPr>
        <w:t>医院</w:t>
      </w:r>
      <w:r>
        <w:rPr>
          <w:rFonts w:hint="eastAsia" w:ascii="宋体" w:hAnsi="宋体" w:eastAsia="宋体" w:cs="宋体"/>
          <w:sz w:val="21"/>
          <w:szCs w:val="21"/>
          <w:u w:val="none"/>
        </w:rPr>
        <w:t>的诊疗行为与患者损害无因果关系，且</w:t>
      </w:r>
      <w:r>
        <w:rPr>
          <w:rFonts w:hint="eastAsia" w:ascii="宋体" w:hAnsi="宋体" w:eastAsia="宋体" w:cs="宋体"/>
          <w:sz w:val="21"/>
          <w:szCs w:val="21"/>
          <w:u w:val="none"/>
          <w:lang w:eastAsia="zh-CN"/>
        </w:rPr>
        <w:t>医院</w:t>
      </w:r>
      <w:r>
        <w:rPr>
          <w:rFonts w:hint="eastAsia" w:ascii="宋体" w:hAnsi="宋体" w:eastAsia="宋体" w:cs="宋体"/>
          <w:sz w:val="21"/>
          <w:szCs w:val="21"/>
          <w:u w:val="none"/>
        </w:rPr>
        <w:t>未产生赔偿金额的，该案件产生</w:t>
      </w:r>
      <w:r>
        <w:rPr>
          <w:rFonts w:hint="eastAsia" w:ascii="宋体" w:hAnsi="宋体" w:eastAsia="宋体" w:cs="宋体"/>
          <w:sz w:val="21"/>
          <w:szCs w:val="21"/>
          <w:u w:val="none"/>
          <w:lang w:val="en-US" w:eastAsia="zh-CN"/>
        </w:rPr>
        <w:t>3</w:t>
      </w:r>
      <w:r>
        <w:rPr>
          <w:rFonts w:hint="eastAsia" w:ascii="宋体" w:hAnsi="宋体" w:eastAsia="宋体" w:cs="宋体"/>
          <w:sz w:val="21"/>
          <w:szCs w:val="21"/>
          <w:u w:val="none"/>
        </w:rPr>
        <w:t>000元激励费用。</w:t>
      </w:r>
    </w:p>
    <w:p w14:paraId="6B0E5393">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（3）上述第</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5”项</w:t>
      </w:r>
      <w:r>
        <w:rPr>
          <w:rFonts w:hint="eastAsia" w:ascii="宋体" w:hAnsi="宋体" w:eastAsia="宋体" w:cs="宋体"/>
          <w:sz w:val="21"/>
          <w:szCs w:val="21"/>
          <w:u w:val="none"/>
        </w:rPr>
        <w:t>“(2)法院案件”中“2）二审案件”第（B）种情形，若依法改判或变更后的赔偿金额低于一审判决书所载金额的，按两者差额的5％进行激励。</w:t>
      </w:r>
    </w:p>
    <w:p w14:paraId="559F518B">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（4）上述第</w:t>
      </w:r>
      <w:r>
        <w:rPr>
          <w:rFonts w:hint="eastAsia" w:ascii="宋体" w:hAnsi="宋体" w:eastAsia="宋体" w:cs="宋体"/>
          <w:sz w:val="21"/>
          <w:szCs w:val="21"/>
          <w:u w:val="none"/>
          <w:lang w:val="en-US" w:eastAsia="zh-CN"/>
        </w:rPr>
        <w:t>“5”项</w:t>
      </w:r>
      <w:r>
        <w:rPr>
          <w:rFonts w:hint="eastAsia" w:ascii="宋体" w:hAnsi="宋体" w:eastAsia="宋体" w:cs="宋体"/>
          <w:sz w:val="21"/>
          <w:szCs w:val="21"/>
          <w:u w:val="none"/>
        </w:rPr>
        <w:t>“(2)法院案件”中“3）发回重审的案件”第（B）种情形，若依法改判或变更后的赔偿金额低于前一审判阶段的判决书所载金额的，按两者差额的5％进行激励。</w:t>
      </w:r>
    </w:p>
    <w:p w14:paraId="14A81F26">
      <w:pPr>
        <w:keepNext w:val="0"/>
        <w:keepLines w:val="0"/>
        <w:pageBreakBefore w:val="0"/>
        <w:kinsoku/>
        <w:wordWrap/>
        <w:overflowPunct/>
        <w:topLinePunct w:val="0"/>
        <w:autoSpaceDE/>
        <w:autoSpaceDN/>
        <w:bidi w:val="0"/>
        <w:adjustRightInd/>
        <w:snapToGrid/>
        <w:spacing w:beforeAutospacing="0" w:line="400" w:lineRule="exact"/>
        <w:ind w:firstLine="420" w:firstLineChars="200"/>
        <w:jc w:val="left"/>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rPr>
        <w:t>（5）</w:t>
      </w:r>
      <w:r>
        <w:rPr>
          <w:rFonts w:hint="eastAsia" w:ascii="宋体" w:hAnsi="宋体" w:eastAsia="宋体" w:cs="宋体"/>
          <w:sz w:val="21"/>
          <w:szCs w:val="21"/>
          <w:u w:val="none"/>
          <w:lang w:val="en-US" w:eastAsia="zh-CN"/>
        </w:rPr>
        <w:t>投标人为医院服务期间，遵守医院工作制度，符合《驻马店市中心医院员工奖惩细则》中奖则的规定，由医院根据该细则进行奖励。</w:t>
      </w:r>
    </w:p>
    <w:p w14:paraId="6C7B6353">
      <w:pPr>
        <w:pStyle w:val="14"/>
        <w:keepNext w:val="0"/>
        <w:keepLines w:val="0"/>
        <w:pageBreakBefore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b/>
          <w:bCs/>
          <w:i w:val="0"/>
          <w:iCs/>
          <w:sz w:val="24"/>
          <w:szCs w:val="24"/>
          <w:u w:val="none"/>
          <w:lang w:val="en-US" w:eastAsia="zh-CN"/>
        </w:rPr>
      </w:pPr>
      <w:r>
        <w:rPr>
          <w:rFonts w:hint="eastAsia" w:ascii="宋体" w:hAnsi="宋体" w:eastAsia="宋体" w:cs="宋体"/>
          <w:b/>
          <w:bCs/>
          <w:i w:val="0"/>
          <w:iCs/>
          <w:sz w:val="24"/>
          <w:szCs w:val="24"/>
          <w:u w:val="none"/>
          <w:lang w:val="en-US" w:eastAsia="zh-CN"/>
        </w:rPr>
        <w:t>五、其他要求：</w:t>
      </w:r>
    </w:p>
    <w:p w14:paraId="2C351CE6">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1.为</w:t>
      </w:r>
      <w:r>
        <w:rPr>
          <w:rFonts w:hint="eastAsia" w:ascii="宋体" w:hAnsi="宋体" w:eastAsia="宋体" w:cs="宋体"/>
          <w:sz w:val="21"/>
          <w:szCs w:val="21"/>
          <w:u w:val="none"/>
          <w:lang w:eastAsia="zh-CN"/>
        </w:rPr>
        <w:t>医院</w:t>
      </w:r>
      <w:r>
        <w:rPr>
          <w:rFonts w:hint="eastAsia" w:ascii="宋体" w:hAnsi="宋体" w:eastAsia="宋体" w:cs="宋体"/>
          <w:sz w:val="21"/>
          <w:szCs w:val="21"/>
          <w:u w:val="none"/>
        </w:rPr>
        <w:t xml:space="preserve">日常法律问题提供咨询服务和建议；                </w:t>
      </w:r>
    </w:p>
    <w:p w14:paraId="221E07F9">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2.为院务决策、知识产权、基本建设、商标专利侵权、公平竞争与垄断、劳动人事、医联体合作等行政、单位管理过程涉及的法律事务,以及</w:t>
      </w:r>
      <w:r>
        <w:rPr>
          <w:rFonts w:hint="eastAsia" w:ascii="宋体" w:hAnsi="宋体" w:eastAsia="宋体" w:cs="宋体"/>
          <w:sz w:val="21"/>
          <w:szCs w:val="21"/>
          <w:u w:val="none"/>
          <w:lang w:eastAsia="zh-CN"/>
        </w:rPr>
        <w:t>医院</w:t>
      </w:r>
      <w:r>
        <w:rPr>
          <w:rFonts w:hint="eastAsia" w:ascii="宋体" w:hAnsi="宋体" w:eastAsia="宋体" w:cs="宋体"/>
          <w:sz w:val="21"/>
          <w:szCs w:val="21"/>
          <w:u w:val="none"/>
        </w:rPr>
        <w:t>的其他有关管理、经营方面的事务的合法性、可行性、风险预测及对策提供法律依据和法律意见或出具法律意见书；</w:t>
      </w:r>
    </w:p>
    <w:p w14:paraId="28BB09EA">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3.为</w:t>
      </w:r>
      <w:r>
        <w:rPr>
          <w:rFonts w:hint="eastAsia" w:ascii="宋体" w:hAnsi="宋体" w:eastAsia="宋体" w:cs="宋体"/>
          <w:sz w:val="21"/>
          <w:szCs w:val="21"/>
          <w:u w:val="none"/>
          <w:lang w:eastAsia="zh-CN"/>
        </w:rPr>
        <w:t>医院</w:t>
      </w:r>
      <w:r>
        <w:rPr>
          <w:rFonts w:hint="eastAsia" w:ascii="宋体" w:hAnsi="宋体" w:eastAsia="宋体" w:cs="宋体"/>
          <w:sz w:val="21"/>
          <w:szCs w:val="21"/>
          <w:u w:val="none"/>
        </w:rPr>
        <w:t>的民事活动提供法律分析意见或进行法律论证、对</w:t>
      </w:r>
      <w:r>
        <w:rPr>
          <w:rFonts w:hint="eastAsia" w:ascii="宋体" w:hAnsi="宋体" w:eastAsia="宋体" w:cs="宋体"/>
          <w:sz w:val="21"/>
          <w:szCs w:val="21"/>
          <w:u w:val="none"/>
          <w:lang w:eastAsia="zh-CN"/>
        </w:rPr>
        <w:t>医院</w:t>
      </w:r>
      <w:r>
        <w:rPr>
          <w:rFonts w:hint="eastAsia" w:ascii="宋体" w:hAnsi="宋体" w:eastAsia="宋体" w:cs="宋体"/>
          <w:sz w:val="21"/>
          <w:szCs w:val="21"/>
          <w:u w:val="none"/>
        </w:rPr>
        <w:t>草拟预备发布的文件,依法提出修改或补充建议，帮助</w:t>
      </w:r>
      <w:r>
        <w:rPr>
          <w:rFonts w:hint="eastAsia" w:ascii="宋体" w:hAnsi="宋体" w:eastAsia="宋体" w:cs="宋体"/>
          <w:sz w:val="21"/>
          <w:szCs w:val="21"/>
          <w:u w:val="none"/>
          <w:lang w:eastAsia="zh-CN"/>
        </w:rPr>
        <w:t>医院</w:t>
      </w:r>
      <w:r>
        <w:rPr>
          <w:rFonts w:hint="eastAsia" w:ascii="宋体" w:hAnsi="宋体" w:eastAsia="宋体" w:cs="宋体"/>
          <w:sz w:val="21"/>
          <w:szCs w:val="21"/>
          <w:u w:val="none"/>
        </w:rPr>
        <w:t>完善专业管理制度；</w:t>
      </w:r>
    </w:p>
    <w:p w14:paraId="0187F5B6">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4.审查、修改</w:t>
      </w:r>
      <w:r>
        <w:rPr>
          <w:rFonts w:hint="eastAsia" w:ascii="宋体" w:hAnsi="宋体" w:eastAsia="宋体" w:cs="宋体"/>
          <w:sz w:val="21"/>
          <w:szCs w:val="21"/>
          <w:u w:val="none"/>
          <w:lang w:eastAsia="zh-CN"/>
        </w:rPr>
        <w:t>医院</w:t>
      </w:r>
      <w:r>
        <w:rPr>
          <w:rFonts w:hint="eastAsia" w:ascii="宋体" w:hAnsi="宋体" w:eastAsia="宋体" w:cs="宋体"/>
          <w:sz w:val="21"/>
          <w:szCs w:val="21"/>
          <w:u w:val="none"/>
        </w:rPr>
        <w:t>重要规范性文件；</w:t>
      </w:r>
    </w:p>
    <w:p w14:paraId="13B0D425">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5.审查或修改合同、对外合作等项目的法律文本及其他法律文书；</w:t>
      </w:r>
    </w:p>
    <w:p w14:paraId="49401118">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6.以座谈、现场咨询、讲座等现场服务方式为</w:t>
      </w:r>
      <w:r>
        <w:rPr>
          <w:rFonts w:hint="eastAsia" w:ascii="宋体" w:hAnsi="宋体" w:eastAsia="宋体" w:cs="宋体"/>
          <w:sz w:val="21"/>
          <w:szCs w:val="21"/>
          <w:u w:val="none"/>
          <w:lang w:eastAsia="zh-CN"/>
        </w:rPr>
        <w:t>医院</w:t>
      </w:r>
      <w:r>
        <w:rPr>
          <w:rFonts w:hint="eastAsia" w:ascii="宋体" w:hAnsi="宋体" w:eastAsia="宋体" w:cs="宋体"/>
          <w:sz w:val="21"/>
          <w:szCs w:val="21"/>
          <w:u w:val="none"/>
        </w:rPr>
        <w:t>职工提供法律培训及普法教育，每年不少于两次；</w:t>
      </w:r>
    </w:p>
    <w:p w14:paraId="214B86A1">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7.应</w:t>
      </w:r>
      <w:r>
        <w:rPr>
          <w:rFonts w:hint="eastAsia" w:ascii="宋体" w:hAnsi="宋体" w:eastAsia="宋体" w:cs="宋体"/>
          <w:sz w:val="21"/>
          <w:szCs w:val="21"/>
          <w:u w:val="none"/>
          <w:lang w:eastAsia="zh-CN"/>
        </w:rPr>
        <w:t>医院</w:t>
      </w:r>
      <w:r>
        <w:rPr>
          <w:rFonts w:hint="eastAsia" w:ascii="宋体" w:hAnsi="宋体" w:eastAsia="宋体" w:cs="宋体"/>
          <w:sz w:val="21"/>
          <w:szCs w:val="21"/>
          <w:u w:val="none"/>
        </w:rPr>
        <w:t>要求参加重大责任事故的调查分析，参与重大或有争议病案的讨论并就医疗行为的合法性提供专业法律意见；</w:t>
      </w:r>
    </w:p>
    <w:p w14:paraId="5E4A2D49">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8.应</w:t>
      </w:r>
      <w:r>
        <w:rPr>
          <w:rFonts w:hint="eastAsia" w:ascii="宋体" w:hAnsi="宋体" w:eastAsia="宋体" w:cs="宋体"/>
          <w:sz w:val="21"/>
          <w:szCs w:val="21"/>
          <w:u w:val="none"/>
          <w:lang w:eastAsia="zh-CN"/>
        </w:rPr>
        <w:t>医院</w:t>
      </w:r>
      <w:r>
        <w:rPr>
          <w:rFonts w:hint="eastAsia" w:ascii="宋体" w:hAnsi="宋体" w:eastAsia="宋体" w:cs="宋体"/>
          <w:sz w:val="21"/>
          <w:szCs w:val="21"/>
          <w:u w:val="none"/>
        </w:rPr>
        <w:t>邀请参加业务会议，提供法律意见；</w:t>
      </w:r>
    </w:p>
    <w:p w14:paraId="35C7DA78">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9.参与纠纷及重要合同谈判，处理</w:t>
      </w:r>
      <w:r>
        <w:rPr>
          <w:rFonts w:hint="eastAsia" w:ascii="宋体" w:hAnsi="宋体" w:eastAsia="宋体" w:cs="宋体"/>
          <w:sz w:val="21"/>
          <w:szCs w:val="21"/>
          <w:u w:val="none"/>
          <w:lang w:eastAsia="zh-CN"/>
        </w:rPr>
        <w:t>医院</w:t>
      </w:r>
      <w:r>
        <w:rPr>
          <w:rFonts w:hint="eastAsia" w:ascii="宋体" w:hAnsi="宋体" w:eastAsia="宋体" w:cs="宋体"/>
          <w:sz w:val="21"/>
          <w:szCs w:val="21"/>
          <w:u w:val="none"/>
        </w:rPr>
        <w:t>所涉的行政纠纷、民事纠纷、经济纠纷、劳资纠纷、医疗纠纷或其他重大纠纷，提供诉讼、仲裁等代理服务；</w:t>
      </w:r>
    </w:p>
    <w:p w14:paraId="43DAFBBF">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10.起草或翻译法律文件等其他非诉讼法律服务；</w:t>
      </w:r>
    </w:p>
    <w:p w14:paraId="5894F2CF">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11.跟踪国家及地方有关医疗行业的法律、法规、规章及相关政策的颁布、修订和实施情况，并向</w:t>
      </w:r>
      <w:r>
        <w:rPr>
          <w:rFonts w:hint="eastAsia" w:ascii="宋体" w:hAnsi="宋体" w:eastAsia="宋体" w:cs="宋体"/>
          <w:sz w:val="21"/>
          <w:szCs w:val="21"/>
          <w:u w:val="none"/>
          <w:lang w:eastAsia="zh-CN"/>
        </w:rPr>
        <w:t>医院</w:t>
      </w:r>
      <w:r>
        <w:rPr>
          <w:rFonts w:hint="eastAsia" w:ascii="宋体" w:hAnsi="宋体" w:eastAsia="宋体" w:cs="宋体"/>
          <w:sz w:val="21"/>
          <w:szCs w:val="21"/>
          <w:u w:val="none"/>
        </w:rPr>
        <w:t>及时提供相关的法律信息、新规、典型案例及典型法律问题解析等，每季度至少一次；</w:t>
      </w:r>
    </w:p>
    <w:p w14:paraId="0C69F0E1">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12.案件结案后，</w:t>
      </w:r>
      <w:r>
        <w:rPr>
          <w:rFonts w:hint="eastAsia" w:ascii="宋体" w:hAnsi="宋体" w:eastAsia="宋体" w:cs="宋体"/>
          <w:sz w:val="21"/>
          <w:szCs w:val="21"/>
          <w:u w:val="none"/>
          <w:lang w:val="en-US" w:eastAsia="zh-CN"/>
        </w:rPr>
        <w:t>对案件的成因、处理方式、预期效果与实际效果等</w:t>
      </w:r>
      <w:r>
        <w:rPr>
          <w:rFonts w:hint="eastAsia" w:ascii="宋体" w:hAnsi="宋体" w:eastAsia="宋体" w:cs="宋体"/>
          <w:sz w:val="21"/>
          <w:szCs w:val="21"/>
          <w:u w:val="none"/>
        </w:rPr>
        <w:t>一案一分析，</w:t>
      </w:r>
      <w:r>
        <w:rPr>
          <w:rFonts w:hint="eastAsia" w:ascii="宋体" w:hAnsi="宋体" w:eastAsia="宋体" w:cs="宋体"/>
          <w:sz w:val="21"/>
          <w:szCs w:val="21"/>
          <w:u w:val="none"/>
          <w:lang w:val="en-US" w:eastAsia="zh-CN"/>
        </w:rPr>
        <w:t>提出建议，</w:t>
      </w:r>
      <w:r>
        <w:rPr>
          <w:rFonts w:hint="eastAsia" w:ascii="宋体" w:hAnsi="宋体" w:eastAsia="宋体" w:cs="宋体"/>
          <w:sz w:val="21"/>
          <w:szCs w:val="21"/>
          <w:u w:val="none"/>
        </w:rPr>
        <w:t>并向</w:t>
      </w:r>
      <w:r>
        <w:rPr>
          <w:rFonts w:hint="eastAsia" w:ascii="宋体" w:hAnsi="宋体" w:eastAsia="宋体" w:cs="宋体"/>
          <w:sz w:val="21"/>
          <w:szCs w:val="21"/>
          <w:u w:val="none"/>
          <w:lang w:eastAsia="zh-CN"/>
        </w:rPr>
        <w:t>医院</w:t>
      </w:r>
      <w:r>
        <w:rPr>
          <w:rFonts w:hint="eastAsia" w:ascii="宋体" w:hAnsi="宋体" w:eastAsia="宋体" w:cs="宋体"/>
          <w:sz w:val="21"/>
          <w:szCs w:val="21"/>
          <w:u w:val="none"/>
        </w:rPr>
        <w:t>提交书面法律分析报告；</w:t>
      </w:r>
    </w:p>
    <w:p w14:paraId="4B80FAB1">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13.经司法鉴定的案件，司法鉴定前，法律顾问团队应进行讨论，</w:t>
      </w:r>
      <w:r>
        <w:rPr>
          <w:rFonts w:hint="eastAsia" w:ascii="宋体" w:hAnsi="宋体" w:eastAsia="宋体" w:cs="宋体"/>
          <w:sz w:val="21"/>
          <w:szCs w:val="21"/>
          <w:u w:val="none"/>
          <w:lang w:val="en-US" w:eastAsia="zh-CN"/>
        </w:rPr>
        <w:t>并向医院提交</w:t>
      </w:r>
      <w:r>
        <w:rPr>
          <w:rFonts w:hint="eastAsia" w:ascii="宋体" w:hAnsi="宋体" w:eastAsia="宋体" w:cs="宋体"/>
          <w:sz w:val="21"/>
          <w:szCs w:val="21"/>
          <w:u w:val="none"/>
        </w:rPr>
        <w:t>书面讨论记录；</w:t>
      </w:r>
    </w:p>
    <w:p w14:paraId="5FAE3044">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14.案件结案后十五日内向</w:t>
      </w:r>
      <w:r>
        <w:rPr>
          <w:rFonts w:hint="eastAsia" w:ascii="宋体" w:hAnsi="宋体" w:eastAsia="宋体" w:cs="宋体"/>
          <w:sz w:val="21"/>
          <w:szCs w:val="21"/>
          <w:u w:val="none"/>
          <w:lang w:eastAsia="zh-CN"/>
        </w:rPr>
        <w:t>医院</w:t>
      </w:r>
      <w:r>
        <w:rPr>
          <w:rFonts w:hint="eastAsia" w:ascii="宋体" w:hAnsi="宋体" w:eastAsia="宋体" w:cs="宋体"/>
          <w:sz w:val="21"/>
          <w:szCs w:val="21"/>
          <w:u w:val="none"/>
        </w:rPr>
        <w:t>提交</w:t>
      </w:r>
      <w:r>
        <w:rPr>
          <w:rFonts w:hint="eastAsia" w:ascii="宋体" w:hAnsi="宋体" w:eastAsia="宋体" w:cs="宋体"/>
          <w:sz w:val="21"/>
          <w:szCs w:val="21"/>
          <w:u w:val="none"/>
          <w:lang w:val="en-US" w:eastAsia="zh-CN"/>
        </w:rPr>
        <w:t>装订成册的</w:t>
      </w:r>
      <w:r>
        <w:rPr>
          <w:rFonts w:hint="eastAsia" w:ascii="宋体" w:hAnsi="宋体" w:eastAsia="宋体" w:cs="宋体"/>
          <w:sz w:val="21"/>
          <w:szCs w:val="21"/>
          <w:u w:val="none"/>
        </w:rPr>
        <w:t>案卷电子版及复印件；</w:t>
      </w:r>
    </w:p>
    <w:p w14:paraId="07A73A94">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15.</w:t>
      </w:r>
      <w:r>
        <w:rPr>
          <w:rFonts w:hint="eastAsia" w:ascii="宋体" w:hAnsi="宋体" w:eastAsia="宋体" w:cs="宋体"/>
          <w:sz w:val="21"/>
          <w:szCs w:val="21"/>
          <w:u w:val="none"/>
          <w:lang w:val="en-US" w:eastAsia="zh-CN"/>
        </w:rPr>
        <w:t>年中及年终</w:t>
      </w:r>
      <w:r>
        <w:rPr>
          <w:rFonts w:hint="eastAsia" w:ascii="宋体" w:hAnsi="宋体" w:eastAsia="宋体" w:cs="宋体"/>
          <w:sz w:val="21"/>
          <w:szCs w:val="21"/>
          <w:u w:val="none"/>
        </w:rPr>
        <w:t>对本</w:t>
      </w:r>
      <w:r>
        <w:rPr>
          <w:rFonts w:hint="eastAsia" w:ascii="宋体" w:hAnsi="宋体" w:eastAsia="宋体" w:cs="宋体"/>
          <w:sz w:val="21"/>
          <w:szCs w:val="21"/>
          <w:u w:val="none"/>
          <w:lang w:val="en-US" w:eastAsia="zh-CN"/>
        </w:rPr>
        <w:t>阶段</w:t>
      </w:r>
      <w:r>
        <w:rPr>
          <w:rFonts w:hint="eastAsia" w:ascii="宋体" w:hAnsi="宋体" w:eastAsia="宋体" w:cs="宋体"/>
          <w:sz w:val="21"/>
          <w:szCs w:val="21"/>
          <w:u w:val="none"/>
        </w:rPr>
        <w:t xml:space="preserve">的服务工作和服务内容进行总结，同时对服务期间发现的各种问题提出改善性的意见，并提交书面总结报告； </w:t>
      </w:r>
    </w:p>
    <w:p w14:paraId="3F863B87">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16.</w:t>
      </w:r>
      <w:r>
        <w:rPr>
          <w:rFonts w:hint="eastAsia" w:ascii="宋体" w:hAnsi="宋体" w:eastAsia="宋体" w:cs="宋体"/>
          <w:sz w:val="21"/>
          <w:szCs w:val="21"/>
          <w:u w:val="none"/>
          <w:lang w:eastAsia="zh-CN"/>
        </w:rPr>
        <w:t>投标人</w:t>
      </w:r>
      <w:r>
        <w:rPr>
          <w:rFonts w:hint="eastAsia" w:ascii="宋体" w:hAnsi="宋体" w:eastAsia="宋体" w:cs="宋体"/>
          <w:sz w:val="21"/>
          <w:szCs w:val="21"/>
          <w:u w:val="none"/>
          <w:lang w:val="en-US" w:eastAsia="zh-CN"/>
        </w:rPr>
        <w:t>需每天</w:t>
      </w:r>
      <w:r>
        <w:rPr>
          <w:rFonts w:hint="eastAsia" w:ascii="宋体" w:hAnsi="宋体" w:eastAsia="宋体" w:cs="宋体"/>
          <w:sz w:val="21"/>
          <w:szCs w:val="21"/>
          <w:u w:val="none"/>
        </w:rPr>
        <w:t>派驻</w:t>
      </w:r>
      <w:r>
        <w:rPr>
          <w:rFonts w:hint="eastAsia" w:ascii="宋体" w:hAnsi="宋体" w:eastAsia="宋体" w:cs="宋体"/>
          <w:sz w:val="21"/>
          <w:szCs w:val="21"/>
          <w:u w:val="none"/>
          <w:lang w:val="en-US" w:eastAsia="zh-CN"/>
        </w:rPr>
        <w:t>法律顾问</w:t>
      </w:r>
      <w:r>
        <w:rPr>
          <w:rFonts w:hint="eastAsia" w:ascii="宋体" w:hAnsi="宋体" w:eastAsia="宋体" w:cs="宋体"/>
          <w:sz w:val="21"/>
          <w:szCs w:val="21"/>
          <w:u w:val="none"/>
        </w:rPr>
        <w:t>（1人以上）</w:t>
      </w:r>
      <w:r>
        <w:rPr>
          <w:rFonts w:hint="eastAsia" w:ascii="宋体" w:hAnsi="宋体" w:eastAsia="宋体" w:cs="宋体"/>
          <w:sz w:val="21"/>
          <w:szCs w:val="21"/>
          <w:u w:val="none"/>
          <w:lang w:val="en-US" w:eastAsia="zh-CN"/>
        </w:rPr>
        <w:t>至</w:t>
      </w:r>
      <w:r>
        <w:rPr>
          <w:rFonts w:hint="eastAsia" w:ascii="宋体" w:hAnsi="宋体" w:eastAsia="宋体" w:cs="宋体"/>
          <w:sz w:val="21"/>
          <w:szCs w:val="21"/>
          <w:u w:val="none"/>
        </w:rPr>
        <w:t>本项目，</w:t>
      </w:r>
      <w:r>
        <w:rPr>
          <w:rFonts w:hint="eastAsia" w:ascii="宋体" w:hAnsi="宋体" w:eastAsia="宋体" w:cs="宋体"/>
          <w:sz w:val="21"/>
          <w:szCs w:val="21"/>
          <w:u w:val="none"/>
          <w:lang w:val="en-US" w:eastAsia="zh-CN"/>
        </w:rPr>
        <w:t>进行每工作日7</w:t>
      </w:r>
      <w:r>
        <w:rPr>
          <w:rFonts w:hint="eastAsia" w:ascii="宋体" w:hAnsi="宋体" w:eastAsia="宋体" w:cs="宋体"/>
          <w:sz w:val="21"/>
          <w:szCs w:val="21"/>
          <w:u w:val="none"/>
        </w:rPr>
        <w:t>小时</w:t>
      </w:r>
      <w:r>
        <w:rPr>
          <w:rFonts w:hint="eastAsia" w:ascii="宋体" w:hAnsi="宋体" w:eastAsia="宋体" w:cs="宋体"/>
          <w:sz w:val="21"/>
          <w:szCs w:val="21"/>
          <w:u w:val="none"/>
          <w:lang w:val="en-US" w:eastAsia="zh-CN"/>
        </w:rPr>
        <w:t>的</w:t>
      </w:r>
      <w:r>
        <w:rPr>
          <w:rFonts w:hint="eastAsia" w:ascii="宋体" w:hAnsi="宋体" w:eastAsia="宋体" w:cs="宋体"/>
          <w:sz w:val="21"/>
          <w:szCs w:val="21"/>
          <w:u w:val="none"/>
        </w:rPr>
        <w:t>驻场服务及节假日值班</w:t>
      </w:r>
      <w:r>
        <w:rPr>
          <w:rFonts w:hint="eastAsia" w:ascii="宋体" w:hAnsi="宋体" w:eastAsia="宋体" w:cs="宋体"/>
          <w:sz w:val="21"/>
          <w:szCs w:val="21"/>
          <w:u w:val="none"/>
          <w:lang w:eastAsia="zh-CN"/>
        </w:rPr>
        <w:t>，</w:t>
      </w:r>
      <w:r>
        <w:rPr>
          <w:rFonts w:hint="eastAsia" w:ascii="宋体" w:hAnsi="宋体" w:eastAsia="宋体" w:cs="宋体"/>
          <w:sz w:val="21"/>
          <w:szCs w:val="21"/>
          <w:u w:val="none"/>
        </w:rPr>
        <w:t>坐班及值班实行每日签到签退制度；当需要其他法律顾问协助工作的，工作日</w:t>
      </w:r>
      <w:r>
        <w:rPr>
          <w:rFonts w:hint="eastAsia" w:ascii="宋体" w:hAnsi="宋体" w:eastAsia="宋体" w:cs="宋体"/>
          <w:sz w:val="21"/>
          <w:szCs w:val="21"/>
          <w:u w:val="none"/>
          <w:lang w:eastAsia="zh-CN"/>
        </w:rPr>
        <w:t>、</w:t>
      </w:r>
      <w:r>
        <w:rPr>
          <w:rFonts w:hint="eastAsia" w:ascii="宋体" w:hAnsi="宋体" w:eastAsia="宋体" w:cs="宋体"/>
          <w:sz w:val="21"/>
          <w:szCs w:val="21"/>
          <w:u w:val="none"/>
        </w:rPr>
        <w:t xml:space="preserve">节假日及其他时间段出现纠纷后最迟不超过30分钟内到达现场参与调解谈判处置工作；                                       </w:t>
      </w:r>
    </w:p>
    <w:p w14:paraId="0070F0CB">
      <w:pPr>
        <w:pStyle w:val="14"/>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17.</w:t>
      </w:r>
      <w:r>
        <w:rPr>
          <w:rFonts w:hint="eastAsia" w:ascii="宋体" w:hAnsi="宋体" w:eastAsia="宋体" w:cs="宋体"/>
          <w:sz w:val="21"/>
          <w:szCs w:val="21"/>
          <w:u w:val="none"/>
          <w:lang w:eastAsia="zh-CN"/>
        </w:rPr>
        <w:t>投标人</w:t>
      </w:r>
      <w:r>
        <w:rPr>
          <w:rFonts w:hint="eastAsia" w:ascii="宋体" w:hAnsi="宋体" w:eastAsia="宋体" w:cs="宋体"/>
          <w:sz w:val="21"/>
          <w:szCs w:val="21"/>
          <w:u w:val="none"/>
        </w:rPr>
        <w:t>派驻的法律顾问，应当遵守</w:t>
      </w:r>
      <w:r>
        <w:rPr>
          <w:rFonts w:hint="eastAsia" w:ascii="宋体" w:hAnsi="宋体" w:eastAsia="宋体" w:cs="宋体"/>
          <w:sz w:val="21"/>
          <w:szCs w:val="21"/>
          <w:u w:val="none"/>
          <w:lang w:eastAsia="zh-CN"/>
        </w:rPr>
        <w:t>医院</w:t>
      </w:r>
      <w:r>
        <w:rPr>
          <w:rFonts w:hint="eastAsia" w:ascii="宋体" w:hAnsi="宋体" w:eastAsia="宋体" w:cs="宋体"/>
          <w:sz w:val="21"/>
          <w:szCs w:val="21"/>
          <w:u w:val="none"/>
        </w:rPr>
        <w:t xml:space="preserve">的规章制度及相关规定，包括但不限于《法律顾问工作流程》等；                                                     </w:t>
      </w:r>
    </w:p>
    <w:p w14:paraId="556C9C62">
      <w:pPr>
        <w:keepNext w:val="0"/>
        <w:keepLines w:val="0"/>
        <w:pageBreakBefore w:val="0"/>
        <w:kinsoku/>
        <w:wordWrap/>
        <w:overflowPunct/>
        <w:topLinePunct w:val="0"/>
        <w:autoSpaceDE/>
        <w:autoSpaceDN/>
        <w:bidi w:val="0"/>
        <w:adjustRightInd/>
        <w:snapToGrid/>
        <w:spacing w:beforeAutospacing="0" w:line="400" w:lineRule="exact"/>
        <w:ind w:firstLine="420" w:firstLineChars="200"/>
        <w:jc w:val="left"/>
        <w:textAlignment w:val="auto"/>
        <w:rPr>
          <w:rFonts w:hint="eastAsia" w:ascii="宋体" w:hAnsi="宋体" w:eastAsia="宋体" w:cs="宋体"/>
          <w:b/>
          <w:bCs/>
          <w:i w:val="0"/>
          <w:iCs/>
          <w:sz w:val="21"/>
          <w:szCs w:val="21"/>
          <w:u w:val="none"/>
          <w:lang w:val="en-US" w:eastAsia="zh-CN"/>
        </w:rPr>
      </w:pPr>
      <w:r>
        <w:rPr>
          <w:rFonts w:hint="eastAsia" w:ascii="宋体" w:hAnsi="宋体" w:eastAsia="宋体" w:cs="宋体"/>
          <w:sz w:val="21"/>
          <w:szCs w:val="21"/>
          <w:u w:val="none"/>
        </w:rPr>
        <w:t>1</w:t>
      </w:r>
      <w:r>
        <w:rPr>
          <w:rFonts w:hint="eastAsia" w:ascii="宋体" w:hAnsi="宋体" w:eastAsia="宋体" w:cs="宋体"/>
          <w:sz w:val="21"/>
          <w:szCs w:val="21"/>
          <w:u w:val="none"/>
          <w:lang w:val="en-US" w:eastAsia="zh-CN"/>
        </w:rPr>
        <w:t>8</w:t>
      </w:r>
      <w:r>
        <w:rPr>
          <w:rFonts w:hint="eastAsia" w:ascii="宋体" w:hAnsi="宋体" w:eastAsia="宋体" w:cs="宋体"/>
          <w:sz w:val="21"/>
          <w:szCs w:val="21"/>
          <w:u w:val="none"/>
        </w:rPr>
        <w:t>.其它补充约定。</w:t>
      </w:r>
    </w:p>
    <w:p w14:paraId="299CCC36">
      <w:pPr>
        <w:spacing w:line="360" w:lineRule="auto"/>
        <w:ind w:firstLine="482" w:firstLineChars="200"/>
        <w:jc w:val="center"/>
        <w:rPr>
          <w:rFonts w:hint="eastAsia" w:ascii="宋体" w:hAnsi="宋体" w:eastAsia="宋体" w:cs="宋体"/>
          <w:b/>
          <w:bCs/>
          <w:i w:val="0"/>
          <w:iCs/>
          <w:sz w:val="24"/>
          <w:szCs w:val="24"/>
          <w:u w:val="none"/>
          <w:lang w:val="en-US" w:eastAsia="zh-CN"/>
        </w:rPr>
      </w:pPr>
      <w:r>
        <w:rPr>
          <w:rFonts w:hint="eastAsia" w:ascii="宋体" w:hAnsi="宋体" w:eastAsia="宋体" w:cs="宋体"/>
          <w:b/>
          <w:bCs/>
          <w:i w:val="0"/>
          <w:iCs/>
          <w:sz w:val="24"/>
          <w:szCs w:val="24"/>
          <w:u w:val="none"/>
          <w:lang w:val="en-US" w:eastAsia="zh-CN"/>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486CE4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BC5C802">
            <w:pPr>
              <w:pStyle w:val="14"/>
              <w:ind w:left="0" w:lef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04DF0897">
            <w:pPr>
              <w:pStyle w:val="14"/>
              <w:ind w:left="0" w:lef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自成交通知书发出之日起三十个日历日内。</w:t>
            </w:r>
          </w:p>
        </w:tc>
      </w:tr>
      <w:tr w14:paraId="1A3D5E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29FCB8B">
            <w:pPr>
              <w:pStyle w:val="14"/>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766AFE0D">
            <w:pPr>
              <w:pStyle w:val="14"/>
              <w:ind w:left="0" w:left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采购人指定地点。</w:t>
            </w:r>
          </w:p>
        </w:tc>
      </w:tr>
      <w:tr w14:paraId="7CAAA7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3EBA304">
            <w:pPr>
              <w:pStyle w:val="14"/>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391FD09C">
            <w:pPr>
              <w:pStyle w:val="14"/>
              <w:ind w:left="0" w:leftChars="0"/>
              <w:jc w:val="left"/>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一年。</w:t>
            </w:r>
          </w:p>
        </w:tc>
      </w:tr>
      <w:tr w14:paraId="6749D4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7DB9CAC">
            <w:pPr>
              <w:pStyle w:val="14"/>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01CDC8ED">
            <w:pPr>
              <w:pStyle w:val="14"/>
              <w:ind w:left="0" w:left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符合国家现行规定且满足采购人要求。</w:t>
            </w:r>
          </w:p>
        </w:tc>
      </w:tr>
      <w:tr w14:paraId="087FA5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02694C4">
            <w:pPr>
              <w:pStyle w:val="14"/>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38BF30F">
            <w:pPr>
              <w:pStyle w:val="14"/>
              <w:ind w:left="0" w:leftChars="0"/>
              <w:jc w:val="left"/>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详见技术要求。</w:t>
            </w:r>
          </w:p>
        </w:tc>
      </w:tr>
    </w:tbl>
    <w:p w14:paraId="3A0EF18E">
      <w:pPr>
        <w:keepNext w:val="0"/>
        <w:keepLines w:val="0"/>
        <w:pageBreakBefore w:val="0"/>
        <w:widowControl w:val="0"/>
        <w:kinsoku/>
        <w:wordWrap/>
        <w:overflowPunct/>
        <w:topLinePunct w:val="0"/>
        <w:autoSpaceDE/>
        <w:autoSpaceDN/>
        <w:bidi w:val="0"/>
        <w:adjustRightInd/>
        <w:snapToGrid w:val="0"/>
        <w:spacing w:beforeAutospacing="0" w:line="48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50A106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387EBD8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545D7ED6">
            <w:pPr>
              <w:widowControl/>
              <w:numPr>
                <w:ilvl w:val="0"/>
                <w:numId w:val="1"/>
              </w:numPr>
              <w:snapToGrid w:val="0"/>
              <w:spacing w:line="360" w:lineRule="auto"/>
              <w:rPr>
                <w:rFonts w:hint="eastAsia" w:ascii="宋体" w:hAnsi="宋体" w:eastAsia="宋体" w:cs="宋体"/>
              </w:rPr>
            </w:pPr>
            <w:r>
              <w:rPr>
                <w:rFonts w:hint="eastAsia" w:ascii="宋体" w:hAnsi="宋体" w:eastAsia="宋体" w:cs="宋体"/>
              </w:rPr>
              <w:t>不接受联合体投标，不允许转包和分包。</w:t>
            </w:r>
          </w:p>
          <w:p w14:paraId="1A082639">
            <w:pPr>
              <w:widowControl/>
              <w:snapToGrid w:val="0"/>
              <w:spacing w:line="360" w:lineRule="auto"/>
              <w:rPr>
                <w:rFonts w:hint="eastAsia" w:ascii="宋体" w:hAnsi="宋体" w:eastAsia="宋体" w:cs="宋体"/>
                <w:lang w:val="en-US" w:eastAsia="zh-CN"/>
              </w:rPr>
            </w:pPr>
            <w:r>
              <w:rPr>
                <w:rFonts w:hint="eastAsia" w:ascii="宋体" w:hAnsi="宋体" w:eastAsia="宋体" w:cs="宋体"/>
                <w:lang w:val="en-US" w:eastAsia="zh-CN"/>
              </w:rPr>
              <w:t>2、授权磋商小组确定一名成交人并推荐一名成交候选人。</w:t>
            </w:r>
          </w:p>
          <w:p w14:paraId="57FCD4A7">
            <w:pPr>
              <w:widowControl/>
              <w:snapToGrid w:val="0"/>
              <w:spacing w:line="360" w:lineRule="auto"/>
              <w:rPr>
                <w:rFonts w:hint="eastAsia" w:ascii="宋体" w:hAnsi="宋体" w:eastAsia="宋体" w:cs="宋体"/>
                <w:lang w:val="en-US" w:eastAsia="zh-CN"/>
              </w:rPr>
            </w:pPr>
            <w:r>
              <w:rPr>
                <w:rFonts w:hint="eastAsia" w:ascii="宋体" w:hAnsi="宋体" w:eastAsia="宋体" w:cs="宋体"/>
                <w:lang w:val="en-US" w:eastAsia="zh-CN"/>
              </w:rPr>
              <w:t>3、供应商应根据采购文件的要求提供技术响应部分、商务响应部分等内容以对采购文件作出响应。</w:t>
            </w:r>
          </w:p>
        </w:tc>
      </w:tr>
    </w:tbl>
    <w:p w14:paraId="07A733A5">
      <w:pPr>
        <w:rPr>
          <w:rFonts w:hint="eastAsia" w:ascii="宋体" w:hAnsi="宋体" w:eastAsia="宋体" w:cs="宋体"/>
          <w:color w:val="auto"/>
          <w:highlight w:val="none"/>
        </w:rPr>
      </w:pPr>
    </w:p>
    <w:p w14:paraId="738AE908">
      <w:pPr>
        <w:jc w:val="center"/>
        <w:rPr>
          <w:rFonts w:hint="eastAsia" w:ascii="宋体" w:hAnsi="宋体" w:eastAsia="宋体" w:cs="宋体"/>
          <w:b/>
          <w:bCs/>
          <w:color w:val="auto"/>
          <w:sz w:val="32"/>
          <w:szCs w:val="32"/>
          <w:highlight w:val="none"/>
        </w:rPr>
      </w:pPr>
    </w:p>
    <w:p w14:paraId="52B6D703">
      <w:pPr>
        <w:jc w:val="center"/>
        <w:rPr>
          <w:rFonts w:hint="eastAsia" w:ascii="宋体" w:hAnsi="宋体" w:eastAsia="宋体" w:cs="宋体"/>
          <w:b/>
          <w:bCs/>
          <w:color w:val="auto"/>
          <w:sz w:val="32"/>
          <w:szCs w:val="32"/>
          <w:highlight w:val="none"/>
        </w:rPr>
      </w:pPr>
    </w:p>
    <w:p w14:paraId="0D340D8E">
      <w:pPr>
        <w:jc w:val="center"/>
        <w:rPr>
          <w:rFonts w:hint="eastAsia" w:ascii="宋体" w:hAnsi="宋体" w:eastAsia="宋体" w:cs="宋体"/>
          <w:b/>
          <w:bCs/>
          <w:color w:val="auto"/>
          <w:sz w:val="32"/>
          <w:szCs w:val="32"/>
          <w:highlight w:val="none"/>
        </w:rPr>
        <w:sectPr>
          <w:pgSz w:w="11906" w:h="16838"/>
          <w:pgMar w:top="1417" w:right="1474" w:bottom="1417" w:left="1474" w:header="851" w:footer="624" w:gutter="0"/>
          <w:pgNumType w:fmt="decimal"/>
          <w:cols w:space="720" w:num="1"/>
          <w:docGrid w:type="lines" w:linePitch="319" w:charSpace="0"/>
        </w:sectPr>
      </w:pPr>
    </w:p>
    <w:p w14:paraId="4EB4BD57">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p>
    <w:p w14:paraId="30F969E6">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5F88F119">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304188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294AAA3">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232E0E8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B648F3F">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6694A96">
            <w:pPr>
              <w:widowControl/>
              <w:snapToGrid w:val="0"/>
              <w:spacing w:line="440" w:lineRule="exact"/>
              <w:jc w:val="left"/>
              <w:outlineLvl w:val="0"/>
              <w:rPr>
                <w:rFonts w:hint="eastAsia" w:ascii="宋体" w:hAnsi="宋体" w:eastAsia="宋体" w:cs="宋体"/>
                <w:lang w:val="en-US"/>
              </w:rPr>
            </w:pPr>
            <w:bookmarkStart w:id="37" w:name="_Toc30169"/>
            <w:bookmarkStart w:id="38" w:name="_Toc29223"/>
            <w:bookmarkStart w:id="39" w:name="_Toc25909"/>
            <w:bookmarkStart w:id="40" w:name="_Toc3363"/>
            <w:r>
              <w:rPr>
                <w:rFonts w:hint="eastAsia" w:ascii="宋体" w:hAnsi="宋体" w:eastAsia="宋体" w:cs="宋体"/>
                <w:color w:val="auto"/>
                <w:highlight w:val="none"/>
              </w:rPr>
              <w:t>1.1 项目名称：</w:t>
            </w:r>
            <w:bookmarkEnd w:id="37"/>
            <w:bookmarkEnd w:id="38"/>
            <w:r>
              <w:rPr>
                <w:rFonts w:hint="eastAsia" w:ascii="宋体" w:hAnsi="宋体" w:eastAsia="宋体" w:cs="宋体"/>
                <w:color w:val="auto"/>
                <w:highlight w:val="none"/>
                <w:lang w:val="en-US" w:eastAsia="zh-CN"/>
              </w:rPr>
              <w:t>驻马店市中心医院聘请法律顾问服务项目</w:t>
            </w:r>
            <w:bookmarkEnd w:id="39"/>
            <w:bookmarkEnd w:id="40"/>
          </w:p>
          <w:p w14:paraId="7C537E23">
            <w:pPr>
              <w:widowControl/>
              <w:snapToGrid w:val="0"/>
              <w:spacing w:line="440" w:lineRule="exact"/>
              <w:jc w:val="left"/>
              <w:outlineLvl w:val="0"/>
              <w:rPr>
                <w:rFonts w:hint="eastAsia" w:ascii="宋体" w:hAnsi="宋体" w:eastAsia="宋体" w:cs="宋体"/>
                <w:color w:val="auto"/>
                <w:highlight w:val="none"/>
              </w:rPr>
            </w:pPr>
            <w:bookmarkStart w:id="41" w:name="_Toc21145"/>
            <w:bookmarkStart w:id="42" w:name="_Toc23424"/>
            <w:bookmarkStart w:id="43" w:name="_Toc28834"/>
            <w:bookmarkStart w:id="44" w:name="_Toc19583"/>
            <w:r>
              <w:rPr>
                <w:rFonts w:hint="eastAsia" w:ascii="宋体" w:hAnsi="宋体" w:eastAsia="宋体" w:cs="宋体"/>
                <w:color w:val="auto"/>
                <w:highlight w:val="none"/>
              </w:rPr>
              <w:t>1.2 采购人名称：驻马店市中心医院</w:t>
            </w:r>
            <w:bookmarkEnd w:id="41"/>
            <w:bookmarkEnd w:id="42"/>
            <w:bookmarkEnd w:id="43"/>
            <w:bookmarkEnd w:id="44"/>
          </w:p>
          <w:p w14:paraId="794B5D91">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5" w:name="_Toc3148"/>
            <w:bookmarkStart w:id="46" w:name="_Toc2240"/>
            <w:bookmarkStart w:id="47" w:name="_Toc22962"/>
            <w:bookmarkStart w:id="48" w:name="_Toc1880"/>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5"/>
            <w:bookmarkEnd w:id="46"/>
            <w:bookmarkEnd w:id="47"/>
            <w:bookmarkEnd w:id="48"/>
          </w:p>
        </w:tc>
      </w:tr>
      <w:tr w14:paraId="15DFD7D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CC69C7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37C8830">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5AB17DE5">
        <w:tblPrEx>
          <w:tblCellMar>
            <w:top w:w="0" w:type="dxa"/>
            <w:left w:w="0" w:type="dxa"/>
            <w:bottom w:w="0" w:type="dxa"/>
            <w:right w:w="0" w:type="dxa"/>
          </w:tblCellMar>
        </w:tblPrEx>
        <w:trPr>
          <w:trHeight w:val="139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2B4349">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751A7B5">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3.1</w:t>
            </w:r>
            <w:r>
              <w:rPr>
                <w:rFonts w:hint="eastAsia" w:ascii="宋体" w:hAnsi="宋体" w:eastAsia="宋体" w:cs="宋体"/>
                <w:color w:val="auto"/>
                <w:kern w:val="0"/>
                <w:szCs w:val="21"/>
                <w:highlight w:val="none"/>
              </w:rPr>
              <w:t>采购预算：</w:t>
            </w:r>
            <w:r>
              <w:rPr>
                <w:rFonts w:hint="eastAsia" w:ascii="宋体" w:hAnsi="宋体" w:eastAsia="宋体" w:cs="宋体"/>
                <w:color w:val="auto"/>
                <w:szCs w:val="21"/>
                <w:highlight w:val="none"/>
                <w:shd w:val="clear" w:color="auto" w:fill="FFFFFF"/>
                <w:lang w:val="en-US" w:eastAsia="zh-CN"/>
              </w:rPr>
              <w:t>45万元</w:t>
            </w:r>
            <w:r>
              <w:rPr>
                <w:rFonts w:hint="eastAsia" w:ascii="宋体" w:hAnsi="宋体" w:eastAsia="宋体" w:cs="宋体"/>
                <w:color w:val="auto"/>
                <w:kern w:val="0"/>
                <w:szCs w:val="21"/>
                <w:highlight w:val="none"/>
                <w:lang w:eastAsia="zh-CN"/>
              </w:rPr>
              <w:t>；基础费用</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15.4万元/年。专项费用</w:t>
            </w:r>
            <w:r>
              <w:rPr>
                <w:rFonts w:hint="eastAsia" w:ascii="宋体" w:hAnsi="宋体" w:eastAsia="宋体" w:cs="宋体"/>
                <w:color w:val="auto"/>
                <w:kern w:val="0"/>
                <w:szCs w:val="21"/>
                <w:highlight w:val="none"/>
                <w:lang w:eastAsia="zh-CN"/>
              </w:rPr>
              <w:t>最高</w:t>
            </w:r>
            <w:r>
              <w:rPr>
                <w:rFonts w:hint="eastAsia" w:ascii="宋体" w:hAnsi="宋体" w:eastAsia="宋体" w:cs="宋体"/>
                <w:color w:val="auto"/>
                <w:kern w:val="0"/>
                <w:szCs w:val="21"/>
                <w:highlight w:val="none"/>
              </w:rPr>
              <w:t>投标限价</w:t>
            </w:r>
            <w:r>
              <w:rPr>
                <w:rFonts w:hint="eastAsia" w:ascii="宋体" w:hAnsi="宋体" w:eastAsia="宋体" w:cs="宋体"/>
                <w:color w:val="auto"/>
                <w:kern w:val="0"/>
                <w:szCs w:val="21"/>
                <w:highlight w:val="none"/>
                <w:lang w:eastAsia="zh-CN"/>
              </w:rPr>
              <w:t>：专项费用</w:t>
            </w:r>
            <w:r>
              <w:rPr>
                <w:rFonts w:hint="eastAsia" w:ascii="宋体" w:hAnsi="宋体" w:eastAsia="宋体" w:cs="宋体"/>
                <w:color w:val="auto"/>
                <w:kern w:val="0"/>
                <w:szCs w:val="21"/>
                <w:highlight w:val="none"/>
                <w:lang w:val="en-US" w:eastAsia="zh-CN"/>
              </w:rPr>
              <w:t>按100%结算。</w:t>
            </w:r>
          </w:p>
          <w:p w14:paraId="1FB8001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报价要求：</w:t>
            </w:r>
            <w:r>
              <w:rPr>
                <w:rFonts w:hint="eastAsia" w:ascii="宋体" w:hAnsi="宋体" w:eastAsia="宋体" w:cs="宋体"/>
                <w:color w:val="auto"/>
                <w:kern w:val="0"/>
                <w:szCs w:val="21"/>
                <w:highlight w:val="none"/>
              </w:rPr>
              <w:t>供应商的报价超过采购预算，采购人不能支付的，按废标处理。</w:t>
            </w:r>
          </w:p>
          <w:p w14:paraId="0D384CB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 xml:space="preserve"> 本项目</w:t>
            </w:r>
            <w:r>
              <w:rPr>
                <w:rFonts w:hint="eastAsia" w:ascii="宋体" w:hAnsi="宋体" w:eastAsia="宋体" w:cs="宋体"/>
                <w:color w:val="auto"/>
                <w:kern w:val="0"/>
                <w:szCs w:val="21"/>
                <w:highlight w:val="none"/>
                <w:lang w:val="en-US" w:eastAsia="zh-CN"/>
              </w:rPr>
              <w:t>由成交供应商缴纳采购</w:t>
            </w:r>
            <w:r>
              <w:rPr>
                <w:rFonts w:hint="eastAsia" w:ascii="宋体" w:hAnsi="宋体" w:eastAsia="宋体" w:cs="宋体"/>
                <w:color w:val="auto"/>
                <w:kern w:val="0"/>
                <w:szCs w:val="21"/>
                <w:highlight w:val="none"/>
              </w:rPr>
              <w:t>代理服务费。</w:t>
            </w:r>
          </w:p>
        </w:tc>
      </w:tr>
      <w:tr w14:paraId="4FA7562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C450D5E">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3A66C0A">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6A6A958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D3C136">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C6E3E1E">
            <w:pPr>
              <w:widowControl/>
              <w:snapToGrid w:val="0"/>
              <w:spacing w:line="440" w:lineRule="exact"/>
              <w:jc w:val="left"/>
              <w:rPr>
                <w:rFonts w:hint="eastAsia" w:ascii="宋体" w:hAnsi="宋体" w:eastAsia="宋体" w:cs="宋体"/>
              </w:rPr>
            </w:pPr>
            <w:r>
              <w:rPr>
                <w:rFonts w:hint="eastAsia" w:ascii="宋体" w:hAnsi="宋体" w:eastAsia="宋体" w:cs="宋体"/>
              </w:rPr>
              <w:t>投标文件组成：纸质投标文件正本1份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14:paraId="67D4FF3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652E80D">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8F890B8">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000000"/>
                <w:szCs w:val="21"/>
                <w:highlight w:val="none"/>
                <w:lang w:val="en-US" w:eastAsia="zh-CN"/>
              </w:rPr>
              <w:t>另行通知。</w:t>
            </w:r>
          </w:p>
          <w:p w14:paraId="12927E55">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000000"/>
                <w:szCs w:val="21"/>
                <w:highlight w:val="none"/>
                <w:lang w:val="en-US" w:eastAsia="zh-CN"/>
              </w:rPr>
              <w:t>另行通知</w:t>
            </w:r>
            <w:r>
              <w:rPr>
                <w:rFonts w:hint="eastAsia" w:ascii="宋体" w:hAnsi="宋体" w:eastAsia="宋体" w:cs="宋体"/>
                <w:color w:val="auto"/>
                <w:kern w:val="0"/>
                <w:szCs w:val="21"/>
                <w:highlight w:val="none"/>
              </w:rPr>
              <w:t>。</w:t>
            </w:r>
          </w:p>
        </w:tc>
      </w:tr>
      <w:tr w14:paraId="38D835C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713014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DE47C65">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62AAC7D5">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14:paraId="474E04A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37CB1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FB92A8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5EDFD26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433D374">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077CA4A">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kern w:val="0"/>
                <w:szCs w:val="21"/>
                <w:lang w:eastAsia="zh-CN"/>
              </w:rPr>
              <w:t>成交</w:t>
            </w:r>
            <w:r>
              <w:rPr>
                <w:rFonts w:hint="eastAsia" w:ascii="宋体" w:hAnsi="宋体" w:eastAsia="宋体" w:cs="宋体"/>
                <w:kern w:val="0"/>
                <w:szCs w:val="21"/>
              </w:rPr>
              <w:t>公告及</w:t>
            </w:r>
            <w:r>
              <w:rPr>
                <w:rFonts w:hint="eastAsia" w:ascii="宋体" w:hAnsi="宋体" w:eastAsia="宋体" w:cs="宋体"/>
                <w:kern w:val="0"/>
                <w:szCs w:val="21"/>
                <w:lang w:eastAsia="zh-CN"/>
              </w:rPr>
              <w:t>成交</w:t>
            </w:r>
            <w:r>
              <w:rPr>
                <w:rFonts w:hint="eastAsia" w:ascii="宋体" w:hAnsi="宋体" w:eastAsia="宋体" w:cs="宋体"/>
                <w:kern w:val="0"/>
                <w:szCs w:val="21"/>
              </w:rPr>
              <w:t>通知书：由采购人授权磋商小组确定一名成交人并推荐一名成交候选人。评审结束后在《驻马店市中心医院》官网上发布成交公告，公示期结束后向成交人发出成交通知书。</w:t>
            </w:r>
          </w:p>
        </w:tc>
      </w:tr>
      <w:tr w14:paraId="03075C1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57BAE5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3055FC8">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673CDD6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2C9C7C1">
            <w:pPr>
              <w:widowControl/>
              <w:spacing w:line="460" w:lineRule="atLeast"/>
              <w:jc w:val="center"/>
              <w:rPr>
                <w:rFonts w:hint="eastAsia" w:ascii="宋体" w:hAnsi="宋体" w:eastAsia="宋体" w:cs="宋体"/>
                <w:color w:val="FF0000"/>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C5E89B2">
            <w:pPr>
              <w:widowControl/>
              <w:spacing w:line="440" w:lineRule="exact"/>
              <w:jc w:val="left"/>
              <w:textAlignment w:val="bottom"/>
              <w:rPr>
                <w:rFonts w:hint="eastAsia" w:ascii="宋体" w:hAnsi="宋体" w:eastAsia="宋体" w:cs="宋体"/>
                <w:color w:val="FF0000"/>
                <w:kern w:val="0"/>
                <w:szCs w:val="21"/>
                <w:highlight w:val="none"/>
              </w:rPr>
            </w:pPr>
            <w:r>
              <w:rPr>
                <w:rFonts w:hint="eastAsia" w:ascii="宋体" w:hAnsi="宋体" w:eastAsia="宋体" w:cs="宋体"/>
                <w:color w:val="auto"/>
                <w:kern w:val="0"/>
                <w:szCs w:val="21"/>
                <w:highlight w:val="none"/>
              </w:rPr>
              <w:t>采购资金来源：自筹资金。</w:t>
            </w:r>
          </w:p>
        </w:tc>
      </w:tr>
      <w:tr w14:paraId="3D3B466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6E631EC">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9E272E">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7E0C5F37">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48DC0B5">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2E4DA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投标文件有效期：投标</w:t>
            </w:r>
            <w:r>
              <w:rPr>
                <w:rFonts w:hint="eastAsia" w:ascii="宋体" w:hAnsi="宋体" w:eastAsia="宋体" w:cs="宋体"/>
                <w:color w:val="auto"/>
                <w:kern w:val="0"/>
                <w:szCs w:val="21"/>
                <w:highlight w:val="none"/>
                <w:lang w:val="en-US" w:eastAsia="zh-CN"/>
              </w:rPr>
              <w:t>文件递交</w:t>
            </w:r>
            <w:r>
              <w:rPr>
                <w:rFonts w:hint="eastAsia" w:ascii="宋体" w:hAnsi="宋体" w:eastAsia="宋体" w:cs="宋体"/>
                <w:color w:val="auto"/>
                <w:kern w:val="0"/>
                <w:szCs w:val="21"/>
                <w:highlight w:val="none"/>
              </w:rPr>
              <w:t>截止期结束后</w:t>
            </w:r>
            <w:r>
              <w:rPr>
                <w:rFonts w:hint="eastAsia" w:ascii="宋体" w:hAnsi="宋体" w:eastAsia="宋体" w:cs="宋体"/>
                <w:color w:val="auto"/>
                <w:kern w:val="0"/>
                <w:szCs w:val="21"/>
                <w:highlight w:val="none"/>
                <w:lang w:val="en-US" w:eastAsia="zh-CN"/>
              </w:rPr>
              <w:t>90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的投标文件是合同的组成部分,有效期至合同完全履行止。 </w:t>
            </w:r>
          </w:p>
        </w:tc>
      </w:tr>
      <w:tr w14:paraId="565F518D">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B25491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2C9741D">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供应商须提供信用中国网站、中国政府采购网网站查询的网页截图。</w:t>
            </w:r>
          </w:p>
        </w:tc>
      </w:tr>
      <w:tr w14:paraId="0B3F96C2">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29F2F34">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CD24A64">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5ABD05FB">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6FD7DA8">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549162C">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6F293A50">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444F810">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CD6CD5A">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B2BBEDC">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7CBB73E7">
      <w:pPr>
        <w:rPr>
          <w:rFonts w:hint="eastAsia" w:ascii="宋体" w:hAnsi="宋体" w:eastAsia="宋体" w:cs="宋体"/>
          <w:color w:val="auto"/>
          <w:highlight w:val="none"/>
        </w:rPr>
      </w:pPr>
    </w:p>
    <w:p w14:paraId="6E462A60">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54E99AEE">
      <w:pPr>
        <w:keepNext w:val="0"/>
        <w:keepLines w:val="0"/>
        <w:pageBreakBefore w:val="0"/>
        <w:kinsoku/>
        <w:wordWrap/>
        <w:overflowPunct/>
        <w:topLinePunct w:val="0"/>
        <w:bidi w:val="0"/>
        <w:snapToGrid w:val="0"/>
        <w:spacing w:line="360" w:lineRule="auto"/>
        <w:rPr>
          <w:rFonts w:hint="eastAsia" w:ascii="宋体" w:hAnsi="宋体" w:eastAsia="宋体" w:cs="宋体"/>
          <w:color w:val="auto"/>
          <w:highlight w:val="none"/>
        </w:rPr>
      </w:pPr>
    </w:p>
    <w:p w14:paraId="073F7E99">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6265767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采购。</w:t>
      </w:r>
    </w:p>
    <w:p w14:paraId="1C53B8D1">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3BE881B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rPr>
        <w:t>2.1 “采购人</w:t>
      </w:r>
      <w:r>
        <w:rPr>
          <w:rFonts w:hint="eastAsia" w:ascii="宋体" w:hAnsi="宋体" w:eastAsia="宋体" w:cs="宋体"/>
          <w:color w:val="000000" w:themeColor="text1"/>
          <w:kern w:val="0"/>
          <w:szCs w:val="21"/>
          <w:highlight w:val="none"/>
          <w14:textFill>
            <w14:solidFill>
              <w14:schemeClr w14:val="tx1"/>
            </w14:solidFill>
          </w14:textFill>
        </w:rPr>
        <w:t>”系指</w:t>
      </w:r>
      <w:r>
        <w:rPr>
          <w:rFonts w:hint="eastAsia" w:ascii="宋体" w:hAnsi="宋体" w:eastAsia="宋体" w:cs="宋体"/>
          <w:color w:val="000000" w:themeColor="text1"/>
          <w:kern w:val="0"/>
          <w:szCs w:val="21"/>
          <w14:textFill>
            <w14:solidFill>
              <w14:schemeClr w14:val="tx1"/>
            </w14:solidFill>
          </w14:textFill>
        </w:rPr>
        <w:t>各级国家机关、事业单位、团体组织</w:t>
      </w:r>
      <w:r>
        <w:rPr>
          <w:rFonts w:hint="eastAsia" w:ascii="宋体" w:hAnsi="宋体" w:eastAsia="宋体" w:cs="宋体"/>
          <w:color w:val="000000" w:themeColor="text1"/>
          <w:kern w:val="0"/>
          <w:szCs w:val="21"/>
          <w:highlight w:val="none"/>
          <w14:textFill>
            <w14:solidFill>
              <w14:schemeClr w14:val="tx1"/>
            </w14:solidFill>
          </w14:textFill>
        </w:rPr>
        <w:t>。</w:t>
      </w:r>
    </w:p>
    <w:p w14:paraId="061A7A6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2.2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”系指</w:t>
      </w:r>
      <w:r>
        <w:rPr>
          <w:rFonts w:hint="eastAsia" w:ascii="宋体" w:hAnsi="宋体" w:eastAsia="宋体" w:cs="宋体"/>
          <w:color w:val="000000" w:themeColor="text1"/>
          <w:kern w:val="0"/>
          <w:szCs w:val="21"/>
          <w:highlight w:val="none"/>
          <w:lang w:val="en-US" w:eastAsia="zh-CN"/>
          <w14:textFill>
            <w14:solidFill>
              <w14:schemeClr w14:val="tx1"/>
            </w14:solidFill>
          </w14:textFill>
        </w:rPr>
        <w:t>领取</w:t>
      </w:r>
      <w:r>
        <w:rPr>
          <w:rFonts w:hint="eastAsia" w:ascii="宋体" w:hAnsi="宋体" w:eastAsia="宋体" w:cs="宋体"/>
          <w:color w:val="000000" w:themeColor="text1"/>
          <w:kern w:val="0"/>
          <w:szCs w:val="21"/>
          <w:highlight w:val="none"/>
          <w14:textFill>
            <w14:solidFill>
              <w14:schemeClr w14:val="tx1"/>
            </w14:solidFill>
          </w14:textFill>
        </w:rPr>
        <w:t>了本</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w:t>
      </w:r>
    </w:p>
    <w:p w14:paraId="74842DE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2.3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代表”系指代表</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参加本次</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活动的</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的法定代表人或其委托代理人。</w:t>
      </w:r>
    </w:p>
    <w:p w14:paraId="79CEC77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14:paraId="301CD782">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3.采购预算</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最高投标限价</w:t>
      </w:r>
      <w:r>
        <w:rPr>
          <w:rFonts w:hint="eastAsia" w:ascii="宋体" w:hAnsi="宋体" w:eastAsia="宋体" w:cs="宋体"/>
          <w:b/>
          <w:bCs/>
          <w:color w:val="auto"/>
          <w:kern w:val="0"/>
          <w:szCs w:val="21"/>
          <w:highlight w:val="none"/>
          <w:lang w:eastAsia="zh-CN"/>
        </w:rPr>
        <w:t>）</w:t>
      </w:r>
    </w:p>
    <w:p w14:paraId="13972CAD">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lang w:val="en-US" w:eastAsia="zh-CN"/>
        </w:rPr>
        <w:t>3.1</w:t>
      </w:r>
      <w:r>
        <w:rPr>
          <w:rFonts w:hint="eastAsia" w:ascii="宋体" w:hAnsi="宋体" w:eastAsia="宋体" w:cs="宋体"/>
          <w:b/>
          <w:bCs/>
          <w:color w:val="auto"/>
          <w:kern w:val="0"/>
          <w:szCs w:val="21"/>
          <w:highlight w:val="none"/>
        </w:rPr>
        <w:t>采购预算：</w:t>
      </w:r>
      <w:r>
        <w:rPr>
          <w:rFonts w:hint="eastAsia" w:ascii="宋体" w:hAnsi="宋体" w:eastAsia="宋体" w:cs="宋体"/>
          <w:b/>
          <w:bCs/>
          <w:color w:val="auto"/>
          <w:kern w:val="0"/>
          <w:szCs w:val="21"/>
          <w:highlight w:val="none"/>
          <w:lang w:val="en-US" w:eastAsia="zh-CN"/>
        </w:rPr>
        <w:t>45万元；基础费用最高投标限价：15.4万元/年。专项费用最高投标限价：专项费用按100%结算。</w:t>
      </w:r>
    </w:p>
    <w:p w14:paraId="7154A98E">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1A31FE6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4.1 </w:t>
      </w:r>
      <w:r>
        <w:rPr>
          <w:rFonts w:hint="eastAsia" w:ascii="宋体" w:hAnsi="宋体" w:eastAsia="宋体" w:cs="宋体"/>
          <w:color w:val="000000" w:themeColor="text1"/>
          <w:kern w:val="2"/>
          <w:sz w:val="21"/>
          <w:szCs w:val="24"/>
          <w:lang w:val="en-US" w:eastAsia="zh-CN" w:bidi="ar-SA"/>
          <w14:textFill>
            <w14:solidFill>
              <w14:schemeClr w14:val="tx1"/>
            </w14:solidFill>
          </w14:textFill>
        </w:rPr>
        <w:t>供应商应为注册在中华人民共和国境内的，且具有独立承担民事责任能力，提供营业执照等证明文件。单位负责人为同一人或者存在直接控股、管理关系的不同供应商，不得参加同一合同项下的政府采购活动</w:t>
      </w:r>
      <w:r>
        <w:rPr>
          <w:rFonts w:hint="eastAsia" w:ascii="宋体" w:hAnsi="宋体" w:eastAsia="宋体" w:cs="宋体"/>
          <w:color w:val="auto"/>
          <w:kern w:val="0"/>
          <w:szCs w:val="21"/>
          <w:highlight w:val="none"/>
          <w:lang w:val="en-US" w:eastAsia="zh-CN"/>
        </w:rPr>
        <w:t>；</w:t>
      </w:r>
    </w:p>
    <w:p w14:paraId="3E9BD88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4.2 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5FB372A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4.3 </w:t>
      </w:r>
      <w:r>
        <w:rPr>
          <w:rFonts w:hint="eastAsia" w:ascii="宋体" w:hAnsi="宋体" w:eastAsia="宋体" w:cs="宋体"/>
          <w:color w:val="000000" w:themeColor="text1"/>
          <w:kern w:val="2"/>
          <w:sz w:val="21"/>
          <w:szCs w:val="24"/>
          <w:lang w:val="en-US" w:eastAsia="zh-CN" w:bidi="ar-SA"/>
          <w14:textFill>
            <w14:solidFill>
              <w14:schemeClr w14:val="tx1"/>
            </w14:solidFill>
          </w14:textFill>
        </w:rPr>
        <w:t>供应商须提供律师事务所的执业许可证书；</w:t>
      </w:r>
    </w:p>
    <w:p w14:paraId="7695F1D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4.4 具有履行合同所必需的设备和专业技术能力（提供书面声明函）；</w:t>
      </w:r>
    </w:p>
    <w:p w14:paraId="3DAA9D2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4.5 参加本采购活动前三年内，在经营活动中没有重大违法记录（提供书面声明函）；</w:t>
      </w:r>
    </w:p>
    <w:p w14:paraId="2E46ECB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4.6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14:paraId="12020AC0">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5FC2A242">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19285F5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09F323E5">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525276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79047F42">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14:paraId="1EBFB4D7">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08C2342B">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7C3FB38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07234F94">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828B9CA">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E60842">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1AE468A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06D5EC12">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315A6E16">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6C4BE72F">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7F0DDF63">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476B3E74">
      <w:pPr>
        <w:keepNext w:val="0"/>
        <w:keepLines w:val="0"/>
        <w:pageBreakBefore w:val="0"/>
        <w:widowControl/>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过程和中标结果中使自己合法权益受到损害的实质性内容，提供相关事实、依据和证据及其来源或线索，便于有关单位调查、答复和处理。</w:t>
      </w:r>
    </w:p>
    <w:p w14:paraId="103E60F4">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066002A7">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99D04FC">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二、</w:t>
      </w:r>
      <w:r>
        <w:rPr>
          <w:rFonts w:hint="eastAsia" w:ascii="宋体" w:hAnsi="宋体" w:eastAsia="宋体" w:cs="宋体"/>
          <w:b/>
          <w:bCs/>
          <w:color w:val="auto"/>
          <w:kern w:val="0"/>
          <w:sz w:val="32"/>
          <w:szCs w:val="32"/>
          <w:highlight w:val="none"/>
          <w:lang w:val="en-US" w:eastAsia="zh-CN"/>
        </w:rPr>
        <w:t>采购</w:t>
      </w:r>
      <w:r>
        <w:rPr>
          <w:rFonts w:hint="eastAsia" w:ascii="宋体" w:hAnsi="宋体" w:eastAsia="宋体" w:cs="宋体"/>
          <w:b/>
          <w:bCs/>
          <w:color w:val="auto"/>
          <w:kern w:val="0"/>
          <w:sz w:val="32"/>
          <w:szCs w:val="32"/>
          <w:highlight w:val="none"/>
        </w:rPr>
        <w:t>文件</w:t>
      </w:r>
    </w:p>
    <w:p w14:paraId="660EF955">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671F279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w:t>
      </w:r>
    </w:p>
    <w:p w14:paraId="1351B1D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5AA891C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5C57102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3C05537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7C35EDF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投标文件格式</w:t>
      </w:r>
    </w:p>
    <w:p w14:paraId="599302DE">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6FC6075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文件要求提交投标文件截止时间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0A1E2266">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48BA54AB">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706352C8">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可以视招标具体情况延长投标截止时间和开标时间，但至少应当在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文件要求提交投标文件的截止时间3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3F6F19B9">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三、投标文件的编制</w:t>
      </w:r>
    </w:p>
    <w:p w14:paraId="58939BFD">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0C54C3A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文件提供的格式编写投标文件，不得缺少或留空任何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文件提供格式的按格式填列，未提供格式的可自行拟定。投标文件应对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资格要求、技术要求、商务要求和投标文件格式中对投标的要求），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596A9DD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应完整签署投标文件格式附件中《投标书》和《抵制商业贿赂承诺》，不得增减或修改内容。否则视为对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7D8C3AE">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15.投标文件的语言和计量单位</w:t>
      </w:r>
    </w:p>
    <w:p w14:paraId="343E1A06">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15.1投标文件以及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与采购人就有关投标事宜的所有来往函电均应使用简体中文书写。</w:t>
      </w:r>
    </w:p>
    <w:p w14:paraId="626DAD47">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 关于投标计量单位，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090397D7">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64A0E654">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16.投标文件的组成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rPr>
        <w:t>投标文件应包括下列部分：</w:t>
      </w:r>
    </w:p>
    <w:p w14:paraId="6BFC0EB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16.1、投标书及开标一览表</w:t>
      </w:r>
    </w:p>
    <w:p w14:paraId="6AA5C3B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E4D5DA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6C6E86A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37C7C6CA">
      <w:pPr>
        <w:keepNext w:val="0"/>
        <w:keepLines w:val="0"/>
        <w:pageBreakBefore w:val="0"/>
        <w:widowControl/>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0B35A87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4CCDF90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1A4FD742">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、抵制商业贿赂承诺</w:t>
      </w:r>
    </w:p>
    <w:p w14:paraId="2D7075FB">
      <w:pPr>
        <w:pStyle w:val="32"/>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认为有必要的其他资料</w:t>
      </w:r>
    </w:p>
    <w:p w14:paraId="1663659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17.投标有效期</w:t>
      </w:r>
    </w:p>
    <w:p w14:paraId="4A4C839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17.1投标文件从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13</w:t>
      </w:r>
      <w:r>
        <w:rPr>
          <w:rFonts w:hint="eastAsia" w:ascii="宋体" w:hAnsi="宋体" w:eastAsia="宋体" w:cs="宋体"/>
          <w:color w:val="auto"/>
          <w:kern w:val="0"/>
          <w:szCs w:val="21"/>
          <w:highlight w:val="none"/>
        </w:rPr>
        <w:t>项所规定的期限内保持有效。有效期不足将导致其投标文件被拒绝。</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的投标文件有效期至合同完全履行止。</w:t>
      </w:r>
    </w:p>
    <w:p w14:paraId="747DF88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，既不要求也不允许其修改投标文件。</w:t>
      </w:r>
    </w:p>
    <w:p w14:paraId="7B5C5187">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1519667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 w:val="0"/>
          <w:bCs w:val="0"/>
          <w:color w:val="auto"/>
          <w:kern w:val="0"/>
          <w:szCs w:val="21"/>
          <w:highlight w:val="none"/>
          <w:lang w:eastAsia="zh-CN"/>
        </w:rPr>
      </w:pPr>
      <w:r>
        <w:rPr>
          <w:rFonts w:hint="eastAsia" w:ascii="宋体" w:hAnsi="宋体" w:eastAsia="宋体" w:cs="宋体"/>
          <w:color w:val="auto"/>
          <w:kern w:val="0"/>
          <w:szCs w:val="21"/>
          <w:highlight w:val="none"/>
        </w:rPr>
        <w:t xml:space="preserve">18.1 </w:t>
      </w:r>
      <w:r>
        <w:rPr>
          <w:rFonts w:hint="eastAsia" w:ascii="宋体" w:hAnsi="宋体" w:eastAsia="宋体" w:cs="宋体"/>
          <w:kern w:val="0"/>
          <w:szCs w:val="21"/>
        </w:rPr>
        <w:t>所有投标报价均以</w:t>
      </w:r>
      <w:r>
        <w:rPr>
          <w:rFonts w:hint="eastAsia" w:ascii="宋体" w:hAnsi="宋体" w:eastAsia="宋体" w:cs="宋体"/>
          <w:kern w:val="0"/>
          <w:szCs w:val="21"/>
          <w:lang w:val="en-US" w:eastAsia="zh-CN"/>
        </w:rPr>
        <w:t>人民币：元</w:t>
      </w:r>
      <w:r>
        <w:rPr>
          <w:rFonts w:hint="eastAsia" w:ascii="宋体" w:hAnsi="宋体" w:eastAsia="宋体" w:cs="宋体"/>
          <w:kern w:val="0"/>
          <w:szCs w:val="21"/>
        </w:rPr>
        <w:t>为计算单位</w:t>
      </w:r>
      <w:r>
        <w:rPr>
          <w:rFonts w:hint="eastAsia" w:ascii="宋体" w:hAnsi="宋体" w:eastAsia="宋体" w:cs="宋体"/>
          <w:kern w:val="0"/>
          <w:szCs w:val="21"/>
          <w:lang w:eastAsia="zh-CN"/>
        </w:rPr>
        <w:t>。</w:t>
      </w:r>
    </w:p>
    <w:p w14:paraId="14D6DAE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要按开标一览表的内容填写。</w:t>
      </w:r>
    </w:p>
    <w:p w14:paraId="7DD325A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投报多标包的，应对每标包分别报价并分别填报开标一览表。</w:t>
      </w:r>
    </w:p>
    <w:p w14:paraId="7216803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18.4 开标一览表中标明的价格在政府采购合同执行过程中是固定不变的，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3BF4D83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2A5A93D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在开标一览表和投标文件中列出的赠送条款，在评审时不得作为价格评分因素或者调整评标价格的依据。</w:t>
      </w:r>
    </w:p>
    <w:p w14:paraId="2C2126F6">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详见采购公告</w:t>
      </w:r>
      <w:r>
        <w:rPr>
          <w:rFonts w:hint="eastAsia" w:ascii="宋体" w:hAnsi="宋体" w:eastAsia="宋体" w:cs="宋体"/>
          <w:b/>
          <w:color w:val="auto"/>
          <w:kern w:val="0"/>
          <w:szCs w:val="21"/>
          <w:highlight w:val="none"/>
          <w:lang w:eastAsia="zh-CN"/>
        </w:rPr>
        <w:t>）</w:t>
      </w:r>
    </w:p>
    <w:p w14:paraId="3661D277">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20.投标文件的签署</w:t>
      </w:r>
      <w:r>
        <w:rPr>
          <w:rFonts w:hint="eastAsia" w:ascii="宋体" w:hAnsi="宋体" w:eastAsia="宋体" w:cs="宋体"/>
          <w:b/>
          <w:color w:val="auto"/>
          <w:kern w:val="0"/>
          <w:szCs w:val="21"/>
          <w:highlight w:val="none"/>
          <w:lang w:val="en-US" w:eastAsia="zh-CN"/>
        </w:rPr>
        <w:t>及其他规定</w:t>
      </w:r>
    </w:p>
    <w:p w14:paraId="0C97F424">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14:paraId="05AAD949">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w:t>
      </w:r>
      <w:r>
        <w:rPr>
          <w:rFonts w:hint="eastAsia" w:ascii="宋体" w:hAnsi="宋体" w:eastAsia="宋体" w:cs="宋体"/>
          <w:color w:val="000000" w:themeColor="text1"/>
          <w:kern w:val="0"/>
          <w:szCs w:val="21"/>
          <w:highlight w:val="none"/>
          <w:lang w:val="en-US" w:eastAsia="zh-CN"/>
          <w14:textFill>
            <w14:solidFill>
              <w14:schemeClr w14:val="tx1"/>
            </w14:solidFill>
          </w14:textFill>
        </w:rPr>
        <w:t>服务期限</w:t>
      </w:r>
      <w:r>
        <w:rPr>
          <w:rFonts w:hint="eastAsia" w:ascii="宋体" w:hAnsi="宋体" w:eastAsia="宋体" w:cs="宋体"/>
          <w:color w:val="000000" w:themeColor="text1"/>
          <w:kern w:val="0"/>
          <w:szCs w:val="21"/>
          <w:highlight w:val="none"/>
          <w14:textFill>
            <w14:solidFill>
              <w14:schemeClr w14:val="tx1"/>
            </w14:solidFill>
          </w14:textFill>
        </w:rPr>
        <w:t>、投标有效期、</w:t>
      </w:r>
      <w:r>
        <w:rPr>
          <w:rFonts w:hint="eastAsia" w:ascii="宋体" w:hAnsi="宋体" w:eastAsia="宋体" w:cs="宋体"/>
          <w:color w:val="000000" w:themeColor="text1"/>
          <w:kern w:val="0"/>
          <w:szCs w:val="21"/>
          <w:highlight w:val="none"/>
          <w:lang w:val="en-US" w:eastAsia="zh-CN"/>
          <w14:textFill>
            <w14:solidFill>
              <w14:schemeClr w14:val="tx1"/>
            </w14:solidFill>
          </w14:textFill>
        </w:rPr>
        <w:t>质量</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583632E7">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1E375A3">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14:paraId="3F7495C9">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396EFE0D">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四、投标文件的递交</w:t>
      </w:r>
    </w:p>
    <w:p w14:paraId="713EC951">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21. 投标文件的密封、标记</w:t>
      </w:r>
    </w:p>
    <w:p w14:paraId="1F9E0302">
      <w:pPr>
        <w:keepNext w:val="0"/>
        <w:keepLines w:val="0"/>
        <w:pageBreakBefore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3346776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highlight w:val="none"/>
          <w:lang w:eastAsia="zh-CN"/>
        </w:rPr>
      </w:pPr>
      <w:r>
        <w:rPr>
          <w:rFonts w:hint="eastAsia" w:ascii="宋体" w:hAnsi="宋体" w:eastAsia="宋体" w:cs="宋体"/>
          <w:highlight w:val="none"/>
          <w:lang w:eastAsia="zh-CN"/>
        </w:rPr>
        <w:t>2</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w:t>
      </w:r>
      <w:r>
        <w:rPr>
          <w:rFonts w:hint="eastAsia" w:ascii="宋体" w:hAnsi="宋体" w:eastAsia="宋体" w:cs="宋体"/>
          <w:highlight w:val="none"/>
          <w:lang w:val="en-US" w:eastAsia="zh-CN"/>
        </w:rPr>
        <w:t>2</w:t>
      </w:r>
      <w:r>
        <w:rPr>
          <w:rFonts w:hint="eastAsia" w:ascii="宋体" w:hAnsi="宋体" w:eastAsia="宋体" w:cs="宋体"/>
          <w:highlight w:val="none"/>
          <w:lang w:eastAsia="zh-CN"/>
        </w:rPr>
        <w:t xml:space="preserve"> 未按本章第2</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.1项要求密封的投标文件，采购人不予受理。</w:t>
      </w:r>
    </w:p>
    <w:p w14:paraId="18B125EE">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22. 投标文件的递交</w:t>
      </w:r>
    </w:p>
    <w:p w14:paraId="046DFA9F">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应在规定的投标截止时间前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rPr>
        <w:t>投标文件。</w:t>
      </w:r>
    </w:p>
    <w:p w14:paraId="24A38690">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递交投标文件的地点：见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1A9424AF">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所递交的投标文件不予退还。</w:t>
      </w:r>
    </w:p>
    <w:p w14:paraId="502CB983">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逾期送达的或者未送达指定地点的投标文件，采购人不予受理。</w:t>
      </w:r>
    </w:p>
    <w:p w14:paraId="6C5F93E9">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23. 投标文件的修改和撤回</w:t>
      </w:r>
    </w:p>
    <w:p w14:paraId="279E6CE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在投标截止时间前，可以对所提交的投标文件进行补充、修改或者撤回，并书面通知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。补充、修改的内容和撤回通知应当按本须知要求签署、盖章、密封，并作为投标文件的组成部分。</w:t>
      </w:r>
    </w:p>
    <w:p w14:paraId="598450D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在投标截止期后不得修改、撤回投标文件。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在投标截止期后修改投标文件的，其投标将被拒绝。</w:t>
      </w:r>
    </w:p>
    <w:p w14:paraId="1D371452">
      <w:pPr>
        <w:keepNext w:val="0"/>
        <w:keepLines w:val="0"/>
        <w:pageBreakBefore w:val="0"/>
        <w:widowControl/>
        <w:kinsoku/>
        <w:wordWrap/>
        <w:overflowPunct/>
        <w:topLinePunct w:val="0"/>
        <w:bidi w:val="0"/>
        <w:snapToGrid w:val="0"/>
        <w:spacing w:line="360" w:lineRule="auto"/>
        <w:jc w:val="center"/>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五</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评标</w:t>
      </w:r>
    </w:p>
    <w:p w14:paraId="3A3BD293">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AD484F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对投标文件进行审查、质疑、评估和比较，并做合理的建议。</w:t>
      </w:r>
    </w:p>
    <w:p w14:paraId="7E5E214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成员应当在评标报告上签署不同意见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593DC0CB">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投标文件的初审</w:t>
      </w:r>
    </w:p>
    <w:p w14:paraId="6C2B23C4">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64F8E606">
      <w:pPr>
        <w:keepNext w:val="0"/>
        <w:keepLines w:val="0"/>
        <w:pageBreakBefore w:val="0"/>
        <w:widowControl/>
        <w:shd w:val="clear"/>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将对投标文件进行检查，以确定投标文件是否完整、有无计算上的错误、文件是否已正确签署等。</w:t>
      </w:r>
    </w:p>
    <w:p w14:paraId="10021F22">
      <w:pPr>
        <w:keepNext w:val="0"/>
        <w:keepLines w:val="0"/>
        <w:pageBreakBefore w:val="0"/>
        <w:widowControl/>
        <w:shd w:val="clear"/>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投标文件报价出现前后不一致的，除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5368E40D">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shd w:val="clear" w:color="auto" w:fill="FFFFFF"/>
        </w:rPr>
        <w:t>投标文件开标一览表（报价表）内容与投标文件中相应内容不一致的，以开标一览表（报价表）为准；</w:t>
      </w:r>
    </w:p>
    <w:p w14:paraId="3415F2C9">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1531DDD9">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单价金额小数点或者百分比有明显错位的，以开标一览表的总价为准，并修改单价；</w:t>
      </w:r>
    </w:p>
    <w:p w14:paraId="2F182A71">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3263565D">
      <w:pPr>
        <w:keepNext w:val="0"/>
        <w:keepLines w:val="0"/>
        <w:pageBreakBefore w:val="0"/>
        <w:widowControl/>
        <w:shd w:val="clear"/>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 对不同文字文本投标文件的解释发生异议的，以中文文本为准。</w:t>
      </w:r>
    </w:p>
    <w:p w14:paraId="443803EA">
      <w:pPr>
        <w:keepNext w:val="0"/>
        <w:keepLines w:val="0"/>
        <w:pageBreakBefore w:val="0"/>
        <w:widowControl/>
        <w:shd w:val="clear"/>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6D2AA6E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3BC9EDC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文件的规定，在对投标文件详细评估之前，采购人将依据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提交的投标文件按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进行资格审查,以确定其是否具备投标资格。如果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不具备投标资格、不满足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文件所规定的资格标准或提供资格证明文件不全,其投标将被作为无效投标。在审查过程中，采购人有权要求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4E66EA0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05BEE4E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将从投标文件的有效性、完整性和对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7E02B6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（1）投标文件未按规定签字、盖章的。</w:t>
      </w:r>
    </w:p>
    <w:p w14:paraId="0F6DFA3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6CDFC2C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14:paraId="7C46E74B">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w:t>
      </w:r>
      <w:r>
        <w:rPr>
          <w:rFonts w:hint="eastAsia" w:ascii="宋体" w:hAnsi="宋体" w:eastAsia="宋体" w:cs="宋体"/>
          <w:color w:val="000000" w:themeColor="text1"/>
          <w:szCs w:val="21"/>
          <w:highlight w:val="none"/>
          <w14:textFill>
            <w14:solidFill>
              <w14:schemeClr w14:val="tx1"/>
            </w14:solidFill>
          </w14:textFill>
        </w:rPr>
        <w:t>有效期、</w:t>
      </w:r>
      <w:r>
        <w:rPr>
          <w:rFonts w:hint="eastAsia" w:ascii="宋体" w:hAnsi="宋体" w:eastAsia="宋体" w:cs="宋体"/>
          <w:color w:val="000000" w:themeColor="text1"/>
          <w:szCs w:val="21"/>
          <w:highlight w:val="none"/>
          <w:lang w:val="en-US" w:eastAsia="zh-CN"/>
          <w14:textFill>
            <w14:solidFill>
              <w14:schemeClr w14:val="tx1"/>
            </w14:solidFill>
          </w14:textFill>
        </w:rPr>
        <w:t>服务期限</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w:t>
      </w:r>
      <w:r>
        <w:rPr>
          <w:rFonts w:hint="eastAsia" w:ascii="宋体" w:hAnsi="宋体" w:eastAsia="宋体" w:cs="宋体"/>
          <w:color w:val="000000" w:themeColor="text1"/>
          <w:szCs w:val="21"/>
          <w:highlight w:val="none"/>
          <w14:textFill>
            <w14:solidFill>
              <w14:schemeClr w14:val="tx1"/>
            </w14:solidFill>
          </w14:textFill>
        </w:rPr>
        <w:t>不</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762369C2">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6355F351">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195CF409">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（7）投标文件的关键内容字迹模糊、无法辨认,或投标文件中经修正的内容字迹模糊无法辩认，或修改处未按规定签名盖章的。</w:t>
      </w:r>
    </w:p>
    <w:p w14:paraId="4D5C5501">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（8）投标文件内容未按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453D6C5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513C933A">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决定投标的响应性只根据投标文件本身的内容，而不寻求其他的外部证据。</w:t>
      </w:r>
    </w:p>
    <w:p w14:paraId="4E51FE0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5066713C">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串通投标，其投标无效：</w:t>
      </w:r>
    </w:p>
    <w:p w14:paraId="41DE6C94">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的投标文件异常一致。</w:t>
      </w:r>
    </w:p>
    <w:p w14:paraId="7F2CEF60">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的投标文件由同一单位或者个人编制；</w:t>
      </w:r>
    </w:p>
    <w:p w14:paraId="230CDA32">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2502F5BB">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的投标文件载明的项目管理成员或者联系人员为同一人；　　</w:t>
      </w:r>
    </w:p>
    <w:p w14:paraId="785D0095">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的投标文件相互混装；</w:t>
      </w:r>
    </w:p>
    <w:p w14:paraId="3A2709FE">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3941D38F">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19AF9C7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的投标文件制作机器码一致；</w:t>
      </w:r>
    </w:p>
    <w:p w14:paraId="7AA71C8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5DEBE401">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投标文件的澄清</w:t>
      </w:r>
    </w:p>
    <w:p w14:paraId="6582191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对投标文件中含义不明确、同类问题表述不一致或者有明显文字和计算错误的内容，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2DCC621A">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4C224088">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文件规定的评标方法与标准，对资格性检查和符合性检查合格的投标文件进行商务和技术评估，综合比较与评价。</w:t>
      </w:r>
    </w:p>
    <w:p w14:paraId="025E25C3">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4EDF278A">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1A73D519">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7B91027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有关人员对属于审查、澄清、评价和比较投标的有关资料以及定标意向等，均不得向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3599D99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试图影响或干预评审的任何行为，将导致其投标被作为无效投标，并承担相应的法律责任。</w:t>
      </w:r>
    </w:p>
    <w:p w14:paraId="14BE6036">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0EE91F4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19B00E9">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六</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定标</w:t>
      </w:r>
    </w:p>
    <w:p w14:paraId="1F823BE3">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486FCB2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最低投标价不作为中标的保证。</w:t>
      </w:r>
    </w:p>
    <w:p w14:paraId="114DADB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成交候选人</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成交人</w:t>
      </w:r>
      <w:r>
        <w:rPr>
          <w:rFonts w:hint="eastAsia" w:ascii="宋体" w:hAnsi="宋体" w:eastAsia="宋体" w:cs="宋体"/>
          <w:bCs/>
          <w:color w:val="auto"/>
          <w:kern w:val="0"/>
          <w:szCs w:val="21"/>
          <w:highlight w:val="none"/>
        </w:rPr>
        <w:t>）</w:t>
      </w:r>
    </w:p>
    <w:p w14:paraId="0C31302D">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9"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9"/>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的评标方法。</w:t>
      </w:r>
    </w:p>
    <w:p w14:paraId="037B31F9">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采用综合评分法的，评标结果按评审后得分由高到低顺序排列。投标文件满足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，以此类推。得分相同的，按投标报价由低到高顺序排列。得分且投标报价相同的，按技术部分得分顺序排列。得分与技术指标优劣均相同的，通过随机抽取产生。</w:t>
      </w:r>
    </w:p>
    <w:p w14:paraId="6BDA1CE3">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成交人</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成交候选人</w:t>
      </w:r>
    </w:p>
    <w:p w14:paraId="5B0B22F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成交人</w:t>
      </w:r>
      <w:r>
        <w:rPr>
          <w:rFonts w:hint="eastAsia" w:ascii="宋体" w:hAnsi="宋体" w:eastAsia="宋体" w:cs="宋体"/>
          <w:bCs/>
          <w:color w:val="auto"/>
          <w:kern w:val="0"/>
          <w:szCs w:val="21"/>
          <w:highlight w:val="none"/>
        </w:rPr>
        <w:t>并推荐</w:t>
      </w:r>
      <w:r>
        <w:rPr>
          <w:rFonts w:hint="eastAsia" w:ascii="宋体" w:hAnsi="宋体" w:eastAsia="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成交候选人</w:t>
      </w:r>
      <w:r>
        <w:rPr>
          <w:rFonts w:hint="eastAsia" w:ascii="宋体" w:hAnsi="宋体" w:eastAsia="宋体" w:cs="宋体"/>
          <w:color w:val="auto"/>
          <w:kern w:val="0"/>
          <w:szCs w:val="21"/>
          <w:highlight w:val="none"/>
        </w:rPr>
        <w:t>。</w:t>
      </w:r>
    </w:p>
    <w:p w14:paraId="0AF12F48">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及中标公告</w:t>
      </w:r>
    </w:p>
    <w:p w14:paraId="1A6258D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3247033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的，视为中标后自动放弃中标资格；</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在有效报价中报价最低,非不可抗力放弃中标资格的。发生上述情况的承担由此引起的一切后果。</w:t>
      </w:r>
    </w:p>
    <w:p w14:paraId="5D4E8DD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发出后，采购人改变中标结果，或者</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放弃中标，应按相关法律、规章、规范性文件的要求承担相应的法律责任。</w:t>
      </w:r>
    </w:p>
    <w:p w14:paraId="7EDCA3C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4C8D71F8">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777C19A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72E7BF1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1C3CA9B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0BC4B1C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084E175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15610CDE">
      <w:pPr>
        <w:keepNext w:val="0"/>
        <w:keepLines w:val="0"/>
        <w:pageBreakBefore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395BFABB">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7410E803">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七</w:t>
      </w:r>
      <w:r>
        <w:rPr>
          <w:rFonts w:hint="eastAsia" w:ascii="宋体" w:hAnsi="宋体" w:eastAsia="宋体" w:cs="宋体"/>
          <w:b/>
          <w:bCs/>
          <w:color w:val="auto"/>
          <w:kern w:val="0"/>
          <w:sz w:val="32"/>
          <w:szCs w:val="32"/>
          <w:highlight w:val="none"/>
        </w:rPr>
        <w:t>、合同授予</w:t>
      </w:r>
    </w:p>
    <w:p w14:paraId="7C1EC9F1">
      <w:pPr>
        <w:keepNext w:val="0"/>
        <w:keepLines w:val="0"/>
        <w:pageBreakBefore w:val="0"/>
        <w:widowControl/>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13B2C69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50"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投标文件签订合同。双方所签订的合同不得对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投标文件作实质性修改。</w:t>
      </w:r>
    </w:p>
    <w:p w14:paraId="0EB05D6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的投标文件、补充或修改的文件及澄清或承诺文件等，均为双方签订合同的组成部分，并与合同一并作为本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5ECCD03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放弃中标、因不可抗力不能履行合同、不按照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文件要求提交履约保证金，或者被查实存在影响中标结果的违法行为等情形，不符合中标条件的，采购人可以按照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成交候选人</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成交候选人</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，也可以重新招标。</w:t>
      </w:r>
    </w:p>
    <w:bookmarkEnd w:id="50"/>
    <w:p w14:paraId="1BEC47DC">
      <w:pPr>
        <w:rPr>
          <w:rFonts w:hint="eastAsia" w:ascii="宋体" w:hAnsi="宋体" w:eastAsia="宋体" w:cs="宋体"/>
          <w:color w:val="auto"/>
          <w:highlight w:val="none"/>
        </w:rPr>
      </w:pPr>
      <w:bookmarkStart w:id="51" w:name="_Toc4700"/>
      <w:bookmarkStart w:id="52" w:name="_Toc16669"/>
      <w:r>
        <w:rPr>
          <w:rFonts w:hint="eastAsia" w:ascii="宋体" w:hAnsi="宋体" w:eastAsia="宋体" w:cs="宋体"/>
          <w:color w:val="auto"/>
          <w:highlight w:val="none"/>
        </w:rPr>
        <w:br w:type="page"/>
      </w:r>
    </w:p>
    <w:p w14:paraId="5B842995">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53" w:name="_Toc2919"/>
      <w:r>
        <w:rPr>
          <w:rFonts w:hint="eastAsia" w:ascii="宋体" w:hAnsi="宋体" w:eastAsia="宋体" w:cs="宋体"/>
          <w:b/>
          <w:bCs/>
          <w:color w:val="auto"/>
          <w:kern w:val="0"/>
          <w:sz w:val="32"/>
          <w:szCs w:val="32"/>
          <w:highlight w:val="none"/>
        </w:rPr>
        <w:t>第四章  评标办法及评分标准</w:t>
      </w:r>
      <w:bookmarkEnd w:id="51"/>
      <w:bookmarkEnd w:id="53"/>
    </w:p>
    <w:p w14:paraId="57B84A5D">
      <w:pPr>
        <w:rPr>
          <w:rFonts w:hint="eastAsia" w:ascii="宋体" w:hAnsi="宋体" w:eastAsia="宋体" w:cs="宋体"/>
          <w:color w:val="auto"/>
          <w:highlight w:val="none"/>
        </w:rPr>
      </w:pPr>
    </w:p>
    <w:p w14:paraId="0A8D21AC">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2FB13F82">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59860F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DA7F53">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29AC3B47">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14:paraId="5DEC3917">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051CF7A9">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成交人，</w:t>
      </w:r>
      <w:r>
        <w:rPr>
          <w:rFonts w:hint="eastAsia" w:ascii="宋体" w:hAnsi="宋体" w:eastAsia="宋体" w:cs="宋体"/>
          <w:b w:val="0"/>
          <w:bCs w:val="0"/>
          <w:color w:val="auto"/>
          <w:sz w:val="21"/>
          <w:szCs w:val="21"/>
          <w:highlight w:val="none"/>
          <w:lang w:val="en-US" w:eastAsia="zh-CN"/>
        </w:rPr>
        <w:t>排名第二的为成交候选人，以此类推</w:t>
      </w:r>
      <w:r>
        <w:rPr>
          <w:rFonts w:hint="eastAsia" w:ascii="宋体" w:hAnsi="宋体" w:eastAsia="宋体" w:cs="宋体"/>
          <w:b w:val="0"/>
          <w:bCs w:val="0"/>
          <w:color w:val="auto"/>
          <w:sz w:val="21"/>
          <w:szCs w:val="21"/>
          <w:highlight w:val="none"/>
        </w:rPr>
        <w:t>。</w:t>
      </w:r>
    </w:p>
    <w:p w14:paraId="266AEAE8">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6BA697A0">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20511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4D764E70">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508B8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jc w:val="center"/>
        </w:trPr>
        <w:tc>
          <w:tcPr>
            <w:tcW w:w="1239" w:type="dxa"/>
            <w:noWrap w:val="0"/>
            <w:vAlign w:val="center"/>
          </w:tcPr>
          <w:p w14:paraId="6F230016">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26060E75">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14:paraId="6D1BE14E">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有效投标报价：投标报价不高于最高限价的为有效投标报价。</w:t>
            </w:r>
          </w:p>
          <w:p w14:paraId="1C211C67">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评标基准值的确定：满足采购文件要求且投标价格最低的有效投标报价为评标基准价。</w:t>
            </w:r>
          </w:p>
          <w:p w14:paraId="4F0CE034">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基础费用投标报价得分=（评标基准价/有效投标报价）×20分</w:t>
            </w:r>
          </w:p>
          <w:p w14:paraId="3D66DAB5">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专项费用投标报价得分=（评标基准价/有效投标报价）×10分</w:t>
            </w:r>
          </w:p>
          <w:p w14:paraId="10684C8A">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注：1、“基本费用投标报价”以“15.4万元/年”为基础进行报价，报价不得超过“15.4万元/年”。</w:t>
            </w:r>
          </w:p>
          <w:p w14:paraId="41338917">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专项费用是指：年结算价扣除基本费用之后剩余的费用，根据案件数量和性质据实结算的部分。</w:t>
            </w:r>
          </w:p>
          <w:p w14:paraId="159FAF7C">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“专项费用投标报价”以优惠率进行报价，报价不得超过“100%”。</w:t>
            </w:r>
          </w:p>
          <w:p w14:paraId="19B9AA1D">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例：报价为“95%”，根据委托代理的案件核算年度总金额为30万元，实际支付=30*0.95=28.5万元。</w:t>
            </w:r>
          </w:p>
        </w:tc>
      </w:tr>
      <w:tr w14:paraId="3E66A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14:paraId="6324902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14:paraId="6DF7AFD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44</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1570167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1.服务能力的响应程度(25分）</w:t>
            </w:r>
          </w:p>
        </w:tc>
        <w:tc>
          <w:tcPr>
            <w:tcW w:w="6770" w:type="dxa"/>
            <w:noWrap w:val="0"/>
            <w:vAlign w:val="center"/>
          </w:tcPr>
          <w:p w14:paraId="046702B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完全满足招标文件第二章 采购需求 </w:t>
            </w:r>
            <w:r>
              <w:rPr>
                <w:rFonts w:hint="eastAsia" w:ascii="宋体" w:hAnsi="宋体" w:eastAsia="宋体" w:cs="宋体"/>
                <w:b w:val="0"/>
                <w:bCs w:val="0"/>
                <w:color w:val="auto"/>
                <w:sz w:val="21"/>
                <w:szCs w:val="21"/>
                <w:highlight w:val="none"/>
                <w:lang w:val="en-US" w:eastAsia="zh-CN"/>
              </w:rPr>
              <w:t>四</w:t>
            </w:r>
            <w:r>
              <w:rPr>
                <w:rFonts w:hint="eastAsia" w:ascii="宋体" w:hAnsi="宋体" w:eastAsia="宋体" w:cs="宋体"/>
                <w:b w:val="0"/>
                <w:bCs w:val="0"/>
                <w:color w:val="auto"/>
                <w:sz w:val="21"/>
                <w:szCs w:val="21"/>
                <w:highlight w:val="none"/>
              </w:rPr>
              <w:t>、技术要求”的得</w:t>
            </w:r>
            <w:r>
              <w:rPr>
                <w:rFonts w:hint="eastAsia" w:ascii="宋体" w:hAnsi="宋体" w:eastAsia="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分；一项不满足扣</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如此项全部不满足或</w:t>
            </w:r>
            <w:r>
              <w:rPr>
                <w:rFonts w:hint="eastAsia" w:ascii="宋体" w:hAnsi="宋体" w:eastAsia="宋体" w:cs="宋体"/>
                <w:b w:val="0"/>
                <w:bCs w:val="0"/>
                <w:color w:val="auto"/>
                <w:sz w:val="21"/>
                <w:szCs w:val="21"/>
                <w:highlight w:val="none"/>
              </w:rPr>
              <w:t>得分为0，则投标无效。</w:t>
            </w:r>
          </w:p>
        </w:tc>
      </w:tr>
      <w:tr w14:paraId="742A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E5753C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00FE8E1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2.服务实施方案（7分）</w:t>
            </w:r>
          </w:p>
        </w:tc>
        <w:tc>
          <w:tcPr>
            <w:tcW w:w="6770" w:type="dxa"/>
            <w:noWrap w:val="0"/>
            <w:vAlign w:val="center"/>
          </w:tcPr>
          <w:p w14:paraId="07D12027">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服务方案可行性、合理性，专业性（包含日常法律顾问服务、诉讼和仲裁服务等服务内容、服务措施等）进行评审；方案合理专业、可行得7分；方案一般合理专业、可行得4分；方案基本合理专业、可行得2分；未提供者不得分。</w:t>
            </w:r>
          </w:p>
        </w:tc>
      </w:tr>
      <w:tr w14:paraId="127CB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239" w:type="dxa"/>
            <w:vMerge w:val="continue"/>
            <w:noWrap w:val="0"/>
            <w:vAlign w:val="center"/>
          </w:tcPr>
          <w:p w14:paraId="76D9A30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653907A5">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3.对本项目法律服务内容的理解和认识（7分）</w:t>
            </w:r>
          </w:p>
        </w:tc>
        <w:tc>
          <w:tcPr>
            <w:tcW w:w="6770" w:type="dxa"/>
            <w:noWrap w:val="0"/>
            <w:vAlign w:val="center"/>
          </w:tcPr>
          <w:p w14:paraId="7361FFCA">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b w:val="0"/>
                <w:bCs w:val="0"/>
                <w:color w:val="auto"/>
                <w:sz w:val="21"/>
                <w:szCs w:val="21"/>
                <w:highlight w:val="none"/>
                <w:lang w:val="en-US" w:eastAsia="zh-CN"/>
              </w:rPr>
              <w:t>根据磋商文件所列内容：对本项目法律顾问服务有全面透彻的理解和认识、能够详细介绍法律顾问服务工作详细内容的，得7分；对本项目法律顾问服务有基本了解和认识、能够大概介绍法律顾问服务工作详细内容的，得4分；对本项目法律顾问服务不了解、不能够介绍法律顾问服务工作详细内容的，得2分；未提供者不得分。</w:t>
            </w:r>
          </w:p>
        </w:tc>
      </w:tr>
      <w:tr w14:paraId="322F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1239" w:type="dxa"/>
            <w:vMerge w:val="continue"/>
            <w:noWrap w:val="0"/>
            <w:vAlign w:val="center"/>
          </w:tcPr>
          <w:p w14:paraId="33D910A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5A32B0C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4.质量保障措施</w:t>
            </w:r>
            <w:r>
              <w:rPr>
                <w:rFonts w:hint="eastAsia" w:ascii="宋体" w:hAnsi="宋体" w:eastAsia="宋体" w:cs="宋体"/>
                <w:b w:val="0"/>
                <w:bCs w:val="0"/>
                <w:color w:val="auto"/>
                <w:sz w:val="21"/>
                <w:szCs w:val="21"/>
                <w:highlight w:val="none"/>
                <w:lang w:val="en-US" w:eastAsia="zh-CN"/>
              </w:rPr>
              <w:t>（5分）</w:t>
            </w:r>
          </w:p>
        </w:tc>
        <w:tc>
          <w:tcPr>
            <w:tcW w:w="6770" w:type="dxa"/>
            <w:noWrap w:val="0"/>
            <w:vAlign w:val="center"/>
          </w:tcPr>
          <w:p w14:paraId="695456BF">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供应商针对本项目质量保障措施方案的科学、严谨、合理性、可行性进行评审，合理、可行得5分；一般合理、可行得3分；基本合理、可行得1分；未提供者不得分。</w:t>
            </w:r>
          </w:p>
        </w:tc>
      </w:tr>
      <w:tr w14:paraId="65D63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14:paraId="4115DA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3C53F3E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26</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73AA994D">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.类似业绩（4分）</w:t>
            </w:r>
          </w:p>
        </w:tc>
        <w:tc>
          <w:tcPr>
            <w:tcW w:w="6770" w:type="dxa"/>
            <w:noWrap w:val="0"/>
            <w:vAlign w:val="center"/>
          </w:tcPr>
          <w:p w14:paraId="2322D786">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highlight w:val="none"/>
                <w:lang w:val="en-US" w:eastAsia="zh-CN"/>
              </w:rPr>
              <w:t>供应商2021年1月1日具有的类似服务业绩(以合同文件为准），每提供一份得2分，最多得4分。</w:t>
            </w:r>
          </w:p>
        </w:tc>
      </w:tr>
      <w:tr w14:paraId="5C59B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5371C11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53958A5A">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2.人员配备计划（5分）</w:t>
            </w:r>
          </w:p>
        </w:tc>
        <w:tc>
          <w:tcPr>
            <w:tcW w:w="6770" w:type="dxa"/>
            <w:noWrap w:val="0"/>
            <w:vAlign w:val="center"/>
          </w:tcPr>
          <w:p w14:paraId="19233D42">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实施过程中，各节点人员安排分配计划合理明确，无明显疏漏，能够完全满足实际项目需求的，得5分；计划基本合理，无明显疏漏，能够基本满足实际项目需求的，得3分；计划不合理，有明显疏漏，不能基本满足实际项目需求的，得1分；未提供者不得分。</w:t>
            </w:r>
          </w:p>
        </w:tc>
      </w:tr>
      <w:tr w14:paraId="33B43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3312D4F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4339F886">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3.企业荣誉（2分）</w:t>
            </w:r>
          </w:p>
        </w:tc>
        <w:tc>
          <w:tcPr>
            <w:tcW w:w="6770" w:type="dxa"/>
            <w:noWrap w:val="0"/>
            <w:vAlign w:val="center"/>
          </w:tcPr>
          <w:p w14:paraId="1B93C4DF">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供应商 2021 年以来（以证书颁发时间为准）获得市级司法行政部门或行业协会荣誉有一项加1分，此项最多得2分。 注：响应文件中须附荣誉证书或奖牌图片、红头文件扫描件，否则不得分。</w:t>
            </w:r>
          </w:p>
        </w:tc>
      </w:tr>
      <w:tr w14:paraId="2FE0F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239" w:type="dxa"/>
            <w:vMerge w:val="continue"/>
            <w:noWrap w:val="0"/>
            <w:vAlign w:val="center"/>
          </w:tcPr>
          <w:p w14:paraId="6D12088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22F7D1B8">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4.售后服务</w:t>
            </w:r>
          </w:p>
          <w:p w14:paraId="19065265">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(10分)</w:t>
            </w:r>
          </w:p>
        </w:tc>
        <w:tc>
          <w:tcPr>
            <w:tcW w:w="6770" w:type="dxa"/>
            <w:noWrap w:val="0"/>
            <w:vAlign w:val="center"/>
          </w:tcPr>
          <w:p w14:paraId="1F66515C">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根据供应商售后服务情况进行打分，</w:t>
            </w:r>
            <w:r>
              <w:rPr>
                <w:rFonts w:hint="eastAsia" w:ascii="宋体" w:hAnsi="宋体" w:eastAsia="宋体" w:cs="宋体"/>
                <w:color w:val="auto"/>
                <w:sz w:val="21"/>
                <w:szCs w:val="21"/>
                <w:highlight w:val="none"/>
                <w:lang w:val="en-US" w:eastAsia="zh-CN"/>
              </w:rPr>
              <w:t>包含（但不限于）以下内容：</w:t>
            </w:r>
          </w:p>
          <w:p w14:paraId="723920E6">
            <w:pPr>
              <w:keepNext w:val="0"/>
              <w:keepLines w:val="0"/>
              <w:pageBreakBefore w:val="0"/>
              <w:widowControl/>
              <w:numPr>
                <w:ilvl w:val="0"/>
                <w:numId w:val="3"/>
              </w:numPr>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服务网点设立情况（提供专业技术人员联系方式和服务站地址）</w:t>
            </w:r>
            <w:r>
              <w:rPr>
                <w:rFonts w:hint="eastAsia" w:ascii="宋体" w:hAnsi="宋体" w:eastAsia="宋体" w:cs="宋体"/>
                <w:color w:val="auto"/>
                <w:highlight w:val="none"/>
                <w:lang w:eastAsia="zh-CN"/>
              </w:rPr>
              <w:t>；</w:t>
            </w:r>
          </w:p>
          <w:p w14:paraId="5AFB03AA">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培训方案</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服务及时率</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服务到位程度及增值服务等</w:t>
            </w:r>
            <w:r>
              <w:rPr>
                <w:rFonts w:hint="eastAsia" w:ascii="宋体" w:hAnsi="宋体" w:eastAsia="宋体" w:cs="宋体"/>
                <w:color w:val="000000" w:themeColor="text1"/>
                <w:highlight w:val="none"/>
                <w:lang w:val="en-US" w:eastAsia="zh-CN"/>
                <w14:textFill>
                  <w14:solidFill>
                    <w14:schemeClr w14:val="tx1"/>
                  </w14:solidFill>
                </w14:textFill>
              </w:rPr>
              <w:t>。</w:t>
            </w:r>
          </w:p>
          <w:p w14:paraId="21E7A51F">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b w:val="0"/>
                <w:bCs w:val="0"/>
                <w:color w:val="auto"/>
                <w:sz w:val="21"/>
                <w:szCs w:val="21"/>
                <w:highlight w:val="none"/>
                <w:lang w:val="en-US" w:eastAsia="zh-CN"/>
              </w:rPr>
              <w:t>售后服务</w:t>
            </w:r>
            <w:r>
              <w:rPr>
                <w:rFonts w:hint="eastAsia" w:ascii="宋体" w:hAnsi="宋体" w:eastAsia="宋体" w:cs="宋体"/>
                <w:color w:val="auto"/>
                <w:highlight w:val="none"/>
              </w:rPr>
              <w:t>内容具体、完善、合理性程度强</w:t>
            </w:r>
            <w:r>
              <w:rPr>
                <w:rFonts w:hint="eastAsia" w:ascii="宋体" w:hAnsi="宋体" w:eastAsia="宋体" w:cs="宋体"/>
                <w:color w:val="000000" w:themeColor="text1"/>
                <w:highlight w:val="none"/>
                <w:lang w:val="en-US" w:eastAsia="zh-CN"/>
                <w14:textFill>
                  <w14:solidFill>
                    <w14:schemeClr w14:val="tx1"/>
                  </w14:solidFill>
                </w14:textFill>
              </w:rPr>
              <w:t>的</w:t>
            </w:r>
            <w:r>
              <w:rPr>
                <w:rFonts w:hint="eastAsia" w:ascii="宋体" w:hAnsi="宋体" w:eastAsia="宋体" w:cs="宋体"/>
                <w:color w:val="auto"/>
                <w:highlight w:val="none"/>
              </w:rPr>
              <w:t>得</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分，具体、完善、合理性程度</w:t>
            </w:r>
            <w:r>
              <w:rPr>
                <w:rFonts w:hint="eastAsia" w:ascii="宋体" w:hAnsi="宋体" w:eastAsia="宋体" w:cs="宋体"/>
                <w:color w:val="auto"/>
                <w:highlight w:val="none"/>
                <w:lang w:val="en-US" w:eastAsia="zh-CN"/>
              </w:rPr>
              <w:t>较强</w:t>
            </w:r>
            <w:r>
              <w:rPr>
                <w:rFonts w:hint="eastAsia" w:ascii="宋体" w:hAnsi="宋体" w:eastAsia="宋体" w:cs="宋体"/>
                <w:color w:val="000000" w:themeColor="text1"/>
                <w:highlight w:val="none"/>
                <w:lang w:val="en-US" w:eastAsia="zh-CN"/>
                <w14:textFill>
                  <w14:solidFill>
                    <w14:schemeClr w14:val="tx1"/>
                  </w14:solidFill>
                </w14:textFill>
              </w:rPr>
              <w:t>的</w:t>
            </w:r>
            <w:r>
              <w:rPr>
                <w:rFonts w:hint="eastAsia" w:ascii="宋体" w:hAnsi="宋体" w:eastAsia="宋体" w:cs="宋体"/>
                <w:color w:val="auto"/>
                <w:highlight w:val="none"/>
              </w:rPr>
              <w:t>得</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分，具体、完善、合理性程度</w:t>
            </w:r>
            <w:r>
              <w:rPr>
                <w:rFonts w:hint="eastAsia" w:ascii="宋体" w:hAnsi="宋体" w:eastAsia="宋体" w:cs="宋体"/>
                <w:color w:val="auto"/>
                <w:highlight w:val="none"/>
                <w:lang w:val="en-US" w:eastAsia="zh-CN"/>
              </w:rPr>
              <w:t>一般</w:t>
            </w:r>
            <w:r>
              <w:rPr>
                <w:rFonts w:hint="eastAsia" w:ascii="宋体" w:hAnsi="宋体" w:eastAsia="宋体" w:cs="宋体"/>
                <w:color w:val="000000" w:themeColor="text1"/>
                <w:highlight w:val="none"/>
                <w:lang w:val="en-US" w:eastAsia="zh-CN"/>
                <w14:textFill>
                  <w14:solidFill>
                    <w14:schemeClr w14:val="tx1"/>
                  </w14:solidFill>
                </w14:textFill>
              </w:rPr>
              <w:t>的</w:t>
            </w:r>
            <w:r>
              <w:rPr>
                <w:rFonts w:hint="eastAsia" w:ascii="宋体" w:hAnsi="宋体" w:eastAsia="宋体" w:cs="宋体"/>
                <w:color w:val="auto"/>
                <w:highlight w:val="none"/>
              </w:rPr>
              <w:t>得</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缺项得0分。</w:t>
            </w:r>
          </w:p>
        </w:tc>
      </w:tr>
      <w:tr w14:paraId="00D8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239" w:type="dxa"/>
            <w:vMerge w:val="continue"/>
            <w:noWrap w:val="0"/>
            <w:vAlign w:val="center"/>
          </w:tcPr>
          <w:p w14:paraId="7ACCDBE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1494E89">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5.其他优惠承诺</w:t>
            </w:r>
          </w:p>
          <w:p w14:paraId="4AB3DE09">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（5分）</w:t>
            </w:r>
          </w:p>
        </w:tc>
        <w:tc>
          <w:tcPr>
            <w:tcW w:w="6770" w:type="dxa"/>
            <w:noWrap w:val="0"/>
            <w:vAlign w:val="center"/>
          </w:tcPr>
          <w:p w14:paraId="4E7FE4AB">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根据投标人在满足采购文件基本要求的基础上提供的实质性优惠承诺。</w:t>
            </w:r>
          </w:p>
          <w:p w14:paraId="6D1922FC">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lang w:val="en-US" w:eastAsia="zh-CN"/>
              </w:rPr>
            </w:pPr>
            <w:r>
              <w:rPr>
                <w:rFonts w:hint="eastAsia" w:ascii="宋体" w:hAnsi="宋体" w:eastAsia="宋体" w:cs="宋体"/>
                <w:color w:val="auto"/>
                <w:kern w:val="2"/>
                <w:sz w:val="21"/>
                <w:szCs w:val="21"/>
                <w:highlight w:val="none"/>
                <w:lang w:val="en-US" w:eastAsia="zh-CN" w:bidi="ar-SA"/>
              </w:rPr>
              <w:t xml:space="preserve">每提供一项对采购人有利的、切实可行的实质性优惠承诺得2.5分，最多得5分。未提供者不得分。 </w:t>
            </w:r>
          </w:p>
        </w:tc>
      </w:tr>
      <w:tr w14:paraId="51B45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51A1361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40EDF5F0">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2467F230">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C7A2336">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52"/>
    <w:p w14:paraId="5BDC1B96">
      <w:pPr>
        <w:rPr>
          <w:rFonts w:hint="eastAsia" w:ascii="宋体" w:hAnsi="宋体" w:eastAsia="宋体" w:cs="宋体"/>
          <w:color w:val="auto"/>
          <w:highlight w:val="none"/>
        </w:rPr>
      </w:pPr>
      <w:bookmarkStart w:id="54" w:name="_Toc1947"/>
      <w:bookmarkStart w:id="55" w:name="_Toc1482"/>
      <w:bookmarkStart w:id="56" w:name="_Toc256519703"/>
      <w:bookmarkStart w:id="57" w:name="_Toc326786897"/>
    </w:p>
    <w:p w14:paraId="25BCEA4F">
      <w:pPr>
        <w:pStyle w:val="2"/>
        <w:snapToGrid w:val="0"/>
        <w:spacing w:before="0" w:after="0" w:line="480" w:lineRule="auto"/>
        <w:jc w:val="center"/>
        <w:rPr>
          <w:rFonts w:hint="eastAsia" w:ascii="宋体" w:hAnsi="宋体" w:eastAsia="宋体" w:cs="宋体"/>
          <w:color w:val="auto"/>
          <w:sz w:val="28"/>
          <w:szCs w:val="28"/>
          <w:highlight w:val="yellow"/>
        </w:rPr>
      </w:pPr>
      <w:bookmarkStart w:id="58" w:name="_Toc17218"/>
      <w:r>
        <w:rPr>
          <w:rFonts w:hint="eastAsia" w:ascii="宋体" w:hAnsi="宋体" w:eastAsia="宋体" w:cs="宋体"/>
          <w:color w:val="auto"/>
          <w:sz w:val="28"/>
          <w:szCs w:val="28"/>
          <w:highlight w:val="none"/>
        </w:rPr>
        <w:t>第五章  采购合同</w:t>
      </w:r>
      <w:bookmarkEnd w:id="58"/>
    </w:p>
    <w:p w14:paraId="01A8AC47">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以实际合同为准</w:t>
      </w:r>
      <w:r>
        <w:rPr>
          <w:rFonts w:hint="eastAsia" w:ascii="宋体" w:hAnsi="宋体" w:eastAsia="宋体" w:cs="宋体"/>
          <w:sz w:val="21"/>
          <w:szCs w:val="21"/>
          <w:lang w:eastAsia="zh-CN"/>
        </w:rPr>
        <w:t>）</w:t>
      </w:r>
    </w:p>
    <w:p w14:paraId="3BAAE1F0">
      <w:pPr>
        <w:rPr>
          <w:rFonts w:hint="eastAsia" w:ascii="宋体" w:hAnsi="宋体" w:eastAsia="宋体" w:cs="宋体"/>
          <w:color w:val="auto"/>
          <w:sz w:val="32"/>
          <w:szCs w:val="32"/>
          <w:highlight w:val="none"/>
        </w:rPr>
      </w:pPr>
    </w:p>
    <w:p w14:paraId="2F948D6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3ADAC96">
      <w:pPr>
        <w:pStyle w:val="2"/>
        <w:jc w:val="center"/>
        <w:rPr>
          <w:rFonts w:hint="eastAsia" w:ascii="宋体" w:hAnsi="宋体" w:eastAsia="宋体" w:cs="宋体"/>
          <w:color w:val="auto"/>
          <w:kern w:val="0"/>
          <w:highlight w:val="none"/>
        </w:rPr>
      </w:pPr>
      <w:bookmarkStart w:id="59" w:name="_Toc3791"/>
      <w:r>
        <w:rPr>
          <w:rFonts w:hint="eastAsia" w:ascii="宋体" w:hAnsi="宋体" w:eastAsia="宋体" w:cs="宋体"/>
          <w:color w:val="auto"/>
          <w:sz w:val="32"/>
          <w:szCs w:val="32"/>
          <w:highlight w:val="none"/>
        </w:rPr>
        <w:t>第六章  投标文件格式</w:t>
      </w:r>
      <w:bookmarkEnd w:id="54"/>
      <w:bookmarkEnd w:id="55"/>
      <w:bookmarkEnd w:id="59"/>
    </w:p>
    <w:p w14:paraId="71884FFB">
      <w:pPr>
        <w:spacing w:line="440" w:lineRule="exact"/>
        <w:rPr>
          <w:rFonts w:hint="eastAsia" w:ascii="宋体" w:hAnsi="宋体" w:eastAsia="宋体" w:cs="宋体"/>
          <w:color w:val="auto"/>
          <w:sz w:val="24"/>
          <w:highlight w:val="none"/>
        </w:rPr>
      </w:pPr>
    </w:p>
    <w:p w14:paraId="756F0CD0">
      <w:pPr>
        <w:jc w:val="center"/>
        <w:rPr>
          <w:rFonts w:hint="eastAsia" w:ascii="宋体" w:hAnsi="宋体" w:eastAsia="宋体" w:cs="宋体"/>
          <w:b/>
          <w:bCs/>
          <w:color w:val="auto"/>
          <w:sz w:val="32"/>
          <w:szCs w:val="32"/>
          <w:highlight w:val="none"/>
        </w:rPr>
      </w:pPr>
      <w:bookmarkStart w:id="60" w:name="_Toc13604"/>
      <w:r>
        <w:rPr>
          <w:rFonts w:hint="eastAsia" w:ascii="宋体" w:hAnsi="宋体" w:eastAsia="宋体" w:cs="宋体"/>
          <w:b/>
          <w:bCs/>
          <w:color w:val="auto"/>
          <w:sz w:val="32"/>
          <w:szCs w:val="32"/>
          <w:highlight w:val="none"/>
        </w:rPr>
        <w:t>目    录</w:t>
      </w:r>
      <w:bookmarkEnd w:id="60"/>
    </w:p>
    <w:p w14:paraId="441F90EE">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68BF1E6">
      <w:pPr>
        <w:snapToGrid w:val="0"/>
        <w:spacing w:line="360" w:lineRule="auto"/>
        <w:ind w:firstLine="480" w:firstLineChars="200"/>
        <w:rPr>
          <w:rFonts w:hint="eastAsia" w:ascii="宋体" w:hAnsi="宋体" w:eastAsia="宋体" w:cs="宋体"/>
          <w:color w:val="auto"/>
          <w:sz w:val="24"/>
          <w:highlight w:val="none"/>
        </w:rPr>
      </w:pPr>
      <w:bookmarkStart w:id="61" w:name="_Toc11308"/>
      <w:r>
        <w:rPr>
          <w:rFonts w:hint="eastAsia" w:ascii="宋体" w:hAnsi="宋体" w:eastAsia="宋体" w:cs="宋体"/>
          <w:color w:val="auto"/>
          <w:sz w:val="24"/>
          <w:highlight w:val="none"/>
        </w:rPr>
        <w:t>附件1投标文件封面（格式）</w:t>
      </w:r>
      <w:bookmarkEnd w:id="61"/>
    </w:p>
    <w:p w14:paraId="618FC33C">
      <w:pPr>
        <w:snapToGrid w:val="0"/>
        <w:spacing w:line="360" w:lineRule="auto"/>
        <w:ind w:firstLine="480" w:firstLineChars="200"/>
        <w:rPr>
          <w:rFonts w:hint="eastAsia" w:ascii="宋体" w:hAnsi="宋体" w:eastAsia="宋体" w:cs="宋体"/>
          <w:color w:val="auto"/>
          <w:sz w:val="24"/>
          <w:highlight w:val="none"/>
        </w:rPr>
      </w:pPr>
      <w:bookmarkStart w:id="62" w:name="_Toc25345"/>
      <w:r>
        <w:rPr>
          <w:rFonts w:hint="eastAsia" w:ascii="宋体" w:hAnsi="宋体" w:eastAsia="宋体" w:cs="宋体"/>
          <w:color w:val="auto"/>
          <w:sz w:val="24"/>
          <w:highlight w:val="none"/>
        </w:rPr>
        <w:t>附件2 投标书（格式）</w:t>
      </w:r>
      <w:bookmarkEnd w:id="62"/>
    </w:p>
    <w:p w14:paraId="772AEA82">
      <w:pPr>
        <w:snapToGrid w:val="0"/>
        <w:spacing w:line="360" w:lineRule="auto"/>
        <w:ind w:firstLine="480" w:firstLineChars="200"/>
        <w:rPr>
          <w:rFonts w:hint="eastAsia" w:ascii="宋体" w:hAnsi="宋体" w:eastAsia="宋体" w:cs="宋体"/>
          <w:color w:val="auto"/>
          <w:sz w:val="24"/>
          <w:highlight w:val="none"/>
        </w:rPr>
      </w:pPr>
      <w:bookmarkStart w:id="63" w:name="_Toc10217"/>
      <w:r>
        <w:rPr>
          <w:rFonts w:hint="eastAsia" w:ascii="宋体" w:hAnsi="宋体" w:eastAsia="宋体" w:cs="宋体"/>
          <w:color w:val="auto"/>
          <w:sz w:val="24"/>
          <w:highlight w:val="none"/>
        </w:rPr>
        <w:t>附件3 开标一览表（格式）</w:t>
      </w:r>
      <w:bookmarkEnd w:id="63"/>
    </w:p>
    <w:p w14:paraId="681C7131">
      <w:pPr>
        <w:snapToGrid w:val="0"/>
        <w:spacing w:line="360" w:lineRule="auto"/>
        <w:ind w:firstLine="480" w:firstLineChars="200"/>
        <w:rPr>
          <w:rFonts w:hint="eastAsia" w:ascii="宋体" w:hAnsi="宋体" w:eastAsia="宋体" w:cs="宋体"/>
          <w:color w:val="auto"/>
          <w:sz w:val="24"/>
          <w:highlight w:val="none"/>
          <w:lang w:val="en-US"/>
        </w:rPr>
      </w:pPr>
      <w:bookmarkStart w:id="64" w:name="_Toc9579"/>
      <w:r>
        <w:rPr>
          <w:rFonts w:hint="eastAsia" w:ascii="宋体" w:hAnsi="宋体" w:eastAsia="宋体" w:cs="宋体"/>
          <w:color w:val="auto"/>
          <w:sz w:val="24"/>
          <w:highlight w:val="none"/>
        </w:rPr>
        <w:t xml:space="preserve">附件4 </w:t>
      </w:r>
      <w:bookmarkEnd w:id="64"/>
      <w:r>
        <w:rPr>
          <w:rFonts w:hint="eastAsia" w:ascii="宋体" w:hAnsi="宋体" w:eastAsia="宋体" w:cs="宋体"/>
          <w:color w:val="auto"/>
          <w:sz w:val="24"/>
          <w:highlight w:val="none"/>
          <w:lang w:val="en-US" w:eastAsia="zh-CN"/>
        </w:rPr>
        <w:t>报价明细表（格式）</w:t>
      </w:r>
    </w:p>
    <w:p w14:paraId="243E5420">
      <w:pPr>
        <w:snapToGrid w:val="0"/>
        <w:spacing w:line="360" w:lineRule="auto"/>
        <w:ind w:firstLine="480" w:firstLineChars="200"/>
        <w:rPr>
          <w:rFonts w:hint="eastAsia" w:ascii="宋体" w:hAnsi="宋体" w:eastAsia="宋体" w:cs="宋体"/>
          <w:color w:val="auto"/>
          <w:sz w:val="24"/>
          <w:highlight w:val="none"/>
          <w:lang w:val="en-US"/>
        </w:rPr>
      </w:pPr>
      <w:bookmarkStart w:id="65"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5"/>
      <w:r>
        <w:rPr>
          <w:rFonts w:hint="eastAsia" w:ascii="宋体" w:hAnsi="宋体" w:eastAsia="宋体" w:cs="宋体"/>
          <w:color w:val="auto"/>
          <w:sz w:val="24"/>
          <w:highlight w:val="none"/>
          <w:lang w:val="en-US" w:eastAsia="zh-CN"/>
        </w:rPr>
        <w:t>表（格式）</w:t>
      </w:r>
    </w:p>
    <w:p w14:paraId="1C8D553E">
      <w:pPr>
        <w:snapToGrid w:val="0"/>
        <w:spacing w:line="360" w:lineRule="auto"/>
        <w:ind w:firstLine="480" w:firstLineChars="200"/>
        <w:rPr>
          <w:rFonts w:hint="eastAsia" w:ascii="宋体" w:hAnsi="宋体" w:eastAsia="宋体" w:cs="宋体"/>
          <w:color w:val="auto"/>
          <w:sz w:val="24"/>
          <w:highlight w:val="none"/>
          <w:lang w:val="en-US" w:eastAsia="zh-CN"/>
        </w:rPr>
      </w:pPr>
      <w:bookmarkStart w:id="66" w:name="_Toc6234"/>
      <w:r>
        <w:rPr>
          <w:rFonts w:hint="eastAsia" w:ascii="宋体" w:hAnsi="宋体" w:eastAsia="宋体" w:cs="宋体"/>
          <w:color w:val="auto"/>
          <w:sz w:val="24"/>
          <w:highlight w:val="none"/>
        </w:rPr>
        <w:t>附件6 商务</w:t>
      </w:r>
      <w:bookmarkEnd w:id="66"/>
      <w:r>
        <w:rPr>
          <w:rFonts w:hint="eastAsia" w:ascii="宋体" w:hAnsi="宋体" w:eastAsia="宋体" w:cs="宋体"/>
          <w:color w:val="auto"/>
          <w:sz w:val="24"/>
          <w:highlight w:val="none"/>
          <w:lang w:val="en-US" w:eastAsia="zh-CN"/>
        </w:rPr>
        <w:t>响应</w:t>
      </w:r>
    </w:p>
    <w:p w14:paraId="580D8A42">
      <w:pPr>
        <w:snapToGrid w:val="0"/>
        <w:spacing w:line="360" w:lineRule="auto"/>
        <w:ind w:firstLine="480" w:firstLineChars="200"/>
        <w:rPr>
          <w:rFonts w:hint="eastAsia" w:ascii="宋体" w:hAnsi="宋体" w:eastAsia="宋体" w:cs="宋体"/>
          <w:color w:val="auto"/>
          <w:sz w:val="24"/>
          <w:highlight w:val="none"/>
        </w:rPr>
      </w:pPr>
      <w:bookmarkStart w:id="67"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7"/>
    </w:p>
    <w:p w14:paraId="2407B19D">
      <w:pPr>
        <w:snapToGrid w:val="0"/>
        <w:spacing w:line="360" w:lineRule="auto"/>
        <w:ind w:firstLine="480" w:firstLineChars="200"/>
        <w:rPr>
          <w:rFonts w:hint="eastAsia" w:ascii="宋体" w:hAnsi="宋体" w:eastAsia="宋体" w:cs="宋体"/>
          <w:color w:val="auto"/>
          <w:sz w:val="24"/>
          <w:highlight w:val="none"/>
        </w:rPr>
      </w:pPr>
      <w:bookmarkStart w:id="68"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8"/>
    </w:p>
    <w:p w14:paraId="17CF541B">
      <w:pPr>
        <w:snapToGrid w:val="0"/>
        <w:spacing w:line="360" w:lineRule="auto"/>
        <w:ind w:firstLine="480" w:firstLineChars="200"/>
        <w:rPr>
          <w:rFonts w:hint="eastAsia" w:ascii="宋体" w:hAnsi="宋体" w:eastAsia="宋体" w:cs="宋体"/>
          <w:color w:val="auto"/>
          <w:sz w:val="24"/>
          <w:highlight w:val="none"/>
        </w:rPr>
      </w:pPr>
      <w:bookmarkStart w:id="69" w:name="_Toc31857"/>
      <w:r>
        <w:rPr>
          <w:rFonts w:hint="eastAsia" w:ascii="宋体" w:hAnsi="宋体" w:eastAsia="宋体" w:cs="宋体"/>
          <w:color w:val="auto"/>
          <w:sz w:val="24"/>
          <w:highlight w:val="none"/>
        </w:rPr>
        <w:t>附件9 证明文件</w:t>
      </w:r>
      <w:bookmarkEnd w:id="69"/>
    </w:p>
    <w:p w14:paraId="11EA086E">
      <w:pPr>
        <w:snapToGrid w:val="0"/>
        <w:spacing w:line="360" w:lineRule="auto"/>
        <w:ind w:firstLine="480" w:firstLineChars="200"/>
        <w:rPr>
          <w:rFonts w:hint="eastAsia" w:ascii="宋体" w:hAnsi="宋体" w:eastAsia="宋体" w:cs="宋体"/>
          <w:color w:val="auto"/>
          <w:sz w:val="24"/>
          <w:highlight w:val="none"/>
        </w:rPr>
      </w:pPr>
      <w:bookmarkStart w:id="70" w:name="_Toc23116"/>
      <w:r>
        <w:rPr>
          <w:rFonts w:hint="eastAsia" w:ascii="宋体" w:hAnsi="宋体" w:eastAsia="宋体" w:cs="宋体"/>
          <w:color w:val="auto"/>
          <w:sz w:val="24"/>
          <w:highlight w:val="none"/>
        </w:rPr>
        <w:t>附件10 供应商承诺书（格式）</w:t>
      </w:r>
      <w:bookmarkEnd w:id="70"/>
    </w:p>
    <w:p w14:paraId="353815DB">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70E01033">
      <w:pPr>
        <w:pStyle w:val="31"/>
        <w:rPr>
          <w:rFonts w:hint="eastAsia" w:ascii="宋体" w:hAnsi="宋体" w:eastAsia="宋体" w:cs="宋体"/>
        </w:rPr>
      </w:pPr>
    </w:p>
    <w:p w14:paraId="5D73971F">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192537B0">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1FC7A711">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32DC93BD">
      <w:pPr>
        <w:pStyle w:val="3"/>
        <w:rPr>
          <w:rFonts w:hint="eastAsia" w:ascii="宋体" w:hAnsi="宋体" w:eastAsia="宋体" w:cs="宋体"/>
          <w:b/>
          <w:bCs/>
          <w:color w:val="auto"/>
          <w:kern w:val="0"/>
          <w:sz w:val="24"/>
          <w:highlight w:val="none"/>
        </w:rPr>
      </w:pPr>
    </w:p>
    <w:p w14:paraId="7B2A9EC8">
      <w:pPr>
        <w:pStyle w:val="4"/>
        <w:rPr>
          <w:rFonts w:hint="eastAsia" w:ascii="宋体" w:hAnsi="宋体" w:eastAsia="宋体" w:cs="宋体"/>
          <w:b/>
          <w:bCs/>
          <w:color w:val="auto"/>
          <w:highlight w:val="none"/>
        </w:rPr>
      </w:pPr>
    </w:p>
    <w:p w14:paraId="28812EE7">
      <w:pPr>
        <w:pStyle w:val="4"/>
        <w:rPr>
          <w:rFonts w:hint="eastAsia" w:ascii="宋体" w:hAnsi="宋体" w:eastAsia="宋体" w:cs="宋体"/>
          <w:b/>
          <w:bCs/>
          <w:color w:val="auto"/>
          <w:highlight w:val="none"/>
        </w:rPr>
      </w:pPr>
    </w:p>
    <w:p w14:paraId="477DBD04">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4B7CCAF">
      <w:pPr>
        <w:pStyle w:val="26"/>
        <w:rPr>
          <w:rFonts w:hint="eastAsia" w:ascii="宋体" w:hAnsi="宋体" w:eastAsia="宋体" w:cs="宋体"/>
          <w:color w:val="auto"/>
          <w:highlight w:val="none"/>
        </w:rPr>
      </w:pPr>
    </w:p>
    <w:p w14:paraId="316D5170">
      <w:pPr>
        <w:pStyle w:val="5"/>
        <w:rPr>
          <w:rFonts w:hint="eastAsia" w:ascii="宋体" w:hAnsi="宋体" w:eastAsia="宋体" w:cs="宋体"/>
          <w:color w:val="auto"/>
          <w:highlight w:val="none"/>
        </w:rPr>
      </w:pPr>
      <w:bookmarkStart w:id="71" w:name="_Toc31798"/>
      <w:bookmarkStart w:id="72" w:name="_Toc24743"/>
      <w:r>
        <w:rPr>
          <w:rFonts w:hint="eastAsia" w:ascii="宋体" w:hAnsi="宋体" w:eastAsia="宋体" w:cs="宋体"/>
          <w:color w:val="auto"/>
          <w:highlight w:val="none"/>
        </w:rPr>
        <w:t>附件1               投标文件封面（格式）</w:t>
      </w:r>
      <w:bookmarkEnd w:id="71"/>
      <w:bookmarkEnd w:id="72"/>
    </w:p>
    <w:p w14:paraId="6B83ACDA">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3EA85E95">
      <w:pPr>
        <w:snapToGrid w:val="0"/>
        <w:spacing w:line="360" w:lineRule="auto"/>
        <w:jc w:val="center"/>
        <w:rPr>
          <w:rFonts w:hint="eastAsia" w:ascii="宋体" w:hAnsi="宋体" w:eastAsia="宋体" w:cs="宋体"/>
          <w:b/>
          <w:snapToGrid w:val="0"/>
          <w:color w:val="auto"/>
          <w:spacing w:val="0"/>
          <w:kern w:val="0"/>
          <w:sz w:val="44"/>
          <w:szCs w:val="44"/>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27BD0057">
      <w:pPr>
        <w:pStyle w:val="5"/>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 xml:space="preserve">             </w:t>
      </w:r>
      <w:r>
        <w:rPr>
          <w:rFonts w:hint="eastAsia" w:ascii="宋体" w:hAnsi="宋体" w:eastAsia="宋体" w:cs="宋体"/>
          <w:b/>
          <w:color w:val="auto"/>
          <w:spacing w:val="90"/>
          <w:sz w:val="52"/>
          <w:szCs w:val="52"/>
          <w:highlight w:val="none"/>
        </w:rPr>
        <w:t>投标文件</w:t>
      </w:r>
    </w:p>
    <w:p w14:paraId="33C359C1">
      <w:pPr>
        <w:spacing w:line="360" w:lineRule="auto"/>
        <w:rPr>
          <w:rFonts w:hint="eastAsia" w:ascii="宋体" w:hAnsi="宋体" w:eastAsia="宋体" w:cs="宋体"/>
          <w:color w:val="auto"/>
          <w:sz w:val="28"/>
          <w:highlight w:val="none"/>
        </w:rPr>
      </w:pPr>
    </w:p>
    <w:p w14:paraId="444CF363">
      <w:pPr>
        <w:pStyle w:val="4"/>
        <w:spacing w:line="360" w:lineRule="auto"/>
        <w:rPr>
          <w:rFonts w:hint="eastAsia" w:ascii="宋体" w:hAnsi="宋体" w:eastAsia="宋体" w:cs="宋体"/>
          <w:color w:val="auto"/>
          <w:highlight w:val="none"/>
        </w:rPr>
      </w:pPr>
    </w:p>
    <w:p w14:paraId="214856D8">
      <w:pPr>
        <w:pStyle w:val="4"/>
        <w:spacing w:line="360" w:lineRule="auto"/>
        <w:rPr>
          <w:rFonts w:hint="eastAsia" w:ascii="宋体" w:hAnsi="宋体" w:eastAsia="宋体" w:cs="宋体"/>
          <w:color w:val="auto"/>
          <w:highlight w:val="none"/>
        </w:rPr>
      </w:pPr>
    </w:p>
    <w:p w14:paraId="00AA50F3">
      <w:pPr>
        <w:spacing w:line="360" w:lineRule="auto"/>
        <w:rPr>
          <w:rFonts w:hint="eastAsia" w:ascii="宋体" w:hAnsi="宋体" w:eastAsia="宋体" w:cs="宋体"/>
          <w:color w:val="auto"/>
          <w:sz w:val="28"/>
          <w:highlight w:val="none"/>
        </w:rPr>
      </w:pPr>
    </w:p>
    <w:p w14:paraId="073D1B75">
      <w:pPr>
        <w:spacing w:line="360" w:lineRule="auto"/>
        <w:rPr>
          <w:rFonts w:hint="eastAsia" w:ascii="宋体" w:hAnsi="宋体" w:eastAsia="宋体" w:cs="宋体"/>
          <w:color w:val="auto"/>
          <w:sz w:val="28"/>
          <w:highlight w:val="none"/>
        </w:rPr>
      </w:pPr>
    </w:p>
    <w:p w14:paraId="128C7579">
      <w:pPr>
        <w:spacing w:line="360" w:lineRule="auto"/>
        <w:rPr>
          <w:rFonts w:hint="eastAsia" w:ascii="宋体" w:hAnsi="宋体" w:eastAsia="宋体" w:cs="宋体"/>
          <w:color w:val="auto"/>
          <w:sz w:val="28"/>
          <w:highlight w:val="none"/>
        </w:rPr>
      </w:pPr>
    </w:p>
    <w:p w14:paraId="0EF26CB7">
      <w:pPr>
        <w:spacing w:line="360" w:lineRule="auto"/>
        <w:rPr>
          <w:rFonts w:hint="eastAsia" w:ascii="宋体" w:hAnsi="宋体" w:eastAsia="宋体" w:cs="宋体"/>
          <w:color w:val="auto"/>
          <w:sz w:val="28"/>
          <w:highlight w:val="none"/>
        </w:rPr>
      </w:pPr>
    </w:p>
    <w:p w14:paraId="26B46F87">
      <w:pPr>
        <w:spacing w:line="360" w:lineRule="auto"/>
        <w:rPr>
          <w:rFonts w:hint="eastAsia" w:ascii="宋体" w:hAnsi="宋体" w:eastAsia="宋体" w:cs="宋体"/>
          <w:color w:val="auto"/>
          <w:sz w:val="28"/>
          <w:highlight w:val="none"/>
        </w:rPr>
      </w:pPr>
    </w:p>
    <w:p w14:paraId="6EC6A500">
      <w:pPr>
        <w:spacing w:line="360" w:lineRule="auto"/>
        <w:rPr>
          <w:rFonts w:hint="eastAsia" w:ascii="宋体" w:hAnsi="宋体" w:eastAsia="宋体" w:cs="宋体"/>
          <w:color w:val="auto"/>
          <w:sz w:val="28"/>
          <w:highlight w:val="none"/>
        </w:rPr>
      </w:pPr>
    </w:p>
    <w:p w14:paraId="326B6EF3">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全称并盖章</w:t>
      </w:r>
      <w:r>
        <w:rPr>
          <w:rFonts w:hint="eastAsia" w:ascii="宋体" w:hAnsi="宋体" w:eastAsia="宋体" w:cs="宋体"/>
          <w:color w:val="auto"/>
          <w:sz w:val="28"/>
          <w:szCs w:val="28"/>
          <w:highlight w:val="none"/>
        </w:rPr>
        <w:t>）</w:t>
      </w:r>
    </w:p>
    <w:p w14:paraId="493FB66C">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或委托人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章</w:t>
      </w:r>
      <w:r>
        <w:rPr>
          <w:rFonts w:hint="eastAsia" w:ascii="宋体" w:hAnsi="宋体" w:eastAsia="宋体" w:cs="宋体"/>
          <w:color w:val="auto"/>
          <w:sz w:val="28"/>
          <w:szCs w:val="28"/>
          <w:highlight w:val="none"/>
        </w:rPr>
        <w:t>）</w:t>
      </w:r>
    </w:p>
    <w:p w14:paraId="05F27E44">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47555475">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23AE0422">
      <w:pPr>
        <w:pStyle w:val="3"/>
        <w:rPr>
          <w:rFonts w:hint="eastAsia" w:ascii="宋体" w:hAnsi="宋体" w:eastAsia="宋体" w:cs="宋体"/>
          <w:b/>
          <w:color w:val="auto"/>
          <w:kern w:val="0"/>
          <w:sz w:val="24"/>
          <w:highlight w:val="none"/>
        </w:rPr>
      </w:pPr>
    </w:p>
    <w:p w14:paraId="0D706BCA">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451A939F">
      <w:pPr>
        <w:pStyle w:val="5"/>
        <w:rPr>
          <w:rFonts w:hint="eastAsia" w:ascii="宋体" w:hAnsi="宋体" w:eastAsia="宋体" w:cs="宋体"/>
          <w:color w:val="auto"/>
          <w:highlight w:val="none"/>
        </w:rPr>
      </w:pPr>
      <w:bookmarkStart w:id="73" w:name="_Toc14560"/>
      <w:bookmarkStart w:id="74" w:name="_Toc8818"/>
      <w:r>
        <w:rPr>
          <w:rFonts w:hint="eastAsia" w:ascii="宋体" w:hAnsi="宋体" w:eastAsia="宋体" w:cs="宋体"/>
          <w:color w:val="auto"/>
          <w:highlight w:val="none"/>
        </w:rPr>
        <w:t>附件2               投  标  书（格式）</w:t>
      </w:r>
      <w:bookmarkEnd w:id="73"/>
      <w:bookmarkEnd w:id="74"/>
    </w:p>
    <w:p w14:paraId="084CBD12">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08765CC2">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项目的投标。现正式提交下述文件1份：</w:t>
      </w:r>
    </w:p>
    <w:p w14:paraId="3C87ED2F">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14:paraId="35E03C4E">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EE3B15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4、技术响应表。</w:t>
      </w:r>
    </w:p>
    <w:p w14:paraId="2E642C8D">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4、商务响应表。</w:t>
      </w:r>
    </w:p>
    <w:p w14:paraId="7B4E092A">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5、证明文件。</w:t>
      </w:r>
    </w:p>
    <w:p w14:paraId="287C8DB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6、抵制商业贿赂承诺。为便于贵方公正、择优地确定中标供应商及其投标产品和服务，我方就本次投标有关事项郑重声明并宣布同意如下：</w:t>
      </w:r>
    </w:p>
    <w:p w14:paraId="59E9A7E8">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033CE72E">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2、我方承诺在投标活动中提供的各种材料真实有效。</w:t>
      </w:r>
    </w:p>
    <w:p w14:paraId="258D77B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3、我方同意在投标文件有效期内遵守本投标文件中的承诺且在此期限期满之前均具有约束力。如果我方中标，投标文件有效期与合同履行期相同。</w:t>
      </w:r>
    </w:p>
    <w:p w14:paraId="44C0C4A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FF704E0">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的评标结果，完全理解本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项目最低投标价不作为中标的保证。</w:t>
      </w:r>
    </w:p>
    <w:p w14:paraId="693E34B6">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5993239F">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2C77630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65135FB5">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.4.3项所述情况，同意我方投标被作为无效投标处理。</w:t>
      </w:r>
    </w:p>
    <w:p w14:paraId="58F45D55">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60C26A06">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4A63D5F9">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12、如果被确定为中标供应商，我方同意按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并缴纳服务费。否则，视为我方中标后自动放弃中标资格，承担由此引起的一切后果。</w:t>
      </w:r>
    </w:p>
    <w:p w14:paraId="182B48E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13、如果被确定为中标供应商，我方同意在领取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文件的规定与采购人签订采购合同。否则，视为我方中标后无正当理由不与采购人签订合同并承担相应法律责任。</w:t>
      </w:r>
    </w:p>
    <w:p w14:paraId="2D577A1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p>
    <w:p w14:paraId="34821827">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016CD75F">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16、与本投标有关的一切正式往来通讯请寄（地址电话必须为最新并可以联系到）：</w:t>
      </w:r>
    </w:p>
    <w:p w14:paraId="047D0D7B">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邮编：</w:t>
      </w:r>
    </w:p>
    <w:p w14:paraId="51F1C858">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传真： </w:t>
      </w:r>
    </w:p>
    <w:p w14:paraId="2EC96ED3">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60377564">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kern w:val="0"/>
          <w:szCs w:val="21"/>
          <w:highlight w:val="none"/>
        </w:rPr>
        <w:t xml:space="preserve">： </w:t>
      </w:r>
    </w:p>
    <w:p w14:paraId="3FAB96E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：（全称并加盖公章）</w:t>
      </w:r>
    </w:p>
    <w:p w14:paraId="7A7361DB">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7B632FF1">
      <w:pPr>
        <w:widowControl/>
        <w:snapToGrid w:val="0"/>
        <w:spacing w:line="460" w:lineRule="exact"/>
        <w:ind w:firstLine="3360" w:firstLineChars="1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27F3453C">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BC691B5">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2EF5BFFA">
      <w:pPr>
        <w:spacing w:line="500" w:lineRule="exact"/>
        <w:jc w:val="center"/>
        <w:rPr>
          <w:rFonts w:hint="eastAsia" w:ascii="宋体" w:hAnsi="宋体" w:eastAsia="宋体" w:cs="宋体"/>
          <w:b/>
          <w:bCs/>
          <w:color w:val="auto"/>
          <w:sz w:val="24"/>
          <w:highlight w:val="none"/>
        </w:rPr>
      </w:pPr>
    </w:p>
    <w:p w14:paraId="740590E4">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B452984">
      <w:pPr>
        <w:pStyle w:val="5"/>
        <w:spacing w:before="20" w:after="20"/>
        <w:rPr>
          <w:rFonts w:hint="eastAsia" w:ascii="宋体" w:hAnsi="宋体" w:eastAsia="宋体" w:cs="宋体"/>
          <w:color w:val="auto"/>
          <w:highlight w:val="none"/>
          <w:lang w:eastAsia="zh-CN"/>
        </w:rPr>
      </w:pPr>
      <w:bookmarkStart w:id="75" w:name="_Toc7838"/>
      <w:r>
        <w:rPr>
          <w:rFonts w:hint="eastAsia" w:ascii="宋体" w:hAnsi="宋体" w:eastAsia="宋体" w:cs="宋体"/>
          <w:color w:val="auto"/>
          <w:highlight w:val="none"/>
        </w:rPr>
        <w:t>附件3               开标一览表</w:t>
      </w:r>
      <w:bookmarkEnd w:id="75"/>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格式</w:t>
      </w:r>
      <w:r>
        <w:rPr>
          <w:rFonts w:hint="eastAsia" w:ascii="宋体" w:hAnsi="宋体" w:eastAsia="宋体" w:cs="宋体"/>
          <w:color w:val="auto"/>
          <w:highlight w:val="none"/>
          <w:lang w:eastAsia="zh-CN"/>
        </w:rPr>
        <w:t>）</w:t>
      </w:r>
    </w:p>
    <w:p w14:paraId="63D471AA">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w:t>
      </w:r>
      <w:r>
        <w:rPr>
          <w:rFonts w:hint="eastAsia" w:ascii="宋体" w:hAnsi="宋体" w:eastAsia="宋体" w:cs="宋体"/>
          <w:color w:val="auto"/>
          <w:sz w:val="24"/>
          <w:highlight w:val="none"/>
          <w:lang w:val="en-US" w:eastAsia="zh-CN"/>
        </w:rPr>
        <w:t>元</w:t>
      </w: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493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BF50E18">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3591E8F">
            <w:pPr>
              <w:rPr>
                <w:rFonts w:hint="eastAsia" w:ascii="宋体" w:hAnsi="宋体" w:eastAsia="宋体" w:cs="宋体"/>
                <w:bCs/>
                <w:color w:val="auto"/>
                <w:szCs w:val="21"/>
                <w:highlight w:val="none"/>
              </w:rPr>
            </w:pPr>
          </w:p>
        </w:tc>
      </w:tr>
      <w:tr w14:paraId="2899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17D9E0F">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3656BEB3">
            <w:pPr>
              <w:rPr>
                <w:rFonts w:hint="eastAsia" w:ascii="宋体" w:hAnsi="宋体" w:eastAsia="宋体" w:cs="宋体"/>
                <w:color w:val="auto"/>
                <w:szCs w:val="21"/>
                <w:highlight w:val="none"/>
              </w:rPr>
            </w:pPr>
          </w:p>
        </w:tc>
      </w:tr>
      <w:tr w14:paraId="17DC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978" w:type="dxa"/>
            <w:noWrap/>
            <w:vAlign w:val="center"/>
          </w:tcPr>
          <w:p w14:paraId="382C653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w:t>
            </w:r>
          </w:p>
        </w:tc>
        <w:tc>
          <w:tcPr>
            <w:tcW w:w="7708" w:type="dxa"/>
            <w:noWrap/>
            <w:vAlign w:val="center"/>
          </w:tcPr>
          <w:p w14:paraId="535EF935">
            <w:pPr>
              <w:rPr>
                <w:rFonts w:hint="eastAsia" w:ascii="宋体" w:hAnsi="宋体" w:eastAsia="宋体" w:cs="宋体"/>
                <w:b/>
                <w:bCs/>
                <w:lang w:val="en-US" w:eastAsia="zh-CN"/>
              </w:rPr>
            </w:pPr>
            <w:r>
              <w:rPr>
                <w:rFonts w:hint="eastAsia" w:ascii="宋体" w:hAnsi="宋体" w:eastAsia="宋体" w:cs="宋体"/>
                <w:b/>
                <w:bCs/>
                <w:lang w:val="en-US" w:eastAsia="zh-CN"/>
              </w:rPr>
              <w:t>基础费用：</w:t>
            </w:r>
          </w:p>
          <w:p w14:paraId="699E61D2">
            <w:pPr>
              <w:rPr>
                <w:rFonts w:hint="eastAsia" w:ascii="宋体" w:hAnsi="宋体" w:eastAsia="宋体" w:cs="宋体"/>
                <w:u w:val="single"/>
                <w:lang w:val="en-US" w:eastAsia="zh-CN"/>
              </w:rPr>
            </w:pPr>
            <w:r>
              <w:rPr>
                <w:rFonts w:hint="eastAsia" w:ascii="宋体" w:hAnsi="宋体" w:eastAsia="宋体" w:cs="宋体"/>
                <w:lang w:val="en-US" w:eastAsia="zh-CN"/>
              </w:rPr>
              <w:t>大写：</w:t>
            </w:r>
            <w:r>
              <w:rPr>
                <w:rFonts w:hint="eastAsia" w:ascii="宋体" w:hAnsi="宋体" w:eastAsia="宋体" w:cs="宋体"/>
                <w:u w:val="single"/>
                <w:lang w:val="en-US" w:eastAsia="zh-CN"/>
              </w:rPr>
              <w:t xml:space="preserve">        </w:t>
            </w:r>
          </w:p>
          <w:p w14:paraId="6C007EFE">
            <w:pPr>
              <w:rPr>
                <w:rFonts w:hint="eastAsia" w:ascii="宋体" w:hAnsi="宋体" w:eastAsia="宋体" w:cs="宋体"/>
                <w:lang w:val="en-US" w:eastAsia="zh-CN"/>
              </w:rPr>
            </w:pPr>
            <w:r>
              <w:rPr>
                <w:rFonts w:hint="eastAsia" w:ascii="宋体" w:hAnsi="宋体" w:eastAsia="宋体" w:cs="宋体"/>
                <w:lang w:val="en-US" w:eastAsia="zh-CN"/>
              </w:rPr>
              <w:t>小写：</w:t>
            </w:r>
            <w:r>
              <w:rPr>
                <w:rFonts w:hint="eastAsia" w:ascii="宋体" w:hAnsi="宋体" w:eastAsia="宋体" w:cs="宋体"/>
                <w:u w:val="single"/>
                <w:lang w:val="en-US" w:eastAsia="zh-CN"/>
              </w:rPr>
              <w:t xml:space="preserve">        </w:t>
            </w:r>
            <w:r>
              <w:rPr>
                <w:rFonts w:hint="eastAsia" w:ascii="宋体" w:hAnsi="宋体" w:eastAsia="宋体" w:cs="宋体"/>
                <w:lang w:val="en-US" w:eastAsia="zh-CN"/>
              </w:rPr>
              <w:t>元/年（详见报价明细表）</w:t>
            </w:r>
          </w:p>
          <w:p w14:paraId="19BC6CE0">
            <w:pPr>
              <w:rPr>
                <w:rFonts w:hint="eastAsia" w:ascii="宋体" w:hAnsi="宋体" w:eastAsia="宋体" w:cs="宋体"/>
                <w:b/>
                <w:bCs/>
                <w:lang w:val="en-US" w:eastAsia="zh-CN"/>
              </w:rPr>
            </w:pPr>
            <w:r>
              <w:rPr>
                <w:rFonts w:hint="eastAsia" w:ascii="宋体" w:hAnsi="宋体" w:eastAsia="宋体" w:cs="宋体"/>
                <w:b/>
                <w:bCs/>
                <w:lang w:val="en-US" w:eastAsia="zh-CN"/>
              </w:rPr>
              <w:t>专项费用：</w:t>
            </w:r>
          </w:p>
          <w:p w14:paraId="6302EB71">
            <w:pPr>
              <w:rPr>
                <w:rFonts w:hint="eastAsia" w:ascii="宋体" w:hAnsi="宋体" w:eastAsia="宋体" w:cs="宋体"/>
                <w:u w:val="single"/>
                <w:lang w:val="en-US" w:eastAsia="zh-CN"/>
              </w:rPr>
            </w:pPr>
            <w:r>
              <w:rPr>
                <w:rFonts w:hint="eastAsia" w:ascii="宋体" w:hAnsi="宋体" w:eastAsia="宋体" w:cs="宋体"/>
                <w:lang w:val="en-US" w:eastAsia="zh-CN"/>
              </w:rPr>
              <w:t xml:space="preserve">大写：专项费用按 </w:t>
            </w:r>
            <w:r>
              <w:rPr>
                <w:rFonts w:hint="eastAsia" w:ascii="宋体" w:hAnsi="宋体" w:eastAsia="宋体" w:cs="宋体"/>
                <w:u w:val="single"/>
                <w:lang w:val="en-US" w:eastAsia="zh-CN"/>
              </w:rPr>
              <w:t xml:space="preserve">           </w:t>
            </w:r>
            <w:r>
              <w:rPr>
                <w:rFonts w:hint="eastAsia" w:ascii="宋体" w:hAnsi="宋体" w:eastAsia="宋体" w:cs="宋体"/>
                <w:u w:val="none"/>
                <w:lang w:val="en-US" w:eastAsia="zh-CN"/>
              </w:rPr>
              <w:t>结算</w:t>
            </w:r>
          </w:p>
          <w:p w14:paraId="0BB89488">
            <w:pPr>
              <w:rPr>
                <w:rFonts w:hint="eastAsia" w:ascii="宋体" w:hAnsi="宋体" w:eastAsia="宋体" w:cs="宋体"/>
                <w:color w:val="auto"/>
                <w:szCs w:val="21"/>
                <w:highlight w:val="none"/>
                <w:lang w:val="en-US" w:eastAsia="zh-CN"/>
              </w:rPr>
            </w:pPr>
            <w:r>
              <w:rPr>
                <w:rFonts w:hint="eastAsia" w:ascii="宋体" w:hAnsi="宋体" w:eastAsia="宋体" w:cs="宋体"/>
                <w:lang w:val="en-US" w:eastAsia="zh-CN"/>
              </w:rPr>
              <w:t xml:space="preserve">小写：专项费用按 </w:t>
            </w:r>
            <w:r>
              <w:rPr>
                <w:rFonts w:hint="eastAsia" w:ascii="宋体" w:hAnsi="宋体" w:eastAsia="宋体" w:cs="宋体"/>
                <w:u w:val="single"/>
                <w:lang w:val="en-US" w:eastAsia="zh-CN"/>
              </w:rPr>
              <w:t xml:space="preserve">       </w:t>
            </w:r>
            <w:r>
              <w:rPr>
                <w:rFonts w:hint="eastAsia" w:ascii="宋体" w:hAnsi="宋体" w:eastAsia="宋体" w:cs="宋体"/>
                <w:u w:val="none"/>
                <w:lang w:val="en-US" w:eastAsia="zh-CN"/>
              </w:rPr>
              <w:t>%结算</w:t>
            </w:r>
            <w:r>
              <w:rPr>
                <w:rFonts w:hint="eastAsia" w:ascii="宋体" w:hAnsi="宋体" w:eastAsia="宋体" w:cs="宋体"/>
                <w:lang w:val="en-US" w:eastAsia="zh-CN"/>
              </w:rPr>
              <w:t>（详见报价明细表）</w:t>
            </w:r>
          </w:p>
        </w:tc>
      </w:tr>
      <w:tr w14:paraId="1FA10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04C4B4A">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服务地点</w:t>
            </w:r>
          </w:p>
        </w:tc>
        <w:tc>
          <w:tcPr>
            <w:tcW w:w="7708" w:type="dxa"/>
            <w:noWrap/>
            <w:vAlign w:val="bottom"/>
          </w:tcPr>
          <w:p w14:paraId="5132D4D1">
            <w:pPr>
              <w:spacing w:line="360" w:lineRule="auto"/>
              <w:ind w:firstLine="1155" w:firstLineChars="550"/>
              <w:rPr>
                <w:rFonts w:hint="eastAsia" w:ascii="宋体" w:hAnsi="宋体" w:eastAsia="宋体" w:cs="宋体"/>
                <w:color w:val="auto"/>
                <w:szCs w:val="21"/>
                <w:highlight w:val="none"/>
              </w:rPr>
            </w:pPr>
          </w:p>
        </w:tc>
      </w:tr>
      <w:tr w14:paraId="193B9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BFC6030">
            <w:pPr>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服务期限</w:t>
            </w:r>
          </w:p>
        </w:tc>
        <w:tc>
          <w:tcPr>
            <w:tcW w:w="7708" w:type="dxa"/>
            <w:noWrap/>
            <w:vAlign w:val="bottom"/>
          </w:tcPr>
          <w:p w14:paraId="5EE4538E">
            <w:pPr>
              <w:spacing w:line="360" w:lineRule="auto"/>
              <w:ind w:firstLine="1155" w:firstLineChars="550"/>
              <w:rPr>
                <w:rFonts w:hint="eastAsia" w:ascii="宋体" w:hAnsi="宋体" w:eastAsia="宋体" w:cs="宋体"/>
                <w:color w:val="auto"/>
                <w:szCs w:val="21"/>
                <w:highlight w:val="none"/>
                <w:u w:val="single"/>
              </w:rPr>
            </w:pPr>
          </w:p>
        </w:tc>
      </w:tr>
      <w:tr w14:paraId="619A4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DC8DB9B">
            <w:pPr>
              <w:jc w:val="center"/>
              <w:rPr>
                <w:rFonts w:hint="eastAsia" w:ascii="宋体" w:hAnsi="宋体" w:eastAsia="宋体" w:cs="宋体"/>
                <w:color w:val="auto"/>
                <w:szCs w:val="21"/>
                <w:highlight w:val="none"/>
                <w:lang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质 量</w:t>
            </w:r>
          </w:p>
        </w:tc>
        <w:tc>
          <w:tcPr>
            <w:tcW w:w="7708" w:type="dxa"/>
            <w:noWrap/>
            <w:vAlign w:val="bottom"/>
          </w:tcPr>
          <w:p w14:paraId="27F8A680">
            <w:pPr>
              <w:spacing w:line="360" w:lineRule="auto"/>
              <w:ind w:firstLine="1155" w:firstLineChars="550"/>
              <w:rPr>
                <w:rFonts w:hint="eastAsia" w:ascii="宋体" w:hAnsi="宋体" w:eastAsia="宋体" w:cs="宋体"/>
                <w:color w:val="auto"/>
                <w:szCs w:val="21"/>
                <w:highlight w:val="none"/>
                <w:u w:val="single"/>
              </w:rPr>
            </w:pPr>
          </w:p>
        </w:tc>
      </w:tr>
      <w:tr w14:paraId="01B1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9FC97B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CC73792">
            <w:pPr>
              <w:pStyle w:val="19"/>
              <w:ind w:left="0" w:leftChars="0"/>
              <w:rPr>
                <w:rFonts w:hint="eastAsia" w:ascii="宋体" w:hAnsi="宋体" w:eastAsia="宋体" w:cs="宋体"/>
                <w:color w:val="auto"/>
                <w:sz w:val="21"/>
                <w:szCs w:val="21"/>
                <w:highlight w:val="none"/>
              </w:rPr>
            </w:pPr>
          </w:p>
        </w:tc>
      </w:tr>
    </w:tbl>
    <w:p w14:paraId="3F918FBF">
      <w:pPr>
        <w:spacing w:line="360" w:lineRule="auto"/>
        <w:ind w:firstLine="422" w:firstLineChars="200"/>
        <w:rPr>
          <w:rFonts w:hint="eastAsia" w:ascii="宋体" w:hAnsi="宋体" w:eastAsia="宋体" w:cs="宋体"/>
          <w:b/>
          <w:bCs/>
          <w:color w:val="auto"/>
          <w:kern w:val="0"/>
          <w:szCs w:val="21"/>
          <w:highlight w:val="none"/>
          <w:lang w:eastAsia="zh-CN"/>
        </w:rPr>
      </w:pPr>
      <w:bookmarkStart w:id="76" w:name="_Toc11620"/>
      <w:bookmarkStart w:id="77" w:name="_Toc20877"/>
      <w:r>
        <w:rPr>
          <w:rFonts w:hint="eastAsia" w:ascii="宋体" w:hAnsi="宋体" w:eastAsia="宋体" w:cs="宋体"/>
          <w:b/>
          <w:bCs/>
          <w:color w:val="auto"/>
          <w:kern w:val="0"/>
          <w:szCs w:val="21"/>
          <w:highlight w:val="none"/>
          <w:lang w:eastAsia="zh-CN"/>
        </w:rPr>
        <w:t>注: 1、本表报价“基本费用”以“</w:t>
      </w:r>
      <w:r>
        <w:rPr>
          <w:rFonts w:hint="eastAsia" w:ascii="宋体" w:hAnsi="宋体" w:eastAsia="宋体" w:cs="宋体"/>
          <w:b/>
          <w:bCs/>
          <w:color w:val="auto"/>
          <w:kern w:val="0"/>
          <w:szCs w:val="21"/>
          <w:highlight w:val="none"/>
          <w:lang w:val="en-US" w:eastAsia="zh-CN"/>
        </w:rPr>
        <w:t>154000</w:t>
      </w:r>
      <w:r>
        <w:rPr>
          <w:rFonts w:hint="eastAsia" w:ascii="宋体" w:hAnsi="宋体" w:eastAsia="宋体" w:cs="宋体"/>
          <w:b/>
          <w:bCs/>
          <w:color w:val="auto"/>
          <w:kern w:val="0"/>
          <w:szCs w:val="21"/>
          <w:highlight w:val="none"/>
          <w:lang w:eastAsia="zh-CN"/>
        </w:rPr>
        <w:t>元/年”为基础进行报价，报价不得超过“</w:t>
      </w:r>
      <w:r>
        <w:rPr>
          <w:rFonts w:hint="eastAsia" w:ascii="宋体" w:hAnsi="宋体" w:eastAsia="宋体" w:cs="宋体"/>
          <w:b/>
          <w:bCs/>
          <w:color w:val="auto"/>
          <w:kern w:val="0"/>
          <w:szCs w:val="21"/>
          <w:highlight w:val="none"/>
          <w:lang w:val="en-US" w:eastAsia="zh-CN"/>
        </w:rPr>
        <w:t>154000</w:t>
      </w:r>
      <w:r>
        <w:rPr>
          <w:rFonts w:hint="eastAsia" w:ascii="宋体" w:hAnsi="宋体" w:eastAsia="宋体" w:cs="宋体"/>
          <w:b/>
          <w:bCs/>
          <w:color w:val="auto"/>
          <w:kern w:val="0"/>
          <w:szCs w:val="21"/>
          <w:highlight w:val="none"/>
          <w:lang w:eastAsia="zh-CN"/>
        </w:rPr>
        <w:t>元/年”；“专项费用</w:t>
      </w:r>
      <w:r>
        <w:rPr>
          <w:rFonts w:hint="eastAsia" w:ascii="宋体" w:hAnsi="宋体" w:eastAsia="宋体" w:cs="宋体"/>
          <w:b/>
          <w:bCs/>
          <w:color w:val="auto"/>
          <w:kern w:val="0"/>
          <w:szCs w:val="21"/>
          <w:highlight w:val="none"/>
          <w:lang w:val="en-US" w:eastAsia="zh-CN"/>
        </w:rPr>
        <w:t>（年结算价扣除基本费用之后剩余的费用）</w:t>
      </w:r>
      <w:r>
        <w:rPr>
          <w:rFonts w:hint="eastAsia" w:ascii="宋体" w:hAnsi="宋体" w:eastAsia="宋体" w:cs="宋体"/>
          <w:b/>
          <w:bCs/>
          <w:color w:val="auto"/>
          <w:kern w:val="0"/>
          <w:szCs w:val="21"/>
          <w:highlight w:val="none"/>
          <w:lang w:eastAsia="zh-CN"/>
        </w:rPr>
        <w:t>”以“</w:t>
      </w:r>
      <w:r>
        <w:rPr>
          <w:rFonts w:hint="eastAsia" w:ascii="宋体" w:hAnsi="宋体" w:eastAsia="宋体" w:cs="宋体"/>
          <w:b/>
          <w:bCs/>
          <w:color w:val="auto"/>
          <w:kern w:val="0"/>
          <w:szCs w:val="21"/>
          <w:highlight w:val="none"/>
          <w:lang w:val="en-US" w:eastAsia="zh-CN"/>
        </w:rPr>
        <w:t>100%</w:t>
      </w:r>
      <w:r>
        <w:rPr>
          <w:rFonts w:hint="eastAsia" w:ascii="宋体" w:hAnsi="宋体" w:eastAsia="宋体" w:cs="宋体"/>
          <w:b/>
          <w:bCs/>
          <w:color w:val="auto"/>
          <w:kern w:val="0"/>
          <w:szCs w:val="21"/>
          <w:highlight w:val="none"/>
          <w:lang w:eastAsia="zh-CN"/>
        </w:rPr>
        <w:t>”为基础进行报价，报价不得超过“</w:t>
      </w:r>
      <w:r>
        <w:rPr>
          <w:rFonts w:hint="eastAsia" w:ascii="宋体" w:hAnsi="宋体" w:eastAsia="宋体" w:cs="宋体"/>
          <w:b/>
          <w:bCs/>
          <w:color w:val="auto"/>
          <w:kern w:val="0"/>
          <w:szCs w:val="21"/>
          <w:highlight w:val="none"/>
          <w:lang w:val="en-US" w:eastAsia="zh-CN"/>
        </w:rPr>
        <w:t>100%</w:t>
      </w:r>
      <w:r>
        <w:rPr>
          <w:rFonts w:hint="eastAsia" w:ascii="宋体" w:hAnsi="宋体" w:eastAsia="宋体" w:cs="宋体"/>
          <w:b/>
          <w:bCs/>
          <w:color w:val="auto"/>
          <w:kern w:val="0"/>
          <w:szCs w:val="21"/>
          <w:highlight w:val="none"/>
          <w:lang w:eastAsia="zh-CN"/>
        </w:rPr>
        <w:t>”。</w:t>
      </w:r>
    </w:p>
    <w:p w14:paraId="237B430D">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2、报价如有涂改，</w:t>
      </w:r>
      <w:r>
        <w:rPr>
          <w:rFonts w:hint="eastAsia" w:ascii="宋体" w:hAnsi="宋体" w:eastAsia="宋体" w:cs="宋体"/>
          <w:color w:val="auto"/>
          <w:kern w:val="0"/>
          <w:szCs w:val="21"/>
          <w:highlight w:val="none"/>
        </w:rPr>
        <w:t>应在涂改处加盖单位公章或投标人代表签字或盖章，否则其投标作无效标处理。</w:t>
      </w:r>
    </w:p>
    <w:p w14:paraId="2FF497D5">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7FD7DEC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307A1EE1">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4、投标人按格式填列，不得自行更改。否则引起的不利后果由投标人承担。</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6"/>
      <w:bookmarkEnd w:id="77"/>
    </w:p>
    <w:p w14:paraId="4AFF371E">
      <w:pPr>
        <w:spacing w:line="360" w:lineRule="auto"/>
        <w:ind w:firstLine="420" w:firstLineChars="200"/>
        <w:jc w:val="center"/>
        <w:rPr>
          <w:rFonts w:hint="eastAsia" w:ascii="宋体" w:hAnsi="宋体" w:eastAsia="宋体" w:cs="宋体"/>
          <w:color w:val="auto"/>
          <w:szCs w:val="21"/>
          <w:highlight w:val="none"/>
          <w:u w:val="single"/>
        </w:rPr>
      </w:pPr>
      <w:bookmarkStart w:id="78" w:name="_Toc12222"/>
      <w:bookmarkStart w:id="79" w:name="_Toc625"/>
      <w:r>
        <w:rPr>
          <w:rFonts w:hint="eastAsia" w:ascii="宋体" w:hAnsi="宋体" w:eastAsia="宋体" w:cs="宋体"/>
          <w:color w:val="auto"/>
          <w:szCs w:val="21"/>
          <w:highlight w:val="none"/>
        </w:rPr>
        <w:t>法定代表人或其委托代理人（签字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8"/>
      <w:bookmarkEnd w:id="79"/>
    </w:p>
    <w:p w14:paraId="6BF746BD">
      <w:pPr>
        <w:jc w:val="center"/>
        <w:rPr>
          <w:rFonts w:hint="eastAsia" w:ascii="宋体" w:hAnsi="宋体" w:eastAsia="宋体" w:cs="宋体"/>
          <w:color w:val="auto"/>
          <w:szCs w:val="21"/>
          <w:highlight w:val="none"/>
        </w:rPr>
      </w:pPr>
    </w:p>
    <w:p w14:paraId="350A52DB">
      <w:pPr>
        <w:spacing w:line="360" w:lineRule="auto"/>
        <w:ind w:firstLine="420" w:firstLineChars="200"/>
        <w:jc w:val="center"/>
        <w:rPr>
          <w:rFonts w:hint="eastAsia" w:ascii="宋体" w:hAnsi="宋体" w:eastAsia="宋体" w:cs="宋体"/>
          <w:color w:val="auto"/>
          <w:highlight w:val="none"/>
        </w:rPr>
      </w:pPr>
      <w:bookmarkStart w:id="80" w:name="_Toc9950"/>
      <w:bookmarkStart w:id="81" w:name="_Toc1330"/>
      <w:r>
        <w:rPr>
          <w:rFonts w:hint="eastAsia" w:ascii="宋体" w:hAnsi="宋体" w:eastAsia="宋体" w:cs="宋体"/>
          <w:color w:val="auto"/>
          <w:szCs w:val="21"/>
          <w:highlight w:val="none"/>
        </w:rPr>
        <w:t>年  月  日</w:t>
      </w:r>
      <w:bookmarkEnd w:id="80"/>
      <w:bookmarkEnd w:id="81"/>
    </w:p>
    <w:bookmarkEnd w:id="56"/>
    <w:bookmarkEnd w:id="57"/>
    <w:p w14:paraId="0AC6BA19">
      <w:pPr>
        <w:pStyle w:val="5"/>
        <w:spacing w:before="20" w:after="20"/>
        <w:jc w:val="center"/>
        <w:rPr>
          <w:rFonts w:hint="eastAsia" w:ascii="宋体" w:hAnsi="宋体" w:eastAsia="宋体" w:cs="宋体"/>
          <w:color w:val="000000" w:themeColor="text1"/>
          <w:highlight w:val="none"/>
          <w14:textFill>
            <w14:solidFill>
              <w14:schemeClr w14:val="tx1"/>
            </w14:solidFill>
          </w14:textFill>
        </w:rPr>
      </w:pPr>
      <w:bookmarkStart w:id="82" w:name="_Toc24984"/>
      <w:bookmarkStart w:id="83" w:name="_Toc22004"/>
    </w:p>
    <w:p w14:paraId="6749753C">
      <w:pPr>
        <w:pStyle w:val="5"/>
        <w:spacing w:before="20" w:after="20"/>
        <w:jc w:val="center"/>
        <w:rPr>
          <w:rFonts w:hint="eastAsia" w:ascii="宋体" w:hAnsi="宋体" w:eastAsia="宋体" w:cs="宋体"/>
          <w:color w:val="000000" w:themeColor="text1"/>
          <w:highlight w:val="none"/>
          <w14:textFill>
            <w14:solidFill>
              <w14:schemeClr w14:val="tx1"/>
            </w14:solidFill>
          </w14:textFill>
        </w:rPr>
        <w:sectPr>
          <w:pgSz w:w="11906" w:h="16838"/>
          <w:pgMar w:top="1417" w:right="1474" w:bottom="1417" w:left="1474" w:header="851" w:footer="624" w:gutter="0"/>
          <w:pgNumType w:fmt="decimal"/>
          <w:cols w:space="720" w:num="1"/>
          <w:docGrid w:type="lines" w:linePitch="319" w:charSpace="0"/>
        </w:sectPr>
      </w:pPr>
    </w:p>
    <w:p w14:paraId="06A2D96F">
      <w:pPr>
        <w:pStyle w:val="5"/>
        <w:spacing w:before="20" w:after="20"/>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附件4               </w:t>
      </w:r>
      <w:bookmarkEnd w:id="82"/>
      <w:bookmarkEnd w:id="83"/>
      <w:r>
        <w:rPr>
          <w:rFonts w:hint="eastAsia" w:ascii="宋体" w:hAnsi="宋体" w:eastAsia="宋体" w:cs="宋体"/>
          <w:color w:val="000000" w:themeColor="text1"/>
          <w:highlight w:val="none"/>
          <w14:textFill>
            <w14:solidFill>
              <w14:schemeClr w14:val="tx1"/>
            </w14:solidFill>
          </w14:textFill>
        </w:rPr>
        <w:t>报价明细表</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格式</w:t>
      </w:r>
      <w:r>
        <w:rPr>
          <w:rFonts w:hint="eastAsia" w:ascii="宋体" w:hAnsi="宋体" w:eastAsia="宋体" w:cs="宋体"/>
          <w:color w:val="000000" w:themeColor="text1"/>
          <w:highlight w:val="none"/>
          <w:lang w:eastAsia="zh-CN"/>
          <w14:textFill>
            <w14:solidFill>
              <w14:schemeClr w14:val="tx1"/>
            </w14:solidFill>
          </w14:textFill>
        </w:rPr>
        <w:t>）</w:t>
      </w:r>
    </w:p>
    <w:tbl>
      <w:tblPr>
        <w:tblStyle w:val="33"/>
        <w:tblW w:w="9279"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7"/>
        <w:gridCol w:w="2384"/>
        <w:gridCol w:w="1516"/>
        <w:gridCol w:w="1541"/>
        <w:gridCol w:w="1718"/>
        <w:gridCol w:w="1203"/>
      </w:tblGrid>
      <w:tr w14:paraId="10F22A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17" w:type="dxa"/>
            <w:tcBorders>
              <w:top w:val="single" w:color="auto" w:sz="4" w:space="0"/>
              <w:left w:val="single" w:color="auto" w:sz="4" w:space="0"/>
              <w:bottom w:val="nil"/>
              <w:right w:val="single" w:color="auto" w:sz="4" w:space="0"/>
            </w:tcBorders>
            <w:vAlign w:val="center"/>
          </w:tcPr>
          <w:p w14:paraId="0F07C9CB">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bookmarkStart w:id="84" w:name="_Toc226"/>
            <w:bookmarkStart w:id="85" w:name="_Toc15804"/>
            <w:r>
              <w:rPr>
                <w:rFonts w:hint="eastAsia" w:ascii="宋体" w:hAnsi="宋体" w:eastAsia="宋体" w:cs="宋体"/>
                <w:color w:val="000000" w:themeColor="text1"/>
                <w:kern w:val="0"/>
                <w:sz w:val="24"/>
                <w:highlight w:val="none"/>
                <w14:textFill>
                  <w14:solidFill>
                    <w14:schemeClr w14:val="tx1"/>
                  </w14:solidFill>
                </w14:textFill>
              </w:rPr>
              <w:t>序号</w:t>
            </w:r>
          </w:p>
        </w:tc>
        <w:tc>
          <w:tcPr>
            <w:tcW w:w="2384" w:type="dxa"/>
            <w:tcBorders>
              <w:top w:val="single" w:color="auto" w:sz="4" w:space="0"/>
              <w:left w:val="single" w:color="auto" w:sz="4" w:space="0"/>
              <w:bottom w:val="nil"/>
              <w:right w:val="single" w:color="auto" w:sz="4" w:space="0"/>
            </w:tcBorders>
            <w:vAlign w:val="center"/>
          </w:tcPr>
          <w:p w14:paraId="0A644916">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服务名称</w:t>
            </w:r>
          </w:p>
        </w:tc>
        <w:tc>
          <w:tcPr>
            <w:tcW w:w="1516" w:type="dxa"/>
            <w:tcBorders>
              <w:top w:val="single" w:color="auto" w:sz="4" w:space="0"/>
              <w:left w:val="single" w:color="auto" w:sz="4" w:space="0"/>
              <w:bottom w:val="nil"/>
              <w:right w:val="single" w:color="auto" w:sz="4" w:space="0"/>
            </w:tcBorders>
            <w:vAlign w:val="center"/>
          </w:tcPr>
          <w:p w14:paraId="3F3AD987">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14:paraId="45D04EA0">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数量</w:t>
            </w:r>
          </w:p>
        </w:tc>
        <w:tc>
          <w:tcPr>
            <w:tcW w:w="1718" w:type="dxa"/>
            <w:tcBorders>
              <w:top w:val="single" w:color="auto" w:sz="4" w:space="0"/>
              <w:left w:val="single" w:color="auto" w:sz="4" w:space="0"/>
              <w:bottom w:val="nil"/>
              <w:right w:val="single" w:color="auto" w:sz="4" w:space="0"/>
            </w:tcBorders>
            <w:vAlign w:val="center"/>
          </w:tcPr>
          <w:p w14:paraId="041FA937">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单价</w:t>
            </w:r>
          </w:p>
        </w:tc>
        <w:tc>
          <w:tcPr>
            <w:tcW w:w="1203" w:type="dxa"/>
            <w:tcBorders>
              <w:top w:val="single" w:color="auto" w:sz="4" w:space="0"/>
              <w:left w:val="single" w:color="auto" w:sz="4" w:space="0"/>
              <w:bottom w:val="nil"/>
              <w:right w:val="single" w:color="auto" w:sz="4" w:space="0"/>
            </w:tcBorders>
            <w:vAlign w:val="center"/>
          </w:tcPr>
          <w:p w14:paraId="6A108D94">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t>备注</w:t>
            </w:r>
          </w:p>
        </w:tc>
      </w:tr>
      <w:tr w14:paraId="141495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14:paraId="1FAABA70">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14:paraId="393E6800">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21C9923A">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4F44DFE7">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14:paraId="35D64BA8">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14:paraId="4A11552E">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5717C8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14:paraId="5AC27326">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14:paraId="32252C78">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698A433E">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6912E330">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14:paraId="406C0604">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14:paraId="40C9B2B2">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5F76D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14:paraId="17AB17A8">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14:paraId="5951E493">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0FD98C63">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117CE365">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14:paraId="3DE8D5E1">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14:paraId="0095494E">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3B4575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14:paraId="14E85FEC">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14:paraId="11D01731">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754DF457">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0357C636">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14:paraId="173B015A">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14:paraId="26389BCE">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59C940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14:paraId="66358752">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14:paraId="51E2A524">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05AD8FFD">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5A3E1C40">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14:paraId="0E311A57">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14:paraId="18021AFB">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575E55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14:paraId="6B2D95D1">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14:paraId="6C3D7117">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50E54C59">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1D843F08">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14:paraId="2BD3543D">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14:paraId="3A7AEDE3">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122E0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14:paraId="441325CA">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14:paraId="3F9EDC94">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50212FB6">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0213B956">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14:paraId="57A4FEE2">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14:paraId="5082DB29">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3A2AAF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14:paraId="60DAA77D">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14:paraId="5D6C0577">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1012FFBC">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2805E829">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14:paraId="27A2A3EC">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14:paraId="491E921F">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4F3593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14:paraId="1283CE13">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14:paraId="27A253BA">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r>
              <w:rPr>
                <w:rFonts w:hint="eastAsia" w:ascii="宋体" w:hAnsi="宋体" w:eastAsia="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14:paraId="5B8DDEDC">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155F9EFF">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14:paraId="14D6FF7C">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14:paraId="524A71D7">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highlight w:val="none"/>
                <w14:textFill>
                  <w14:solidFill>
                    <w14:schemeClr w14:val="tx1"/>
                  </w14:solidFill>
                </w14:textFill>
              </w:rPr>
            </w:pPr>
          </w:p>
        </w:tc>
      </w:tr>
      <w:tr w14:paraId="34FCEB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076" w:type="dxa"/>
            <w:gridSpan w:val="5"/>
            <w:tcBorders>
              <w:top w:val="single" w:color="auto" w:sz="4" w:space="0"/>
              <w:left w:val="single" w:color="auto" w:sz="4" w:space="0"/>
              <w:bottom w:val="single" w:color="auto" w:sz="4" w:space="0"/>
              <w:right w:val="single" w:color="auto" w:sz="4" w:space="0"/>
            </w:tcBorders>
            <w:vAlign w:val="top"/>
          </w:tcPr>
          <w:p w14:paraId="2EB11970">
            <w:pPr>
              <w:widowControl/>
              <w:tabs>
                <w:tab w:val="left" w:pos="1418"/>
              </w:tabs>
              <w:snapToGrid w:val="0"/>
              <w:spacing w:before="50" w:after="50" w:line="360" w:lineRule="exact"/>
              <w:jc w:val="left"/>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eastAsia="宋体" w:cs="宋体"/>
                <w:color w:val="000000" w:themeColor="text1"/>
                <w:spacing w:val="20"/>
                <w:kern w:val="0"/>
                <w:sz w:val="24"/>
                <w:highlight w:val="none"/>
                <w14:textFill>
                  <w14:solidFill>
                    <w14:schemeClr w14:val="tx1"/>
                  </w14:solidFill>
                </w14:textFill>
              </w:rPr>
              <w:t>投标总价(</w:t>
            </w:r>
            <w:r>
              <w:rPr>
                <w:rFonts w:hint="eastAsia" w:ascii="宋体" w:hAnsi="宋体" w:eastAsia="宋体" w:cs="宋体"/>
                <w:color w:val="000000" w:themeColor="text1"/>
                <w:kern w:val="0"/>
                <w:sz w:val="24"/>
                <w:szCs w:val="21"/>
                <w:highlight w:val="none"/>
                <w14:textFill>
                  <w14:solidFill>
                    <w14:schemeClr w14:val="tx1"/>
                  </w14:solidFill>
                </w14:textFill>
              </w:rPr>
              <w:t>大写)：</w:t>
            </w:r>
          </w:p>
        </w:tc>
        <w:tc>
          <w:tcPr>
            <w:tcW w:w="1203" w:type="dxa"/>
            <w:tcBorders>
              <w:top w:val="single" w:color="auto" w:sz="4" w:space="0"/>
              <w:left w:val="single" w:color="auto" w:sz="4" w:space="0"/>
              <w:bottom w:val="single" w:color="auto" w:sz="4" w:space="0"/>
              <w:right w:val="single" w:color="auto" w:sz="4" w:space="0"/>
            </w:tcBorders>
            <w:vAlign w:val="top"/>
          </w:tcPr>
          <w:p w14:paraId="687046FF">
            <w:pPr>
              <w:widowControl/>
              <w:tabs>
                <w:tab w:val="left" w:pos="1418"/>
              </w:tabs>
              <w:snapToGrid w:val="0"/>
              <w:spacing w:before="50" w:after="50" w:line="360" w:lineRule="exact"/>
              <w:jc w:val="left"/>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1"/>
                <w:highlight w:val="none"/>
                <w14:textFill>
                  <w14:solidFill>
                    <w14:schemeClr w14:val="tx1"/>
                  </w14:solidFill>
                </w14:textFill>
              </w:rPr>
              <w:t>￥</w:t>
            </w:r>
          </w:p>
        </w:tc>
      </w:tr>
    </w:tbl>
    <w:p w14:paraId="39DB48FA">
      <w:pPr>
        <w:widowControl/>
        <w:shd w:val="clear" w:color="auto"/>
        <w:spacing w:line="360" w:lineRule="auto"/>
        <w:ind w:left="1418" w:hanging="567"/>
        <w:jc w:val="both"/>
        <w:rPr>
          <w:rFonts w:hint="eastAsia" w:ascii="宋体" w:hAnsi="宋体" w:eastAsia="宋体" w:cs="宋体"/>
          <w:color w:val="auto"/>
          <w:kern w:val="0"/>
          <w:sz w:val="24"/>
          <w:highlight w:val="none"/>
        </w:rPr>
      </w:pPr>
    </w:p>
    <w:p w14:paraId="55E259BD">
      <w:pPr>
        <w:widowControl/>
        <w:shd w:val="clear" w:color="auto"/>
        <w:spacing w:line="360" w:lineRule="auto"/>
        <w:ind w:left="1418" w:hanging="567"/>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供应商法定代表人</w:t>
      </w:r>
      <w:r>
        <w:rPr>
          <w:rFonts w:hint="eastAsia" w:ascii="宋体" w:hAnsi="宋体" w:eastAsia="宋体" w:cs="宋体"/>
          <w:color w:val="auto"/>
          <w:kern w:val="0"/>
          <w:sz w:val="24"/>
          <w:highlight w:val="none"/>
          <w:lang w:eastAsia="zh-CN"/>
        </w:rPr>
        <w:t>或</w:t>
      </w:r>
      <w:r>
        <w:rPr>
          <w:rFonts w:hint="eastAsia" w:ascii="宋体" w:hAnsi="宋体" w:eastAsia="宋体" w:cs="宋体"/>
          <w:color w:val="auto"/>
          <w:kern w:val="0"/>
          <w:sz w:val="24"/>
          <w:highlight w:val="none"/>
        </w:rPr>
        <w:t>其授权代表签字：</w:t>
      </w:r>
      <w:r>
        <w:rPr>
          <w:rFonts w:hint="eastAsia" w:ascii="宋体" w:hAnsi="宋体" w:eastAsia="宋体" w:cs="宋体"/>
          <w:color w:val="auto"/>
          <w:kern w:val="0"/>
          <w:sz w:val="24"/>
          <w:highlight w:val="none"/>
          <w:u w:val="single"/>
        </w:rPr>
        <w:t xml:space="preserve">              </w:t>
      </w:r>
    </w:p>
    <w:p w14:paraId="6EEE0FB4">
      <w:pPr>
        <w:widowControl/>
        <w:shd w:val="clear" w:color="auto"/>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供应商名称：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02C43CB9">
      <w:pPr>
        <w:widowControl/>
        <w:shd w:val="clear"/>
        <w:wordWrap w:val="0"/>
        <w:spacing w:line="460" w:lineRule="exact"/>
        <w:jc w:val="left"/>
        <w:rPr>
          <w:rFonts w:hint="eastAsia" w:ascii="宋体" w:hAnsi="宋体" w:eastAsia="宋体" w:cs="宋体"/>
          <w:color w:val="auto"/>
          <w:kern w:val="0"/>
          <w:sz w:val="24"/>
          <w:highlight w:val="none"/>
        </w:rPr>
      </w:pPr>
    </w:p>
    <w:p w14:paraId="7C696EB6">
      <w:pPr>
        <w:widowControl/>
        <w:shd w:val="clear"/>
        <w:wordWrap w:val="0"/>
        <w:spacing w:line="460" w:lineRule="exact"/>
        <w:ind w:firstLine="2880" w:firstLineChars="1200"/>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rPr>
        <w:t>年    月    日</w:t>
      </w:r>
    </w:p>
    <w:p w14:paraId="5983E51D">
      <w:pPr>
        <w:pStyle w:val="5"/>
        <w:rPr>
          <w:rFonts w:hint="eastAsia" w:ascii="宋体" w:hAnsi="宋体" w:eastAsia="宋体" w:cs="宋体"/>
          <w:color w:val="auto"/>
          <w:highlight w:val="none"/>
        </w:rPr>
        <w:sectPr>
          <w:pgSz w:w="11906" w:h="16838"/>
          <w:pgMar w:top="1417" w:right="1474" w:bottom="1417" w:left="1474" w:header="851" w:footer="624" w:gutter="0"/>
          <w:pgNumType w:fmt="decimal"/>
          <w:cols w:space="720" w:num="1"/>
          <w:docGrid w:type="lines" w:linePitch="319" w:charSpace="0"/>
        </w:sectPr>
      </w:pPr>
    </w:p>
    <w:p w14:paraId="09E7FA6B">
      <w:pPr>
        <w:pStyle w:val="5"/>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 xml:space="preserve">附件5         </w:t>
      </w:r>
      <w:bookmarkEnd w:id="84"/>
      <w:bookmarkEnd w:id="85"/>
      <w:r>
        <w:rPr>
          <w:rFonts w:hint="eastAsia" w:ascii="宋体" w:hAnsi="宋体" w:eastAsia="宋体" w:cs="宋体"/>
          <w:color w:val="auto"/>
          <w:highlight w:val="none"/>
        </w:rPr>
        <w:t xml:space="preserve">     技术响应</w:t>
      </w:r>
      <w:r>
        <w:rPr>
          <w:rFonts w:hint="eastAsia" w:ascii="宋体" w:hAnsi="宋体" w:eastAsia="宋体" w:cs="宋体"/>
          <w:color w:val="auto"/>
          <w:highlight w:val="none"/>
          <w:lang w:val="en-US" w:eastAsia="zh-CN"/>
        </w:rPr>
        <w:t>表（格式）</w:t>
      </w:r>
    </w:p>
    <w:tbl>
      <w:tblPr>
        <w:tblStyle w:val="90"/>
        <w:tblW w:w="909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5"/>
        <w:gridCol w:w="1842"/>
        <w:gridCol w:w="1772"/>
        <w:gridCol w:w="3430"/>
        <w:gridCol w:w="1259"/>
      </w:tblGrid>
      <w:tr w14:paraId="3D491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5" w:hRule="atLeast"/>
        </w:trPr>
        <w:tc>
          <w:tcPr>
            <w:tcW w:w="795" w:type="dxa"/>
            <w:noWrap w:val="0"/>
            <w:vAlign w:val="center"/>
          </w:tcPr>
          <w:p w14:paraId="7C0FF43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42" w:type="dxa"/>
            <w:noWrap w:val="0"/>
            <w:vAlign w:val="center"/>
          </w:tcPr>
          <w:p w14:paraId="6C43E6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名称</w:t>
            </w:r>
          </w:p>
        </w:tc>
        <w:tc>
          <w:tcPr>
            <w:tcW w:w="1772" w:type="dxa"/>
            <w:noWrap w:val="0"/>
            <w:vAlign w:val="center"/>
          </w:tcPr>
          <w:p w14:paraId="5038E19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3430" w:type="dxa"/>
            <w:noWrap w:val="0"/>
            <w:vAlign w:val="center"/>
          </w:tcPr>
          <w:p w14:paraId="0F24D9A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文件响应</w:t>
            </w:r>
          </w:p>
        </w:tc>
        <w:tc>
          <w:tcPr>
            <w:tcW w:w="1259" w:type="dxa"/>
            <w:noWrap w:val="0"/>
            <w:vAlign w:val="center"/>
          </w:tcPr>
          <w:p w14:paraId="2D587F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tc>
      </w:tr>
      <w:tr w14:paraId="501A7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9" w:hRule="atLeast"/>
        </w:trPr>
        <w:tc>
          <w:tcPr>
            <w:tcW w:w="795" w:type="dxa"/>
            <w:noWrap w:val="0"/>
            <w:vAlign w:val="center"/>
          </w:tcPr>
          <w:p w14:paraId="43E4A96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42" w:type="dxa"/>
            <w:noWrap w:val="0"/>
            <w:vAlign w:val="center"/>
          </w:tcPr>
          <w:p w14:paraId="2BF8E63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772" w:type="dxa"/>
            <w:noWrap w:val="0"/>
            <w:vAlign w:val="center"/>
          </w:tcPr>
          <w:p w14:paraId="4E16F45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430" w:type="dxa"/>
            <w:noWrap w:val="0"/>
            <w:vAlign w:val="center"/>
          </w:tcPr>
          <w:p w14:paraId="189204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59" w:type="dxa"/>
            <w:noWrap w:val="0"/>
            <w:vAlign w:val="center"/>
          </w:tcPr>
          <w:p w14:paraId="3731A59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75C70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9" w:hRule="atLeast"/>
        </w:trPr>
        <w:tc>
          <w:tcPr>
            <w:tcW w:w="795" w:type="dxa"/>
            <w:noWrap w:val="0"/>
            <w:vAlign w:val="center"/>
          </w:tcPr>
          <w:p w14:paraId="550EB92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42" w:type="dxa"/>
            <w:noWrap w:val="0"/>
            <w:vAlign w:val="center"/>
          </w:tcPr>
          <w:p w14:paraId="779204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772" w:type="dxa"/>
            <w:noWrap w:val="0"/>
            <w:vAlign w:val="center"/>
          </w:tcPr>
          <w:p w14:paraId="614CCF9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430" w:type="dxa"/>
            <w:noWrap w:val="0"/>
            <w:vAlign w:val="center"/>
          </w:tcPr>
          <w:p w14:paraId="363A7C1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59" w:type="dxa"/>
            <w:noWrap w:val="0"/>
            <w:vAlign w:val="center"/>
          </w:tcPr>
          <w:p w14:paraId="1E36ABA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610F8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2" w:hRule="atLeast"/>
        </w:trPr>
        <w:tc>
          <w:tcPr>
            <w:tcW w:w="795" w:type="dxa"/>
            <w:noWrap w:val="0"/>
            <w:vAlign w:val="center"/>
          </w:tcPr>
          <w:p w14:paraId="36590AE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42" w:type="dxa"/>
            <w:noWrap w:val="0"/>
            <w:vAlign w:val="center"/>
          </w:tcPr>
          <w:p w14:paraId="7616473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772" w:type="dxa"/>
            <w:noWrap w:val="0"/>
            <w:vAlign w:val="center"/>
          </w:tcPr>
          <w:p w14:paraId="29D8ED2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430" w:type="dxa"/>
            <w:noWrap w:val="0"/>
            <w:vAlign w:val="center"/>
          </w:tcPr>
          <w:p w14:paraId="7A24E72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59" w:type="dxa"/>
            <w:noWrap w:val="0"/>
            <w:vAlign w:val="center"/>
          </w:tcPr>
          <w:p w14:paraId="4279FE0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2D59DFE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7810C31">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注：供应商必须如实完整填写表格，“偏离情况”是指“正偏离”、“负偏离”或“无偏离”。</w:t>
      </w:r>
    </w:p>
    <w:p w14:paraId="7CC702E7">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p>
    <w:p w14:paraId="48AF5B6B">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FF02901">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201B7A3D">
      <w:pPr>
        <w:widowControl/>
        <w:wordWrap w:val="0"/>
        <w:spacing w:line="460" w:lineRule="exact"/>
        <w:ind w:firstLine="1920" w:firstLineChars="8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4"/>
          <w:szCs w:val="24"/>
          <w:highlight w:val="none"/>
        </w:rPr>
        <w:t>年    月    日</w:t>
      </w:r>
    </w:p>
    <w:p w14:paraId="7FEBD9F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ACC4C3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765771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1512E43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754C4E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28AF5D7">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390906C">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0329EF14">
      <w:pPr>
        <w:pStyle w:val="5"/>
        <w:rPr>
          <w:rFonts w:hint="eastAsia" w:ascii="宋体" w:hAnsi="宋体" w:eastAsia="宋体" w:cs="宋体"/>
          <w:color w:val="auto"/>
          <w:highlight w:val="none"/>
          <w:lang w:val="en-US" w:eastAsia="zh-CN"/>
        </w:rPr>
      </w:pPr>
      <w:bookmarkStart w:id="86" w:name="_Toc20420"/>
      <w:bookmarkStart w:id="87" w:name="_Toc29960"/>
      <w:bookmarkStart w:id="88" w:name="_Toc24168"/>
      <w:r>
        <w:rPr>
          <w:rFonts w:hint="eastAsia" w:ascii="宋体" w:hAnsi="宋体" w:eastAsia="宋体" w:cs="宋体"/>
          <w:color w:val="auto"/>
          <w:highlight w:val="none"/>
        </w:rPr>
        <w:t>附件6               商务响应</w:t>
      </w:r>
      <w:bookmarkEnd w:id="86"/>
      <w:bookmarkEnd w:id="87"/>
      <w:bookmarkEnd w:id="88"/>
      <w:r>
        <w:rPr>
          <w:rFonts w:hint="eastAsia" w:ascii="宋体" w:hAnsi="宋体" w:eastAsia="宋体" w:cs="宋体"/>
          <w:color w:val="auto"/>
          <w:highlight w:val="none"/>
          <w:lang w:val="en-US" w:eastAsia="zh-CN"/>
        </w:rPr>
        <w:t>表（格式）</w:t>
      </w:r>
    </w:p>
    <w:p w14:paraId="1A2373CD">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0"/>
        <w:tblW w:w="934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2054"/>
        <w:gridCol w:w="1866"/>
        <w:gridCol w:w="1612"/>
        <w:gridCol w:w="1612"/>
      </w:tblGrid>
      <w:tr w14:paraId="77355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14:paraId="0FAEED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054" w:type="dxa"/>
            <w:noWrap w:val="0"/>
            <w:vAlign w:val="center"/>
          </w:tcPr>
          <w:p w14:paraId="5C3F77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1866" w:type="dxa"/>
            <w:noWrap w:val="0"/>
            <w:vAlign w:val="center"/>
          </w:tcPr>
          <w:p w14:paraId="509D3C7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w:t>
            </w:r>
          </w:p>
          <w:p w14:paraId="027ACFF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1612" w:type="dxa"/>
            <w:noWrap w:val="0"/>
            <w:vAlign w:val="center"/>
          </w:tcPr>
          <w:p w14:paraId="10A6AE5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对采购文件</w:t>
            </w:r>
          </w:p>
          <w:p w14:paraId="0D1674C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偏差</w:t>
            </w:r>
          </w:p>
        </w:tc>
        <w:tc>
          <w:tcPr>
            <w:tcW w:w="1612" w:type="dxa"/>
            <w:noWrap w:val="0"/>
            <w:vAlign w:val="center"/>
          </w:tcPr>
          <w:p w14:paraId="0281AA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14:paraId="2451A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A21996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合同签订时间</w:t>
            </w:r>
          </w:p>
        </w:tc>
        <w:tc>
          <w:tcPr>
            <w:tcW w:w="2054" w:type="dxa"/>
            <w:noWrap w:val="0"/>
            <w:vAlign w:val="center"/>
          </w:tcPr>
          <w:p w14:paraId="24B77EA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2ACD77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53EE92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2AC90B8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4B4F9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25A53E4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服务地点</w:t>
            </w:r>
          </w:p>
        </w:tc>
        <w:tc>
          <w:tcPr>
            <w:tcW w:w="2054" w:type="dxa"/>
            <w:noWrap w:val="0"/>
            <w:vAlign w:val="center"/>
          </w:tcPr>
          <w:p w14:paraId="3CF0A75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09B608A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59F86EC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A89E94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716F4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73416D9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质保期（如有）</w:t>
            </w:r>
          </w:p>
        </w:tc>
        <w:tc>
          <w:tcPr>
            <w:tcW w:w="2054" w:type="dxa"/>
            <w:noWrap w:val="0"/>
            <w:vAlign w:val="center"/>
          </w:tcPr>
          <w:p w14:paraId="34747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64A5471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F3FE1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3AC113F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4DC4D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155D5F7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服务期限</w:t>
            </w:r>
          </w:p>
        </w:tc>
        <w:tc>
          <w:tcPr>
            <w:tcW w:w="2054" w:type="dxa"/>
            <w:noWrap w:val="0"/>
            <w:vAlign w:val="center"/>
          </w:tcPr>
          <w:p w14:paraId="281B27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2C819A9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AAFDF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6FECBA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15039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44F722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质量要求</w:t>
            </w:r>
          </w:p>
        </w:tc>
        <w:tc>
          <w:tcPr>
            <w:tcW w:w="2054" w:type="dxa"/>
            <w:noWrap w:val="0"/>
            <w:vAlign w:val="center"/>
          </w:tcPr>
          <w:p w14:paraId="587F0FA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4FDAD8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0E772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56CB58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B22E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03853A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付款方式</w:t>
            </w:r>
          </w:p>
        </w:tc>
        <w:tc>
          <w:tcPr>
            <w:tcW w:w="2054" w:type="dxa"/>
            <w:noWrap w:val="0"/>
            <w:vAlign w:val="center"/>
          </w:tcPr>
          <w:p w14:paraId="5F570AC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0C90297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77FC47F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877F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2284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0" w:type="auto"/>
            <w:vAlign w:val="center"/>
          </w:tcPr>
          <w:p w14:paraId="794F219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其他要求</w:t>
            </w:r>
          </w:p>
        </w:tc>
        <w:tc>
          <w:tcPr>
            <w:tcW w:w="0" w:type="auto"/>
          </w:tcPr>
          <w:p w14:paraId="790D21E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0" w:type="auto"/>
          </w:tcPr>
          <w:p w14:paraId="7720A82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0" w:type="auto"/>
          </w:tcPr>
          <w:p w14:paraId="546EBBA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0" w:type="auto"/>
          </w:tcPr>
          <w:p w14:paraId="3C0B2A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0939CF69">
      <w:pPr>
        <w:rPr>
          <w:rFonts w:hint="eastAsia" w:ascii="宋体" w:hAnsi="宋体" w:eastAsia="宋体" w:cs="宋体"/>
          <w:b/>
          <w:color w:val="auto"/>
          <w:kern w:val="0"/>
          <w:sz w:val="24"/>
          <w:highlight w:val="none"/>
        </w:rPr>
      </w:pPr>
    </w:p>
    <w:p w14:paraId="0FDC9344">
      <w:pPr>
        <w:pStyle w:val="31"/>
        <w:rPr>
          <w:rFonts w:hint="eastAsia" w:ascii="宋体" w:hAnsi="宋体" w:eastAsia="宋体" w:cs="宋体"/>
        </w:rPr>
      </w:pPr>
    </w:p>
    <w:p w14:paraId="710CA63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68CC8E6C">
      <w:pPr>
        <w:pageBreakBefore w:val="0"/>
        <w:widowControl/>
        <w:wordWrap/>
        <w:overflowPunct/>
        <w:topLinePunct w:val="0"/>
        <w:bidi w:val="0"/>
        <w:spacing w:line="360" w:lineRule="auto"/>
        <w:ind w:firstLine="1440" w:firstLineChars="60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63FD63B2">
      <w:pPr>
        <w:outlineLvl w:val="9"/>
        <w:rPr>
          <w:rFonts w:hint="eastAsia" w:ascii="宋体" w:hAnsi="宋体" w:eastAsia="宋体" w:cs="宋体"/>
        </w:rPr>
      </w:pPr>
    </w:p>
    <w:p w14:paraId="7D738A7D">
      <w:pPr>
        <w:outlineLvl w:val="9"/>
        <w:rPr>
          <w:rFonts w:hint="eastAsia" w:ascii="宋体" w:hAnsi="宋体" w:eastAsia="宋体" w:cs="宋体"/>
        </w:rPr>
      </w:pPr>
    </w:p>
    <w:p w14:paraId="2E8748DF">
      <w:pPr>
        <w:outlineLvl w:val="9"/>
        <w:rPr>
          <w:rFonts w:hint="eastAsia" w:ascii="宋体" w:hAnsi="宋体" w:eastAsia="宋体" w:cs="宋体"/>
        </w:rPr>
      </w:pPr>
    </w:p>
    <w:p w14:paraId="48DB3FBA">
      <w:pPr>
        <w:outlineLvl w:val="9"/>
        <w:rPr>
          <w:rFonts w:hint="eastAsia" w:ascii="宋体" w:hAnsi="宋体" w:eastAsia="宋体" w:cs="宋体"/>
        </w:rPr>
      </w:pPr>
    </w:p>
    <w:p w14:paraId="5F49035C">
      <w:pPr>
        <w:outlineLvl w:val="9"/>
        <w:rPr>
          <w:rFonts w:hint="eastAsia" w:ascii="宋体" w:hAnsi="宋体" w:eastAsia="宋体" w:cs="宋体"/>
        </w:rPr>
      </w:pPr>
    </w:p>
    <w:p w14:paraId="2ED4A083">
      <w:pPr>
        <w:outlineLvl w:val="9"/>
        <w:rPr>
          <w:rFonts w:hint="eastAsia" w:ascii="宋体" w:hAnsi="宋体" w:eastAsia="宋体" w:cs="宋体"/>
        </w:rPr>
      </w:pPr>
    </w:p>
    <w:p w14:paraId="561ED9F9">
      <w:pPr>
        <w:outlineLvl w:val="9"/>
        <w:rPr>
          <w:rFonts w:hint="eastAsia" w:ascii="宋体" w:hAnsi="宋体" w:eastAsia="宋体" w:cs="宋体"/>
        </w:rPr>
      </w:pPr>
    </w:p>
    <w:p w14:paraId="6A3562C2">
      <w:pPr>
        <w:outlineLvl w:val="9"/>
        <w:rPr>
          <w:rFonts w:hint="eastAsia" w:ascii="宋体" w:hAnsi="宋体" w:eastAsia="宋体" w:cs="宋体"/>
        </w:rPr>
      </w:pPr>
    </w:p>
    <w:p w14:paraId="67BE2687">
      <w:pPr>
        <w:outlineLvl w:val="9"/>
        <w:rPr>
          <w:rFonts w:hint="eastAsia" w:ascii="宋体" w:hAnsi="宋体" w:eastAsia="宋体" w:cs="宋体"/>
        </w:rPr>
      </w:pPr>
    </w:p>
    <w:p w14:paraId="10BE38FD">
      <w:pPr>
        <w:outlineLvl w:val="9"/>
        <w:rPr>
          <w:rFonts w:hint="eastAsia" w:ascii="宋体" w:hAnsi="宋体" w:eastAsia="宋体" w:cs="宋体"/>
        </w:rPr>
      </w:pPr>
    </w:p>
    <w:p w14:paraId="6408D3EB">
      <w:pPr>
        <w:outlineLvl w:val="9"/>
        <w:rPr>
          <w:rFonts w:hint="eastAsia" w:ascii="宋体" w:hAnsi="宋体" w:eastAsia="宋体" w:cs="宋体"/>
        </w:rPr>
      </w:pPr>
    </w:p>
    <w:p w14:paraId="34BD7924">
      <w:pPr>
        <w:outlineLvl w:val="9"/>
        <w:rPr>
          <w:rFonts w:hint="eastAsia" w:ascii="宋体" w:hAnsi="宋体" w:eastAsia="宋体" w:cs="宋体"/>
        </w:rPr>
      </w:pPr>
    </w:p>
    <w:p w14:paraId="4FFABEDA">
      <w:pPr>
        <w:outlineLvl w:val="9"/>
        <w:rPr>
          <w:rFonts w:hint="eastAsia" w:ascii="宋体" w:hAnsi="宋体" w:eastAsia="宋体" w:cs="宋体"/>
        </w:rPr>
      </w:pPr>
    </w:p>
    <w:p w14:paraId="5AA86ACA">
      <w:pPr>
        <w:outlineLvl w:val="9"/>
        <w:rPr>
          <w:rFonts w:hint="eastAsia" w:ascii="宋体" w:hAnsi="宋体" w:eastAsia="宋体" w:cs="宋体"/>
        </w:rPr>
      </w:pPr>
    </w:p>
    <w:p w14:paraId="10593DBB">
      <w:pPr>
        <w:outlineLvl w:val="9"/>
        <w:rPr>
          <w:rFonts w:hint="eastAsia" w:ascii="宋体" w:hAnsi="宋体" w:eastAsia="宋体" w:cs="宋体"/>
        </w:rPr>
      </w:pPr>
    </w:p>
    <w:p w14:paraId="156C902D">
      <w:pPr>
        <w:rPr>
          <w:rFonts w:hint="eastAsia" w:ascii="宋体" w:hAnsi="宋体" w:eastAsia="宋体" w:cs="宋体"/>
          <w:b/>
          <w:color w:val="auto"/>
          <w:sz w:val="28"/>
          <w:highlight w:val="none"/>
        </w:rPr>
      </w:pPr>
      <w:bookmarkStart w:id="89" w:name="_Toc28621"/>
      <w:bookmarkStart w:id="90" w:name="_Toc31526"/>
      <w:r>
        <w:rPr>
          <w:rFonts w:hint="eastAsia" w:ascii="宋体" w:hAnsi="宋体" w:eastAsia="宋体" w:cs="宋体"/>
          <w:b/>
          <w:color w:val="auto"/>
          <w:sz w:val="28"/>
          <w:highlight w:val="none"/>
        </w:rPr>
        <w:br w:type="page"/>
      </w:r>
    </w:p>
    <w:p w14:paraId="275A00CA">
      <w:pPr>
        <w:widowControl/>
        <w:wordWrap w:val="0"/>
        <w:spacing w:line="460" w:lineRule="exact"/>
        <w:jc w:val="left"/>
        <w:outlineLvl w:val="0"/>
        <w:rPr>
          <w:rFonts w:hint="eastAsia" w:ascii="宋体" w:hAnsi="宋体" w:eastAsia="宋体" w:cs="宋体"/>
          <w:b/>
          <w:bCs w:val="0"/>
          <w:color w:val="auto"/>
          <w:sz w:val="32"/>
          <w:szCs w:val="28"/>
          <w:highlight w:val="none"/>
        </w:rPr>
      </w:pPr>
      <w:bookmarkStart w:id="91" w:name="_Toc5673"/>
      <w:bookmarkStart w:id="92" w:name="_Toc29406"/>
      <w:bookmarkStart w:id="93" w:name="_Toc21823"/>
      <w:bookmarkStart w:id="94" w:name="_Toc22148"/>
      <w:r>
        <w:rPr>
          <w:rFonts w:hint="eastAsia" w:ascii="宋体" w:hAnsi="宋体" w:eastAsia="宋体" w:cs="宋体"/>
          <w:b/>
          <w:bCs w:val="0"/>
          <w:color w:val="auto"/>
          <w:sz w:val="32"/>
          <w:szCs w:val="28"/>
          <w:highlight w:val="none"/>
        </w:rPr>
        <w:t xml:space="preserve">附件7     </w:t>
      </w:r>
      <w:r>
        <w:rPr>
          <w:rFonts w:hint="eastAsia" w:ascii="宋体" w:hAnsi="宋体" w:eastAsia="宋体" w:cs="宋体"/>
          <w:b/>
          <w:bCs w:val="0"/>
          <w:color w:val="auto"/>
          <w:sz w:val="32"/>
          <w:szCs w:val="28"/>
          <w:highlight w:val="none"/>
          <w:lang w:val="en-US" w:eastAsia="zh-CN"/>
        </w:rPr>
        <w:t xml:space="preserve">   </w:t>
      </w:r>
      <w:r>
        <w:rPr>
          <w:rFonts w:hint="eastAsia" w:ascii="宋体" w:hAnsi="宋体" w:eastAsia="宋体" w:cs="宋体"/>
          <w:b/>
          <w:bCs w:val="0"/>
          <w:color w:val="auto"/>
          <w:sz w:val="32"/>
          <w:szCs w:val="28"/>
          <w:highlight w:val="none"/>
        </w:rPr>
        <w:t xml:space="preserve">   法定代表人身份证明（格式）</w:t>
      </w:r>
      <w:bookmarkEnd w:id="89"/>
      <w:bookmarkEnd w:id="90"/>
      <w:bookmarkEnd w:id="91"/>
      <w:bookmarkEnd w:id="92"/>
      <w:bookmarkEnd w:id="93"/>
      <w:bookmarkEnd w:id="94"/>
    </w:p>
    <w:p w14:paraId="6D0A27D1">
      <w:pPr>
        <w:widowControl/>
        <w:wordWrap w:val="0"/>
        <w:spacing w:line="460" w:lineRule="exact"/>
        <w:jc w:val="left"/>
        <w:rPr>
          <w:rFonts w:hint="eastAsia" w:ascii="宋体" w:hAnsi="宋体" w:eastAsia="宋体" w:cs="宋体"/>
          <w:color w:val="auto"/>
          <w:kern w:val="0"/>
          <w:sz w:val="24"/>
          <w:highlight w:val="none"/>
        </w:rPr>
      </w:pPr>
    </w:p>
    <w:p w14:paraId="4DF2B09F">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6D4D92B8">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5E9B4F1A">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364694F8">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2DD747A">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4A84D78F">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1213C6CA">
      <w:pPr>
        <w:widowControl/>
        <w:wordWrap w:val="0"/>
        <w:spacing w:line="460" w:lineRule="exact"/>
        <w:jc w:val="left"/>
        <w:rPr>
          <w:rFonts w:hint="eastAsia" w:ascii="宋体" w:hAnsi="宋体" w:eastAsia="宋体" w:cs="宋体"/>
          <w:color w:val="auto"/>
          <w:kern w:val="0"/>
          <w:sz w:val="24"/>
          <w:szCs w:val="20"/>
          <w:highlight w:val="none"/>
        </w:rPr>
      </w:pPr>
    </w:p>
    <w:p w14:paraId="637D56C9">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30C30AB1">
      <w:pPr>
        <w:widowControl/>
        <w:wordWrap w:val="0"/>
        <w:spacing w:line="460" w:lineRule="exact"/>
        <w:jc w:val="left"/>
        <w:rPr>
          <w:rFonts w:hint="eastAsia" w:ascii="宋体" w:hAnsi="宋体" w:eastAsia="宋体" w:cs="宋体"/>
          <w:color w:val="auto"/>
          <w:kern w:val="0"/>
          <w:sz w:val="24"/>
          <w:szCs w:val="20"/>
          <w:highlight w:val="none"/>
        </w:rPr>
      </w:pPr>
    </w:p>
    <w:p w14:paraId="75C90DD5">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2B342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6DE99141">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15111ABA">
            <w:pPr>
              <w:widowControl/>
              <w:spacing w:line="480" w:lineRule="exact"/>
              <w:jc w:val="left"/>
              <w:rPr>
                <w:rFonts w:hint="eastAsia" w:ascii="宋体" w:hAnsi="宋体" w:eastAsia="宋体" w:cs="宋体"/>
                <w:color w:val="auto"/>
                <w:kern w:val="0"/>
                <w:sz w:val="24"/>
                <w:highlight w:val="none"/>
              </w:rPr>
            </w:pPr>
          </w:p>
          <w:p w14:paraId="531F52FF">
            <w:pPr>
              <w:widowControl/>
              <w:spacing w:line="480" w:lineRule="exact"/>
              <w:jc w:val="left"/>
              <w:rPr>
                <w:rFonts w:hint="eastAsia" w:ascii="宋体" w:hAnsi="宋体" w:eastAsia="宋体" w:cs="宋体"/>
                <w:color w:val="auto"/>
                <w:kern w:val="0"/>
                <w:sz w:val="24"/>
                <w:highlight w:val="none"/>
              </w:rPr>
            </w:pPr>
          </w:p>
        </w:tc>
      </w:tr>
    </w:tbl>
    <w:p w14:paraId="2208245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88A45C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5A17B0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60E04022">
      <w:pPr>
        <w:widowControl/>
        <w:wordWrap w:val="0"/>
        <w:spacing w:line="480" w:lineRule="exact"/>
        <w:jc w:val="right"/>
        <w:rPr>
          <w:rFonts w:hint="eastAsia" w:ascii="宋体" w:hAnsi="宋体" w:eastAsia="宋体" w:cs="宋体"/>
          <w:color w:val="auto"/>
          <w:kern w:val="0"/>
          <w:sz w:val="24"/>
          <w:highlight w:val="none"/>
        </w:rPr>
      </w:pPr>
    </w:p>
    <w:p w14:paraId="483BF87B">
      <w:pPr>
        <w:widowControl/>
        <w:wordWrap w:val="0"/>
        <w:spacing w:line="480" w:lineRule="exact"/>
        <w:jc w:val="right"/>
        <w:rPr>
          <w:rFonts w:hint="eastAsia" w:ascii="宋体" w:hAnsi="宋体" w:eastAsia="宋体" w:cs="宋体"/>
          <w:color w:val="auto"/>
          <w:kern w:val="0"/>
          <w:sz w:val="24"/>
          <w:highlight w:val="none"/>
        </w:rPr>
      </w:pPr>
    </w:p>
    <w:p w14:paraId="2571CE3C">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2956A28E">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63121D47">
      <w:pPr>
        <w:rPr>
          <w:rFonts w:hint="eastAsia" w:ascii="宋体" w:hAnsi="宋体" w:eastAsia="宋体" w:cs="宋体"/>
          <w:color w:val="auto"/>
          <w:highlight w:val="none"/>
        </w:rPr>
      </w:pPr>
    </w:p>
    <w:p w14:paraId="7E23AD79">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EDEF6C4">
      <w:pPr>
        <w:widowControl/>
        <w:wordWrap w:val="0"/>
        <w:spacing w:line="460" w:lineRule="exact"/>
        <w:jc w:val="left"/>
        <w:outlineLvl w:val="0"/>
        <w:rPr>
          <w:rFonts w:hint="eastAsia" w:ascii="宋体" w:hAnsi="宋体" w:eastAsia="宋体" w:cs="宋体"/>
          <w:b/>
          <w:color w:val="auto"/>
          <w:sz w:val="32"/>
          <w:szCs w:val="28"/>
          <w:highlight w:val="none"/>
        </w:rPr>
      </w:pPr>
      <w:bookmarkStart w:id="95" w:name="_Toc16218"/>
      <w:bookmarkStart w:id="96" w:name="_Toc12939"/>
      <w:bookmarkStart w:id="97" w:name="_Toc30519"/>
      <w:bookmarkStart w:id="98" w:name="_Toc31773"/>
      <w:bookmarkStart w:id="99" w:name="_Toc17114"/>
      <w:bookmarkStart w:id="100" w:name="_Toc13976"/>
      <w:r>
        <w:rPr>
          <w:rFonts w:hint="eastAsia" w:ascii="宋体" w:hAnsi="宋体" w:eastAsia="宋体" w:cs="宋体"/>
          <w:b/>
          <w:color w:val="auto"/>
          <w:sz w:val="32"/>
          <w:szCs w:val="28"/>
          <w:highlight w:val="none"/>
        </w:rPr>
        <w:t>附件8             法定代表人授权书（格式）</w:t>
      </w:r>
      <w:bookmarkEnd w:id="95"/>
      <w:bookmarkEnd w:id="96"/>
      <w:bookmarkEnd w:id="97"/>
      <w:bookmarkEnd w:id="98"/>
      <w:bookmarkEnd w:id="99"/>
      <w:bookmarkEnd w:id="100"/>
    </w:p>
    <w:p w14:paraId="12657864">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3F3907B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54277FFA">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项目的投标活动，并代表我方全权办理针对上述项目的投标、开标、评标、签约等具体事务和签署相关文件。</w:t>
      </w:r>
    </w:p>
    <w:p w14:paraId="1CCFD4E6">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D83D8C5">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2670A3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4C8BD805">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8BE8EB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0BAE0E81">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p>
    <w:p w14:paraId="718A1F6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6E86B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2EAA8962">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38DD1567">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032BFB56">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9C528DD">
      <w:pPr>
        <w:widowControl/>
        <w:wordWrap w:val="0"/>
        <w:spacing w:line="360" w:lineRule="auto"/>
        <w:jc w:val="center"/>
        <w:rPr>
          <w:rFonts w:hint="eastAsia" w:ascii="宋体" w:hAnsi="宋体" w:eastAsia="宋体" w:cs="宋体"/>
          <w:color w:val="auto"/>
          <w:kern w:val="0"/>
          <w:sz w:val="24"/>
          <w:highlight w:val="none"/>
        </w:rPr>
      </w:pPr>
    </w:p>
    <w:p w14:paraId="1D15FA56">
      <w:pPr>
        <w:widowControl/>
        <w:wordWrap w:val="0"/>
        <w:spacing w:line="360" w:lineRule="auto"/>
        <w:jc w:val="right"/>
        <w:rPr>
          <w:rFonts w:hint="eastAsia" w:ascii="宋体" w:hAnsi="宋体" w:eastAsia="宋体" w:cs="宋体"/>
          <w:color w:val="auto"/>
          <w:kern w:val="0"/>
          <w:sz w:val="24"/>
          <w:highlight w:val="none"/>
        </w:rPr>
      </w:pPr>
    </w:p>
    <w:p w14:paraId="34758F8B">
      <w:pPr>
        <w:widowControl/>
        <w:wordWrap w:val="0"/>
        <w:spacing w:line="360" w:lineRule="auto"/>
        <w:jc w:val="right"/>
        <w:rPr>
          <w:rFonts w:hint="eastAsia" w:ascii="宋体" w:hAnsi="宋体" w:eastAsia="宋体" w:cs="宋体"/>
          <w:color w:val="auto"/>
          <w:kern w:val="0"/>
          <w:sz w:val="24"/>
          <w:highlight w:val="none"/>
        </w:rPr>
      </w:pPr>
    </w:p>
    <w:p w14:paraId="6ECADE49">
      <w:pPr>
        <w:widowControl/>
        <w:wordWrap w:val="0"/>
        <w:spacing w:line="360" w:lineRule="auto"/>
        <w:jc w:val="right"/>
        <w:rPr>
          <w:rFonts w:hint="eastAsia" w:ascii="宋体" w:hAnsi="宋体" w:eastAsia="宋体" w:cs="宋体"/>
          <w:color w:val="auto"/>
          <w:kern w:val="0"/>
          <w:sz w:val="24"/>
          <w:highlight w:val="none"/>
        </w:rPr>
      </w:pPr>
    </w:p>
    <w:p w14:paraId="70040554">
      <w:pPr>
        <w:widowControl/>
        <w:wordWrap w:val="0"/>
        <w:spacing w:line="360" w:lineRule="auto"/>
        <w:jc w:val="right"/>
        <w:rPr>
          <w:rFonts w:hint="eastAsia" w:ascii="宋体" w:hAnsi="宋体" w:eastAsia="宋体" w:cs="宋体"/>
          <w:color w:val="auto"/>
          <w:kern w:val="0"/>
          <w:sz w:val="24"/>
          <w:highlight w:val="none"/>
        </w:rPr>
      </w:pPr>
    </w:p>
    <w:p w14:paraId="3BEFA410">
      <w:pPr>
        <w:widowControl/>
        <w:wordWrap w:val="0"/>
        <w:spacing w:line="360" w:lineRule="auto"/>
        <w:jc w:val="right"/>
        <w:rPr>
          <w:rFonts w:hint="eastAsia" w:ascii="宋体" w:hAnsi="宋体" w:eastAsia="宋体" w:cs="宋体"/>
          <w:color w:val="auto"/>
          <w:kern w:val="0"/>
          <w:sz w:val="24"/>
          <w:highlight w:val="none"/>
        </w:rPr>
      </w:pPr>
    </w:p>
    <w:p w14:paraId="61113414">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7D2734CD">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03B9FA0D">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71F9314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82D1065">
      <w:pPr>
        <w:widowControl/>
        <w:snapToGrid w:val="0"/>
        <w:spacing w:before="156" w:after="156" w:line="360" w:lineRule="auto"/>
        <w:jc w:val="left"/>
        <w:outlineLvl w:val="0"/>
        <w:rPr>
          <w:rFonts w:hint="eastAsia" w:ascii="宋体" w:hAnsi="宋体" w:eastAsia="宋体" w:cs="宋体"/>
          <w:b/>
          <w:bCs w:val="0"/>
          <w:color w:val="auto"/>
          <w:kern w:val="0"/>
          <w:sz w:val="32"/>
          <w:szCs w:val="32"/>
          <w:highlight w:val="none"/>
        </w:rPr>
      </w:pPr>
      <w:bookmarkStart w:id="101" w:name="_Toc24693"/>
      <w:bookmarkStart w:id="102" w:name="_Toc3342"/>
      <w:bookmarkStart w:id="103" w:name="_Toc22105"/>
      <w:bookmarkStart w:id="104" w:name="_Toc18105"/>
      <w:bookmarkStart w:id="105" w:name="_Toc3570"/>
      <w:bookmarkStart w:id="106" w:name="_Toc24243"/>
      <w:r>
        <w:rPr>
          <w:rFonts w:hint="eastAsia" w:ascii="宋体" w:hAnsi="宋体" w:eastAsia="宋体" w:cs="宋体"/>
          <w:b/>
          <w:bCs w:val="0"/>
          <w:color w:val="auto"/>
          <w:sz w:val="32"/>
          <w:szCs w:val="32"/>
          <w:highlight w:val="none"/>
        </w:rPr>
        <w:t>附件9               证明文件</w:t>
      </w:r>
      <w:bookmarkEnd w:id="101"/>
      <w:bookmarkEnd w:id="102"/>
      <w:bookmarkEnd w:id="103"/>
      <w:bookmarkEnd w:id="104"/>
      <w:bookmarkEnd w:id="105"/>
      <w:bookmarkEnd w:id="106"/>
    </w:p>
    <w:p w14:paraId="002C216E">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03E46F34">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9.2</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技术</w:t>
      </w:r>
      <w:r>
        <w:rPr>
          <w:rFonts w:hint="eastAsia" w:ascii="宋体" w:hAnsi="宋体" w:eastAsia="宋体" w:cs="宋体"/>
          <w:bCs/>
          <w:color w:val="auto"/>
          <w:sz w:val="21"/>
          <w:szCs w:val="21"/>
          <w:highlight w:val="none"/>
          <w:lang w:val="en-US" w:eastAsia="zh-CN"/>
        </w:rPr>
        <w:t>服务</w:t>
      </w:r>
      <w:r>
        <w:rPr>
          <w:rFonts w:hint="eastAsia" w:ascii="宋体" w:hAnsi="宋体" w:eastAsia="宋体" w:cs="宋体"/>
          <w:bCs/>
          <w:color w:val="auto"/>
          <w:sz w:val="21"/>
          <w:szCs w:val="21"/>
          <w:highlight w:val="none"/>
        </w:rPr>
        <w:t>方案</w:t>
      </w:r>
    </w:p>
    <w:p w14:paraId="2ED0A154">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bookmarkStart w:id="107" w:name="_Toc17966"/>
      <w:r>
        <w:rPr>
          <w:rFonts w:hint="eastAsia" w:ascii="宋体" w:hAnsi="宋体" w:eastAsia="宋体" w:cs="宋体"/>
          <w:bCs/>
          <w:color w:val="auto"/>
          <w:sz w:val="21"/>
          <w:szCs w:val="21"/>
          <w:highlight w:val="none"/>
          <w:lang w:val="en-US" w:eastAsia="zh-CN"/>
        </w:rPr>
        <w:t>评分标准中需提供的证明材料</w:t>
      </w:r>
    </w:p>
    <w:p w14:paraId="7F0BFDF5">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4 供应商认为其他需要提供的证明材料</w:t>
      </w:r>
      <w:r>
        <w:rPr>
          <w:rFonts w:hint="eastAsia" w:ascii="宋体" w:hAnsi="宋体" w:eastAsia="宋体" w:cs="宋体"/>
          <w:bCs/>
          <w:color w:val="auto"/>
          <w:sz w:val="21"/>
          <w:szCs w:val="21"/>
          <w:highlight w:val="none"/>
        </w:rPr>
        <w:t>。</w:t>
      </w:r>
    </w:p>
    <w:p w14:paraId="250C1EF3">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2FFDD457">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00F05168">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02407F6">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BAFCB63">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1D843B3F">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7A02A16">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AB42206">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7357B0B8">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12B188ED">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1BC729C3">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20991750">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7463B95">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3F03E89F">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07F5BB9B">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232EBEA5">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18F51A89">
      <w:pPr>
        <w:rPr>
          <w:rFonts w:hint="eastAsia" w:ascii="宋体" w:hAnsi="宋体" w:eastAsia="宋体" w:cs="宋体"/>
          <w:b/>
          <w:bCs w:val="0"/>
          <w:color w:val="auto"/>
          <w:kern w:val="0"/>
          <w:sz w:val="32"/>
          <w:szCs w:val="32"/>
          <w:highlight w:val="none"/>
        </w:rPr>
      </w:pPr>
      <w:bookmarkStart w:id="108" w:name="_Toc16083"/>
      <w:bookmarkStart w:id="109" w:name="_Toc13726"/>
      <w:bookmarkStart w:id="110" w:name="_Toc12888"/>
      <w:r>
        <w:rPr>
          <w:rFonts w:hint="eastAsia" w:ascii="宋体" w:hAnsi="宋体" w:eastAsia="宋体" w:cs="宋体"/>
          <w:b/>
          <w:bCs w:val="0"/>
          <w:color w:val="auto"/>
          <w:kern w:val="0"/>
          <w:sz w:val="32"/>
          <w:szCs w:val="32"/>
          <w:highlight w:val="none"/>
        </w:rPr>
        <w:t xml:space="preserve">附件10        </w:t>
      </w:r>
      <w:bookmarkEnd w:id="107"/>
      <w:r>
        <w:rPr>
          <w:rFonts w:hint="eastAsia" w:ascii="宋体" w:hAnsi="宋体" w:eastAsia="宋体" w:cs="宋体"/>
          <w:b/>
          <w:bCs w:val="0"/>
          <w:color w:val="auto"/>
          <w:kern w:val="0"/>
          <w:sz w:val="32"/>
          <w:szCs w:val="32"/>
          <w:highlight w:val="none"/>
        </w:rPr>
        <w:t>供 应 商 承 诺 书</w:t>
      </w:r>
      <w:r>
        <w:rPr>
          <w:rFonts w:hint="eastAsia" w:ascii="宋体" w:hAnsi="宋体" w:eastAsia="宋体" w:cs="宋体"/>
          <w:b/>
          <w:bCs w:val="0"/>
          <w:color w:val="auto"/>
          <w:kern w:val="0"/>
          <w:sz w:val="32"/>
          <w:szCs w:val="32"/>
          <w:highlight w:val="none"/>
          <w:lang w:val="en-US" w:eastAsia="zh-CN"/>
        </w:rPr>
        <w:t xml:space="preserve"> </w:t>
      </w:r>
      <w:r>
        <w:rPr>
          <w:rFonts w:hint="eastAsia" w:ascii="宋体" w:hAnsi="宋体" w:eastAsia="宋体" w:cs="宋体"/>
          <w:b/>
          <w:bCs w:val="0"/>
          <w:color w:val="auto"/>
          <w:kern w:val="0"/>
          <w:sz w:val="32"/>
          <w:szCs w:val="32"/>
          <w:highlight w:val="none"/>
        </w:rPr>
        <w:t>（格式）</w:t>
      </w:r>
      <w:bookmarkEnd w:id="108"/>
      <w:bookmarkEnd w:id="109"/>
      <w:bookmarkEnd w:id="110"/>
    </w:p>
    <w:p w14:paraId="1C421893">
      <w:pPr>
        <w:bidi w:val="0"/>
        <w:rPr>
          <w:rFonts w:hint="eastAsia" w:ascii="宋体" w:hAnsi="宋体" w:eastAsia="宋体" w:cs="宋体"/>
        </w:rPr>
      </w:pPr>
    </w:p>
    <w:p w14:paraId="34B6EAA7">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14:paraId="36D44AC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14:paraId="1916E105">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14:paraId="50387533">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14:paraId="700654E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14:paraId="79C9E87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14:paraId="3BA858F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14:paraId="4B3023F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14:paraId="536DB835">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14:paraId="55D29378">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14:paraId="02BD1E6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8"/>
          <w:szCs w:val="28"/>
        </w:rPr>
      </w:pPr>
      <w:r>
        <w:rPr>
          <w:rFonts w:hint="eastAsia" w:ascii="宋体" w:hAnsi="宋体" w:eastAsia="宋体" w:cs="宋体"/>
          <w:sz w:val="24"/>
          <w:szCs w:val="24"/>
        </w:rPr>
        <w:t>法定代表人或委托人（签字）：                   年   月   日</w:t>
      </w:r>
    </w:p>
    <w:p w14:paraId="6CFC25D6">
      <w:pPr>
        <w:widowControl/>
        <w:spacing w:line="360" w:lineRule="auto"/>
        <w:ind w:firstLine="4305" w:firstLineChars="2050"/>
        <w:jc w:val="left"/>
        <w:rPr>
          <w:rFonts w:hint="eastAsia" w:ascii="宋体" w:hAnsi="宋体" w:eastAsia="宋体" w:cs="宋体"/>
          <w:color w:val="auto"/>
          <w:kern w:val="0"/>
          <w:szCs w:val="21"/>
          <w:highlight w:val="none"/>
        </w:rPr>
      </w:pPr>
    </w:p>
    <w:p w14:paraId="2485C911">
      <w:pPr>
        <w:pStyle w:val="31"/>
        <w:rPr>
          <w:rFonts w:hint="eastAsia" w:ascii="宋体" w:hAnsi="宋体" w:eastAsia="宋体" w:cs="宋体"/>
          <w:color w:val="auto"/>
          <w:kern w:val="0"/>
          <w:szCs w:val="21"/>
          <w:highlight w:val="none"/>
        </w:rPr>
      </w:pPr>
    </w:p>
    <w:p w14:paraId="2BBFADB5">
      <w:pPr>
        <w:pStyle w:val="32"/>
        <w:rPr>
          <w:rFonts w:hint="eastAsia" w:ascii="宋体" w:hAnsi="宋体" w:eastAsia="宋体" w:cs="宋体"/>
          <w:color w:val="auto"/>
          <w:kern w:val="0"/>
          <w:szCs w:val="21"/>
          <w:highlight w:val="none"/>
        </w:rPr>
      </w:pPr>
    </w:p>
    <w:p w14:paraId="080F875F">
      <w:pPr>
        <w:pStyle w:val="10"/>
        <w:rPr>
          <w:rFonts w:hint="eastAsia" w:ascii="宋体" w:hAnsi="宋体" w:eastAsia="宋体" w:cs="宋体"/>
        </w:rPr>
      </w:pPr>
    </w:p>
    <w:p w14:paraId="2BC6CE02">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14:paraId="75E390A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32"/>
          <w:szCs w:val="32"/>
          <w:lang w:val="en-US" w:eastAsia="zh-CN"/>
        </w:rPr>
      </w:pPr>
    </w:p>
    <w:p w14:paraId="27558A9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致（采购人或政府采购代理机构）：</w:t>
      </w:r>
    </w:p>
    <w:p w14:paraId="62CB344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单位名称（自然人姓名）：</w:t>
      </w:r>
    </w:p>
    <w:p w14:paraId="6D8AFB9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统一社会信用代码（身份证号码）：</w:t>
      </w:r>
    </w:p>
    <w:p w14:paraId="3B6FDCB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法定代表人（负责人）：</w:t>
      </w:r>
    </w:p>
    <w:p w14:paraId="6F63C7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联系地址和电话：</w:t>
      </w:r>
    </w:p>
    <w:p w14:paraId="0DC6A38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687F1A1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（一）具有独立承担民事责任的能力；</w:t>
      </w:r>
    </w:p>
    <w:p w14:paraId="2778E33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（二）具有良好的商业信誉和健全的财务会计制度；</w:t>
      </w:r>
    </w:p>
    <w:p w14:paraId="6A7930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（三）具有履行合同所必需的设备和专业技术能力；</w:t>
      </w:r>
    </w:p>
    <w:p w14:paraId="29CE19E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（四）有依法缴纳税收和社会保障资金的良好</w:t>
      </w:r>
      <w:r>
        <w:rPr>
          <w:rFonts w:hint="eastAsia" w:ascii="宋体" w:hAnsi="宋体" w:eastAsia="宋体" w:cs="宋体"/>
          <w:sz w:val="21"/>
          <w:szCs w:val="21"/>
          <w:lang w:val="en-US" w:eastAsia="zh-CN"/>
        </w:rPr>
        <w:t>记录；</w:t>
      </w:r>
    </w:p>
    <w:p w14:paraId="51D31F5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（五）参加政府采购活动前三年内，在经营活动中没有重大违法记录；</w:t>
      </w:r>
    </w:p>
    <w:p w14:paraId="582BFFD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（六）未被列入严重失信主体名单、失信被执行人、税收违法黑名单、政府采购严重违法失信行为记录名单，未曾作出虚假承诺；</w:t>
      </w:r>
    </w:p>
    <w:p w14:paraId="42D41D1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（七）符合法律、行政法规规定的其他条件。</w:t>
      </w:r>
    </w:p>
    <w:p w14:paraId="7D33034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我单位（本人）保证上述承诺事项的真实性，如有弄虚作假或其他违法违规行为，愿意承担一切法律责任，并承担因此所造成的一切损失。</w:t>
      </w:r>
    </w:p>
    <w:p w14:paraId="447A4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0509B50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供应商名称（盖章）：</w:t>
      </w:r>
    </w:p>
    <w:p w14:paraId="470DB0E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法定代表人、负责人、自然人或授权代表(签字)：</w:t>
      </w:r>
    </w:p>
    <w:p w14:paraId="7A45DFD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日期：       年         月          日</w:t>
      </w:r>
    </w:p>
    <w:p w14:paraId="424BF1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103094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398FE34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注：1.供应商须在投标（响应性）文件中按此模板提供承诺函，未提供视为未实质性响应招标文件要求，按无效投标（响应）处理。</w:t>
      </w:r>
    </w:p>
    <w:p w14:paraId="59B2C1C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2.供应商的法定代表人或者授权代表的签字或盖章应真实、有效，如由授权代表签字或盖章的，应提供“法定代表人授权书”。</w:t>
      </w:r>
    </w:p>
    <w:p w14:paraId="76242FC1">
      <w:pPr>
        <w:pStyle w:val="10"/>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09F56">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DF999FA">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DF999FA">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D31B9">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5E1040AB">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5E1040AB">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EB927E6">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ACBB1">
    <w:pPr>
      <w:pStyle w:val="23"/>
      <w:jc w:val="center"/>
      <w:rPr>
        <w:rFonts w:hint="eastAsia"/>
      </w:rPr>
    </w:pPr>
    <w:r>
      <w:rPr>
        <w:rFonts w:hint="eastAsia" w:ascii="宋体" w:hAnsi="宋体" w:cs="宋体"/>
        <w:color w:val="auto"/>
        <w:szCs w:val="21"/>
        <w:highlight w:val="none"/>
        <w:shd w:val="clear" w:color="auto" w:fill="FFFFFF"/>
        <w:lang w:val="en-US" w:eastAsia="zh-CN"/>
      </w:rPr>
      <w:t>驻马店市中心医院聘请法律顾问服务项目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565BEA"/>
    <w:multiLevelType w:val="singleLevel"/>
    <w:tmpl w:val="DD565BEA"/>
    <w:lvl w:ilvl="0" w:tentative="0">
      <w:start w:val="1"/>
      <w:numFmt w:val="decimal"/>
      <w:lvlText w:val="%1."/>
      <w:lvlJc w:val="left"/>
      <w:pPr>
        <w:tabs>
          <w:tab w:val="left" w:pos="312"/>
        </w:tabs>
      </w:p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0880"/>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80A12"/>
    <w:rsid w:val="010C3DC8"/>
    <w:rsid w:val="011C7F4F"/>
    <w:rsid w:val="011E110B"/>
    <w:rsid w:val="014D1D6F"/>
    <w:rsid w:val="01525212"/>
    <w:rsid w:val="01564054"/>
    <w:rsid w:val="015C0A67"/>
    <w:rsid w:val="0175284F"/>
    <w:rsid w:val="017E6D95"/>
    <w:rsid w:val="01891B53"/>
    <w:rsid w:val="01976717"/>
    <w:rsid w:val="01D715BE"/>
    <w:rsid w:val="01EB45BC"/>
    <w:rsid w:val="01F04981"/>
    <w:rsid w:val="01F9035B"/>
    <w:rsid w:val="01FA63A5"/>
    <w:rsid w:val="01FB40D3"/>
    <w:rsid w:val="02011C7D"/>
    <w:rsid w:val="02035523"/>
    <w:rsid w:val="021C6E40"/>
    <w:rsid w:val="02222FF2"/>
    <w:rsid w:val="02384FF4"/>
    <w:rsid w:val="023F67A9"/>
    <w:rsid w:val="02447584"/>
    <w:rsid w:val="0247575A"/>
    <w:rsid w:val="025235B1"/>
    <w:rsid w:val="0262674D"/>
    <w:rsid w:val="02747B01"/>
    <w:rsid w:val="02890D36"/>
    <w:rsid w:val="02C31095"/>
    <w:rsid w:val="02D92EF7"/>
    <w:rsid w:val="02DA4665"/>
    <w:rsid w:val="02F40325"/>
    <w:rsid w:val="02FA082F"/>
    <w:rsid w:val="031126C4"/>
    <w:rsid w:val="03253AFD"/>
    <w:rsid w:val="03475E56"/>
    <w:rsid w:val="035E4919"/>
    <w:rsid w:val="036A009A"/>
    <w:rsid w:val="036F4D79"/>
    <w:rsid w:val="037A734D"/>
    <w:rsid w:val="03844805"/>
    <w:rsid w:val="03845791"/>
    <w:rsid w:val="03A011E9"/>
    <w:rsid w:val="03AA7B5F"/>
    <w:rsid w:val="03AE7F27"/>
    <w:rsid w:val="03BD2BCD"/>
    <w:rsid w:val="03CC058D"/>
    <w:rsid w:val="03E017D2"/>
    <w:rsid w:val="03F447E2"/>
    <w:rsid w:val="03F77068"/>
    <w:rsid w:val="03FB660C"/>
    <w:rsid w:val="042E37DB"/>
    <w:rsid w:val="04416C20"/>
    <w:rsid w:val="047968B1"/>
    <w:rsid w:val="04870542"/>
    <w:rsid w:val="04B30F7A"/>
    <w:rsid w:val="050E236F"/>
    <w:rsid w:val="054C0111"/>
    <w:rsid w:val="05545DD3"/>
    <w:rsid w:val="056E2AD6"/>
    <w:rsid w:val="05806815"/>
    <w:rsid w:val="05807EF6"/>
    <w:rsid w:val="058251D3"/>
    <w:rsid w:val="058C28F1"/>
    <w:rsid w:val="05945CCE"/>
    <w:rsid w:val="059D05A4"/>
    <w:rsid w:val="059D5E17"/>
    <w:rsid w:val="059E1E1A"/>
    <w:rsid w:val="05AB0A28"/>
    <w:rsid w:val="05AB0F81"/>
    <w:rsid w:val="05B93D6B"/>
    <w:rsid w:val="05C23EEE"/>
    <w:rsid w:val="05CA4074"/>
    <w:rsid w:val="05D53002"/>
    <w:rsid w:val="05D75738"/>
    <w:rsid w:val="05EB110D"/>
    <w:rsid w:val="05F17CC7"/>
    <w:rsid w:val="060C4B01"/>
    <w:rsid w:val="061E7D14"/>
    <w:rsid w:val="06446B44"/>
    <w:rsid w:val="064E336B"/>
    <w:rsid w:val="06560AED"/>
    <w:rsid w:val="066469C9"/>
    <w:rsid w:val="066646A1"/>
    <w:rsid w:val="067A4160"/>
    <w:rsid w:val="068E7B23"/>
    <w:rsid w:val="06983B20"/>
    <w:rsid w:val="069A3B66"/>
    <w:rsid w:val="06A869D6"/>
    <w:rsid w:val="06A9264E"/>
    <w:rsid w:val="06B31420"/>
    <w:rsid w:val="06B91765"/>
    <w:rsid w:val="06CA2AD2"/>
    <w:rsid w:val="06CE3071"/>
    <w:rsid w:val="06D33DBA"/>
    <w:rsid w:val="06E13F9F"/>
    <w:rsid w:val="06FB0AC5"/>
    <w:rsid w:val="070D2D5D"/>
    <w:rsid w:val="07111B8D"/>
    <w:rsid w:val="072C5514"/>
    <w:rsid w:val="0737768A"/>
    <w:rsid w:val="074A5B92"/>
    <w:rsid w:val="075D0147"/>
    <w:rsid w:val="075E3193"/>
    <w:rsid w:val="07712BDB"/>
    <w:rsid w:val="078B414B"/>
    <w:rsid w:val="078E18EB"/>
    <w:rsid w:val="07927288"/>
    <w:rsid w:val="07B10EA5"/>
    <w:rsid w:val="07C84A57"/>
    <w:rsid w:val="07CD6512"/>
    <w:rsid w:val="07CE3FA1"/>
    <w:rsid w:val="07D4164E"/>
    <w:rsid w:val="07EC2ECB"/>
    <w:rsid w:val="07FE66CB"/>
    <w:rsid w:val="080B4D47"/>
    <w:rsid w:val="081B727D"/>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945539"/>
    <w:rsid w:val="09A53F39"/>
    <w:rsid w:val="09A60E13"/>
    <w:rsid w:val="09A82D92"/>
    <w:rsid w:val="09AB2883"/>
    <w:rsid w:val="09CD0A4B"/>
    <w:rsid w:val="09D206F0"/>
    <w:rsid w:val="0A12142C"/>
    <w:rsid w:val="0A321AC2"/>
    <w:rsid w:val="0A343D4E"/>
    <w:rsid w:val="0A3E6D2E"/>
    <w:rsid w:val="0A4232E4"/>
    <w:rsid w:val="0A4F145F"/>
    <w:rsid w:val="0A5E78F5"/>
    <w:rsid w:val="0A8455AD"/>
    <w:rsid w:val="0A87189D"/>
    <w:rsid w:val="0A9934A8"/>
    <w:rsid w:val="0AD13A85"/>
    <w:rsid w:val="0AE0655C"/>
    <w:rsid w:val="0B091954"/>
    <w:rsid w:val="0B3B7D65"/>
    <w:rsid w:val="0B434C20"/>
    <w:rsid w:val="0B5F0822"/>
    <w:rsid w:val="0B637D77"/>
    <w:rsid w:val="0B7006C4"/>
    <w:rsid w:val="0B726646"/>
    <w:rsid w:val="0B7606E8"/>
    <w:rsid w:val="0B924545"/>
    <w:rsid w:val="0BAC324F"/>
    <w:rsid w:val="0BBA4FFF"/>
    <w:rsid w:val="0BC11EE9"/>
    <w:rsid w:val="0BE8391A"/>
    <w:rsid w:val="0BF16C73"/>
    <w:rsid w:val="0BF72F1E"/>
    <w:rsid w:val="0C3152C1"/>
    <w:rsid w:val="0C3957A5"/>
    <w:rsid w:val="0C507E2F"/>
    <w:rsid w:val="0C594818"/>
    <w:rsid w:val="0C626DA7"/>
    <w:rsid w:val="0C6876AE"/>
    <w:rsid w:val="0C71390F"/>
    <w:rsid w:val="0C720EC8"/>
    <w:rsid w:val="0C942042"/>
    <w:rsid w:val="0C9D50DC"/>
    <w:rsid w:val="0CA5271D"/>
    <w:rsid w:val="0CAC4D10"/>
    <w:rsid w:val="0CC72121"/>
    <w:rsid w:val="0CD24099"/>
    <w:rsid w:val="0CEE5A21"/>
    <w:rsid w:val="0D05268E"/>
    <w:rsid w:val="0D0646E7"/>
    <w:rsid w:val="0D0C38CA"/>
    <w:rsid w:val="0D206810"/>
    <w:rsid w:val="0D470B14"/>
    <w:rsid w:val="0D4861FD"/>
    <w:rsid w:val="0D5D3E94"/>
    <w:rsid w:val="0D735465"/>
    <w:rsid w:val="0DC577E0"/>
    <w:rsid w:val="0DC932D7"/>
    <w:rsid w:val="0DDC6319"/>
    <w:rsid w:val="0DFE4F67"/>
    <w:rsid w:val="0E034A3B"/>
    <w:rsid w:val="0E0C0D4C"/>
    <w:rsid w:val="0E115DA1"/>
    <w:rsid w:val="0E162D6D"/>
    <w:rsid w:val="0E541CA2"/>
    <w:rsid w:val="0E594756"/>
    <w:rsid w:val="0E95596D"/>
    <w:rsid w:val="0E9C279A"/>
    <w:rsid w:val="0EAE6205"/>
    <w:rsid w:val="0EAE6579"/>
    <w:rsid w:val="0EAF71BF"/>
    <w:rsid w:val="0ECE6257"/>
    <w:rsid w:val="0EE4129D"/>
    <w:rsid w:val="0EE83C31"/>
    <w:rsid w:val="0EEF6D6E"/>
    <w:rsid w:val="0F171032"/>
    <w:rsid w:val="0F335E69"/>
    <w:rsid w:val="0F372614"/>
    <w:rsid w:val="0F3D59C9"/>
    <w:rsid w:val="0F516D5A"/>
    <w:rsid w:val="0F565B36"/>
    <w:rsid w:val="0F684933"/>
    <w:rsid w:val="0F821E7D"/>
    <w:rsid w:val="0FCA42ED"/>
    <w:rsid w:val="0FE16FFE"/>
    <w:rsid w:val="0FE7592C"/>
    <w:rsid w:val="0FFD20F0"/>
    <w:rsid w:val="10190522"/>
    <w:rsid w:val="102E1117"/>
    <w:rsid w:val="103E6E57"/>
    <w:rsid w:val="1041497B"/>
    <w:rsid w:val="10425FF6"/>
    <w:rsid w:val="106612B1"/>
    <w:rsid w:val="107F2607"/>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D34654"/>
    <w:rsid w:val="12010480"/>
    <w:rsid w:val="120E707F"/>
    <w:rsid w:val="121C431D"/>
    <w:rsid w:val="121D0051"/>
    <w:rsid w:val="12413D84"/>
    <w:rsid w:val="12474DCB"/>
    <w:rsid w:val="127A7D1C"/>
    <w:rsid w:val="12836D8B"/>
    <w:rsid w:val="12AB0349"/>
    <w:rsid w:val="12B66520"/>
    <w:rsid w:val="12CD57F1"/>
    <w:rsid w:val="12CE5941"/>
    <w:rsid w:val="12CE7AFA"/>
    <w:rsid w:val="12D67466"/>
    <w:rsid w:val="13036052"/>
    <w:rsid w:val="13272A5D"/>
    <w:rsid w:val="133C40E3"/>
    <w:rsid w:val="13493108"/>
    <w:rsid w:val="134A4EBA"/>
    <w:rsid w:val="137141F5"/>
    <w:rsid w:val="13733928"/>
    <w:rsid w:val="13857CA0"/>
    <w:rsid w:val="13920D68"/>
    <w:rsid w:val="139C16C9"/>
    <w:rsid w:val="13A5238E"/>
    <w:rsid w:val="13B63CE1"/>
    <w:rsid w:val="13BC6684"/>
    <w:rsid w:val="13C72B3A"/>
    <w:rsid w:val="13D12EE6"/>
    <w:rsid w:val="13DF575E"/>
    <w:rsid w:val="13E470BD"/>
    <w:rsid w:val="13EE3A98"/>
    <w:rsid w:val="13F3280A"/>
    <w:rsid w:val="14170A30"/>
    <w:rsid w:val="142123F7"/>
    <w:rsid w:val="142A11D8"/>
    <w:rsid w:val="144B544C"/>
    <w:rsid w:val="145B7B45"/>
    <w:rsid w:val="146C13A4"/>
    <w:rsid w:val="14717443"/>
    <w:rsid w:val="147A532B"/>
    <w:rsid w:val="14825F8A"/>
    <w:rsid w:val="148D52E3"/>
    <w:rsid w:val="14992B90"/>
    <w:rsid w:val="149F10C7"/>
    <w:rsid w:val="14AF1856"/>
    <w:rsid w:val="14AF19A3"/>
    <w:rsid w:val="14B53957"/>
    <w:rsid w:val="14C53ECE"/>
    <w:rsid w:val="14CF6CB0"/>
    <w:rsid w:val="14DC5FE6"/>
    <w:rsid w:val="14E002E6"/>
    <w:rsid w:val="14FC36BD"/>
    <w:rsid w:val="14FF5EA7"/>
    <w:rsid w:val="151E3A0F"/>
    <w:rsid w:val="152534E9"/>
    <w:rsid w:val="15267261"/>
    <w:rsid w:val="152D26FB"/>
    <w:rsid w:val="153A36AA"/>
    <w:rsid w:val="15477903"/>
    <w:rsid w:val="1557566D"/>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954F9"/>
    <w:rsid w:val="169F7296"/>
    <w:rsid w:val="16A060BA"/>
    <w:rsid w:val="16A57EAF"/>
    <w:rsid w:val="16AC6E3F"/>
    <w:rsid w:val="16C872D5"/>
    <w:rsid w:val="16D451C7"/>
    <w:rsid w:val="16D54FA3"/>
    <w:rsid w:val="16D84D9F"/>
    <w:rsid w:val="16E94D3E"/>
    <w:rsid w:val="16F75DB6"/>
    <w:rsid w:val="17033CFE"/>
    <w:rsid w:val="170D06E0"/>
    <w:rsid w:val="17332185"/>
    <w:rsid w:val="17475951"/>
    <w:rsid w:val="175C542D"/>
    <w:rsid w:val="17793FC0"/>
    <w:rsid w:val="179F2E61"/>
    <w:rsid w:val="17A06264"/>
    <w:rsid w:val="17BE19D3"/>
    <w:rsid w:val="17C074F9"/>
    <w:rsid w:val="17C227C0"/>
    <w:rsid w:val="17D66D7C"/>
    <w:rsid w:val="17DE4FAA"/>
    <w:rsid w:val="17EE5BFF"/>
    <w:rsid w:val="17EF6030"/>
    <w:rsid w:val="18097740"/>
    <w:rsid w:val="180A7E69"/>
    <w:rsid w:val="18185587"/>
    <w:rsid w:val="184055B9"/>
    <w:rsid w:val="184A2082"/>
    <w:rsid w:val="185D3C42"/>
    <w:rsid w:val="185F38AF"/>
    <w:rsid w:val="187A7FF0"/>
    <w:rsid w:val="188F0211"/>
    <w:rsid w:val="1890511D"/>
    <w:rsid w:val="18AD1BEB"/>
    <w:rsid w:val="18B3004A"/>
    <w:rsid w:val="18B31B6D"/>
    <w:rsid w:val="18B96080"/>
    <w:rsid w:val="18DB2CD8"/>
    <w:rsid w:val="18F67868"/>
    <w:rsid w:val="19037FE5"/>
    <w:rsid w:val="19045B0B"/>
    <w:rsid w:val="190B2D88"/>
    <w:rsid w:val="190E6B63"/>
    <w:rsid w:val="19123928"/>
    <w:rsid w:val="19194264"/>
    <w:rsid w:val="19283048"/>
    <w:rsid w:val="19420786"/>
    <w:rsid w:val="19427EC0"/>
    <w:rsid w:val="195711D7"/>
    <w:rsid w:val="195D2A3F"/>
    <w:rsid w:val="196F7429"/>
    <w:rsid w:val="198310E9"/>
    <w:rsid w:val="198D747A"/>
    <w:rsid w:val="19A15638"/>
    <w:rsid w:val="19A74DFE"/>
    <w:rsid w:val="19A753EF"/>
    <w:rsid w:val="19C3567C"/>
    <w:rsid w:val="19EC2827"/>
    <w:rsid w:val="1A0E3A17"/>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6573E8"/>
    <w:rsid w:val="1B8C18B7"/>
    <w:rsid w:val="1BA11DA2"/>
    <w:rsid w:val="1BB73AE1"/>
    <w:rsid w:val="1BC849BD"/>
    <w:rsid w:val="1BDA6D68"/>
    <w:rsid w:val="1BF14125"/>
    <w:rsid w:val="1C002CEE"/>
    <w:rsid w:val="1C3861F8"/>
    <w:rsid w:val="1C555978"/>
    <w:rsid w:val="1C6554A1"/>
    <w:rsid w:val="1C7971B7"/>
    <w:rsid w:val="1C917D91"/>
    <w:rsid w:val="1CAB2820"/>
    <w:rsid w:val="1CD402EC"/>
    <w:rsid w:val="1CED16EF"/>
    <w:rsid w:val="1CF02333"/>
    <w:rsid w:val="1D0C33A2"/>
    <w:rsid w:val="1D113E6E"/>
    <w:rsid w:val="1D114E5E"/>
    <w:rsid w:val="1D1F0050"/>
    <w:rsid w:val="1D214EDE"/>
    <w:rsid w:val="1D2222DC"/>
    <w:rsid w:val="1D5144F7"/>
    <w:rsid w:val="1D5B3CDE"/>
    <w:rsid w:val="1D6E2950"/>
    <w:rsid w:val="1D98209B"/>
    <w:rsid w:val="1DA23746"/>
    <w:rsid w:val="1DAA14B9"/>
    <w:rsid w:val="1DD04513"/>
    <w:rsid w:val="1DDD2BCB"/>
    <w:rsid w:val="1DF4614E"/>
    <w:rsid w:val="1E0345E3"/>
    <w:rsid w:val="1E14234D"/>
    <w:rsid w:val="1E1B7B7F"/>
    <w:rsid w:val="1E334EC9"/>
    <w:rsid w:val="1E443370"/>
    <w:rsid w:val="1E656063"/>
    <w:rsid w:val="1E6B06A5"/>
    <w:rsid w:val="1E7F7D9E"/>
    <w:rsid w:val="1E840DA4"/>
    <w:rsid w:val="1EA5444C"/>
    <w:rsid w:val="1EB350EF"/>
    <w:rsid w:val="1EC21749"/>
    <w:rsid w:val="1EEB7C4E"/>
    <w:rsid w:val="1F072441"/>
    <w:rsid w:val="1F171B83"/>
    <w:rsid w:val="1F2D491A"/>
    <w:rsid w:val="1F3B74D2"/>
    <w:rsid w:val="1F62502B"/>
    <w:rsid w:val="1F66355F"/>
    <w:rsid w:val="1F7369C7"/>
    <w:rsid w:val="1F8F25D3"/>
    <w:rsid w:val="1F94547B"/>
    <w:rsid w:val="1F985E4E"/>
    <w:rsid w:val="1FA47700"/>
    <w:rsid w:val="1FAF308C"/>
    <w:rsid w:val="1FB64FF9"/>
    <w:rsid w:val="1FC11109"/>
    <w:rsid w:val="1FDA3223"/>
    <w:rsid w:val="1FEF08C8"/>
    <w:rsid w:val="1FF72E6A"/>
    <w:rsid w:val="20176124"/>
    <w:rsid w:val="201B3ED4"/>
    <w:rsid w:val="20230F6D"/>
    <w:rsid w:val="202D1DEC"/>
    <w:rsid w:val="20310B02"/>
    <w:rsid w:val="2040567B"/>
    <w:rsid w:val="206F0406"/>
    <w:rsid w:val="20784063"/>
    <w:rsid w:val="207E346A"/>
    <w:rsid w:val="208E12C3"/>
    <w:rsid w:val="209502A3"/>
    <w:rsid w:val="2100305C"/>
    <w:rsid w:val="210F579E"/>
    <w:rsid w:val="212550B5"/>
    <w:rsid w:val="21274A8D"/>
    <w:rsid w:val="21592B62"/>
    <w:rsid w:val="2172049B"/>
    <w:rsid w:val="21747CD2"/>
    <w:rsid w:val="219263AA"/>
    <w:rsid w:val="219E5782"/>
    <w:rsid w:val="21B52099"/>
    <w:rsid w:val="21D10545"/>
    <w:rsid w:val="21DD373E"/>
    <w:rsid w:val="21E72B0B"/>
    <w:rsid w:val="21F66F4C"/>
    <w:rsid w:val="21F901D7"/>
    <w:rsid w:val="221F2D96"/>
    <w:rsid w:val="22246DB1"/>
    <w:rsid w:val="22440067"/>
    <w:rsid w:val="224C2A45"/>
    <w:rsid w:val="22597FB9"/>
    <w:rsid w:val="225A6017"/>
    <w:rsid w:val="22631AF5"/>
    <w:rsid w:val="227A5532"/>
    <w:rsid w:val="22843A03"/>
    <w:rsid w:val="228E5C2C"/>
    <w:rsid w:val="22A338AB"/>
    <w:rsid w:val="22AD37A2"/>
    <w:rsid w:val="22B31E8A"/>
    <w:rsid w:val="22C05285"/>
    <w:rsid w:val="22C735BD"/>
    <w:rsid w:val="22D729A8"/>
    <w:rsid w:val="22F06957"/>
    <w:rsid w:val="23057681"/>
    <w:rsid w:val="23122833"/>
    <w:rsid w:val="231D4917"/>
    <w:rsid w:val="23223458"/>
    <w:rsid w:val="23225D32"/>
    <w:rsid w:val="23357BE6"/>
    <w:rsid w:val="23362D65"/>
    <w:rsid w:val="2342574E"/>
    <w:rsid w:val="235C0A1E"/>
    <w:rsid w:val="2375388E"/>
    <w:rsid w:val="2377331D"/>
    <w:rsid w:val="237D43DE"/>
    <w:rsid w:val="23940114"/>
    <w:rsid w:val="23B57016"/>
    <w:rsid w:val="23D4764B"/>
    <w:rsid w:val="23EC3718"/>
    <w:rsid w:val="24044EF2"/>
    <w:rsid w:val="2407139D"/>
    <w:rsid w:val="240B04F4"/>
    <w:rsid w:val="240E369A"/>
    <w:rsid w:val="242A0646"/>
    <w:rsid w:val="2435301D"/>
    <w:rsid w:val="243A0633"/>
    <w:rsid w:val="243D6E1A"/>
    <w:rsid w:val="24453D05"/>
    <w:rsid w:val="24507029"/>
    <w:rsid w:val="24607F91"/>
    <w:rsid w:val="246C581B"/>
    <w:rsid w:val="2479115B"/>
    <w:rsid w:val="247C52A2"/>
    <w:rsid w:val="24CC106B"/>
    <w:rsid w:val="24D00598"/>
    <w:rsid w:val="24D725E9"/>
    <w:rsid w:val="24FD7FDE"/>
    <w:rsid w:val="25045F70"/>
    <w:rsid w:val="250474F1"/>
    <w:rsid w:val="25056E93"/>
    <w:rsid w:val="25092EBA"/>
    <w:rsid w:val="2517302D"/>
    <w:rsid w:val="25241020"/>
    <w:rsid w:val="25256978"/>
    <w:rsid w:val="25302410"/>
    <w:rsid w:val="257572C3"/>
    <w:rsid w:val="25790E85"/>
    <w:rsid w:val="25972C60"/>
    <w:rsid w:val="25974C6F"/>
    <w:rsid w:val="259D1676"/>
    <w:rsid w:val="25A353EB"/>
    <w:rsid w:val="25A42DB7"/>
    <w:rsid w:val="25B87B65"/>
    <w:rsid w:val="25C73059"/>
    <w:rsid w:val="25CB78C3"/>
    <w:rsid w:val="25D54390"/>
    <w:rsid w:val="261879A7"/>
    <w:rsid w:val="261A071C"/>
    <w:rsid w:val="264B0BA4"/>
    <w:rsid w:val="264F4111"/>
    <w:rsid w:val="265E0AEC"/>
    <w:rsid w:val="2661459D"/>
    <w:rsid w:val="268C5256"/>
    <w:rsid w:val="268E455B"/>
    <w:rsid w:val="26912B30"/>
    <w:rsid w:val="269772F0"/>
    <w:rsid w:val="26997893"/>
    <w:rsid w:val="26A30712"/>
    <w:rsid w:val="26AC0C27"/>
    <w:rsid w:val="26C807A6"/>
    <w:rsid w:val="26D1527F"/>
    <w:rsid w:val="26DB67BA"/>
    <w:rsid w:val="26E01966"/>
    <w:rsid w:val="26E311CD"/>
    <w:rsid w:val="26E710B9"/>
    <w:rsid w:val="26EF24ED"/>
    <w:rsid w:val="26F1408A"/>
    <w:rsid w:val="26F96584"/>
    <w:rsid w:val="27015370"/>
    <w:rsid w:val="270B421F"/>
    <w:rsid w:val="270D3C72"/>
    <w:rsid w:val="273902E6"/>
    <w:rsid w:val="274E2228"/>
    <w:rsid w:val="27517A93"/>
    <w:rsid w:val="275E53AF"/>
    <w:rsid w:val="276658E8"/>
    <w:rsid w:val="276F6846"/>
    <w:rsid w:val="277E30D2"/>
    <w:rsid w:val="27803F2A"/>
    <w:rsid w:val="27983FEE"/>
    <w:rsid w:val="27A34941"/>
    <w:rsid w:val="27EE3A7B"/>
    <w:rsid w:val="282E4F00"/>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5029E3"/>
    <w:rsid w:val="29543A59"/>
    <w:rsid w:val="2969197F"/>
    <w:rsid w:val="29746E87"/>
    <w:rsid w:val="297C03C2"/>
    <w:rsid w:val="299573AB"/>
    <w:rsid w:val="29BE5BD0"/>
    <w:rsid w:val="29C01572"/>
    <w:rsid w:val="29CA4207"/>
    <w:rsid w:val="29E74CE2"/>
    <w:rsid w:val="29F80F19"/>
    <w:rsid w:val="2A133E00"/>
    <w:rsid w:val="2A1F3889"/>
    <w:rsid w:val="2A241B69"/>
    <w:rsid w:val="2A306A36"/>
    <w:rsid w:val="2A5372C6"/>
    <w:rsid w:val="2A5B03D8"/>
    <w:rsid w:val="2A6F6D07"/>
    <w:rsid w:val="2A7C3754"/>
    <w:rsid w:val="2A882500"/>
    <w:rsid w:val="2A9E191C"/>
    <w:rsid w:val="2AA35184"/>
    <w:rsid w:val="2AAB4E76"/>
    <w:rsid w:val="2AB63ABC"/>
    <w:rsid w:val="2AB63D0A"/>
    <w:rsid w:val="2AEA74E5"/>
    <w:rsid w:val="2B003D00"/>
    <w:rsid w:val="2B065713"/>
    <w:rsid w:val="2B074D5E"/>
    <w:rsid w:val="2B0D4CF3"/>
    <w:rsid w:val="2B100BA9"/>
    <w:rsid w:val="2B1B5825"/>
    <w:rsid w:val="2B1E3AFC"/>
    <w:rsid w:val="2B5621F6"/>
    <w:rsid w:val="2B8D373E"/>
    <w:rsid w:val="2B9E4F56"/>
    <w:rsid w:val="2BDB5A88"/>
    <w:rsid w:val="2BE91C37"/>
    <w:rsid w:val="2BEC3F72"/>
    <w:rsid w:val="2C083572"/>
    <w:rsid w:val="2C185F94"/>
    <w:rsid w:val="2C1F1AC4"/>
    <w:rsid w:val="2C212F25"/>
    <w:rsid w:val="2C2945BA"/>
    <w:rsid w:val="2C2E71FC"/>
    <w:rsid w:val="2C3F3A41"/>
    <w:rsid w:val="2C4431C4"/>
    <w:rsid w:val="2C62059F"/>
    <w:rsid w:val="2C6634FA"/>
    <w:rsid w:val="2C895082"/>
    <w:rsid w:val="2C8F5C76"/>
    <w:rsid w:val="2CA25191"/>
    <w:rsid w:val="2CAC022C"/>
    <w:rsid w:val="2CC11807"/>
    <w:rsid w:val="2CF16074"/>
    <w:rsid w:val="2CF81D1B"/>
    <w:rsid w:val="2CFA7341"/>
    <w:rsid w:val="2D0B6CAA"/>
    <w:rsid w:val="2D3227EF"/>
    <w:rsid w:val="2D3F2453"/>
    <w:rsid w:val="2D710576"/>
    <w:rsid w:val="2D835174"/>
    <w:rsid w:val="2D9331F9"/>
    <w:rsid w:val="2D984D48"/>
    <w:rsid w:val="2DA13167"/>
    <w:rsid w:val="2DD90B7B"/>
    <w:rsid w:val="2DDD3FC1"/>
    <w:rsid w:val="2DF701D8"/>
    <w:rsid w:val="2DF970A1"/>
    <w:rsid w:val="2E085834"/>
    <w:rsid w:val="2E1034F8"/>
    <w:rsid w:val="2E112405"/>
    <w:rsid w:val="2E120D8E"/>
    <w:rsid w:val="2E187C37"/>
    <w:rsid w:val="2E443652"/>
    <w:rsid w:val="2E505773"/>
    <w:rsid w:val="2E5B7B24"/>
    <w:rsid w:val="2E742F70"/>
    <w:rsid w:val="2E9A689E"/>
    <w:rsid w:val="2ED61D9E"/>
    <w:rsid w:val="2EDC2A13"/>
    <w:rsid w:val="2EE87609"/>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6C7DC6"/>
    <w:rsid w:val="3083092C"/>
    <w:rsid w:val="30930D2E"/>
    <w:rsid w:val="30B31E99"/>
    <w:rsid w:val="30B8125D"/>
    <w:rsid w:val="30BF439A"/>
    <w:rsid w:val="30CF6A37"/>
    <w:rsid w:val="30D250CF"/>
    <w:rsid w:val="31002970"/>
    <w:rsid w:val="311016AD"/>
    <w:rsid w:val="3136622A"/>
    <w:rsid w:val="3139422E"/>
    <w:rsid w:val="31496359"/>
    <w:rsid w:val="314D19A6"/>
    <w:rsid w:val="316177A4"/>
    <w:rsid w:val="31700E4B"/>
    <w:rsid w:val="3172683C"/>
    <w:rsid w:val="31926D6A"/>
    <w:rsid w:val="319553BB"/>
    <w:rsid w:val="31A359FC"/>
    <w:rsid w:val="31AD0D61"/>
    <w:rsid w:val="31CD297B"/>
    <w:rsid w:val="31CD73BD"/>
    <w:rsid w:val="31D66571"/>
    <w:rsid w:val="31DB4220"/>
    <w:rsid w:val="31DC56CD"/>
    <w:rsid w:val="31E63B94"/>
    <w:rsid w:val="31F27AF7"/>
    <w:rsid w:val="31FA74CA"/>
    <w:rsid w:val="32176602"/>
    <w:rsid w:val="322A7699"/>
    <w:rsid w:val="322B25C6"/>
    <w:rsid w:val="32422E70"/>
    <w:rsid w:val="32504853"/>
    <w:rsid w:val="325E56C6"/>
    <w:rsid w:val="3264344B"/>
    <w:rsid w:val="3275698A"/>
    <w:rsid w:val="327E7808"/>
    <w:rsid w:val="32A93829"/>
    <w:rsid w:val="32B2653D"/>
    <w:rsid w:val="32B943EC"/>
    <w:rsid w:val="32DC63A0"/>
    <w:rsid w:val="32E429C1"/>
    <w:rsid w:val="330503EE"/>
    <w:rsid w:val="334045BE"/>
    <w:rsid w:val="33414B88"/>
    <w:rsid w:val="33435756"/>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A1C51"/>
    <w:rsid w:val="347D373F"/>
    <w:rsid w:val="348A30EF"/>
    <w:rsid w:val="348E67B1"/>
    <w:rsid w:val="34922A93"/>
    <w:rsid w:val="34956481"/>
    <w:rsid w:val="34A35871"/>
    <w:rsid w:val="34C06C9D"/>
    <w:rsid w:val="34C97EF6"/>
    <w:rsid w:val="34D97B55"/>
    <w:rsid w:val="34DF24AE"/>
    <w:rsid w:val="351C4931"/>
    <w:rsid w:val="351C4EAC"/>
    <w:rsid w:val="351D4C26"/>
    <w:rsid w:val="352E7D40"/>
    <w:rsid w:val="35361A77"/>
    <w:rsid w:val="35461A22"/>
    <w:rsid w:val="35483CC9"/>
    <w:rsid w:val="3578502D"/>
    <w:rsid w:val="35A815CB"/>
    <w:rsid w:val="35A85BD0"/>
    <w:rsid w:val="35AA1B9C"/>
    <w:rsid w:val="35DB09A6"/>
    <w:rsid w:val="36080591"/>
    <w:rsid w:val="3609472F"/>
    <w:rsid w:val="36203B2D"/>
    <w:rsid w:val="36371A8D"/>
    <w:rsid w:val="364D6D69"/>
    <w:rsid w:val="369B4CF0"/>
    <w:rsid w:val="36C7044C"/>
    <w:rsid w:val="36D62629"/>
    <w:rsid w:val="36D76172"/>
    <w:rsid w:val="36D84407"/>
    <w:rsid w:val="36E833BB"/>
    <w:rsid w:val="36EB1E1B"/>
    <w:rsid w:val="36F17F0D"/>
    <w:rsid w:val="37224581"/>
    <w:rsid w:val="37265173"/>
    <w:rsid w:val="3735197D"/>
    <w:rsid w:val="373756A2"/>
    <w:rsid w:val="373A6E70"/>
    <w:rsid w:val="375E0DA6"/>
    <w:rsid w:val="377639AE"/>
    <w:rsid w:val="378B61A6"/>
    <w:rsid w:val="37B90F0B"/>
    <w:rsid w:val="37CD3F98"/>
    <w:rsid w:val="37DF75BA"/>
    <w:rsid w:val="37E148E2"/>
    <w:rsid w:val="37F848EE"/>
    <w:rsid w:val="37F912FC"/>
    <w:rsid w:val="38304889"/>
    <w:rsid w:val="3836588A"/>
    <w:rsid w:val="38382675"/>
    <w:rsid w:val="383B7B0D"/>
    <w:rsid w:val="3848553B"/>
    <w:rsid w:val="384A4E91"/>
    <w:rsid w:val="3851700B"/>
    <w:rsid w:val="385246B6"/>
    <w:rsid w:val="3876113B"/>
    <w:rsid w:val="388E7474"/>
    <w:rsid w:val="38975F3A"/>
    <w:rsid w:val="38A53DB7"/>
    <w:rsid w:val="38BF3388"/>
    <w:rsid w:val="38CC268D"/>
    <w:rsid w:val="38DF1FDA"/>
    <w:rsid w:val="38EC2960"/>
    <w:rsid w:val="38F372D7"/>
    <w:rsid w:val="39030CF9"/>
    <w:rsid w:val="39091F35"/>
    <w:rsid w:val="392536E2"/>
    <w:rsid w:val="393D2C48"/>
    <w:rsid w:val="39465F15"/>
    <w:rsid w:val="39505209"/>
    <w:rsid w:val="395B4E7C"/>
    <w:rsid w:val="396453C5"/>
    <w:rsid w:val="397D6458"/>
    <w:rsid w:val="39922CCF"/>
    <w:rsid w:val="39A65327"/>
    <w:rsid w:val="39A65C9B"/>
    <w:rsid w:val="39BC5ED6"/>
    <w:rsid w:val="39D27231"/>
    <w:rsid w:val="39EB39E0"/>
    <w:rsid w:val="39EF02D4"/>
    <w:rsid w:val="3A11342A"/>
    <w:rsid w:val="3A153110"/>
    <w:rsid w:val="3A2149EA"/>
    <w:rsid w:val="3A2507C0"/>
    <w:rsid w:val="3A285AD8"/>
    <w:rsid w:val="3A393FA7"/>
    <w:rsid w:val="3A3A5A22"/>
    <w:rsid w:val="3A3C6A5B"/>
    <w:rsid w:val="3A4122C4"/>
    <w:rsid w:val="3A524858"/>
    <w:rsid w:val="3A64203E"/>
    <w:rsid w:val="3A663D00"/>
    <w:rsid w:val="3A7428D0"/>
    <w:rsid w:val="3A7667C1"/>
    <w:rsid w:val="3A923AE4"/>
    <w:rsid w:val="3AA50E25"/>
    <w:rsid w:val="3AC566E3"/>
    <w:rsid w:val="3AD6747A"/>
    <w:rsid w:val="3AD95C48"/>
    <w:rsid w:val="3B283FEC"/>
    <w:rsid w:val="3B312338"/>
    <w:rsid w:val="3B3C5B77"/>
    <w:rsid w:val="3B3D0FF2"/>
    <w:rsid w:val="3B521A18"/>
    <w:rsid w:val="3B675BA4"/>
    <w:rsid w:val="3B8D2B96"/>
    <w:rsid w:val="3B923660"/>
    <w:rsid w:val="3BCA44BE"/>
    <w:rsid w:val="3BDA1A6F"/>
    <w:rsid w:val="3BF13876"/>
    <w:rsid w:val="3C061F3A"/>
    <w:rsid w:val="3C0A04F9"/>
    <w:rsid w:val="3C495480"/>
    <w:rsid w:val="3C4C3A42"/>
    <w:rsid w:val="3C6F0167"/>
    <w:rsid w:val="3C71667B"/>
    <w:rsid w:val="3C914F3B"/>
    <w:rsid w:val="3CB63D30"/>
    <w:rsid w:val="3CC17F13"/>
    <w:rsid w:val="3CD50B40"/>
    <w:rsid w:val="3CDE4B5C"/>
    <w:rsid w:val="3CE320A3"/>
    <w:rsid w:val="3CE9196C"/>
    <w:rsid w:val="3CF15105"/>
    <w:rsid w:val="3D0C04B9"/>
    <w:rsid w:val="3D1414C5"/>
    <w:rsid w:val="3D1C763E"/>
    <w:rsid w:val="3D201AA5"/>
    <w:rsid w:val="3D2B37EA"/>
    <w:rsid w:val="3D2F7FF3"/>
    <w:rsid w:val="3D3D1507"/>
    <w:rsid w:val="3D62085B"/>
    <w:rsid w:val="3D6B12FD"/>
    <w:rsid w:val="3D7B4622"/>
    <w:rsid w:val="3D7E0C18"/>
    <w:rsid w:val="3D8E5820"/>
    <w:rsid w:val="3D942E29"/>
    <w:rsid w:val="3DA53531"/>
    <w:rsid w:val="3DB54E0C"/>
    <w:rsid w:val="3DB900C1"/>
    <w:rsid w:val="3DE91725"/>
    <w:rsid w:val="3DF159B1"/>
    <w:rsid w:val="3E1A106E"/>
    <w:rsid w:val="3E2C2376"/>
    <w:rsid w:val="3E36303B"/>
    <w:rsid w:val="3E3A1504"/>
    <w:rsid w:val="3E526044"/>
    <w:rsid w:val="3E5C591E"/>
    <w:rsid w:val="3E6C2B3A"/>
    <w:rsid w:val="3E8C5311"/>
    <w:rsid w:val="3E8E7E55"/>
    <w:rsid w:val="3EB61473"/>
    <w:rsid w:val="3EC66011"/>
    <w:rsid w:val="3ED47298"/>
    <w:rsid w:val="3ED75B7F"/>
    <w:rsid w:val="3F066411"/>
    <w:rsid w:val="3F1E0830"/>
    <w:rsid w:val="3F315E6B"/>
    <w:rsid w:val="3F5175E2"/>
    <w:rsid w:val="3F56276A"/>
    <w:rsid w:val="3F6C10E0"/>
    <w:rsid w:val="3F963015"/>
    <w:rsid w:val="3F964D35"/>
    <w:rsid w:val="3FA327ED"/>
    <w:rsid w:val="3FB11738"/>
    <w:rsid w:val="3FB5581B"/>
    <w:rsid w:val="3FC33D05"/>
    <w:rsid w:val="3FF46B18"/>
    <w:rsid w:val="3FF74A2E"/>
    <w:rsid w:val="3FF878C8"/>
    <w:rsid w:val="3FFC36E2"/>
    <w:rsid w:val="3FFE0221"/>
    <w:rsid w:val="4005572D"/>
    <w:rsid w:val="402833BA"/>
    <w:rsid w:val="40283C2B"/>
    <w:rsid w:val="4030069C"/>
    <w:rsid w:val="40394FD1"/>
    <w:rsid w:val="40425879"/>
    <w:rsid w:val="405C1C05"/>
    <w:rsid w:val="407231D7"/>
    <w:rsid w:val="40765D15"/>
    <w:rsid w:val="407B4FC1"/>
    <w:rsid w:val="407F2DE9"/>
    <w:rsid w:val="40805505"/>
    <w:rsid w:val="40920B61"/>
    <w:rsid w:val="4096632A"/>
    <w:rsid w:val="40991379"/>
    <w:rsid w:val="409B3C3D"/>
    <w:rsid w:val="40DE6ABE"/>
    <w:rsid w:val="40F701DF"/>
    <w:rsid w:val="40FD480A"/>
    <w:rsid w:val="412A32F8"/>
    <w:rsid w:val="417F433E"/>
    <w:rsid w:val="419C4043"/>
    <w:rsid w:val="41B55B4E"/>
    <w:rsid w:val="41B7239D"/>
    <w:rsid w:val="41F30347"/>
    <w:rsid w:val="41FF3845"/>
    <w:rsid w:val="421104A9"/>
    <w:rsid w:val="42143B88"/>
    <w:rsid w:val="42164586"/>
    <w:rsid w:val="424E37D0"/>
    <w:rsid w:val="425B5DD1"/>
    <w:rsid w:val="4260300C"/>
    <w:rsid w:val="42755200"/>
    <w:rsid w:val="42772802"/>
    <w:rsid w:val="427C799E"/>
    <w:rsid w:val="42800B9B"/>
    <w:rsid w:val="4281223D"/>
    <w:rsid w:val="42862F6A"/>
    <w:rsid w:val="42A06B6C"/>
    <w:rsid w:val="42A27996"/>
    <w:rsid w:val="42A32246"/>
    <w:rsid w:val="42AA04E2"/>
    <w:rsid w:val="42EA5650"/>
    <w:rsid w:val="431408DA"/>
    <w:rsid w:val="4324050A"/>
    <w:rsid w:val="4331401E"/>
    <w:rsid w:val="433E3844"/>
    <w:rsid w:val="43486FC5"/>
    <w:rsid w:val="43591DDA"/>
    <w:rsid w:val="435A0DF2"/>
    <w:rsid w:val="436C23B1"/>
    <w:rsid w:val="436C42E1"/>
    <w:rsid w:val="43747266"/>
    <w:rsid w:val="437C210F"/>
    <w:rsid w:val="43847F02"/>
    <w:rsid w:val="438F113C"/>
    <w:rsid w:val="43911962"/>
    <w:rsid w:val="439E7EFB"/>
    <w:rsid w:val="43B1568A"/>
    <w:rsid w:val="43B64E08"/>
    <w:rsid w:val="43BD7F58"/>
    <w:rsid w:val="43D43ECA"/>
    <w:rsid w:val="43DD452F"/>
    <w:rsid w:val="43DE6CD4"/>
    <w:rsid w:val="43E51150"/>
    <w:rsid w:val="43EF28BB"/>
    <w:rsid w:val="43EF56D3"/>
    <w:rsid w:val="43F47D80"/>
    <w:rsid w:val="44095C00"/>
    <w:rsid w:val="440A6FD2"/>
    <w:rsid w:val="44366C11"/>
    <w:rsid w:val="444946CA"/>
    <w:rsid w:val="444B3F54"/>
    <w:rsid w:val="4476661F"/>
    <w:rsid w:val="447E3AC5"/>
    <w:rsid w:val="44805ED4"/>
    <w:rsid w:val="448E5DEE"/>
    <w:rsid w:val="44A90BAA"/>
    <w:rsid w:val="44B24A20"/>
    <w:rsid w:val="44BC0BEE"/>
    <w:rsid w:val="44BF6C07"/>
    <w:rsid w:val="44C55A88"/>
    <w:rsid w:val="44E1778F"/>
    <w:rsid w:val="44EB79FC"/>
    <w:rsid w:val="44FB1C9C"/>
    <w:rsid w:val="4513485D"/>
    <w:rsid w:val="45182E8B"/>
    <w:rsid w:val="45392A13"/>
    <w:rsid w:val="453E3FCF"/>
    <w:rsid w:val="454F1836"/>
    <w:rsid w:val="45887B45"/>
    <w:rsid w:val="458B66DF"/>
    <w:rsid w:val="45907929"/>
    <w:rsid w:val="45940F0E"/>
    <w:rsid w:val="45AC5DBA"/>
    <w:rsid w:val="45B544A8"/>
    <w:rsid w:val="45C647AF"/>
    <w:rsid w:val="45DD529D"/>
    <w:rsid w:val="45E57886"/>
    <w:rsid w:val="45E945CC"/>
    <w:rsid w:val="45FB77CB"/>
    <w:rsid w:val="46003076"/>
    <w:rsid w:val="46026F63"/>
    <w:rsid w:val="46064E68"/>
    <w:rsid w:val="46177E29"/>
    <w:rsid w:val="46205B7F"/>
    <w:rsid w:val="464C41E4"/>
    <w:rsid w:val="465D501C"/>
    <w:rsid w:val="466367DB"/>
    <w:rsid w:val="46686D18"/>
    <w:rsid w:val="466D15DA"/>
    <w:rsid w:val="46BF7E28"/>
    <w:rsid w:val="46C3037C"/>
    <w:rsid w:val="46D06EA9"/>
    <w:rsid w:val="46FF15E0"/>
    <w:rsid w:val="4700581C"/>
    <w:rsid w:val="4702516A"/>
    <w:rsid w:val="470B38B4"/>
    <w:rsid w:val="470D5A07"/>
    <w:rsid w:val="474A4B33"/>
    <w:rsid w:val="47665A15"/>
    <w:rsid w:val="47677941"/>
    <w:rsid w:val="477F1660"/>
    <w:rsid w:val="4788232A"/>
    <w:rsid w:val="478B0398"/>
    <w:rsid w:val="478F5D0B"/>
    <w:rsid w:val="47A31F5F"/>
    <w:rsid w:val="47A81BD4"/>
    <w:rsid w:val="47A84BA6"/>
    <w:rsid w:val="47B52444"/>
    <w:rsid w:val="47B8724E"/>
    <w:rsid w:val="47CE2A93"/>
    <w:rsid w:val="47ED7BCA"/>
    <w:rsid w:val="48016F34"/>
    <w:rsid w:val="480556DB"/>
    <w:rsid w:val="48185C56"/>
    <w:rsid w:val="48315726"/>
    <w:rsid w:val="48450F81"/>
    <w:rsid w:val="484E729D"/>
    <w:rsid w:val="48566773"/>
    <w:rsid w:val="485A23C2"/>
    <w:rsid w:val="48A16B62"/>
    <w:rsid w:val="48BC6222"/>
    <w:rsid w:val="48C245E9"/>
    <w:rsid w:val="48DB312A"/>
    <w:rsid w:val="48DF49D9"/>
    <w:rsid w:val="492108CC"/>
    <w:rsid w:val="49413F52"/>
    <w:rsid w:val="494F6304"/>
    <w:rsid w:val="499C5BF0"/>
    <w:rsid w:val="49C36851"/>
    <w:rsid w:val="4A05334F"/>
    <w:rsid w:val="4A244932"/>
    <w:rsid w:val="4A2922C8"/>
    <w:rsid w:val="4A4117B2"/>
    <w:rsid w:val="4A4A6F73"/>
    <w:rsid w:val="4A7638C4"/>
    <w:rsid w:val="4A7A4350"/>
    <w:rsid w:val="4A7E2497"/>
    <w:rsid w:val="4A896826"/>
    <w:rsid w:val="4A9E2E1A"/>
    <w:rsid w:val="4ABF5E17"/>
    <w:rsid w:val="4AD52CE0"/>
    <w:rsid w:val="4AE01A66"/>
    <w:rsid w:val="4AE104D6"/>
    <w:rsid w:val="4AE724D1"/>
    <w:rsid w:val="4AE77140"/>
    <w:rsid w:val="4AEA4061"/>
    <w:rsid w:val="4AED707B"/>
    <w:rsid w:val="4AFA2F07"/>
    <w:rsid w:val="4B015D61"/>
    <w:rsid w:val="4B0B7979"/>
    <w:rsid w:val="4B1530DD"/>
    <w:rsid w:val="4B18128E"/>
    <w:rsid w:val="4B1F21AD"/>
    <w:rsid w:val="4B520DF4"/>
    <w:rsid w:val="4B603107"/>
    <w:rsid w:val="4B8E10E1"/>
    <w:rsid w:val="4B906C07"/>
    <w:rsid w:val="4B9802B0"/>
    <w:rsid w:val="4B9E65BE"/>
    <w:rsid w:val="4B9F33A8"/>
    <w:rsid w:val="4BA80AFD"/>
    <w:rsid w:val="4BB033BA"/>
    <w:rsid w:val="4BB469AD"/>
    <w:rsid w:val="4BC06040"/>
    <w:rsid w:val="4BC12CC7"/>
    <w:rsid w:val="4BF441D2"/>
    <w:rsid w:val="4BFA1C12"/>
    <w:rsid w:val="4C0A4C0B"/>
    <w:rsid w:val="4C1C2A09"/>
    <w:rsid w:val="4C423098"/>
    <w:rsid w:val="4C694192"/>
    <w:rsid w:val="4C6F7406"/>
    <w:rsid w:val="4C7964D9"/>
    <w:rsid w:val="4C9269F6"/>
    <w:rsid w:val="4CA5340D"/>
    <w:rsid w:val="4CB46925"/>
    <w:rsid w:val="4CC84335"/>
    <w:rsid w:val="4CE9350A"/>
    <w:rsid w:val="4D225F85"/>
    <w:rsid w:val="4D297BF3"/>
    <w:rsid w:val="4D2D0EAF"/>
    <w:rsid w:val="4D795A49"/>
    <w:rsid w:val="4D7F0082"/>
    <w:rsid w:val="4D896004"/>
    <w:rsid w:val="4D8F3087"/>
    <w:rsid w:val="4D952FD9"/>
    <w:rsid w:val="4D970662"/>
    <w:rsid w:val="4DB33393"/>
    <w:rsid w:val="4DBC3CE3"/>
    <w:rsid w:val="4DCB51C5"/>
    <w:rsid w:val="4DCF1E0D"/>
    <w:rsid w:val="4DD632D9"/>
    <w:rsid w:val="4DE05D9E"/>
    <w:rsid w:val="4DE05DF9"/>
    <w:rsid w:val="4DE44800"/>
    <w:rsid w:val="4DEE0709"/>
    <w:rsid w:val="4DEF62A5"/>
    <w:rsid w:val="4DFC14EA"/>
    <w:rsid w:val="4DFF6815"/>
    <w:rsid w:val="4E0A3427"/>
    <w:rsid w:val="4E2423AC"/>
    <w:rsid w:val="4E287F63"/>
    <w:rsid w:val="4E2F6BAB"/>
    <w:rsid w:val="4E304B5D"/>
    <w:rsid w:val="4E611B8B"/>
    <w:rsid w:val="4E6279D7"/>
    <w:rsid w:val="4E656129"/>
    <w:rsid w:val="4E682F8C"/>
    <w:rsid w:val="4E6A7BB7"/>
    <w:rsid w:val="4E7E1A15"/>
    <w:rsid w:val="4EB23220"/>
    <w:rsid w:val="4EB36263"/>
    <w:rsid w:val="4EFC61EA"/>
    <w:rsid w:val="4F0773B4"/>
    <w:rsid w:val="4F307BB1"/>
    <w:rsid w:val="4F3D562D"/>
    <w:rsid w:val="4F4C553B"/>
    <w:rsid w:val="4F5C4EE0"/>
    <w:rsid w:val="4F654179"/>
    <w:rsid w:val="4F6E1972"/>
    <w:rsid w:val="4F943166"/>
    <w:rsid w:val="4F9C19A5"/>
    <w:rsid w:val="4FBA02A1"/>
    <w:rsid w:val="4FE7106E"/>
    <w:rsid w:val="50053943"/>
    <w:rsid w:val="50374A3C"/>
    <w:rsid w:val="50550E55"/>
    <w:rsid w:val="50642410"/>
    <w:rsid w:val="506A211C"/>
    <w:rsid w:val="50901457"/>
    <w:rsid w:val="509F43E4"/>
    <w:rsid w:val="50A54D3E"/>
    <w:rsid w:val="50A73F8D"/>
    <w:rsid w:val="50B82E88"/>
    <w:rsid w:val="50BB32A7"/>
    <w:rsid w:val="50F1402B"/>
    <w:rsid w:val="50FD2AD9"/>
    <w:rsid w:val="51081E85"/>
    <w:rsid w:val="51097D9A"/>
    <w:rsid w:val="51237D2E"/>
    <w:rsid w:val="515B06D0"/>
    <w:rsid w:val="51806DE7"/>
    <w:rsid w:val="51996737"/>
    <w:rsid w:val="51B408B8"/>
    <w:rsid w:val="51B80848"/>
    <w:rsid w:val="51C55131"/>
    <w:rsid w:val="51CC0868"/>
    <w:rsid w:val="51D5340F"/>
    <w:rsid w:val="520F78B1"/>
    <w:rsid w:val="52382F2A"/>
    <w:rsid w:val="52386E3D"/>
    <w:rsid w:val="523A7DD1"/>
    <w:rsid w:val="523B7711"/>
    <w:rsid w:val="5271774C"/>
    <w:rsid w:val="5275501F"/>
    <w:rsid w:val="528D7B65"/>
    <w:rsid w:val="529748EA"/>
    <w:rsid w:val="52A80CDA"/>
    <w:rsid w:val="52DE008D"/>
    <w:rsid w:val="52EE341E"/>
    <w:rsid w:val="52F37FE6"/>
    <w:rsid w:val="52FC1CAF"/>
    <w:rsid w:val="52FE08FA"/>
    <w:rsid w:val="530B071F"/>
    <w:rsid w:val="531A330F"/>
    <w:rsid w:val="532B6CAF"/>
    <w:rsid w:val="53350D91"/>
    <w:rsid w:val="53412644"/>
    <w:rsid w:val="53433903"/>
    <w:rsid w:val="53517A72"/>
    <w:rsid w:val="5361549D"/>
    <w:rsid w:val="536220DA"/>
    <w:rsid w:val="53650637"/>
    <w:rsid w:val="537155BE"/>
    <w:rsid w:val="53757C6B"/>
    <w:rsid w:val="537E1075"/>
    <w:rsid w:val="53A44D07"/>
    <w:rsid w:val="53A46AC8"/>
    <w:rsid w:val="53AB7F1F"/>
    <w:rsid w:val="53AC6F7B"/>
    <w:rsid w:val="53B67427"/>
    <w:rsid w:val="53C30FA1"/>
    <w:rsid w:val="53EB297B"/>
    <w:rsid w:val="53EC4BF7"/>
    <w:rsid w:val="53F758A1"/>
    <w:rsid w:val="540D5A7F"/>
    <w:rsid w:val="540E7263"/>
    <w:rsid w:val="542E2BC2"/>
    <w:rsid w:val="54352A96"/>
    <w:rsid w:val="544206E5"/>
    <w:rsid w:val="54447390"/>
    <w:rsid w:val="544B514D"/>
    <w:rsid w:val="545E1D01"/>
    <w:rsid w:val="54674051"/>
    <w:rsid w:val="548E63E1"/>
    <w:rsid w:val="54935B8F"/>
    <w:rsid w:val="54CC6227"/>
    <w:rsid w:val="54D10F9B"/>
    <w:rsid w:val="54D97871"/>
    <w:rsid w:val="551D586C"/>
    <w:rsid w:val="55200298"/>
    <w:rsid w:val="55335E1B"/>
    <w:rsid w:val="554B7EF0"/>
    <w:rsid w:val="556F3D99"/>
    <w:rsid w:val="55720837"/>
    <w:rsid w:val="55860894"/>
    <w:rsid w:val="558F6181"/>
    <w:rsid w:val="55B02DF1"/>
    <w:rsid w:val="55D75ED3"/>
    <w:rsid w:val="55DC290C"/>
    <w:rsid w:val="55E71B19"/>
    <w:rsid w:val="55EA5D64"/>
    <w:rsid w:val="55EC7752"/>
    <w:rsid w:val="55ED65FE"/>
    <w:rsid w:val="55F01FA1"/>
    <w:rsid w:val="55FC19B9"/>
    <w:rsid w:val="56130B60"/>
    <w:rsid w:val="564E3540"/>
    <w:rsid w:val="56586573"/>
    <w:rsid w:val="566E7A93"/>
    <w:rsid w:val="56844CEA"/>
    <w:rsid w:val="56990B7C"/>
    <w:rsid w:val="569E1126"/>
    <w:rsid w:val="56A8690E"/>
    <w:rsid w:val="56B80DEB"/>
    <w:rsid w:val="56C1680E"/>
    <w:rsid w:val="56E0560F"/>
    <w:rsid w:val="56E06E61"/>
    <w:rsid w:val="56F653FE"/>
    <w:rsid w:val="572A43B4"/>
    <w:rsid w:val="57332545"/>
    <w:rsid w:val="574448FC"/>
    <w:rsid w:val="57561D39"/>
    <w:rsid w:val="575B7AFD"/>
    <w:rsid w:val="57650F48"/>
    <w:rsid w:val="57660D3F"/>
    <w:rsid w:val="5785783C"/>
    <w:rsid w:val="57D1153D"/>
    <w:rsid w:val="57FA3774"/>
    <w:rsid w:val="58084A3C"/>
    <w:rsid w:val="582772A7"/>
    <w:rsid w:val="58531B77"/>
    <w:rsid w:val="585D2975"/>
    <w:rsid w:val="585F64F9"/>
    <w:rsid w:val="587E3341"/>
    <w:rsid w:val="587F428B"/>
    <w:rsid w:val="589F6E8B"/>
    <w:rsid w:val="58C46142"/>
    <w:rsid w:val="58CF56D8"/>
    <w:rsid w:val="58D31010"/>
    <w:rsid w:val="58D6741E"/>
    <w:rsid w:val="58DB0535"/>
    <w:rsid w:val="58E62E0E"/>
    <w:rsid w:val="58EA3D0E"/>
    <w:rsid w:val="58F24A5D"/>
    <w:rsid w:val="58F71269"/>
    <w:rsid w:val="58FE045E"/>
    <w:rsid w:val="59014CEF"/>
    <w:rsid w:val="59496557"/>
    <w:rsid w:val="5952374E"/>
    <w:rsid w:val="59561946"/>
    <w:rsid w:val="59670F51"/>
    <w:rsid w:val="596A44F9"/>
    <w:rsid w:val="596C19BB"/>
    <w:rsid w:val="59790BDB"/>
    <w:rsid w:val="597E3F42"/>
    <w:rsid w:val="598653AC"/>
    <w:rsid w:val="59AC3C86"/>
    <w:rsid w:val="59B817D3"/>
    <w:rsid w:val="59C11856"/>
    <w:rsid w:val="59D42FDA"/>
    <w:rsid w:val="59DA4E01"/>
    <w:rsid w:val="59DE7BCE"/>
    <w:rsid w:val="59E22D24"/>
    <w:rsid w:val="59F64E82"/>
    <w:rsid w:val="5A0A4306"/>
    <w:rsid w:val="5A0A5DD6"/>
    <w:rsid w:val="5A10435C"/>
    <w:rsid w:val="5A2654CC"/>
    <w:rsid w:val="5A2E4FE0"/>
    <w:rsid w:val="5A2F54BD"/>
    <w:rsid w:val="5A323A44"/>
    <w:rsid w:val="5A395E66"/>
    <w:rsid w:val="5A484352"/>
    <w:rsid w:val="5A5321A5"/>
    <w:rsid w:val="5A8734AF"/>
    <w:rsid w:val="5A9D3E45"/>
    <w:rsid w:val="5AA4101D"/>
    <w:rsid w:val="5AA63D51"/>
    <w:rsid w:val="5AB17576"/>
    <w:rsid w:val="5ABD68E6"/>
    <w:rsid w:val="5ABF73D2"/>
    <w:rsid w:val="5ACB3D8A"/>
    <w:rsid w:val="5AE1508F"/>
    <w:rsid w:val="5AE2614B"/>
    <w:rsid w:val="5AF80256"/>
    <w:rsid w:val="5B110CC9"/>
    <w:rsid w:val="5B1F7B5D"/>
    <w:rsid w:val="5B3C665E"/>
    <w:rsid w:val="5B585171"/>
    <w:rsid w:val="5B585B78"/>
    <w:rsid w:val="5B6D62B9"/>
    <w:rsid w:val="5B746CFA"/>
    <w:rsid w:val="5B9A2B59"/>
    <w:rsid w:val="5BAF4E87"/>
    <w:rsid w:val="5BC0085A"/>
    <w:rsid w:val="5BE03293"/>
    <w:rsid w:val="5BF03D58"/>
    <w:rsid w:val="5BF20AFB"/>
    <w:rsid w:val="5C1A6BB2"/>
    <w:rsid w:val="5C37233A"/>
    <w:rsid w:val="5C5355FE"/>
    <w:rsid w:val="5C5A49A5"/>
    <w:rsid w:val="5C6715FE"/>
    <w:rsid w:val="5C6F4105"/>
    <w:rsid w:val="5CBB7F6F"/>
    <w:rsid w:val="5CC248CE"/>
    <w:rsid w:val="5CFC36D5"/>
    <w:rsid w:val="5D042FB1"/>
    <w:rsid w:val="5D442CB4"/>
    <w:rsid w:val="5D564B8D"/>
    <w:rsid w:val="5D7C3F11"/>
    <w:rsid w:val="5D971C5A"/>
    <w:rsid w:val="5D99194B"/>
    <w:rsid w:val="5D9D49E0"/>
    <w:rsid w:val="5DDF1821"/>
    <w:rsid w:val="5DE2656A"/>
    <w:rsid w:val="5DEA2F91"/>
    <w:rsid w:val="5DF05F41"/>
    <w:rsid w:val="5DF94AE0"/>
    <w:rsid w:val="5DFA5883"/>
    <w:rsid w:val="5E3146A3"/>
    <w:rsid w:val="5E442F62"/>
    <w:rsid w:val="5E6A5D46"/>
    <w:rsid w:val="5E6C2C5B"/>
    <w:rsid w:val="5E6E2DD8"/>
    <w:rsid w:val="5E7251A2"/>
    <w:rsid w:val="5E7C3591"/>
    <w:rsid w:val="5E9B4E02"/>
    <w:rsid w:val="5E9D0E18"/>
    <w:rsid w:val="5EA26F25"/>
    <w:rsid w:val="5EA341D7"/>
    <w:rsid w:val="5EA755DE"/>
    <w:rsid w:val="5ED35F0E"/>
    <w:rsid w:val="5EDF7832"/>
    <w:rsid w:val="5EFC1390"/>
    <w:rsid w:val="5EFC3EB6"/>
    <w:rsid w:val="5F03335D"/>
    <w:rsid w:val="5F0368C7"/>
    <w:rsid w:val="5F1544E7"/>
    <w:rsid w:val="5F197EE8"/>
    <w:rsid w:val="5F260774"/>
    <w:rsid w:val="5F312D8D"/>
    <w:rsid w:val="5F3C4923"/>
    <w:rsid w:val="5F4160B0"/>
    <w:rsid w:val="5F5A7800"/>
    <w:rsid w:val="5F7811D3"/>
    <w:rsid w:val="5F9A65E6"/>
    <w:rsid w:val="5F9B2627"/>
    <w:rsid w:val="5FAC7B1F"/>
    <w:rsid w:val="5FB80E3D"/>
    <w:rsid w:val="5FB831B4"/>
    <w:rsid w:val="5FCD6DD5"/>
    <w:rsid w:val="5FD40999"/>
    <w:rsid w:val="5FE5522B"/>
    <w:rsid w:val="5FF03F08"/>
    <w:rsid w:val="5FF2548E"/>
    <w:rsid w:val="5FF313D3"/>
    <w:rsid w:val="602610FD"/>
    <w:rsid w:val="602808B2"/>
    <w:rsid w:val="603814FF"/>
    <w:rsid w:val="604109A8"/>
    <w:rsid w:val="604D2EC1"/>
    <w:rsid w:val="605424A1"/>
    <w:rsid w:val="605D2617"/>
    <w:rsid w:val="60616CDC"/>
    <w:rsid w:val="60624E53"/>
    <w:rsid w:val="606319E5"/>
    <w:rsid w:val="60765F74"/>
    <w:rsid w:val="607A77D8"/>
    <w:rsid w:val="607B3C50"/>
    <w:rsid w:val="608B6567"/>
    <w:rsid w:val="60AA3E6F"/>
    <w:rsid w:val="60CC028A"/>
    <w:rsid w:val="60F97872"/>
    <w:rsid w:val="60FF21D9"/>
    <w:rsid w:val="611E37D0"/>
    <w:rsid w:val="613021B3"/>
    <w:rsid w:val="61306A6A"/>
    <w:rsid w:val="613253FD"/>
    <w:rsid w:val="61421F29"/>
    <w:rsid w:val="615F4C5A"/>
    <w:rsid w:val="61614E76"/>
    <w:rsid w:val="61712185"/>
    <w:rsid w:val="618038BB"/>
    <w:rsid w:val="618B7207"/>
    <w:rsid w:val="618F19E3"/>
    <w:rsid w:val="61907E69"/>
    <w:rsid w:val="61A15272"/>
    <w:rsid w:val="61A90D68"/>
    <w:rsid w:val="61E6537B"/>
    <w:rsid w:val="62065A1D"/>
    <w:rsid w:val="621775E2"/>
    <w:rsid w:val="621C0D9D"/>
    <w:rsid w:val="622F7552"/>
    <w:rsid w:val="623600B0"/>
    <w:rsid w:val="6250406E"/>
    <w:rsid w:val="626E2769"/>
    <w:rsid w:val="627D6831"/>
    <w:rsid w:val="62811B1C"/>
    <w:rsid w:val="62A20409"/>
    <w:rsid w:val="62B54B44"/>
    <w:rsid w:val="62BB6808"/>
    <w:rsid w:val="62DD22DA"/>
    <w:rsid w:val="62E045DA"/>
    <w:rsid w:val="62E454A1"/>
    <w:rsid w:val="62F36E4C"/>
    <w:rsid w:val="62F47F8F"/>
    <w:rsid w:val="62F7233F"/>
    <w:rsid w:val="62FF66F4"/>
    <w:rsid w:val="631F3FB4"/>
    <w:rsid w:val="63387E58"/>
    <w:rsid w:val="6340438B"/>
    <w:rsid w:val="6353238E"/>
    <w:rsid w:val="63612AB8"/>
    <w:rsid w:val="6379289B"/>
    <w:rsid w:val="637D0978"/>
    <w:rsid w:val="638968B0"/>
    <w:rsid w:val="638A282C"/>
    <w:rsid w:val="63A75341"/>
    <w:rsid w:val="63A85E90"/>
    <w:rsid w:val="63A962DB"/>
    <w:rsid w:val="63AB1A91"/>
    <w:rsid w:val="63B82D47"/>
    <w:rsid w:val="63C74D38"/>
    <w:rsid w:val="63EE4692"/>
    <w:rsid w:val="63F518A5"/>
    <w:rsid w:val="63FD622D"/>
    <w:rsid w:val="640C7596"/>
    <w:rsid w:val="643F32F9"/>
    <w:rsid w:val="64582686"/>
    <w:rsid w:val="64673C87"/>
    <w:rsid w:val="64877733"/>
    <w:rsid w:val="648A0240"/>
    <w:rsid w:val="64A170D2"/>
    <w:rsid w:val="64A251DD"/>
    <w:rsid w:val="64BC182A"/>
    <w:rsid w:val="650242F0"/>
    <w:rsid w:val="65365B2B"/>
    <w:rsid w:val="653F447E"/>
    <w:rsid w:val="65542778"/>
    <w:rsid w:val="655829AF"/>
    <w:rsid w:val="656B70C3"/>
    <w:rsid w:val="65750EF0"/>
    <w:rsid w:val="658F4798"/>
    <w:rsid w:val="659B1EBA"/>
    <w:rsid w:val="65A111FA"/>
    <w:rsid w:val="65A83379"/>
    <w:rsid w:val="65B40E9C"/>
    <w:rsid w:val="65B461E9"/>
    <w:rsid w:val="65BE39A8"/>
    <w:rsid w:val="65E60404"/>
    <w:rsid w:val="65FB3FBE"/>
    <w:rsid w:val="66247D11"/>
    <w:rsid w:val="66736112"/>
    <w:rsid w:val="667F5B5B"/>
    <w:rsid w:val="668E194E"/>
    <w:rsid w:val="6694262A"/>
    <w:rsid w:val="6695111E"/>
    <w:rsid w:val="66990381"/>
    <w:rsid w:val="66B27E30"/>
    <w:rsid w:val="66B31B01"/>
    <w:rsid w:val="66CE1E80"/>
    <w:rsid w:val="66D342F2"/>
    <w:rsid w:val="66E362F9"/>
    <w:rsid w:val="66E47FD9"/>
    <w:rsid w:val="66F127F8"/>
    <w:rsid w:val="67071922"/>
    <w:rsid w:val="67084C63"/>
    <w:rsid w:val="67105DD9"/>
    <w:rsid w:val="673B73C0"/>
    <w:rsid w:val="674743C8"/>
    <w:rsid w:val="675608B6"/>
    <w:rsid w:val="67754402"/>
    <w:rsid w:val="677D54ED"/>
    <w:rsid w:val="678216A2"/>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9D7E8D"/>
    <w:rsid w:val="689E21AB"/>
    <w:rsid w:val="68A026F3"/>
    <w:rsid w:val="68AF6C13"/>
    <w:rsid w:val="68E32614"/>
    <w:rsid w:val="68F25680"/>
    <w:rsid w:val="690E07C7"/>
    <w:rsid w:val="69236A65"/>
    <w:rsid w:val="692E469B"/>
    <w:rsid w:val="69315C48"/>
    <w:rsid w:val="694019EC"/>
    <w:rsid w:val="694841AF"/>
    <w:rsid w:val="69584DB4"/>
    <w:rsid w:val="696C3D80"/>
    <w:rsid w:val="698A5EE4"/>
    <w:rsid w:val="69C811ED"/>
    <w:rsid w:val="69D33070"/>
    <w:rsid w:val="69DF102E"/>
    <w:rsid w:val="69E403F2"/>
    <w:rsid w:val="69E97E75"/>
    <w:rsid w:val="69F61ED3"/>
    <w:rsid w:val="69FB5D9E"/>
    <w:rsid w:val="69FF347E"/>
    <w:rsid w:val="69FF6FDA"/>
    <w:rsid w:val="6A1A3007"/>
    <w:rsid w:val="6A1E645E"/>
    <w:rsid w:val="6A417049"/>
    <w:rsid w:val="6A7903E5"/>
    <w:rsid w:val="6A8219B9"/>
    <w:rsid w:val="6A90057A"/>
    <w:rsid w:val="6AA03032"/>
    <w:rsid w:val="6AA86FEC"/>
    <w:rsid w:val="6AB44268"/>
    <w:rsid w:val="6AC63F9C"/>
    <w:rsid w:val="6ACB20F7"/>
    <w:rsid w:val="6ADA6AC4"/>
    <w:rsid w:val="6ADB11D6"/>
    <w:rsid w:val="6B1A2C3C"/>
    <w:rsid w:val="6B221F4E"/>
    <w:rsid w:val="6B2E623B"/>
    <w:rsid w:val="6B305A62"/>
    <w:rsid w:val="6B31644D"/>
    <w:rsid w:val="6B486C86"/>
    <w:rsid w:val="6B554C72"/>
    <w:rsid w:val="6B6E700A"/>
    <w:rsid w:val="6B774DF2"/>
    <w:rsid w:val="6B847AD7"/>
    <w:rsid w:val="6B9A2DF9"/>
    <w:rsid w:val="6BA56BC7"/>
    <w:rsid w:val="6BAC4619"/>
    <w:rsid w:val="6BC4672D"/>
    <w:rsid w:val="6BC60150"/>
    <w:rsid w:val="6BCD2823"/>
    <w:rsid w:val="6BDD15DD"/>
    <w:rsid w:val="6BDF2966"/>
    <w:rsid w:val="6BE86A5F"/>
    <w:rsid w:val="6C234DED"/>
    <w:rsid w:val="6C29198B"/>
    <w:rsid w:val="6C296590"/>
    <w:rsid w:val="6C3A67D1"/>
    <w:rsid w:val="6C3D2D5C"/>
    <w:rsid w:val="6C4800AA"/>
    <w:rsid w:val="6C4D28F8"/>
    <w:rsid w:val="6C573E9C"/>
    <w:rsid w:val="6C5C23DC"/>
    <w:rsid w:val="6C6D1126"/>
    <w:rsid w:val="6C942252"/>
    <w:rsid w:val="6C986334"/>
    <w:rsid w:val="6CA35B3A"/>
    <w:rsid w:val="6CA41A5D"/>
    <w:rsid w:val="6CA479DF"/>
    <w:rsid w:val="6CAF588C"/>
    <w:rsid w:val="6CB4638E"/>
    <w:rsid w:val="6CB53614"/>
    <w:rsid w:val="6CBF3C6A"/>
    <w:rsid w:val="6CBF5306"/>
    <w:rsid w:val="6CDC1854"/>
    <w:rsid w:val="6CE70FA1"/>
    <w:rsid w:val="6CF05300"/>
    <w:rsid w:val="6CFA6351"/>
    <w:rsid w:val="6CFC3C40"/>
    <w:rsid w:val="6D036DE1"/>
    <w:rsid w:val="6D2F6F7D"/>
    <w:rsid w:val="6D480984"/>
    <w:rsid w:val="6D612222"/>
    <w:rsid w:val="6DB13E57"/>
    <w:rsid w:val="6DC71662"/>
    <w:rsid w:val="6DC81DD9"/>
    <w:rsid w:val="6DCD5126"/>
    <w:rsid w:val="6DDB6CB0"/>
    <w:rsid w:val="6DE21877"/>
    <w:rsid w:val="6DE52ACD"/>
    <w:rsid w:val="6DFC0B44"/>
    <w:rsid w:val="6E0458E7"/>
    <w:rsid w:val="6E212037"/>
    <w:rsid w:val="6E3B221B"/>
    <w:rsid w:val="6E475779"/>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6F6C7A"/>
    <w:rsid w:val="6F8F6E20"/>
    <w:rsid w:val="6F947E4B"/>
    <w:rsid w:val="6FA30BDA"/>
    <w:rsid w:val="6FB21D4C"/>
    <w:rsid w:val="6FB45919"/>
    <w:rsid w:val="6FB80698"/>
    <w:rsid w:val="6FF33B8E"/>
    <w:rsid w:val="701021F4"/>
    <w:rsid w:val="701C29A6"/>
    <w:rsid w:val="7024611F"/>
    <w:rsid w:val="70490F4A"/>
    <w:rsid w:val="70637B96"/>
    <w:rsid w:val="706A53C9"/>
    <w:rsid w:val="70797317"/>
    <w:rsid w:val="7099044B"/>
    <w:rsid w:val="709D518F"/>
    <w:rsid w:val="70C759D3"/>
    <w:rsid w:val="70CD7E32"/>
    <w:rsid w:val="70CF2B23"/>
    <w:rsid w:val="70D70CB1"/>
    <w:rsid w:val="710952C1"/>
    <w:rsid w:val="712612F0"/>
    <w:rsid w:val="713F70AB"/>
    <w:rsid w:val="71452CD8"/>
    <w:rsid w:val="71493EAD"/>
    <w:rsid w:val="7158683A"/>
    <w:rsid w:val="715B2F52"/>
    <w:rsid w:val="7167680B"/>
    <w:rsid w:val="71764F23"/>
    <w:rsid w:val="71946576"/>
    <w:rsid w:val="71967E84"/>
    <w:rsid w:val="7197629F"/>
    <w:rsid w:val="71A61873"/>
    <w:rsid w:val="71AF4936"/>
    <w:rsid w:val="71B12351"/>
    <w:rsid w:val="71D07496"/>
    <w:rsid w:val="71D7083C"/>
    <w:rsid w:val="71D75D0F"/>
    <w:rsid w:val="721919B3"/>
    <w:rsid w:val="721A6098"/>
    <w:rsid w:val="721D18D3"/>
    <w:rsid w:val="722717C4"/>
    <w:rsid w:val="72310D1A"/>
    <w:rsid w:val="725D6B54"/>
    <w:rsid w:val="726C71D7"/>
    <w:rsid w:val="727D5888"/>
    <w:rsid w:val="72986FA0"/>
    <w:rsid w:val="72A17C99"/>
    <w:rsid w:val="72A5093A"/>
    <w:rsid w:val="72AD7197"/>
    <w:rsid w:val="72AF6F7E"/>
    <w:rsid w:val="72CD226C"/>
    <w:rsid w:val="72D37256"/>
    <w:rsid w:val="72E01973"/>
    <w:rsid w:val="73047904"/>
    <w:rsid w:val="73253EFA"/>
    <w:rsid w:val="73335F46"/>
    <w:rsid w:val="734C1A6A"/>
    <w:rsid w:val="735C5949"/>
    <w:rsid w:val="73671287"/>
    <w:rsid w:val="73737DA5"/>
    <w:rsid w:val="73740A39"/>
    <w:rsid w:val="73783823"/>
    <w:rsid w:val="73887B3E"/>
    <w:rsid w:val="73892412"/>
    <w:rsid w:val="738A5B9F"/>
    <w:rsid w:val="73AF2114"/>
    <w:rsid w:val="73D634A1"/>
    <w:rsid w:val="73E96BCA"/>
    <w:rsid w:val="73EE4A6E"/>
    <w:rsid w:val="741048BC"/>
    <w:rsid w:val="742E78D4"/>
    <w:rsid w:val="74317498"/>
    <w:rsid w:val="74335A84"/>
    <w:rsid w:val="743A6A13"/>
    <w:rsid w:val="744544E4"/>
    <w:rsid w:val="74676A28"/>
    <w:rsid w:val="747E40B6"/>
    <w:rsid w:val="74AC3224"/>
    <w:rsid w:val="74B21065"/>
    <w:rsid w:val="74BB2C83"/>
    <w:rsid w:val="74C33758"/>
    <w:rsid w:val="74DE4E5F"/>
    <w:rsid w:val="74EB54AB"/>
    <w:rsid w:val="74FF6D43"/>
    <w:rsid w:val="750201A2"/>
    <w:rsid w:val="7508020C"/>
    <w:rsid w:val="751A76AF"/>
    <w:rsid w:val="75241FEA"/>
    <w:rsid w:val="75250574"/>
    <w:rsid w:val="75464731"/>
    <w:rsid w:val="7550443E"/>
    <w:rsid w:val="755F0BCC"/>
    <w:rsid w:val="756F17F9"/>
    <w:rsid w:val="757E5B9F"/>
    <w:rsid w:val="75825461"/>
    <w:rsid w:val="75916599"/>
    <w:rsid w:val="759926FC"/>
    <w:rsid w:val="75A24276"/>
    <w:rsid w:val="75AA231D"/>
    <w:rsid w:val="75AD6340"/>
    <w:rsid w:val="75DF5F11"/>
    <w:rsid w:val="75E8633A"/>
    <w:rsid w:val="75F145C2"/>
    <w:rsid w:val="76393874"/>
    <w:rsid w:val="763F09AA"/>
    <w:rsid w:val="764F3FCC"/>
    <w:rsid w:val="7650339F"/>
    <w:rsid w:val="76603C9A"/>
    <w:rsid w:val="76832D41"/>
    <w:rsid w:val="76BB1CAB"/>
    <w:rsid w:val="76BB6A06"/>
    <w:rsid w:val="76C04050"/>
    <w:rsid w:val="76D67314"/>
    <w:rsid w:val="76E00193"/>
    <w:rsid w:val="76E65049"/>
    <w:rsid w:val="77076007"/>
    <w:rsid w:val="77413F7E"/>
    <w:rsid w:val="77464076"/>
    <w:rsid w:val="7758241F"/>
    <w:rsid w:val="777A7D22"/>
    <w:rsid w:val="77835654"/>
    <w:rsid w:val="7797109C"/>
    <w:rsid w:val="779A2A38"/>
    <w:rsid w:val="77B4450A"/>
    <w:rsid w:val="77B46E73"/>
    <w:rsid w:val="77E37A12"/>
    <w:rsid w:val="77FE3468"/>
    <w:rsid w:val="78160310"/>
    <w:rsid w:val="78250553"/>
    <w:rsid w:val="7849788F"/>
    <w:rsid w:val="784E2046"/>
    <w:rsid w:val="78546F0C"/>
    <w:rsid w:val="786778FE"/>
    <w:rsid w:val="78EE1C79"/>
    <w:rsid w:val="78F85605"/>
    <w:rsid w:val="78FA66FA"/>
    <w:rsid w:val="79424F6E"/>
    <w:rsid w:val="79586707"/>
    <w:rsid w:val="79615DEF"/>
    <w:rsid w:val="796D454F"/>
    <w:rsid w:val="797239CC"/>
    <w:rsid w:val="7978655F"/>
    <w:rsid w:val="797F54AB"/>
    <w:rsid w:val="79831473"/>
    <w:rsid w:val="79983E9C"/>
    <w:rsid w:val="7999527A"/>
    <w:rsid w:val="79AF76C5"/>
    <w:rsid w:val="79C25EE1"/>
    <w:rsid w:val="79CE2967"/>
    <w:rsid w:val="79E34934"/>
    <w:rsid w:val="79EA664C"/>
    <w:rsid w:val="79F9627A"/>
    <w:rsid w:val="79FF6948"/>
    <w:rsid w:val="7A097A01"/>
    <w:rsid w:val="7A2F3BBF"/>
    <w:rsid w:val="7A2F459A"/>
    <w:rsid w:val="7A322A39"/>
    <w:rsid w:val="7A517022"/>
    <w:rsid w:val="7A6F5001"/>
    <w:rsid w:val="7A9635B3"/>
    <w:rsid w:val="7A996FD7"/>
    <w:rsid w:val="7AA2343E"/>
    <w:rsid w:val="7AA64731"/>
    <w:rsid w:val="7AD60EB8"/>
    <w:rsid w:val="7ADA73A4"/>
    <w:rsid w:val="7AE66B99"/>
    <w:rsid w:val="7AF34646"/>
    <w:rsid w:val="7AF950F6"/>
    <w:rsid w:val="7AFE508C"/>
    <w:rsid w:val="7B0A3BCA"/>
    <w:rsid w:val="7B345AA9"/>
    <w:rsid w:val="7B4048C1"/>
    <w:rsid w:val="7B73082F"/>
    <w:rsid w:val="7B795F49"/>
    <w:rsid w:val="7B7B492E"/>
    <w:rsid w:val="7B8A743C"/>
    <w:rsid w:val="7B9A3D1D"/>
    <w:rsid w:val="7BB46FBD"/>
    <w:rsid w:val="7BC62E00"/>
    <w:rsid w:val="7BE35E2A"/>
    <w:rsid w:val="7BF538C2"/>
    <w:rsid w:val="7BF66C24"/>
    <w:rsid w:val="7BFA1CC7"/>
    <w:rsid w:val="7BFB70B3"/>
    <w:rsid w:val="7C0251DA"/>
    <w:rsid w:val="7C0E41D1"/>
    <w:rsid w:val="7C1052F2"/>
    <w:rsid w:val="7C21292C"/>
    <w:rsid w:val="7C2668D9"/>
    <w:rsid w:val="7C32497F"/>
    <w:rsid w:val="7C3C69AE"/>
    <w:rsid w:val="7C691974"/>
    <w:rsid w:val="7C8A6570"/>
    <w:rsid w:val="7C8B7390"/>
    <w:rsid w:val="7C9B0D0E"/>
    <w:rsid w:val="7CA42B03"/>
    <w:rsid w:val="7CCC5441"/>
    <w:rsid w:val="7CD2318A"/>
    <w:rsid w:val="7CD2702A"/>
    <w:rsid w:val="7CD34C42"/>
    <w:rsid w:val="7CD46B29"/>
    <w:rsid w:val="7CDE3FF9"/>
    <w:rsid w:val="7CE26EBF"/>
    <w:rsid w:val="7CEE3130"/>
    <w:rsid w:val="7D1F6674"/>
    <w:rsid w:val="7D2C615F"/>
    <w:rsid w:val="7D480B34"/>
    <w:rsid w:val="7D5C6187"/>
    <w:rsid w:val="7D777A3E"/>
    <w:rsid w:val="7D9005BC"/>
    <w:rsid w:val="7D9F0AD0"/>
    <w:rsid w:val="7DD12BB7"/>
    <w:rsid w:val="7DF223A2"/>
    <w:rsid w:val="7DF85F82"/>
    <w:rsid w:val="7DFF0955"/>
    <w:rsid w:val="7E0B750E"/>
    <w:rsid w:val="7E1939E8"/>
    <w:rsid w:val="7E2400E7"/>
    <w:rsid w:val="7E2822EA"/>
    <w:rsid w:val="7E2A20CE"/>
    <w:rsid w:val="7E355268"/>
    <w:rsid w:val="7E355A7B"/>
    <w:rsid w:val="7E40101C"/>
    <w:rsid w:val="7E455322"/>
    <w:rsid w:val="7E6E3E85"/>
    <w:rsid w:val="7E9C184B"/>
    <w:rsid w:val="7EA44387"/>
    <w:rsid w:val="7EA72948"/>
    <w:rsid w:val="7EAA0BE4"/>
    <w:rsid w:val="7EAA0FA8"/>
    <w:rsid w:val="7EB31EDB"/>
    <w:rsid w:val="7EE70CC0"/>
    <w:rsid w:val="7EEB48DB"/>
    <w:rsid w:val="7EF27444"/>
    <w:rsid w:val="7F185A04"/>
    <w:rsid w:val="7F265C58"/>
    <w:rsid w:val="7F4C4618"/>
    <w:rsid w:val="7F4D13A6"/>
    <w:rsid w:val="7F582CF2"/>
    <w:rsid w:val="7F951B40"/>
    <w:rsid w:val="7FA501CC"/>
    <w:rsid w:val="7FA820A8"/>
    <w:rsid w:val="7FB90D50"/>
    <w:rsid w:val="7FBF10B0"/>
    <w:rsid w:val="7FF302F4"/>
    <w:rsid w:val="7FFD3B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4"/>
    <w:autoRedefine/>
    <w:qFormat/>
    <w:uiPriority w:val="0"/>
  </w:style>
  <w:style w:type="paragraph" w:customStyle="1" w:styleId="4">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6"/>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autoRedefine/>
    <w:qFormat/>
    <w:uiPriority w:val="0"/>
    <w:pPr>
      <w:widowControl/>
      <w:spacing w:beforeAutospacing="1" w:afterAutospacing="1"/>
      <w:jc w:val="left"/>
    </w:pPr>
    <w:rPr>
      <w:rFonts w:ascii="宋体" w:hAnsi="宋体" w:cs="宋体"/>
      <w:kern w:val="0"/>
      <w:sz w:val="24"/>
    </w:rPr>
  </w:style>
  <w:style w:type="paragraph" w:styleId="15">
    <w:name w:val="List 2"/>
    <w:basedOn w:val="1"/>
    <w:autoRedefine/>
    <w:qFormat/>
    <w:uiPriority w:val="0"/>
    <w:pPr>
      <w:ind w:left="100" w:leftChars="200" w:hanging="200" w:hangingChars="200"/>
    </w:pPr>
  </w:style>
  <w:style w:type="paragraph" w:styleId="16">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8">
    <w:name w:val="Plain Text"/>
    <w:basedOn w:val="1"/>
    <w:autoRedefine/>
    <w:qFormat/>
    <w:uiPriority w:val="0"/>
    <w:pPr>
      <w:widowControl/>
      <w:spacing w:beforeAutospacing="1" w:afterAutospacing="1"/>
      <w:jc w:val="left"/>
    </w:pPr>
    <w:rPr>
      <w:rFonts w:ascii="宋体" w:hAnsi="宋体" w:cs="宋体"/>
      <w:kern w:val="0"/>
      <w:sz w:val="24"/>
    </w:rPr>
  </w:style>
  <w:style w:type="paragraph" w:styleId="19">
    <w:name w:val="Date"/>
    <w:basedOn w:val="1"/>
    <w:next w:val="1"/>
    <w:autoRedefine/>
    <w:qFormat/>
    <w:uiPriority w:val="0"/>
    <w:pPr>
      <w:ind w:left="100" w:leftChars="2500"/>
    </w:pPr>
    <w:rPr>
      <w:rFonts w:ascii="宋体" w:hAnsi="宋体"/>
      <w:sz w:val="28"/>
    </w:rPr>
  </w:style>
  <w:style w:type="paragraph" w:styleId="20">
    <w:name w:val="Body Text Indent 2"/>
    <w:basedOn w:val="1"/>
    <w:autoRedefine/>
    <w:qFormat/>
    <w:uiPriority w:val="0"/>
    <w:pPr>
      <w:spacing w:line="480" w:lineRule="auto"/>
      <w:ind w:left="420" w:leftChars="200"/>
    </w:pPr>
  </w:style>
  <w:style w:type="paragraph" w:styleId="21">
    <w:name w:val="footer"/>
    <w:basedOn w:val="1"/>
    <w:autoRedefine/>
    <w:qFormat/>
    <w:uiPriority w:val="0"/>
    <w:pPr>
      <w:tabs>
        <w:tab w:val="center" w:pos="4153"/>
        <w:tab w:val="right" w:pos="8306"/>
      </w:tabs>
      <w:snapToGrid w:val="0"/>
      <w:jc w:val="left"/>
    </w:pPr>
    <w:rPr>
      <w:sz w:val="18"/>
      <w:szCs w:val="18"/>
    </w:rPr>
  </w:style>
  <w:style w:type="paragraph" w:styleId="22">
    <w:name w:val="envelope return"/>
    <w:basedOn w:val="1"/>
    <w:autoRedefine/>
    <w:unhideWhenUsed/>
    <w:qFormat/>
    <w:uiPriority w:val="99"/>
    <w:pPr>
      <w:snapToGrid w:val="0"/>
    </w:pPr>
    <w:rPr>
      <w:rFonts w:ascii="Arial" w:hAnsi="Arial"/>
    </w:rPr>
  </w:style>
  <w:style w:type="paragraph" w:styleId="2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next w:val="3"/>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3"/>
    <w:next w:val="32"/>
    <w:autoRedefine/>
    <w:qFormat/>
    <w:uiPriority w:val="0"/>
    <w:pPr>
      <w:spacing w:line="360" w:lineRule="auto"/>
      <w:ind w:firstLine="420" w:firstLineChars="100"/>
    </w:pPr>
    <w:rPr>
      <w:szCs w:val="21"/>
    </w:rPr>
  </w:style>
  <w:style w:type="paragraph" w:styleId="32">
    <w:name w:val="Body Text First Indent 2"/>
    <w:basedOn w:val="14"/>
    <w:autoRedefine/>
    <w:qFormat/>
    <w:uiPriority w:val="0"/>
    <w:pPr>
      <w:ind w:firstLine="420" w:firstLineChars="200"/>
    </w:p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No Spacing1"/>
    <w:basedOn w:val="1"/>
    <w:autoRedefine/>
    <w:qFormat/>
    <w:uiPriority w:val="0"/>
    <w:pPr>
      <w:spacing w:line="400" w:lineRule="exact"/>
    </w:pPr>
    <w:rPr>
      <w:sz w:val="24"/>
    </w:rPr>
  </w:style>
  <w:style w:type="paragraph" w:customStyle="1" w:styleId="52">
    <w:name w:val="大标题"/>
    <w:basedOn w:val="1"/>
    <w:next w:val="32"/>
    <w:autoRedefine/>
    <w:qFormat/>
    <w:uiPriority w:val="0"/>
    <w:pPr>
      <w:jc w:val="center"/>
    </w:pPr>
    <w:rPr>
      <w:rFonts w:ascii="Arial" w:hAnsi="Arial"/>
      <w:b/>
      <w:sz w:val="28"/>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3"/>
    <w:autoRedefine/>
    <w:qFormat/>
    <w:uiPriority w:val="0"/>
  </w:style>
  <w:style w:type="character" w:customStyle="1" w:styleId="75">
    <w:name w:val="apple-converted-space"/>
    <w:basedOn w:val="35"/>
    <w:autoRedefine/>
    <w:qFormat/>
    <w:uiPriority w:val="0"/>
  </w:style>
  <w:style w:type="character" w:customStyle="1" w:styleId="76">
    <w:name w:val="文档结构图 Char"/>
    <w:link w:val="11"/>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table" w:customStyle="1" w:styleId="90">
    <w:name w:val="Table Normal"/>
    <w:autoRedefine/>
    <w:qFormat/>
    <w:uiPriority w:val="0"/>
    <w:tblPr>
      <w:tblCellMar>
        <w:top w:w="0" w:type="dxa"/>
        <w:left w:w="0" w:type="dxa"/>
        <w:bottom w:w="0" w:type="dxa"/>
        <w:right w:w="0" w:type="dxa"/>
      </w:tblCellMar>
    </w:tblPr>
  </w:style>
  <w:style w:type="paragraph" w:customStyle="1" w:styleId="91">
    <w:name w:val="Table Text"/>
    <w:basedOn w:val="1"/>
    <w:autoRedefine/>
    <w:semiHidden/>
    <w:qFormat/>
    <w:uiPriority w:val="0"/>
    <w:rPr>
      <w:rFonts w:ascii="宋体" w:hAnsi="宋体" w:eastAsia="宋体" w:cs="宋体"/>
      <w:sz w:val="45"/>
      <w:szCs w:val="45"/>
      <w:lang w:val="en-US" w:eastAsia="en-US" w:bidi="ar-SA"/>
    </w:rPr>
  </w:style>
  <w:style w:type="character" w:customStyle="1" w:styleId="92">
    <w:name w:val="font31"/>
    <w:basedOn w:val="35"/>
    <w:autoRedefine/>
    <w:qFormat/>
    <w:uiPriority w:val="0"/>
    <w:rPr>
      <w:rFonts w:hint="eastAsia" w:ascii="仿宋" w:hAnsi="仿宋" w:eastAsia="仿宋" w:cs="仿宋"/>
      <w:color w:val="000000"/>
      <w:sz w:val="20"/>
      <w:szCs w:val="20"/>
      <w:u w:val="none"/>
    </w:rPr>
  </w:style>
  <w:style w:type="character" w:customStyle="1" w:styleId="93">
    <w:name w:val="font41"/>
    <w:basedOn w:val="35"/>
    <w:autoRedefine/>
    <w:qFormat/>
    <w:uiPriority w:val="0"/>
    <w:rPr>
      <w:rFonts w:hint="eastAsia" w:ascii="仿宋" w:hAnsi="仿宋" w:eastAsia="仿宋" w:cs="仿宋"/>
      <w:color w:val="000000"/>
      <w:sz w:val="20"/>
      <w:szCs w:val="20"/>
      <w:u w:val="none"/>
    </w:rPr>
  </w:style>
  <w:style w:type="character" w:customStyle="1" w:styleId="94">
    <w:name w:val="font11"/>
    <w:basedOn w:val="35"/>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17767</Words>
  <Characters>18603</Characters>
  <Lines>50</Lines>
  <Paragraphs>68</Paragraphs>
  <TotalTime>0</TotalTime>
  <ScaleCrop>false</ScaleCrop>
  <LinksUpToDate>false</LinksUpToDate>
  <CharactersWithSpaces>19712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2024-09-30T01:13:08Z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0849A8822F424D99AEF8F458E08AA54F_13</vt:lpwstr>
  </property>
</Properties>
</file>