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186FAF">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000000" w:themeColor="text1"/>
          <w:sz w:val="48"/>
          <w:szCs w:val="48"/>
          <w:highlight w:val="none"/>
          <w:lang w:val="en-US" w:eastAsia="zh-CN"/>
          <w14:textFill>
            <w14:solidFill>
              <w14:schemeClr w14:val="tx1"/>
            </w14:solidFill>
          </w14:textFill>
        </w:rPr>
      </w:pPr>
      <w:bookmarkStart w:id="0" w:name="_Toc22953395"/>
      <w:bookmarkEnd w:id="0"/>
      <w:bookmarkStart w:id="1" w:name="_Toc22804073"/>
      <w:bookmarkEnd w:id="1"/>
    </w:p>
    <w:p w14:paraId="110B2BB2">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color w:val="000000" w:themeColor="text1"/>
          <w:sz w:val="44"/>
          <w:szCs w:val="44"/>
          <w:highlight w:val="none"/>
          <w:lang w:val="en-US" w:eastAsia="zh-CN"/>
          <w14:textFill>
            <w14:solidFill>
              <w14:schemeClr w14:val="tx1"/>
            </w14:solidFill>
          </w14:textFill>
        </w:rPr>
      </w:pPr>
      <w:r>
        <w:rPr>
          <w:rFonts w:hint="eastAsia" w:cs="宋体"/>
          <w:b/>
          <w:bCs/>
          <w:color w:val="000000" w:themeColor="text1"/>
          <w:sz w:val="44"/>
          <w:szCs w:val="44"/>
          <w:highlight w:val="none"/>
          <w:lang w:val="en-US" w:eastAsia="zh-CN"/>
          <w14:textFill>
            <w14:solidFill>
              <w14:schemeClr w14:val="tx1"/>
            </w14:solidFill>
          </w14:textFill>
        </w:rPr>
        <w:t>驻马店市中心医院妇儿院区超市经营权采购项目（二次）</w:t>
      </w:r>
    </w:p>
    <w:p w14:paraId="0EABF4C0">
      <w:pPr>
        <w:pStyle w:val="20"/>
        <w:bidi w:val="0"/>
        <w:jc w:val="center"/>
        <w:rPr>
          <w:rStyle w:val="45"/>
          <w:rFonts w:hint="eastAsia" w:ascii="宋体" w:hAnsi="宋体" w:eastAsia="宋体" w:cs="宋体"/>
          <w:b/>
          <w:bCs/>
          <w:color w:val="000000" w:themeColor="text1"/>
          <w:sz w:val="48"/>
          <w:szCs w:val="48"/>
          <w:highlight w:val="none"/>
          <w14:textFill>
            <w14:solidFill>
              <w14:schemeClr w14:val="tx1"/>
            </w14:solidFill>
          </w14:textFill>
        </w:rPr>
      </w:pPr>
    </w:p>
    <w:p w14:paraId="02A31A60">
      <w:pPr>
        <w:pStyle w:val="20"/>
        <w:bidi w:val="0"/>
        <w:jc w:val="center"/>
        <w:rPr>
          <w:rStyle w:val="45"/>
          <w:rFonts w:hint="eastAsia" w:ascii="宋体" w:hAnsi="宋体" w:eastAsia="宋体" w:cs="宋体"/>
          <w:b/>
          <w:bCs/>
          <w:color w:val="000000" w:themeColor="text1"/>
          <w:sz w:val="48"/>
          <w:szCs w:val="48"/>
          <w:highlight w:val="none"/>
          <w14:textFill>
            <w14:solidFill>
              <w14:schemeClr w14:val="tx1"/>
            </w14:solidFill>
          </w14:textFill>
        </w:rPr>
      </w:pPr>
    </w:p>
    <w:p w14:paraId="33B7EF57">
      <w:pPr>
        <w:pStyle w:val="20"/>
        <w:bidi w:val="0"/>
        <w:jc w:val="center"/>
        <w:rPr>
          <w:rStyle w:val="45"/>
          <w:rFonts w:hint="eastAsia" w:ascii="宋体" w:hAnsi="宋体" w:eastAsia="宋体" w:cs="宋体"/>
          <w:b/>
          <w:bCs/>
          <w:color w:val="000000" w:themeColor="text1"/>
          <w:sz w:val="48"/>
          <w:szCs w:val="48"/>
          <w:highlight w:val="none"/>
          <w14:textFill>
            <w14:solidFill>
              <w14:schemeClr w14:val="tx1"/>
            </w14:solidFill>
          </w14:textFill>
        </w:rPr>
      </w:pPr>
    </w:p>
    <w:p w14:paraId="09961048">
      <w:pPr>
        <w:pStyle w:val="20"/>
        <w:bidi w:val="0"/>
        <w:jc w:val="center"/>
        <w:rPr>
          <w:rStyle w:val="45"/>
          <w:rFonts w:hint="eastAsia" w:ascii="宋体" w:hAnsi="宋体" w:eastAsia="宋体" w:cs="宋体"/>
          <w:b/>
          <w:bCs/>
          <w:color w:val="000000" w:themeColor="text1"/>
          <w:sz w:val="48"/>
          <w:szCs w:val="48"/>
          <w:highlight w:val="none"/>
          <w14:textFill>
            <w14:solidFill>
              <w14:schemeClr w14:val="tx1"/>
            </w14:solidFill>
          </w14:textFill>
        </w:rPr>
      </w:pPr>
    </w:p>
    <w:p w14:paraId="1BD4879A">
      <w:pPr>
        <w:pStyle w:val="20"/>
        <w:bidi w:val="0"/>
        <w:jc w:val="center"/>
        <w:rPr>
          <w:rStyle w:val="45"/>
          <w:rFonts w:hint="eastAsia" w:ascii="宋体" w:hAnsi="宋体" w:eastAsia="宋体" w:cs="宋体"/>
          <w:b/>
          <w:bCs/>
          <w:color w:val="000000" w:themeColor="text1"/>
          <w:szCs w:val="44"/>
          <w:highlight w:val="none"/>
          <w14:textFill>
            <w14:solidFill>
              <w14:schemeClr w14:val="tx1"/>
            </w14:solidFill>
          </w14:textFill>
        </w:rPr>
      </w:pPr>
      <w:r>
        <w:rPr>
          <w:rStyle w:val="45"/>
          <w:rFonts w:hint="eastAsia" w:cs="宋体"/>
          <w:b/>
          <w:bCs/>
          <w:color w:val="000000" w:themeColor="text1"/>
          <w:sz w:val="72"/>
          <w:szCs w:val="72"/>
          <w:highlight w:val="none"/>
          <w:lang w:val="en-US" w:eastAsia="zh-CN"/>
          <w14:textFill>
            <w14:solidFill>
              <w14:schemeClr w14:val="tx1"/>
            </w14:solidFill>
          </w14:textFill>
        </w:rPr>
        <w:t>采购</w:t>
      </w:r>
      <w:r>
        <w:rPr>
          <w:rStyle w:val="45"/>
          <w:rFonts w:hint="eastAsia" w:ascii="宋体" w:hAnsi="宋体" w:eastAsia="宋体" w:cs="宋体"/>
          <w:b/>
          <w:bCs/>
          <w:color w:val="000000" w:themeColor="text1"/>
          <w:sz w:val="72"/>
          <w:szCs w:val="72"/>
          <w:highlight w:val="none"/>
          <w14:textFill>
            <w14:solidFill>
              <w14:schemeClr w14:val="tx1"/>
            </w14:solidFill>
          </w14:textFill>
        </w:rPr>
        <w:t>文件</w:t>
      </w:r>
    </w:p>
    <w:p w14:paraId="003D19B2">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F0D300F">
      <w:pPr>
        <w:snapToGrid w:val="0"/>
        <w:spacing w:line="38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14:paraId="3B7D1762">
      <w:pPr>
        <w:pStyle w:val="31"/>
        <w:rPr>
          <w:rFonts w:hint="eastAsia"/>
          <w:color w:val="000000" w:themeColor="text1"/>
          <w:highlight w:val="none"/>
          <w14:textFill>
            <w14:solidFill>
              <w14:schemeClr w14:val="tx1"/>
            </w14:solidFill>
          </w14:textFill>
        </w:rPr>
      </w:pPr>
    </w:p>
    <w:p w14:paraId="55C83728">
      <w:pPr>
        <w:pStyle w:val="59"/>
        <w:rPr>
          <w:rFonts w:hint="eastAsia" w:ascii="宋体" w:hAnsi="宋体" w:eastAsia="宋体" w:cs="宋体"/>
          <w:bCs/>
          <w:color w:val="000000" w:themeColor="text1"/>
          <w:sz w:val="2"/>
          <w:szCs w:val="2"/>
          <w:highlight w:val="none"/>
          <w14:textFill>
            <w14:solidFill>
              <w14:schemeClr w14:val="tx1"/>
            </w14:solidFill>
          </w14:textFill>
        </w:rPr>
      </w:pPr>
    </w:p>
    <w:p w14:paraId="4BA40E53">
      <w:pPr>
        <w:rPr>
          <w:rFonts w:hint="eastAsia" w:ascii="宋体" w:hAnsi="宋体" w:eastAsia="宋体" w:cs="宋体"/>
          <w:bCs/>
          <w:color w:val="000000" w:themeColor="text1"/>
          <w:sz w:val="2"/>
          <w:szCs w:val="2"/>
          <w:highlight w:val="none"/>
          <w14:textFill>
            <w14:solidFill>
              <w14:schemeClr w14:val="tx1"/>
            </w14:solidFill>
          </w14:textFill>
        </w:rPr>
      </w:pPr>
    </w:p>
    <w:p w14:paraId="507C59D9">
      <w:pPr>
        <w:spacing w:line="20" w:lineRule="exact"/>
        <w:rPr>
          <w:rFonts w:hint="eastAsia" w:ascii="宋体" w:hAnsi="宋体" w:eastAsia="宋体" w:cs="宋体"/>
          <w:bCs/>
          <w:color w:val="000000" w:themeColor="text1"/>
          <w:sz w:val="2"/>
          <w:szCs w:val="2"/>
          <w:highlight w:val="none"/>
          <w14:textFill>
            <w14:solidFill>
              <w14:schemeClr w14:val="tx1"/>
            </w14:solidFill>
          </w14:textFill>
        </w:rPr>
      </w:pPr>
    </w:p>
    <w:p w14:paraId="4030A6B5">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7BC749E6">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6CCE4957">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pPr>
    </w:p>
    <w:p w14:paraId="54D7A88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000000" w:themeColor="text1"/>
          <w:spacing w:val="80"/>
          <w:sz w:val="34"/>
          <w:szCs w:val="34"/>
          <w:highlight w:val="none"/>
          <w14:textFill>
            <w14:solidFill>
              <w14:schemeClr w14:val="tx1"/>
            </w14:solidFill>
          </w14:textFill>
        </w:rPr>
      </w:pPr>
      <w:r>
        <w:rPr>
          <w:rFonts w:hint="eastAsia" w:ascii="宋体" w:hAnsi="宋体" w:eastAsia="宋体" w:cs="宋体"/>
          <w:b/>
          <w:bCs/>
          <w:color w:val="000000" w:themeColor="text1"/>
          <w:spacing w:val="-10"/>
          <w:sz w:val="34"/>
          <w:szCs w:val="34"/>
          <w:highlight w:val="none"/>
          <w:lang w:val="en-US" w:eastAsia="zh-CN"/>
          <w14:textFill>
            <w14:solidFill>
              <w14:schemeClr w14:val="tx1"/>
            </w14:solidFill>
          </w14:textFill>
        </w:rPr>
        <w:t>采 购</w:t>
      </w:r>
      <w:r>
        <w:rPr>
          <w:rFonts w:hint="eastAsia" w:ascii="宋体" w:hAnsi="宋体" w:eastAsia="宋体" w:cs="宋体"/>
          <w:b/>
          <w:bCs/>
          <w:color w:val="000000" w:themeColor="text1"/>
          <w:spacing w:val="-10"/>
          <w:sz w:val="34"/>
          <w:szCs w:val="34"/>
          <w:highlight w:val="none"/>
          <w14:textFill>
            <w14:solidFill>
              <w14:schemeClr w14:val="tx1"/>
            </w14:solidFill>
          </w14:textFill>
        </w:rPr>
        <w:t xml:space="preserve"> 人：驻马店市中心医院</w:t>
      </w:r>
    </w:p>
    <w:p w14:paraId="39E58E5D">
      <w:pPr>
        <w:tabs>
          <w:tab w:val="left" w:pos="2505"/>
          <w:tab w:val="center" w:pos="4535"/>
        </w:tabs>
        <w:snapToGrid w:val="0"/>
        <w:spacing w:line="480" w:lineRule="auto"/>
        <w:jc w:val="center"/>
        <w:rPr>
          <w:rFonts w:hint="eastAsia" w:ascii="宋体" w:hAnsi="宋体" w:eastAsia="宋体" w:cs="宋体"/>
          <w:b/>
          <w:color w:val="000000" w:themeColor="text1"/>
          <w:sz w:val="36"/>
          <w:szCs w:val="36"/>
          <w:highlight w:val="none"/>
          <w14:textFill>
            <w14:solidFill>
              <w14:schemeClr w14:val="tx1"/>
            </w14:solidFill>
          </w14:textFill>
        </w:rPr>
        <w:sectPr>
          <w:headerReference r:id="rId3" w:type="default"/>
          <w:pgSz w:w="11923" w:h="16838"/>
          <w:pgMar w:top="1304" w:right="1587" w:bottom="992" w:left="1587" w:header="720" w:footer="720" w:gutter="0"/>
          <w:pgNumType w:fmt="decimal" w:start="1"/>
          <w:cols w:space="720" w:num="1"/>
          <w:docGrid w:type="lines" w:linePitch="312" w:charSpace="0"/>
        </w:sectPr>
      </w:pPr>
      <w:r>
        <w:rPr>
          <w:rFonts w:hint="eastAsia" w:ascii="宋体" w:hAnsi="宋体" w:eastAsia="宋体" w:cs="宋体"/>
          <w:b/>
          <w:bCs/>
          <w:color w:val="000000" w:themeColor="text1"/>
          <w:spacing w:val="40"/>
          <w:sz w:val="34"/>
          <w:szCs w:val="34"/>
          <w:highlight w:val="none"/>
          <w:lang w:val="en-US" w:eastAsia="zh-CN"/>
          <w14:textFill>
            <w14:solidFill>
              <w14:schemeClr w14:val="tx1"/>
            </w14:solidFill>
          </w14:textFill>
        </w:rPr>
        <w:t>202</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4</w:t>
      </w:r>
      <w:r>
        <w:rPr>
          <w:rFonts w:hint="eastAsia" w:ascii="宋体" w:hAnsi="宋体" w:eastAsia="宋体" w:cs="宋体"/>
          <w:b/>
          <w:bCs/>
          <w:color w:val="000000" w:themeColor="text1"/>
          <w:spacing w:val="40"/>
          <w:sz w:val="34"/>
          <w:szCs w:val="34"/>
          <w:highlight w:val="none"/>
          <w14:textFill>
            <w14:solidFill>
              <w14:schemeClr w14:val="tx1"/>
            </w14:solidFill>
          </w14:textFill>
        </w:rPr>
        <w:t>年</w:t>
      </w:r>
      <w:r>
        <w:rPr>
          <w:rFonts w:hint="eastAsia" w:ascii="宋体" w:hAnsi="宋体" w:cs="宋体"/>
          <w:b/>
          <w:bCs/>
          <w:color w:val="000000" w:themeColor="text1"/>
          <w:spacing w:val="40"/>
          <w:sz w:val="34"/>
          <w:szCs w:val="34"/>
          <w:highlight w:val="none"/>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highlight w:val="none"/>
          <w14:textFill>
            <w14:solidFill>
              <w14:schemeClr w14:val="tx1"/>
            </w14:solidFill>
          </w14:textFill>
        </w:rPr>
        <w:t>月</w:t>
      </w:r>
    </w:p>
    <w:p w14:paraId="0953AD26">
      <w:pPr>
        <w:rPr>
          <w:rFonts w:ascii="宋体" w:hAnsi="宋体"/>
          <w:bCs/>
          <w:color w:val="000000" w:themeColor="text1"/>
          <w:sz w:val="24"/>
          <w:highlight w:val="none"/>
          <w14:textFill>
            <w14:solidFill>
              <w14:schemeClr w14:val="tx1"/>
            </w14:solidFill>
          </w14:textFill>
        </w:rPr>
      </w:pPr>
    </w:p>
    <w:p w14:paraId="09A2020E">
      <w:pPr>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目录</w:t>
      </w:r>
    </w:p>
    <w:p w14:paraId="2A92CB25">
      <w:pPr>
        <w:pStyle w:val="53"/>
        <w:rPr>
          <w:color w:val="000000" w:themeColor="text1"/>
          <w:highlight w:val="none"/>
          <w14:textFill>
            <w14:solidFill>
              <w14:schemeClr w14:val="tx1"/>
            </w14:solidFill>
          </w14:textFill>
        </w:rPr>
      </w:pPr>
    </w:p>
    <w:p w14:paraId="48DF0BE1">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fldChar w:fldCharType="begin"/>
      </w:r>
      <w:r>
        <w:rPr>
          <w:rFonts w:hint="eastAsia" w:ascii="宋体" w:hAnsi="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bCs/>
          <w:color w:val="000000" w:themeColor="text1"/>
          <w:sz w:val="32"/>
          <w:szCs w:val="32"/>
          <w:highlight w:val="none"/>
          <w14:textFill>
            <w14:solidFill>
              <w14:schemeClr w14:val="tx1"/>
            </w14:solidFill>
          </w14:textFill>
        </w:rPr>
        <w:fldChar w:fldCharType="separate"/>
      </w: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_Toc22821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第一章  </w:t>
      </w:r>
      <w:r>
        <w:rPr>
          <w:rFonts w:hint="eastAsia" w:ascii="宋体" w:hAnsi="宋体"/>
          <w:color w:val="000000" w:themeColor="text1"/>
          <w:szCs w:val="32"/>
          <w:highlight w:val="none"/>
          <w:lang w:val="en-US" w:eastAsia="zh-CN"/>
          <w14:textFill>
            <w14:solidFill>
              <w14:schemeClr w14:val="tx1"/>
            </w14:solidFill>
          </w14:textFill>
        </w:rPr>
        <w:t>竞争性磋商采购</w:t>
      </w:r>
      <w:r>
        <w:rPr>
          <w:rFonts w:hint="eastAsia" w:ascii="宋体" w:hAnsi="宋体"/>
          <w:color w:val="000000" w:themeColor="text1"/>
          <w:szCs w:val="32"/>
          <w:highlight w:val="none"/>
          <w14:textFill>
            <w14:solidFill>
              <w14:schemeClr w14:val="tx1"/>
            </w14:solidFill>
          </w14:textFill>
        </w:rPr>
        <w:t>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2B414AF5">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_Toc17552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color w:val="000000" w:themeColor="text1"/>
          <w:szCs w:val="32"/>
          <w:highlight w:val="none"/>
          <w14:textFill>
            <w14:solidFill>
              <w14:schemeClr w14:val="tx1"/>
            </w14:solidFill>
          </w14:textFill>
        </w:rPr>
        <w:t xml:space="preserve">第二章  </w:t>
      </w:r>
      <w:r>
        <w:rPr>
          <w:rFonts w:hint="eastAsia" w:ascii="宋体" w:hAnsi="宋体"/>
          <w:color w:val="000000" w:themeColor="text1"/>
          <w:szCs w:val="32"/>
          <w:highlight w:val="none"/>
          <w:lang w:eastAsia="zh-CN"/>
          <w14:textFill>
            <w14:solidFill>
              <w14:schemeClr w14:val="tx1"/>
            </w14:solidFill>
          </w14:textFill>
        </w:rPr>
        <w:t>采购</w:t>
      </w:r>
      <w:r>
        <w:rPr>
          <w:rFonts w:hint="eastAsia" w:ascii="宋体" w:hAnsi="宋体"/>
          <w:color w:val="000000" w:themeColor="text1"/>
          <w:szCs w:val="32"/>
          <w:highlight w:val="none"/>
          <w14:textFill>
            <w14:solidFill>
              <w14:schemeClr w14:val="tx1"/>
            </w14:solidFill>
          </w14:textFill>
        </w:rPr>
        <w:t>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0BDC31A">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_Toc16791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bCs/>
          <w:color w:val="000000" w:themeColor="text1"/>
          <w:szCs w:val="32"/>
          <w:highlight w:val="none"/>
          <w14:textFill>
            <w14:solidFill>
              <w14:schemeClr w14:val="tx1"/>
            </w14:solidFill>
          </w14:textFill>
        </w:rPr>
        <w:t xml:space="preserve">第三章  </w:t>
      </w:r>
      <w:r>
        <w:rPr>
          <w:rFonts w:hint="eastAsia"/>
          <w:bCs/>
          <w:color w:val="000000" w:themeColor="text1"/>
          <w:szCs w:val="32"/>
          <w:highlight w:val="none"/>
          <w:lang w:eastAsia="zh-CN"/>
          <w14:textFill>
            <w14:solidFill>
              <w14:schemeClr w14:val="tx1"/>
            </w14:solidFill>
          </w14:textFill>
        </w:rPr>
        <w:t>供应商</w:t>
      </w:r>
      <w:r>
        <w:rPr>
          <w:rFonts w:hint="eastAsia"/>
          <w:bCs/>
          <w:color w:val="000000" w:themeColor="text1"/>
          <w:szCs w:val="32"/>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9B47240">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_Toc16473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ascii="宋体" w:hAnsi="宋体" w:eastAsia="宋体" w:cs="宋体"/>
          <w:bCs/>
          <w:color w:val="000000" w:themeColor="text1"/>
          <w:kern w:val="0"/>
          <w:szCs w:val="32"/>
          <w:highlight w:val="none"/>
          <w14:textFill>
            <w14:solidFill>
              <w14:schemeClr w14:val="tx1"/>
            </w14:solidFill>
          </w14:textFill>
        </w:rPr>
        <w:t>第四章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6C73EE0F">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_Toc1638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第五章  采购合同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74333FB3">
      <w:pPr>
        <w:pStyle w:val="24"/>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000000" w:themeColor="text1"/>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begin"/>
      </w:r>
      <w:r>
        <w:rPr>
          <w:rFonts w:hint="eastAsia" w:ascii="宋体" w:hAnsi="宋体" w:cs="宋体"/>
          <w:bCs/>
          <w:color w:val="000000" w:themeColor="text1"/>
          <w:szCs w:val="32"/>
          <w:highlight w:val="none"/>
          <w14:textFill>
            <w14:solidFill>
              <w14:schemeClr w14:val="tx1"/>
            </w14:solidFill>
          </w14:textFill>
        </w:rPr>
        <w:instrText xml:space="preserve"> HYPERLINK \l _Toc5963 </w:instrText>
      </w:r>
      <w:r>
        <w:rPr>
          <w:rFonts w:hint="eastAsia" w:ascii="宋体" w:hAnsi="宋体" w:cs="宋体"/>
          <w:bCs/>
          <w:color w:val="000000" w:themeColor="text1"/>
          <w:szCs w:val="32"/>
          <w:highlight w:val="none"/>
          <w14:textFill>
            <w14:solidFill>
              <w14:schemeClr w14:val="tx1"/>
            </w14:solidFill>
          </w14:textFill>
        </w:rPr>
        <w:fldChar w:fldCharType="separate"/>
      </w:r>
      <w:r>
        <w:rPr>
          <w:rFonts w:hint="eastAsia"/>
          <w:color w:val="000000" w:themeColor="text1"/>
          <w:szCs w:val="32"/>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宋体" w:hAnsi="宋体" w:cs="宋体"/>
          <w:bCs/>
          <w:color w:val="000000" w:themeColor="text1"/>
          <w:szCs w:val="32"/>
          <w:highlight w:val="none"/>
          <w14:textFill>
            <w14:solidFill>
              <w14:schemeClr w14:val="tx1"/>
            </w14:solidFill>
          </w14:textFill>
        </w:rPr>
        <w:fldChar w:fldCharType="end"/>
      </w:r>
    </w:p>
    <w:p w14:paraId="40E0B447">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Cs/>
          <w:color w:val="000000" w:themeColor="text1"/>
          <w:szCs w:val="32"/>
          <w:highlight w:val="none"/>
          <w14:textFill>
            <w14:solidFill>
              <w14:schemeClr w14:val="tx1"/>
            </w14:solidFill>
          </w14:textFill>
        </w:rPr>
        <w:fldChar w:fldCharType="end"/>
      </w:r>
    </w:p>
    <w:p w14:paraId="3C4A8579">
      <w:pPr>
        <w:spacing w:line="440" w:lineRule="exact"/>
        <w:rPr>
          <w:rFonts w:ascii="宋体" w:hAnsi="宋体"/>
          <w:b/>
          <w:color w:val="000000" w:themeColor="text1"/>
          <w:sz w:val="32"/>
          <w:szCs w:val="32"/>
          <w:highlight w:val="none"/>
          <w14:textFill>
            <w14:solidFill>
              <w14:schemeClr w14:val="tx1"/>
            </w14:solidFill>
          </w14:textFill>
        </w:rPr>
      </w:pPr>
    </w:p>
    <w:p w14:paraId="393D32A2">
      <w:pPr>
        <w:spacing w:line="360" w:lineRule="auto"/>
        <w:ind w:firstLine="2409" w:firstLineChars="600"/>
        <w:rPr>
          <w:rFonts w:ascii="宋体" w:hAnsi="宋体"/>
          <w:b/>
          <w:color w:val="000000" w:themeColor="text1"/>
          <w:sz w:val="40"/>
          <w:szCs w:val="40"/>
          <w:highlight w:val="none"/>
          <w14:textFill>
            <w14:solidFill>
              <w14:schemeClr w14:val="tx1"/>
            </w14:solidFill>
          </w14:textFill>
        </w:rPr>
        <w:sectPr>
          <w:headerReference r:id="rId4" w:type="default"/>
          <w:footerReference r:id="rId5" w:type="default"/>
          <w:pgSz w:w="11906" w:h="16838"/>
          <w:pgMar w:top="1417" w:right="1474" w:bottom="1417" w:left="1474" w:header="851" w:footer="624" w:gutter="0"/>
          <w:pgNumType w:fmt="decimal" w:start="1"/>
          <w:cols w:space="720" w:num="1"/>
          <w:docGrid w:type="lines" w:linePitch="319" w:charSpace="0"/>
        </w:sectPr>
      </w:pPr>
    </w:p>
    <w:p w14:paraId="7FDB3065">
      <w:pPr>
        <w:spacing w:line="360" w:lineRule="auto"/>
        <w:jc w:val="center"/>
        <w:outlineLvl w:val="0"/>
        <w:rPr>
          <w:rFonts w:ascii="宋体" w:hAnsi="宋体"/>
          <w:b/>
          <w:color w:val="000000" w:themeColor="text1"/>
          <w:sz w:val="32"/>
          <w:szCs w:val="32"/>
          <w:highlight w:val="none"/>
          <w14:textFill>
            <w14:solidFill>
              <w14:schemeClr w14:val="tx1"/>
            </w14:solidFill>
          </w14:textFill>
        </w:rPr>
      </w:pPr>
      <w:bookmarkStart w:id="2" w:name="_Toc22821"/>
      <w:r>
        <w:rPr>
          <w:rFonts w:hint="eastAsia" w:ascii="宋体" w:hAnsi="宋体"/>
          <w:b/>
          <w:color w:val="000000" w:themeColor="text1"/>
          <w:sz w:val="32"/>
          <w:szCs w:val="32"/>
          <w:highlight w:val="none"/>
          <w14:textFill>
            <w14:solidFill>
              <w14:schemeClr w14:val="tx1"/>
            </w14:solidFill>
          </w14:textFill>
        </w:rPr>
        <w:t xml:space="preserve">第一章  </w:t>
      </w:r>
      <w:r>
        <w:rPr>
          <w:rFonts w:hint="eastAsia" w:ascii="宋体" w:hAnsi="宋体"/>
          <w:b/>
          <w:color w:val="000000" w:themeColor="text1"/>
          <w:sz w:val="32"/>
          <w:szCs w:val="32"/>
          <w:highlight w:val="none"/>
          <w:lang w:val="en-US" w:eastAsia="zh-CN"/>
          <w14:textFill>
            <w14:solidFill>
              <w14:schemeClr w14:val="tx1"/>
            </w14:solidFill>
          </w14:textFill>
        </w:rPr>
        <w:t>竞争性磋商采购</w:t>
      </w:r>
      <w:r>
        <w:rPr>
          <w:rFonts w:hint="eastAsia" w:ascii="宋体" w:hAnsi="宋体"/>
          <w:b/>
          <w:color w:val="000000" w:themeColor="text1"/>
          <w:sz w:val="32"/>
          <w:szCs w:val="32"/>
          <w:highlight w:val="none"/>
          <w14:textFill>
            <w14:solidFill>
              <w14:schemeClr w14:val="tx1"/>
            </w14:solidFill>
          </w14:textFill>
        </w:rPr>
        <w:t>公告</w:t>
      </w:r>
      <w:bookmarkEnd w:id="2"/>
    </w:p>
    <w:p w14:paraId="4362C1E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000000" w:themeColor="text1"/>
          <w:kern w:val="0"/>
          <w:sz w:val="28"/>
          <w:szCs w:val="28"/>
          <w:highlight w:val="none"/>
          <w14:textFill>
            <w14:solidFill>
              <w14:schemeClr w14:val="tx1"/>
            </w14:solidFill>
          </w14:textFill>
        </w:rPr>
      </w:pPr>
      <w:r>
        <w:rPr>
          <w:rFonts w:hint="eastAsia" w:ascii="宋体" w:hAnsi="宋体" w:cs="宋体"/>
          <w:b/>
          <w:bCs w:val="0"/>
          <w:color w:val="000000" w:themeColor="text1"/>
          <w:kern w:val="0"/>
          <w:sz w:val="28"/>
          <w:szCs w:val="28"/>
          <w:highlight w:val="none"/>
          <w:u w:val="none"/>
          <w:lang w:val="en-US" w:eastAsia="zh-CN"/>
          <w14:textFill>
            <w14:solidFill>
              <w14:schemeClr w14:val="tx1"/>
            </w14:solidFill>
          </w14:textFill>
        </w:rPr>
        <w:t>驻马店市中心医院妇儿院区超市经营权采购项目（二次）</w:t>
      </w:r>
      <w:r>
        <w:rPr>
          <w:rFonts w:hint="eastAsia" w:ascii="宋体" w:hAnsi="宋体" w:eastAsia="宋体" w:cs="宋体"/>
          <w:b/>
          <w:bCs w:val="0"/>
          <w:color w:val="000000" w:themeColor="text1"/>
          <w:kern w:val="0"/>
          <w:sz w:val="28"/>
          <w:szCs w:val="28"/>
          <w:highlight w:val="none"/>
          <w:u w:val="none"/>
          <w:lang w:val="en-US" w:eastAsia="zh-CN"/>
          <w14:textFill>
            <w14:solidFill>
              <w14:schemeClr w14:val="tx1"/>
            </w14:solidFill>
          </w14:textFill>
        </w:rPr>
        <w:t>竞争性磋商</w:t>
      </w:r>
      <w:r>
        <w:rPr>
          <w:rFonts w:hint="eastAsia" w:ascii="宋体" w:hAnsi="宋体" w:eastAsia="宋体" w:cs="宋体"/>
          <w:b/>
          <w:bCs w:val="0"/>
          <w:color w:val="000000" w:themeColor="text1"/>
          <w:kern w:val="0"/>
          <w:sz w:val="28"/>
          <w:szCs w:val="28"/>
          <w:highlight w:val="none"/>
          <w14:textFill>
            <w14:solidFill>
              <w14:schemeClr w14:val="tx1"/>
            </w14:solidFill>
          </w14:textFill>
        </w:rPr>
        <w:t>公告</w:t>
      </w:r>
    </w:p>
    <w:p w14:paraId="029B2F9E">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lang w:eastAsia="zh-CN"/>
        </w:rPr>
        <w:t>妇儿院区超市经营权采购项目</w:t>
      </w:r>
      <w:r>
        <w:rPr>
          <w:rFonts w:hint="eastAsia" w:ascii="宋体" w:hAnsi="宋体" w:cs="宋体"/>
          <w:color w:val="auto"/>
          <w:lang w:val="en-US" w:eastAsia="zh-CN"/>
        </w:rPr>
        <w:t>（二次）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397672AB">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693018E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eastAsia="zh-CN"/>
        </w:rPr>
        <w:t>妇儿院区超市经营权采购项目（</w:t>
      </w:r>
      <w:r>
        <w:rPr>
          <w:rFonts w:hint="eastAsia" w:ascii="宋体" w:hAnsi="宋体" w:cs="宋体"/>
          <w:color w:val="auto"/>
          <w:szCs w:val="21"/>
          <w:highlight w:val="none"/>
          <w:shd w:val="clear" w:color="auto" w:fill="FFFFFF"/>
          <w:lang w:val="en-US" w:eastAsia="zh-CN"/>
        </w:rPr>
        <w:t>二次</w:t>
      </w:r>
      <w:r>
        <w:rPr>
          <w:rFonts w:hint="eastAsia" w:ascii="宋体" w:hAnsi="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eastAsia="zh-CN"/>
        </w:rPr>
        <w:t>；</w:t>
      </w:r>
    </w:p>
    <w:p w14:paraId="415694E5">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66D59C98">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26.64万元；</w:t>
      </w:r>
    </w:p>
    <w:p w14:paraId="00594A53">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：三年</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合同</w:t>
      </w:r>
      <w:r>
        <w:rPr>
          <w:rFonts w:hint="eastAsia" w:ascii="宋体" w:hAnsi="宋体" w:cs="宋体"/>
          <w:color w:val="auto"/>
          <w:szCs w:val="21"/>
          <w:highlight w:val="none"/>
          <w:shd w:val="clear" w:color="auto" w:fill="FFFFFF"/>
          <w:lang w:val="en-US" w:eastAsia="zh-CN"/>
        </w:rPr>
        <w:t>期限一年，</w:t>
      </w:r>
      <w:r>
        <w:rPr>
          <w:rFonts w:hint="eastAsia" w:ascii="宋体" w:hAnsi="宋体" w:eastAsia="宋体" w:cs="宋体"/>
          <w:color w:val="auto"/>
          <w:szCs w:val="21"/>
          <w:highlight w:val="none"/>
          <w:shd w:val="clear" w:color="auto" w:fill="FFFFFF"/>
          <w:lang w:val="en-US" w:eastAsia="zh-CN"/>
        </w:rPr>
        <w:t>合同到期后，经甲方考核合格可续签一年，最多可续签二年。</w:t>
      </w:r>
      <w:r>
        <w:rPr>
          <w:rFonts w:hint="eastAsia" w:ascii="宋体" w:hAnsi="宋体" w:cs="宋体"/>
          <w:color w:val="auto"/>
          <w:szCs w:val="21"/>
          <w:highlight w:val="none"/>
          <w:shd w:val="clear" w:color="auto" w:fill="FFFFFF"/>
          <w:lang w:val="en-US" w:eastAsia="zh-CN"/>
        </w:rPr>
        <w:t>）；</w:t>
      </w:r>
    </w:p>
    <w:p w14:paraId="2A0BEB33">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、质量要求：符合国家现行规定的质量标准和技术要求</w:t>
      </w:r>
      <w:r>
        <w:rPr>
          <w:rFonts w:hint="eastAsia" w:ascii="宋体" w:hAnsi="宋体" w:eastAsia="宋体" w:cs="宋体"/>
          <w:color w:val="auto"/>
          <w:szCs w:val="21"/>
          <w:highlight w:val="none"/>
          <w:shd w:val="clear" w:color="auto" w:fill="FFFFFF"/>
          <w:lang w:eastAsia="zh-CN"/>
        </w:rPr>
        <w:t>。</w:t>
      </w:r>
    </w:p>
    <w:p w14:paraId="3C63B600">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6639"/>
      <w:bookmarkStart w:id="6" w:name="_Toc18607"/>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5D51F6D1">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23395"/>
      <w:bookmarkStart w:id="9" w:name="_Toc7823"/>
      <w:bookmarkStart w:id="10" w:name="_Toc30643"/>
      <w:bookmarkStart w:id="11" w:name="_Toc30971"/>
      <w:bookmarkStart w:id="12" w:name="_Toc9562"/>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6157C673">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A5455D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7C69999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6B91812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62BE89B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、供应商需具有相关部门颁发的《食品经营许可证</w:t>
      </w:r>
      <w:r>
        <w:rPr>
          <w:rFonts w:hint="eastAsia" w:ascii="宋体" w:hAnsi="宋体" w:eastAsia="宋体" w:cs="宋体"/>
          <w:color w:val="000000"/>
          <w:spacing w:val="68"/>
          <w:kern w:val="2"/>
          <w:sz w:val="21"/>
          <w:szCs w:val="24"/>
          <w:lang w:val="en-US" w:eastAsia="zh-CN" w:bidi="ar-SA"/>
        </w:rPr>
        <w:t>》</w:t>
      </w:r>
      <w:r>
        <w:rPr>
          <w:rFonts w:hint="eastAsia" w:cs="宋体"/>
          <w:color w:val="000000"/>
          <w:spacing w:val="68"/>
          <w:kern w:val="2"/>
          <w:sz w:val="21"/>
          <w:szCs w:val="24"/>
          <w:lang w:val="en-US" w:eastAsia="zh-CN" w:bidi="ar-SA"/>
        </w:rPr>
        <w:t>；</w:t>
      </w:r>
    </w:p>
    <w:p w14:paraId="43F9F5D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7、根据《关于在政府采购活动中查询及使用信用记录有关问题的通知》</w:t>
      </w:r>
      <w:bookmarkStart w:id="95" w:name="_GoBack"/>
      <w:bookmarkEnd w:id="95"/>
      <w:r>
        <w:rPr>
          <w:rFonts w:hint="eastAsia" w:cs="宋体"/>
          <w:color w:val="000000"/>
          <w:kern w:val="2"/>
          <w:sz w:val="21"/>
          <w:szCs w:val="24"/>
          <w:lang w:val="en-US" w:eastAsia="zh-CN" w:bidi="ar-SA"/>
        </w:rPr>
        <w:t>（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3604D0B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14:paraId="23D7691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不接受联合体投标。</w:t>
      </w:r>
    </w:p>
    <w:p w14:paraId="18C293AC">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630F1B17">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9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12 </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 9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14 </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4DF949E6">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4C849E7C">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371793315</w:t>
      </w:r>
      <w:r>
        <w:rPr>
          <w:rFonts w:hint="eastAsia" w:ascii="宋体" w:hAnsi="宋体" w:eastAsia="宋体" w:cs="宋体"/>
          <w:color w:val="auto"/>
          <w:kern w:val="0"/>
          <w:sz w:val="21"/>
          <w:szCs w:val="21"/>
          <w:shd w:val="clear" w:color="auto" w:fill="FFFFFF"/>
          <w:lang w:val="en-US" w:eastAsia="zh-CN" w:bidi="ar-SA"/>
        </w:rPr>
        <w:t>@qq.com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E66D038">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046D994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5869"/>
      <w:bookmarkStart w:id="14" w:name="_Toc10738"/>
      <w:bookmarkStart w:id="15" w:name="_Toc15111"/>
      <w:bookmarkStart w:id="16" w:name="_Toc27480"/>
      <w:bookmarkStart w:id="17" w:name="_Toc15135"/>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255CBDD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408B785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10B33321">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13161390">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343A8FC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26A84C3">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30918"/>
      <w:bookmarkStart w:id="20" w:name="_Toc20287"/>
      <w:bookmarkStart w:id="21" w:name="_Toc6523"/>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0AFBAC6E">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0D8440EA">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24274"/>
      <w:bookmarkStart w:id="27" w:name="_Toc27370"/>
      <w:bookmarkStart w:id="28" w:name="_Toc31928"/>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3A0853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14:paraId="7FAE224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14:paraId="13C7A7E5">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76BF702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14:paraId="0D5BCA8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2.名称：河南金鼎建设管理有限公司 </w:t>
      </w:r>
    </w:p>
    <w:p w14:paraId="1E01DCC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地址：驻马店市天中山大道北段 </w:t>
      </w:r>
    </w:p>
    <w:p w14:paraId="7BF6D2EE">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联系人：杨先生 </w:t>
      </w:r>
    </w:p>
    <w:p w14:paraId="402D4CE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联系方式：19139503257</w:t>
      </w:r>
    </w:p>
    <w:p w14:paraId="77DD9771">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14:paraId="00275461">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4C5C7933">
      <w:pPr>
        <w:pStyle w:val="31"/>
        <w:rPr>
          <w:rFonts w:hint="eastAsia"/>
          <w:highlight w:val="yellow"/>
          <w:lang w:val="en-US" w:eastAsia="zh-CN"/>
        </w:rPr>
      </w:pPr>
    </w:p>
    <w:p w14:paraId="11B46F65">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7442E85F">
      <w:pPr>
        <w:pStyle w:val="29"/>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 xml:space="preserve"> 9 </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 xml:space="preserve"> 11 </w:t>
      </w:r>
      <w:r>
        <w:rPr>
          <w:rFonts w:hint="eastAsia" w:ascii="宋体" w:hAnsi="宋体" w:eastAsia="宋体" w:cs="宋体"/>
          <w:color w:val="auto"/>
          <w:kern w:val="0"/>
          <w:sz w:val="21"/>
          <w:szCs w:val="21"/>
          <w:highlight w:val="none"/>
          <w:shd w:val="clear" w:color="auto" w:fill="FFFFFF"/>
          <w:lang w:val="en-US" w:eastAsia="zh-CN" w:bidi="ar-SA"/>
        </w:rPr>
        <w:t>日</w:t>
      </w:r>
    </w:p>
    <w:p w14:paraId="1665D38E">
      <w:pPr>
        <w:pStyle w:val="29"/>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p>
    <w:p w14:paraId="519DEB4E">
      <w:pPr>
        <w:pStyle w:val="29"/>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p>
    <w:p w14:paraId="2E6F2EF3">
      <w:pPr>
        <w:pStyle w:val="29"/>
        <w:widowControl/>
        <w:snapToGrid w:val="0"/>
        <w:spacing w:before="0" w:beforeAutospacing="0" w:after="0" w:afterAutospacing="0" w:line="360" w:lineRule="auto"/>
        <w:ind w:firstLine="420" w:firstLineChars="200"/>
        <w:rPr>
          <w:rFonts w:ascii="宋体" w:hAnsi="宋体" w:cs="宋体"/>
          <w:color w:val="000000" w:themeColor="text1"/>
          <w:sz w:val="21"/>
          <w:szCs w:val="21"/>
          <w:highlight w:val="none"/>
          <w:shd w:val="clear" w:color="auto" w:fill="FFFFFF"/>
          <w14:textFill>
            <w14:solidFill>
              <w14:schemeClr w14:val="tx1"/>
            </w14:solidFill>
          </w14:textFill>
        </w:rPr>
      </w:pPr>
    </w:p>
    <w:p w14:paraId="1337D623">
      <w:pPr>
        <w:rPr>
          <w:rFonts w:hint="eastAsia" w:ascii="宋体" w:hAnsi="宋体"/>
          <w:b/>
          <w:color w:val="000000" w:themeColor="text1"/>
          <w:sz w:val="32"/>
          <w:szCs w:val="32"/>
          <w:highlight w:val="none"/>
          <w14:textFill>
            <w14:solidFill>
              <w14:schemeClr w14:val="tx1"/>
            </w14:solidFill>
          </w14:textFill>
        </w:rPr>
      </w:pPr>
      <w:bookmarkStart w:id="29" w:name="_Toc23793"/>
      <w:bookmarkStart w:id="30" w:name="_Toc29890"/>
      <w:r>
        <w:rPr>
          <w:rFonts w:hint="eastAsia" w:ascii="宋体" w:hAnsi="宋体"/>
          <w:b/>
          <w:color w:val="000000" w:themeColor="text1"/>
          <w:sz w:val="32"/>
          <w:szCs w:val="32"/>
          <w:highlight w:val="none"/>
          <w14:textFill>
            <w14:solidFill>
              <w14:schemeClr w14:val="tx1"/>
            </w14:solidFill>
          </w14:textFill>
        </w:rPr>
        <w:br w:type="page"/>
      </w:r>
    </w:p>
    <w:p w14:paraId="6057493A">
      <w:pPr>
        <w:widowControl/>
        <w:spacing w:line="360" w:lineRule="auto"/>
        <w:ind w:firstLine="643" w:firstLineChars="200"/>
        <w:jc w:val="center"/>
        <w:outlineLvl w:val="0"/>
        <w:rPr>
          <w:rFonts w:ascii="宋体" w:hAnsi="宋体"/>
          <w:b/>
          <w:color w:val="000000" w:themeColor="text1"/>
          <w:sz w:val="32"/>
          <w:szCs w:val="32"/>
          <w:highlight w:val="none"/>
          <w14:textFill>
            <w14:solidFill>
              <w14:schemeClr w14:val="tx1"/>
            </w14:solidFill>
          </w14:textFill>
        </w:rPr>
      </w:pPr>
      <w:bookmarkStart w:id="31" w:name="_Toc17552"/>
      <w:r>
        <w:rPr>
          <w:rFonts w:hint="eastAsia" w:ascii="宋体" w:hAnsi="宋体"/>
          <w:b/>
          <w:color w:val="000000" w:themeColor="text1"/>
          <w:sz w:val="32"/>
          <w:szCs w:val="32"/>
          <w:highlight w:val="none"/>
          <w14:textFill>
            <w14:solidFill>
              <w14:schemeClr w14:val="tx1"/>
            </w14:solidFill>
          </w14:textFill>
        </w:rPr>
        <w:t xml:space="preserve">第二章  </w:t>
      </w:r>
      <w:r>
        <w:rPr>
          <w:rFonts w:hint="eastAsia" w:ascii="宋体" w:hAnsi="宋体"/>
          <w:b/>
          <w:color w:val="000000" w:themeColor="text1"/>
          <w:sz w:val="32"/>
          <w:szCs w:val="32"/>
          <w:highlight w:val="none"/>
          <w:lang w:eastAsia="zh-CN"/>
          <w14:textFill>
            <w14:solidFill>
              <w14:schemeClr w14:val="tx1"/>
            </w14:solidFill>
          </w14:textFill>
        </w:rPr>
        <w:t>采购</w:t>
      </w:r>
      <w:r>
        <w:rPr>
          <w:rFonts w:hint="eastAsia" w:ascii="宋体" w:hAnsi="宋体"/>
          <w:b/>
          <w:color w:val="000000" w:themeColor="text1"/>
          <w:sz w:val="32"/>
          <w:szCs w:val="32"/>
          <w:highlight w:val="none"/>
          <w14:textFill>
            <w14:solidFill>
              <w14:schemeClr w14:val="tx1"/>
            </w14:solidFill>
          </w14:textFill>
        </w:rPr>
        <w:t>需求</w:t>
      </w:r>
      <w:bookmarkEnd w:id="31"/>
      <w:bookmarkStart w:id="32" w:name="_Toc23610"/>
      <w:bookmarkStart w:id="33" w:name="_Toc31536"/>
      <w:bookmarkStart w:id="34" w:name="_Toc9989"/>
    </w:p>
    <w:bookmarkEnd w:id="29"/>
    <w:bookmarkEnd w:id="30"/>
    <w:bookmarkEnd w:id="32"/>
    <w:bookmarkEnd w:id="33"/>
    <w:bookmarkEnd w:id="34"/>
    <w:p w14:paraId="3AF6041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color w:val="000000" w:themeColor="text1"/>
          <w:sz w:val="21"/>
          <w:szCs w:val="21"/>
          <w:highlight w:val="none"/>
          <w:u w:val="none"/>
          <w:lang w:val="en-US" w:eastAsia="zh-CN"/>
          <w14:textFill>
            <w14:solidFill>
              <w14:schemeClr w14:val="tx1"/>
            </w14:solidFill>
          </w14:textFill>
        </w:rPr>
        <w:t>一、项目名称：</w:t>
      </w:r>
      <w:r>
        <w:rPr>
          <w:rFonts w:hint="eastAsia" w:ascii="宋体" w:hAnsi="宋体" w:eastAsia="宋体" w:cs="宋体"/>
          <w:b w:val="0"/>
          <w:bCs w:val="0"/>
          <w:i w:val="0"/>
          <w:iCs/>
          <w:color w:val="000000" w:themeColor="text1"/>
          <w:sz w:val="21"/>
          <w:szCs w:val="21"/>
          <w:highlight w:val="none"/>
          <w:u w:val="none"/>
          <w:lang w:val="en-US" w:eastAsia="zh-CN"/>
          <w14:textFill>
            <w14:solidFill>
              <w14:schemeClr w14:val="tx1"/>
            </w14:solidFill>
          </w14:textFill>
        </w:rPr>
        <w:t>驻马店市中心医院</w:t>
      </w:r>
      <w:r>
        <w:rPr>
          <w:rFonts w:hint="eastAsia" w:ascii="宋体" w:hAnsi="宋体" w:cs="宋体"/>
          <w:b w:val="0"/>
          <w:bCs w:val="0"/>
          <w:i w:val="0"/>
          <w:iCs/>
          <w:color w:val="000000" w:themeColor="text1"/>
          <w:sz w:val="21"/>
          <w:szCs w:val="21"/>
          <w:highlight w:val="none"/>
          <w:u w:val="none"/>
          <w:lang w:val="en-US" w:eastAsia="zh-CN"/>
          <w14:textFill>
            <w14:solidFill>
              <w14:schemeClr w14:val="tx1"/>
            </w14:solidFill>
          </w14:textFill>
        </w:rPr>
        <w:t>妇儿院区超市经营权采购项目（二次）</w:t>
      </w:r>
    </w:p>
    <w:p w14:paraId="6EF94E01">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default" w:cs="宋体"/>
          <w:b w:val="0"/>
          <w:bCs w:val="0"/>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二、项目概况：</w:t>
      </w:r>
      <w:r>
        <w:rPr>
          <w:rFonts w:hint="eastAsia" w:cs="宋体"/>
          <w:b w:val="0"/>
          <w:bCs w:val="0"/>
          <w:color w:val="000000" w:themeColor="text1"/>
          <w:kern w:val="2"/>
          <w:sz w:val="21"/>
          <w:szCs w:val="24"/>
          <w:highlight w:val="none"/>
          <w:lang w:val="en-US" w:eastAsia="zh-CN" w:bidi="ar-SA"/>
          <w14:textFill>
            <w14:solidFill>
              <w14:schemeClr w14:val="tx1"/>
            </w14:solidFill>
          </w14:textFill>
        </w:rPr>
        <w:t>超市位于妇儿院区住院楼负一楼，面积约 151 ㎡。</w:t>
      </w:r>
    </w:p>
    <w:p w14:paraId="2FBA6456">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color w:val="000000" w:themeColor="text1"/>
          <w:kern w:val="2"/>
          <w:sz w:val="21"/>
          <w:szCs w:val="24"/>
          <w:highlight w:val="none"/>
          <w:lang w:val="en-US" w:eastAsia="zh-CN" w:bidi="ar-SA"/>
          <w14:textFill>
            <w14:solidFill>
              <w14:schemeClr w14:val="tx1"/>
            </w14:solidFill>
          </w14:textFill>
        </w:rPr>
      </w:pPr>
      <w:r>
        <w:rPr>
          <w:rFonts w:hint="eastAsia" w:cs="宋体"/>
          <w:b/>
          <w:bCs/>
          <w:color w:val="000000" w:themeColor="text1"/>
          <w:kern w:val="2"/>
          <w:sz w:val="21"/>
          <w:szCs w:val="24"/>
          <w:highlight w:val="none"/>
          <w:lang w:val="en-US" w:eastAsia="zh-CN" w:bidi="ar-SA"/>
          <w14:textFill>
            <w14:solidFill>
              <w14:schemeClr w14:val="tx1"/>
            </w14:solidFill>
          </w14:textFill>
        </w:rPr>
        <w:t>三、采购标的清单：</w:t>
      </w:r>
    </w:p>
    <w:tbl>
      <w:tblPr>
        <w:tblStyle w:val="35"/>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49"/>
        <w:gridCol w:w="2679"/>
        <w:gridCol w:w="829"/>
        <w:gridCol w:w="865"/>
        <w:gridCol w:w="1464"/>
        <w:gridCol w:w="759"/>
        <w:gridCol w:w="815"/>
      </w:tblGrid>
      <w:tr w14:paraId="7475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14:paraId="7927482E">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包号</w:t>
            </w:r>
          </w:p>
        </w:tc>
        <w:tc>
          <w:tcPr>
            <w:tcW w:w="649" w:type="dxa"/>
            <w:vAlign w:val="center"/>
          </w:tcPr>
          <w:p w14:paraId="363ADF0C">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2679" w:type="dxa"/>
            <w:vAlign w:val="center"/>
          </w:tcPr>
          <w:p w14:paraId="17D3A27C">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标的名称</w:t>
            </w:r>
          </w:p>
        </w:tc>
        <w:tc>
          <w:tcPr>
            <w:tcW w:w="829" w:type="dxa"/>
            <w:vAlign w:val="center"/>
          </w:tcPr>
          <w:p w14:paraId="362D8170">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单位</w:t>
            </w:r>
          </w:p>
        </w:tc>
        <w:tc>
          <w:tcPr>
            <w:tcW w:w="865" w:type="dxa"/>
            <w:vAlign w:val="center"/>
          </w:tcPr>
          <w:p w14:paraId="67250992">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数量</w:t>
            </w:r>
          </w:p>
        </w:tc>
        <w:tc>
          <w:tcPr>
            <w:tcW w:w="1464" w:type="dxa"/>
            <w:vAlign w:val="center"/>
          </w:tcPr>
          <w:p w14:paraId="2532445D">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14:paraId="7042BC8B">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预算</w:t>
            </w:r>
          </w:p>
        </w:tc>
        <w:tc>
          <w:tcPr>
            <w:tcW w:w="759" w:type="dxa"/>
            <w:vAlign w:val="center"/>
          </w:tcPr>
          <w:p w14:paraId="6CB1620F">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资金</w:t>
            </w:r>
          </w:p>
          <w:p w14:paraId="3ACE6342">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性质</w:t>
            </w:r>
          </w:p>
        </w:tc>
        <w:tc>
          <w:tcPr>
            <w:tcW w:w="815" w:type="dxa"/>
            <w:vAlign w:val="center"/>
          </w:tcPr>
          <w:p w14:paraId="79C28242">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国产/</w:t>
            </w:r>
          </w:p>
          <w:p w14:paraId="2B899661">
            <w:pPr>
              <w:pStyle w:val="16"/>
              <w:numPr>
                <w:ilvl w:val="0"/>
                <w:numId w:val="0"/>
              </w:num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进口</w:t>
            </w:r>
          </w:p>
        </w:tc>
      </w:tr>
      <w:tr w14:paraId="061C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1" w:type="dxa"/>
            <w:vAlign w:val="center"/>
          </w:tcPr>
          <w:p w14:paraId="3A02952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1</w:t>
            </w:r>
          </w:p>
        </w:tc>
        <w:tc>
          <w:tcPr>
            <w:tcW w:w="649" w:type="dxa"/>
            <w:vAlign w:val="center"/>
          </w:tcPr>
          <w:p w14:paraId="569210D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1</w:t>
            </w:r>
          </w:p>
        </w:tc>
        <w:tc>
          <w:tcPr>
            <w:tcW w:w="2679" w:type="dxa"/>
            <w:vAlign w:val="center"/>
          </w:tcPr>
          <w:p w14:paraId="76EC462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妇儿院区超市经营权采购</w:t>
            </w:r>
          </w:p>
        </w:tc>
        <w:tc>
          <w:tcPr>
            <w:tcW w:w="829" w:type="dxa"/>
            <w:vAlign w:val="center"/>
          </w:tcPr>
          <w:p w14:paraId="26FE529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年</w:t>
            </w:r>
          </w:p>
        </w:tc>
        <w:tc>
          <w:tcPr>
            <w:tcW w:w="865" w:type="dxa"/>
            <w:vAlign w:val="center"/>
          </w:tcPr>
          <w:p w14:paraId="39A7969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3</w:t>
            </w:r>
          </w:p>
        </w:tc>
        <w:tc>
          <w:tcPr>
            <w:tcW w:w="1464" w:type="dxa"/>
            <w:vAlign w:val="center"/>
          </w:tcPr>
          <w:p w14:paraId="02D0A95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26.64万</w:t>
            </w:r>
          </w:p>
        </w:tc>
        <w:tc>
          <w:tcPr>
            <w:tcW w:w="759" w:type="dxa"/>
            <w:vAlign w:val="center"/>
          </w:tcPr>
          <w:p w14:paraId="41B22E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自筹</w:t>
            </w:r>
          </w:p>
        </w:tc>
        <w:tc>
          <w:tcPr>
            <w:tcW w:w="815" w:type="dxa"/>
            <w:vAlign w:val="center"/>
          </w:tcPr>
          <w:p w14:paraId="51DB17D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vertAlign w:val="baseline"/>
                <w:lang w:val="en-US" w:eastAsia="zh-CN"/>
              </w:rPr>
              <w:t>国产</w:t>
            </w:r>
          </w:p>
        </w:tc>
      </w:tr>
      <w:tr w14:paraId="203D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14:paraId="35362998">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合计</w:t>
            </w:r>
          </w:p>
        </w:tc>
        <w:tc>
          <w:tcPr>
            <w:tcW w:w="2679" w:type="dxa"/>
            <w:vAlign w:val="center"/>
          </w:tcPr>
          <w:p w14:paraId="44DC1583">
            <w:pPr>
              <w:spacing w:line="5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29" w:type="dxa"/>
            <w:vAlign w:val="center"/>
          </w:tcPr>
          <w:p w14:paraId="00046740">
            <w:pPr>
              <w:spacing w:line="5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865" w:type="dxa"/>
            <w:vAlign w:val="center"/>
          </w:tcPr>
          <w:p w14:paraId="1300B570">
            <w:pPr>
              <w:spacing w:line="5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tc>
        <w:tc>
          <w:tcPr>
            <w:tcW w:w="1464" w:type="dxa"/>
            <w:vAlign w:val="center"/>
          </w:tcPr>
          <w:p w14:paraId="5FB2758F">
            <w:pPr>
              <w:spacing w:line="56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26.64万</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元</w:t>
            </w:r>
          </w:p>
        </w:tc>
        <w:tc>
          <w:tcPr>
            <w:tcW w:w="759" w:type="dxa"/>
            <w:vAlign w:val="center"/>
          </w:tcPr>
          <w:p w14:paraId="60DA5BC8">
            <w:pPr>
              <w:pStyle w:val="16"/>
              <w:numPr>
                <w:ilvl w:val="0"/>
                <w:numId w:val="0"/>
              </w:num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815" w:type="dxa"/>
            <w:vAlign w:val="center"/>
          </w:tcPr>
          <w:p w14:paraId="0796C195">
            <w:pPr>
              <w:pStyle w:val="16"/>
              <w:numPr>
                <w:ilvl w:val="0"/>
                <w:numId w:val="0"/>
              </w:num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7707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0" w:type="dxa"/>
            <w:gridSpan w:val="2"/>
            <w:vAlign w:val="center"/>
          </w:tcPr>
          <w:p w14:paraId="158C17E9">
            <w:pPr>
              <w:pStyle w:val="16"/>
              <w:numPr>
                <w:ilvl w:val="0"/>
                <w:numId w:val="0"/>
              </w:num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c>
          <w:tcPr>
            <w:tcW w:w="7411" w:type="dxa"/>
            <w:gridSpan w:val="6"/>
            <w:vAlign w:val="center"/>
          </w:tcPr>
          <w:p w14:paraId="7D8E9F53">
            <w:pPr>
              <w:pStyle w:val="16"/>
              <w:tabs>
                <w:tab w:val="left" w:pos="568"/>
              </w:tabs>
              <w:spacing w:line="240" w:lineRule="auto"/>
              <w:ind w:firstLine="420" w:firstLineChars="20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服务期限为</w:t>
            </w:r>
            <w:r>
              <w:rPr>
                <w:rFonts w:hint="eastAsia" w:ascii="宋体" w:hAnsi="宋体" w:eastAsia="宋体" w:cs="宋体"/>
                <w:color w:val="000000" w:themeColor="text1"/>
                <w:sz w:val="21"/>
                <w:szCs w:val="21"/>
                <w:highlight w:val="none"/>
                <w:lang w:val="en-US" w:eastAsia="zh-CN"/>
                <w14:textFill>
                  <w14:solidFill>
                    <w14:schemeClr w14:val="tx1"/>
                  </w14:solidFill>
                </w14:textFill>
              </w:rPr>
              <w:t>三年（合同期限一年，合同到期后，经甲方考核合格可续签一年，</w:t>
            </w:r>
            <w:r>
              <w:rPr>
                <w:rFonts w:hint="eastAsia" w:ascii="宋体" w:hAnsi="宋体" w:cs="宋体"/>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color w:val="000000" w:themeColor="text1"/>
                <w:sz w:val="21"/>
                <w:szCs w:val="21"/>
                <w:highlight w:val="none"/>
                <w:lang w:val="en-US" w:eastAsia="zh-CN"/>
                <w14:textFill>
                  <w14:solidFill>
                    <w14:schemeClr w14:val="tx1"/>
                  </w14:solidFill>
                </w14:textFill>
              </w:rPr>
              <w:t>最多可续签二年。）</w:t>
            </w:r>
          </w:p>
        </w:tc>
      </w:tr>
    </w:tbl>
    <w:p w14:paraId="08B57196">
      <w:pPr>
        <w:pStyle w:val="16"/>
        <w:tabs>
          <w:tab w:val="left" w:pos="568"/>
        </w:tabs>
        <w:spacing w:line="240" w:lineRule="auto"/>
        <w:jc w:val="both"/>
        <w:rPr>
          <w:rFonts w:hint="eastAsia" w:ascii="宋体" w:hAnsi="宋体" w:eastAsia="宋体" w:cs="宋体"/>
          <w:b/>
          <w:bCs/>
          <w:color w:val="000000" w:themeColor="text1"/>
          <w:spacing w:val="28"/>
          <w:sz w:val="21"/>
          <w:szCs w:val="21"/>
          <w:highlight w:val="none"/>
          <w14:textFill>
            <w14:solidFill>
              <w14:schemeClr w14:val="tx1"/>
            </w14:solidFill>
          </w14:textFill>
        </w:rPr>
      </w:pPr>
    </w:p>
    <w:p w14:paraId="328F45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1"/>
          <w:szCs w:val="24"/>
          <w:highlight w:val="none"/>
          <w:lang w:val="en-US" w:eastAsia="zh-CN" w:bidi="ar-SA"/>
          <w14:textFill>
            <w14:solidFill>
              <w14:schemeClr w14:val="tx1"/>
            </w14:solidFill>
          </w14:textFill>
        </w:rPr>
        <w:t>四、技术要求：</w:t>
      </w:r>
    </w:p>
    <w:p w14:paraId="1CFF00EE">
      <w:pPr>
        <w:keepNext w:val="0"/>
        <w:keepLines w:val="0"/>
        <w:pageBreakBefore w:val="0"/>
        <w:widowControl w:val="0"/>
        <w:kinsoku/>
        <w:wordWrap/>
        <w:overflowPunct/>
        <w:topLinePunct w:val="0"/>
        <w:autoSpaceDE/>
        <w:autoSpaceDN/>
        <w:bidi w:val="0"/>
        <w:adjustRightInd/>
        <w:snapToGrid w:val="0"/>
        <w:spacing w:line="360" w:lineRule="auto"/>
        <w:ind w:firstLine="562" w:firstLineChars="200"/>
        <w:jc w:val="center"/>
        <w:textAlignment w:val="auto"/>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妇儿院区超市经营要求</w:t>
      </w:r>
    </w:p>
    <w:p w14:paraId="086D1A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1.医院提供超市营业用房，不提供超市营业设施。</w:t>
      </w:r>
    </w:p>
    <w:p w14:paraId="31D01F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2.超市只能从事日用品、百货及采购人授权经营的其它物资销售、所有商品必须有合法正规进货渠道，产品质量符合国家相关标准，所有商品合格证明资料需保存完整，做好登记随时备查。</w:t>
      </w:r>
    </w:p>
    <w:p w14:paraId="2FD565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超市出售的所有商品均为市场主流产品，出售的所有商品需明码标价，且商品零售价不得高于市场上同品牌、同质同量商品的价格，如有违反，供应商需出具承诺函愿承担院方的一切处罚措施，包括但不限于罚款、没收履约保证金、列入医院采购黑名单以及终止合同等。</w:t>
      </w:r>
    </w:p>
    <w:p w14:paraId="37607A1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4.在经营期间必须建立进货台账，索证索票齐全，所出售的商品应有SC认证标志。</w:t>
      </w:r>
    </w:p>
    <w:p w14:paraId="6BF4040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超市禁止销售“三无”商品，假冒、劣质商品，过期变质食品，禁止销售香烟、酒类以及其他易爆、高危、有毒、有害的物品。供应商需承诺因出售的商品原因造成顾客的人身伤害和经济损失的，由供应商承担全部经济赔偿及法律责任。</w:t>
      </w:r>
    </w:p>
    <w:p w14:paraId="0CEF95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6.供应商需承诺不在超市经营场所内进行违法活动，不得从事与超市无关业务，不得经营食品药品监督管理局规定限制和禁止经营的项目，不得经营行业主管部门规定禁止销售的商品。</w:t>
      </w:r>
    </w:p>
    <w:p w14:paraId="3102266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7.供应商需承诺保护医院环境，不得将物品及包装箱堆至超市以外，不得出店经营。</w:t>
      </w:r>
    </w:p>
    <w:p w14:paraId="5E8CDB2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8.供应商需做好超市保洁工作，承担超市经营区域内垃圾清理工作，做好“门前三包”。</w:t>
      </w:r>
    </w:p>
    <w:p w14:paraId="73F9800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9.供应商负责经营场所内部房屋建筑的维护和保养工作，不得私自进行装修，改变原建筑结构。</w:t>
      </w:r>
    </w:p>
    <w:p w14:paraId="24B667E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10.服务期满供应商库的存货物由供应商自行与下一个成交供应商协商处理，与采购人无关。</w:t>
      </w:r>
    </w:p>
    <w:p w14:paraId="2007B08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11.水、电费由供应商负担，每月向医院缴纳一次水电费。</w:t>
      </w:r>
    </w:p>
    <w:p w14:paraId="4B51FBF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12.必须严格执行医院的相关规章制度，必须保证食品安全及公共安全，不断提升人员队伍的专业性。    </w:t>
      </w:r>
    </w:p>
    <w:p w14:paraId="3C5E4DAD">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14:paraId="0F9AD07B">
      <w:pPr>
        <w:pStyle w:val="16"/>
        <w:rPr>
          <w:rFonts w:hint="eastAsia"/>
          <w:color w:val="000000" w:themeColor="text1"/>
          <w:highlight w:val="none"/>
          <w:lang w:val="en-US" w:eastAsia="zh-CN"/>
          <w14:textFill>
            <w14:solidFill>
              <w14:schemeClr w14:val="tx1"/>
            </w14:solidFill>
          </w14:textFill>
        </w:rPr>
      </w:pPr>
    </w:p>
    <w:p w14:paraId="5E224130">
      <w:pPr>
        <w:pStyle w:val="15"/>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9DC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A80ECB8">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50CDFF7D">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成交通知书</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发出之日起三十个日历日内。</w:t>
            </w:r>
          </w:p>
        </w:tc>
      </w:tr>
      <w:tr w14:paraId="1BEA2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7450108">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1D1E315D">
            <w:pPr>
              <w:pStyle w:val="15"/>
              <w:ind w:left="0" w:leftChars="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采购人指定地点。</w:t>
            </w:r>
          </w:p>
        </w:tc>
      </w:tr>
      <w:tr w14:paraId="54429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BA1787">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51110945">
            <w:pPr>
              <w:pStyle w:val="15"/>
              <w:ind w:left="0" w:leftChars="0"/>
              <w:jc w:val="left"/>
              <w:rPr>
                <w:rFonts w:hint="default" w:ascii="宋体" w:hAnsi="宋体" w:cs="宋体"/>
                <w:color w:val="000000" w:themeColor="text1"/>
                <w:kern w:val="2"/>
                <w:sz w:val="21"/>
                <w:szCs w:val="24"/>
                <w:highlight w:val="none"/>
                <w:lang w:val="en-US" w:eastAsia="zh-CN" w:bidi="ar-SA"/>
                <w14:textFill>
                  <w14:solidFill>
                    <w14:schemeClr w14:val="tx1"/>
                  </w14:solidFill>
                </w14:textFill>
              </w:rPr>
            </w:pPr>
            <w:r>
              <w:rPr>
                <w:rFonts w:hint="default" w:ascii="宋体" w:hAnsi="宋体" w:cs="宋体"/>
                <w:color w:val="000000" w:themeColor="text1"/>
                <w:kern w:val="2"/>
                <w:sz w:val="21"/>
                <w:szCs w:val="24"/>
                <w:highlight w:val="none"/>
                <w:lang w:val="en-US" w:eastAsia="zh-CN" w:bidi="ar-SA"/>
                <w14:textFill>
                  <w14:solidFill>
                    <w14:schemeClr w14:val="tx1"/>
                  </w14:solidFill>
                </w14:textFill>
              </w:rPr>
              <w:t>三年（合同期限一年，合同到期后，经甲方考核合格可续签一年，最多可续签二年。）</w:t>
            </w:r>
          </w:p>
        </w:tc>
      </w:tr>
      <w:tr w14:paraId="5F11A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3734239">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A24A8B4">
            <w:pPr>
              <w:pStyle w:val="15"/>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符合国家现行规定的质量标准和技术要求。</w:t>
            </w:r>
          </w:p>
        </w:tc>
      </w:tr>
      <w:tr w14:paraId="4C7A6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CEBD1DC">
            <w:pPr>
              <w:pStyle w:val="15"/>
              <w:ind w:left="0" w:left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6B119">
            <w:pPr>
              <w:pStyle w:val="15"/>
              <w:spacing w:line="360" w:lineRule="auto"/>
              <w:ind w:left="0" w:leftChars="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由成交供应商按采购人的要求按时支付，具体以合同签订为准。</w:t>
            </w:r>
          </w:p>
        </w:tc>
      </w:tr>
      <w:tr w14:paraId="1C400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557DCFE">
            <w:pPr>
              <w:pStyle w:val="15"/>
              <w:ind w:left="0" w:lef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4142CF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供应商需提供24小时服务电话，保证及时提供服务。</w:t>
            </w:r>
          </w:p>
        </w:tc>
      </w:tr>
    </w:tbl>
    <w:p w14:paraId="7CA10C93">
      <w:pPr>
        <w:pStyle w:val="16"/>
        <w:rPr>
          <w:rFonts w:hint="eastAsia"/>
          <w:color w:val="000000" w:themeColor="text1"/>
          <w:highlight w:val="none"/>
          <w14:textFill>
            <w14:solidFill>
              <w14:schemeClr w14:val="tx1"/>
            </w14:solidFill>
          </w14:textFill>
        </w:rPr>
      </w:pPr>
    </w:p>
    <w:p w14:paraId="72F9EE84">
      <w:pPr>
        <w:pStyle w:val="16"/>
        <w:rPr>
          <w:rFonts w:hint="eastAsia"/>
          <w:color w:val="000000" w:themeColor="text1"/>
          <w:highlight w:val="none"/>
          <w14:textFill>
            <w14:solidFill>
              <w14:schemeClr w14:val="tx1"/>
            </w14:solidFill>
          </w14:textFill>
        </w:rPr>
      </w:pPr>
    </w:p>
    <w:p w14:paraId="59DF32CE">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CDAD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ADB9A88">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4FB5344">
            <w:pPr>
              <w:widowControl/>
              <w:numPr>
                <w:ilvl w:val="0"/>
                <w:numId w:val="1"/>
              </w:numPr>
              <w:snapToGrid w:val="0"/>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不接受联合体投标，不允许转包和分包。</w:t>
            </w:r>
          </w:p>
          <w:p w14:paraId="18FD3DA6">
            <w:pPr>
              <w:widowControl/>
              <w:snapToGrid w:val="0"/>
              <w:spacing w:line="360" w:lineRule="auto"/>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2、授权</w:t>
            </w:r>
            <w:r>
              <w:rPr>
                <w:rFonts w:hint="eastAsia" w:cs="Times New Roman"/>
                <w:color w:val="000000" w:themeColor="text1"/>
                <w:highlight w:val="none"/>
                <w:lang w:val="en-US" w:eastAsia="zh-CN"/>
                <w14:textFill>
                  <w14:solidFill>
                    <w14:schemeClr w14:val="tx1"/>
                  </w14:solidFill>
                </w14:textFill>
              </w:rPr>
              <w:t>磋商小组</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确定一名</w:t>
            </w:r>
            <w:r>
              <w:rPr>
                <w:rFonts w:hint="eastAsia" w:cs="Times New Roman"/>
                <w:color w:val="000000" w:themeColor="text1"/>
                <w:highlight w:val="none"/>
                <w:lang w:val="en-US" w:eastAsia="zh-CN"/>
                <w14:textFill>
                  <w14:solidFill>
                    <w14:schemeClr w14:val="tx1"/>
                  </w14:solidFill>
                </w14:textFill>
              </w:rPr>
              <w:t>成交人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并推荐</w:t>
            </w:r>
            <w:r>
              <w:rPr>
                <w:rFonts w:hint="eastAsia" w:cs="Times New Roman"/>
                <w:color w:val="000000" w:themeColor="text1"/>
                <w:highlight w:val="none"/>
                <w:lang w:val="en-US" w:eastAsia="zh-CN"/>
                <w14:textFill>
                  <w14:solidFill>
                    <w14:schemeClr w14:val="tx1"/>
                  </w14:solidFill>
                </w14:textFill>
              </w:rPr>
              <w:t>一</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名</w:t>
            </w:r>
            <w:r>
              <w:rPr>
                <w:rFonts w:hint="eastAsia" w:cs="Times New Roman"/>
                <w:color w:val="000000" w:themeColor="text1"/>
                <w:highlight w:val="none"/>
                <w:lang w:val="en-US" w:eastAsia="zh-CN"/>
                <w14:textFill>
                  <w14:solidFill>
                    <w14:schemeClr w14:val="tx1"/>
                  </w14:solidFill>
                </w14:textFill>
              </w:rPr>
              <w:t>成交候选人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p>
          <w:p w14:paraId="1974EA60">
            <w:pPr>
              <w:widowControl/>
              <w:snapToGrid w:val="0"/>
              <w:spacing w:line="360" w:lineRule="auto"/>
              <w:rPr>
                <w:rFonts w:hint="default" w:eastAsia="宋体"/>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3、供应商应根据采购文件的要求提供技术响应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、商务响应</w:t>
            </w:r>
            <w:r>
              <w:rPr>
                <w:rFonts w:hint="eastAsia" w:cs="Times New Roman"/>
                <w:color w:val="000000" w:themeColor="text1"/>
                <w:highlight w:val="none"/>
                <w:lang w:val="en-US" w:eastAsia="zh-CN"/>
                <w14:textFill>
                  <w14:solidFill>
                    <w14:schemeClr w14:val="tx1"/>
                  </w14:solidFill>
                </w14:textFill>
              </w:rPr>
              <w:t>部分</w:t>
            </w:r>
            <w:r>
              <w:rPr>
                <w:rFonts w:hint="eastAsia" w:ascii="Times New Roman" w:hAnsi="Times New Roman" w:eastAsia="宋体" w:cs="Times New Roman"/>
                <w:color w:val="000000" w:themeColor="text1"/>
                <w:highlight w:val="none"/>
                <w:lang w:val="en-US" w:eastAsia="zh-CN"/>
                <w14:textFill>
                  <w14:solidFill>
                    <w14:schemeClr w14:val="tx1"/>
                  </w14:solidFill>
                </w14:textFill>
              </w:rPr>
              <w:t>等内容以对采购文件作出响应。</w:t>
            </w:r>
          </w:p>
        </w:tc>
      </w:tr>
    </w:tbl>
    <w:p w14:paraId="7E7AE7BB">
      <w:pPr>
        <w:rPr>
          <w:color w:val="000000" w:themeColor="text1"/>
          <w:highlight w:val="none"/>
          <w14:textFill>
            <w14:solidFill>
              <w14:schemeClr w14:val="tx1"/>
            </w14:solidFill>
          </w14:textFill>
        </w:rPr>
      </w:pPr>
    </w:p>
    <w:p w14:paraId="44F10AEA">
      <w:pPr>
        <w:jc w:val="center"/>
        <w:rPr>
          <w:rFonts w:hint="eastAsia"/>
          <w:b/>
          <w:bCs/>
          <w:color w:val="000000" w:themeColor="text1"/>
          <w:sz w:val="32"/>
          <w:szCs w:val="32"/>
          <w:highlight w:val="none"/>
          <w14:textFill>
            <w14:solidFill>
              <w14:schemeClr w14:val="tx1"/>
            </w14:solidFill>
          </w14:textFill>
        </w:rPr>
      </w:pPr>
    </w:p>
    <w:p w14:paraId="015B2F42">
      <w:pPr>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br w:type="page"/>
      </w:r>
    </w:p>
    <w:p w14:paraId="21605260">
      <w:pPr>
        <w:jc w:val="center"/>
        <w:outlineLvl w:val="0"/>
        <w:rPr>
          <w:b/>
          <w:bCs/>
          <w:color w:val="000000" w:themeColor="text1"/>
          <w:sz w:val="32"/>
          <w:szCs w:val="32"/>
          <w:highlight w:val="none"/>
          <w14:textFill>
            <w14:solidFill>
              <w14:schemeClr w14:val="tx1"/>
            </w14:solidFill>
          </w14:textFill>
        </w:rPr>
      </w:pPr>
      <w:bookmarkStart w:id="35" w:name="_Toc16791"/>
      <w:r>
        <w:rPr>
          <w:rFonts w:hint="eastAsia"/>
          <w:b/>
          <w:bCs/>
          <w:color w:val="000000" w:themeColor="text1"/>
          <w:sz w:val="32"/>
          <w:szCs w:val="32"/>
          <w:highlight w:val="none"/>
          <w14:textFill>
            <w14:solidFill>
              <w14:schemeClr w14:val="tx1"/>
            </w14:solidFill>
          </w14:textFill>
        </w:rPr>
        <w:t xml:space="preserve">第三章  </w:t>
      </w:r>
      <w:r>
        <w:rPr>
          <w:rFonts w:hint="eastAsia"/>
          <w:b/>
          <w:bCs/>
          <w:color w:val="000000" w:themeColor="text1"/>
          <w:sz w:val="32"/>
          <w:szCs w:val="32"/>
          <w:highlight w:val="none"/>
          <w:lang w:eastAsia="zh-CN"/>
          <w14:textFill>
            <w14:solidFill>
              <w14:schemeClr w14:val="tx1"/>
            </w14:solidFill>
          </w14:textFill>
        </w:rPr>
        <w:t>供应商</w:t>
      </w:r>
      <w:r>
        <w:rPr>
          <w:rFonts w:hint="eastAsia"/>
          <w:b/>
          <w:bCs/>
          <w:color w:val="000000" w:themeColor="text1"/>
          <w:sz w:val="32"/>
          <w:szCs w:val="32"/>
          <w:highlight w:val="none"/>
          <w14:textFill>
            <w14:solidFill>
              <w14:schemeClr w14:val="tx1"/>
            </w14:solidFill>
          </w14:textFill>
        </w:rPr>
        <w:t>须知</w:t>
      </w:r>
      <w:bookmarkEnd w:id="35"/>
    </w:p>
    <w:p w14:paraId="06593490">
      <w:pPr>
        <w:snapToGrid w:val="0"/>
        <w:spacing w:beforeLines="50" w:line="360" w:lineRule="auto"/>
        <w:jc w:val="center"/>
        <w:outlineLvl w:val="1"/>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4E1E34FE">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F52311">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7CBB21">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内容、要求</w:t>
            </w:r>
          </w:p>
        </w:tc>
      </w:tr>
      <w:tr w14:paraId="4D5ADFC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A6578A">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616AB3C">
            <w:pPr>
              <w:widowControl/>
              <w:snapToGrid w:val="0"/>
              <w:spacing w:line="440" w:lineRule="exact"/>
              <w:jc w:val="left"/>
              <w:outlineLvl w:val="0"/>
              <w:rPr>
                <w:rFonts w:hint="default" w:ascii="宋体" w:hAnsi="宋体" w:eastAsia="宋体" w:cs="宋体"/>
                <w:color w:val="000000" w:themeColor="text1"/>
                <w:highlight w:val="none"/>
                <w:lang w:val="en-US"/>
                <w14:textFill>
                  <w14:solidFill>
                    <w14:schemeClr w14:val="tx1"/>
                  </w14:solidFill>
                </w14:textFill>
              </w:rPr>
            </w:pPr>
            <w:bookmarkStart w:id="36" w:name="_Toc30169"/>
            <w:r>
              <w:rPr>
                <w:rFonts w:hint="eastAsia"/>
                <w:color w:val="000000" w:themeColor="text1"/>
                <w:highlight w:val="none"/>
                <w14:textFill>
                  <w14:solidFill>
                    <w14:schemeClr w14:val="tx1"/>
                  </w14:solidFill>
                </w14:textFill>
              </w:rPr>
              <w:t>1.1 项目名称：</w:t>
            </w:r>
            <w:bookmarkEnd w:id="36"/>
            <w:r>
              <w:rPr>
                <w:rFonts w:hint="eastAsia"/>
                <w:color w:val="000000" w:themeColor="text1"/>
                <w:highlight w:val="none"/>
                <w:lang w:val="en-US" w:eastAsia="zh-CN"/>
                <w14:textFill>
                  <w14:solidFill>
                    <w14:schemeClr w14:val="tx1"/>
                  </w14:solidFill>
                </w14:textFill>
              </w:rPr>
              <w:t>驻马店市中心医院妇儿院区超市经营权采购项目（二次）</w:t>
            </w:r>
          </w:p>
          <w:p w14:paraId="705DBECC">
            <w:pPr>
              <w:widowControl/>
              <w:snapToGrid w:val="0"/>
              <w:spacing w:line="440" w:lineRule="exact"/>
              <w:jc w:val="left"/>
              <w:outlineLvl w:val="0"/>
              <w:rPr>
                <w:rFonts w:hint="eastAsia"/>
                <w:color w:val="000000" w:themeColor="text1"/>
                <w:highlight w:val="none"/>
                <w14:textFill>
                  <w14:solidFill>
                    <w14:schemeClr w14:val="tx1"/>
                  </w14:solidFill>
                </w14:textFill>
              </w:rPr>
            </w:pPr>
            <w:bookmarkStart w:id="37" w:name="_Toc23424"/>
            <w:r>
              <w:rPr>
                <w:rFonts w:hint="eastAsia"/>
                <w:color w:val="000000" w:themeColor="text1"/>
                <w:highlight w:val="none"/>
                <w14:textFill>
                  <w14:solidFill>
                    <w14:schemeClr w14:val="tx1"/>
                  </w14:solidFill>
                </w14:textFill>
              </w:rPr>
              <w:t>1.2 采购人名称：驻马店市中心医院</w:t>
            </w:r>
            <w:bookmarkEnd w:id="37"/>
          </w:p>
          <w:p w14:paraId="49D0AE6D">
            <w:pPr>
              <w:widowControl/>
              <w:snapToGrid w:val="0"/>
              <w:spacing w:line="440" w:lineRule="exact"/>
              <w:jc w:val="left"/>
              <w:outlineLvl w:val="0"/>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bookmarkStart w:id="38" w:name="_Toc3148"/>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采购范围：详</w:t>
            </w:r>
            <w:r>
              <w:rPr>
                <w:rFonts w:hint="eastAsia"/>
                <w:color w:val="000000" w:themeColor="text1"/>
                <w:highlight w:val="none"/>
                <w:lang w:val="en-US" w:eastAsia="zh-CN"/>
                <w14:textFill>
                  <w14:solidFill>
                    <w14:schemeClr w14:val="tx1"/>
                  </w14:solidFill>
                </w14:textFill>
              </w:rPr>
              <w:t>见第二章采购</w:t>
            </w:r>
            <w:r>
              <w:rPr>
                <w:rFonts w:hint="eastAsia"/>
                <w:color w:val="000000" w:themeColor="text1"/>
                <w:highlight w:val="none"/>
                <w14:textFill>
                  <w14:solidFill>
                    <w14:schemeClr w14:val="tx1"/>
                  </w14:solidFill>
                </w14:textFill>
              </w:rPr>
              <w:t>需求</w:t>
            </w:r>
            <w:bookmarkEnd w:id="38"/>
          </w:p>
        </w:tc>
      </w:tr>
      <w:tr w14:paraId="05605D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89AC8D">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494FF9">
            <w:pPr>
              <w:widowControl/>
              <w:spacing w:line="44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合格</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公告第二项规定的条件。</w:t>
            </w:r>
          </w:p>
        </w:tc>
      </w:tr>
      <w:tr w14:paraId="6DE8CE3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5BC5A8">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DA0ECC">
            <w:pPr>
              <w:widowControl/>
              <w:snapToGrid w:val="0"/>
              <w:spacing w:line="440" w:lineRule="exact"/>
              <w:jc w:val="left"/>
              <w:rPr>
                <w:rFonts w:hint="eastAsia" w:ascii="宋体" w:hAnsi="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采购预算：</w:t>
            </w:r>
            <w:r>
              <w:rPr>
                <w:rFonts w:hint="eastAsia" w:ascii="宋体" w:hAnsi="宋体" w:cs="宋体"/>
                <w:color w:val="000000" w:themeColor="text1"/>
                <w:kern w:val="0"/>
                <w:szCs w:val="21"/>
                <w:highlight w:val="none"/>
                <w:lang w:val="en-US" w:eastAsia="zh-CN"/>
                <w14:textFill>
                  <w14:solidFill>
                    <w14:schemeClr w14:val="tx1"/>
                  </w14:solidFill>
                </w14:textFill>
              </w:rPr>
              <w:t>26.64万元</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；最低投标限价:8.88万元/年</w:t>
            </w:r>
            <w:r>
              <w:rPr>
                <w:rFonts w:hint="eastAsia" w:ascii="宋体" w:hAnsi="宋体" w:cs="宋体"/>
                <w:color w:val="000000" w:themeColor="text1"/>
                <w:kern w:val="0"/>
                <w:szCs w:val="21"/>
                <w:highlight w:val="none"/>
                <w:lang w:eastAsia="zh-CN"/>
                <w14:textFill>
                  <w14:solidFill>
                    <w14:schemeClr w14:val="tx1"/>
                  </w14:solidFill>
                </w14:textFill>
              </w:rPr>
              <w:t>；</w:t>
            </w:r>
          </w:p>
          <w:p w14:paraId="0ACBCD71">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 本项目投标以人民币报价。</w:t>
            </w:r>
          </w:p>
          <w:p w14:paraId="746A1C68">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3.2 </w:t>
            </w:r>
            <w:r>
              <w:rPr>
                <w:rFonts w:hint="eastAsia" w:ascii="宋体" w:hAnsi="宋体" w:cs="宋体"/>
                <w:color w:val="000000" w:themeColor="text1"/>
                <w:kern w:val="0"/>
                <w:szCs w:val="21"/>
                <w:highlight w:val="none"/>
                <w:lang w:val="en-US" w:eastAsia="zh-CN"/>
                <w14:textFill>
                  <w14:solidFill>
                    <w14:schemeClr w14:val="tx1"/>
                  </w14:solidFill>
                </w14:textFill>
              </w:rPr>
              <w:t>报价次数≥2轮（含磋商响应文件中的报价），</w:t>
            </w:r>
            <w:r>
              <w:rPr>
                <w:rFonts w:hint="eastAsia" w:ascii="宋体" w:hAnsi="宋体" w:cs="宋体"/>
                <w:color w:val="000000" w:themeColor="text1"/>
                <w:kern w:val="0"/>
                <w:szCs w:val="21"/>
                <w:highlight w:val="none"/>
                <w14:textFill>
                  <w14:solidFill>
                    <w14:schemeClr w14:val="tx1"/>
                  </w14:solidFill>
                </w14:textFill>
              </w:rPr>
              <w:t>后一轮报价不得</w:t>
            </w:r>
            <w:r>
              <w:rPr>
                <w:rFonts w:hint="eastAsia" w:ascii="宋体" w:hAnsi="宋体" w:cs="宋体"/>
                <w:color w:val="000000" w:themeColor="text1"/>
                <w:kern w:val="0"/>
                <w:szCs w:val="21"/>
                <w:highlight w:val="none"/>
                <w:lang w:val="en-US" w:eastAsia="zh-CN"/>
                <w14:textFill>
                  <w14:solidFill>
                    <w14:schemeClr w14:val="tx1"/>
                  </w14:solidFill>
                </w14:textFill>
              </w:rPr>
              <w:t>低于</w:t>
            </w:r>
            <w:r>
              <w:rPr>
                <w:rFonts w:hint="eastAsia" w:ascii="宋体" w:hAnsi="宋体" w:cs="宋体"/>
                <w:color w:val="000000" w:themeColor="text1"/>
                <w:kern w:val="0"/>
                <w:szCs w:val="21"/>
                <w:highlight w:val="none"/>
                <w14:textFill>
                  <w14:solidFill>
                    <w14:schemeClr w14:val="tx1"/>
                  </w14:solidFill>
                </w14:textFill>
              </w:rPr>
              <w:t>前一轮的报价。</w:t>
            </w:r>
          </w:p>
          <w:p w14:paraId="28448D9D">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 本项目</w:t>
            </w:r>
            <w:r>
              <w:rPr>
                <w:rFonts w:hint="eastAsia" w:ascii="宋体" w:hAnsi="宋体" w:cs="宋体"/>
                <w:color w:val="000000" w:themeColor="text1"/>
                <w:kern w:val="0"/>
                <w:szCs w:val="21"/>
                <w:highlight w:val="none"/>
                <w:lang w:val="en-US" w:eastAsia="zh-CN"/>
                <w14:textFill>
                  <w14:solidFill>
                    <w14:schemeClr w14:val="tx1"/>
                  </w14:solidFill>
                </w14:textFill>
              </w:rPr>
              <w:t>由成交供应商缴纳</w:t>
            </w:r>
            <w:r>
              <w:rPr>
                <w:rFonts w:hint="eastAsia" w:ascii="宋体" w:hAnsi="宋体" w:cs="宋体"/>
                <w:color w:val="000000" w:themeColor="text1"/>
                <w:kern w:val="0"/>
                <w:szCs w:val="21"/>
                <w:highlight w:val="none"/>
                <w14:textFill>
                  <w14:solidFill>
                    <w14:schemeClr w14:val="tx1"/>
                  </w14:solidFill>
                </w14:textFill>
              </w:rPr>
              <w:t>招标代理服务费。</w:t>
            </w:r>
          </w:p>
        </w:tc>
      </w:tr>
      <w:tr w14:paraId="7AFE132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9229E8">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F94E75D">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现场踏勘或标前答疑：本项目不组织现场踏勘或标前答疑会。</w:t>
            </w:r>
          </w:p>
        </w:tc>
      </w:tr>
      <w:tr w14:paraId="1A324AA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4DBF6C">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272E17">
            <w:pPr>
              <w:widowControl/>
              <w:snapToGrid w:val="0"/>
              <w:spacing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投标文件组成</w:t>
            </w:r>
            <w:r>
              <w:rPr>
                <w:rFonts w:hint="eastAsia" w:ascii="宋体" w:hAnsi="宋体" w:eastAsia="宋体" w:cs="宋体"/>
                <w:color w:val="000000" w:themeColor="text1"/>
                <w:highlight w:val="none"/>
                <w14:textFill>
                  <w14:solidFill>
                    <w14:schemeClr w14:val="tx1"/>
                  </w14:solidFill>
                </w14:textFill>
              </w:rPr>
              <w:t>：纸质投标文件正本1份</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副本2份</w:t>
            </w:r>
            <w:r>
              <w:rPr>
                <w:rFonts w:hint="eastAsia" w:ascii="宋体" w:hAnsi="宋体" w:eastAsia="宋体" w:cs="宋体"/>
                <w:color w:val="000000" w:themeColor="text1"/>
                <w:highlight w:val="none"/>
                <w14:textFill>
                  <w14:solidFill>
                    <w14:schemeClr w14:val="tx1"/>
                  </w14:solidFill>
                </w14:textFill>
              </w:rPr>
              <w:t>。</w:t>
            </w:r>
          </w:p>
        </w:tc>
      </w:tr>
      <w:tr w14:paraId="2A92AA8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67E3F1">
            <w:pPr>
              <w:widowControl/>
              <w:snapToGrid w:val="0"/>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172E26">
            <w:pPr>
              <w:widowControl/>
              <w:snapToGri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kern w:val="0"/>
                <w:szCs w:val="21"/>
                <w:highlight w:val="none"/>
                <w:lang w:val="en-US" w:eastAsia="zh-CN"/>
                <w14:textFill>
                  <w14:solidFill>
                    <w14:schemeClr w14:val="tx1"/>
                  </w14:solidFill>
                </w14:textFill>
              </w:rPr>
              <w:t>及开标时间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p>
          <w:p w14:paraId="7B5A90C5">
            <w:pPr>
              <w:widowControl/>
              <w:snapToGrid w:val="0"/>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投标文件递交地点</w:t>
            </w:r>
            <w:r>
              <w:rPr>
                <w:rFonts w:hint="eastAsia" w:ascii="宋体" w:hAnsi="宋体" w:cs="宋体"/>
                <w:color w:val="000000" w:themeColor="text1"/>
                <w:kern w:val="0"/>
                <w:szCs w:val="21"/>
                <w:highlight w:val="none"/>
                <w:lang w:val="en-US" w:eastAsia="zh-CN"/>
                <w14:textFill>
                  <w14:solidFill>
                    <w14:schemeClr w14:val="tx1"/>
                  </w14:solidFill>
                </w14:textFill>
              </w:rPr>
              <w:t>及开标地点</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另行通知</w:t>
            </w:r>
            <w:r>
              <w:rPr>
                <w:rFonts w:hint="eastAsia" w:ascii="宋体" w:hAnsi="宋体" w:cs="宋体"/>
                <w:color w:val="000000" w:themeColor="text1"/>
                <w:kern w:val="0"/>
                <w:szCs w:val="21"/>
                <w:highlight w:val="none"/>
                <w14:textFill>
                  <w14:solidFill>
                    <w14:schemeClr w14:val="tx1"/>
                  </w14:solidFill>
                </w14:textFill>
              </w:rPr>
              <w:t>。</w:t>
            </w:r>
          </w:p>
        </w:tc>
      </w:tr>
      <w:tr w14:paraId="514F8E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17BCFD">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5C73CB">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w:t>
            </w:r>
            <w:r>
              <w:rPr>
                <w:rFonts w:hint="eastAsia" w:ascii="宋体" w:hAnsi="宋体" w:cs="宋体"/>
                <w:color w:val="000000" w:themeColor="text1"/>
                <w:kern w:val="0"/>
                <w:szCs w:val="21"/>
                <w:highlight w:val="none"/>
                <w14:textFill>
                  <w14:solidFill>
                    <w14:schemeClr w14:val="tx1"/>
                  </w14:solidFill>
                </w14:textFill>
              </w:rPr>
              <w:t>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人</w:t>
            </w:r>
            <w:r>
              <w:rPr>
                <w:rFonts w:hint="eastAsia" w:ascii="宋体" w:hAnsi="宋体" w:cs="宋体"/>
                <w:color w:val="000000" w:themeColor="text1"/>
                <w:highlight w:val="none"/>
                <w:lang w:val="en-US" w:eastAsia="zh-CN"/>
                <w14:textFill>
                  <w14:solidFill>
                    <w14:schemeClr w14:val="tx1"/>
                  </w14:solidFill>
                </w14:textFill>
              </w:rPr>
              <w:t>及以上单数</w:t>
            </w:r>
            <w:r>
              <w:rPr>
                <w:rFonts w:hint="eastAsia" w:ascii="宋体" w:hAnsi="宋体" w:cs="宋体"/>
                <w:color w:val="000000" w:themeColor="text1"/>
                <w:kern w:val="0"/>
                <w:szCs w:val="21"/>
                <w:highlight w:val="none"/>
                <w14:textFill>
                  <w14:solidFill>
                    <w14:schemeClr w14:val="tx1"/>
                  </w14:solidFill>
                </w14:textFill>
              </w:rPr>
              <w:t>。</w:t>
            </w:r>
          </w:p>
          <w:p w14:paraId="051B2757">
            <w:pPr>
              <w:widowControl/>
              <w:spacing w:line="44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专家确定方式：</w:t>
            </w:r>
            <w:r>
              <w:rPr>
                <w:rFonts w:hint="eastAsia" w:ascii="宋体" w:hAnsi="宋体" w:cs="宋体"/>
                <w:color w:val="000000" w:themeColor="text1"/>
                <w:kern w:val="0"/>
                <w:szCs w:val="21"/>
                <w:highlight w:val="none"/>
                <w14:textFill>
                  <w14:solidFill>
                    <w14:schemeClr w14:val="tx1"/>
                  </w14:solidFill>
                </w14:textFill>
              </w:rPr>
              <w:t>由采购人</w:t>
            </w:r>
            <w:r>
              <w:rPr>
                <w:rFonts w:hint="eastAsia" w:ascii="宋体" w:hAnsi="宋体" w:cs="宋体"/>
                <w:color w:val="000000" w:themeColor="text1"/>
                <w:kern w:val="0"/>
                <w:szCs w:val="21"/>
                <w:highlight w:val="none"/>
                <w:lang w:val="en-US" w:eastAsia="zh-CN"/>
                <w14:textFill>
                  <w14:solidFill>
                    <w14:schemeClr w14:val="tx1"/>
                  </w14:solidFill>
                </w14:textFill>
              </w:rPr>
              <w:t>抽取相关的技术人员组成</w:t>
            </w:r>
            <w:r>
              <w:rPr>
                <w:rFonts w:hint="eastAsia" w:ascii="宋体" w:hAnsi="宋体" w:cs="宋体"/>
                <w:color w:val="000000" w:themeColor="text1"/>
                <w:kern w:val="0"/>
                <w:szCs w:val="21"/>
                <w:highlight w:val="none"/>
                <w14:textFill>
                  <w14:solidFill>
                    <w14:schemeClr w14:val="tx1"/>
                  </w14:solidFill>
                </w14:textFill>
              </w:rPr>
              <w:t>。</w:t>
            </w:r>
          </w:p>
        </w:tc>
      </w:tr>
      <w:tr w14:paraId="5660D7E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DD58DF3">
            <w:pPr>
              <w:widowControl/>
              <w:spacing w:line="24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1BF84C6">
            <w:pPr>
              <w:spacing w:line="24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r>
              <w:rPr>
                <w:rFonts w:hint="eastAsia" w:ascii="宋体" w:hAnsi="宋体" w:cs="宋体"/>
                <w:color w:val="000000" w:themeColor="text1"/>
                <w:kern w:val="0"/>
                <w:szCs w:val="21"/>
                <w:highlight w:val="none"/>
                <w14:textFill>
                  <w14:solidFill>
                    <w14:schemeClr w14:val="tx1"/>
                  </w14:solidFill>
                </w14:textFill>
              </w:rPr>
              <w:t>本项目采用</w:t>
            </w:r>
            <w:r>
              <w:rPr>
                <w:rFonts w:hint="eastAsia" w:ascii="宋体" w:hAnsi="宋体" w:cs="宋体"/>
                <w:color w:val="000000" w:themeColor="text1"/>
                <w:szCs w:val="21"/>
                <w:highlight w:val="none"/>
                <w14:textFill>
                  <w14:solidFill>
                    <w14:schemeClr w14:val="tx1"/>
                  </w14:solidFill>
                </w14:textFill>
              </w:rPr>
              <w:t>综合评分法</w:t>
            </w:r>
            <w:r>
              <w:rPr>
                <w:rFonts w:hint="eastAsia" w:ascii="宋体" w:hAnsi="宋体" w:cs="宋体"/>
                <w:color w:val="000000" w:themeColor="text1"/>
                <w:kern w:val="0"/>
                <w:szCs w:val="21"/>
                <w:highlight w:val="none"/>
                <w14:textFill>
                  <w14:solidFill>
                    <w14:schemeClr w14:val="tx1"/>
                  </w14:solidFill>
                </w14:textFill>
              </w:rPr>
              <w:t>。</w:t>
            </w:r>
          </w:p>
        </w:tc>
      </w:tr>
      <w:tr w14:paraId="2C7EBF5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3B770C">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3C5905">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公告及</w:t>
            </w:r>
            <w:r>
              <w:rPr>
                <w:rFonts w:hint="eastAsia" w:ascii="宋体" w:hAnsi="宋体" w:cs="宋体"/>
                <w:color w:val="000000" w:themeColor="text1"/>
                <w:kern w:val="0"/>
                <w:szCs w:val="21"/>
                <w:highlight w:val="none"/>
                <w:lang w:eastAsia="zh-CN"/>
                <w14:textFill>
                  <w14:solidFill>
                    <w14:schemeClr w14:val="tx1"/>
                  </w14:solidFill>
                </w14:textFill>
              </w:rPr>
              <w:t>成交</w:t>
            </w:r>
            <w:r>
              <w:rPr>
                <w:rFonts w:hint="eastAsia" w:ascii="宋体" w:hAnsi="宋体" w:eastAsia="宋体" w:cs="宋体"/>
                <w:color w:val="000000" w:themeColor="text1"/>
                <w:kern w:val="0"/>
                <w:szCs w:val="21"/>
                <w:highlight w:val="none"/>
                <w14:textFill>
                  <w14:solidFill>
                    <w14:schemeClr w14:val="tx1"/>
                  </w14:solidFill>
                </w14:textFill>
              </w:rPr>
              <w:t>通知书：由采购人授权磋商小组确定一名成交人并推荐一名成交候选人。评审结束后在《驻马店市中心医院》官网上发布成交公告，公示期结束后向成交人发出成交通知书。</w:t>
            </w:r>
          </w:p>
        </w:tc>
      </w:tr>
      <w:tr w14:paraId="35B6A85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94F5B44">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30C4D0">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签订合同：自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w:t>
            </w:r>
            <w:r>
              <w:rPr>
                <w:rFonts w:hint="eastAsia" w:ascii="宋体" w:hAnsi="宋体" w:cs="宋体"/>
                <w:color w:val="000000" w:themeColor="text1"/>
                <w:kern w:val="0"/>
                <w:szCs w:val="21"/>
                <w:highlight w:val="none"/>
                <w:lang w:val="en-US" w:eastAsia="zh-CN"/>
                <w14:textFill>
                  <w14:solidFill>
                    <w14:schemeClr w14:val="tx1"/>
                  </w14:solidFill>
                </w14:textFill>
              </w:rPr>
              <w:t>30日</w:t>
            </w:r>
            <w:r>
              <w:rPr>
                <w:rFonts w:hint="eastAsia" w:ascii="宋体" w:hAnsi="宋体" w:cs="宋体"/>
                <w:color w:val="000000" w:themeColor="text1"/>
                <w:kern w:val="0"/>
                <w:szCs w:val="21"/>
                <w:highlight w:val="none"/>
                <w14:textFill>
                  <w14:solidFill>
                    <w14:schemeClr w14:val="tx1"/>
                  </w14:solidFill>
                </w14:textFill>
              </w:rPr>
              <w:t>内。</w:t>
            </w:r>
          </w:p>
        </w:tc>
      </w:tr>
      <w:tr w14:paraId="607874A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7BB7F6">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DFAD341">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采购资金来源：自筹资金。</w:t>
            </w:r>
          </w:p>
        </w:tc>
      </w:tr>
      <w:tr w14:paraId="5929701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EE18E8">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175C0A">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付款方式：详见第二章</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tc>
      </w:tr>
      <w:tr w14:paraId="78C2AD19">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438AC0">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12381F1">
            <w:pPr>
              <w:widowControl/>
              <w:spacing w:line="440" w:lineRule="exact"/>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投标文件有效期：投标</w:t>
            </w:r>
            <w:r>
              <w:rPr>
                <w:rFonts w:hint="eastAsia" w:ascii="宋体" w:hAnsi="宋体" w:cs="宋体"/>
                <w:color w:val="000000" w:themeColor="text1"/>
                <w:kern w:val="0"/>
                <w:szCs w:val="21"/>
                <w:highlight w:val="none"/>
                <w:lang w:val="en-US" w:eastAsia="zh-CN"/>
                <w14:textFill>
                  <w14:solidFill>
                    <w14:schemeClr w14:val="tx1"/>
                  </w14:solidFill>
                </w14:textFill>
              </w:rPr>
              <w:t>文件递交</w:t>
            </w:r>
            <w:r>
              <w:rPr>
                <w:rFonts w:hint="eastAsia" w:ascii="宋体" w:hAnsi="宋体" w:cs="宋体"/>
                <w:color w:val="000000" w:themeColor="text1"/>
                <w:kern w:val="0"/>
                <w:szCs w:val="21"/>
                <w:highlight w:val="none"/>
                <w14:textFill>
                  <w14:solidFill>
                    <w14:schemeClr w14:val="tx1"/>
                  </w14:solidFill>
                </w14:textFill>
              </w:rPr>
              <w:t>截止期结束后</w:t>
            </w:r>
            <w:r>
              <w:rPr>
                <w:rFonts w:hint="eastAsia" w:ascii="宋体" w:hAnsi="宋体" w:cs="宋体"/>
                <w:color w:val="000000" w:themeColor="text1"/>
                <w:kern w:val="0"/>
                <w:szCs w:val="21"/>
                <w:highlight w:val="none"/>
                <w:lang w:val="en-US" w:eastAsia="zh-CN"/>
                <w14:textFill>
                  <w14:solidFill>
                    <w14:schemeClr w14:val="tx1"/>
                  </w14:solidFill>
                </w14:textFill>
              </w:rPr>
              <w:t>90</w:t>
            </w:r>
            <w:r>
              <w:rPr>
                <w:rFonts w:hint="eastAsia" w:ascii="宋体" w:hAnsi="宋体" w:cs="宋体"/>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的投标文件是合同的组成部分,有效期至合同完全履行止。 </w:t>
            </w:r>
          </w:p>
        </w:tc>
      </w:tr>
      <w:tr w14:paraId="058FDCD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843398E">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495FF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C81E1A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B86E2A2">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4B1B692">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000000" w:themeColor="text1"/>
                <w:szCs w:val="21"/>
                <w:highlight w:val="none"/>
                <w14:textFill>
                  <w14:solidFill>
                    <w14:schemeClr w14:val="tx1"/>
                  </w14:solidFill>
                </w14:textFill>
              </w:rPr>
              <w:t>。</w:t>
            </w:r>
          </w:p>
        </w:tc>
      </w:tr>
      <w:tr w14:paraId="380E824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C74001">
            <w:pPr>
              <w:widowControl/>
              <w:snapToGrid w:val="0"/>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6FDA56">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质疑和投诉：供应商认为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bCs/>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tc>
      </w:tr>
      <w:tr w14:paraId="0D883706">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A31503">
            <w:pPr>
              <w:widowControl/>
              <w:spacing w:line="460" w:lineRule="atLeast"/>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BECF6E">
            <w:pPr>
              <w:widowControl/>
              <w:spacing w:line="360" w:lineRule="auto"/>
              <w:jc w:val="left"/>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解释：1、构成本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文件的各个组成文件应互为解释，互为说明；如有不明确或不一致，构成合同文件组成内容的，以合同文件约定内容为准；除</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文件中有特殊规定外，仅适用于招标投标阶段的规定，按</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公告、供应商须知、评标办法、投标文件格式的先后顺序解释；同一组成文件中就同一事项的规定或约定不一致的，以编排顺序在后者为准；当</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文件与</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文件的澄清、修改或补充通知就同一内容的表述不一致时，以最后发出的书面文件为准。合同文件约定或后者明显错误的除外。</w:t>
            </w:r>
          </w:p>
          <w:p w14:paraId="5119C8D7">
            <w:pPr>
              <w:widowControl/>
              <w:spacing w:line="360" w:lineRule="auto"/>
              <w:jc w:val="left"/>
              <w:textAlignment w:val="bottom"/>
              <w:rPr>
                <w:rFonts w:ascii="宋体" w:hAnsi="宋体" w:cs="宋体"/>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2、本</w:t>
            </w:r>
            <w:r>
              <w:rPr>
                <w:rFonts w:hint="eastAsia"/>
                <w:color w:val="000000" w:themeColor="text1"/>
                <w:highlight w:val="none"/>
                <w:lang w:val="en-US" w:eastAsia="zh-CN"/>
                <w14:textFill>
                  <w14:solidFill>
                    <w14:schemeClr w14:val="tx1"/>
                  </w14:solidFill>
                </w14:textFill>
              </w:rPr>
              <w:t>采购</w:t>
            </w:r>
            <w:r>
              <w:rPr>
                <w:rFonts w:hint="eastAsia"/>
                <w:color w:val="000000" w:themeColor="text1"/>
                <w:highlight w:val="none"/>
                <w14:textFill>
                  <w14:solidFill>
                    <w14:schemeClr w14:val="tx1"/>
                  </w14:solidFill>
                </w14:textFill>
              </w:rPr>
              <w:t>文件解释权归采购人。</w:t>
            </w:r>
          </w:p>
        </w:tc>
      </w:tr>
    </w:tbl>
    <w:p w14:paraId="73079A1B">
      <w:pPr>
        <w:rPr>
          <w:color w:val="000000" w:themeColor="text1"/>
          <w:highlight w:val="none"/>
          <w14:textFill>
            <w14:solidFill>
              <w14:schemeClr w14:val="tx1"/>
            </w14:solidFill>
          </w14:textFill>
        </w:rPr>
      </w:pPr>
    </w:p>
    <w:p w14:paraId="040E94C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28"/>
          <w:szCs w:val="28"/>
          <w:highlight w:val="none"/>
          <w14:textFill>
            <w14:solidFill>
              <w14:schemeClr w14:val="tx1"/>
            </w14:solidFill>
          </w14:textFill>
        </w:rPr>
        <w:t>一 、说 明</w:t>
      </w:r>
    </w:p>
    <w:p w14:paraId="299D3B66">
      <w:pPr>
        <w:keepNext w:val="0"/>
        <w:keepLines w:val="0"/>
        <w:pageBreakBefore w:val="0"/>
        <w:kinsoku/>
        <w:wordWrap/>
        <w:overflowPunct/>
        <w:topLinePunct w:val="0"/>
        <w:bidi w:val="0"/>
        <w:snapToGrid w:val="0"/>
        <w:spacing w:line="360" w:lineRule="auto"/>
        <w:rPr>
          <w:color w:val="000000" w:themeColor="text1"/>
          <w:highlight w:val="none"/>
          <w14:textFill>
            <w14:solidFill>
              <w14:schemeClr w14:val="tx1"/>
            </w14:solidFill>
          </w14:textFill>
        </w:rPr>
      </w:pPr>
    </w:p>
    <w:p w14:paraId="732E12F4">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1.适用范围</w:t>
      </w:r>
    </w:p>
    <w:p w14:paraId="003E92F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文件仅适用于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49C54957">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2.定义</w:t>
      </w:r>
    </w:p>
    <w:p w14:paraId="544384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 “采购人”系指</w:t>
      </w:r>
      <w:r>
        <w:rPr>
          <w:rFonts w:hint="eastAsia" w:ascii="宋体" w:hAnsi="宋体" w:eastAsia="宋体" w:cs="宋体"/>
          <w:color w:val="000000" w:themeColor="text1"/>
          <w:kern w:val="0"/>
          <w:szCs w:val="21"/>
          <w:highlight w:val="none"/>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3AADCFD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2E27D9D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465CC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14:paraId="74BF874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3.采购预算：</w:t>
      </w:r>
      <w:r>
        <w:rPr>
          <w:rFonts w:hint="eastAsia" w:ascii="宋体" w:hAnsi="宋体" w:cs="宋体"/>
          <w:b/>
          <w:bCs/>
          <w:color w:val="000000" w:themeColor="text1"/>
          <w:kern w:val="0"/>
          <w:szCs w:val="21"/>
          <w:highlight w:val="none"/>
          <w:lang w:val="en-US" w:eastAsia="zh-CN"/>
          <w14:textFill>
            <w14:solidFill>
              <w14:schemeClr w14:val="tx1"/>
            </w14:solidFill>
          </w14:textFill>
        </w:rPr>
        <w:t>26.64万元；最低投标限价:8.88万元/年</w:t>
      </w:r>
      <w:r>
        <w:rPr>
          <w:rFonts w:hint="eastAsia" w:ascii="宋体" w:hAnsi="宋体" w:cs="宋体"/>
          <w:b/>
          <w:bCs/>
          <w:color w:val="000000" w:themeColor="text1"/>
          <w:kern w:val="0"/>
          <w:szCs w:val="21"/>
          <w:highlight w:val="none"/>
          <w:lang w:eastAsia="zh-CN"/>
          <w14:textFill>
            <w14:solidFill>
              <w14:schemeClr w14:val="tx1"/>
            </w14:solidFill>
          </w14:textFill>
        </w:rPr>
        <w:t>；</w:t>
      </w:r>
    </w:p>
    <w:p w14:paraId="301CA50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应提交的证明文件</w:t>
      </w:r>
    </w:p>
    <w:p w14:paraId="03005E2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4.1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供应商应为注册在中华人民共和国境内的，且具有独立承担民事责任能力，提供营业执照等证明文件。</w:t>
      </w:r>
    </w:p>
    <w:p w14:paraId="12247B1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4.2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供应商应提供2022年度</w:t>
      </w:r>
      <w:r>
        <w:rPr>
          <w:rFonts w:hint="eastAsia" w:cs="宋体"/>
          <w:color w:val="000000" w:themeColor="text1"/>
          <w:kern w:val="2"/>
          <w:sz w:val="21"/>
          <w:szCs w:val="24"/>
          <w:highlight w:val="none"/>
          <w:lang w:val="en-US" w:eastAsia="zh-CN" w:bidi="ar-SA"/>
          <w14:textFill>
            <w14:solidFill>
              <w14:schemeClr w14:val="tx1"/>
            </w14:solidFill>
          </w14:textFill>
        </w:rPr>
        <w:t>或2023年度</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经审计的财务报告或者其基本开户银行出具的资信证明；采购活动近</w:t>
      </w:r>
      <w:r>
        <w:rPr>
          <w:rFonts w:hint="eastAsia" w:cs="宋体"/>
          <w:color w:val="000000" w:themeColor="text1"/>
          <w:kern w:val="2"/>
          <w:sz w:val="21"/>
          <w:szCs w:val="24"/>
          <w:highlight w:val="none"/>
          <w:lang w:val="en-US" w:eastAsia="zh-CN" w:bidi="ar-SA"/>
          <w14:textFill>
            <w14:solidFill>
              <w14:schemeClr w14:val="tx1"/>
            </w14:solidFill>
          </w14:textFill>
        </w:rPr>
        <w:t>六</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BA3263">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4.3 具有履行合同所必需的设备和专业技术能力（提供书面声明函）；</w:t>
      </w:r>
    </w:p>
    <w:p w14:paraId="0BEA321C">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4.4 参加本采购活动前三年内，在经营活动中没有重大违法记录（提供书面声明函）；</w:t>
      </w:r>
    </w:p>
    <w:p w14:paraId="5B523F7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kern w:val="2"/>
          <w:sz w:val="21"/>
          <w:szCs w:val="24"/>
          <w:highlight w:val="none"/>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14:paraId="6974AE9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4.6 单位负责人为同一人或者存在直接控股、管理关系的不同供应商，不得参加同一合同项下的投标（提供书面声明函）。一经发现，将导致投标同时被拒绝</w:t>
      </w:r>
      <w:r>
        <w:rPr>
          <w:rFonts w:hint="eastAsia" w:cs="宋体"/>
          <w:color w:val="000000" w:themeColor="text1"/>
          <w:kern w:val="2"/>
          <w:sz w:val="21"/>
          <w:szCs w:val="24"/>
          <w:highlight w:val="none"/>
          <w:lang w:val="en-US" w:eastAsia="zh-CN" w:bidi="ar-SA"/>
          <w14:textFill>
            <w14:solidFill>
              <w14:schemeClr w14:val="tx1"/>
            </w14:solidFill>
          </w14:textFill>
        </w:rPr>
        <w:t>。</w:t>
      </w:r>
    </w:p>
    <w:p w14:paraId="49E9F8B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5.投标费用</w:t>
      </w:r>
    </w:p>
    <w:p w14:paraId="009E044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不论投标结果如何，</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均应自行承担所有与投标有关的全部费用。</w:t>
      </w:r>
    </w:p>
    <w:p w14:paraId="6F67961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6.联合体投标：本项目不接受联合体投标。</w:t>
      </w:r>
    </w:p>
    <w:p w14:paraId="7EE12F40">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7.关联企业投标</w:t>
      </w:r>
    </w:p>
    <w:p w14:paraId="2DA0515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7.1 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文件所称关联企业,是指存在关联关系的企业。“关联关系”的界定适用《中华人民共和国公司法》第二百一十六条、《中华人民共和国政府采购法实施条例》第十八条之规定。</w:t>
      </w:r>
    </w:p>
    <w:p w14:paraId="44B2DD8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000000" w:themeColor="text1"/>
          <w:kern w:val="0"/>
          <w:szCs w:val="21"/>
          <w:highlight w:val="none"/>
          <w:lang w:eastAsia="zh-CN"/>
          <w14:textFill>
            <w14:solidFill>
              <w14:schemeClr w14:val="tx1"/>
            </w14:solidFill>
          </w14:textFill>
        </w:rPr>
        <w:t>。</w:t>
      </w:r>
    </w:p>
    <w:p w14:paraId="334ECE6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7.3 为采购项目提供整体设计、规范编制或者项目管理、监理、检测等服务的供应商，不得再参加该采购项目的投标活动。</w:t>
      </w:r>
    </w:p>
    <w:p w14:paraId="68A69A8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8.转包与分包</w:t>
      </w:r>
    </w:p>
    <w:p w14:paraId="1FF3140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8.1本项目不允许采取转包方式履行合同。</w:t>
      </w:r>
    </w:p>
    <w:p w14:paraId="14BACFA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8.2本项目不允许采取分包方式履行合同。</w:t>
      </w:r>
    </w:p>
    <w:p w14:paraId="2BC18AE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9.特别说明：</w:t>
      </w:r>
    </w:p>
    <w:p w14:paraId="433F010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9.1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投标所使用的资格、信誉、荣誉、业绩与企业认证必须为本法人所拥有。  </w:t>
      </w:r>
    </w:p>
    <w:p w14:paraId="48BFAA8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9.2</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代表只能接受一个</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的委托参加投标。</w:t>
      </w:r>
    </w:p>
    <w:p w14:paraId="3D27057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9.3《政府采购法》第二十二条第五款“参加政府采购活动前三年内，在经营活动中没有重大违法记录”，“重大违法记录”包括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或者其法定代表人、董事、监事、高级管理人员因经营活动中的违法行为受到行政处罚，但警告和罚款额在人民币3万元以下的行政处罚除外；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或其法定代表人、董事、监事、高级管理人员因经营活动中的违法行为受到刑事处罚。</w:t>
      </w:r>
    </w:p>
    <w:p w14:paraId="141583B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在投标活动中提供虚假材料或从事其他违法活动的,其投标无效，由相关部门查处。</w:t>
      </w:r>
    </w:p>
    <w:p w14:paraId="2FB43AC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10.质疑和投诉</w:t>
      </w:r>
    </w:p>
    <w:p w14:paraId="261CEA0D">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10.1 </w:t>
      </w:r>
      <w:r>
        <w:rPr>
          <w:rFonts w:hint="eastAsia" w:ascii="宋体" w:hAnsi="宋体" w:cs="宋体"/>
          <w:bCs/>
          <w:color w:val="000000" w:themeColor="text1"/>
          <w:kern w:val="0"/>
          <w:szCs w:val="21"/>
          <w:highlight w:val="none"/>
          <w14:textFill>
            <w14:solidFill>
              <w14:schemeClr w14:val="tx1"/>
            </w14:solidFill>
          </w14:textFill>
        </w:rPr>
        <w:t>供应商认为</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文件使自己的合法权益受到损害的，</w:t>
      </w:r>
      <w:r>
        <w:rPr>
          <w:rFonts w:hint="eastAsia" w:ascii="宋体" w:hAnsi="宋体" w:cs="宋体"/>
          <w:color w:val="000000" w:themeColor="text1"/>
          <w:kern w:val="0"/>
          <w:szCs w:val="21"/>
          <w:highlight w:val="none"/>
          <w14:textFill>
            <w14:solidFill>
              <w14:schemeClr w14:val="tx1"/>
            </w14:solidFill>
          </w14:textFill>
        </w:rPr>
        <w:t>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公告期限届满之日(或收到</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文件之日)起</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个工作日之内向</w:t>
      </w:r>
      <w:r>
        <w:rPr>
          <w:rFonts w:hint="eastAsia" w:ascii="宋体" w:hAnsi="宋体" w:cs="宋体"/>
          <w:bCs/>
          <w:color w:val="000000" w:themeColor="text1"/>
          <w:kern w:val="0"/>
          <w:szCs w:val="21"/>
          <w:highlight w:val="none"/>
          <w14:textFill>
            <w14:solidFill>
              <w14:schemeClr w14:val="tx1"/>
            </w14:solidFill>
          </w14:textFill>
        </w:rPr>
        <w:t>采购人提出质疑；供应商认为</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过程和中标结果使自己的合法权益受到损害的，应当在知道或者应知其权益受到损害之日起</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个工作日内提出质疑。</w:t>
      </w:r>
      <w:r>
        <w:rPr>
          <w:rFonts w:hint="eastAsia" w:ascii="宋体" w:hAnsi="宋体" w:cs="宋体"/>
          <w:color w:val="000000" w:themeColor="text1"/>
          <w:kern w:val="0"/>
          <w:szCs w:val="21"/>
          <w:highlight w:val="none"/>
          <w14:textFill>
            <w14:solidFill>
              <w14:schemeClr w14:val="tx1"/>
            </w14:solidFill>
          </w14:textFill>
        </w:rPr>
        <w:t>逾期不再受理,</w:t>
      </w:r>
      <w:r>
        <w:rPr>
          <w:rFonts w:hint="eastAsia" w:ascii="宋体" w:hAnsi="宋体" w:cs="宋体"/>
          <w:bCs/>
          <w:color w:val="000000" w:themeColor="text1"/>
          <w:kern w:val="0"/>
          <w:szCs w:val="21"/>
          <w:highlight w:val="none"/>
          <w14:textFill>
            <w14:solidFill>
              <w14:schemeClr w14:val="tx1"/>
            </w14:solidFill>
          </w14:textFill>
        </w:rPr>
        <w:t>供应商在法定质疑期内应一次性提出针对同一采购环节的质疑。</w:t>
      </w:r>
      <w:r>
        <w:rPr>
          <w:rFonts w:hint="eastAsia" w:ascii="宋体" w:hAnsi="宋体" w:cs="宋体"/>
          <w:color w:val="000000" w:themeColor="text1"/>
          <w:kern w:val="0"/>
          <w:szCs w:val="21"/>
          <w:highlight w:val="none"/>
          <w14:textFill>
            <w14:solidFill>
              <w14:schemeClr w14:val="tx1"/>
            </w14:solidFill>
          </w14:textFill>
        </w:rPr>
        <w:t>供应商对</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的质疑答复不满意,或</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未在规定时间内作出答复的，可以在答复期满后15个工作日内向</w:t>
      </w:r>
      <w:r>
        <w:rPr>
          <w:rFonts w:hint="eastAsia" w:ascii="宋体" w:hAnsi="宋体" w:cs="宋体"/>
          <w:color w:val="000000" w:themeColor="text1"/>
          <w:kern w:val="0"/>
          <w:szCs w:val="21"/>
          <w:highlight w:val="none"/>
          <w:lang w:val="en-US" w:eastAsia="zh-CN"/>
          <w14:textFill>
            <w14:solidFill>
              <w14:schemeClr w14:val="tx1"/>
            </w14:solidFill>
          </w14:textFill>
        </w:rPr>
        <w:t>医院纪检</w:t>
      </w:r>
      <w:r>
        <w:rPr>
          <w:rFonts w:hint="eastAsia" w:ascii="宋体" w:hAnsi="宋体" w:cs="宋体"/>
          <w:color w:val="000000" w:themeColor="text1"/>
          <w:kern w:val="0"/>
          <w:szCs w:val="21"/>
          <w:highlight w:val="none"/>
          <w14:textFill>
            <w14:solidFill>
              <w14:schemeClr w14:val="tx1"/>
            </w14:solidFill>
          </w14:textFill>
        </w:rPr>
        <w:t>部门投诉。</w:t>
      </w:r>
    </w:p>
    <w:p w14:paraId="257A3100">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10.2 </w:t>
      </w:r>
      <w:r>
        <w:rPr>
          <w:rFonts w:hint="eastAsia" w:ascii="宋体" w:hAnsi="宋体" w:cs="宋体"/>
          <w:bCs/>
          <w:color w:val="000000" w:themeColor="text1"/>
          <w:kern w:val="0"/>
          <w:szCs w:val="21"/>
          <w:highlight w:val="none"/>
          <w14:textFill>
            <w14:solidFill>
              <w14:schemeClr w14:val="tx1"/>
            </w14:solidFill>
          </w14:textFill>
        </w:rPr>
        <w:t>质疑、投诉应当采用书面形式，质疑书、投诉书均应明确阐述</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w:t>
      </w:r>
      <w:r>
        <w:rPr>
          <w:rFonts w:hint="eastAsia" w:ascii="宋体" w:hAnsi="宋体" w:cs="宋体"/>
          <w:bCs/>
          <w:color w:val="000000" w:themeColor="text1"/>
          <w:kern w:val="0"/>
          <w:szCs w:val="21"/>
          <w:highlight w:val="none"/>
          <w:lang w:eastAsia="zh-CN"/>
          <w14:textFill>
            <w14:solidFill>
              <w14:schemeClr w14:val="tx1"/>
            </w14:solidFill>
          </w14:textFill>
        </w:rPr>
        <w:t>磋商</w:t>
      </w:r>
      <w:r>
        <w:rPr>
          <w:rFonts w:hint="eastAsia" w:ascii="宋体" w:hAnsi="宋体" w:cs="宋体"/>
          <w:bCs/>
          <w:color w:val="000000" w:themeColor="text1"/>
          <w:kern w:val="0"/>
          <w:szCs w:val="21"/>
          <w:highlight w:val="none"/>
          <w14:textFill>
            <w14:solidFill>
              <w14:schemeClr w14:val="tx1"/>
            </w14:solidFill>
          </w14:textFill>
        </w:rPr>
        <w:t>过程和中标结果中使自己合法权益受到损害的实质性内容，提供相关事实、依据和证据及其来源或线索，便于有关单位调查、答复和处理。</w:t>
      </w:r>
    </w:p>
    <w:p w14:paraId="009047D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11.</w:t>
      </w:r>
      <w:r>
        <w:rPr>
          <w:rFonts w:hint="eastAsia" w:ascii="宋体" w:hAnsi="宋体" w:cs="宋体"/>
          <w:b/>
          <w:bCs/>
          <w:color w:val="000000" w:themeColor="text1"/>
          <w:kern w:val="0"/>
          <w:szCs w:val="21"/>
          <w:highlight w:val="none"/>
          <w:lang w:eastAsia="zh-CN"/>
          <w14:textFill>
            <w14:solidFill>
              <w14:schemeClr w14:val="tx1"/>
            </w14:solidFill>
          </w14:textFill>
        </w:rPr>
        <w:t>供应商</w:t>
      </w:r>
      <w:r>
        <w:rPr>
          <w:rFonts w:hint="eastAsia" w:ascii="宋体" w:hAnsi="宋体" w:cs="宋体"/>
          <w:b/>
          <w:bCs/>
          <w:color w:val="000000" w:themeColor="text1"/>
          <w:kern w:val="0"/>
          <w:szCs w:val="21"/>
          <w:highlight w:val="none"/>
          <w14:textFill>
            <w14:solidFill>
              <w14:schemeClr w14:val="tx1"/>
            </w14:solidFill>
          </w14:textFill>
        </w:rPr>
        <w:t>的风险</w:t>
      </w:r>
    </w:p>
    <w:p w14:paraId="71A80AD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文件要求提供全部资料，或者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没有对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文件在各方面都作出实质性响应是</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的风险，并可能导致其投标被拒绝。</w:t>
      </w:r>
    </w:p>
    <w:p w14:paraId="6CC818DF">
      <w:pPr>
        <w:keepNext w:val="0"/>
        <w:keepLines w:val="0"/>
        <w:pageBreakBefore w:val="0"/>
        <w:widowControl/>
        <w:kinsoku/>
        <w:wordWrap/>
        <w:overflowPunct/>
        <w:topLinePunct w:val="0"/>
        <w:bidi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二、</w:t>
      </w: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采购</w:t>
      </w:r>
      <w:r>
        <w:rPr>
          <w:rFonts w:hint="eastAsia" w:ascii="黑体" w:hAnsi="宋体" w:eastAsia="黑体" w:cs="宋体"/>
          <w:b/>
          <w:bCs/>
          <w:color w:val="000000" w:themeColor="text1"/>
          <w:kern w:val="0"/>
          <w:sz w:val="32"/>
          <w:szCs w:val="32"/>
          <w:highlight w:val="none"/>
          <w14:textFill>
            <w14:solidFill>
              <w14:schemeClr w14:val="tx1"/>
            </w14:solidFill>
          </w14:textFill>
        </w:rPr>
        <w:t>文件</w:t>
      </w:r>
    </w:p>
    <w:p w14:paraId="782B639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12.</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文件的构成。本</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文件由以下部分组成：</w:t>
      </w:r>
    </w:p>
    <w:p w14:paraId="6E607F0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12.1 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w:t>
      </w:r>
    </w:p>
    <w:p w14:paraId="11866B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w:t>
      </w:r>
    </w:p>
    <w:p w14:paraId="0C03BCB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w:t>
      </w:r>
    </w:p>
    <w:p w14:paraId="341EE58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12.4 评标办法</w:t>
      </w:r>
    </w:p>
    <w:p w14:paraId="027B35D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12.5 合同主要条款</w:t>
      </w:r>
    </w:p>
    <w:p w14:paraId="32A7F62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12.6 投标文件格式</w:t>
      </w:r>
    </w:p>
    <w:p w14:paraId="62361DA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13.</w:t>
      </w:r>
      <w:r>
        <w:rPr>
          <w:rFonts w:hint="eastAsia" w:ascii="宋体" w:hAnsi="宋体" w:cs="宋体"/>
          <w:b/>
          <w:bCs/>
          <w:color w:val="000000" w:themeColor="text1"/>
          <w:kern w:val="0"/>
          <w:szCs w:val="21"/>
          <w:highlight w:val="none"/>
          <w:lang w:val="en-US" w:eastAsia="zh-CN"/>
          <w14:textFill>
            <w14:solidFill>
              <w14:schemeClr w14:val="tx1"/>
            </w14:solidFill>
          </w14:textFill>
        </w:rPr>
        <w:t>采购</w:t>
      </w:r>
      <w:r>
        <w:rPr>
          <w:rFonts w:hint="eastAsia" w:ascii="宋体" w:hAnsi="宋体" w:cs="宋体"/>
          <w:b/>
          <w:bCs/>
          <w:color w:val="000000" w:themeColor="text1"/>
          <w:kern w:val="0"/>
          <w:szCs w:val="21"/>
          <w:highlight w:val="none"/>
          <w14:textFill>
            <w14:solidFill>
              <w14:schemeClr w14:val="tx1"/>
            </w14:solidFill>
          </w14:textFill>
        </w:rPr>
        <w:t>文件的澄清与修改</w:t>
      </w:r>
    </w:p>
    <w:p w14:paraId="437FBC6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13.1 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对已发出的</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文件进行必要澄清、修改或补充的，应当在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文件要求提交投标文件截止时间</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前，在</w:t>
      </w:r>
      <w:r>
        <w:rPr>
          <w:rFonts w:hint="eastAsia" w:ascii="宋体" w:hAnsi="宋体" w:cs="宋体"/>
          <w:color w:val="000000" w:themeColor="text1"/>
          <w:kern w:val="0"/>
          <w:szCs w:val="21"/>
          <w:highlight w:val="none"/>
          <w:lang w:val="en-US" w:eastAsia="zh-CN"/>
          <w14:textFill>
            <w14:solidFill>
              <w14:schemeClr w14:val="tx1"/>
            </w14:solidFill>
          </w14:textFill>
        </w:rPr>
        <w:t>原采购公告发布</w:t>
      </w:r>
      <w:r>
        <w:rPr>
          <w:rFonts w:hint="eastAsia" w:ascii="宋体" w:hAnsi="宋体" w:cs="宋体"/>
          <w:color w:val="000000" w:themeColor="text1"/>
          <w:kern w:val="0"/>
          <w:szCs w:val="21"/>
          <w:highlight w:val="none"/>
          <w14:textFill>
            <w14:solidFill>
              <w14:schemeClr w14:val="tx1"/>
            </w14:solidFill>
          </w14:textFill>
        </w:rPr>
        <w:t>相关媒体上发布更正公告或变更公告。</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文件公示期间对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文件进行的澄清、修改或补充不受上述限制。</w:t>
      </w:r>
    </w:p>
    <w:p w14:paraId="0801E4D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文件澄清、修改或补充的内容为</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文件的组成部分。</w:t>
      </w:r>
    </w:p>
    <w:p w14:paraId="7C03A14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13.3 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文件的澄清、修改或补充都应以法定形式发布。采购人未对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文件进行的澄清、修改或补充无效，评标时不予认可。</w:t>
      </w:r>
    </w:p>
    <w:p w14:paraId="27AE5375">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13.4 </w:t>
      </w: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可以视招标具体情况延长投标截止时间和开标时间，但至少应当在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文件要求提交投标文件的截止时间3</w:t>
      </w:r>
      <w:r>
        <w:rPr>
          <w:rFonts w:hint="eastAsia" w:ascii="宋体" w:hAnsi="宋体" w:cs="宋体"/>
          <w:bCs/>
          <w:color w:val="000000" w:themeColor="text1"/>
          <w:kern w:val="0"/>
          <w:szCs w:val="21"/>
          <w:highlight w:val="none"/>
          <w14:textFill>
            <w14:solidFill>
              <w14:schemeClr w14:val="tx1"/>
            </w14:solidFill>
          </w14:textFill>
        </w:rPr>
        <w:t>日</w:t>
      </w:r>
      <w:r>
        <w:rPr>
          <w:rFonts w:hint="eastAsia" w:ascii="宋体" w:hAnsi="宋体" w:cs="宋体"/>
          <w:color w:val="000000" w:themeColor="text1"/>
          <w:kern w:val="0"/>
          <w:szCs w:val="21"/>
          <w:highlight w:val="none"/>
          <w14:textFill>
            <w14:solidFill>
              <w14:schemeClr w14:val="tx1"/>
            </w14:solidFill>
          </w14:textFill>
        </w:rPr>
        <w:t>前，将变更时间</w:t>
      </w:r>
      <w:r>
        <w:rPr>
          <w:rFonts w:hint="eastAsia" w:ascii="宋体" w:hAnsi="宋体" w:cs="宋体"/>
          <w:color w:val="000000" w:themeColor="text1"/>
          <w:kern w:val="0"/>
          <w:szCs w:val="21"/>
          <w:highlight w:val="none"/>
          <w:lang w:val="en-US" w:eastAsia="zh-CN"/>
          <w14:textFill>
            <w14:solidFill>
              <w14:schemeClr w14:val="tx1"/>
            </w14:solidFill>
          </w14:textFill>
        </w:rPr>
        <w:t>通知所有潜在供应商</w:t>
      </w:r>
      <w:r>
        <w:rPr>
          <w:rFonts w:hint="eastAsia" w:ascii="宋体" w:hAnsi="宋体" w:cs="宋体"/>
          <w:color w:val="000000" w:themeColor="text1"/>
          <w:kern w:val="0"/>
          <w:szCs w:val="21"/>
          <w:highlight w:val="none"/>
          <w14:textFill>
            <w14:solidFill>
              <w14:schemeClr w14:val="tx1"/>
            </w14:solidFill>
          </w14:textFill>
        </w:rPr>
        <w:t>。</w:t>
      </w:r>
    </w:p>
    <w:p w14:paraId="41D6DCAA">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14:textFill>
            <w14:solidFill>
              <w14:schemeClr w14:val="tx1"/>
            </w14:solidFill>
          </w14:textFill>
        </w:rPr>
        <w:t>三</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投标文件的编制</w:t>
      </w:r>
    </w:p>
    <w:p w14:paraId="44620B3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14.要求</w:t>
      </w:r>
    </w:p>
    <w:p w14:paraId="1CEF19F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应仔细阅读</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文件的所有内容，按照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文件提供的格式编写投标文件，不得缺少或留空任何</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文件要求填写的表格或提交的资料。</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文件提供格式的按格式填列，未提供格式的可自行拟定。投标文件应对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文件的要求作出实质性响应（包括</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资格要求、技术要求、商务要求和投标文件格式中对投标的要求），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对所提供的全部资料的合法性、真实性负责。</w:t>
      </w:r>
    </w:p>
    <w:p w14:paraId="02DDA13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14.2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应完整签署投标文件格式附件中《投标书》，不得增减或修改内容。否则视为对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3C56DC5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15.投标文件的语言和计量单位</w:t>
      </w:r>
    </w:p>
    <w:p w14:paraId="5CA8A47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15.1投标文件以及</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与采购人就有关投标事宜的所有来往函电均应使用简体中文书写。</w:t>
      </w:r>
    </w:p>
    <w:p w14:paraId="5BBAEBF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15.2 关于投标计量单位，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文件已有明确规定的，使用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文件规定的计量单位；</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文件没有规定的，应采用中华人民共和国法定计量单位。否则视为对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文件未作出实质性响应。</w:t>
      </w:r>
    </w:p>
    <w:p w14:paraId="77195B0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15.3 原版为外文的证书类文件，以及由外国人做出的本人签名、外国公司的名称或外国印章等可以是外文，但应当提供中文翻译文件并加盖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公章。必要时</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提供附有公证书的中文翻译文件或者与原版文件签章相一致的中文翻译文件。</w:t>
      </w:r>
    </w:p>
    <w:p w14:paraId="46EE41A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16.投标文件的组成</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b/>
          <w:bCs/>
          <w:color w:val="000000" w:themeColor="text1"/>
          <w:kern w:val="0"/>
          <w:szCs w:val="21"/>
          <w:highlight w:val="none"/>
          <w14:textFill>
            <w14:solidFill>
              <w14:schemeClr w14:val="tx1"/>
            </w14:solidFill>
          </w14:textFill>
        </w:rPr>
        <w:t>投标文件应包括下列部分：</w:t>
      </w:r>
    </w:p>
    <w:p w14:paraId="65D544E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16.1、投标书及开标一览表</w:t>
      </w:r>
    </w:p>
    <w:p w14:paraId="1BABCC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16.2、</w:t>
      </w:r>
      <w:r>
        <w:rPr>
          <w:rFonts w:hint="eastAsia" w:ascii="宋体" w:hAnsi="宋体" w:cs="宋体"/>
          <w:color w:val="000000" w:themeColor="text1"/>
          <w:kern w:val="0"/>
          <w:szCs w:val="21"/>
          <w:highlight w:val="none"/>
          <w14:textFill>
            <w14:solidFill>
              <w14:schemeClr w14:val="tx1"/>
            </w14:solidFill>
          </w14:textFill>
        </w:rPr>
        <w:t>报价明细表</w:t>
      </w:r>
    </w:p>
    <w:p w14:paraId="2E3DA59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、技术响应表</w:t>
      </w:r>
    </w:p>
    <w:p w14:paraId="0232B6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、商务响应表</w:t>
      </w:r>
    </w:p>
    <w:p w14:paraId="3DECC3F0">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、法定代表人身份证明</w:t>
      </w:r>
    </w:p>
    <w:p w14:paraId="2C9EBD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、法定代表人授权书</w:t>
      </w:r>
    </w:p>
    <w:p w14:paraId="4E9B35A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、证明文件</w:t>
      </w:r>
    </w:p>
    <w:p w14:paraId="414466B8">
      <w:pPr>
        <w:keepNext w:val="0"/>
        <w:keepLines w:val="0"/>
        <w:pageBreakBefore w:val="0"/>
        <w:widowControl/>
        <w:kinsoku/>
        <w:wordWrap/>
        <w:overflowPunct/>
        <w:topLinePunct w:val="0"/>
        <w:bidi w:val="0"/>
        <w:snapToGrid w:val="0"/>
        <w:spacing w:line="360" w:lineRule="auto"/>
        <w:ind w:firstLine="420"/>
        <w:jc w:val="left"/>
        <w:rPr>
          <w:color w:val="000000" w:themeColor="text1"/>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供应商</w:t>
      </w:r>
      <w:r>
        <w:rPr>
          <w:rFonts w:hint="eastAsia"/>
          <w:color w:val="000000" w:themeColor="text1"/>
          <w:sz w:val="21"/>
          <w:szCs w:val="21"/>
          <w:highlight w:val="none"/>
          <w14:textFill>
            <w14:solidFill>
              <w14:schemeClr w14:val="tx1"/>
            </w14:solidFill>
          </w14:textFill>
        </w:rPr>
        <w:t>认为有必要的其他资料</w:t>
      </w:r>
    </w:p>
    <w:p w14:paraId="262F5EE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17.投标有效期</w:t>
      </w:r>
    </w:p>
    <w:p w14:paraId="500A5A5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17.1 投标文件从</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公告所规定的投标截止期之后开始生效，在</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须知前附表</w:t>
      </w:r>
      <w:r>
        <w:rPr>
          <w:rFonts w:hint="eastAsia" w:ascii="宋体" w:hAnsi="宋体" w:cs="宋体"/>
          <w:color w:val="000000" w:themeColor="text1"/>
          <w:kern w:val="0"/>
          <w:szCs w:val="21"/>
          <w:highlight w:val="none"/>
          <w14:textFill>
            <w14:solidFill>
              <w14:schemeClr w14:val="tx1"/>
            </w14:solidFill>
          </w14:textFill>
        </w:rPr>
        <w:t>第16项所规定的期限内保持有效。有效期不足将导致其投标文件被拒绝。</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的投标文件有效期至合同完全履行止。</w:t>
      </w:r>
    </w:p>
    <w:p w14:paraId="3D34FC3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17.2特殊情况下</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可于投标有效期满之前书面要求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同意延长有效期，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规定的期限内以书面形式予以答复。</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可以拒绝上述要求。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答复不明确或者逾期未答复的，均视为拒绝上述要求。对于接受该要求的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，既不要求也不允许其修改投标文件。</w:t>
      </w:r>
    </w:p>
    <w:p w14:paraId="3BE42F1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18.投标报价</w:t>
      </w:r>
    </w:p>
    <w:p w14:paraId="64666AE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18.1 所有投标报价均以人民币元为计算单位。</w:t>
      </w:r>
    </w:p>
    <w:p w14:paraId="1729F6C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要按开标一览表的内容填写。</w:t>
      </w:r>
    </w:p>
    <w:p w14:paraId="021E1A8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18.3 </w:t>
      </w:r>
      <w:r>
        <w:rPr>
          <w:rFonts w:hint="eastAsia" w:ascii="宋体" w:hAnsi="宋体" w:cs="宋体"/>
          <w:color w:val="000000" w:themeColor="text1"/>
          <w:spacing w:val="10"/>
          <w:kern w:val="0"/>
          <w:szCs w:val="21"/>
          <w:highlight w:val="none"/>
          <w:lang w:eastAsia="zh-CN"/>
          <w14:textFill>
            <w14:solidFill>
              <w14:schemeClr w14:val="tx1"/>
            </w14:solidFill>
          </w14:textFill>
        </w:rPr>
        <w:t>供应商</w:t>
      </w:r>
      <w:r>
        <w:rPr>
          <w:rFonts w:hint="eastAsia" w:ascii="宋体" w:hAnsi="宋体" w:cs="宋体"/>
          <w:color w:val="000000" w:themeColor="text1"/>
          <w:spacing w:val="10"/>
          <w:kern w:val="0"/>
          <w:szCs w:val="21"/>
          <w:highlight w:val="none"/>
          <w14:textFill>
            <w14:solidFill>
              <w14:schemeClr w14:val="tx1"/>
            </w14:solidFill>
          </w14:textFill>
        </w:rPr>
        <w:t>投报多标包的，应对每标包分别报价并分别填报开标一览表。</w:t>
      </w:r>
    </w:p>
    <w:p w14:paraId="21B7FB5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18.4 开标一览表中标明的价格在政府采购合同执行过程中是固定不变的，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不得以任何理由予以变更。以可调整的价格提交的投标将被作为无效投标处理。</w:t>
      </w:r>
    </w:p>
    <w:p w14:paraId="1122C9C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18.5 </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不接受可选择的投标报价。</w:t>
      </w:r>
    </w:p>
    <w:p w14:paraId="62A22C3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18.6 对于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在开标一览表和投标文件中列出的赠送条款，在评审时不得作为价格评分因素或者调整评标价格的依据。</w:t>
      </w:r>
    </w:p>
    <w:p w14:paraId="4302DBD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19.投标保证金</w:t>
      </w:r>
      <w:r>
        <w:rPr>
          <w:rFonts w:hint="eastAsia" w:ascii="宋体" w:hAnsi="宋体" w:cs="宋体"/>
          <w:b/>
          <w:color w:val="000000" w:themeColor="text1"/>
          <w:kern w:val="0"/>
          <w:szCs w:val="21"/>
          <w:highlight w:val="none"/>
          <w:lang w:eastAsia="zh-CN"/>
          <w14:textFill>
            <w14:solidFill>
              <w14:schemeClr w14:val="tx1"/>
            </w14:solidFill>
          </w14:textFill>
        </w:rPr>
        <w:t>（</w:t>
      </w:r>
      <w:r>
        <w:rPr>
          <w:rFonts w:hint="eastAsia" w:ascii="宋体" w:hAnsi="宋体" w:cs="宋体"/>
          <w:b/>
          <w:color w:val="000000" w:themeColor="text1"/>
          <w:kern w:val="0"/>
          <w:szCs w:val="21"/>
          <w:highlight w:val="none"/>
          <w:lang w:val="en-US" w:eastAsia="zh-CN"/>
          <w14:textFill>
            <w14:solidFill>
              <w14:schemeClr w14:val="tx1"/>
            </w14:solidFill>
          </w14:textFill>
        </w:rPr>
        <w:t>详见采购公告</w:t>
      </w:r>
      <w:r>
        <w:rPr>
          <w:rFonts w:hint="eastAsia" w:ascii="宋体" w:hAnsi="宋体" w:cs="宋体"/>
          <w:b/>
          <w:color w:val="000000" w:themeColor="text1"/>
          <w:kern w:val="0"/>
          <w:szCs w:val="21"/>
          <w:highlight w:val="none"/>
          <w:lang w:eastAsia="zh-CN"/>
          <w14:textFill>
            <w14:solidFill>
              <w14:schemeClr w14:val="tx1"/>
            </w14:solidFill>
          </w14:textFill>
        </w:rPr>
        <w:t>）</w:t>
      </w:r>
    </w:p>
    <w:p w14:paraId="1495AD5B">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20.投标文件的签署</w:t>
      </w:r>
      <w:r>
        <w:rPr>
          <w:rFonts w:hint="eastAsia" w:ascii="宋体" w:hAnsi="宋体" w:cs="宋体"/>
          <w:b/>
          <w:color w:val="000000" w:themeColor="text1"/>
          <w:kern w:val="0"/>
          <w:szCs w:val="21"/>
          <w:highlight w:val="none"/>
          <w:lang w:val="en-US" w:eastAsia="zh-CN"/>
          <w14:textFill>
            <w14:solidFill>
              <w14:schemeClr w14:val="tx1"/>
            </w14:solidFill>
          </w14:textFill>
        </w:rPr>
        <w:t>及其他规定</w:t>
      </w:r>
    </w:p>
    <w:p w14:paraId="2864F5B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.1投标文件应按第六章“投标文件格式”进行编写，如有必要，可以增加附页，作为投标文件的组成部分。其中，投标报价一览表在满足</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文件实质性要求的基础上，可以提出比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文件要求更有利于采购人的承诺。</w:t>
      </w:r>
    </w:p>
    <w:p w14:paraId="29931B6B">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000000" w:themeColor="text1"/>
          <w:kern w:val="0"/>
          <w:szCs w:val="21"/>
          <w:highlight w:val="none"/>
          <w:lang w:eastAsia="zh-CN"/>
          <w14:textFill>
            <w14:solidFill>
              <w14:schemeClr w14:val="tx1"/>
            </w14:solidFill>
          </w14:textFill>
        </w:rPr>
        <w:t>磋商</w:t>
      </w:r>
      <w:r>
        <w:rPr>
          <w:rFonts w:hint="eastAsia" w:ascii="宋体" w:hAnsi="宋体" w:eastAsia="宋体" w:cs="宋体"/>
          <w:color w:val="000000" w:themeColor="text1"/>
          <w:kern w:val="0"/>
          <w:szCs w:val="21"/>
          <w:highlight w:val="none"/>
          <w14:textFill>
            <w14:solidFill>
              <w14:schemeClr w14:val="tx1"/>
            </w14:solidFill>
          </w14:textFill>
        </w:rPr>
        <w:t>范围等实质性内容作出响应。</w:t>
      </w:r>
    </w:p>
    <w:p w14:paraId="57C3A1E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.3投标文件应用不褪色的材料书写或打印，并由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的法定代表人盖章或盖单位公章；投标文件应尽量避免涂改、行间插字或删除，如果出现上述情况，改动之处应加盖单位公章或由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的法定代表人盖章确认。签字或盖章的具体要求见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w:t>
      </w:r>
    </w:p>
    <w:p w14:paraId="26BAA3C1">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.4投标文件份数见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须知前附表。投标文件正本和副本的封面上应清楚地标记“正本”或“副本”的字样。</w:t>
      </w:r>
    </w:p>
    <w:p w14:paraId="1179B5E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.5投标文件的具体装订要求见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eastAsia="宋体" w:cs="宋体"/>
          <w:color w:val="000000" w:themeColor="text1"/>
          <w:kern w:val="0"/>
          <w:szCs w:val="21"/>
          <w:highlight w:val="none"/>
          <w14:textFill>
            <w14:solidFill>
              <w14:schemeClr w14:val="tx1"/>
            </w14:solidFill>
          </w14:textFill>
        </w:rPr>
        <w:t>须知前附表规定。</w:t>
      </w:r>
    </w:p>
    <w:p w14:paraId="2CBCF8B8">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000000" w:themeColor="text1"/>
          <w:kern w:val="0"/>
          <w:sz w:val="32"/>
          <w:szCs w:val="32"/>
          <w:highlight w:val="none"/>
          <w14:textFill>
            <w14:solidFill>
              <w14:schemeClr w14:val="tx1"/>
            </w14:solidFill>
          </w14:textFill>
        </w:rPr>
      </w:pPr>
      <w:r>
        <w:rPr>
          <w:rFonts w:hint="eastAsia" w:ascii="黑体" w:hAnsi="宋体" w:eastAsia="黑体" w:cs="宋体"/>
          <w:b/>
          <w:color w:val="000000" w:themeColor="text1"/>
          <w:kern w:val="0"/>
          <w:sz w:val="32"/>
          <w:szCs w:val="32"/>
          <w:highlight w:val="none"/>
          <w14:textFill>
            <w14:solidFill>
              <w14:schemeClr w14:val="tx1"/>
            </w14:solidFill>
          </w14:textFill>
        </w:rPr>
        <w:t>四、投标文件的递交</w:t>
      </w:r>
    </w:p>
    <w:p w14:paraId="0576EFB3">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21. 投标文件的密封、标记</w:t>
      </w:r>
    </w:p>
    <w:p w14:paraId="46C0EF0F">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21.1</w:t>
      </w:r>
      <w:r>
        <w:rPr>
          <w:color w:val="000000" w:themeColor="text1"/>
          <w:highlight w:val="none"/>
          <w14:textFill>
            <w14:solidFill>
              <w14:schemeClr w14:val="tx1"/>
            </w14:solidFill>
          </w14:textFill>
        </w:rPr>
        <w:t>响应文件应密封包装，并在封套的封口处加盖供应商单位章或由供应商的法定代表人（单位负责人）或其授权的代理人签字。</w:t>
      </w:r>
    </w:p>
    <w:p w14:paraId="26ECE5AE">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 xml:space="preserve"> 未按本章第2</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.1项要求密封的投标文件，采购人不予受理。</w:t>
      </w:r>
    </w:p>
    <w:p w14:paraId="29CB03C2">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22. 投标文件的递交</w:t>
      </w:r>
    </w:p>
    <w:p w14:paraId="266C8A47">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应在规定的投标截止时间前</w:t>
      </w:r>
      <w:r>
        <w:rPr>
          <w:rFonts w:hint="eastAsia" w:ascii="宋体" w:hAnsi="宋体" w:cs="宋体"/>
          <w:color w:val="000000" w:themeColor="text1"/>
          <w:kern w:val="0"/>
          <w:szCs w:val="21"/>
          <w:highlight w:val="none"/>
          <w:lang w:eastAsia="zh-CN"/>
          <w14:textFill>
            <w14:solidFill>
              <w14:schemeClr w14:val="tx1"/>
            </w14:solidFill>
          </w14:textFill>
        </w:rPr>
        <w:t>递交</w:t>
      </w:r>
      <w:r>
        <w:rPr>
          <w:rFonts w:hint="eastAsia" w:ascii="宋体" w:hAnsi="宋体" w:cs="宋体"/>
          <w:color w:val="000000" w:themeColor="text1"/>
          <w:kern w:val="0"/>
          <w:szCs w:val="21"/>
          <w:highlight w:val="none"/>
          <w14:textFill>
            <w14:solidFill>
              <w14:schemeClr w14:val="tx1"/>
            </w14:solidFill>
          </w14:textFill>
        </w:rPr>
        <w:t>投标文件。</w:t>
      </w:r>
    </w:p>
    <w:p w14:paraId="1E1152D2">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递交投标文件的地点：见</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w:t>
      </w:r>
    </w:p>
    <w:p w14:paraId="739919CF">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 除</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须知前附表另有规定外，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所递交的投标文件不予退还。</w:t>
      </w:r>
    </w:p>
    <w:p w14:paraId="13E26DD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.4 逾期送达的或者未送达指定地点的投标文件，采购人不予受理。</w:t>
      </w:r>
    </w:p>
    <w:p w14:paraId="7E56D2B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23. 投标文件的修改和撤回</w:t>
      </w:r>
    </w:p>
    <w:p w14:paraId="4DA078E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23.1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在投标截止时间前，可以对所提交的投标文件进行补充、修改或者撤回，并书面通知</w:t>
      </w:r>
      <w:r>
        <w:rPr>
          <w:rFonts w:hint="eastAsia" w:ascii="宋体" w:hAnsi="宋体" w:cs="宋体"/>
          <w:color w:val="000000" w:themeColor="text1"/>
          <w:kern w:val="0"/>
          <w:szCs w:val="21"/>
          <w:highlight w:val="none"/>
          <w:lang w:eastAsia="zh-CN"/>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。补充、修改的内容和撤回通知应当按本须知要求签署、盖章、密封，并作为投标文件的组成部分。</w:t>
      </w:r>
    </w:p>
    <w:p w14:paraId="1C6BEFA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23.2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在投标截止期后不得修改、撤回投标文件。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在投标截止期后修改投标文件的，其投标将被拒绝。</w:t>
      </w:r>
    </w:p>
    <w:p w14:paraId="2CA45DE9">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五</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评标</w:t>
      </w:r>
    </w:p>
    <w:p w14:paraId="594CABF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 组建</w:t>
      </w:r>
      <w:r>
        <w:rPr>
          <w:rFonts w:hint="eastAsia" w:ascii="宋体" w:hAnsi="宋体" w:cs="宋体"/>
          <w:b/>
          <w:bCs/>
          <w:color w:val="000000" w:themeColor="text1"/>
          <w:kern w:val="0"/>
          <w:szCs w:val="21"/>
          <w:highlight w:val="none"/>
          <w:lang w:eastAsia="zh-CN"/>
          <w14:textFill>
            <w14:solidFill>
              <w14:schemeClr w14:val="tx1"/>
            </w14:solidFill>
          </w14:textFill>
        </w:rPr>
        <w:t>磋商小组</w:t>
      </w:r>
    </w:p>
    <w:p w14:paraId="21A2482A">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.1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由采购人代表和评审专家组成。成员由</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人以上单数组成。</w:t>
      </w:r>
      <w:r>
        <w:rPr>
          <w:rFonts w:hint="eastAsia" w:ascii="宋体" w:hAnsi="宋体" w:cs="宋体"/>
          <w:color w:val="000000" w:themeColor="text1"/>
          <w:szCs w:val="21"/>
          <w:highlight w:val="none"/>
          <w14:textFill>
            <w14:solidFill>
              <w14:schemeClr w14:val="tx1"/>
            </w14:solidFill>
          </w14:textFill>
        </w:rPr>
        <w:t>在开标后由</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对投标文件进行审查、质疑、评估和比较，并做合理的建议。</w:t>
      </w:r>
    </w:p>
    <w:p w14:paraId="2AED56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成员要依法独立评审，并对评审意见承担个人责任。</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成员对需要共同认定的事项存在争议的，按照少数服从多数的原则</w:t>
      </w:r>
      <w:r>
        <w:rPr>
          <w:rFonts w:hint="eastAsia" w:ascii="宋体" w:hAnsi="宋体" w:cs="宋体"/>
          <w:color w:val="000000" w:themeColor="text1"/>
          <w:kern w:val="0"/>
          <w:szCs w:val="21"/>
          <w:highlight w:val="none"/>
          <w14:textFill>
            <w14:solidFill>
              <w14:schemeClr w14:val="tx1"/>
            </w14:solidFill>
          </w14:textFill>
        </w:rPr>
        <w:t>做</w:t>
      </w:r>
      <w:r>
        <w:rPr>
          <w:rFonts w:hint="eastAsia" w:ascii="宋体" w:hAnsi="宋体" w:cs="宋体"/>
          <w:color w:val="000000" w:themeColor="text1"/>
          <w:szCs w:val="21"/>
          <w:highlight w:val="none"/>
          <w14:textFill>
            <w14:solidFill>
              <w14:schemeClr w14:val="tx1"/>
            </w14:solidFill>
          </w14:textFill>
        </w:rPr>
        <w:t>出结论。持不同意见的</w:t>
      </w:r>
      <w:r>
        <w:rPr>
          <w:rFonts w:hint="eastAsia" w:ascii="宋体" w:hAnsi="宋体" w:cs="宋体"/>
          <w:color w:val="000000" w:themeColor="text1"/>
          <w:szCs w:val="21"/>
          <w:highlight w:val="none"/>
          <w:lang w:eastAsia="zh-CN"/>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成员应当在评标报告上签署不同意见</w:t>
      </w:r>
      <w:r>
        <w:rPr>
          <w:rFonts w:hint="eastAsia" w:ascii="宋体" w:hAnsi="宋体" w:cs="宋体"/>
          <w:color w:val="000000" w:themeColor="text1"/>
          <w:kern w:val="0"/>
          <w:szCs w:val="21"/>
          <w:highlight w:val="none"/>
          <w14:textFill>
            <w14:solidFill>
              <w14:schemeClr w14:val="tx1"/>
            </w14:solidFill>
          </w14:textFill>
        </w:rPr>
        <w:t>并说明</w:t>
      </w:r>
      <w:r>
        <w:rPr>
          <w:rFonts w:hint="eastAsia" w:ascii="宋体" w:hAnsi="宋体" w:cs="宋体"/>
          <w:color w:val="000000" w:themeColor="text1"/>
          <w:szCs w:val="21"/>
          <w:highlight w:val="none"/>
          <w14:textFill>
            <w14:solidFill>
              <w14:schemeClr w14:val="tx1"/>
            </w14:solidFill>
          </w14:textFill>
        </w:rPr>
        <w:t>理由，否则视为同意。</w:t>
      </w:r>
    </w:p>
    <w:p w14:paraId="43E0FD7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 投标文件的初审</w:t>
      </w:r>
    </w:p>
    <w:p w14:paraId="7AF96912">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.1对所有</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的评估，都采用相同的程序和标准。评标过程将严格按照</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文件的要求和条件进行。</w:t>
      </w:r>
    </w:p>
    <w:p w14:paraId="5A141FD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.2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将对投标文件进行检查，以确定投标文件是否完整、有无计算上的错误、文件是否已正确签署等。</w:t>
      </w:r>
    </w:p>
    <w:p w14:paraId="21B074A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 </w:t>
      </w:r>
      <w:r>
        <w:rPr>
          <w:rFonts w:hint="eastAsia"/>
          <w:color w:val="000000" w:themeColor="text1"/>
          <w:kern w:val="0"/>
          <w:szCs w:val="21"/>
          <w:highlight w:val="none"/>
          <w14:textFill>
            <w14:solidFill>
              <w14:schemeClr w14:val="tx1"/>
            </w14:solidFill>
          </w14:textFill>
        </w:rPr>
        <w:t>投标文件报价出现前后不一致的，除</w:t>
      </w:r>
      <w:r>
        <w:rPr>
          <w:rFonts w:hint="eastAsia"/>
          <w:color w:val="000000" w:themeColor="text1"/>
          <w:kern w:val="0"/>
          <w:szCs w:val="21"/>
          <w:highlight w:val="none"/>
          <w:lang w:val="en-US" w:eastAsia="zh-CN"/>
          <w14:textFill>
            <w14:solidFill>
              <w14:schemeClr w14:val="tx1"/>
            </w14:solidFill>
          </w14:textFill>
        </w:rPr>
        <w:t>采购</w:t>
      </w:r>
      <w:r>
        <w:rPr>
          <w:rFonts w:hint="eastAsia"/>
          <w:color w:val="000000" w:themeColor="text1"/>
          <w:kern w:val="0"/>
          <w:szCs w:val="21"/>
          <w:highlight w:val="none"/>
          <w14:textFill>
            <w14:solidFill>
              <w14:schemeClr w14:val="tx1"/>
            </w14:solidFill>
          </w14:textFill>
        </w:rPr>
        <w:t>文件另有规定外，</w:t>
      </w:r>
      <w:r>
        <w:rPr>
          <w:rFonts w:hint="eastAsia" w:cs="宋体"/>
          <w:color w:val="000000" w:themeColor="text1"/>
          <w:kern w:val="0"/>
          <w:szCs w:val="21"/>
          <w:highlight w:val="none"/>
          <w14:textFill>
            <w14:solidFill>
              <w14:schemeClr w14:val="tx1"/>
            </w14:solidFill>
          </w14:textFill>
        </w:rPr>
        <w:t>修正错误的原则如下：</w:t>
      </w:r>
    </w:p>
    <w:p w14:paraId="5F0E6ADD">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.3.1</w:t>
      </w:r>
      <w:r>
        <w:rPr>
          <w:rFonts w:hint="eastAsia" w:ascii="宋体" w:hAnsi="宋体" w:cs="宋体"/>
          <w:color w:val="000000" w:themeColor="text1"/>
          <w:sz w:val="21"/>
          <w:szCs w:val="21"/>
          <w:highlight w:val="none"/>
          <w:shd w:val="clear" w:color="auto" w:fill="FFFFFF"/>
          <w14:textFill>
            <w14:solidFill>
              <w14:schemeClr w14:val="tx1"/>
            </w14:solidFill>
          </w14:textFill>
        </w:rPr>
        <w:t>投标文件开标一览表（报价表）内容与投标文件中相应内容不一致的，以开标一览表（报价表）为准；</w:t>
      </w:r>
    </w:p>
    <w:p w14:paraId="209BAC09">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.3.2</w:t>
      </w:r>
      <w:r>
        <w:rPr>
          <w:rFonts w:hint="eastAsia" w:ascii="宋体" w:hAnsi="宋体" w:cs="宋体"/>
          <w:color w:val="000000" w:themeColor="text1"/>
          <w:sz w:val="21"/>
          <w:szCs w:val="21"/>
          <w:highlight w:val="none"/>
          <w:shd w:val="clear" w:color="auto" w:fill="FFFFFF"/>
          <w14:textFill>
            <w14:solidFill>
              <w14:schemeClr w14:val="tx1"/>
            </w14:solidFill>
          </w14:textFill>
        </w:rPr>
        <w:t>大写金额</w:t>
      </w:r>
      <w:r>
        <w:rPr>
          <w:rFonts w:hint="eastAsia" w:ascii="宋体" w:hAnsi="宋体" w:cs="宋体"/>
          <w:color w:val="000000" w:themeColor="text1"/>
          <w:sz w:val="21"/>
          <w:szCs w:val="21"/>
          <w:highlight w:val="none"/>
          <w14:textFill>
            <w14:solidFill>
              <w14:schemeClr w14:val="tx1"/>
            </w14:solidFill>
          </w14:textFill>
        </w:rPr>
        <w:t>与</w:t>
      </w:r>
      <w:r>
        <w:rPr>
          <w:rFonts w:hint="eastAsia" w:ascii="宋体" w:hAnsi="宋体" w:cs="宋体"/>
          <w:color w:val="000000" w:themeColor="text1"/>
          <w:sz w:val="21"/>
          <w:szCs w:val="21"/>
          <w:highlight w:val="none"/>
          <w:shd w:val="clear" w:color="auto" w:fill="FFFFFF"/>
          <w14:textFill>
            <w14:solidFill>
              <w14:schemeClr w14:val="tx1"/>
            </w14:solidFill>
          </w14:textFill>
        </w:rPr>
        <w:t>小写金额不一致的，以大写金额为准；</w:t>
      </w:r>
    </w:p>
    <w:p w14:paraId="29E4DA64">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color w:val="000000" w:themeColor="text1"/>
          <w:sz w:val="21"/>
          <w:szCs w:val="21"/>
          <w:highlight w:val="none"/>
          <w:shd w:val="clear" w:color="auto" w:fill="FFFFFF"/>
          <w14:textFill>
            <w14:solidFill>
              <w14:schemeClr w14:val="tx1"/>
            </w14:solidFill>
          </w14:textFill>
        </w:rPr>
        <w:t>单价金额小数点或者百分比有明显错位的，以开标一览表的总价为准，并修改单价；</w:t>
      </w:r>
    </w:p>
    <w:p w14:paraId="09D252A9">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.3.4</w:t>
      </w:r>
      <w:r>
        <w:rPr>
          <w:rFonts w:hint="eastAsia" w:ascii="宋体" w:hAnsi="宋体" w:cs="宋体"/>
          <w:color w:val="000000" w:themeColor="text1"/>
          <w:sz w:val="21"/>
          <w:szCs w:val="21"/>
          <w:highlight w:val="none"/>
          <w:shd w:val="clear" w:color="auto" w:fill="FFFFFF"/>
          <w14:textFill>
            <w14:solidFill>
              <w14:schemeClr w14:val="tx1"/>
            </w14:solidFill>
          </w14:textFill>
        </w:rPr>
        <w:t>总价金额与按单价汇总金额不一致的，以单价金额计算结果为准。</w:t>
      </w:r>
    </w:p>
    <w:p w14:paraId="2ECEA71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.3.5 对不同文字文本投标文件的解释发生异议的，以中文文本为准。</w:t>
      </w:r>
    </w:p>
    <w:p w14:paraId="296785F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.3.6 同时出现两种以上不一致的，按照前款规定的顺序修正。修正后的报价按照财政部87号令第五十一条第二款的规定经</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确认后产生约束力，</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不确认的，其投标无效。</w:t>
      </w:r>
    </w:p>
    <w:p w14:paraId="045943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 资格性检查和符合性检查。</w:t>
      </w:r>
    </w:p>
    <w:p w14:paraId="59F6AE8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w:t>
      </w:r>
      <w:r>
        <w:rPr>
          <w:rFonts w:hint="eastAsia" w:ascii="宋体" w:hAnsi="宋体"/>
          <w:color w:val="000000" w:themeColor="text1"/>
          <w:szCs w:val="21"/>
          <w:highlight w:val="none"/>
          <w14:textFill>
            <w14:solidFill>
              <w14:schemeClr w14:val="tx1"/>
            </w14:solidFill>
          </w14:textFill>
        </w:rPr>
        <w:t>资格性检查。依据法规政策和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文件的规定，在对投标文件详细评估之前，采购人将依据</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提交的投标文件按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公告第二项和</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文件第三章4.</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应提交的证明文件所述的资格标准对</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进行资格审查,以确定其是否具备投标资格。如果</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不具备投标资格、不满足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文件所规定的资格标准或提供资格证明文件不全,其投标将被作为无效投标。</w:t>
      </w:r>
      <w:r>
        <w:rPr>
          <w:rFonts w:hint="eastAsia" w:ascii="宋体" w:hAnsi="宋体" w:cs="Lucida Sans Unicode"/>
          <w:color w:val="000000" w:themeColor="text1"/>
          <w:szCs w:val="21"/>
          <w:highlight w:val="none"/>
          <w14:textFill>
            <w14:solidFill>
              <w14:schemeClr w14:val="tx1"/>
            </w14:solidFill>
          </w14:textFill>
        </w:rPr>
        <w:t>在审查过程中，采购人有权要求</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按</w:t>
      </w:r>
      <w:r>
        <w:rPr>
          <w:rFonts w:hint="eastAsia" w:ascii="宋体" w:hAnsi="宋体" w:cs="Lucida Sans Unicode"/>
          <w:color w:val="000000" w:themeColor="text1"/>
          <w:szCs w:val="21"/>
          <w:highlight w:val="none"/>
          <w:lang w:val="en-US" w:eastAsia="zh-CN"/>
          <w14:textFill>
            <w14:solidFill>
              <w14:schemeClr w14:val="tx1"/>
            </w14:solidFill>
          </w14:textFill>
        </w:rPr>
        <w:t>采购</w:t>
      </w:r>
      <w:r>
        <w:rPr>
          <w:rFonts w:hint="eastAsia" w:ascii="宋体" w:hAnsi="宋体" w:cs="Lucida Sans Unicode"/>
          <w:color w:val="000000" w:themeColor="text1"/>
          <w:szCs w:val="21"/>
          <w:highlight w:val="none"/>
          <w14:textFill>
            <w14:solidFill>
              <w14:schemeClr w14:val="tx1"/>
            </w14:solidFill>
          </w14:textFill>
        </w:rPr>
        <w:t>文件的规定提供相关资格证明材料的原件以供审查。</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应在规定的时限内提供。</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拒不提供的，或者不能在规定时限内提供的，视为其不具备该资格条件。</w:t>
      </w:r>
    </w:p>
    <w:p w14:paraId="798C6DA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000000" w:themeColor="text1"/>
          <w:szCs w:val="21"/>
          <w:highlight w:val="none"/>
          <w14:textFill>
            <w14:solidFill>
              <w14:schemeClr w14:val="tx1"/>
            </w14:solidFill>
          </w14:textFill>
        </w:rPr>
      </w:pPr>
      <w:r>
        <w:rPr>
          <w:rFonts w:hint="eastAsia" w:ascii="宋体" w:hAnsi="宋体" w:cs="Lucida Sans Unicode"/>
          <w:color w:val="000000" w:themeColor="text1"/>
          <w:szCs w:val="21"/>
          <w:highlight w:val="none"/>
          <w14:textFill>
            <w14:solidFill>
              <w14:schemeClr w14:val="tx1"/>
            </w14:solidFill>
          </w14:textFill>
        </w:rPr>
        <w:t>2</w:t>
      </w:r>
      <w:r>
        <w:rPr>
          <w:rFonts w:hint="eastAsia" w:ascii="宋体" w:hAnsi="宋体" w:cs="Lucida Sans Unicode"/>
          <w:color w:val="000000" w:themeColor="text1"/>
          <w:szCs w:val="21"/>
          <w:highlight w:val="none"/>
          <w:lang w:val="en-US" w:eastAsia="zh-CN"/>
          <w14:textFill>
            <w14:solidFill>
              <w14:schemeClr w14:val="tx1"/>
            </w14:solidFill>
          </w14:textFill>
        </w:rPr>
        <w:t>5</w:t>
      </w:r>
      <w:r>
        <w:rPr>
          <w:rFonts w:hint="eastAsia" w:ascii="宋体" w:hAnsi="宋体" w:cs="Lucida Sans Unicode"/>
          <w:color w:val="000000" w:themeColor="text1"/>
          <w:szCs w:val="21"/>
          <w:highlight w:val="none"/>
          <w14:textFill>
            <w14:solidFill>
              <w14:schemeClr w14:val="tx1"/>
            </w14:solidFill>
          </w14:textFill>
        </w:rPr>
        <w:t>.4.2 资格审查后合格的</w:t>
      </w:r>
      <w:r>
        <w:rPr>
          <w:rFonts w:hint="eastAsia" w:ascii="宋体" w:hAnsi="宋体" w:cs="Lucida Sans Unicode"/>
          <w:color w:val="000000" w:themeColor="text1"/>
          <w:szCs w:val="21"/>
          <w:highlight w:val="none"/>
          <w:lang w:eastAsia="zh-CN"/>
          <w14:textFill>
            <w14:solidFill>
              <w14:schemeClr w14:val="tx1"/>
            </w14:solidFill>
          </w14:textFill>
        </w:rPr>
        <w:t>供应商</w:t>
      </w:r>
      <w:r>
        <w:rPr>
          <w:rFonts w:hint="eastAsia" w:ascii="宋体" w:hAnsi="宋体" w:cs="Lucida Sans Unicode"/>
          <w:color w:val="000000" w:themeColor="text1"/>
          <w:szCs w:val="21"/>
          <w:highlight w:val="none"/>
          <w14:textFill>
            <w14:solidFill>
              <w14:schemeClr w14:val="tx1"/>
            </w14:solidFill>
          </w14:textFill>
        </w:rPr>
        <w:t>不足3家的，不得评标。</w:t>
      </w:r>
    </w:p>
    <w:p w14:paraId="535BE236">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 符合性检查。依据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将从投标文件的有效性、完整性和对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文件的响应程度进行审查，以确定是否符合对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文件要求：</w:t>
      </w:r>
    </w:p>
    <w:p w14:paraId="2378F6D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（1）投标文件未按规定签字、盖章的。</w:t>
      </w:r>
    </w:p>
    <w:p w14:paraId="57B5A62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未能出具有效身份证明，或与身份不符的。</w:t>
      </w:r>
    </w:p>
    <w:p w14:paraId="61F8FA4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（3）资格证明文件不全的，或不符合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文件标明的资格要求的。</w:t>
      </w:r>
    </w:p>
    <w:p w14:paraId="3CD592A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质量</w:t>
      </w:r>
      <w:r>
        <w:rPr>
          <w:rFonts w:hint="eastAsia" w:ascii="宋体" w:hAnsi="宋体"/>
          <w:color w:val="000000" w:themeColor="text1"/>
          <w:szCs w:val="21"/>
          <w:highlight w:val="none"/>
          <w14:textFill>
            <w14:solidFill>
              <w14:schemeClr w14:val="tx1"/>
            </w14:solidFill>
          </w14:textFill>
        </w:rPr>
        <w:t>等不满足</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62EF92C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文件提供的格式填列、项目不齐全或内容虚假</w:t>
      </w:r>
      <w:r>
        <w:rPr>
          <w:rFonts w:hint="eastAsia" w:ascii="宋体" w:hAnsi="宋体"/>
          <w:color w:val="000000" w:themeColor="text1"/>
          <w:szCs w:val="21"/>
          <w:highlight w:val="none"/>
          <w:lang w:val="en-US" w:eastAsia="zh-CN"/>
          <w14:textFill>
            <w14:solidFill>
              <w14:schemeClr w14:val="tx1"/>
            </w14:solidFill>
          </w14:textFill>
        </w:rPr>
        <w:t>无材料真实性承诺</w:t>
      </w:r>
      <w:r>
        <w:rPr>
          <w:rFonts w:hint="eastAsia" w:ascii="宋体" w:hAnsi="宋体"/>
          <w:color w:val="000000" w:themeColor="text1"/>
          <w:szCs w:val="21"/>
          <w:highlight w:val="none"/>
          <w14:textFill>
            <w14:solidFill>
              <w14:schemeClr w14:val="tx1"/>
            </w14:solidFill>
          </w14:textFill>
        </w:rPr>
        <w:t>的。</w:t>
      </w:r>
    </w:p>
    <w:p w14:paraId="101ED49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（6）投标文件的实质性内容未使用中文表述，或意思表述不明确，或前后矛盾，或使用计量单位不符合</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文件要求的。</w:t>
      </w:r>
    </w:p>
    <w:p w14:paraId="4D20A25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（7）投标文件的关键内容字迹模糊、无法辨认,或投标文件中经修正的内容字迹模糊无法辩认，或修改处未按规定签名盖章的。</w:t>
      </w:r>
    </w:p>
    <w:p w14:paraId="1AED2A0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（8）投标文件内容未按</w:t>
      </w:r>
      <w:r>
        <w:rPr>
          <w:rFonts w:hint="eastAsia" w:ascii="宋体" w:hAnsi="宋体"/>
          <w:color w:val="000000" w:themeColor="text1"/>
          <w:szCs w:val="21"/>
          <w:highlight w:val="none"/>
          <w:lang w:val="en-US" w:eastAsia="zh-CN"/>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文件响应的。</w:t>
      </w:r>
    </w:p>
    <w:p w14:paraId="611A918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（9）不符合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文件中规定的其它实质性条款。</w:t>
      </w:r>
    </w:p>
    <w:p w14:paraId="0997BBB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决定投标的响应性只根据投标文件本身的内容，而不寻求其他的外部证据。</w:t>
      </w:r>
    </w:p>
    <w:p w14:paraId="72BCB44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.4.4 对资格性检查和符合性检查不合格的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，将</w:t>
      </w:r>
      <w:r>
        <w:rPr>
          <w:rFonts w:hint="eastAsia" w:ascii="宋体" w:hAnsi="宋体" w:cs="宋体"/>
          <w:color w:val="000000" w:themeColor="text1"/>
          <w:kern w:val="0"/>
          <w:szCs w:val="21"/>
          <w:highlight w:val="none"/>
          <w:lang w:val="en-US" w:eastAsia="zh-CN"/>
          <w14:textFill>
            <w14:solidFill>
              <w14:schemeClr w14:val="tx1"/>
            </w14:solidFill>
          </w14:textFill>
        </w:rPr>
        <w:t>通过评标系统</w:t>
      </w:r>
      <w:r>
        <w:rPr>
          <w:rFonts w:hint="eastAsia" w:ascii="宋体" w:hAnsi="宋体" w:cs="宋体"/>
          <w:color w:val="000000" w:themeColor="text1"/>
          <w:kern w:val="0"/>
          <w:szCs w:val="21"/>
          <w:highlight w:val="none"/>
          <w14:textFill>
            <w14:solidFill>
              <w14:schemeClr w14:val="tx1"/>
            </w14:solidFill>
          </w14:textFill>
        </w:rPr>
        <w:t>告知其理由。</w:t>
      </w:r>
    </w:p>
    <w:p w14:paraId="4EE20A34">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.5 在评审过程中，</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发现</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有下列情形之一的，视为</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串通投标，其投标无效：</w:t>
      </w:r>
    </w:p>
    <w:p w14:paraId="4021168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.5.1不同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的投标文件异常一致。</w:t>
      </w:r>
    </w:p>
    <w:p w14:paraId="23C3904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.5.2不同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的投标文件由同一单位或者个人编制；</w:t>
      </w:r>
    </w:p>
    <w:p w14:paraId="2BC6CC5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.5.3不同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委托同一单位或者个人办理投标事宜；</w:t>
      </w:r>
    </w:p>
    <w:p w14:paraId="7B99A3C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.5.4不同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的投标文件载明的项目管理成员或者联系人员为同一人；　　</w:t>
      </w:r>
    </w:p>
    <w:p w14:paraId="21BD0BD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.5.5不同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的投标文件相互混装；</w:t>
      </w:r>
    </w:p>
    <w:p w14:paraId="0DD17A9E">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.5.6不同</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的投标保证金从同一单位或者个人的账户转出（若收取）。</w:t>
      </w:r>
    </w:p>
    <w:p w14:paraId="0D3E2680">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.5.7 有证据证明</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串通投标的其他情形的；</w:t>
      </w:r>
    </w:p>
    <w:p w14:paraId="107506F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.5.8 不同</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的投标文件制作机器码一致；</w:t>
      </w:r>
    </w:p>
    <w:p w14:paraId="63D11637">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 xml:space="preserve">.5.9 </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认定的其他串通投标情形。</w:t>
      </w:r>
    </w:p>
    <w:p w14:paraId="343976D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6</w:t>
      </w:r>
      <w:r>
        <w:rPr>
          <w:rFonts w:hint="eastAsia" w:ascii="宋体" w:hAnsi="宋体" w:cs="宋体"/>
          <w:b/>
          <w:bCs/>
          <w:color w:val="000000" w:themeColor="text1"/>
          <w:kern w:val="0"/>
          <w:szCs w:val="21"/>
          <w:highlight w:val="none"/>
          <w14:textFill>
            <w14:solidFill>
              <w14:schemeClr w14:val="tx1"/>
            </w14:solidFill>
          </w14:textFill>
        </w:rPr>
        <w:t>. 投标文件的澄清</w:t>
      </w:r>
    </w:p>
    <w:p w14:paraId="5369DA7A">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对投标文件中含义不明确、同类问题表述不一致或者有明显文字和计算错误的内容，</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可以书面形式要求</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作出必要的澄清。</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的澄清应当在</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规定的时间内以书面形式作出，由其</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代表签字。但澄清事项不得超出投标文件的范围，不得实质性改变投标文件的内容，不得通过澄清等方式对</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实行差别对待。</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不得接受</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主动提出的澄清和解释。</w:t>
      </w:r>
    </w:p>
    <w:p w14:paraId="3B3F237C">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 比较与评价</w:t>
      </w:r>
    </w:p>
    <w:p w14:paraId="394C1E55">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 xml:space="preserve">.1 </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将按本</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文件规定的评标方法与标准，对资格性检查和符合性检查合格的投标文件进行商务和技术评估，综合比较与评价。</w:t>
      </w:r>
    </w:p>
    <w:p w14:paraId="2DFF90B6">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.2对漏（缺）报项的处理：</w:t>
      </w:r>
      <w:r>
        <w:rPr>
          <w:rFonts w:hint="eastAsia" w:ascii="宋体" w:hAnsi="宋体" w:cs="宋体"/>
          <w:color w:val="000000" w:themeColor="text1"/>
          <w:sz w:val="21"/>
          <w:szCs w:val="21"/>
          <w:highlight w:val="none"/>
          <w:lang w:val="en-US" w:eastAsia="zh-CN"/>
          <w14:textFill>
            <w14:solidFill>
              <w14:schemeClr w14:val="tx1"/>
            </w14:solidFill>
          </w14:textFill>
        </w:rPr>
        <w:t>采购</w:t>
      </w:r>
      <w:r>
        <w:rPr>
          <w:rFonts w:hint="eastAsia" w:ascii="宋体" w:hAnsi="宋体" w:cs="宋体"/>
          <w:color w:val="000000" w:themeColor="text1"/>
          <w:sz w:val="21"/>
          <w:szCs w:val="21"/>
          <w:highlight w:val="none"/>
          <w14:textFill>
            <w14:solidFill>
              <w14:schemeClr w14:val="tx1"/>
            </w14:solidFill>
          </w14:textFill>
        </w:rPr>
        <w:t>文件中要求列入报价的费用（含配置、功能），漏（缺）报的视同已含在投标总价中。</w:t>
      </w:r>
    </w:p>
    <w:p w14:paraId="327A00A3">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7</w:t>
      </w:r>
      <w:r>
        <w:rPr>
          <w:rFonts w:hint="eastAsia" w:ascii="宋体" w:hAnsi="宋体" w:cs="宋体"/>
          <w:color w:val="000000" w:themeColor="text1"/>
          <w:sz w:val="21"/>
          <w:szCs w:val="21"/>
          <w:highlight w:val="none"/>
          <w14:textFill>
            <w14:solidFill>
              <w14:schemeClr w14:val="tx1"/>
            </w14:solidFill>
          </w14:textFill>
        </w:rPr>
        <w:t>.3当</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发现</w:t>
      </w:r>
      <w:r>
        <w:rPr>
          <w:rFonts w:hint="eastAsia" w:ascii="宋体" w:hAnsi="宋体" w:cs="宋体"/>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lang w:val="en-US" w:eastAsia="zh-CN"/>
          <w14:textFill>
            <w14:solidFill>
              <w14:schemeClr w14:val="tx1"/>
            </w14:solidFill>
          </w14:textFill>
        </w:rPr>
        <w:t>最终</w:t>
      </w:r>
      <w:r>
        <w:rPr>
          <w:rFonts w:hint="eastAsia" w:ascii="宋体" w:hAnsi="宋体" w:cs="宋体"/>
          <w:color w:val="000000" w:themeColor="text1"/>
          <w:sz w:val="21"/>
          <w:szCs w:val="21"/>
          <w:highlight w:val="none"/>
          <w14:textFill>
            <w14:solidFill>
              <w14:schemeClr w14:val="tx1"/>
            </w14:solidFill>
          </w14:textFill>
        </w:rPr>
        <w:t>报价明显</w:t>
      </w:r>
      <w:r>
        <w:rPr>
          <w:rFonts w:hint="eastAsia" w:ascii="宋体" w:hAnsi="宋体" w:cs="宋体"/>
          <w:color w:val="000000" w:themeColor="text1"/>
          <w:sz w:val="21"/>
          <w:szCs w:val="21"/>
          <w:highlight w:val="none"/>
          <w:lang w:val="en-US" w:eastAsia="zh-CN"/>
          <w14:textFill>
            <w14:solidFill>
              <w14:schemeClr w14:val="tx1"/>
            </w14:solidFill>
          </w14:textFill>
        </w:rPr>
        <w:t>高于</w:t>
      </w:r>
      <w:r>
        <w:rPr>
          <w:rFonts w:hint="eastAsia" w:ascii="宋体" w:hAnsi="宋体" w:cs="宋体"/>
          <w:color w:val="000000" w:themeColor="text1"/>
          <w:sz w:val="21"/>
          <w:szCs w:val="21"/>
          <w:highlight w:val="none"/>
          <w14:textFill>
            <w14:solidFill>
              <w14:schemeClr w14:val="tx1"/>
            </w14:solidFill>
          </w14:textFill>
        </w:rPr>
        <w:t>其他通过符合性审查</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的报价</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存在低于成本价恶意竞争的嫌疑，有可能</w:t>
      </w:r>
      <w:r>
        <w:rPr>
          <w:rFonts w:hint="eastAsia" w:ascii="宋体" w:hAnsi="宋体" w:cs="宋体"/>
          <w:color w:val="000000" w:themeColor="text1"/>
          <w:sz w:val="21"/>
          <w:szCs w:val="21"/>
          <w:highlight w:val="none"/>
          <w14:textFill>
            <w14:solidFill>
              <w14:schemeClr w14:val="tx1"/>
            </w14:solidFill>
          </w14:textFill>
        </w:rPr>
        <w:t>影响服务质量或者不能诚信履约的，应当要求其在</w:t>
      </w:r>
      <w:r>
        <w:rPr>
          <w:rFonts w:hint="eastAsia" w:ascii="宋体" w:hAnsi="宋体" w:cs="宋体"/>
          <w:color w:val="000000" w:themeColor="text1"/>
          <w:sz w:val="21"/>
          <w:szCs w:val="21"/>
          <w:highlight w:val="none"/>
          <w:lang w:val="en-US" w:eastAsia="zh-CN"/>
          <w14:textFill>
            <w14:solidFill>
              <w14:schemeClr w14:val="tx1"/>
            </w14:solidFill>
          </w14:textFill>
        </w:rPr>
        <w:t>规定</w:t>
      </w:r>
      <w:r>
        <w:rPr>
          <w:rFonts w:hint="eastAsia" w:ascii="宋体" w:hAnsi="宋体" w:cs="宋体"/>
          <w:color w:val="000000" w:themeColor="text1"/>
          <w:sz w:val="21"/>
          <w:szCs w:val="21"/>
          <w:highlight w:val="none"/>
          <w14:textFill>
            <w14:solidFill>
              <w14:schemeClr w14:val="tx1"/>
            </w14:solidFill>
          </w14:textFill>
        </w:rPr>
        <w:t>的时间内提供书面说明，必要时提交相关证明材料；</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不能证明其报价合理性或提供证明材料的，</w:t>
      </w:r>
      <w:r>
        <w:rPr>
          <w:rFonts w:hint="eastAsia" w:ascii="宋体" w:hAnsi="宋体" w:cs="宋体"/>
          <w:color w:val="000000" w:themeColor="text1"/>
          <w:sz w:val="21"/>
          <w:szCs w:val="21"/>
          <w:highlight w:val="none"/>
          <w:lang w:eastAsia="zh-CN"/>
          <w14:textFill>
            <w14:solidFill>
              <w14:schemeClr w14:val="tx1"/>
            </w14:solidFill>
          </w14:textFill>
        </w:rPr>
        <w:t>磋商小组</w:t>
      </w:r>
      <w:r>
        <w:rPr>
          <w:rFonts w:hint="eastAsia" w:ascii="宋体" w:hAnsi="宋体" w:cs="宋体"/>
          <w:color w:val="000000" w:themeColor="text1"/>
          <w:sz w:val="21"/>
          <w:szCs w:val="21"/>
          <w:highlight w:val="none"/>
          <w14:textFill>
            <w14:solidFill>
              <w14:schemeClr w14:val="tx1"/>
            </w14:solidFill>
          </w14:textFill>
        </w:rPr>
        <w:t>应当将其作为无效投标处理。</w:t>
      </w:r>
    </w:p>
    <w:p w14:paraId="492913DA">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w:t>
      </w:r>
      <w:r>
        <w:rPr>
          <w:rFonts w:hint="eastAsia" w:ascii="宋体" w:hAnsi="宋体" w:cs="宋体"/>
          <w:b/>
          <w:bCs/>
          <w:color w:val="000000" w:themeColor="text1"/>
          <w:kern w:val="0"/>
          <w:szCs w:val="21"/>
          <w:highlight w:val="none"/>
          <w:lang w:val="en-US" w:eastAsia="zh-CN"/>
          <w14:textFill>
            <w14:solidFill>
              <w14:schemeClr w14:val="tx1"/>
            </w14:solidFill>
          </w14:textFill>
        </w:rPr>
        <w:t>8</w:t>
      </w:r>
      <w:r>
        <w:rPr>
          <w:rFonts w:hint="eastAsia" w:ascii="宋体" w:hAnsi="宋体" w:cs="宋体"/>
          <w:b/>
          <w:bCs/>
          <w:color w:val="000000" w:themeColor="text1"/>
          <w:kern w:val="0"/>
          <w:szCs w:val="21"/>
          <w:highlight w:val="none"/>
          <w14:textFill>
            <w14:solidFill>
              <w14:schemeClr w14:val="tx1"/>
            </w14:solidFill>
          </w14:textFill>
        </w:rPr>
        <w:t>. 评标过程及保密原则</w:t>
      </w:r>
    </w:p>
    <w:p w14:paraId="5380260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.1 凡与本次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有关人员对属于审查、澄清、评价和比较投标的有关资料以及定标意向等，均不得向</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或其他人员透露。否则,将按有关规定追究相关人员的责任。</w:t>
      </w:r>
    </w:p>
    <w:p w14:paraId="3C96667F">
      <w:pPr>
        <w:keepNext w:val="0"/>
        <w:keepLines w:val="0"/>
        <w:pageBreakBefore w:val="0"/>
        <w:widowControl/>
        <w:kinsoku/>
        <w:wordWrap/>
        <w:overflowPunct/>
        <w:topLinePunct w:val="0"/>
        <w:bidi w:val="0"/>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.2 在评标期间，</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试图影响或干预评审的任何行为，将导致其投标被作为无效投标，并承担相应的法律责任。</w:t>
      </w:r>
    </w:p>
    <w:p w14:paraId="7E6D750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29</w:t>
      </w:r>
      <w:r>
        <w:rPr>
          <w:rFonts w:hint="eastAsia" w:ascii="宋体" w:hAnsi="宋体" w:cs="宋体"/>
          <w:b/>
          <w:color w:val="000000" w:themeColor="text1"/>
          <w:kern w:val="0"/>
          <w:szCs w:val="21"/>
          <w:highlight w:val="none"/>
          <w14:textFill>
            <w14:solidFill>
              <w14:schemeClr w14:val="tx1"/>
            </w14:solidFill>
          </w14:textFill>
        </w:rPr>
        <w:t>.评标异议登记</w:t>
      </w:r>
    </w:p>
    <w:p w14:paraId="0937518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采购人</w:t>
      </w:r>
      <w:r>
        <w:rPr>
          <w:rFonts w:hint="eastAsia" w:ascii="宋体" w:hAnsi="宋体" w:cs="宋体"/>
          <w:color w:val="000000" w:themeColor="text1"/>
          <w:kern w:val="0"/>
          <w:szCs w:val="21"/>
          <w:highlight w:val="none"/>
          <w14:textFill>
            <w14:solidFill>
              <w14:schemeClr w14:val="tx1"/>
            </w14:solidFill>
          </w14:textFill>
        </w:rPr>
        <w:t>工作人员对评审专家等相关人员在评审过程中发现、提出的异议进行逐项登记。</w:t>
      </w:r>
    </w:p>
    <w:p w14:paraId="13412E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六</w:t>
      </w:r>
      <w:r>
        <w:rPr>
          <w:rFonts w:hint="eastAsia" w:ascii="黑体" w:hAnsi="宋体" w:eastAsia="黑体" w:cs="宋体"/>
          <w:b/>
          <w:bCs/>
          <w:color w:val="000000" w:themeColor="text1"/>
          <w:kern w:val="0"/>
          <w:sz w:val="32"/>
          <w:highlight w:val="none"/>
          <w14:textFill>
            <w14:solidFill>
              <w14:schemeClr w14:val="tx1"/>
            </w14:solidFill>
          </w14:textFill>
        </w:rPr>
        <w:t>、</w:t>
      </w:r>
      <w:r>
        <w:rPr>
          <w:rFonts w:hint="eastAsia" w:ascii="黑体" w:hAnsi="宋体" w:eastAsia="黑体" w:cs="宋体"/>
          <w:b/>
          <w:bCs/>
          <w:color w:val="000000" w:themeColor="text1"/>
          <w:kern w:val="0"/>
          <w:sz w:val="32"/>
          <w:szCs w:val="32"/>
          <w:highlight w:val="none"/>
          <w14:textFill>
            <w14:solidFill>
              <w14:schemeClr w14:val="tx1"/>
            </w14:solidFill>
          </w14:textFill>
        </w:rPr>
        <w:t>定标</w:t>
      </w:r>
    </w:p>
    <w:p w14:paraId="0DDEF9E4">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0</w:t>
      </w:r>
      <w:r>
        <w:rPr>
          <w:rFonts w:hint="eastAsia" w:ascii="宋体" w:hAnsi="宋体" w:cs="宋体"/>
          <w:b/>
          <w:bCs/>
          <w:color w:val="000000" w:themeColor="text1"/>
          <w:kern w:val="0"/>
          <w:szCs w:val="21"/>
          <w:highlight w:val="none"/>
          <w14:textFill>
            <w14:solidFill>
              <w14:schemeClr w14:val="tx1"/>
            </w14:solidFill>
          </w14:textFill>
        </w:rPr>
        <w:t>. 定标原则</w:t>
      </w:r>
    </w:p>
    <w:p w14:paraId="735F4F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.1 最</w:t>
      </w:r>
      <w:r>
        <w:rPr>
          <w:rFonts w:hint="eastAsia" w:ascii="宋体" w:hAnsi="宋体" w:cs="宋体"/>
          <w:bCs/>
          <w:color w:val="000000" w:themeColor="text1"/>
          <w:kern w:val="0"/>
          <w:szCs w:val="21"/>
          <w:highlight w:val="none"/>
          <w:lang w:val="en-US" w:eastAsia="zh-CN"/>
          <w14:textFill>
            <w14:solidFill>
              <w14:schemeClr w14:val="tx1"/>
            </w14:solidFill>
          </w14:textFill>
        </w:rPr>
        <w:t>高</w:t>
      </w:r>
      <w:r>
        <w:rPr>
          <w:rFonts w:hint="eastAsia" w:ascii="宋体" w:hAnsi="宋体" w:cs="宋体"/>
          <w:bCs/>
          <w:color w:val="000000" w:themeColor="text1"/>
          <w:kern w:val="0"/>
          <w:szCs w:val="21"/>
          <w:highlight w:val="none"/>
          <w14:textFill>
            <w14:solidFill>
              <w14:schemeClr w14:val="tx1"/>
            </w14:solidFill>
          </w14:textFill>
        </w:rPr>
        <w:t>投标价不作为中标的保证。</w:t>
      </w:r>
    </w:p>
    <w:p w14:paraId="14CC8B7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 确定实质上响应</w:t>
      </w:r>
      <w:r>
        <w:rPr>
          <w:rFonts w:hint="eastAsia" w:ascii="宋体" w:hAnsi="宋体" w:cs="宋体"/>
          <w:bCs/>
          <w:color w:val="000000" w:themeColor="text1"/>
          <w:kern w:val="0"/>
          <w:szCs w:val="21"/>
          <w:highlight w:val="none"/>
          <w:lang w:val="en-US" w:eastAsia="zh-CN"/>
          <w14:textFill>
            <w14:solidFill>
              <w14:schemeClr w14:val="tx1"/>
            </w14:solidFill>
          </w14:textFill>
        </w:rPr>
        <w:t>采购</w:t>
      </w:r>
      <w:r>
        <w:rPr>
          <w:rFonts w:hint="eastAsia" w:ascii="宋体" w:hAnsi="宋体" w:cs="宋体"/>
          <w:bCs/>
          <w:color w:val="000000" w:themeColor="text1"/>
          <w:kern w:val="0"/>
          <w:szCs w:val="21"/>
          <w:highlight w:val="none"/>
          <w14:textFill>
            <w14:solidFill>
              <w14:schemeClr w14:val="tx1"/>
            </w14:solidFill>
          </w14:textFill>
        </w:rPr>
        <w:t>文件且满足下列条件的为</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bCs/>
          <w:color w:val="000000" w:themeColor="text1"/>
          <w:kern w:val="0"/>
          <w:szCs w:val="21"/>
          <w:highlight w:val="none"/>
          <w14:textFill>
            <w14:solidFill>
              <w14:schemeClr w14:val="tx1"/>
            </w14:solidFill>
          </w14:textFill>
        </w:rPr>
        <w:t>（或</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w:t>
      </w:r>
    </w:p>
    <w:p w14:paraId="3BF3B1E9">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39" w:name="_Toc32200"/>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0</w:t>
      </w:r>
      <w:r>
        <w:rPr>
          <w:rFonts w:hint="eastAsia" w:ascii="宋体" w:hAnsi="宋体" w:cs="宋体"/>
          <w:bCs/>
          <w:color w:val="000000" w:themeColor="text1"/>
          <w:kern w:val="0"/>
          <w:szCs w:val="21"/>
          <w:highlight w:val="none"/>
          <w14:textFill>
            <w14:solidFill>
              <w14:schemeClr w14:val="tx1"/>
            </w14:solidFill>
          </w14:textFill>
        </w:rPr>
        <w:t>.2.1</w:t>
      </w:r>
      <w:bookmarkEnd w:id="39"/>
      <w:r>
        <w:rPr>
          <w:rFonts w:hint="eastAsia" w:ascii="宋体" w:hAnsi="宋体" w:cs="宋体"/>
          <w:bCs/>
          <w:color w:val="000000" w:themeColor="text1"/>
          <w:kern w:val="0"/>
          <w:szCs w:val="21"/>
          <w:highlight w:val="none"/>
          <w14:textFill>
            <w14:solidFill>
              <w14:schemeClr w14:val="tx1"/>
            </w14:solidFill>
          </w14:textFill>
        </w:rPr>
        <w:t>本次评标采用</w:t>
      </w:r>
      <w:r>
        <w:rPr>
          <w:rFonts w:hint="eastAsia" w:ascii="宋体" w:hAnsi="宋体" w:cs="宋体"/>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的评标方法。</w:t>
      </w:r>
    </w:p>
    <w:p w14:paraId="0898C1EE">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采用综合评分法的，评标结果按评审后得分由高到低顺序排列。投标文件满足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文件全部实质性要求，且按照评审因素的量化指标评审得分最高的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为排名第一的</w:t>
      </w:r>
      <w:r>
        <w:rPr>
          <w:rFonts w:hint="eastAsia" w:ascii="宋体" w:hAnsi="宋体" w:cs="宋体"/>
          <w:color w:val="000000" w:themeColor="text1"/>
          <w:szCs w:val="21"/>
          <w:highlight w:val="none"/>
          <w:lang w:eastAsia="zh-CN"/>
          <w14:textFill>
            <w14:solidFill>
              <w14:schemeClr w14:val="tx1"/>
            </w14:solidFill>
          </w14:textFill>
        </w:rPr>
        <w:t>成交候选人</w:t>
      </w:r>
      <w:r>
        <w:rPr>
          <w:rFonts w:hint="eastAsia" w:ascii="宋体" w:hAnsi="宋体" w:cs="宋体"/>
          <w:color w:val="000000" w:themeColor="text1"/>
          <w:szCs w:val="21"/>
          <w:highlight w:val="none"/>
          <w14:textFill>
            <w14:solidFill>
              <w14:schemeClr w14:val="tx1"/>
            </w14:solidFill>
          </w14:textFill>
        </w:rPr>
        <w:t>，以此类推。得分相同的，按投标报价由高到低顺序排列。得分且投标报价相同的，按技术部分得分顺序排列。得分与技术指标优劣均相同的，通过随机抽取产生。</w:t>
      </w:r>
    </w:p>
    <w:p w14:paraId="142C2B86">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1</w:t>
      </w:r>
      <w:r>
        <w:rPr>
          <w:rFonts w:hint="eastAsia" w:ascii="宋体" w:hAnsi="宋体" w:cs="宋体"/>
          <w:b/>
          <w:bCs/>
          <w:color w:val="000000" w:themeColor="text1"/>
          <w:kern w:val="0"/>
          <w:szCs w:val="21"/>
          <w:highlight w:val="none"/>
          <w14:textFill>
            <w14:solidFill>
              <w14:schemeClr w14:val="tx1"/>
            </w14:solidFill>
          </w14:textFill>
        </w:rPr>
        <w:t>. 确定</w:t>
      </w:r>
      <w:r>
        <w:rPr>
          <w:rFonts w:hint="eastAsia" w:ascii="宋体" w:hAnsi="宋体" w:cs="宋体"/>
          <w:b/>
          <w:bCs/>
          <w:color w:val="000000" w:themeColor="text1"/>
          <w:kern w:val="0"/>
          <w:szCs w:val="21"/>
          <w:highlight w:val="none"/>
          <w:lang w:eastAsia="zh-CN"/>
          <w14:textFill>
            <w14:solidFill>
              <w14:schemeClr w14:val="tx1"/>
            </w14:solidFill>
          </w14:textFill>
        </w:rPr>
        <w:t>成交人</w:t>
      </w:r>
      <w:r>
        <w:rPr>
          <w:rFonts w:hint="eastAsia" w:ascii="宋体" w:hAnsi="宋体" w:cs="宋体"/>
          <w:b/>
          <w:bCs/>
          <w:color w:val="000000" w:themeColor="text1"/>
          <w:kern w:val="0"/>
          <w:szCs w:val="21"/>
          <w:highlight w:val="none"/>
          <w14:textFill>
            <w14:solidFill>
              <w14:schemeClr w14:val="tx1"/>
            </w14:solidFill>
          </w14:textFill>
        </w:rPr>
        <w:t>和</w:t>
      </w:r>
      <w:r>
        <w:rPr>
          <w:rFonts w:hint="eastAsia" w:ascii="宋体" w:hAnsi="宋体" w:cs="宋体"/>
          <w:b/>
          <w:bCs/>
          <w:color w:val="000000" w:themeColor="text1"/>
          <w:kern w:val="0"/>
          <w:szCs w:val="21"/>
          <w:highlight w:val="none"/>
          <w:lang w:eastAsia="zh-CN"/>
          <w14:textFill>
            <w14:solidFill>
              <w14:schemeClr w14:val="tx1"/>
            </w14:solidFill>
          </w14:textFill>
        </w:rPr>
        <w:t>成交候选人</w:t>
      </w:r>
    </w:p>
    <w:p w14:paraId="6C23793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本项目由采购人授权</w:t>
      </w:r>
      <w:r>
        <w:rPr>
          <w:rFonts w:hint="eastAsia" w:ascii="宋体" w:hAnsi="宋体" w:cs="宋体"/>
          <w:bCs/>
          <w:color w:val="000000" w:themeColor="text1"/>
          <w:kern w:val="0"/>
          <w:szCs w:val="21"/>
          <w:highlight w:val="none"/>
          <w:lang w:eastAsia="zh-CN"/>
          <w14:textFill>
            <w14:solidFill>
              <w14:schemeClr w14:val="tx1"/>
            </w14:solidFill>
          </w14:textFill>
        </w:rPr>
        <w:t>磋商小组</w:t>
      </w:r>
      <w:r>
        <w:rPr>
          <w:rFonts w:hint="eastAsia" w:ascii="宋体" w:hAnsi="宋体" w:cs="宋体"/>
          <w:bCs/>
          <w:color w:val="000000" w:themeColor="text1"/>
          <w:kern w:val="0"/>
          <w:szCs w:val="21"/>
          <w:highlight w:val="none"/>
          <w14:textFill>
            <w14:solidFill>
              <w14:schemeClr w14:val="tx1"/>
            </w14:solidFill>
          </w14:textFill>
        </w:rPr>
        <w:t>确定一名</w:t>
      </w:r>
      <w:r>
        <w:rPr>
          <w:rFonts w:hint="eastAsia" w:ascii="宋体" w:hAnsi="宋体" w:cs="宋体"/>
          <w:bCs/>
          <w:color w:val="000000" w:themeColor="text1"/>
          <w:kern w:val="0"/>
          <w:szCs w:val="21"/>
          <w:highlight w:val="none"/>
          <w:lang w:eastAsia="zh-CN"/>
          <w14:textFill>
            <w14:solidFill>
              <w14:schemeClr w14:val="tx1"/>
            </w14:solidFill>
          </w14:textFill>
        </w:rPr>
        <w:t>成交人</w:t>
      </w:r>
      <w:r>
        <w:rPr>
          <w:rFonts w:hint="eastAsia" w:ascii="宋体" w:hAnsi="宋体" w:cs="宋体"/>
          <w:bCs/>
          <w:color w:val="000000" w:themeColor="text1"/>
          <w:kern w:val="0"/>
          <w:szCs w:val="21"/>
          <w:highlight w:val="none"/>
          <w14:textFill>
            <w14:solidFill>
              <w14:schemeClr w14:val="tx1"/>
            </w14:solidFill>
          </w14:textFill>
        </w:rPr>
        <w:t>并推荐</w:t>
      </w:r>
      <w:r>
        <w:rPr>
          <w:rFonts w:hint="eastAsia" w:ascii="宋体" w:hAnsi="宋体" w:cs="宋体"/>
          <w:bCs/>
          <w:color w:val="000000" w:themeColor="text1"/>
          <w:kern w:val="0"/>
          <w:szCs w:val="21"/>
          <w:highlight w:val="none"/>
          <w:lang w:val="en-US" w:eastAsia="zh-CN"/>
          <w14:textFill>
            <w14:solidFill>
              <w14:schemeClr w14:val="tx1"/>
            </w14:solidFill>
          </w14:textFill>
        </w:rPr>
        <w:t>一</w:t>
      </w:r>
      <w:r>
        <w:rPr>
          <w:rFonts w:hint="eastAsia" w:ascii="宋体" w:hAnsi="宋体" w:cs="宋体"/>
          <w:bCs/>
          <w:color w:val="000000" w:themeColor="text1"/>
          <w:kern w:val="0"/>
          <w:szCs w:val="21"/>
          <w:highlight w:val="none"/>
          <w14:textFill>
            <w14:solidFill>
              <w14:schemeClr w14:val="tx1"/>
            </w14:solidFill>
          </w14:textFill>
        </w:rPr>
        <w:t>名</w:t>
      </w:r>
      <w:r>
        <w:rPr>
          <w:rFonts w:hint="eastAsia" w:ascii="宋体" w:hAnsi="宋体" w:cs="宋体"/>
          <w:bCs/>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w:t>
      </w:r>
    </w:p>
    <w:p w14:paraId="595A7464">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2</w:t>
      </w:r>
      <w:r>
        <w:rPr>
          <w:rFonts w:hint="eastAsia" w:ascii="宋体" w:hAnsi="宋体" w:cs="宋体"/>
          <w:b/>
          <w:bCs/>
          <w:color w:val="000000" w:themeColor="text1"/>
          <w:kern w:val="0"/>
          <w:szCs w:val="21"/>
          <w:highlight w:val="none"/>
          <w14:textFill>
            <w14:solidFill>
              <w14:schemeClr w14:val="tx1"/>
            </w14:solidFill>
          </w14:textFill>
        </w:rPr>
        <w:t xml:space="preserve">. </w:t>
      </w:r>
      <w:r>
        <w:rPr>
          <w:rFonts w:hint="eastAsia" w:ascii="宋体" w:hAnsi="宋体" w:cs="宋体"/>
          <w:b/>
          <w:bCs/>
          <w:color w:val="000000" w:themeColor="text1"/>
          <w:kern w:val="0"/>
          <w:szCs w:val="21"/>
          <w:highlight w:val="none"/>
          <w:lang w:eastAsia="zh-CN"/>
          <w14:textFill>
            <w14:solidFill>
              <w14:schemeClr w14:val="tx1"/>
            </w14:solidFill>
          </w14:textFill>
        </w:rPr>
        <w:t>成交通知书</w:t>
      </w:r>
      <w:r>
        <w:rPr>
          <w:rFonts w:hint="eastAsia" w:ascii="宋体" w:hAnsi="宋体" w:cs="宋体"/>
          <w:b/>
          <w:bCs/>
          <w:color w:val="000000" w:themeColor="text1"/>
          <w:kern w:val="0"/>
          <w:szCs w:val="21"/>
          <w:highlight w:val="none"/>
          <w14:textFill>
            <w14:solidFill>
              <w14:schemeClr w14:val="tx1"/>
            </w14:solidFill>
          </w14:textFill>
        </w:rPr>
        <w:t>及中标公告</w:t>
      </w:r>
    </w:p>
    <w:p w14:paraId="38F91DC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.1评审结束后，</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人将</w:t>
      </w:r>
      <w:r>
        <w:rPr>
          <w:rFonts w:hint="eastAsia" w:ascii="宋体" w:hAnsi="宋体" w:cs="宋体"/>
          <w:color w:val="000000" w:themeColor="text1"/>
          <w:kern w:val="0"/>
          <w:szCs w:val="21"/>
          <w:highlight w:val="none"/>
          <w:lang w:eastAsia="zh-CN"/>
          <w14:textFill>
            <w14:solidFill>
              <w14:schemeClr w14:val="tx1"/>
            </w14:solidFill>
          </w14:textFill>
        </w:rPr>
        <w:t>成交候选人</w:t>
      </w:r>
      <w:r>
        <w:rPr>
          <w:rFonts w:hint="eastAsia" w:ascii="宋体" w:hAnsi="宋体" w:cs="宋体"/>
          <w:color w:val="000000" w:themeColor="text1"/>
          <w:kern w:val="0"/>
          <w:szCs w:val="21"/>
          <w:highlight w:val="none"/>
          <w14:textFill>
            <w14:solidFill>
              <w14:schemeClr w14:val="tx1"/>
            </w14:solidFill>
          </w14:textFill>
        </w:rPr>
        <w:t>的情况在本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公告发布的同一媒介予以公示，公示</w:t>
      </w:r>
      <w:r>
        <w:rPr>
          <w:rFonts w:hint="eastAsia" w:ascii="宋体" w:hAnsi="宋体" w:cs="宋体"/>
          <w:color w:val="000000" w:themeColor="text1"/>
          <w:kern w:val="0"/>
          <w:szCs w:val="21"/>
          <w:highlight w:val="none"/>
          <w:lang w:eastAsia="zh-CN"/>
          <w14:textFill>
            <w14:solidFill>
              <w14:schemeClr w14:val="tx1"/>
            </w14:solidFill>
          </w14:textFill>
        </w:rPr>
        <w:t>期限</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个工作日</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公示期结束后</w:t>
      </w:r>
      <w:r>
        <w:rPr>
          <w:rFonts w:hint="eastAsia" w:ascii="宋体" w:hAnsi="宋体" w:cs="宋体"/>
          <w:color w:val="000000" w:themeColor="text1"/>
          <w:kern w:val="0"/>
          <w:szCs w:val="21"/>
          <w:highlight w:val="none"/>
          <w14:textFill>
            <w14:solidFill>
              <w14:schemeClr w14:val="tx1"/>
            </w14:solidFill>
          </w14:textFill>
        </w:rPr>
        <w:t>向</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发出</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w:t>
      </w:r>
    </w:p>
    <w:p w14:paraId="5546E53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在规定的时间内不领取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的，视为中标后自动放弃中标资格；</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在有效报价中报价最</w:t>
      </w:r>
      <w:r>
        <w:rPr>
          <w:rFonts w:hint="eastAsia" w:ascii="宋体" w:hAnsi="宋体" w:cs="宋体"/>
          <w:color w:val="000000" w:themeColor="text1"/>
          <w:kern w:val="0"/>
          <w:szCs w:val="21"/>
          <w:highlight w:val="none"/>
          <w:lang w:val="en-US" w:eastAsia="zh-CN"/>
          <w14:textFill>
            <w14:solidFill>
              <w14:schemeClr w14:val="tx1"/>
            </w14:solidFill>
          </w14:textFill>
        </w:rPr>
        <w:t>高</w:t>
      </w:r>
      <w:r>
        <w:rPr>
          <w:rFonts w:hint="eastAsia" w:ascii="宋体" w:hAnsi="宋体" w:cs="宋体"/>
          <w:color w:val="000000" w:themeColor="text1"/>
          <w:kern w:val="0"/>
          <w:szCs w:val="21"/>
          <w:highlight w:val="none"/>
          <w14:textFill>
            <w14:solidFill>
              <w14:schemeClr w14:val="tx1"/>
            </w14:solidFill>
          </w14:textFill>
        </w:rPr>
        <w:t>,非不可抗力放弃中标资格的。发生上述情况的承担由此引起的一切后果。</w:t>
      </w:r>
    </w:p>
    <w:p w14:paraId="0E4B449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对采购人和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具有同等法律效力。</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发出后，采购人改变中标结果，或者</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放弃中标，应按相关法律、规章、规范性文件的要求承担相应的法律责任。</w:t>
      </w:r>
    </w:p>
    <w:p w14:paraId="2FD10B1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bCs/>
          <w:color w:val="000000" w:themeColor="text1"/>
          <w:kern w:val="0"/>
          <w:szCs w:val="21"/>
          <w:highlight w:val="none"/>
          <w14:textFill>
            <w14:solidFill>
              <w14:schemeClr w14:val="tx1"/>
            </w14:solidFill>
          </w14:textFill>
        </w:rPr>
        <w:t>.4</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将作为签订合同的依据。合同签订后，</w:t>
      </w:r>
      <w:r>
        <w:rPr>
          <w:rFonts w:hint="eastAsia" w:ascii="宋体" w:hAnsi="宋体" w:cs="宋体"/>
          <w:bCs/>
          <w:color w:val="000000" w:themeColor="text1"/>
          <w:kern w:val="0"/>
          <w:szCs w:val="21"/>
          <w:highlight w:val="none"/>
          <w:lang w:eastAsia="zh-CN"/>
          <w14:textFill>
            <w14:solidFill>
              <w14:schemeClr w14:val="tx1"/>
            </w14:solidFill>
          </w14:textFill>
        </w:rPr>
        <w:t>成交通知书</w:t>
      </w:r>
      <w:r>
        <w:rPr>
          <w:rFonts w:hint="eastAsia" w:ascii="宋体" w:hAnsi="宋体" w:cs="宋体"/>
          <w:bCs/>
          <w:color w:val="000000" w:themeColor="text1"/>
          <w:kern w:val="0"/>
          <w:szCs w:val="21"/>
          <w:highlight w:val="none"/>
          <w14:textFill>
            <w14:solidFill>
              <w14:schemeClr w14:val="tx1"/>
            </w14:solidFill>
          </w14:textFill>
        </w:rPr>
        <w:t>成为合同的一部分。</w:t>
      </w:r>
    </w:p>
    <w:p w14:paraId="0E755A5A">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 采购人宣布废标的权利</w:t>
      </w:r>
    </w:p>
    <w:p w14:paraId="2D1763B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.1出现下列情况之一时，采购人有权宣布废标，并将理由通知所有</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w:t>
      </w:r>
    </w:p>
    <w:p w14:paraId="01D871D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.1.1出现影响采购公正的违法、违规行为的。</w:t>
      </w:r>
    </w:p>
    <w:p w14:paraId="7996ACF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.1.2</w:t>
      </w:r>
      <w:r>
        <w:rPr>
          <w:rFonts w:hint="eastAsia" w:ascii="宋体" w:hAnsi="宋体" w:cs="宋体"/>
          <w:bCs/>
          <w:color w:val="000000" w:themeColor="text1"/>
          <w:kern w:val="0"/>
          <w:szCs w:val="21"/>
          <w:highlight w:val="none"/>
          <w:lang w:eastAsia="zh-CN"/>
          <w14:textFill>
            <w14:solidFill>
              <w14:schemeClr w14:val="tx1"/>
            </w14:solidFill>
          </w14:textFill>
        </w:rPr>
        <w:t>供应商</w:t>
      </w:r>
      <w:r>
        <w:rPr>
          <w:rFonts w:hint="eastAsia" w:ascii="宋体" w:hAnsi="宋体" w:cs="宋体"/>
          <w:bCs/>
          <w:color w:val="000000" w:themeColor="text1"/>
          <w:kern w:val="0"/>
          <w:szCs w:val="21"/>
          <w:highlight w:val="none"/>
          <w14:textFill>
            <w14:solidFill>
              <w14:schemeClr w14:val="tx1"/>
            </w14:solidFill>
          </w14:textFill>
        </w:rPr>
        <w:t>的报价均</w:t>
      </w:r>
      <w:r>
        <w:rPr>
          <w:rFonts w:hint="eastAsia" w:ascii="宋体" w:hAnsi="宋体" w:cs="宋体"/>
          <w:bCs/>
          <w:color w:val="000000" w:themeColor="text1"/>
          <w:kern w:val="0"/>
          <w:szCs w:val="21"/>
          <w:highlight w:val="none"/>
          <w:lang w:val="en-US" w:eastAsia="zh-CN"/>
          <w14:textFill>
            <w14:solidFill>
              <w14:schemeClr w14:val="tx1"/>
            </w14:solidFill>
          </w14:textFill>
        </w:rPr>
        <w:t>低于采购预算金额</w:t>
      </w:r>
      <w:r>
        <w:rPr>
          <w:rFonts w:hint="eastAsia" w:ascii="宋体" w:hAnsi="宋体" w:cs="宋体"/>
          <w:bCs/>
          <w:color w:val="000000" w:themeColor="text1"/>
          <w:kern w:val="0"/>
          <w:szCs w:val="21"/>
          <w:highlight w:val="none"/>
          <w14:textFill>
            <w14:solidFill>
              <w14:schemeClr w14:val="tx1"/>
            </w14:solidFill>
          </w14:textFill>
        </w:rPr>
        <w:t>的。</w:t>
      </w:r>
    </w:p>
    <w:p w14:paraId="4D432B8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bCs/>
          <w:color w:val="000000" w:themeColor="text1"/>
          <w:kern w:val="0"/>
          <w:szCs w:val="21"/>
          <w:highlight w:val="none"/>
          <w14:textFill>
            <w14:solidFill>
              <w14:schemeClr w14:val="tx1"/>
            </w14:solidFill>
          </w14:textFill>
        </w:rPr>
        <w:t>.1.3因重大变故，采购任务取消的。</w:t>
      </w:r>
    </w:p>
    <w:p w14:paraId="70F4C1E3">
      <w:pPr>
        <w:keepNext w:val="0"/>
        <w:keepLines w:val="0"/>
        <w:pageBreakBefore w:val="0"/>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3</w:t>
      </w:r>
      <w:r>
        <w:rPr>
          <w:rFonts w:hint="eastAsia" w:ascii="宋体" w:hAnsi="宋体" w:cs="宋体"/>
          <w:bCs/>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投标截止后</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不足3家或通过资格性检查或符合性检查的</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不足3家的，除采购任务取消情形外，按照以下方式处理：</w:t>
      </w:r>
    </w:p>
    <w:p w14:paraId="143B7079">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文件存在不合理条款或者招标程序不符合规定的，采购人正后依法重新招标；　</w:t>
      </w:r>
    </w:p>
    <w:p w14:paraId="72552047">
      <w:pPr>
        <w:keepNext w:val="0"/>
        <w:keepLines w:val="0"/>
        <w:pageBreakBefore w:val="0"/>
        <w:kinsoku/>
        <w:wordWrap/>
        <w:overflowPunct/>
        <w:topLinePunct w:val="0"/>
        <w:bidi w:val="0"/>
        <w:snapToGrid w:val="0"/>
        <w:spacing w:line="360" w:lineRule="auto"/>
        <w:ind w:firstLine="420" w:firstLineChars="200"/>
        <w:rPr>
          <w:rFonts w:ascii="宋体" w:hAnsi="宋体" w:cs="宋体"/>
          <w:b/>
          <w:color w:val="000000" w:themeColor="text1"/>
          <w:kern w:val="0"/>
          <w:sz w:val="52"/>
          <w:szCs w:val="5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文件没有不合理条款、招标程序符合规定，需要采用其他采购方式采购的，采购人应当依法报财政部门批准。</w:t>
      </w:r>
    </w:p>
    <w:p w14:paraId="06A3660B">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黑体" w:hAnsi="宋体" w:eastAsia="黑体" w:cs="宋体"/>
          <w:b/>
          <w:bCs/>
          <w:color w:val="000000" w:themeColor="text1"/>
          <w:kern w:val="0"/>
          <w:sz w:val="32"/>
          <w:szCs w:val="32"/>
          <w:highlight w:val="none"/>
          <w:lang w:val="en-US" w:eastAsia="zh-CN"/>
          <w14:textFill>
            <w14:solidFill>
              <w14:schemeClr w14:val="tx1"/>
            </w14:solidFill>
          </w14:textFill>
        </w:rPr>
        <w:t>七</w:t>
      </w:r>
      <w:r>
        <w:rPr>
          <w:rFonts w:hint="eastAsia" w:ascii="黑体" w:hAnsi="宋体" w:eastAsia="黑体" w:cs="宋体"/>
          <w:b/>
          <w:bCs/>
          <w:color w:val="000000" w:themeColor="text1"/>
          <w:kern w:val="0"/>
          <w:sz w:val="32"/>
          <w:szCs w:val="32"/>
          <w:highlight w:val="none"/>
          <w14:textFill>
            <w14:solidFill>
              <w14:schemeClr w14:val="tx1"/>
            </w14:solidFill>
          </w14:textFill>
        </w:rPr>
        <w:t>、合同授予</w:t>
      </w:r>
    </w:p>
    <w:p w14:paraId="61F1A9A8">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w:t>
      </w:r>
      <w:r>
        <w:rPr>
          <w:rFonts w:hint="eastAsia" w:ascii="宋体" w:hAnsi="宋体" w:cs="宋体"/>
          <w:b/>
          <w:bCs/>
          <w:color w:val="000000" w:themeColor="text1"/>
          <w:kern w:val="0"/>
          <w:szCs w:val="21"/>
          <w:highlight w:val="none"/>
          <w:lang w:val="en-US" w:eastAsia="zh-CN"/>
          <w14:textFill>
            <w14:solidFill>
              <w14:schemeClr w14:val="tx1"/>
            </w14:solidFill>
          </w14:textFill>
        </w:rPr>
        <w:t>4</w:t>
      </w:r>
      <w:r>
        <w:rPr>
          <w:rFonts w:hint="eastAsia" w:ascii="宋体" w:hAnsi="宋体" w:cs="宋体"/>
          <w:b/>
          <w:bCs/>
          <w:color w:val="000000" w:themeColor="text1"/>
          <w:kern w:val="0"/>
          <w:szCs w:val="21"/>
          <w:highlight w:val="none"/>
          <w14:textFill>
            <w14:solidFill>
              <w14:schemeClr w14:val="tx1"/>
            </w14:solidFill>
          </w14:textFill>
        </w:rPr>
        <w:t>.合同签订</w:t>
      </w:r>
    </w:p>
    <w:p w14:paraId="10B26FE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u w:val="single"/>
          <w14:textFill>
            <w14:solidFill>
              <w14:schemeClr w14:val="tx1"/>
            </w14:solidFill>
          </w14:textFill>
        </w:rPr>
      </w:pPr>
      <w:bookmarkStart w:id="40" w:name="_Toc8594"/>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.1 采购人、</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自</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发出之日起，在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文件第三章《</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须知前附表》规定的时间内，根据</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文件确定的事项和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投标文件签订合同。双方所签订的合同不得对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文件和</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投标文件作实质性修改。</w:t>
      </w:r>
    </w:p>
    <w:p w14:paraId="286D33B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.2 </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文件的修改文件、</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ascii="宋体" w:hAnsi="宋体" w:cs="宋体"/>
          <w:color w:val="000000" w:themeColor="text1"/>
          <w:kern w:val="0"/>
          <w:szCs w:val="21"/>
          <w:highlight w:val="none"/>
          <w14:textFill>
            <w14:solidFill>
              <w14:schemeClr w14:val="tx1"/>
            </w14:solidFill>
          </w14:textFill>
        </w:rPr>
        <w:t>的投标文件、补充或修改的文件及澄清或承诺文件等，均为双方签订合同的组成部分，并与合同一并作为本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文件所列采购项目的互补性法律文件，与合同具有同等法律效力。</w:t>
      </w:r>
    </w:p>
    <w:p w14:paraId="0C4D744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 xml:space="preserve">.3 </w:t>
      </w:r>
      <w:r>
        <w:rPr>
          <w:rFonts w:hint="eastAsia" w:ascii="宋体" w:hAnsi="宋体"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放弃中标、因不可抗力不能履行合同、不按照</w:t>
      </w:r>
      <w:r>
        <w:rPr>
          <w:rFonts w:hint="eastAsia" w:cs="宋体"/>
          <w:color w:val="000000" w:themeColor="text1"/>
          <w:kern w:val="0"/>
          <w:szCs w:val="21"/>
          <w:highlight w:val="none"/>
          <w:lang w:val="en-US" w:eastAsia="zh-CN"/>
          <w14:textFill>
            <w14:solidFill>
              <w14:schemeClr w14:val="tx1"/>
            </w14:solidFill>
          </w14:textFill>
        </w:rPr>
        <w:t>采购</w:t>
      </w:r>
      <w:r>
        <w:rPr>
          <w:rFonts w:hint="eastAsia" w:cs="宋体"/>
          <w:color w:val="000000" w:themeColor="text1"/>
          <w:kern w:val="0"/>
          <w:szCs w:val="21"/>
          <w:highlight w:val="none"/>
          <w14:textFill>
            <w14:solidFill>
              <w14:schemeClr w14:val="tx1"/>
            </w14:solidFill>
          </w14:textFill>
        </w:rPr>
        <w:t>文件要求提交履约保证金，或者被查实存在影响中标结果的违法行为等情形，不符合中标条件的，</w:t>
      </w:r>
      <w:r>
        <w:rPr>
          <w:rFonts w:hint="eastAsia" w:ascii="宋体" w:hAnsi="宋体" w:cs="宋体"/>
          <w:color w:val="000000" w:themeColor="text1"/>
          <w:kern w:val="0"/>
          <w:szCs w:val="21"/>
          <w:highlight w:val="none"/>
          <w14:textFill>
            <w14:solidFill>
              <w14:schemeClr w14:val="tx1"/>
            </w14:solidFill>
          </w14:textFill>
        </w:rPr>
        <w:t>采购人可以</w:t>
      </w:r>
      <w:r>
        <w:rPr>
          <w:rFonts w:hint="eastAsia" w:cs="宋体"/>
          <w:color w:val="000000" w:themeColor="text1"/>
          <w:kern w:val="0"/>
          <w:szCs w:val="21"/>
          <w:highlight w:val="none"/>
          <w14:textFill>
            <w14:solidFill>
              <w14:schemeClr w14:val="tx1"/>
            </w14:solidFill>
          </w14:textFill>
        </w:rPr>
        <w:t>按照</w:t>
      </w:r>
      <w:r>
        <w:rPr>
          <w:rFonts w:hint="eastAsia" w:cs="宋体"/>
          <w:color w:val="000000" w:themeColor="text1"/>
          <w:kern w:val="0"/>
          <w:szCs w:val="21"/>
          <w:highlight w:val="none"/>
          <w:lang w:eastAsia="zh-CN"/>
          <w14:textFill>
            <w14:solidFill>
              <w14:schemeClr w14:val="tx1"/>
            </w14:solidFill>
          </w14:textFill>
        </w:rPr>
        <w:t>磋商小组</w:t>
      </w:r>
      <w:r>
        <w:rPr>
          <w:rFonts w:hint="eastAsia" w:cs="宋体"/>
          <w:color w:val="000000" w:themeColor="text1"/>
          <w:kern w:val="0"/>
          <w:szCs w:val="21"/>
          <w:highlight w:val="none"/>
          <w14:textFill>
            <w14:solidFill>
              <w14:schemeClr w14:val="tx1"/>
            </w14:solidFill>
          </w14:textFill>
        </w:rPr>
        <w:t>提出的</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名单排序依次确定其他</w:t>
      </w:r>
      <w:r>
        <w:rPr>
          <w:rFonts w:hint="eastAsia" w:cs="宋体"/>
          <w:color w:val="000000" w:themeColor="text1"/>
          <w:kern w:val="0"/>
          <w:szCs w:val="21"/>
          <w:highlight w:val="none"/>
          <w:lang w:eastAsia="zh-CN"/>
          <w14:textFill>
            <w14:solidFill>
              <w14:schemeClr w14:val="tx1"/>
            </w14:solidFill>
          </w14:textFill>
        </w:rPr>
        <w:t>成交候选人</w:t>
      </w:r>
      <w:r>
        <w:rPr>
          <w:rFonts w:hint="eastAsia" w:cs="宋体"/>
          <w:color w:val="000000" w:themeColor="text1"/>
          <w:kern w:val="0"/>
          <w:szCs w:val="21"/>
          <w:highlight w:val="none"/>
          <w14:textFill>
            <w14:solidFill>
              <w14:schemeClr w14:val="tx1"/>
            </w14:solidFill>
          </w14:textFill>
        </w:rPr>
        <w:t>为</w:t>
      </w:r>
      <w:r>
        <w:rPr>
          <w:rFonts w:hint="eastAsia" w:cs="宋体"/>
          <w:color w:val="000000" w:themeColor="text1"/>
          <w:kern w:val="0"/>
          <w:szCs w:val="21"/>
          <w:highlight w:val="none"/>
          <w:lang w:eastAsia="zh-CN"/>
          <w14:textFill>
            <w14:solidFill>
              <w14:schemeClr w14:val="tx1"/>
            </w14:solidFill>
          </w14:textFill>
        </w:rPr>
        <w:t>成交人</w:t>
      </w:r>
      <w:r>
        <w:rPr>
          <w:rFonts w:hint="eastAsia" w:cs="宋体"/>
          <w:color w:val="000000" w:themeColor="text1"/>
          <w:kern w:val="0"/>
          <w:szCs w:val="21"/>
          <w:highlight w:val="none"/>
          <w14:textFill>
            <w14:solidFill>
              <w14:schemeClr w14:val="tx1"/>
            </w14:solidFill>
          </w14:textFill>
        </w:rPr>
        <w:t>，也可以重新招标。</w:t>
      </w:r>
    </w:p>
    <w:bookmarkEnd w:id="40"/>
    <w:p w14:paraId="7CC75B67">
      <w:pPr>
        <w:rPr>
          <w:color w:val="000000" w:themeColor="text1"/>
          <w:highlight w:val="none"/>
          <w14:textFill>
            <w14:solidFill>
              <w14:schemeClr w14:val="tx1"/>
            </w14:solidFill>
          </w14:textFill>
        </w:rPr>
      </w:pPr>
      <w:bookmarkStart w:id="41" w:name="_Toc4700"/>
      <w:bookmarkStart w:id="42" w:name="_Toc16669"/>
      <w:r>
        <w:rPr>
          <w:color w:val="000000" w:themeColor="text1"/>
          <w:highlight w:val="none"/>
          <w14:textFill>
            <w14:solidFill>
              <w14:schemeClr w14:val="tx1"/>
            </w14:solidFill>
          </w14:textFill>
        </w:rPr>
        <w:br w:type="page"/>
      </w:r>
    </w:p>
    <w:p w14:paraId="41870D3F">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000000" w:themeColor="text1"/>
          <w:kern w:val="0"/>
          <w:sz w:val="24"/>
          <w:highlight w:val="none"/>
          <w14:textFill>
            <w14:solidFill>
              <w14:schemeClr w14:val="tx1"/>
            </w14:solidFill>
          </w14:textFill>
        </w:rPr>
      </w:pPr>
      <w:bookmarkStart w:id="43" w:name="_Toc16473"/>
      <w:r>
        <w:rPr>
          <w:rFonts w:hint="eastAsia" w:ascii="黑体" w:hAnsi="宋体" w:eastAsia="黑体" w:cs="宋体"/>
          <w:b/>
          <w:bCs/>
          <w:color w:val="000000" w:themeColor="text1"/>
          <w:kern w:val="0"/>
          <w:sz w:val="32"/>
          <w:szCs w:val="32"/>
          <w:highlight w:val="none"/>
          <w14:textFill>
            <w14:solidFill>
              <w14:schemeClr w14:val="tx1"/>
            </w14:solidFill>
          </w14:textFill>
        </w:rPr>
        <w:t>第四章  评标办法及评分标准</w:t>
      </w:r>
      <w:bookmarkEnd w:id="41"/>
      <w:bookmarkEnd w:id="43"/>
    </w:p>
    <w:p w14:paraId="76BA58C7">
      <w:pPr>
        <w:rPr>
          <w:color w:val="000000" w:themeColor="text1"/>
          <w:highlight w:val="none"/>
          <w14:textFill>
            <w14:solidFill>
              <w14:schemeClr w14:val="tx1"/>
            </w14:solidFill>
          </w14:textFill>
        </w:rPr>
      </w:pPr>
    </w:p>
    <w:p w14:paraId="4E30B922">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（一）评标原则</w:t>
      </w:r>
    </w:p>
    <w:p w14:paraId="375B08C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按照“公平、公正”的原则对待所有</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文件的相关规定进行评标、定标。</w:t>
      </w:r>
    </w:p>
    <w:p w14:paraId="3137AC4C">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p w14:paraId="03C5A60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1．本项目采用综合评分法，总分为100分。</w:t>
      </w:r>
    </w:p>
    <w:p w14:paraId="5DAD122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按照</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文件中规定的评标方法和标准，对投标文件进行综合比较与评价。</w:t>
      </w:r>
    </w:p>
    <w:p w14:paraId="2C067874">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1"/>
          <w:szCs w:val="21"/>
          <w:highlight w:val="none"/>
          <w14:textFill>
            <w14:solidFill>
              <w14:schemeClr w14:val="tx1"/>
            </w14:solidFill>
          </w14:textFill>
        </w:rPr>
        <w:t>评标结果按评审后得分由高到低顺序排列，得分相同的，按投标报价由高到低顺序排列。得分且投标报价相同的，按技术部分得分顺序排列。</w:t>
      </w:r>
    </w:p>
    <w:p w14:paraId="0D806159">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.投标文件满足</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1"/>
          <w:szCs w:val="21"/>
          <w:highlight w:val="none"/>
          <w14:textFill>
            <w14:solidFill>
              <w14:schemeClr w14:val="tx1"/>
            </w14:solidFill>
          </w14:textFill>
        </w:rPr>
        <w:t>文件全部实质性要求，且评审得分最高的</w:t>
      </w:r>
      <w:r>
        <w:rPr>
          <w:rFonts w:hint="eastAsia" w:ascii="宋体" w:hAnsi="宋体" w:cs="宋体"/>
          <w:b w:val="0"/>
          <w:bCs w:val="0"/>
          <w:color w:val="000000" w:themeColor="text1"/>
          <w:sz w:val="21"/>
          <w:szCs w:val="21"/>
          <w:highlight w:val="none"/>
          <w:lang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14:textFill>
            <w14:solidFill>
              <w14:schemeClr w14:val="tx1"/>
            </w14:solidFill>
          </w14:textFill>
        </w:rPr>
        <w:t>为第一</w:t>
      </w:r>
      <w:r>
        <w:rPr>
          <w:rFonts w:hint="eastAsia" w:ascii="宋体" w:hAnsi="宋体" w:cs="宋体"/>
          <w:b w:val="0"/>
          <w:bCs w:val="0"/>
          <w:color w:val="000000" w:themeColor="text1"/>
          <w:sz w:val="21"/>
          <w:szCs w:val="21"/>
          <w:highlight w:val="none"/>
          <w:lang w:eastAsia="zh-CN"/>
          <w14:textFill>
            <w14:solidFill>
              <w14:schemeClr w14:val="tx1"/>
            </w14:solidFill>
          </w14:textFill>
        </w:rPr>
        <w:t>成交候选人</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3D4582EF">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）评标程序</w:t>
      </w:r>
    </w:p>
    <w:p w14:paraId="0C1F773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6F4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482" w:type="dxa"/>
            <w:gridSpan w:val="3"/>
            <w:noWrap w:val="0"/>
            <w:vAlign w:val="center"/>
          </w:tcPr>
          <w:p w14:paraId="7307E871">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评审内容</w:t>
            </w:r>
          </w:p>
        </w:tc>
      </w:tr>
      <w:tr w14:paraId="1A6C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239" w:type="dxa"/>
            <w:noWrap w:val="0"/>
            <w:vAlign w:val="center"/>
          </w:tcPr>
          <w:p w14:paraId="017DBC8C">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tc>
        <w:tc>
          <w:tcPr>
            <w:tcW w:w="8243" w:type="dxa"/>
            <w:gridSpan w:val="2"/>
            <w:noWrap w:val="0"/>
            <w:vAlign w:val="center"/>
          </w:tcPr>
          <w:p w14:paraId="0EE6EA60">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w:t>
            </w:r>
            <w:r>
              <w:rPr>
                <w:rFonts w:hint="eastAsia" w:hAnsi="宋体" w:cs="宋体"/>
                <w:b w:val="0"/>
                <w:bCs w:val="0"/>
                <w:color w:val="auto"/>
                <w:sz w:val="21"/>
                <w:szCs w:val="21"/>
                <w:highlight w:val="none"/>
                <w:u w:val="none"/>
                <w:lang w:val="en-US" w:eastAsia="zh-CN"/>
              </w:rPr>
              <w:t>高于</w:t>
            </w:r>
            <w:r>
              <w:rPr>
                <w:rFonts w:hint="eastAsia" w:ascii="宋体" w:hAnsi="宋体" w:eastAsia="宋体" w:cs="宋体"/>
                <w:b w:val="0"/>
                <w:bCs w:val="0"/>
                <w:color w:val="auto"/>
                <w:sz w:val="21"/>
                <w:szCs w:val="21"/>
                <w:highlight w:val="none"/>
                <w:u w:val="none"/>
              </w:rPr>
              <w:t>其他通过符合性审查</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rPr>
              <w:t>的报价，有可能影响服务质量或者不能诚信履约的，应当要求其在</w:t>
            </w:r>
            <w:r>
              <w:rPr>
                <w:rFonts w:hint="eastAsia" w:hAnsi="宋体" w:cs="宋体"/>
                <w:b w:val="0"/>
                <w:bCs w:val="0"/>
                <w:color w:val="auto"/>
                <w:sz w:val="21"/>
                <w:szCs w:val="21"/>
                <w:highlight w:val="none"/>
                <w:u w:val="none"/>
                <w:lang w:val="en-US" w:eastAsia="zh-CN"/>
              </w:rPr>
              <w:t>规定</w:t>
            </w:r>
            <w:r>
              <w:rPr>
                <w:rFonts w:hint="eastAsia" w:ascii="宋体" w:hAnsi="宋体" w:eastAsia="宋体" w:cs="宋体"/>
                <w:b w:val="0"/>
                <w:bCs w:val="0"/>
                <w:color w:val="auto"/>
                <w:sz w:val="21"/>
                <w:szCs w:val="21"/>
                <w:highlight w:val="none"/>
                <w:u w:val="none"/>
              </w:rPr>
              <w:t>的时间内提供书面说明，必要时提交相关证明材料；</w:t>
            </w:r>
            <w:r>
              <w:rPr>
                <w:rFonts w:hint="eastAsia" w:hAnsi="宋体" w:cs="宋体"/>
                <w:b w:val="0"/>
                <w:bCs w:val="0"/>
                <w:color w:val="auto"/>
                <w:sz w:val="21"/>
                <w:szCs w:val="21"/>
                <w:highlight w:val="none"/>
                <w:u w:val="none"/>
                <w:lang w:val="en-US" w:eastAsia="zh-CN"/>
              </w:rPr>
              <w:t>供应商</w:t>
            </w:r>
            <w:r>
              <w:rPr>
                <w:rFonts w:hint="eastAsia" w:ascii="宋体" w:hAnsi="宋体" w:eastAsia="宋体" w:cs="宋体"/>
                <w:b w:val="0"/>
                <w:bCs w:val="0"/>
                <w:color w:val="auto"/>
                <w:sz w:val="21"/>
                <w:szCs w:val="21"/>
                <w:highlight w:val="none"/>
                <w:u w:val="none"/>
              </w:rPr>
              <w:t>不能证明其报价合理性或提供证明材料的，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应当将其作为无效投标处理。</w:t>
            </w:r>
          </w:p>
          <w:p w14:paraId="2BA30B0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w:t>
            </w:r>
            <w:r>
              <w:rPr>
                <w:rFonts w:hint="eastAsia" w:hAnsi="宋体" w:cs="宋体"/>
                <w:b w:val="0"/>
                <w:bCs w:val="0"/>
                <w:color w:val="auto"/>
                <w:sz w:val="21"/>
                <w:szCs w:val="21"/>
                <w:highlight w:val="none"/>
                <w:lang w:val="en-US" w:eastAsia="zh-CN"/>
              </w:rPr>
              <w:t>低</w:t>
            </w:r>
            <w:r>
              <w:rPr>
                <w:rFonts w:hint="eastAsia" w:ascii="宋体" w:hAnsi="宋体" w:eastAsia="宋体" w:cs="宋体"/>
                <w:b w:val="0"/>
                <w:bCs w:val="0"/>
                <w:color w:val="auto"/>
                <w:sz w:val="21"/>
                <w:szCs w:val="21"/>
                <w:highlight w:val="none"/>
                <w:lang w:val="en-US" w:eastAsia="zh-CN"/>
              </w:rPr>
              <w:t>于</w:t>
            </w:r>
            <w:r>
              <w:rPr>
                <w:rFonts w:hint="eastAsia" w:ascii="宋体" w:hAnsi="宋体" w:eastAsia="宋体" w:cs="宋体"/>
                <w:b w:val="0"/>
                <w:bCs w:val="0"/>
                <w:color w:val="auto"/>
                <w:sz w:val="21"/>
                <w:szCs w:val="21"/>
                <w:highlight w:val="none"/>
              </w:rPr>
              <w:t>采购预算价的为有效投标报价。</w:t>
            </w:r>
          </w:p>
          <w:p w14:paraId="5B3996FF">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评标基准值的确定：满足采购文件要求且投标价格最</w:t>
            </w:r>
            <w:r>
              <w:rPr>
                <w:rFonts w:hint="eastAsia" w:hAnsi="宋体" w:cs="宋体"/>
                <w:b w:val="0"/>
                <w:bCs w:val="0"/>
                <w:color w:val="auto"/>
                <w:sz w:val="21"/>
                <w:szCs w:val="21"/>
                <w:highlight w:val="none"/>
                <w:lang w:val="en-US" w:eastAsia="zh-CN"/>
              </w:rPr>
              <w:t>高</w:t>
            </w:r>
            <w:r>
              <w:rPr>
                <w:rFonts w:hint="eastAsia" w:ascii="宋体" w:hAnsi="宋体" w:eastAsia="宋体" w:cs="宋体"/>
                <w:b w:val="0"/>
                <w:bCs w:val="0"/>
                <w:color w:val="auto"/>
                <w:sz w:val="21"/>
                <w:szCs w:val="21"/>
                <w:highlight w:val="none"/>
              </w:rPr>
              <w:t>的有效投标报价为评标基准价。</w:t>
            </w:r>
          </w:p>
          <w:p w14:paraId="051E7DF4">
            <w:pPr>
              <w:rPr>
                <w:rFonts w:hint="eastAsia" w:ascii="宋体" w:hAnsi="宋体" w:eastAsia="宋体" w:cs="宋体"/>
                <w:color w:val="auto"/>
                <w:highlight w:val="none"/>
                <w:lang w:val="en-US" w:eastAsia="zh-CN"/>
              </w:rPr>
            </w:pPr>
            <w:r>
              <w:rPr>
                <w:rFonts w:hint="eastAsia" w:ascii="宋体" w:hAnsi="宋体" w:eastAsia="宋体" w:cs="宋体"/>
                <w:b/>
                <w:bCs/>
                <w:color w:val="auto"/>
                <w:sz w:val="21"/>
                <w:szCs w:val="21"/>
                <w:highlight w:val="none"/>
              </w:rPr>
              <w:t>投标报价得分=（有效投标报价/评标基准价）×</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0分</w:t>
            </w:r>
          </w:p>
        </w:tc>
      </w:tr>
      <w:tr w14:paraId="3CE0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239" w:type="dxa"/>
            <w:vMerge w:val="restart"/>
            <w:noWrap w:val="0"/>
            <w:vAlign w:val="center"/>
          </w:tcPr>
          <w:p w14:paraId="01B8DE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技术标部分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64</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60C9214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技术要求</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的响应程度(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5B3A833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完全满足招标文件第二章 采购需求 </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val="0"/>
                <w:bCs w:val="0"/>
                <w:color w:val="000000" w:themeColor="text1"/>
                <w:sz w:val="21"/>
                <w:szCs w:val="21"/>
                <w:highlight w:val="none"/>
                <w14:textFill>
                  <w14:solidFill>
                    <w14:schemeClr w14:val="tx1"/>
                  </w14:solidFill>
                </w14:textFill>
              </w:rPr>
              <w:t>、技术要求”的得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24</w:t>
            </w:r>
            <w:r>
              <w:rPr>
                <w:rFonts w:hint="eastAsia" w:ascii="宋体" w:hAnsi="宋体" w:eastAsia="宋体" w:cs="宋体"/>
                <w:b w:val="0"/>
                <w:bCs w:val="0"/>
                <w:color w:val="000000" w:themeColor="text1"/>
                <w:sz w:val="21"/>
                <w:szCs w:val="21"/>
                <w:highlight w:val="none"/>
                <w14:textFill>
                  <w14:solidFill>
                    <w14:schemeClr w14:val="tx1"/>
                  </w14:solidFill>
                </w14:textFill>
              </w:rPr>
              <w:t>分；一项不满足扣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扣完为止</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606EFE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供应商需提供参数偏离表，并标注偏离情况。</w:t>
            </w:r>
          </w:p>
          <w:p w14:paraId="5CFA029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2）提供相关证明文件</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或材料</w:t>
            </w:r>
            <w:r>
              <w:rPr>
                <w:rFonts w:hint="eastAsia" w:ascii="宋体" w:hAnsi="宋体" w:eastAsia="宋体" w:cs="宋体"/>
                <w:b w:val="0"/>
                <w:bCs w:val="0"/>
                <w:color w:val="000000" w:themeColor="text1"/>
                <w:sz w:val="21"/>
                <w:szCs w:val="21"/>
                <w:highlight w:val="none"/>
                <w14:textFill>
                  <w14:solidFill>
                    <w14:schemeClr w14:val="tx1"/>
                  </w14:solidFill>
                </w14:textFill>
              </w:rPr>
              <w:t>，并对响应技术</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要求</w:t>
            </w:r>
            <w:r>
              <w:rPr>
                <w:rFonts w:hint="eastAsia" w:ascii="宋体" w:hAnsi="宋体" w:eastAsia="宋体" w:cs="宋体"/>
                <w:b w:val="0"/>
                <w:bCs w:val="0"/>
                <w:color w:val="000000" w:themeColor="text1"/>
                <w:sz w:val="21"/>
                <w:szCs w:val="21"/>
                <w:highlight w:val="none"/>
                <w14:textFill>
                  <w14:solidFill>
                    <w14:schemeClr w14:val="tx1"/>
                  </w14:solidFill>
                </w14:textFill>
              </w:rPr>
              <w:t>部分做出明显标注</w:t>
            </w:r>
            <w:r>
              <w:rPr>
                <w:rFonts w:hint="eastAsia" w:ascii="宋体" w:hAnsi="宋体" w:cs="宋体"/>
                <w:b w:val="0"/>
                <w:bCs w:val="0"/>
                <w:color w:val="000000" w:themeColor="text1"/>
                <w:sz w:val="21"/>
                <w:szCs w:val="21"/>
                <w:highlight w:val="none"/>
                <w:lang w:eastAsia="zh-CN"/>
                <w14:textFill>
                  <w14:solidFill>
                    <w14:schemeClr w14:val="tx1"/>
                  </w14:solidFill>
                </w14:textFill>
              </w:rPr>
              <w:t>。</w:t>
            </w:r>
          </w:p>
        </w:tc>
      </w:tr>
      <w:tr w14:paraId="6B13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46A737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restart"/>
            <w:noWrap w:val="0"/>
            <w:vAlign w:val="center"/>
          </w:tcPr>
          <w:p w14:paraId="46DBEE2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2.运营方案（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36F9146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制定的安全文明经营及环境保护措施</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等进行打分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3A3C7E1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以上内容具体、完善、合理性程度强得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一般的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得1分，缺项得0分。</w:t>
            </w:r>
          </w:p>
        </w:tc>
      </w:tr>
      <w:tr w14:paraId="75AF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239" w:type="dxa"/>
            <w:vMerge w:val="continue"/>
            <w:noWrap w:val="0"/>
            <w:vAlign w:val="center"/>
          </w:tcPr>
          <w:p w14:paraId="2B73602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129B34F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770" w:type="dxa"/>
            <w:noWrap w:val="0"/>
            <w:vAlign w:val="center"/>
          </w:tcPr>
          <w:p w14:paraId="0D7BD6B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供应商拟投入的设备情况</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及</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安全保障措施</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等进行打分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4E94CB5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以上内容具体、完善、合理性程度强得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一般的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得1分，缺项得0分。</w:t>
            </w:r>
          </w:p>
        </w:tc>
      </w:tr>
      <w:tr w14:paraId="197F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239" w:type="dxa"/>
            <w:vMerge w:val="continue"/>
            <w:noWrap w:val="0"/>
            <w:vAlign w:val="center"/>
          </w:tcPr>
          <w:p w14:paraId="346196C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1B6FB51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770" w:type="dxa"/>
            <w:noWrap w:val="0"/>
            <w:vAlign w:val="center"/>
          </w:tcPr>
          <w:p w14:paraId="4901069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制定的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医院管理单位的配合措施</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等进行打分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6B01CE5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以上内容具体、完善、合理性程度强得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一般的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得1分，缺项得0分。</w:t>
            </w:r>
          </w:p>
        </w:tc>
      </w:tr>
      <w:tr w14:paraId="2C65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239" w:type="dxa"/>
            <w:vMerge w:val="continue"/>
            <w:noWrap w:val="0"/>
            <w:vAlign w:val="center"/>
          </w:tcPr>
          <w:p w14:paraId="1B99A3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1781C85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770" w:type="dxa"/>
            <w:noWrap w:val="0"/>
            <w:vAlign w:val="center"/>
          </w:tcPr>
          <w:p w14:paraId="4EC9565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根据供应商提供的商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品质量控制</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和充足供应</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的保障措施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进行打分，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包含（但不限于）以下内容：①采购</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商品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的质量控制措施；②仓储管理措施；③</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商品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运输保护措施。</w:t>
            </w:r>
          </w:p>
          <w:p w14:paraId="3CC5742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保障措施详细，合理性、可行性强的得5分；保障措施较详细，合理性、可行性较强的得3分；保障措施一般的得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分；缺项得0分。</w:t>
            </w:r>
          </w:p>
        </w:tc>
      </w:tr>
      <w:tr w14:paraId="5844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239" w:type="dxa"/>
            <w:vMerge w:val="continue"/>
            <w:noWrap w:val="0"/>
            <w:vAlign w:val="center"/>
          </w:tcPr>
          <w:p w14:paraId="7A669BF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62F35AF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770" w:type="dxa"/>
            <w:noWrap w:val="0"/>
            <w:vAlign w:val="center"/>
          </w:tcPr>
          <w:p w14:paraId="420384A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制定的对医院房屋及设备的保护措施</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等进行打分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7ACCB1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以上内容具体、完善、合理性程度强得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较强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分，具体、完善、合理性程度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一般的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得1分，缺项得0分。</w:t>
            </w:r>
          </w:p>
        </w:tc>
      </w:tr>
      <w:tr w14:paraId="2D89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239" w:type="dxa"/>
            <w:vMerge w:val="continue"/>
            <w:noWrap w:val="0"/>
            <w:vAlign w:val="center"/>
          </w:tcPr>
          <w:p w14:paraId="0AF31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202AD8C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770" w:type="dxa"/>
            <w:noWrap w:val="0"/>
            <w:vAlign w:val="center"/>
          </w:tcPr>
          <w:p w14:paraId="505B60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auto"/>
                <w:sz w:val="21"/>
                <w:szCs w:val="21"/>
                <w:highlight w:val="none"/>
              </w:rPr>
              <w:t>具有卫生管理制度、库房管理制度、岗位责任</w:t>
            </w:r>
            <w:r>
              <w:rPr>
                <w:rFonts w:hint="eastAsia" w:ascii="Times New Roman" w:hAnsi="Times New Roman" w:eastAsia="宋体" w:cs="Times New Roman"/>
                <w:color w:val="auto"/>
                <w:sz w:val="21"/>
                <w:szCs w:val="21"/>
                <w:highlight w:val="none"/>
                <w:lang w:val="en-US" w:eastAsia="zh-CN"/>
              </w:rPr>
              <w:t>制度</w:t>
            </w:r>
            <w:r>
              <w:rPr>
                <w:rFonts w:hint="default" w:ascii="Times New Roman" w:hAnsi="Times New Roman" w:eastAsia="宋体" w:cs="Times New Roman"/>
                <w:color w:val="auto"/>
                <w:sz w:val="21"/>
                <w:szCs w:val="21"/>
                <w:highlight w:val="none"/>
              </w:rPr>
              <w:t>等，制度</w:t>
            </w:r>
            <w:r>
              <w:rPr>
                <w:rFonts w:hint="default" w:ascii="Times New Roman" w:hAnsi="Times New Roman" w:eastAsia="宋体" w:cs="Times New Roman"/>
                <w:color w:val="auto"/>
                <w:sz w:val="21"/>
                <w:szCs w:val="21"/>
                <w:highlight w:val="none"/>
                <w:lang w:val="en-US" w:eastAsia="zh-CN"/>
              </w:rPr>
              <w:t>包含但不限于</w:t>
            </w:r>
            <w:r>
              <w:rPr>
                <w:rFonts w:hint="default" w:ascii="Times New Roman" w:hAnsi="Times New Roman" w:eastAsia="宋体" w:cs="Times New Roman"/>
                <w:color w:val="auto"/>
                <w:sz w:val="21"/>
                <w:szCs w:val="21"/>
                <w:highlight w:val="none"/>
              </w:rPr>
              <w:t>在职人员管理、</w:t>
            </w:r>
            <w:r>
              <w:rPr>
                <w:rFonts w:hint="eastAsia" w:ascii="Times New Roman" w:hAnsi="Times New Roman" w:eastAsia="宋体" w:cs="Times New Roman"/>
                <w:color w:val="auto"/>
                <w:sz w:val="21"/>
                <w:szCs w:val="21"/>
                <w:highlight w:val="none"/>
                <w:lang w:val="en-US" w:eastAsia="zh-CN"/>
              </w:rPr>
              <w:t>产品</w:t>
            </w:r>
            <w:r>
              <w:rPr>
                <w:rFonts w:hint="default" w:ascii="Times New Roman" w:hAnsi="Times New Roman" w:eastAsia="宋体" w:cs="Times New Roman"/>
                <w:color w:val="auto"/>
                <w:sz w:val="21"/>
                <w:szCs w:val="21"/>
                <w:highlight w:val="none"/>
              </w:rPr>
              <w:t>验收、储存、环境卫生等方面制定的管理制度。</w:t>
            </w:r>
            <w:r>
              <w:rPr>
                <w:rFonts w:hint="default" w:ascii="Times New Roman" w:hAnsi="Times New Roman" w:eastAsia="宋体" w:cs="Times New Roman"/>
                <w:color w:val="auto"/>
                <w:sz w:val="21"/>
                <w:szCs w:val="21"/>
                <w:highlight w:val="none"/>
                <w:lang w:val="en-US" w:eastAsia="zh-CN"/>
              </w:rPr>
              <w:t>以上内容具体、完善、合理性强得5分，内容具体、完善、合理性较强得3分，内容具体、完善、合理性一般的得1分，缺项得0分。</w:t>
            </w:r>
          </w:p>
        </w:tc>
      </w:tr>
      <w:tr w14:paraId="0370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239" w:type="dxa"/>
            <w:vMerge w:val="continue"/>
            <w:noWrap w:val="0"/>
            <w:vAlign w:val="center"/>
          </w:tcPr>
          <w:p w14:paraId="2A213CD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restart"/>
            <w:noWrap w:val="0"/>
            <w:vAlign w:val="center"/>
          </w:tcPr>
          <w:p w14:paraId="29F027B2">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服务方案</w:t>
            </w:r>
          </w:p>
          <w:p w14:paraId="33AB71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6EB33DC6">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提供的服务人员</w:t>
            </w:r>
            <w:r>
              <w:rPr>
                <w:rFonts w:hint="eastAsia" w:ascii="宋体" w:hAnsi="宋体" w:eastAsia="宋体" w:cs="宋体"/>
                <w:color w:val="000000" w:themeColor="text1"/>
                <w:highlight w:val="none"/>
                <w14:textFill>
                  <w14:solidFill>
                    <w14:schemeClr w14:val="tx1"/>
                  </w14:solidFill>
                </w14:textFill>
              </w:rPr>
              <w:t>培训方案、服务</w:t>
            </w:r>
            <w:r>
              <w:rPr>
                <w:rFonts w:hint="eastAsia" w:ascii="宋体" w:hAnsi="宋体" w:cs="宋体"/>
                <w:color w:val="000000" w:themeColor="text1"/>
                <w:highlight w:val="none"/>
                <w:lang w:val="en-US" w:eastAsia="zh-CN"/>
                <w14:textFill>
                  <w14:solidFill>
                    <w14:schemeClr w14:val="tx1"/>
                  </w14:solidFill>
                </w14:textFill>
              </w:rPr>
              <w:t>保障措施</w:t>
            </w:r>
            <w:r>
              <w:rPr>
                <w:rFonts w:hint="eastAsia" w:ascii="宋体" w:hAnsi="宋体" w:eastAsia="宋体" w:cs="宋体"/>
                <w:color w:val="000000" w:themeColor="text1"/>
                <w:highlight w:val="none"/>
                <w14:textFill>
                  <w14:solidFill>
                    <w14:schemeClr w14:val="tx1"/>
                  </w14:solidFill>
                </w14:textFill>
              </w:rPr>
              <w:t>等</w:t>
            </w:r>
            <w:r>
              <w:rPr>
                <w:rFonts w:hint="eastAsia" w:ascii="宋体" w:hAnsi="宋体" w:cs="宋体"/>
                <w:color w:val="000000" w:themeColor="text1"/>
                <w:highlight w:val="none"/>
                <w:lang w:val="en-US" w:eastAsia="zh-CN"/>
                <w14:textFill>
                  <w14:solidFill>
                    <w14:schemeClr w14:val="tx1"/>
                  </w14:solidFill>
                </w14:textFill>
              </w:rPr>
              <w:t>进行打分</w:t>
            </w:r>
            <w:r>
              <w:rPr>
                <w:rFonts w:hint="eastAsia" w:ascii="宋体" w:hAnsi="宋体" w:eastAsia="宋体" w:cs="宋体"/>
                <w:color w:val="000000" w:themeColor="text1"/>
                <w:highlight w:val="none"/>
                <w14:textFill>
                  <w14:solidFill>
                    <w14:schemeClr w14:val="tx1"/>
                  </w14:solidFill>
                </w14:textFill>
              </w:rPr>
              <w:t>；</w:t>
            </w:r>
          </w:p>
          <w:p w14:paraId="1036053D">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Times New Roman" w:hAnsi="Times New Roman" w:eastAsia="宋体" w:cs="Times New Roman"/>
                <w:color w:val="auto"/>
                <w:sz w:val="21"/>
                <w:szCs w:val="21"/>
                <w:highlight w:val="none"/>
              </w:rPr>
            </w:pPr>
            <w:r>
              <w:rPr>
                <w:rFonts w:hint="eastAsia" w:ascii="宋体" w:hAnsi="宋体" w:eastAsia="宋体" w:cs="宋体"/>
                <w:color w:val="000000" w:themeColor="text1"/>
                <w:highlight w:val="none"/>
                <w14:textFill>
                  <w14:solidFill>
                    <w14:schemeClr w14:val="tx1"/>
                  </w14:solidFill>
                </w14:textFill>
              </w:rPr>
              <w:t>培训方案、服务</w:t>
            </w:r>
            <w:r>
              <w:rPr>
                <w:rFonts w:hint="eastAsia" w:ascii="宋体" w:hAnsi="宋体" w:cs="宋体"/>
                <w:color w:val="000000" w:themeColor="text1"/>
                <w:highlight w:val="none"/>
                <w:lang w:val="en-US" w:eastAsia="zh-CN"/>
                <w14:textFill>
                  <w14:solidFill>
                    <w14:schemeClr w14:val="tx1"/>
                  </w14:solidFill>
                </w14:textFill>
              </w:rPr>
              <w:t>保障措施</w:t>
            </w:r>
            <w:r>
              <w:rPr>
                <w:rFonts w:hint="eastAsia" w:ascii="宋体" w:hAnsi="宋体" w:eastAsia="宋体" w:cs="宋体"/>
                <w:color w:val="000000" w:themeColor="text1"/>
                <w:highlight w:val="none"/>
                <w14:textFill>
                  <w14:solidFill>
                    <w14:schemeClr w14:val="tx1"/>
                  </w14:solidFill>
                </w14:textFill>
              </w:rPr>
              <w:t>具体、</w:t>
            </w:r>
            <w:r>
              <w:rPr>
                <w:rFonts w:hint="eastAsia" w:ascii="宋体" w:hAnsi="宋体" w:eastAsia="宋体" w:cs="宋体"/>
                <w:color w:val="000000" w:themeColor="text1"/>
                <w:highlight w:val="none"/>
                <w:lang w:val="en-US" w:eastAsia="zh-CN"/>
                <w14:textFill>
                  <w14:solidFill>
                    <w14:schemeClr w14:val="tx1"/>
                  </w14:solidFill>
                </w14:textFill>
              </w:rPr>
              <w:t>详细，合理性、可行性强的得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分；保障措施较详细，合理性、可行性较强的得3分；保障措施一般的得1分；缺项得0分。</w:t>
            </w:r>
          </w:p>
        </w:tc>
      </w:tr>
      <w:tr w14:paraId="17C1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239" w:type="dxa"/>
            <w:vMerge w:val="continue"/>
            <w:noWrap w:val="0"/>
            <w:vAlign w:val="center"/>
          </w:tcPr>
          <w:p w14:paraId="4EA6ACC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vMerge w:val="continue"/>
            <w:noWrap w:val="0"/>
            <w:vAlign w:val="center"/>
          </w:tcPr>
          <w:p w14:paraId="78B6735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6770" w:type="dxa"/>
            <w:noWrap w:val="0"/>
            <w:vAlign w:val="center"/>
          </w:tcPr>
          <w:p w14:paraId="30012351">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Times New Roman" w:hAnsi="Times New Roman" w:eastAsia="宋体" w:cs="Times New Roman"/>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提供的服务</w:t>
            </w:r>
            <w:r>
              <w:rPr>
                <w:rFonts w:hint="default" w:ascii="Times New Roman" w:hAnsi="Times New Roman" w:eastAsia="宋体" w:cs="Times New Roman"/>
                <w:color w:val="auto"/>
                <w:sz w:val="21"/>
                <w:szCs w:val="21"/>
                <w:highlight w:val="none"/>
              </w:rPr>
              <w:t>标准化管理方案</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合格产品</w:t>
            </w:r>
            <w:r>
              <w:rPr>
                <w:rFonts w:hint="default" w:ascii="Times New Roman" w:hAnsi="Times New Roman" w:eastAsia="宋体" w:cs="Times New Roman"/>
                <w:color w:val="auto"/>
                <w:sz w:val="21"/>
                <w:szCs w:val="21"/>
                <w:highlight w:val="none"/>
                <w:lang w:eastAsia="zh-CN"/>
              </w:rPr>
              <w:t>供应商</w:t>
            </w:r>
            <w:r>
              <w:rPr>
                <w:rFonts w:hint="eastAsia" w:ascii="Times New Roman" w:hAnsi="Times New Roman" w:eastAsia="宋体" w:cs="Times New Roman"/>
                <w:color w:val="auto"/>
                <w:sz w:val="21"/>
                <w:szCs w:val="21"/>
                <w:highlight w:val="none"/>
                <w:lang w:val="en-US" w:eastAsia="zh-CN"/>
              </w:rPr>
              <w:t>情况进行打分；</w:t>
            </w:r>
          </w:p>
          <w:p w14:paraId="66300FA2">
            <w:pPr>
              <w:pStyle w:val="4"/>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标准化管理方案</w:t>
            </w:r>
            <w:r>
              <w:rPr>
                <w:rFonts w:hint="eastAsia" w:ascii="宋体" w:hAnsi="宋体" w:eastAsia="宋体" w:cs="宋体"/>
                <w:color w:val="000000" w:themeColor="text1"/>
                <w:highlight w:val="none"/>
                <w:lang w:val="en-US" w:eastAsia="zh-CN"/>
                <w14:textFill>
                  <w14:solidFill>
                    <w14:schemeClr w14:val="tx1"/>
                  </w14:solidFill>
                </w14:textFill>
              </w:rPr>
              <w:t>详细，合理性、可行性强</w:t>
            </w:r>
            <w:r>
              <w:rPr>
                <w:rFonts w:hint="eastAsia" w:ascii="宋体" w:hAnsi="宋体" w:eastAsia="宋体" w:cs="宋体"/>
                <w:color w:val="000000" w:themeColor="text1"/>
                <w:highlight w:val="none"/>
                <w14:textFill>
                  <w14:solidFill>
                    <w14:schemeClr w14:val="tx1"/>
                  </w14:solidFill>
                </w14:textFill>
              </w:rPr>
              <w:t>、</w:t>
            </w:r>
            <w:r>
              <w:rPr>
                <w:rFonts w:hint="default" w:ascii="Times New Roman" w:hAnsi="Times New Roman" w:eastAsia="宋体" w:cs="Times New Roman"/>
                <w:color w:val="auto"/>
                <w:sz w:val="21"/>
                <w:szCs w:val="21"/>
                <w:highlight w:val="none"/>
                <w:lang w:eastAsia="zh-CN"/>
              </w:rPr>
              <w:t>供应商</w:t>
            </w:r>
            <w:r>
              <w:rPr>
                <w:rFonts w:hint="eastAsia" w:ascii="Times New Roman" w:hAnsi="Times New Roman" w:eastAsia="宋体" w:cs="Times New Roman"/>
                <w:color w:val="auto"/>
                <w:sz w:val="21"/>
                <w:szCs w:val="21"/>
                <w:highlight w:val="none"/>
                <w:lang w:val="en-US" w:eastAsia="zh-CN"/>
              </w:rPr>
              <w:t>数量充足</w:t>
            </w:r>
            <w:r>
              <w:rPr>
                <w:rFonts w:hint="eastAsia" w:ascii="宋体" w:hAnsi="宋体" w:eastAsia="宋体" w:cs="宋体"/>
                <w:color w:val="000000" w:themeColor="text1"/>
                <w:highlight w:val="none"/>
                <w:lang w:val="en-US" w:eastAsia="zh-CN"/>
                <w14:textFill>
                  <w14:solidFill>
                    <w14:schemeClr w14:val="tx1"/>
                  </w14:solidFill>
                </w14:textFill>
              </w:rPr>
              <w:t>的得5分；</w:t>
            </w:r>
            <w:r>
              <w:rPr>
                <w:rFonts w:hint="default" w:ascii="Times New Roman" w:hAnsi="Times New Roman" w:eastAsia="宋体" w:cs="Times New Roman"/>
                <w:color w:val="auto"/>
                <w:sz w:val="21"/>
                <w:szCs w:val="21"/>
                <w:highlight w:val="none"/>
              </w:rPr>
              <w:t>标准化管理方案</w:t>
            </w:r>
            <w:r>
              <w:rPr>
                <w:rFonts w:hint="eastAsia" w:ascii="宋体" w:hAnsi="宋体" w:eastAsia="宋体" w:cs="宋体"/>
                <w:color w:val="000000" w:themeColor="text1"/>
                <w:highlight w:val="none"/>
                <w:lang w:val="en-US" w:eastAsia="zh-CN"/>
                <w14:textFill>
                  <w14:solidFill>
                    <w14:schemeClr w14:val="tx1"/>
                  </w14:solidFill>
                </w14:textFill>
              </w:rPr>
              <w:t>合理性、可行性较强</w:t>
            </w:r>
            <w:r>
              <w:rPr>
                <w:rFonts w:hint="eastAsia" w:ascii="宋体" w:hAnsi="宋体" w:eastAsia="宋体" w:cs="宋体"/>
                <w:color w:val="000000" w:themeColor="text1"/>
                <w:highlight w:val="none"/>
                <w14:textFill>
                  <w14:solidFill>
                    <w14:schemeClr w14:val="tx1"/>
                  </w14:solidFill>
                </w14:textFill>
              </w:rPr>
              <w:t>、</w:t>
            </w:r>
            <w:r>
              <w:rPr>
                <w:rFonts w:hint="eastAsia" w:ascii="Times New Roman" w:hAnsi="Times New Roman" w:eastAsia="宋体" w:cs="Times New Roman"/>
                <w:color w:val="auto"/>
                <w:sz w:val="21"/>
                <w:szCs w:val="21"/>
                <w:highlight w:val="none"/>
                <w:lang w:val="en-US" w:eastAsia="zh-CN"/>
              </w:rPr>
              <w:t>产品</w:t>
            </w:r>
            <w:r>
              <w:rPr>
                <w:rFonts w:hint="default" w:ascii="Times New Roman" w:hAnsi="Times New Roman" w:eastAsia="宋体" w:cs="Times New Roman"/>
                <w:color w:val="auto"/>
                <w:sz w:val="21"/>
                <w:szCs w:val="21"/>
                <w:highlight w:val="none"/>
                <w:lang w:eastAsia="zh-CN"/>
              </w:rPr>
              <w:t>供应商</w:t>
            </w:r>
            <w:r>
              <w:rPr>
                <w:rFonts w:hint="eastAsia" w:ascii="Times New Roman" w:hAnsi="Times New Roman" w:eastAsia="宋体" w:cs="Times New Roman"/>
                <w:color w:val="auto"/>
                <w:sz w:val="21"/>
                <w:szCs w:val="21"/>
                <w:highlight w:val="none"/>
                <w:lang w:val="en-US" w:eastAsia="zh-CN"/>
              </w:rPr>
              <w:t>数量较充足</w:t>
            </w:r>
            <w:r>
              <w:rPr>
                <w:rFonts w:hint="eastAsia" w:ascii="宋体" w:hAnsi="宋体" w:eastAsia="宋体" w:cs="宋体"/>
                <w:color w:val="000000" w:themeColor="text1"/>
                <w:highlight w:val="none"/>
                <w:lang w:val="en-US" w:eastAsia="zh-CN"/>
                <w14:textFill>
                  <w14:solidFill>
                    <w14:schemeClr w14:val="tx1"/>
                  </w14:solidFill>
                </w14:textFill>
              </w:rPr>
              <w:t>的得3分；</w:t>
            </w:r>
            <w:r>
              <w:rPr>
                <w:rFonts w:hint="default" w:ascii="Times New Roman" w:hAnsi="Times New Roman" w:eastAsia="宋体" w:cs="Times New Roman"/>
                <w:color w:val="auto"/>
                <w:sz w:val="21"/>
                <w:szCs w:val="21"/>
                <w:highlight w:val="none"/>
              </w:rPr>
              <w:t>标准化管理方案</w:t>
            </w:r>
            <w:r>
              <w:rPr>
                <w:rFonts w:hint="eastAsia" w:ascii="宋体" w:hAnsi="宋体" w:eastAsia="宋体" w:cs="宋体"/>
                <w:color w:val="000000" w:themeColor="text1"/>
                <w:highlight w:val="none"/>
                <w:lang w:val="en-US" w:eastAsia="zh-CN"/>
                <w14:textFill>
                  <w14:solidFill>
                    <w14:schemeClr w14:val="tx1"/>
                  </w14:solidFill>
                </w14:textFill>
              </w:rPr>
              <w:t>一般、</w:t>
            </w:r>
            <w:r>
              <w:rPr>
                <w:rFonts w:hint="eastAsia" w:ascii="Times New Roman" w:hAnsi="Times New Roman" w:eastAsia="宋体" w:cs="Times New Roman"/>
                <w:color w:val="auto"/>
                <w:sz w:val="21"/>
                <w:szCs w:val="21"/>
                <w:highlight w:val="none"/>
                <w:lang w:val="en-US" w:eastAsia="zh-CN"/>
              </w:rPr>
              <w:t>产品</w:t>
            </w:r>
            <w:r>
              <w:rPr>
                <w:rFonts w:hint="default" w:ascii="Times New Roman" w:hAnsi="Times New Roman" w:eastAsia="宋体" w:cs="Times New Roman"/>
                <w:color w:val="auto"/>
                <w:sz w:val="21"/>
                <w:szCs w:val="21"/>
                <w:highlight w:val="none"/>
                <w:lang w:eastAsia="zh-CN"/>
              </w:rPr>
              <w:t>供应商</w:t>
            </w:r>
            <w:r>
              <w:rPr>
                <w:rFonts w:hint="eastAsia" w:ascii="Times New Roman" w:hAnsi="Times New Roman" w:eastAsia="宋体" w:cs="Times New Roman"/>
                <w:color w:val="auto"/>
                <w:sz w:val="21"/>
                <w:szCs w:val="21"/>
                <w:highlight w:val="none"/>
                <w:lang w:val="en-US" w:eastAsia="zh-CN"/>
              </w:rPr>
              <w:t>数量较少</w:t>
            </w:r>
            <w:r>
              <w:rPr>
                <w:rFonts w:hint="eastAsia" w:ascii="宋体" w:hAnsi="宋体" w:eastAsia="宋体" w:cs="宋体"/>
                <w:color w:val="000000" w:themeColor="text1"/>
                <w:highlight w:val="none"/>
                <w:lang w:val="en-US" w:eastAsia="zh-CN"/>
                <w14:textFill>
                  <w14:solidFill>
                    <w14:schemeClr w14:val="tx1"/>
                  </w14:solidFill>
                </w14:textFill>
              </w:rPr>
              <w:t>的得1分；缺项得0分。</w:t>
            </w:r>
          </w:p>
        </w:tc>
      </w:tr>
      <w:tr w14:paraId="2671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239" w:type="dxa"/>
            <w:vMerge w:val="restart"/>
            <w:noWrap w:val="0"/>
            <w:vAlign w:val="center"/>
          </w:tcPr>
          <w:p w14:paraId="47C02C9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350D72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1F71753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经营</w:t>
            </w:r>
            <w:r>
              <w:rPr>
                <w:rFonts w:hint="eastAsia" w:ascii="宋体" w:hAnsi="宋体" w:eastAsia="宋体" w:cs="宋体"/>
                <w:b w:val="0"/>
                <w:bCs w:val="0"/>
                <w:color w:val="000000" w:themeColor="text1"/>
                <w:sz w:val="21"/>
                <w:szCs w:val="21"/>
                <w:highlight w:val="none"/>
                <w14:textFill>
                  <w14:solidFill>
                    <w14:schemeClr w14:val="tx1"/>
                  </w14:solidFill>
                </w14:textFill>
              </w:rPr>
              <w:t>人员</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配备</w:t>
            </w:r>
          </w:p>
          <w:p w14:paraId="0B027E2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4CFE93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根据</w:t>
            </w:r>
            <w:r>
              <w:rPr>
                <w:rFonts w:hint="eastAsia" w:ascii="宋体" w:hAnsi="宋体" w:cs="宋体"/>
                <w:color w:val="000000" w:themeColor="text1"/>
                <w:highlight w:val="none"/>
                <w:lang w:eastAsia="zh-CN"/>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提供的</w:t>
            </w:r>
            <w:r>
              <w:rPr>
                <w:rFonts w:hint="eastAsia" w:ascii="宋体" w:hAnsi="宋体" w:eastAsia="宋体" w:cs="宋体"/>
                <w:color w:val="000000" w:themeColor="text1"/>
                <w:highlight w:val="none"/>
                <w:lang w:val="en-US" w:eastAsia="zh-CN"/>
                <w14:textFill>
                  <w14:solidFill>
                    <w14:schemeClr w14:val="tx1"/>
                  </w14:solidFill>
                </w14:textFill>
              </w:rPr>
              <w:t>服务团队</w:t>
            </w:r>
            <w:r>
              <w:rPr>
                <w:rFonts w:hint="eastAsia" w:ascii="宋体" w:hAnsi="宋体" w:cs="宋体"/>
                <w:color w:val="000000" w:themeColor="text1"/>
                <w:highlight w:val="none"/>
                <w:lang w:val="en-US" w:eastAsia="zh-CN"/>
                <w14:textFill>
                  <w14:solidFill>
                    <w14:schemeClr w14:val="tx1"/>
                  </w14:solidFill>
                </w14:textFill>
              </w:rPr>
              <w:t>人员配备情况、</w:t>
            </w:r>
            <w:r>
              <w:rPr>
                <w:rFonts w:hint="eastAsia" w:ascii="宋体" w:hAnsi="宋体" w:eastAsia="宋体" w:cs="宋体"/>
                <w:color w:val="000000" w:themeColor="text1"/>
                <w:highlight w:val="none"/>
                <w:lang w:val="en-US" w:eastAsia="zh-CN"/>
                <w14:textFill>
                  <w14:solidFill>
                    <w14:schemeClr w14:val="tx1"/>
                  </w14:solidFill>
                </w14:textFill>
              </w:rPr>
              <w:t>人员职责分工</w:t>
            </w:r>
            <w:r>
              <w:rPr>
                <w:rFonts w:hint="eastAsia" w:ascii="宋体" w:hAnsi="宋体" w:cs="宋体"/>
                <w:color w:val="000000" w:themeColor="text1"/>
                <w:highlight w:val="none"/>
                <w:lang w:val="en-US" w:eastAsia="zh-CN"/>
                <w14:textFill>
                  <w14:solidFill>
                    <w14:schemeClr w14:val="tx1"/>
                  </w14:solidFill>
                </w14:textFill>
              </w:rPr>
              <w:t>等进行打分</w:t>
            </w:r>
            <w:r>
              <w:rPr>
                <w:rFonts w:hint="eastAsia" w:ascii="宋体" w:hAnsi="宋体" w:eastAsia="宋体" w:cs="宋体"/>
                <w:color w:val="000000" w:themeColor="text1"/>
                <w:highlight w:val="none"/>
                <w:lang w:val="en-US" w:eastAsia="zh-CN"/>
                <w14:textFill>
                  <w14:solidFill>
                    <w14:schemeClr w14:val="tx1"/>
                  </w14:solidFill>
                </w14:textFill>
              </w:rPr>
              <w:t>。</w:t>
            </w:r>
          </w:p>
          <w:p w14:paraId="1605677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服务团队</w:t>
            </w:r>
            <w:r>
              <w:rPr>
                <w:rFonts w:hint="eastAsia" w:ascii="宋体" w:hAnsi="宋体" w:cs="宋体"/>
                <w:color w:val="000000" w:themeColor="text1"/>
                <w:highlight w:val="none"/>
                <w:lang w:val="en-US" w:eastAsia="zh-CN"/>
                <w14:textFill>
                  <w14:solidFill>
                    <w14:schemeClr w14:val="tx1"/>
                  </w14:solidFill>
                </w14:textFill>
              </w:rPr>
              <w:t>人员配备充足、</w:t>
            </w:r>
            <w:r>
              <w:rPr>
                <w:rFonts w:hint="eastAsia" w:ascii="宋体" w:hAnsi="宋体" w:eastAsia="宋体" w:cs="宋体"/>
                <w:color w:val="000000" w:themeColor="text1"/>
                <w:highlight w:val="none"/>
                <w:lang w:val="en-US" w:eastAsia="zh-CN"/>
                <w14:textFill>
                  <w14:solidFill>
                    <w14:schemeClr w14:val="tx1"/>
                  </w14:solidFill>
                </w14:textFill>
              </w:rPr>
              <w:t>人员职责分工</w:t>
            </w:r>
            <w:r>
              <w:rPr>
                <w:rFonts w:hint="eastAsia" w:ascii="宋体" w:hAnsi="宋体" w:cs="宋体"/>
                <w:color w:val="000000" w:themeColor="text1"/>
                <w:highlight w:val="none"/>
                <w:lang w:val="en-US" w:eastAsia="zh-CN"/>
                <w14:textFill>
                  <w14:solidFill>
                    <w14:schemeClr w14:val="tx1"/>
                  </w14:solidFill>
                </w14:textFill>
              </w:rPr>
              <w:t>明确，</w:t>
            </w:r>
            <w:r>
              <w:rPr>
                <w:rFonts w:hint="eastAsia" w:ascii="宋体" w:hAnsi="宋体" w:eastAsia="宋体" w:cs="宋体"/>
                <w:color w:val="000000" w:themeColor="text1"/>
                <w:highlight w:val="none"/>
                <w:lang w:val="en-US" w:eastAsia="zh-CN"/>
                <w14:textFill>
                  <w14:solidFill>
                    <w14:schemeClr w14:val="tx1"/>
                  </w14:solidFill>
                </w14:textFill>
              </w:rPr>
              <w:t>满足采购需求的得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人员配备较充足、</w:t>
            </w:r>
            <w:r>
              <w:rPr>
                <w:rFonts w:hint="eastAsia" w:ascii="宋体" w:hAnsi="宋体" w:eastAsia="宋体" w:cs="宋体"/>
                <w:color w:val="000000" w:themeColor="text1"/>
                <w:highlight w:val="none"/>
                <w:lang w:val="en-US" w:eastAsia="zh-CN"/>
                <w14:textFill>
                  <w14:solidFill>
                    <w14:schemeClr w14:val="tx1"/>
                  </w14:solidFill>
                </w14:textFill>
              </w:rPr>
              <w:t>人员职责分工较</w:t>
            </w:r>
            <w:r>
              <w:rPr>
                <w:rFonts w:hint="eastAsia" w:ascii="宋体" w:hAnsi="宋体" w:cs="宋体"/>
                <w:color w:val="000000" w:themeColor="text1"/>
                <w:highlight w:val="none"/>
                <w:lang w:val="en-US" w:eastAsia="zh-CN"/>
                <w14:textFill>
                  <w14:solidFill>
                    <w14:schemeClr w14:val="tx1"/>
                  </w14:solidFill>
                </w14:textFill>
              </w:rPr>
              <w:t>明确，</w:t>
            </w:r>
            <w:r>
              <w:rPr>
                <w:rFonts w:hint="eastAsia" w:ascii="宋体" w:hAnsi="宋体" w:eastAsia="宋体" w:cs="宋体"/>
                <w:color w:val="000000" w:themeColor="text1"/>
                <w:highlight w:val="none"/>
                <w:lang w:val="en-US" w:eastAsia="zh-CN"/>
                <w14:textFill>
                  <w14:solidFill>
                    <w14:schemeClr w14:val="tx1"/>
                  </w14:solidFill>
                </w14:textFill>
              </w:rPr>
              <w:t>基本满足采购需求的得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人员配备不足、</w:t>
            </w:r>
            <w:r>
              <w:rPr>
                <w:rFonts w:hint="eastAsia" w:ascii="宋体" w:hAnsi="宋体" w:eastAsia="宋体" w:cs="宋体"/>
                <w:color w:val="000000" w:themeColor="text1"/>
                <w:highlight w:val="none"/>
                <w:lang w:val="en-US" w:eastAsia="zh-CN"/>
                <w14:textFill>
                  <w14:solidFill>
                    <w14:schemeClr w14:val="tx1"/>
                  </w14:solidFill>
                </w14:textFill>
              </w:rPr>
              <w:t>人员职责分工一般的得1分。缺项得0分。</w:t>
            </w:r>
          </w:p>
        </w:tc>
      </w:tr>
      <w:tr w14:paraId="3C34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239" w:type="dxa"/>
            <w:vMerge w:val="continue"/>
            <w:noWrap w:val="0"/>
            <w:vAlign w:val="center"/>
          </w:tcPr>
          <w:p w14:paraId="33CC15B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p>
        </w:tc>
        <w:tc>
          <w:tcPr>
            <w:tcW w:w="1473" w:type="dxa"/>
            <w:tcBorders>
              <w:top w:val="single" w:color="auto" w:sz="4" w:space="0"/>
            </w:tcBorders>
            <w:noWrap w:val="0"/>
            <w:vAlign w:val="center"/>
          </w:tcPr>
          <w:p w14:paraId="638114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5CFB374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年1月1日具有的类似服务业绩(以合同文件为准），每提供一份得2分，最多得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p>
        </w:tc>
      </w:tr>
      <w:tr w14:paraId="35EA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239" w:type="dxa"/>
            <w:vMerge w:val="continue"/>
            <w:noWrap w:val="0"/>
            <w:vAlign w:val="center"/>
          </w:tcPr>
          <w:p w14:paraId="7C5FBD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vMerge w:val="restart"/>
            <w:noWrap w:val="0"/>
            <w:vAlign w:val="center"/>
          </w:tcPr>
          <w:p w14:paraId="20BB3F0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71199D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及售后服务保障措施等进行打分。包括但不限于售后响应流程、问题反馈、时效、服务方式等</w:t>
            </w:r>
            <w:r>
              <w:rPr>
                <w:rFonts w:hint="eastAsia" w:ascii="宋体" w:hAnsi="宋体" w:cs="宋体"/>
                <w:b w:val="0"/>
                <w:bCs w:val="0"/>
                <w:color w:val="auto"/>
                <w:sz w:val="21"/>
                <w:szCs w:val="21"/>
                <w:highlight w:val="none"/>
                <w:lang w:val="en-US" w:eastAsia="zh-CN"/>
              </w:rPr>
              <w:t>内容。</w:t>
            </w:r>
          </w:p>
          <w:p w14:paraId="21365EE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宋体" w:cs="Times New Roman"/>
                <w:color w:val="auto"/>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A57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1239" w:type="dxa"/>
            <w:vMerge w:val="continue"/>
            <w:noWrap w:val="0"/>
            <w:vAlign w:val="center"/>
          </w:tcPr>
          <w:p w14:paraId="26A8958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vMerge w:val="continue"/>
            <w:noWrap w:val="0"/>
            <w:vAlign w:val="center"/>
          </w:tcPr>
          <w:p w14:paraId="389EFCD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65DF971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供应商提供的服务网点、服务设备等情况</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570812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拟投入服务网点、服务设备数量充足，完全满足采购需求的得5分；拟投入服务网点、服务设备数量较充足，基本满足采购需求的得3分；拟投入服务网点、服务设备数量较少的得1分</w:t>
            </w:r>
            <w:r>
              <w:rPr>
                <w:rFonts w:hint="eastAsia" w:ascii="宋体" w:hAnsi="宋体" w:eastAsia="宋体" w:cs="宋体"/>
                <w:b w:val="0"/>
                <w:bCs w:val="0"/>
                <w:color w:val="auto"/>
                <w:sz w:val="21"/>
                <w:szCs w:val="21"/>
                <w:highlight w:val="none"/>
              </w:rPr>
              <w:t>；缺项得0分</w:t>
            </w:r>
            <w:r>
              <w:rPr>
                <w:rFonts w:hint="eastAsia" w:ascii="宋体" w:hAnsi="宋体" w:cs="宋体"/>
                <w:b w:val="0"/>
                <w:bCs w:val="0"/>
                <w:color w:val="auto"/>
                <w:kern w:val="2"/>
                <w:sz w:val="21"/>
                <w:szCs w:val="21"/>
                <w:highlight w:val="none"/>
                <w:lang w:val="en-US" w:eastAsia="zh-CN"/>
              </w:rPr>
              <w:t>；(以租房合同或者房产证及设备采购清单等为准，响应性文件中附门店或服务点实际照片及真实门店或服务点地址，并附加盖公章的复印件，否则不得分)</w:t>
            </w:r>
          </w:p>
        </w:tc>
      </w:tr>
      <w:tr w14:paraId="7BCF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1239" w:type="dxa"/>
            <w:vMerge w:val="continue"/>
            <w:noWrap w:val="0"/>
            <w:vAlign w:val="center"/>
          </w:tcPr>
          <w:p w14:paraId="5FA8AA1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473" w:type="dxa"/>
            <w:noWrap w:val="0"/>
            <w:vAlign w:val="center"/>
          </w:tcPr>
          <w:p w14:paraId="1DF9B45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应急服务方案及保障措施(</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79CDA3CB">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供应商针对突发情况提供应急服务方案及物质保障措施，</w:t>
            </w:r>
            <w:r>
              <w:rPr>
                <w:rFonts w:hint="eastAsia" w:ascii="宋体" w:hAnsi="宋体" w:eastAsia="宋体" w:cs="宋体"/>
                <w:color w:val="auto"/>
                <w:sz w:val="21"/>
                <w:szCs w:val="21"/>
                <w:highlight w:val="none"/>
                <w:lang w:val="en-US" w:eastAsia="zh-CN"/>
              </w:rPr>
              <w:t>包含（但不限于）以下内容</w:t>
            </w:r>
            <w:r>
              <w:rPr>
                <w:rFonts w:hint="eastAsia" w:ascii="宋体" w:hAnsi="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①应急响应流程及响应时间；②应急保障措施（包括但不限于人员、车辆</w:t>
            </w:r>
            <w:r>
              <w:rPr>
                <w:rFonts w:hint="eastAsia" w:ascii="宋体" w:hAnsi="宋体" w:cs="宋体"/>
                <w:sz w:val="21"/>
                <w:szCs w:val="21"/>
                <w:highlight w:val="none"/>
                <w:lang w:val="en-US" w:eastAsia="zh-CN"/>
              </w:rPr>
              <w:t>及仓储</w:t>
            </w:r>
            <w:r>
              <w:rPr>
                <w:rFonts w:hint="eastAsia" w:ascii="宋体" w:hAnsi="宋体" w:eastAsia="宋体" w:cs="宋体"/>
                <w:sz w:val="21"/>
                <w:szCs w:val="21"/>
                <w:highlight w:val="none"/>
                <w:lang w:val="en-US" w:eastAsia="zh-CN"/>
              </w:rPr>
              <w:t>安排等）。</w:t>
            </w:r>
          </w:p>
          <w:p w14:paraId="47EDC660">
            <w:pPr>
              <w:pStyle w:val="4"/>
              <w:rPr>
                <w:rFonts w:hint="eastAsia"/>
                <w:highlight w:val="none"/>
              </w:rPr>
            </w:pPr>
            <w:r>
              <w:rPr>
                <w:rFonts w:hint="eastAsia"/>
                <w:highlight w:val="none"/>
              </w:rPr>
              <w:t>方案</w:t>
            </w:r>
            <w:r>
              <w:rPr>
                <w:rFonts w:hint="eastAsia"/>
                <w:highlight w:val="none"/>
                <w:lang w:eastAsia="zh-CN"/>
              </w:rPr>
              <w:t>详细，</w:t>
            </w:r>
            <w:r>
              <w:rPr>
                <w:rFonts w:hint="eastAsia"/>
                <w:highlight w:val="none"/>
              </w:rPr>
              <w:t>合理性</w:t>
            </w:r>
            <w:r>
              <w:rPr>
                <w:rFonts w:hint="eastAsia"/>
                <w:highlight w:val="none"/>
                <w:lang w:eastAsia="zh-CN"/>
              </w:rPr>
              <w:t>、</w:t>
            </w:r>
            <w:r>
              <w:rPr>
                <w:rFonts w:hint="eastAsia"/>
                <w:highlight w:val="none"/>
              </w:rPr>
              <w:t>可行性强</w:t>
            </w:r>
            <w:r>
              <w:rPr>
                <w:rFonts w:hint="eastAsia"/>
                <w:highlight w:val="none"/>
                <w:lang w:val="en-US" w:eastAsia="zh-CN"/>
              </w:rPr>
              <w:t>的得5分；</w:t>
            </w:r>
            <w:r>
              <w:rPr>
                <w:rFonts w:hint="eastAsia"/>
                <w:highlight w:val="none"/>
              </w:rPr>
              <w:t>方案较</w:t>
            </w:r>
            <w:r>
              <w:rPr>
                <w:rFonts w:hint="eastAsia"/>
                <w:highlight w:val="none"/>
                <w:lang w:eastAsia="zh-CN"/>
              </w:rPr>
              <w:t>详细，</w:t>
            </w:r>
            <w:r>
              <w:rPr>
                <w:rFonts w:hint="eastAsia"/>
                <w:highlight w:val="none"/>
              </w:rPr>
              <w:t>合理性</w:t>
            </w:r>
            <w:r>
              <w:rPr>
                <w:rFonts w:hint="eastAsia"/>
                <w:highlight w:val="none"/>
                <w:lang w:eastAsia="zh-CN"/>
              </w:rPr>
              <w:t>、</w:t>
            </w:r>
            <w:r>
              <w:rPr>
                <w:rFonts w:hint="eastAsia"/>
                <w:highlight w:val="none"/>
              </w:rPr>
              <w:t>可行性较强</w:t>
            </w:r>
            <w:r>
              <w:rPr>
                <w:rFonts w:hint="eastAsia"/>
                <w:highlight w:val="none"/>
                <w:lang w:val="en-US" w:eastAsia="zh-CN"/>
              </w:rPr>
              <w:t>的得3分；</w:t>
            </w:r>
            <w:r>
              <w:rPr>
                <w:rFonts w:hint="eastAsia"/>
                <w:highlight w:val="none"/>
              </w:rPr>
              <w:t>方案较</w:t>
            </w:r>
            <w:r>
              <w:rPr>
                <w:rFonts w:hint="eastAsia"/>
                <w:highlight w:val="none"/>
                <w:lang w:eastAsia="zh-CN"/>
              </w:rPr>
              <w:t>详细，</w:t>
            </w:r>
            <w:r>
              <w:rPr>
                <w:rFonts w:hint="eastAsia"/>
                <w:highlight w:val="none"/>
              </w:rPr>
              <w:t>合理性</w:t>
            </w:r>
            <w:r>
              <w:rPr>
                <w:rFonts w:hint="eastAsia"/>
                <w:highlight w:val="none"/>
                <w:lang w:eastAsia="zh-CN"/>
              </w:rPr>
              <w:t>、</w:t>
            </w:r>
            <w:r>
              <w:rPr>
                <w:rFonts w:hint="eastAsia"/>
                <w:highlight w:val="none"/>
              </w:rPr>
              <w:t>可行性</w:t>
            </w:r>
            <w:r>
              <w:rPr>
                <w:rFonts w:hint="eastAsia"/>
                <w:highlight w:val="none"/>
                <w:lang w:eastAsia="zh-CN"/>
              </w:rPr>
              <w:t>一般</w:t>
            </w:r>
            <w:r>
              <w:rPr>
                <w:rFonts w:hint="eastAsia"/>
                <w:highlight w:val="none"/>
                <w:lang w:val="en-US" w:eastAsia="zh-CN"/>
              </w:rPr>
              <w:t>的得2分；方案内容不</w:t>
            </w:r>
            <w:r>
              <w:rPr>
                <w:rFonts w:hint="eastAsia"/>
                <w:highlight w:val="none"/>
                <w:lang w:eastAsia="zh-CN"/>
              </w:rPr>
              <w:t>详细</w:t>
            </w:r>
            <w:r>
              <w:rPr>
                <w:rFonts w:hint="eastAsia"/>
                <w:highlight w:val="none"/>
                <w:lang w:val="en-US" w:eastAsia="zh-CN"/>
              </w:rPr>
              <w:t>，</w:t>
            </w:r>
            <w:r>
              <w:rPr>
                <w:rFonts w:hint="eastAsia"/>
                <w:highlight w:val="none"/>
              </w:rPr>
              <w:t>合理性</w:t>
            </w:r>
            <w:r>
              <w:rPr>
                <w:rFonts w:hint="eastAsia"/>
                <w:highlight w:val="none"/>
                <w:lang w:eastAsia="zh-CN"/>
              </w:rPr>
              <w:t>、</w:t>
            </w:r>
            <w:r>
              <w:rPr>
                <w:rFonts w:hint="eastAsia"/>
                <w:highlight w:val="none"/>
              </w:rPr>
              <w:t>可行性</w:t>
            </w:r>
            <w:r>
              <w:rPr>
                <w:rFonts w:hint="eastAsia"/>
                <w:highlight w:val="none"/>
                <w:lang w:val="en-US" w:eastAsia="zh-CN"/>
              </w:rPr>
              <w:t>差的得1分</w:t>
            </w:r>
            <w:r>
              <w:rPr>
                <w:rFonts w:hint="eastAsia"/>
                <w:highlight w:val="none"/>
              </w:rPr>
              <w:t>；缺项得0分。</w:t>
            </w:r>
          </w:p>
        </w:tc>
      </w:tr>
      <w:tr w14:paraId="3031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1E0CB06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得分的计算</w:t>
            </w:r>
          </w:p>
        </w:tc>
        <w:tc>
          <w:tcPr>
            <w:tcW w:w="8243" w:type="dxa"/>
            <w:gridSpan w:val="2"/>
            <w:noWrap w:val="0"/>
            <w:vAlign w:val="center"/>
          </w:tcPr>
          <w:p w14:paraId="6ECE33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成员评分=各项评分因素的汇总得分。</w:t>
            </w:r>
          </w:p>
          <w:p w14:paraId="2BF5F60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评标总得分=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所有成员合计评分/</w:t>
            </w:r>
            <w:r>
              <w:rPr>
                <w:rFonts w:hint="eastAsia" w:ascii="宋体" w:hAnsi="宋体" w:cs="宋体"/>
                <w:b w:val="0"/>
                <w:bCs w:val="0"/>
                <w:color w:val="000000" w:themeColor="text1"/>
                <w:sz w:val="21"/>
                <w:szCs w:val="21"/>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1"/>
                <w:szCs w:val="21"/>
                <w:highlight w:val="none"/>
                <w14:textFill>
                  <w14:solidFill>
                    <w14:schemeClr w14:val="tx1"/>
                  </w14:solidFill>
                </w14:textFill>
              </w:rPr>
              <w:t>组成人员数。</w:t>
            </w:r>
          </w:p>
        </w:tc>
      </w:tr>
    </w:tbl>
    <w:p w14:paraId="051647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000000" w:themeColor="text1"/>
          <w:kern w:val="0"/>
          <w:szCs w:val="21"/>
          <w:highlight w:val="none"/>
          <w14:textFill>
            <w14:solidFill>
              <w14:schemeClr w14:val="tx1"/>
            </w14:solidFill>
          </w14:textFill>
        </w:rPr>
      </w:pPr>
    </w:p>
    <w:p w14:paraId="76663D31">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bookmarkEnd w:id="42"/>
    <w:p w14:paraId="5F04F8F8">
      <w:pPr>
        <w:rPr>
          <w:color w:val="000000" w:themeColor="text1"/>
          <w:highlight w:val="none"/>
          <w14:textFill>
            <w14:solidFill>
              <w14:schemeClr w14:val="tx1"/>
            </w14:solidFill>
          </w14:textFill>
        </w:rPr>
      </w:pPr>
      <w:bookmarkStart w:id="44" w:name="_Toc1947"/>
      <w:bookmarkStart w:id="45" w:name="_Toc1482"/>
      <w:bookmarkStart w:id="46" w:name="_Toc326786897"/>
      <w:bookmarkStart w:id="47" w:name="_Toc256519703"/>
    </w:p>
    <w:p w14:paraId="77C39303">
      <w:pPr>
        <w:pStyle w:val="3"/>
        <w:snapToGrid w:val="0"/>
        <w:spacing w:before="0" w:after="0" w:line="480" w:lineRule="auto"/>
        <w:jc w:val="center"/>
        <w:rPr>
          <w:color w:val="000000" w:themeColor="text1"/>
          <w:sz w:val="28"/>
          <w:szCs w:val="28"/>
          <w:highlight w:val="none"/>
          <w14:textFill>
            <w14:solidFill>
              <w14:schemeClr w14:val="tx1"/>
            </w14:solidFill>
          </w14:textFill>
        </w:rPr>
      </w:pPr>
      <w:bookmarkStart w:id="48" w:name="_Toc1638"/>
      <w:r>
        <w:rPr>
          <w:rFonts w:hint="eastAsia"/>
          <w:color w:val="000000" w:themeColor="text1"/>
          <w:sz w:val="28"/>
          <w:szCs w:val="28"/>
          <w:highlight w:val="none"/>
          <w14:textFill>
            <w14:solidFill>
              <w14:schemeClr w14:val="tx1"/>
            </w14:solidFill>
          </w14:textFill>
        </w:rPr>
        <w:t>第五章  采购合同</w:t>
      </w:r>
      <w:bookmarkEnd w:id="48"/>
    </w:p>
    <w:p w14:paraId="05E3B282">
      <w:pPr>
        <w:snapToGrid/>
        <w:spacing w:before="0" w:beforeAutospacing="0" w:after="0" w:afterAutospacing="0" w:line="240" w:lineRule="auto"/>
        <w:jc w:val="center"/>
        <w:textAlignment w:val="baseline"/>
        <w:rPr>
          <w:rStyle w:val="86"/>
          <w:rFonts w:ascii="Calibri" w:hAnsi="Calibri" w:eastAsia="宋体"/>
          <w:b w:val="0"/>
          <w:i w:val="0"/>
          <w:caps w:val="0"/>
          <w:spacing w:val="0"/>
          <w:w w:val="100"/>
          <w:kern w:val="2"/>
          <w:sz w:val="32"/>
          <w:szCs w:val="32"/>
          <w:lang w:val="en-US" w:eastAsia="zh-CN" w:bidi="ar-SA"/>
        </w:rPr>
      </w:pPr>
      <w:r>
        <w:rPr>
          <w:rStyle w:val="86"/>
          <w:rFonts w:hint="eastAsia"/>
          <w:b/>
          <w:i w:val="0"/>
          <w:caps w:val="0"/>
          <w:spacing w:val="0"/>
          <w:w w:val="100"/>
          <w:kern w:val="2"/>
          <w:sz w:val="32"/>
          <w:szCs w:val="32"/>
          <w:lang w:val="en-US" w:eastAsia="zh-CN" w:bidi="ar-SA"/>
        </w:rPr>
        <w:t>驻马店市中心医院妇儿院区超市经营</w:t>
      </w:r>
      <w:r>
        <w:rPr>
          <w:rStyle w:val="86"/>
          <w:rFonts w:ascii="Calibri" w:hAnsi="Calibri" w:eastAsia="宋体"/>
          <w:b/>
          <w:i w:val="0"/>
          <w:caps w:val="0"/>
          <w:spacing w:val="0"/>
          <w:w w:val="100"/>
          <w:kern w:val="2"/>
          <w:sz w:val="32"/>
          <w:szCs w:val="32"/>
          <w:lang w:val="en-US" w:eastAsia="zh-CN" w:bidi="ar-SA"/>
        </w:rPr>
        <w:t>合同</w:t>
      </w:r>
    </w:p>
    <w:p w14:paraId="58DE37A3">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default" w:ascii="宋体" w:hAnsi="宋体" w:cs="宋体"/>
          <w:b w:val="0"/>
          <w:i w:val="0"/>
          <w:caps w:val="0"/>
          <w:spacing w:val="0"/>
          <w:w w:val="100"/>
          <w:kern w:val="2"/>
          <w:sz w:val="24"/>
          <w:szCs w:val="24"/>
          <w:lang w:val="en-US" w:eastAsia="zh-CN" w:bidi="ar-SA"/>
        </w:rPr>
      </w:pPr>
      <w:r>
        <w:rPr>
          <w:rStyle w:val="86"/>
          <w:rFonts w:hint="eastAsia" w:ascii="宋体" w:hAnsi="宋体" w:cs="宋体"/>
          <w:b w:val="0"/>
          <w:i w:val="0"/>
          <w:caps w:val="0"/>
          <w:spacing w:val="0"/>
          <w:w w:val="100"/>
          <w:kern w:val="2"/>
          <w:sz w:val="24"/>
          <w:szCs w:val="24"/>
          <w:lang w:val="en-US" w:eastAsia="zh-CN" w:bidi="ar-SA"/>
        </w:rPr>
        <w:t>合同编号：</w:t>
      </w:r>
    </w:p>
    <w:p w14:paraId="68A65130">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ascii="Calibri" w:hAnsi="Calibri" w:eastAsia="宋体"/>
          <w:b w:val="0"/>
          <w:i w:val="0"/>
          <w:caps w:val="0"/>
          <w:spacing w:val="0"/>
          <w:w w:val="100"/>
          <w:kern w:val="2"/>
          <w:sz w:val="24"/>
          <w:szCs w:val="24"/>
          <w:lang w:val="en-US" w:eastAsia="zh-CN" w:bidi="ar-SA"/>
        </w:rPr>
      </w:pPr>
      <w:r>
        <w:rPr>
          <w:rStyle w:val="86"/>
          <w:rFonts w:hint="eastAsia" w:ascii="宋体" w:hAnsi="宋体" w:cs="宋体"/>
          <w:b w:val="0"/>
          <w:i w:val="0"/>
          <w:caps w:val="0"/>
          <w:spacing w:val="0"/>
          <w:w w:val="100"/>
          <w:kern w:val="2"/>
          <w:sz w:val="24"/>
          <w:szCs w:val="24"/>
          <w:lang w:val="en-US" w:eastAsia="zh-CN" w:bidi="ar-SA"/>
        </w:rPr>
        <w:t>签订地点：驻马店市中华路747号</w:t>
      </w:r>
    </w:p>
    <w:p w14:paraId="7E593CED">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cs="宋体"/>
          <w:b w:val="0"/>
          <w:i w:val="0"/>
          <w:caps w:val="0"/>
          <w:spacing w:val="0"/>
          <w:w w:val="100"/>
          <w:kern w:val="2"/>
          <w:sz w:val="24"/>
          <w:szCs w:val="24"/>
          <w:lang w:val="en-US" w:eastAsia="zh-CN" w:bidi="ar-SA"/>
        </w:rPr>
      </w:pPr>
      <w:r>
        <w:rPr>
          <w:rStyle w:val="86"/>
          <w:rFonts w:hint="eastAsia" w:ascii="宋体" w:hAnsi="宋体" w:eastAsia="宋体" w:cs="宋体"/>
          <w:b w:val="0"/>
          <w:i w:val="0"/>
          <w:caps w:val="0"/>
          <w:spacing w:val="0"/>
          <w:w w:val="100"/>
          <w:kern w:val="2"/>
          <w:sz w:val="24"/>
          <w:szCs w:val="24"/>
          <w:lang w:val="en-US" w:eastAsia="zh-CN" w:bidi="ar-SA"/>
        </w:rPr>
        <w:t>甲方：驻马店</w:t>
      </w:r>
      <w:r>
        <w:rPr>
          <w:rStyle w:val="86"/>
          <w:rFonts w:hint="eastAsia" w:ascii="宋体" w:hAnsi="宋体" w:cs="宋体"/>
          <w:b w:val="0"/>
          <w:i w:val="0"/>
          <w:caps w:val="0"/>
          <w:spacing w:val="0"/>
          <w:w w:val="100"/>
          <w:kern w:val="2"/>
          <w:sz w:val="24"/>
          <w:szCs w:val="24"/>
          <w:lang w:val="en-US" w:eastAsia="zh-CN" w:bidi="ar-SA"/>
        </w:rPr>
        <w:t>市中心医院</w:t>
      </w:r>
    </w:p>
    <w:p w14:paraId="43E6CCF5">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eastAsia="宋体" w:cs="宋体"/>
          <w:b w:val="0"/>
          <w:i w:val="0"/>
          <w:caps w:val="0"/>
          <w:spacing w:val="0"/>
          <w:w w:val="100"/>
          <w:kern w:val="2"/>
          <w:sz w:val="24"/>
          <w:szCs w:val="24"/>
          <w:lang w:val="en-US" w:eastAsia="zh-CN" w:bidi="ar-SA"/>
        </w:rPr>
      </w:pPr>
      <w:r>
        <w:rPr>
          <w:rStyle w:val="86"/>
          <w:rFonts w:hint="eastAsia" w:ascii="宋体" w:hAnsi="宋体" w:eastAsia="宋体" w:cs="宋体"/>
          <w:b w:val="0"/>
          <w:i w:val="0"/>
          <w:caps w:val="0"/>
          <w:spacing w:val="0"/>
          <w:w w:val="100"/>
          <w:kern w:val="2"/>
          <w:sz w:val="24"/>
          <w:szCs w:val="24"/>
          <w:lang w:val="en-US" w:eastAsia="zh-CN" w:bidi="ar-SA"/>
        </w:rPr>
        <w:t>乙方：</w:t>
      </w:r>
    </w:p>
    <w:p w14:paraId="62879D0A">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cs="宋体"/>
          <w:b w:val="0"/>
          <w:i w:val="0"/>
          <w:caps w:val="0"/>
          <w:spacing w:val="0"/>
          <w:w w:val="100"/>
          <w:kern w:val="2"/>
          <w:sz w:val="24"/>
          <w:szCs w:val="24"/>
          <w:highlight w:val="none"/>
          <w:lang w:val="en-US" w:eastAsia="zh-CN" w:bidi="ar-SA"/>
        </w:rPr>
      </w:pPr>
      <w:r>
        <w:rPr>
          <w:rFonts w:hint="eastAsia" w:ascii="宋体" w:hAnsi="宋体" w:eastAsia="宋体" w:cs="宋体"/>
          <w:sz w:val="24"/>
          <w:szCs w:val="24"/>
        </w:rPr>
        <w:t>根据《中华人民共和国政府采购法》</w:t>
      </w:r>
      <w:r>
        <w:rPr>
          <w:rFonts w:hint="eastAsia" w:ascii="宋体" w:hAnsi="宋体" w:cs="宋体"/>
          <w:sz w:val="24"/>
          <w:szCs w:val="24"/>
          <w:lang w:eastAsia="zh-CN"/>
        </w:rPr>
        <w:t>、</w:t>
      </w:r>
      <w:r>
        <w:rPr>
          <w:rFonts w:hint="eastAsia" w:ascii="宋体" w:hAnsi="宋体" w:eastAsia="宋体" w:cs="宋体"/>
          <w:sz w:val="24"/>
          <w:szCs w:val="24"/>
        </w:rPr>
        <w:t>《中华人民共和国民法典》及</w:t>
      </w:r>
      <w:r>
        <w:rPr>
          <w:rFonts w:hint="eastAsia" w:ascii="宋体" w:hAnsi="宋体" w:eastAsia="宋体" w:cs="宋体"/>
          <w:sz w:val="24"/>
          <w:szCs w:val="24"/>
          <w:u w:val="single"/>
          <w:lang w:eastAsia="zh-CN"/>
        </w:rPr>
        <w:t>驻马店市中心医院</w:t>
      </w:r>
      <w:r>
        <w:rPr>
          <w:rFonts w:hint="eastAsia" w:ascii="宋体" w:hAnsi="宋体" w:cs="宋体"/>
          <w:sz w:val="24"/>
          <w:szCs w:val="24"/>
          <w:u w:val="single"/>
          <w:lang w:val="en-US" w:eastAsia="zh-CN"/>
        </w:rPr>
        <w:t>妇儿院区超市</w:t>
      </w:r>
      <w:r>
        <w:rPr>
          <w:rFonts w:hint="eastAsia" w:ascii="宋体" w:hAnsi="宋体" w:eastAsia="宋体" w:cs="宋体"/>
          <w:sz w:val="24"/>
          <w:szCs w:val="24"/>
          <w:u w:val="single"/>
          <w:lang w:val="en-US" w:eastAsia="zh-CN"/>
        </w:rPr>
        <w:t>经营权采购项目</w:t>
      </w:r>
      <w:r>
        <w:rPr>
          <w:rFonts w:hint="eastAsia" w:ascii="宋体" w:hAnsi="宋体" w:eastAsia="宋体" w:cs="宋体"/>
          <w:sz w:val="24"/>
          <w:szCs w:val="24"/>
        </w:rPr>
        <w:t>的《</w:t>
      </w:r>
      <w:r>
        <w:rPr>
          <w:rFonts w:hint="eastAsia" w:ascii="宋体" w:hAnsi="宋体" w:cs="宋体"/>
          <w:sz w:val="24"/>
          <w:szCs w:val="24"/>
          <w:lang w:val="en-US" w:eastAsia="zh-CN"/>
        </w:rPr>
        <w:t>采购</w:t>
      </w:r>
      <w:r>
        <w:rPr>
          <w:rFonts w:hint="eastAsia" w:ascii="宋体" w:hAnsi="宋体" w:eastAsia="宋体" w:cs="宋体"/>
          <w:sz w:val="24"/>
          <w:szCs w:val="24"/>
        </w:rPr>
        <w:t>文件》、乙方的《</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文件》及《</w:t>
      </w:r>
      <w:r>
        <w:rPr>
          <w:rFonts w:hint="eastAsia" w:ascii="宋体" w:hAnsi="宋体" w:cs="宋体"/>
          <w:sz w:val="24"/>
          <w:szCs w:val="24"/>
          <w:lang w:val="en-US" w:eastAsia="zh-CN"/>
        </w:rPr>
        <w:t>成交</w:t>
      </w:r>
      <w:r>
        <w:rPr>
          <w:rFonts w:hint="eastAsia" w:ascii="宋体" w:hAnsi="宋体" w:eastAsia="宋体" w:cs="宋体"/>
          <w:sz w:val="24"/>
          <w:szCs w:val="24"/>
        </w:rPr>
        <w:t>通知书》），甲、乙双方同意签订本合同</w:t>
      </w:r>
      <w:r>
        <w:rPr>
          <w:rFonts w:hint="eastAsia" w:ascii="宋体" w:hAnsi="宋体" w:eastAsia="宋体" w:cs="宋体"/>
          <w:sz w:val="24"/>
          <w:szCs w:val="24"/>
          <w:lang w:eastAsia="zh-CN"/>
        </w:rPr>
        <w:t>，</w:t>
      </w:r>
      <w:r>
        <w:rPr>
          <w:rFonts w:hint="eastAsia" w:ascii="宋体" w:hAnsi="宋体" w:eastAsia="宋体" w:cs="宋体"/>
          <w:sz w:val="24"/>
          <w:szCs w:val="24"/>
        </w:rPr>
        <w:t>合同附件及乙方投标</w:t>
      </w:r>
      <w:r>
        <w:rPr>
          <w:rStyle w:val="86"/>
          <w:rFonts w:hint="eastAsia" w:ascii="宋体" w:hAnsi="宋体" w:cs="宋体"/>
          <w:b w:val="0"/>
          <w:i w:val="0"/>
          <w:caps w:val="0"/>
          <w:spacing w:val="0"/>
          <w:w w:val="100"/>
          <w:kern w:val="2"/>
          <w:sz w:val="24"/>
          <w:szCs w:val="24"/>
          <w:highlight w:val="none"/>
          <w:lang w:val="en-US" w:eastAsia="zh-CN" w:bidi="ar-SA"/>
        </w:rPr>
        <w:t>文件等均为本合同不可分割的部分，双方签署并共同遵守如下条款。</w:t>
      </w:r>
    </w:p>
    <w:p w14:paraId="5696BF70">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2" w:firstLineChars="200"/>
        <w:jc w:val="both"/>
        <w:textAlignment w:val="baseline"/>
        <w:rPr>
          <w:rStyle w:val="86"/>
          <w:rFonts w:hint="eastAsia" w:ascii="宋体" w:hAnsi="宋体" w:cs="宋体"/>
          <w:b/>
          <w:bCs/>
          <w:i w:val="0"/>
          <w:caps w:val="0"/>
          <w:spacing w:val="0"/>
          <w:w w:val="100"/>
          <w:kern w:val="2"/>
          <w:sz w:val="24"/>
          <w:szCs w:val="24"/>
          <w:highlight w:val="none"/>
          <w:lang w:val="en-US" w:eastAsia="zh-CN" w:bidi="ar-SA"/>
        </w:rPr>
      </w:pPr>
      <w:r>
        <w:rPr>
          <w:rStyle w:val="86"/>
          <w:rFonts w:hint="eastAsia" w:ascii="宋体" w:hAnsi="宋体" w:cs="宋体"/>
          <w:b/>
          <w:bCs/>
          <w:i w:val="0"/>
          <w:caps w:val="0"/>
          <w:spacing w:val="0"/>
          <w:w w:val="100"/>
          <w:kern w:val="2"/>
          <w:sz w:val="24"/>
          <w:szCs w:val="24"/>
          <w:highlight w:val="none"/>
          <w:lang w:val="en-US" w:eastAsia="zh-CN" w:bidi="ar-SA"/>
        </w:rPr>
        <w:t>一、合同项目</w:t>
      </w:r>
    </w:p>
    <w:p w14:paraId="5830C302">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cs="宋体"/>
          <w:b w:val="0"/>
          <w:i w:val="0"/>
          <w:caps w:val="0"/>
          <w:spacing w:val="0"/>
          <w:w w:val="100"/>
          <w:kern w:val="2"/>
          <w:sz w:val="24"/>
          <w:szCs w:val="24"/>
          <w:highlight w:val="none"/>
          <w:lang w:val="en-US" w:eastAsia="zh-CN" w:bidi="ar-SA"/>
        </w:rPr>
      </w:pPr>
      <w:r>
        <w:rPr>
          <w:rStyle w:val="86"/>
          <w:rFonts w:hint="eastAsia" w:ascii="宋体" w:hAnsi="宋体" w:cs="宋体"/>
          <w:b w:val="0"/>
          <w:i w:val="0"/>
          <w:caps w:val="0"/>
          <w:spacing w:val="0"/>
          <w:w w:val="100"/>
          <w:kern w:val="2"/>
          <w:sz w:val="24"/>
          <w:szCs w:val="24"/>
          <w:highlight w:val="none"/>
          <w:lang w:val="en-US" w:eastAsia="zh-CN" w:bidi="ar-SA"/>
        </w:rPr>
        <w:t>乙方取得甲方妇儿院区超市经营权，超市位于妇儿院区住院楼负一楼，面积约151㎡。</w:t>
      </w:r>
    </w:p>
    <w:p w14:paraId="2248711B">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2" w:firstLineChars="200"/>
        <w:jc w:val="both"/>
        <w:textAlignment w:val="baseline"/>
        <w:rPr>
          <w:rStyle w:val="86"/>
          <w:rFonts w:hint="eastAsia" w:ascii="宋体" w:hAnsi="宋体" w:cs="宋体"/>
          <w:b/>
          <w:bCs/>
          <w:i w:val="0"/>
          <w:caps w:val="0"/>
          <w:spacing w:val="0"/>
          <w:w w:val="100"/>
          <w:kern w:val="2"/>
          <w:sz w:val="24"/>
          <w:szCs w:val="24"/>
          <w:highlight w:val="none"/>
          <w:lang w:val="en-US" w:eastAsia="zh-CN" w:bidi="ar-SA"/>
        </w:rPr>
      </w:pPr>
      <w:r>
        <w:rPr>
          <w:rStyle w:val="86"/>
          <w:rFonts w:hint="eastAsia" w:ascii="宋体" w:hAnsi="宋体" w:cs="宋体"/>
          <w:b/>
          <w:bCs/>
          <w:i w:val="0"/>
          <w:caps w:val="0"/>
          <w:spacing w:val="0"/>
          <w:w w:val="100"/>
          <w:kern w:val="2"/>
          <w:sz w:val="24"/>
          <w:szCs w:val="24"/>
          <w:highlight w:val="none"/>
          <w:lang w:val="en-US" w:eastAsia="zh-CN" w:bidi="ar-SA"/>
        </w:rPr>
        <w:t>二、合同期限</w:t>
      </w:r>
    </w:p>
    <w:p w14:paraId="3FA044B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trike w:val="0"/>
          <w:dstrike w:val="0"/>
          <w:color w:val="auto"/>
          <w:sz w:val="24"/>
          <w:szCs w:val="24"/>
          <w:lang w:val="en-US" w:eastAsia="zh-CN"/>
        </w:rPr>
      </w:pPr>
      <w:r>
        <w:rPr>
          <w:rStyle w:val="86"/>
          <w:rFonts w:hint="eastAsia" w:ascii="宋体" w:hAnsi="宋体" w:cs="宋体"/>
          <w:b w:val="0"/>
          <w:i w:val="0"/>
          <w:caps w:val="0"/>
          <w:spacing w:val="0"/>
          <w:w w:val="100"/>
          <w:kern w:val="2"/>
          <w:sz w:val="24"/>
          <w:szCs w:val="24"/>
          <w:lang w:val="en-US" w:eastAsia="zh-CN" w:bidi="ar-SA"/>
        </w:rPr>
        <w:t>合同期限为</w:t>
      </w:r>
      <w:r>
        <w:rPr>
          <w:rStyle w:val="86"/>
          <w:rFonts w:hint="eastAsia" w:ascii="宋体" w:hAnsi="宋体" w:cs="宋体"/>
          <w:b w:val="0"/>
          <w:i w:val="0"/>
          <w:caps w:val="0"/>
          <w:spacing w:val="0"/>
          <w:w w:val="100"/>
          <w:kern w:val="2"/>
          <w:sz w:val="24"/>
          <w:szCs w:val="24"/>
          <w:u w:val="none"/>
          <w:lang w:val="en-US" w:eastAsia="zh-CN" w:bidi="ar-SA"/>
        </w:rPr>
        <w:t>一</w:t>
      </w:r>
      <w:r>
        <w:rPr>
          <w:rStyle w:val="86"/>
          <w:rFonts w:hint="eastAsia" w:ascii="宋体" w:hAnsi="宋体" w:cs="宋体"/>
          <w:b w:val="0"/>
          <w:i w:val="0"/>
          <w:caps w:val="0"/>
          <w:spacing w:val="0"/>
          <w:w w:val="100"/>
          <w:kern w:val="2"/>
          <w:sz w:val="24"/>
          <w:szCs w:val="24"/>
          <w:lang w:val="en-US" w:eastAsia="zh-CN" w:bidi="ar-SA"/>
        </w:rPr>
        <w:t>年，经双方约定，从</w:t>
      </w:r>
      <w:r>
        <w:rPr>
          <w:rStyle w:val="86"/>
          <w:rFonts w:hint="eastAsia" w:ascii="宋体" w:hAnsi="宋体" w:cs="宋体"/>
          <w:b w:val="0"/>
          <w:i w:val="0"/>
          <w:caps w:val="0"/>
          <w:spacing w:val="0"/>
          <w:w w:val="100"/>
          <w:kern w:val="2"/>
          <w:sz w:val="24"/>
          <w:szCs w:val="24"/>
          <w:u w:val="single"/>
          <w:lang w:val="en-US" w:eastAsia="zh-CN" w:bidi="ar-SA"/>
        </w:rPr>
        <w:t xml:space="preserve">       </w:t>
      </w:r>
      <w:r>
        <w:rPr>
          <w:rStyle w:val="86"/>
          <w:rFonts w:hint="eastAsia" w:ascii="宋体" w:hAnsi="宋体" w:eastAsia="宋体" w:cs="宋体"/>
          <w:b w:val="0"/>
          <w:i w:val="0"/>
          <w:caps w:val="0"/>
          <w:spacing w:val="0"/>
          <w:w w:val="100"/>
          <w:kern w:val="2"/>
          <w:sz w:val="24"/>
          <w:szCs w:val="24"/>
          <w:lang w:val="en-US" w:eastAsia="zh-CN" w:bidi="ar-SA"/>
        </w:rPr>
        <w:t>至</w:t>
      </w:r>
      <w:r>
        <w:rPr>
          <w:rStyle w:val="86"/>
          <w:rFonts w:hint="eastAsia" w:ascii="宋体" w:hAnsi="宋体" w:cs="宋体"/>
          <w:b w:val="0"/>
          <w:i w:val="0"/>
          <w:caps w:val="0"/>
          <w:spacing w:val="0"/>
          <w:w w:val="100"/>
          <w:kern w:val="2"/>
          <w:sz w:val="24"/>
          <w:szCs w:val="24"/>
          <w:u w:val="single"/>
          <w:lang w:val="en-US" w:eastAsia="zh-CN" w:bidi="ar-SA"/>
        </w:rPr>
        <w:t xml:space="preserve">      </w:t>
      </w:r>
      <w:r>
        <w:rPr>
          <w:rStyle w:val="86"/>
          <w:rFonts w:hint="eastAsia" w:ascii="宋体" w:hAnsi="宋体" w:cs="宋体"/>
          <w:b w:val="0"/>
          <w:i w:val="0"/>
          <w:caps w:val="0"/>
          <w:spacing w:val="0"/>
          <w:w w:val="100"/>
          <w:kern w:val="2"/>
          <w:sz w:val="24"/>
          <w:szCs w:val="24"/>
          <w:lang w:val="en-US" w:eastAsia="zh-CN" w:bidi="ar-SA"/>
        </w:rPr>
        <w:t>止</w:t>
      </w:r>
      <w:r>
        <w:rPr>
          <w:rStyle w:val="86"/>
          <w:rFonts w:hint="eastAsia" w:ascii="宋体" w:hAnsi="宋体" w:eastAsia="宋体" w:cs="宋体"/>
          <w:b w:val="0"/>
          <w:i w:val="0"/>
          <w:caps w:val="0"/>
          <w:spacing w:val="0"/>
          <w:w w:val="100"/>
          <w:kern w:val="2"/>
          <w:sz w:val="24"/>
          <w:szCs w:val="24"/>
          <w:lang w:val="en-US" w:eastAsia="zh-CN" w:bidi="ar-SA"/>
        </w:rPr>
        <w:t>。</w:t>
      </w:r>
      <w:r>
        <w:rPr>
          <w:rFonts w:hint="eastAsia" w:ascii="宋体" w:hAnsi="宋体" w:eastAsia="宋体" w:cs="宋体"/>
          <w:strike w:val="0"/>
          <w:dstrike w:val="0"/>
          <w:color w:val="auto"/>
          <w:sz w:val="24"/>
          <w:szCs w:val="24"/>
          <w:lang w:eastAsia="zh-CN"/>
        </w:rPr>
        <w:t>合同到期后，经甲方</w:t>
      </w:r>
      <w:r>
        <w:rPr>
          <w:rFonts w:hint="eastAsia" w:ascii="宋体" w:hAnsi="宋体" w:cs="宋体"/>
          <w:strike w:val="0"/>
          <w:dstrike w:val="0"/>
          <w:color w:val="auto"/>
          <w:sz w:val="24"/>
          <w:szCs w:val="24"/>
          <w:lang w:val="en-US" w:eastAsia="zh-CN"/>
        </w:rPr>
        <w:t>考核合格可续签一年，最多可续签二年。</w:t>
      </w:r>
    </w:p>
    <w:p w14:paraId="1DFB5B69">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2" w:firstLineChars="200"/>
        <w:jc w:val="both"/>
        <w:textAlignment w:val="baseline"/>
        <w:rPr>
          <w:rStyle w:val="86"/>
          <w:rFonts w:hint="eastAsia" w:ascii="宋体" w:hAnsi="宋体" w:eastAsia="宋体" w:cs="宋体"/>
          <w:b/>
          <w:bCs/>
          <w:i w:val="0"/>
          <w:caps w:val="0"/>
          <w:spacing w:val="0"/>
          <w:w w:val="100"/>
          <w:kern w:val="2"/>
          <w:sz w:val="24"/>
          <w:szCs w:val="24"/>
          <w:lang w:val="en-US" w:eastAsia="zh-CN" w:bidi="ar-SA"/>
        </w:rPr>
      </w:pPr>
      <w:r>
        <w:rPr>
          <w:rStyle w:val="86"/>
          <w:rFonts w:hint="eastAsia" w:ascii="宋体" w:hAnsi="宋体" w:cs="宋体"/>
          <w:b/>
          <w:bCs/>
          <w:i w:val="0"/>
          <w:caps w:val="0"/>
          <w:spacing w:val="0"/>
          <w:w w:val="100"/>
          <w:kern w:val="2"/>
          <w:sz w:val="24"/>
          <w:szCs w:val="24"/>
          <w:lang w:val="en-US" w:eastAsia="zh-CN" w:bidi="ar-SA"/>
        </w:rPr>
        <w:t>三</w:t>
      </w:r>
      <w:r>
        <w:rPr>
          <w:rStyle w:val="86"/>
          <w:rFonts w:hint="eastAsia" w:ascii="宋体" w:hAnsi="宋体" w:eastAsia="宋体" w:cs="宋体"/>
          <w:b/>
          <w:bCs/>
          <w:i w:val="0"/>
          <w:caps w:val="0"/>
          <w:spacing w:val="0"/>
          <w:w w:val="100"/>
          <w:kern w:val="2"/>
          <w:sz w:val="24"/>
          <w:szCs w:val="24"/>
          <w:lang w:val="en-US" w:eastAsia="zh-CN" w:bidi="ar-SA"/>
        </w:rPr>
        <w:t>、经营范围</w:t>
      </w:r>
    </w:p>
    <w:p w14:paraId="6146A6E3">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default" w:ascii="宋体" w:hAnsi="宋体" w:cs="宋体"/>
          <w:b w:val="0"/>
          <w:i w:val="0"/>
          <w:caps w:val="0"/>
          <w:spacing w:val="0"/>
          <w:w w:val="100"/>
          <w:kern w:val="2"/>
          <w:sz w:val="24"/>
          <w:szCs w:val="24"/>
          <w:highlight w:val="none"/>
          <w:lang w:val="en-US" w:eastAsia="zh-CN" w:bidi="ar-SA"/>
        </w:rPr>
      </w:pPr>
      <w:r>
        <w:rPr>
          <w:rStyle w:val="86"/>
          <w:rFonts w:hint="eastAsia" w:ascii="宋体" w:hAnsi="宋体" w:cs="宋体"/>
          <w:b w:val="0"/>
          <w:i w:val="0"/>
          <w:caps w:val="0"/>
          <w:spacing w:val="0"/>
          <w:w w:val="100"/>
          <w:kern w:val="2"/>
          <w:sz w:val="24"/>
          <w:szCs w:val="24"/>
          <w:highlight w:val="none"/>
          <w:lang w:val="en-US" w:eastAsia="zh-CN" w:bidi="ar-SA"/>
        </w:rPr>
        <w:t>日用品、百货及甲方授权经营的其它物资销售。</w:t>
      </w:r>
    </w:p>
    <w:p w14:paraId="5A046345">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2" w:firstLineChars="200"/>
        <w:jc w:val="both"/>
        <w:textAlignment w:val="baseline"/>
        <w:rPr>
          <w:rStyle w:val="86"/>
          <w:rFonts w:hint="default" w:ascii="宋体" w:hAnsi="宋体" w:eastAsia="宋体" w:cs="宋体"/>
          <w:b/>
          <w:bCs/>
          <w:i w:val="0"/>
          <w:caps w:val="0"/>
          <w:spacing w:val="0"/>
          <w:w w:val="100"/>
          <w:kern w:val="2"/>
          <w:sz w:val="24"/>
          <w:szCs w:val="24"/>
          <w:lang w:val="en-US" w:eastAsia="zh-CN" w:bidi="ar-SA"/>
        </w:rPr>
      </w:pPr>
      <w:r>
        <w:rPr>
          <w:rStyle w:val="86"/>
          <w:rFonts w:hint="eastAsia" w:ascii="宋体" w:hAnsi="宋体" w:eastAsia="宋体" w:cs="宋体"/>
          <w:b/>
          <w:bCs/>
          <w:i w:val="0"/>
          <w:caps w:val="0"/>
          <w:spacing w:val="0"/>
          <w:w w:val="100"/>
          <w:kern w:val="2"/>
          <w:sz w:val="24"/>
          <w:szCs w:val="24"/>
          <w:lang w:val="en-US" w:eastAsia="zh-CN" w:bidi="ar-SA"/>
        </w:rPr>
        <w:t>四、</w:t>
      </w:r>
      <w:r>
        <w:rPr>
          <w:rStyle w:val="86"/>
          <w:rFonts w:hint="eastAsia" w:ascii="宋体" w:hAnsi="宋体" w:cs="宋体"/>
          <w:b/>
          <w:bCs/>
          <w:i w:val="0"/>
          <w:caps w:val="0"/>
          <w:spacing w:val="0"/>
          <w:w w:val="100"/>
          <w:kern w:val="2"/>
          <w:sz w:val="24"/>
          <w:szCs w:val="24"/>
          <w:lang w:val="en-US" w:eastAsia="zh-CN" w:bidi="ar-SA"/>
        </w:rPr>
        <w:t>承包费及保证金</w:t>
      </w:r>
    </w:p>
    <w:p w14:paraId="7F4E2E8E">
      <w:pPr>
        <w:keepNext w:val="0"/>
        <w:keepLines w:val="0"/>
        <w:pageBreakBefore w:val="0"/>
        <w:widowControl w:val="0"/>
        <w:kinsoku/>
        <w:wordWrap/>
        <w:overflowPunct/>
        <w:topLinePunct w:val="0"/>
        <w:autoSpaceDE/>
        <w:autoSpaceDN/>
        <w:bidi w:val="0"/>
        <w:adjustRightInd/>
        <w:snapToGrid w:val="0"/>
        <w:spacing w:line="420" w:lineRule="exact"/>
        <w:ind w:firstLine="480"/>
        <w:textAlignment w:val="auto"/>
        <w:rPr>
          <w:rFonts w:hint="eastAsia" w:ascii="宋体" w:hAnsi="宋体" w:cs="宋体"/>
          <w:color w:val="auto"/>
          <w:sz w:val="24"/>
          <w:szCs w:val="24"/>
          <w:highlight w:val="none"/>
          <w:lang w:eastAsia="zh-CN"/>
        </w:rPr>
      </w:pPr>
      <w:r>
        <w:rPr>
          <w:rStyle w:val="86"/>
          <w:rFonts w:hint="eastAsia" w:ascii="宋体" w:hAnsi="宋体" w:cs="宋体"/>
          <w:b w:val="0"/>
          <w:i w:val="0"/>
          <w:caps w:val="0"/>
          <w:spacing w:val="0"/>
          <w:w w:val="100"/>
          <w:kern w:val="2"/>
          <w:sz w:val="24"/>
          <w:szCs w:val="24"/>
          <w:highlight w:val="none"/>
          <w:lang w:val="en-US" w:eastAsia="zh-CN" w:bidi="ar-SA"/>
        </w:rPr>
        <w:t>1.承包费：</w:t>
      </w:r>
      <w:r>
        <w:rPr>
          <w:rStyle w:val="86"/>
          <w:rFonts w:hint="eastAsia" w:ascii="宋体" w:hAnsi="宋体" w:eastAsia="宋体" w:cs="宋体"/>
          <w:b w:val="0"/>
          <w:i w:val="0"/>
          <w:caps w:val="0"/>
          <w:spacing w:val="0"/>
          <w:w w:val="100"/>
          <w:kern w:val="2"/>
          <w:sz w:val="24"/>
          <w:szCs w:val="24"/>
          <w:highlight w:val="none"/>
          <w:lang w:val="en-US" w:eastAsia="zh-CN" w:bidi="ar-SA"/>
        </w:rPr>
        <w:t>承包费每年为</w:t>
      </w:r>
      <w:r>
        <w:rPr>
          <w:rStyle w:val="86"/>
          <w:rFonts w:hint="eastAsia" w:ascii="宋体" w:hAnsi="宋体" w:cs="宋体"/>
          <w:b w:val="0"/>
          <w:i w:val="0"/>
          <w:caps w:val="0"/>
          <w:spacing w:val="0"/>
          <w:w w:val="100"/>
          <w:kern w:val="2"/>
          <w:sz w:val="24"/>
          <w:szCs w:val="24"/>
          <w:highlight w:val="none"/>
          <w:u w:val="single"/>
          <w:lang w:val="en-US" w:eastAsia="zh-CN" w:bidi="ar-SA"/>
        </w:rPr>
        <w:t xml:space="preserve">         元</w:t>
      </w:r>
      <w:r>
        <w:rPr>
          <w:rStyle w:val="86"/>
          <w:rFonts w:hint="eastAsia" w:ascii="宋体" w:hAnsi="宋体" w:cs="宋体"/>
          <w:b w:val="0"/>
          <w:i w:val="0"/>
          <w:caps w:val="0"/>
          <w:spacing w:val="0"/>
          <w:w w:val="100"/>
          <w:kern w:val="2"/>
          <w:sz w:val="24"/>
          <w:szCs w:val="24"/>
          <w:highlight w:val="none"/>
          <w:lang w:val="en-US" w:eastAsia="zh-CN" w:bidi="ar-SA"/>
        </w:rPr>
        <w:t>（大写：</w:t>
      </w:r>
      <w:r>
        <w:rPr>
          <w:rStyle w:val="86"/>
          <w:rFonts w:hint="eastAsia" w:ascii="宋体" w:hAnsi="宋体" w:cs="宋体"/>
          <w:b w:val="0"/>
          <w:i w:val="0"/>
          <w:caps w:val="0"/>
          <w:spacing w:val="0"/>
          <w:w w:val="100"/>
          <w:kern w:val="2"/>
          <w:sz w:val="24"/>
          <w:szCs w:val="24"/>
          <w:highlight w:val="none"/>
          <w:u w:val="single"/>
          <w:lang w:val="en-US" w:eastAsia="zh-CN" w:bidi="ar-SA"/>
        </w:rPr>
        <w:t xml:space="preserve">         </w:t>
      </w:r>
      <w:r>
        <w:rPr>
          <w:rStyle w:val="86"/>
          <w:rFonts w:hint="eastAsia" w:ascii="宋体" w:hAnsi="宋体" w:cs="宋体"/>
          <w:b w:val="0"/>
          <w:i w:val="0"/>
          <w:caps w:val="0"/>
          <w:spacing w:val="0"/>
          <w:w w:val="100"/>
          <w:kern w:val="2"/>
          <w:sz w:val="24"/>
          <w:szCs w:val="24"/>
          <w:highlight w:val="none"/>
          <w:lang w:val="en-US" w:eastAsia="zh-CN" w:bidi="ar-SA"/>
        </w:rPr>
        <w:t>）。合同签订后</w:t>
      </w:r>
      <w:r>
        <w:rPr>
          <w:rStyle w:val="86"/>
          <w:rFonts w:hint="eastAsia" w:ascii="宋体" w:hAnsi="宋体" w:cs="宋体"/>
          <w:b w:val="0"/>
          <w:i w:val="0"/>
          <w:caps w:val="0"/>
          <w:spacing w:val="0"/>
          <w:w w:val="100"/>
          <w:kern w:val="2"/>
          <w:sz w:val="24"/>
          <w:szCs w:val="24"/>
          <w:highlight w:val="none"/>
          <w:u w:val="none"/>
          <w:lang w:val="en-US" w:eastAsia="zh-CN" w:bidi="ar-SA"/>
        </w:rPr>
        <w:t>十五日</w:t>
      </w:r>
      <w:r>
        <w:rPr>
          <w:rStyle w:val="86"/>
          <w:rFonts w:hint="eastAsia" w:ascii="宋体" w:hAnsi="宋体" w:cs="宋体"/>
          <w:b w:val="0"/>
          <w:i w:val="0"/>
          <w:caps w:val="0"/>
          <w:spacing w:val="0"/>
          <w:w w:val="100"/>
          <w:kern w:val="2"/>
          <w:sz w:val="24"/>
          <w:szCs w:val="24"/>
          <w:highlight w:val="none"/>
          <w:lang w:val="en-US" w:eastAsia="zh-CN" w:bidi="ar-SA"/>
        </w:rPr>
        <w:t>内，乙方向甲方一次性缴纳一年的承包费</w:t>
      </w:r>
      <w:r>
        <w:rPr>
          <w:rFonts w:hint="eastAsia" w:ascii="宋体" w:hAnsi="宋体" w:cs="宋体"/>
          <w:color w:val="auto"/>
          <w:sz w:val="24"/>
          <w:szCs w:val="24"/>
          <w:highlight w:val="none"/>
          <w:lang w:eastAsia="zh-CN"/>
        </w:rPr>
        <w:t>。</w:t>
      </w:r>
    </w:p>
    <w:p w14:paraId="2D5F7187">
      <w:pPr>
        <w:keepNext w:val="0"/>
        <w:keepLines w:val="0"/>
        <w:pageBreakBefore w:val="0"/>
        <w:kinsoku/>
        <w:wordWrap/>
        <w:overflowPunct/>
        <w:topLinePunct w:val="0"/>
        <w:autoSpaceDE/>
        <w:autoSpaceDN/>
        <w:bidi w:val="0"/>
        <w:adjustRightInd/>
        <w:spacing w:line="42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2.履约保证金：为了严格履行合同条款防范风险，合同签订后</w:t>
      </w:r>
      <w:r>
        <w:rPr>
          <w:rStyle w:val="86"/>
          <w:rFonts w:hint="eastAsia" w:ascii="宋体" w:hAnsi="宋体" w:cs="宋体"/>
          <w:b w:val="0"/>
          <w:i w:val="0"/>
          <w:caps w:val="0"/>
          <w:spacing w:val="0"/>
          <w:w w:val="100"/>
          <w:kern w:val="2"/>
          <w:sz w:val="24"/>
          <w:szCs w:val="24"/>
          <w:highlight w:val="none"/>
          <w:u w:val="none"/>
          <w:lang w:val="en-US" w:eastAsia="zh-CN" w:bidi="ar-SA"/>
        </w:rPr>
        <w:t>十五日</w:t>
      </w:r>
      <w:r>
        <w:rPr>
          <w:rStyle w:val="86"/>
          <w:rFonts w:hint="eastAsia" w:ascii="宋体" w:hAnsi="宋体" w:cs="宋体"/>
          <w:b w:val="0"/>
          <w:i w:val="0"/>
          <w:caps w:val="0"/>
          <w:spacing w:val="0"/>
          <w:w w:val="100"/>
          <w:kern w:val="2"/>
          <w:sz w:val="24"/>
          <w:szCs w:val="24"/>
          <w:highlight w:val="none"/>
          <w:lang w:val="en-US" w:eastAsia="zh-CN" w:bidi="ar-SA"/>
        </w:rPr>
        <w:t>内，乙方向甲方缴纳履约保证金，为承包费的10%。若未违反合同中约定或者违约</w:t>
      </w:r>
      <w:r>
        <w:rPr>
          <w:rFonts w:hint="eastAsia" w:ascii="宋体" w:hAnsi="宋体" w:cs="宋体"/>
          <w:color w:val="auto"/>
          <w:sz w:val="24"/>
          <w:szCs w:val="24"/>
          <w:highlight w:val="none"/>
          <w:lang w:val="en-US" w:eastAsia="zh-CN"/>
        </w:rPr>
        <w:t>情形已处理完毕，合同到期后无息全额退还。如双方续约，该保证金抵扣下一年度保证金。</w:t>
      </w:r>
    </w:p>
    <w:p w14:paraId="5D8783D4">
      <w:pPr>
        <w:keepNext w:val="0"/>
        <w:keepLines w:val="0"/>
        <w:pageBreakBefore w:val="0"/>
        <w:kinsoku/>
        <w:wordWrap/>
        <w:overflowPunct/>
        <w:topLinePunct w:val="0"/>
        <w:autoSpaceDE/>
        <w:autoSpaceDN/>
        <w:bidi w:val="0"/>
        <w:adjustRightInd/>
        <w:spacing w:line="420" w:lineRule="exact"/>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五、经营要求</w:t>
      </w:r>
    </w:p>
    <w:p w14:paraId="2234D382">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1.医院提供超市营业用房，不提供超市营业设施。</w:t>
      </w:r>
      <w:r>
        <w:rPr>
          <w:rStyle w:val="86"/>
          <w:rFonts w:hint="eastAsia" w:ascii="宋体" w:hAnsi="宋体" w:eastAsia="宋体" w:cs="宋体"/>
          <w:b w:val="0"/>
          <w:i w:val="0"/>
          <w:caps w:val="0"/>
          <w:spacing w:val="0"/>
          <w:w w:val="100"/>
          <w:kern w:val="2"/>
          <w:sz w:val="24"/>
          <w:szCs w:val="24"/>
          <w:lang w:val="en-US" w:eastAsia="zh-CN" w:bidi="ar-SA"/>
        </w:rPr>
        <w:t>经营超市所需收银机、货架等设施由乙方自备，且在合同期满时，由乙方自行处理，甲方不负担一切费用，也不得用作充抵乙方向甲方缴纳的</w:t>
      </w:r>
      <w:r>
        <w:rPr>
          <w:rStyle w:val="86"/>
          <w:rFonts w:hint="eastAsia" w:ascii="宋体" w:hAnsi="宋体" w:cs="宋体"/>
          <w:b w:val="0"/>
          <w:i w:val="0"/>
          <w:caps w:val="0"/>
          <w:spacing w:val="0"/>
          <w:w w:val="100"/>
          <w:kern w:val="2"/>
          <w:sz w:val="24"/>
          <w:szCs w:val="24"/>
          <w:lang w:val="en-US" w:eastAsia="zh-CN" w:bidi="ar-SA"/>
        </w:rPr>
        <w:t>承包费</w:t>
      </w:r>
      <w:r>
        <w:rPr>
          <w:rStyle w:val="86"/>
          <w:rFonts w:hint="eastAsia" w:ascii="宋体" w:hAnsi="宋体" w:eastAsia="宋体" w:cs="宋体"/>
          <w:b w:val="0"/>
          <w:i w:val="0"/>
          <w:caps w:val="0"/>
          <w:spacing w:val="0"/>
          <w:w w:val="100"/>
          <w:kern w:val="2"/>
          <w:sz w:val="24"/>
          <w:szCs w:val="24"/>
          <w:lang w:val="en-US" w:eastAsia="zh-CN" w:bidi="ar-SA"/>
        </w:rPr>
        <w:t>。</w:t>
      </w:r>
    </w:p>
    <w:p w14:paraId="2E09AA0C">
      <w:pPr>
        <w:keepNext w:val="0"/>
        <w:keepLines w:val="0"/>
        <w:pageBreakBefore w:val="0"/>
        <w:kinsoku/>
        <w:wordWrap/>
        <w:overflowPunct/>
        <w:topLinePunct w:val="0"/>
        <w:autoSpaceDE/>
        <w:autoSpaceDN/>
        <w:bidi w:val="0"/>
        <w:adjustRightInd/>
        <w:spacing w:line="42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2.超市所有商品必须有合法正规进货渠道，产品质量符合国家相关标准，所有商品合格证明资料需保存完整，做好登记随时备查。</w:t>
      </w:r>
    </w:p>
    <w:p w14:paraId="51A8EFC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超市出售的所有商品均为市场主流产品，出售的所有商品均需明码标价，且商品零售价不得高于市场上同品牌、同质同量商品的价格，如有违反，乙方愿承担院方的一切处罚措施，包括但不限于罚款、没收履约保证金、列入医院采购黑名单以及终止合同等。</w:t>
      </w:r>
    </w:p>
    <w:p w14:paraId="3E3D142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4.在经营期间必须建立进货台账，索证索票齐全，所出售的商品应有SC认证标志。</w:t>
      </w:r>
    </w:p>
    <w:p w14:paraId="25D2F1B3">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5.超市禁止销售“三无”商品，假冒、劣质商品，过期变质食品，禁止销售香烟、酒类以及其他易爆、高危、有毒、有害的物品。</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因出售的商品原因造成顾客的人身伤害和经济损失的，由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承担全部经济赔偿及法律责任。</w:t>
      </w:r>
      <w:r>
        <w:rPr>
          <w:rStyle w:val="86"/>
          <w:rFonts w:hint="eastAsia" w:ascii="宋体" w:hAnsi="宋体" w:eastAsia="宋体" w:cs="宋体"/>
          <w:sz w:val="24"/>
          <w:szCs w:val="24"/>
          <w:lang w:val="en-US" w:eastAsia="zh-CN"/>
        </w:rPr>
        <w:t>如造成重大食品安全事故、消防安全事故，乙方应承担全部责任，并根据实际情况向甲方做出赔偿。</w:t>
      </w:r>
    </w:p>
    <w:p w14:paraId="0D62ACF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Style w:val="86"/>
          <w:rFonts w:hint="eastAsia" w:ascii="宋体" w:hAnsi="宋体" w:eastAsia="宋体" w:cs="宋体"/>
          <w:sz w:val="24"/>
          <w:szCs w:val="24"/>
          <w:lang w:val="en-US"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cs="宋体"/>
          <w:color w:val="auto"/>
          <w:kern w:val="2"/>
          <w:sz w:val="24"/>
          <w:szCs w:val="24"/>
          <w:highlight w:val="none"/>
          <w:lang w:val="en-US" w:eastAsia="zh-CN" w:bidi="ar-SA"/>
        </w:rPr>
        <w:t>乙方</w:t>
      </w:r>
      <w:r>
        <w:rPr>
          <w:rStyle w:val="86"/>
          <w:rFonts w:hint="eastAsia" w:ascii="宋体" w:hAnsi="宋体" w:eastAsia="宋体" w:cs="宋体"/>
          <w:sz w:val="24"/>
          <w:szCs w:val="24"/>
          <w:lang w:val="en-US" w:eastAsia="zh-CN"/>
        </w:rPr>
        <w:t>应合法使用超市营业用房，</w:t>
      </w:r>
      <w:r>
        <w:rPr>
          <w:rFonts w:hint="eastAsia" w:ascii="宋体" w:hAnsi="宋体" w:eastAsia="宋体" w:cs="宋体"/>
          <w:color w:val="auto"/>
          <w:kern w:val="2"/>
          <w:sz w:val="24"/>
          <w:szCs w:val="24"/>
          <w:highlight w:val="none"/>
          <w:lang w:val="en-US" w:eastAsia="zh-CN" w:bidi="ar-SA"/>
        </w:rPr>
        <w:t>不</w:t>
      </w:r>
      <w:r>
        <w:rPr>
          <w:rFonts w:hint="eastAsia" w:ascii="宋体" w:hAnsi="宋体" w:cs="宋体"/>
          <w:color w:val="auto"/>
          <w:kern w:val="2"/>
          <w:sz w:val="24"/>
          <w:szCs w:val="24"/>
          <w:highlight w:val="none"/>
          <w:lang w:val="en-US" w:eastAsia="zh-CN" w:bidi="ar-SA"/>
        </w:rPr>
        <w:t>得</w:t>
      </w:r>
      <w:r>
        <w:rPr>
          <w:rFonts w:hint="eastAsia" w:ascii="宋体" w:hAnsi="宋体" w:eastAsia="宋体" w:cs="宋体"/>
          <w:color w:val="auto"/>
          <w:kern w:val="2"/>
          <w:sz w:val="24"/>
          <w:szCs w:val="24"/>
          <w:highlight w:val="none"/>
          <w:lang w:val="en-US" w:eastAsia="zh-CN" w:bidi="ar-SA"/>
        </w:rPr>
        <w:t>在超市经营场所内进行违法活动，不得从事与超市无关业务，不得经营食品药品监督管理</w:t>
      </w:r>
      <w:r>
        <w:rPr>
          <w:rFonts w:hint="eastAsia" w:ascii="宋体" w:hAnsi="宋体" w:cs="宋体"/>
          <w:color w:val="auto"/>
          <w:kern w:val="2"/>
          <w:sz w:val="24"/>
          <w:szCs w:val="24"/>
          <w:highlight w:val="none"/>
          <w:lang w:val="en-US" w:eastAsia="zh-CN" w:bidi="ar-SA"/>
        </w:rPr>
        <w:t>部门</w:t>
      </w:r>
      <w:r>
        <w:rPr>
          <w:rFonts w:hint="eastAsia" w:ascii="宋体" w:hAnsi="宋体" w:eastAsia="宋体" w:cs="宋体"/>
          <w:color w:val="auto"/>
          <w:kern w:val="2"/>
          <w:sz w:val="24"/>
          <w:szCs w:val="24"/>
          <w:highlight w:val="none"/>
          <w:lang w:val="en-US" w:eastAsia="zh-CN" w:bidi="ar-SA"/>
        </w:rPr>
        <w:t>规定限制和禁止经营的项目，不得经营行业主管部门规定禁止销售的商品。</w:t>
      </w:r>
      <w:r>
        <w:rPr>
          <w:rStyle w:val="86"/>
          <w:rFonts w:hint="eastAsia" w:ascii="宋体" w:hAnsi="宋体" w:eastAsia="宋体" w:cs="宋体"/>
          <w:sz w:val="24"/>
          <w:szCs w:val="24"/>
          <w:lang w:val="en-US" w:eastAsia="zh-CN"/>
        </w:rPr>
        <w:t>否则，应承担所有法律责任；造成甲方损失的，乙方应予全部赔偿，包括直接及间接经济损失。</w:t>
      </w:r>
    </w:p>
    <w:p w14:paraId="5496232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w:t>
      </w:r>
      <w:r>
        <w:rPr>
          <w:rFonts w:hint="eastAsia" w:ascii="宋体" w:hAnsi="宋体" w:cs="宋体"/>
          <w:color w:val="auto"/>
          <w:kern w:val="2"/>
          <w:sz w:val="24"/>
          <w:szCs w:val="24"/>
          <w:highlight w:val="none"/>
          <w:lang w:val="en-US" w:eastAsia="zh-CN" w:bidi="ar-SA"/>
        </w:rPr>
        <w:t>乙方须</w:t>
      </w:r>
      <w:r>
        <w:rPr>
          <w:rFonts w:hint="eastAsia" w:ascii="宋体" w:hAnsi="宋体" w:eastAsia="宋体" w:cs="宋体"/>
          <w:color w:val="auto"/>
          <w:kern w:val="2"/>
          <w:sz w:val="24"/>
          <w:szCs w:val="24"/>
          <w:highlight w:val="none"/>
          <w:lang w:val="en-US" w:eastAsia="zh-CN" w:bidi="ar-SA"/>
        </w:rPr>
        <w:t>保护医院环境，不得将物品及包装箱堆至超市以外，不得出店经营。</w:t>
      </w:r>
    </w:p>
    <w:p w14:paraId="25C9095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r>
        <w:rPr>
          <w:rFonts w:hint="eastAsia" w:ascii="宋体" w:hAnsi="宋体" w:cs="宋体"/>
          <w:color w:val="auto"/>
          <w:kern w:val="2"/>
          <w:sz w:val="24"/>
          <w:szCs w:val="24"/>
          <w:highlight w:val="none"/>
          <w:lang w:val="en-US" w:eastAsia="zh-CN" w:bidi="ar-SA"/>
        </w:rPr>
        <w:t>乙方须</w:t>
      </w:r>
      <w:r>
        <w:rPr>
          <w:rFonts w:hint="eastAsia" w:ascii="宋体" w:hAnsi="宋体" w:eastAsia="宋体" w:cs="宋体"/>
          <w:color w:val="auto"/>
          <w:kern w:val="2"/>
          <w:sz w:val="24"/>
          <w:szCs w:val="24"/>
          <w:highlight w:val="none"/>
          <w:lang w:val="en-US" w:eastAsia="zh-CN" w:bidi="ar-SA"/>
        </w:rPr>
        <w:t>做好超市保洁工作，承担超市经营区域内垃圾清理工作，做好“门前三包”。</w:t>
      </w:r>
    </w:p>
    <w:p w14:paraId="6AB1390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负责经营场所内部房屋建筑的维护和保养工作，不得私自进行装修，改变原建筑结构。</w:t>
      </w:r>
    </w:p>
    <w:p w14:paraId="75B2B05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10.服务期满</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的库存货物由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自行与下一个成交</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协商处理，与</w:t>
      </w:r>
      <w:r>
        <w:rPr>
          <w:rFonts w:hint="eastAsia" w:ascii="宋体" w:hAnsi="宋体" w:cs="宋体"/>
          <w:color w:val="auto"/>
          <w:kern w:val="2"/>
          <w:sz w:val="24"/>
          <w:szCs w:val="24"/>
          <w:highlight w:val="none"/>
          <w:lang w:val="en-US" w:eastAsia="zh-CN" w:bidi="ar-SA"/>
        </w:rPr>
        <w:t>甲方</w:t>
      </w:r>
      <w:r>
        <w:rPr>
          <w:rFonts w:hint="eastAsia" w:ascii="宋体" w:hAnsi="宋体" w:eastAsia="宋体" w:cs="宋体"/>
          <w:color w:val="auto"/>
          <w:kern w:val="2"/>
          <w:sz w:val="24"/>
          <w:szCs w:val="24"/>
          <w:highlight w:val="none"/>
          <w:lang w:val="en-US" w:eastAsia="zh-CN" w:bidi="ar-SA"/>
        </w:rPr>
        <w:t>无关。</w:t>
      </w:r>
    </w:p>
    <w:p w14:paraId="6855D9F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11.水、电费由</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负担，每月向医院缴纳一次水电费。</w:t>
      </w:r>
    </w:p>
    <w:p w14:paraId="2A89CC8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w:t>
      </w:r>
      <w:r>
        <w:rPr>
          <w:rFonts w:hint="eastAsia" w:ascii="宋体" w:hAnsi="宋体" w:cs="宋体"/>
          <w:color w:val="auto"/>
          <w:kern w:val="2"/>
          <w:sz w:val="24"/>
          <w:szCs w:val="24"/>
          <w:highlight w:val="none"/>
          <w:lang w:val="en-US" w:eastAsia="zh-CN" w:bidi="ar-SA"/>
        </w:rPr>
        <w:t>乙方</w:t>
      </w:r>
      <w:r>
        <w:rPr>
          <w:rFonts w:hint="eastAsia" w:ascii="宋体" w:hAnsi="宋体" w:eastAsia="宋体" w:cs="宋体"/>
          <w:color w:val="auto"/>
          <w:kern w:val="2"/>
          <w:sz w:val="24"/>
          <w:szCs w:val="24"/>
          <w:highlight w:val="none"/>
          <w:lang w:val="en-US" w:eastAsia="zh-CN" w:bidi="ar-SA"/>
        </w:rPr>
        <w:t xml:space="preserve">必须严格执行医院的相关规章制度，必须保证食品安全及公共安全，不断提升人员队伍的专业性。    </w:t>
      </w:r>
    </w:p>
    <w:p w14:paraId="5F0D9763">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2" w:firstLineChars="200"/>
        <w:jc w:val="both"/>
        <w:textAlignment w:val="baseline"/>
        <w:rPr>
          <w:rStyle w:val="86"/>
          <w:rFonts w:hint="eastAsia" w:ascii="宋体" w:hAnsi="宋体" w:eastAsia="宋体" w:cs="宋体"/>
          <w:b/>
          <w:bCs/>
          <w:i w:val="0"/>
          <w:caps w:val="0"/>
          <w:spacing w:val="0"/>
          <w:w w:val="100"/>
          <w:kern w:val="2"/>
          <w:sz w:val="24"/>
          <w:szCs w:val="24"/>
          <w:lang w:val="en-US" w:eastAsia="zh-CN" w:bidi="ar-SA"/>
        </w:rPr>
      </w:pPr>
      <w:r>
        <w:rPr>
          <w:rStyle w:val="86"/>
          <w:rFonts w:hint="eastAsia" w:ascii="宋体" w:hAnsi="宋体" w:cs="宋体"/>
          <w:b/>
          <w:bCs/>
          <w:i w:val="0"/>
          <w:caps w:val="0"/>
          <w:spacing w:val="0"/>
          <w:w w:val="100"/>
          <w:kern w:val="2"/>
          <w:sz w:val="24"/>
          <w:szCs w:val="24"/>
          <w:lang w:val="en-US" w:eastAsia="zh-CN" w:bidi="ar-SA"/>
        </w:rPr>
        <w:t>六</w:t>
      </w:r>
      <w:r>
        <w:rPr>
          <w:rStyle w:val="86"/>
          <w:rFonts w:hint="eastAsia" w:ascii="宋体" w:hAnsi="宋体" w:eastAsia="宋体" w:cs="宋体"/>
          <w:b/>
          <w:bCs/>
          <w:i w:val="0"/>
          <w:caps w:val="0"/>
          <w:spacing w:val="0"/>
          <w:w w:val="100"/>
          <w:kern w:val="2"/>
          <w:sz w:val="24"/>
          <w:szCs w:val="24"/>
          <w:lang w:val="en-US" w:eastAsia="zh-CN" w:bidi="ar-SA"/>
        </w:rPr>
        <w:t>、甲方的权利和义务</w:t>
      </w:r>
    </w:p>
    <w:p w14:paraId="1478A527">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cs="宋体"/>
          <w:b w:val="0"/>
          <w:i w:val="0"/>
          <w:caps w:val="0"/>
          <w:spacing w:val="0"/>
          <w:w w:val="100"/>
          <w:kern w:val="2"/>
          <w:sz w:val="24"/>
          <w:szCs w:val="24"/>
          <w:lang w:val="en-US" w:eastAsia="zh-CN" w:bidi="ar-SA"/>
        </w:rPr>
      </w:pPr>
      <w:r>
        <w:rPr>
          <w:rStyle w:val="86"/>
          <w:rFonts w:hint="eastAsia" w:ascii="宋体" w:hAnsi="宋体" w:eastAsia="宋体" w:cs="宋体"/>
          <w:b w:val="0"/>
          <w:i w:val="0"/>
          <w:caps w:val="0"/>
          <w:spacing w:val="0"/>
          <w:w w:val="100"/>
          <w:kern w:val="2"/>
          <w:sz w:val="24"/>
          <w:szCs w:val="24"/>
          <w:lang w:val="en-US" w:eastAsia="zh-CN" w:bidi="ar-SA"/>
        </w:rPr>
        <w:t>1</w:t>
      </w:r>
      <w:r>
        <w:rPr>
          <w:rStyle w:val="86"/>
          <w:rFonts w:hint="eastAsia" w:ascii="宋体" w:hAnsi="宋体" w:cs="宋体"/>
          <w:b w:val="0"/>
          <w:i w:val="0"/>
          <w:caps w:val="0"/>
          <w:spacing w:val="0"/>
          <w:w w:val="100"/>
          <w:kern w:val="2"/>
          <w:sz w:val="24"/>
          <w:szCs w:val="24"/>
          <w:lang w:val="en-US" w:eastAsia="zh-CN" w:bidi="ar-SA"/>
        </w:rPr>
        <w:t>.</w:t>
      </w:r>
      <w:r>
        <w:rPr>
          <w:rStyle w:val="86"/>
          <w:rFonts w:hint="eastAsia" w:ascii="宋体" w:hAnsi="宋体" w:eastAsia="宋体" w:cs="宋体"/>
          <w:b w:val="0"/>
          <w:i w:val="0"/>
          <w:caps w:val="0"/>
          <w:spacing w:val="0"/>
          <w:w w:val="100"/>
          <w:kern w:val="2"/>
          <w:sz w:val="24"/>
          <w:szCs w:val="24"/>
          <w:lang w:val="en-US" w:eastAsia="zh-CN" w:bidi="ar-SA"/>
        </w:rPr>
        <w:t>甲方</w:t>
      </w:r>
      <w:r>
        <w:rPr>
          <w:rStyle w:val="86"/>
          <w:rFonts w:hint="eastAsia" w:ascii="宋体" w:hAnsi="宋体" w:cs="宋体"/>
          <w:b w:val="0"/>
          <w:i w:val="0"/>
          <w:caps w:val="0"/>
          <w:spacing w:val="0"/>
          <w:w w:val="100"/>
          <w:kern w:val="2"/>
          <w:sz w:val="24"/>
          <w:szCs w:val="24"/>
          <w:lang w:val="en-US" w:eastAsia="zh-CN" w:bidi="ar-SA"/>
        </w:rPr>
        <w:t>有权</w:t>
      </w:r>
      <w:r>
        <w:rPr>
          <w:rStyle w:val="86"/>
          <w:rFonts w:hint="eastAsia" w:ascii="宋体" w:hAnsi="宋体" w:eastAsia="宋体" w:cs="宋体"/>
          <w:b w:val="0"/>
          <w:i w:val="0"/>
          <w:caps w:val="0"/>
          <w:spacing w:val="0"/>
          <w:w w:val="100"/>
          <w:kern w:val="2"/>
          <w:sz w:val="24"/>
          <w:szCs w:val="24"/>
          <w:lang w:val="en-US" w:eastAsia="zh-CN" w:bidi="ar-SA"/>
        </w:rPr>
        <w:t>对</w:t>
      </w:r>
      <w:r>
        <w:rPr>
          <w:rStyle w:val="86"/>
          <w:rFonts w:hint="eastAsia" w:ascii="宋体" w:hAnsi="宋体" w:cs="宋体"/>
          <w:b w:val="0"/>
          <w:i w:val="0"/>
          <w:caps w:val="0"/>
          <w:spacing w:val="0"/>
          <w:w w:val="100"/>
          <w:kern w:val="2"/>
          <w:sz w:val="24"/>
          <w:szCs w:val="24"/>
          <w:lang w:val="en-US" w:eastAsia="zh-CN" w:bidi="ar-SA"/>
        </w:rPr>
        <w:t>乙方</w:t>
      </w:r>
      <w:r>
        <w:rPr>
          <w:rStyle w:val="86"/>
          <w:rFonts w:hint="eastAsia" w:ascii="宋体" w:hAnsi="宋体" w:eastAsia="宋体" w:cs="宋体"/>
          <w:b w:val="0"/>
          <w:i w:val="0"/>
          <w:caps w:val="0"/>
          <w:spacing w:val="0"/>
          <w:w w:val="100"/>
          <w:kern w:val="2"/>
          <w:sz w:val="24"/>
          <w:szCs w:val="24"/>
          <w:lang w:val="en-US" w:eastAsia="zh-CN" w:bidi="ar-SA"/>
        </w:rPr>
        <w:t>超市经营过程进行全面监督考核</w:t>
      </w:r>
      <w:r>
        <w:rPr>
          <w:rStyle w:val="86"/>
          <w:rFonts w:hint="eastAsia" w:ascii="宋体" w:hAnsi="宋体" w:cs="宋体"/>
          <w:b w:val="0"/>
          <w:i w:val="0"/>
          <w:caps w:val="0"/>
          <w:spacing w:val="0"/>
          <w:w w:val="100"/>
          <w:kern w:val="2"/>
          <w:sz w:val="24"/>
          <w:szCs w:val="24"/>
          <w:lang w:val="en-US" w:eastAsia="zh-CN" w:bidi="ar-SA"/>
        </w:rPr>
        <w:t>。甲方将定期对</w:t>
      </w:r>
      <w:r>
        <w:rPr>
          <w:rStyle w:val="86"/>
          <w:rFonts w:hint="eastAsia" w:ascii="宋体" w:hAnsi="宋体" w:eastAsia="宋体" w:cs="宋体"/>
          <w:b w:val="0"/>
          <w:i w:val="0"/>
          <w:caps w:val="0"/>
          <w:spacing w:val="0"/>
          <w:w w:val="100"/>
          <w:kern w:val="2"/>
          <w:sz w:val="24"/>
          <w:szCs w:val="24"/>
          <w:lang w:val="en-US" w:eastAsia="zh-CN" w:bidi="ar-SA"/>
        </w:rPr>
        <w:t>超市环境卫生、食品卫生安全、经营商品的品种、服务态度</w:t>
      </w:r>
      <w:r>
        <w:rPr>
          <w:rStyle w:val="86"/>
          <w:rFonts w:hint="eastAsia" w:ascii="宋体" w:hAnsi="宋体" w:cs="宋体"/>
          <w:b w:val="0"/>
          <w:i w:val="0"/>
          <w:caps w:val="0"/>
          <w:spacing w:val="0"/>
          <w:w w:val="100"/>
          <w:kern w:val="2"/>
          <w:sz w:val="24"/>
          <w:szCs w:val="24"/>
          <w:lang w:val="en-US" w:eastAsia="zh-CN" w:bidi="ar-SA"/>
        </w:rPr>
        <w:t>、商品价格</w:t>
      </w:r>
      <w:r>
        <w:rPr>
          <w:rStyle w:val="86"/>
          <w:rFonts w:hint="eastAsia" w:ascii="宋体" w:hAnsi="宋体" w:eastAsia="宋体" w:cs="宋体"/>
          <w:b w:val="0"/>
          <w:i w:val="0"/>
          <w:caps w:val="0"/>
          <w:spacing w:val="0"/>
          <w:w w:val="100"/>
          <w:kern w:val="2"/>
          <w:sz w:val="24"/>
          <w:szCs w:val="24"/>
          <w:lang w:val="en-US" w:eastAsia="zh-CN" w:bidi="ar-SA"/>
        </w:rPr>
        <w:t>等方面</w:t>
      </w:r>
      <w:r>
        <w:rPr>
          <w:rStyle w:val="86"/>
          <w:rFonts w:hint="eastAsia" w:ascii="宋体" w:hAnsi="宋体" w:cs="宋体"/>
          <w:b w:val="0"/>
          <w:i w:val="0"/>
          <w:caps w:val="0"/>
          <w:spacing w:val="0"/>
          <w:w w:val="100"/>
          <w:kern w:val="2"/>
          <w:sz w:val="24"/>
          <w:szCs w:val="24"/>
          <w:lang w:val="en-US" w:eastAsia="zh-CN" w:bidi="ar-SA"/>
        </w:rPr>
        <w:t>进行指导、检查并提出改正意见，乙方应予接受。</w:t>
      </w:r>
    </w:p>
    <w:p w14:paraId="2DD82537">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cs="宋体"/>
          <w:b w:val="0"/>
          <w:i w:val="0"/>
          <w:caps w:val="0"/>
          <w:spacing w:val="0"/>
          <w:w w:val="100"/>
          <w:kern w:val="2"/>
          <w:sz w:val="24"/>
          <w:szCs w:val="24"/>
          <w:highlight w:val="none"/>
          <w:lang w:val="en-US" w:eastAsia="zh-CN" w:bidi="ar-SA"/>
        </w:rPr>
      </w:pPr>
      <w:r>
        <w:rPr>
          <w:rStyle w:val="86"/>
          <w:rFonts w:hint="eastAsia" w:ascii="宋体" w:hAnsi="宋体" w:eastAsia="宋体" w:cs="宋体"/>
          <w:b w:val="0"/>
          <w:i w:val="0"/>
          <w:caps w:val="0"/>
          <w:spacing w:val="0"/>
          <w:w w:val="100"/>
          <w:kern w:val="2"/>
          <w:sz w:val="24"/>
          <w:szCs w:val="24"/>
          <w:highlight w:val="none"/>
          <w:lang w:val="en-US" w:eastAsia="zh-CN" w:bidi="ar-SA"/>
        </w:rPr>
        <w:t>2</w:t>
      </w:r>
      <w:r>
        <w:rPr>
          <w:rStyle w:val="86"/>
          <w:rFonts w:hint="eastAsia" w:ascii="宋体" w:hAnsi="宋体" w:cs="宋体"/>
          <w:b w:val="0"/>
          <w:i w:val="0"/>
          <w:caps w:val="0"/>
          <w:spacing w:val="0"/>
          <w:w w:val="100"/>
          <w:kern w:val="2"/>
          <w:sz w:val="24"/>
          <w:szCs w:val="24"/>
          <w:highlight w:val="none"/>
          <w:lang w:val="en-US" w:eastAsia="zh-CN" w:bidi="ar-SA"/>
        </w:rPr>
        <w:t>.</w:t>
      </w:r>
      <w:r>
        <w:rPr>
          <w:rStyle w:val="86"/>
          <w:rFonts w:hint="eastAsia" w:ascii="宋体" w:hAnsi="宋体" w:eastAsia="宋体" w:cs="宋体"/>
          <w:b w:val="0"/>
          <w:i w:val="0"/>
          <w:caps w:val="0"/>
          <w:spacing w:val="0"/>
          <w:w w:val="100"/>
          <w:kern w:val="2"/>
          <w:sz w:val="24"/>
          <w:szCs w:val="24"/>
          <w:highlight w:val="none"/>
          <w:lang w:val="en-US" w:eastAsia="zh-CN" w:bidi="ar-SA"/>
        </w:rPr>
        <w:t>甲方</w:t>
      </w:r>
      <w:r>
        <w:rPr>
          <w:rStyle w:val="86"/>
          <w:rFonts w:hint="eastAsia" w:ascii="宋体" w:hAnsi="宋体" w:cs="宋体"/>
          <w:b w:val="0"/>
          <w:i w:val="0"/>
          <w:caps w:val="0"/>
          <w:spacing w:val="0"/>
          <w:w w:val="100"/>
          <w:kern w:val="2"/>
          <w:sz w:val="24"/>
          <w:szCs w:val="24"/>
          <w:highlight w:val="none"/>
          <w:lang w:val="en-US" w:eastAsia="zh-CN" w:bidi="ar-SA"/>
        </w:rPr>
        <w:t>有权要求乙方按照甲方的行业性质安排超市营业时间，由此产生的工资、加班费等一切支出由乙方承担。</w:t>
      </w:r>
    </w:p>
    <w:p w14:paraId="26C98974">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default" w:ascii="宋体" w:hAnsi="宋体" w:eastAsia="宋体" w:cs="宋体"/>
          <w:b w:val="0"/>
          <w:i w:val="0"/>
          <w:caps w:val="0"/>
          <w:spacing w:val="0"/>
          <w:w w:val="100"/>
          <w:kern w:val="2"/>
          <w:sz w:val="24"/>
          <w:szCs w:val="24"/>
          <w:highlight w:val="none"/>
          <w:lang w:val="en-US" w:eastAsia="zh-CN" w:bidi="ar-SA"/>
        </w:rPr>
      </w:pPr>
      <w:r>
        <w:rPr>
          <w:rStyle w:val="86"/>
          <w:rFonts w:hint="eastAsia" w:ascii="宋体" w:hAnsi="宋体" w:cs="宋体"/>
          <w:b w:val="0"/>
          <w:i w:val="0"/>
          <w:caps w:val="0"/>
          <w:spacing w:val="0"/>
          <w:w w:val="100"/>
          <w:kern w:val="2"/>
          <w:sz w:val="24"/>
          <w:szCs w:val="24"/>
          <w:highlight w:val="none"/>
          <w:lang w:val="en-US" w:eastAsia="zh-CN" w:bidi="ar-SA"/>
        </w:rPr>
        <w:t>3.甲方有权对乙方的经营提出合理建议，要求乙方本着为人民服务的宗旨，微利、薄利销售，并有权制止或督促乙方调整销售商品的上限价格。</w:t>
      </w:r>
    </w:p>
    <w:p w14:paraId="197BFE4D">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eastAsia="宋体" w:cs="宋体"/>
          <w:b w:val="0"/>
          <w:i w:val="0"/>
          <w:caps w:val="0"/>
          <w:spacing w:val="0"/>
          <w:w w:val="100"/>
          <w:kern w:val="2"/>
          <w:sz w:val="24"/>
          <w:szCs w:val="24"/>
          <w:lang w:val="en-US" w:eastAsia="zh-CN" w:bidi="ar-SA"/>
        </w:rPr>
      </w:pPr>
      <w:r>
        <w:rPr>
          <w:rStyle w:val="86"/>
          <w:rFonts w:hint="eastAsia" w:ascii="宋体" w:hAnsi="宋体" w:cs="宋体"/>
          <w:b w:val="0"/>
          <w:i w:val="0"/>
          <w:caps w:val="0"/>
          <w:spacing w:val="0"/>
          <w:w w:val="100"/>
          <w:kern w:val="2"/>
          <w:sz w:val="24"/>
          <w:szCs w:val="24"/>
          <w:lang w:val="en-US" w:eastAsia="zh-CN" w:bidi="ar-SA"/>
        </w:rPr>
        <w:t>4.</w:t>
      </w:r>
      <w:r>
        <w:rPr>
          <w:rStyle w:val="86"/>
          <w:rFonts w:hint="eastAsia" w:ascii="宋体" w:hAnsi="宋体" w:eastAsia="宋体" w:cs="宋体"/>
          <w:b w:val="0"/>
          <w:i w:val="0"/>
          <w:caps w:val="0"/>
          <w:spacing w:val="0"/>
          <w:w w:val="100"/>
          <w:kern w:val="2"/>
          <w:sz w:val="24"/>
          <w:szCs w:val="24"/>
          <w:lang w:val="en-US" w:eastAsia="zh-CN" w:bidi="ar-SA"/>
        </w:rPr>
        <w:t>甲方应保证乙方超市用房的正常使用和水电的正常供应（因突发故障、供电部门停电等除外）。</w:t>
      </w:r>
    </w:p>
    <w:p w14:paraId="1AC3D27F">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2" w:firstLineChars="200"/>
        <w:jc w:val="both"/>
        <w:textAlignment w:val="baseline"/>
        <w:rPr>
          <w:rStyle w:val="86"/>
          <w:rFonts w:hint="eastAsia" w:ascii="宋体" w:hAnsi="宋体" w:eastAsia="宋体" w:cs="宋体"/>
          <w:b w:val="0"/>
          <w:i w:val="0"/>
          <w:caps w:val="0"/>
          <w:spacing w:val="0"/>
          <w:w w:val="100"/>
          <w:kern w:val="2"/>
          <w:sz w:val="24"/>
          <w:szCs w:val="24"/>
          <w:lang w:val="en-US" w:eastAsia="zh-CN" w:bidi="ar-SA"/>
        </w:rPr>
      </w:pPr>
      <w:r>
        <w:rPr>
          <w:rStyle w:val="86"/>
          <w:rFonts w:hint="eastAsia" w:ascii="宋体" w:hAnsi="宋体" w:cs="宋体"/>
          <w:b/>
          <w:bCs/>
          <w:i w:val="0"/>
          <w:caps w:val="0"/>
          <w:spacing w:val="0"/>
          <w:w w:val="100"/>
          <w:kern w:val="2"/>
          <w:sz w:val="24"/>
          <w:szCs w:val="24"/>
          <w:lang w:val="en-US" w:eastAsia="zh-CN" w:bidi="ar-SA"/>
        </w:rPr>
        <w:t>七</w:t>
      </w:r>
      <w:r>
        <w:rPr>
          <w:rStyle w:val="86"/>
          <w:rFonts w:hint="eastAsia" w:ascii="宋体" w:hAnsi="宋体" w:eastAsia="宋体" w:cs="宋体"/>
          <w:b/>
          <w:bCs/>
          <w:i w:val="0"/>
          <w:caps w:val="0"/>
          <w:spacing w:val="0"/>
          <w:w w:val="100"/>
          <w:kern w:val="2"/>
          <w:sz w:val="24"/>
          <w:szCs w:val="24"/>
          <w:lang w:val="en-US" w:eastAsia="zh-CN" w:bidi="ar-SA"/>
        </w:rPr>
        <w:t>、乙方的权利和义务</w:t>
      </w:r>
    </w:p>
    <w:p w14:paraId="0C79BD04">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default" w:ascii="宋体" w:hAnsi="宋体" w:eastAsia="宋体" w:cs="宋体"/>
          <w:b w:val="0"/>
          <w:i w:val="0"/>
          <w:caps w:val="0"/>
          <w:spacing w:val="0"/>
          <w:w w:val="100"/>
          <w:kern w:val="2"/>
          <w:sz w:val="24"/>
          <w:szCs w:val="24"/>
          <w:lang w:val="en-US" w:eastAsia="zh-CN" w:bidi="ar-SA"/>
        </w:rPr>
      </w:pPr>
      <w:r>
        <w:rPr>
          <w:rStyle w:val="86"/>
          <w:rFonts w:hint="eastAsia" w:ascii="宋体" w:hAnsi="宋体" w:cs="宋体"/>
          <w:b w:val="0"/>
          <w:i w:val="0"/>
          <w:caps w:val="0"/>
          <w:spacing w:val="0"/>
          <w:w w:val="100"/>
          <w:kern w:val="2"/>
          <w:sz w:val="24"/>
          <w:szCs w:val="24"/>
          <w:lang w:val="en-US" w:eastAsia="zh-CN" w:bidi="ar-SA"/>
        </w:rPr>
        <w:t>1.乙方</w:t>
      </w:r>
      <w:r>
        <w:rPr>
          <w:rStyle w:val="86"/>
          <w:rFonts w:hint="eastAsia" w:ascii="宋体" w:hAnsi="宋体" w:eastAsia="宋体" w:cs="宋体"/>
          <w:b w:val="0"/>
          <w:i w:val="0"/>
          <w:caps w:val="0"/>
          <w:spacing w:val="0"/>
          <w:w w:val="100"/>
          <w:kern w:val="2"/>
          <w:sz w:val="24"/>
          <w:szCs w:val="24"/>
          <w:lang w:val="en-US" w:eastAsia="zh-CN" w:bidi="ar-SA"/>
        </w:rPr>
        <w:t>应严格遵守</w:t>
      </w:r>
      <w:r>
        <w:rPr>
          <w:rStyle w:val="86"/>
          <w:rFonts w:hint="eastAsia" w:ascii="宋体" w:hAnsi="宋体" w:cs="宋体"/>
          <w:b w:val="0"/>
          <w:i w:val="0"/>
          <w:caps w:val="0"/>
          <w:spacing w:val="0"/>
          <w:w w:val="100"/>
          <w:kern w:val="2"/>
          <w:sz w:val="24"/>
          <w:szCs w:val="24"/>
          <w:lang w:val="en-US" w:eastAsia="zh-CN" w:bidi="ar-SA"/>
        </w:rPr>
        <w:t>食品安全管理等相关</w:t>
      </w:r>
      <w:r>
        <w:rPr>
          <w:rStyle w:val="86"/>
          <w:rFonts w:hint="eastAsia" w:ascii="宋体" w:hAnsi="宋体" w:eastAsia="宋体" w:cs="宋体"/>
          <w:b w:val="0"/>
          <w:i w:val="0"/>
          <w:caps w:val="0"/>
          <w:spacing w:val="0"/>
          <w:w w:val="100"/>
          <w:kern w:val="2"/>
          <w:sz w:val="24"/>
          <w:szCs w:val="24"/>
          <w:lang w:val="en-US" w:eastAsia="zh-CN" w:bidi="ar-SA"/>
        </w:rPr>
        <w:t>法律法规</w:t>
      </w:r>
      <w:r>
        <w:rPr>
          <w:rStyle w:val="86"/>
          <w:rFonts w:hint="eastAsia" w:ascii="宋体" w:hAnsi="宋体" w:cs="宋体"/>
          <w:b w:val="0"/>
          <w:i w:val="0"/>
          <w:caps w:val="0"/>
          <w:spacing w:val="0"/>
          <w:w w:val="100"/>
          <w:kern w:val="2"/>
          <w:sz w:val="24"/>
          <w:szCs w:val="24"/>
          <w:lang w:val="en-US" w:eastAsia="zh-CN" w:bidi="ar-SA"/>
        </w:rPr>
        <w:t>并</w:t>
      </w:r>
      <w:r>
        <w:rPr>
          <w:rStyle w:val="86"/>
          <w:rFonts w:hint="eastAsia" w:ascii="宋体" w:hAnsi="宋体" w:eastAsia="宋体" w:cs="宋体"/>
          <w:b w:val="0"/>
          <w:i w:val="0"/>
          <w:caps w:val="0"/>
          <w:spacing w:val="0"/>
          <w:w w:val="100"/>
          <w:kern w:val="2"/>
          <w:sz w:val="24"/>
          <w:szCs w:val="24"/>
          <w:lang w:val="en-US" w:eastAsia="zh-CN" w:bidi="ar-SA"/>
        </w:rPr>
        <w:t>接受</w:t>
      </w:r>
      <w:r>
        <w:rPr>
          <w:rStyle w:val="86"/>
          <w:rFonts w:hint="eastAsia" w:ascii="宋体" w:hAnsi="宋体" w:cs="宋体"/>
          <w:b w:val="0"/>
          <w:i w:val="0"/>
          <w:caps w:val="0"/>
          <w:spacing w:val="0"/>
          <w:w w:val="100"/>
          <w:kern w:val="2"/>
          <w:sz w:val="24"/>
          <w:szCs w:val="24"/>
          <w:lang w:val="en-US" w:eastAsia="zh-CN" w:bidi="ar-SA"/>
        </w:rPr>
        <w:t>食品卫生、消防等主管部门的监督和指导，并自行承担相应的责任，如由此给甲方造</w:t>
      </w:r>
      <w:r>
        <w:rPr>
          <w:rStyle w:val="86"/>
          <w:rFonts w:hint="eastAsia" w:ascii="宋体" w:hAnsi="宋体" w:eastAsia="宋体" w:cs="宋体"/>
          <w:b w:val="0"/>
          <w:i w:val="0"/>
          <w:caps w:val="0"/>
          <w:spacing w:val="0"/>
          <w:w w:val="100"/>
          <w:kern w:val="2"/>
          <w:sz w:val="24"/>
          <w:szCs w:val="24"/>
          <w:lang w:val="en-US" w:eastAsia="zh-CN" w:bidi="ar-SA"/>
        </w:rPr>
        <w:t>成的损失，由乙方负责赔偿，同时甲方有权采取相应的处罚措施或解除合同。</w:t>
      </w:r>
    </w:p>
    <w:p w14:paraId="406F99FC">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eastAsia="宋体" w:cs="宋体"/>
          <w:b w:val="0"/>
          <w:i w:val="0"/>
          <w:caps w:val="0"/>
          <w:spacing w:val="0"/>
          <w:w w:val="100"/>
          <w:kern w:val="2"/>
          <w:sz w:val="24"/>
          <w:szCs w:val="24"/>
          <w:lang w:val="en-US" w:eastAsia="zh-CN" w:bidi="ar-SA"/>
        </w:rPr>
      </w:pPr>
      <w:r>
        <w:rPr>
          <w:rStyle w:val="86"/>
          <w:rFonts w:hint="eastAsia" w:ascii="宋体" w:hAnsi="宋体" w:eastAsia="宋体" w:cs="宋体"/>
          <w:b w:val="0"/>
          <w:i w:val="0"/>
          <w:caps w:val="0"/>
          <w:spacing w:val="0"/>
          <w:w w:val="100"/>
          <w:kern w:val="2"/>
          <w:sz w:val="24"/>
          <w:szCs w:val="24"/>
          <w:lang w:val="en-US" w:eastAsia="zh-CN" w:bidi="ar-SA"/>
        </w:rPr>
        <w:t>2</w:t>
      </w:r>
      <w:r>
        <w:rPr>
          <w:rStyle w:val="86"/>
          <w:rFonts w:hint="eastAsia" w:ascii="宋体" w:hAnsi="宋体" w:cs="宋体"/>
          <w:b w:val="0"/>
          <w:i w:val="0"/>
          <w:caps w:val="0"/>
          <w:spacing w:val="0"/>
          <w:w w:val="100"/>
          <w:kern w:val="2"/>
          <w:sz w:val="24"/>
          <w:szCs w:val="24"/>
          <w:lang w:val="en-US" w:eastAsia="zh-CN" w:bidi="ar-SA"/>
        </w:rPr>
        <w:t>.签订</w:t>
      </w:r>
      <w:r>
        <w:rPr>
          <w:rStyle w:val="86"/>
          <w:rFonts w:hint="eastAsia" w:ascii="宋体" w:hAnsi="宋体" w:eastAsia="宋体" w:cs="宋体"/>
          <w:b w:val="0"/>
          <w:i w:val="0"/>
          <w:caps w:val="0"/>
          <w:spacing w:val="0"/>
          <w:w w:val="100"/>
          <w:kern w:val="2"/>
          <w:sz w:val="24"/>
          <w:szCs w:val="24"/>
          <w:lang w:val="en-US" w:eastAsia="zh-CN" w:bidi="ar-SA"/>
        </w:rPr>
        <w:t>合同后</w:t>
      </w:r>
      <w:r>
        <w:rPr>
          <w:rStyle w:val="86"/>
          <w:rFonts w:hint="eastAsia" w:ascii="宋体" w:hAnsi="宋体" w:cs="宋体"/>
          <w:b w:val="0"/>
          <w:i w:val="0"/>
          <w:caps w:val="0"/>
          <w:spacing w:val="0"/>
          <w:w w:val="100"/>
          <w:kern w:val="2"/>
          <w:sz w:val="24"/>
          <w:szCs w:val="24"/>
          <w:lang w:val="en-US" w:eastAsia="zh-CN" w:bidi="ar-SA"/>
        </w:rPr>
        <w:t>，</w:t>
      </w:r>
      <w:r>
        <w:rPr>
          <w:rStyle w:val="86"/>
          <w:rFonts w:hint="eastAsia" w:ascii="宋体" w:hAnsi="宋体" w:eastAsia="宋体" w:cs="宋体"/>
          <w:b w:val="0"/>
          <w:i w:val="0"/>
          <w:caps w:val="0"/>
          <w:spacing w:val="0"/>
          <w:w w:val="100"/>
          <w:kern w:val="2"/>
          <w:sz w:val="24"/>
          <w:szCs w:val="24"/>
          <w:lang w:val="en-US" w:eastAsia="zh-CN" w:bidi="ar-SA"/>
        </w:rPr>
        <w:t>乙方</w:t>
      </w:r>
      <w:r>
        <w:rPr>
          <w:rStyle w:val="86"/>
          <w:rFonts w:hint="eastAsia" w:ascii="宋体" w:hAnsi="宋体" w:cs="宋体"/>
          <w:b w:val="0"/>
          <w:i w:val="0"/>
          <w:caps w:val="0"/>
          <w:spacing w:val="0"/>
          <w:w w:val="100"/>
          <w:kern w:val="2"/>
          <w:sz w:val="24"/>
          <w:szCs w:val="24"/>
          <w:lang w:val="en-US" w:eastAsia="zh-CN" w:bidi="ar-SA"/>
        </w:rPr>
        <w:t>须</w:t>
      </w:r>
      <w:r>
        <w:rPr>
          <w:rStyle w:val="86"/>
          <w:rFonts w:hint="eastAsia" w:ascii="宋体" w:hAnsi="宋体" w:eastAsia="宋体" w:cs="宋体"/>
          <w:b w:val="0"/>
          <w:i w:val="0"/>
          <w:caps w:val="0"/>
          <w:spacing w:val="0"/>
          <w:w w:val="100"/>
          <w:kern w:val="2"/>
          <w:sz w:val="24"/>
          <w:szCs w:val="24"/>
          <w:lang w:val="en-US" w:eastAsia="zh-CN" w:bidi="ar-SA"/>
        </w:rPr>
        <w:t>提交或办理营业执照、食品</w:t>
      </w:r>
      <w:r>
        <w:rPr>
          <w:rStyle w:val="86"/>
          <w:rFonts w:hint="eastAsia" w:ascii="宋体" w:hAnsi="宋体" w:cs="宋体"/>
          <w:b w:val="0"/>
          <w:i w:val="0"/>
          <w:caps w:val="0"/>
          <w:spacing w:val="0"/>
          <w:w w:val="100"/>
          <w:kern w:val="2"/>
          <w:sz w:val="24"/>
          <w:szCs w:val="24"/>
          <w:lang w:val="en-US" w:eastAsia="zh-CN" w:bidi="ar-SA"/>
        </w:rPr>
        <w:t>经营</w:t>
      </w:r>
      <w:r>
        <w:rPr>
          <w:rStyle w:val="86"/>
          <w:rFonts w:hint="eastAsia" w:ascii="宋体" w:hAnsi="宋体" w:eastAsia="宋体" w:cs="宋体"/>
          <w:b w:val="0"/>
          <w:i w:val="0"/>
          <w:caps w:val="0"/>
          <w:spacing w:val="0"/>
          <w:w w:val="100"/>
          <w:kern w:val="2"/>
          <w:sz w:val="24"/>
          <w:szCs w:val="24"/>
          <w:lang w:val="en-US" w:eastAsia="zh-CN" w:bidi="ar-SA"/>
        </w:rPr>
        <w:t>许可证、从业人员健康证等，办证费用由乙方承担。</w:t>
      </w:r>
      <w:r>
        <w:rPr>
          <w:rStyle w:val="86"/>
          <w:rFonts w:hint="eastAsia" w:ascii="宋体" w:hAnsi="宋体" w:cs="宋体"/>
          <w:b w:val="0"/>
          <w:i w:val="0"/>
          <w:caps w:val="0"/>
          <w:spacing w:val="0"/>
          <w:w w:val="100"/>
          <w:kern w:val="2"/>
          <w:sz w:val="24"/>
          <w:szCs w:val="24"/>
          <w:lang w:val="en-US" w:eastAsia="zh-CN" w:bidi="ar-SA"/>
        </w:rPr>
        <w:t>乙方每年为其员工体检一次，费用由乙方承担。</w:t>
      </w:r>
      <w:r>
        <w:rPr>
          <w:rStyle w:val="86"/>
          <w:rFonts w:hint="eastAsia" w:ascii="宋体" w:hAnsi="宋体" w:eastAsia="宋体" w:cs="宋体"/>
          <w:b w:val="0"/>
          <w:i w:val="0"/>
          <w:caps w:val="0"/>
          <w:spacing w:val="0"/>
          <w:w w:val="100"/>
          <w:kern w:val="2"/>
          <w:sz w:val="24"/>
          <w:szCs w:val="24"/>
          <w:lang w:val="en-US" w:eastAsia="zh-CN" w:bidi="ar-SA"/>
        </w:rPr>
        <w:t>乙方经营期间发生的一切税费或罚款均</w:t>
      </w:r>
      <w:r>
        <w:rPr>
          <w:rStyle w:val="86"/>
          <w:rFonts w:hint="eastAsia" w:ascii="宋体" w:hAnsi="宋体" w:cs="宋体"/>
          <w:b w:val="0"/>
          <w:i w:val="0"/>
          <w:caps w:val="0"/>
          <w:spacing w:val="0"/>
          <w:w w:val="100"/>
          <w:kern w:val="2"/>
          <w:sz w:val="24"/>
          <w:szCs w:val="24"/>
          <w:lang w:val="en-US" w:eastAsia="zh-CN" w:bidi="ar-SA"/>
        </w:rPr>
        <w:t>由</w:t>
      </w:r>
      <w:r>
        <w:rPr>
          <w:rStyle w:val="86"/>
          <w:rFonts w:hint="eastAsia" w:ascii="宋体" w:hAnsi="宋体" w:eastAsia="宋体" w:cs="宋体"/>
          <w:b w:val="0"/>
          <w:i w:val="0"/>
          <w:caps w:val="0"/>
          <w:spacing w:val="0"/>
          <w:w w:val="100"/>
          <w:kern w:val="2"/>
          <w:sz w:val="24"/>
          <w:szCs w:val="24"/>
          <w:lang w:val="en-US" w:eastAsia="zh-CN" w:bidi="ar-SA"/>
        </w:rPr>
        <w:t>乙方自行承担。</w:t>
      </w:r>
    </w:p>
    <w:p w14:paraId="6B32F22F">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eastAsia="宋体" w:cs="宋体"/>
          <w:b w:val="0"/>
          <w:i w:val="0"/>
          <w:caps w:val="0"/>
          <w:spacing w:val="0"/>
          <w:w w:val="100"/>
          <w:kern w:val="2"/>
          <w:sz w:val="24"/>
          <w:szCs w:val="24"/>
          <w:lang w:val="en-US" w:eastAsia="zh-CN" w:bidi="ar-SA"/>
        </w:rPr>
      </w:pPr>
      <w:r>
        <w:rPr>
          <w:rStyle w:val="86"/>
          <w:rFonts w:hint="eastAsia" w:ascii="宋体" w:hAnsi="宋体" w:eastAsia="宋体" w:cs="宋体"/>
          <w:b w:val="0"/>
          <w:i w:val="0"/>
          <w:caps w:val="0"/>
          <w:spacing w:val="0"/>
          <w:w w:val="100"/>
          <w:kern w:val="2"/>
          <w:sz w:val="24"/>
          <w:szCs w:val="24"/>
          <w:lang w:val="en-US" w:eastAsia="zh-CN" w:bidi="ar-SA"/>
        </w:rPr>
        <w:t>3</w:t>
      </w:r>
      <w:r>
        <w:rPr>
          <w:rStyle w:val="86"/>
          <w:rFonts w:hint="eastAsia" w:ascii="宋体" w:hAnsi="宋体" w:cs="宋体"/>
          <w:b w:val="0"/>
          <w:i w:val="0"/>
          <w:caps w:val="0"/>
          <w:spacing w:val="0"/>
          <w:w w:val="100"/>
          <w:kern w:val="2"/>
          <w:sz w:val="24"/>
          <w:szCs w:val="24"/>
          <w:lang w:val="en-US" w:eastAsia="zh-CN" w:bidi="ar-SA"/>
        </w:rPr>
        <w:t>.乙方在经营期间所发生的债权债务由乙方承担，甲方概不负责。</w:t>
      </w:r>
    </w:p>
    <w:p w14:paraId="5677A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sz w:val="24"/>
          <w:szCs w:val="24"/>
          <w:lang w:val="en-US" w:eastAsia="zh-CN"/>
        </w:rPr>
      </w:pPr>
      <w:r>
        <w:rPr>
          <w:rStyle w:val="86"/>
          <w:rFonts w:hint="eastAsia" w:ascii="宋体" w:hAnsi="宋体" w:cs="宋体"/>
          <w:b w:val="0"/>
          <w:i w:val="0"/>
          <w:caps w:val="0"/>
          <w:spacing w:val="0"/>
          <w:w w:val="100"/>
          <w:kern w:val="2"/>
          <w:sz w:val="24"/>
          <w:szCs w:val="24"/>
          <w:lang w:val="en-US" w:eastAsia="zh-CN" w:bidi="ar-SA"/>
        </w:rPr>
        <w:t>4.乙方自行负责招聘员工签订劳动合同，按照相关规定承担员工工资、社会保险等费用，</w:t>
      </w:r>
      <w:r>
        <w:rPr>
          <w:rFonts w:hint="eastAsia" w:ascii="宋体" w:hAnsi="宋体" w:eastAsia="宋体" w:cs="宋体"/>
          <w:kern w:val="2"/>
          <w:sz w:val="24"/>
          <w:szCs w:val="24"/>
          <w:lang w:val="en-US" w:eastAsia="zh-CN" w:bidi="ar"/>
        </w:rPr>
        <w:t>与甲方不存在任何雇佣、委托等劳动关系</w:t>
      </w:r>
      <w:r>
        <w:rPr>
          <w:rStyle w:val="86"/>
          <w:rFonts w:hint="eastAsia" w:ascii="宋体" w:hAnsi="宋体" w:cs="宋体"/>
          <w:b w:val="0"/>
          <w:i w:val="0"/>
          <w:caps w:val="0"/>
          <w:spacing w:val="0"/>
          <w:w w:val="100"/>
          <w:kern w:val="2"/>
          <w:sz w:val="24"/>
          <w:szCs w:val="24"/>
          <w:lang w:val="en-US" w:eastAsia="zh-CN" w:bidi="ar-SA"/>
        </w:rPr>
        <w:t>。</w:t>
      </w:r>
      <w:r>
        <w:rPr>
          <w:rFonts w:hint="eastAsia" w:ascii="宋体" w:hAnsi="宋体" w:eastAsia="宋体" w:cs="宋体"/>
          <w:kern w:val="2"/>
          <w:sz w:val="24"/>
          <w:szCs w:val="24"/>
          <w:lang w:val="en-US" w:eastAsia="zh-CN" w:bidi="ar"/>
        </w:rPr>
        <w:t>超市工作人员在工作过程中的安全责任由乙方负责。发生意外伤亡事故，乙方承担全部责任和必要的经济补偿。</w:t>
      </w:r>
    </w:p>
    <w:p w14:paraId="62D5F6F6">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eastAsia="宋体" w:cs="宋体"/>
          <w:b w:val="0"/>
          <w:i w:val="0"/>
          <w:caps w:val="0"/>
          <w:spacing w:val="0"/>
          <w:w w:val="100"/>
          <w:kern w:val="2"/>
          <w:sz w:val="24"/>
          <w:szCs w:val="24"/>
          <w:lang w:val="en-US" w:eastAsia="zh-CN" w:bidi="ar-SA"/>
        </w:rPr>
      </w:pPr>
      <w:r>
        <w:rPr>
          <w:rStyle w:val="86"/>
          <w:rFonts w:hint="eastAsia" w:ascii="宋体" w:hAnsi="宋体" w:cs="宋体"/>
          <w:b w:val="0"/>
          <w:i w:val="0"/>
          <w:caps w:val="0"/>
          <w:spacing w:val="0"/>
          <w:w w:val="100"/>
          <w:kern w:val="2"/>
          <w:sz w:val="24"/>
          <w:szCs w:val="24"/>
          <w:lang w:val="en-US" w:eastAsia="zh-CN" w:bidi="ar-SA"/>
        </w:rPr>
        <w:t>5.乙方</w:t>
      </w:r>
      <w:r>
        <w:rPr>
          <w:rStyle w:val="86"/>
          <w:rFonts w:hint="eastAsia" w:ascii="宋体" w:hAnsi="宋体" w:eastAsia="宋体" w:cs="宋体"/>
          <w:b w:val="0"/>
          <w:i w:val="0"/>
          <w:caps w:val="0"/>
          <w:spacing w:val="0"/>
          <w:w w:val="100"/>
          <w:kern w:val="2"/>
          <w:sz w:val="24"/>
          <w:szCs w:val="24"/>
          <w:lang w:val="en-US" w:eastAsia="zh-CN" w:bidi="ar-SA"/>
        </w:rPr>
        <w:t>应服从甲方规定的经营超市的时间安排。</w:t>
      </w:r>
    </w:p>
    <w:p w14:paraId="6745DF30">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eastAsia" w:ascii="宋体" w:hAnsi="宋体" w:eastAsia="宋体" w:cs="宋体"/>
          <w:b w:val="0"/>
          <w:i w:val="0"/>
          <w:caps w:val="0"/>
          <w:spacing w:val="0"/>
          <w:w w:val="100"/>
          <w:kern w:val="2"/>
          <w:sz w:val="24"/>
          <w:szCs w:val="24"/>
          <w:lang w:val="en-US" w:eastAsia="zh-CN" w:bidi="ar-SA"/>
        </w:rPr>
      </w:pPr>
      <w:r>
        <w:rPr>
          <w:rStyle w:val="86"/>
          <w:rFonts w:hint="eastAsia" w:ascii="宋体" w:hAnsi="宋体" w:cs="宋体"/>
          <w:b w:val="0"/>
          <w:i w:val="0"/>
          <w:caps w:val="0"/>
          <w:spacing w:val="0"/>
          <w:w w:val="100"/>
          <w:kern w:val="2"/>
          <w:sz w:val="24"/>
          <w:szCs w:val="24"/>
          <w:lang w:val="en-US" w:eastAsia="zh-CN" w:bidi="ar-SA"/>
        </w:rPr>
        <w:t>6.</w:t>
      </w:r>
      <w:r>
        <w:rPr>
          <w:rStyle w:val="86"/>
          <w:rFonts w:hint="eastAsia" w:ascii="宋体" w:hAnsi="宋体" w:eastAsia="宋体" w:cs="宋体"/>
          <w:b w:val="0"/>
          <w:i w:val="0"/>
          <w:caps w:val="0"/>
          <w:spacing w:val="0"/>
          <w:w w:val="100"/>
          <w:kern w:val="2"/>
          <w:sz w:val="24"/>
          <w:szCs w:val="24"/>
          <w:lang w:val="en-US" w:eastAsia="zh-CN" w:bidi="ar-SA"/>
        </w:rPr>
        <w:t>乙方应做好环境卫生、防火、治安、消防安全等工作。如果因乙方原因发生火灾等意外事故或造成甲方经济损失的，乙方应承担所有法律责任和赔偿甲方的经济损失，包括直接经济损失和间接经济损失。</w:t>
      </w:r>
    </w:p>
    <w:p w14:paraId="05A42944">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2" w:firstLineChars="200"/>
        <w:rPr>
          <w:rStyle w:val="86"/>
          <w:rFonts w:hint="eastAsia" w:ascii="宋体" w:hAnsi="宋体" w:eastAsia="宋体" w:cs="宋体"/>
          <w:b/>
          <w:bCs/>
          <w:sz w:val="24"/>
          <w:szCs w:val="24"/>
          <w:lang w:val="en-US" w:eastAsia="zh-CN"/>
        </w:rPr>
      </w:pPr>
      <w:r>
        <w:rPr>
          <w:rStyle w:val="86"/>
          <w:rFonts w:hint="eastAsia" w:ascii="宋体" w:hAnsi="宋体" w:cs="宋体"/>
          <w:b/>
          <w:bCs/>
          <w:sz w:val="24"/>
          <w:szCs w:val="24"/>
          <w:lang w:val="en-US" w:eastAsia="zh-CN"/>
        </w:rPr>
        <w:t>八</w:t>
      </w:r>
      <w:r>
        <w:rPr>
          <w:rStyle w:val="86"/>
          <w:rFonts w:hint="eastAsia" w:ascii="宋体" w:hAnsi="宋体" w:eastAsia="宋体" w:cs="宋体"/>
          <w:b/>
          <w:bCs/>
          <w:sz w:val="24"/>
          <w:szCs w:val="24"/>
          <w:lang w:val="en-US" w:eastAsia="zh-CN"/>
        </w:rPr>
        <w:t>、超市营业用房的装饰、装修</w:t>
      </w:r>
    </w:p>
    <w:p w14:paraId="2F730311">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eastAsia="宋体" w:cs="宋体"/>
          <w:sz w:val="24"/>
          <w:szCs w:val="24"/>
          <w:lang w:val="en-US" w:eastAsia="zh-CN"/>
        </w:rPr>
        <w:t>1</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除营业用房内已有装修和设施外，乙方如要对场所进行装饰或要求重新装修或变更原有设施的，应事先征得甲方的书面同意，费用由乙方承担。乙方在对该房屋进行装修、装饰的过程中，不得擅自改变该房屋的结构，不得影响甲方楼宇外立面形象。</w:t>
      </w:r>
    </w:p>
    <w:p w14:paraId="1E2A65CF">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eastAsia="宋体" w:cs="宋体"/>
          <w:sz w:val="24"/>
          <w:szCs w:val="24"/>
          <w:lang w:val="en-US" w:eastAsia="zh-CN"/>
        </w:rPr>
        <w:t>2</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乙方在经营期内有义务爱护并妥善保管场地，如发生经营场地损坏、损失等的，乙方应负责赔偿。</w:t>
      </w:r>
    </w:p>
    <w:p w14:paraId="040CEC1D">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2" w:firstLineChars="200"/>
        <w:rPr>
          <w:rStyle w:val="86"/>
          <w:rFonts w:hint="eastAsia" w:ascii="宋体" w:hAnsi="宋体" w:eastAsia="宋体" w:cs="宋体"/>
          <w:b/>
          <w:bCs/>
          <w:sz w:val="24"/>
          <w:szCs w:val="24"/>
          <w:lang w:val="en-US" w:eastAsia="zh-CN"/>
        </w:rPr>
      </w:pPr>
      <w:r>
        <w:rPr>
          <w:rStyle w:val="86"/>
          <w:rFonts w:hint="eastAsia" w:ascii="宋体" w:hAnsi="宋体" w:cs="宋体"/>
          <w:b/>
          <w:bCs/>
          <w:sz w:val="24"/>
          <w:szCs w:val="24"/>
          <w:lang w:val="en-US" w:eastAsia="zh-CN"/>
        </w:rPr>
        <w:t>九</w:t>
      </w:r>
      <w:r>
        <w:rPr>
          <w:rStyle w:val="86"/>
          <w:rFonts w:hint="eastAsia" w:ascii="宋体" w:hAnsi="宋体" w:eastAsia="宋体" w:cs="宋体"/>
          <w:b/>
          <w:bCs/>
          <w:sz w:val="24"/>
          <w:szCs w:val="24"/>
          <w:lang w:val="en-US" w:eastAsia="zh-CN"/>
        </w:rPr>
        <w:t>、合同期满或合同解除、终止后经营场地物品及装修的归属及返还</w:t>
      </w:r>
    </w:p>
    <w:p w14:paraId="64B0BF17">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eastAsia="宋体" w:cs="宋体"/>
          <w:sz w:val="24"/>
          <w:szCs w:val="24"/>
          <w:lang w:val="en-US" w:eastAsia="zh-CN"/>
        </w:rPr>
        <w:t>1</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合同期满或本合同解除、终止后，超市内除甲方的可移动物品由乙方自行拆除与处理，不可移动或者拆除会影响房屋结构或整体美观的，无偿归甲方所有，乙方不得要求甲方对装修部分予以补偿。</w:t>
      </w:r>
    </w:p>
    <w:p w14:paraId="3710D77B">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eastAsia="宋体" w:cs="宋体"/>
          <w:sz w:val="24"/>
          <w:szCs w:val="24"/>
          <w:lang w:val="en-US" w:eastAsia="zh-CN"/>
        </w:rPr>
        <w:t>2</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在合同期内，如乙方未经过甲方同意进行了装修或改造，则甲方有权要求恢复原状，若因此导致甲方损失，乙方还需另行赔偿。</w:t>
      </w:r>
    </w:p>
    <w:p w14:paraId="3B082824">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eastAsia="宋体" w:cs="宋体"/>
          <w:sz w:val="24"/>
          <w:szCs w:val="24"/>
          <w:lang w:val="en-US" w:eastAsia="zh-CN"/>
        </w:rPr>
        <w:t>3</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合同期满或本合同解除、终止后，乙方一周内搬离经营场所，并将经营场所按照出租时的原状交还甲方。</w:t>
      </w:r>
    </w:p>
    <w:p w14:paraId="2D477EE8">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eastAsia="宋体" w:cs="宋体"/>
          <w:sz w:val="24"/>
          <w:szCs w:val="24"/>
          <w:lang w:val="en-US" w:eastAsia="zh-CN"/>
        </w:rPr>
        <w:t>4</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乙方逾期搬离经营场所或将经营场所按照原状交还甲方的，甲方有权自行收回场所，乙方遗留在经营场所的物品视为废弃物，甲方有权清理、处置，且清理、处置费用由乙方承担。</w:t>
      </w:r>
    </w:p>
    <w:p w14:paraId="5F4221DD">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2" w:firstLineChars="200"/>
        <w:rPr>
          <w:rStyle w:val="86"/>
          <w:rFonts w:hint="eastAsia" w:ascii="宋体" w:hAnsi="宋体" w:eastAsia="宋体" w:cs="宋体"/>
          <w:b/>
          <w:bCs/>
          <w:sz w:val="24"/>
          <w:szCs w:val="24"/>
          <w:lang w:val="en-US" w:eastAsia="zh-CN"/>
        </w:rPr>
      </w:pPr>
      <w:r>
        <w:rPr>
          <w:rStyle w:val="86"/>
          <w:rFonts w:hint="eastAsia" w:ascii="宋体" w:hAnsi="宋体" w:cs="宋体"/>
          <w:b/>
          <w:bCs/>
          <w:sz w:val="24"/>
          <w:szCs w:val="24"/>
          <w:lang w:val="en-US" w:eastAsia="zh-CN"/>
        </w:rPr>
        <w:t>十</w:t>
      </w:r>
      <w:r>
        <w:rPr>
          <w:rStyle w:val="86"/>
          <w:rFonts w:hint="eastAsia" w:ascii="宋体" w:hAnsi="宋体" w:eastAsia="宋体" w:cs="宋体"/>
          <w:b/>
          <w:bCs/>
          <w:sz w:val="24"/>
          <w:szCs w:val="24"/>
          <w:lang w:val="en-US" w:eastAsia="zh-CN"/>
        </w:rPr>
        <w:t>、违约责任</w:t>
      </w:r>
    </w:p>
    <w:p w14:paraId="5602AEB3">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eastAsia="宋体" w:cs="宋体"/>
          <w:sz w:val="24"/>
          <w:szCs w:val="24"/>
          <w:lang w:val="en-US" w:eastAsia="zh-CN"/>
        </w:rPr>
        <w:t>1</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甲乙双方应积极履行本合同，如甲方无故违约终止本合同，则应依据本合同约定赔偿乙方装修投资费用、设备设施投资费用等及因此而造成的损失。如乙方无故终止本合同，因此产生的经济损失由乙方承担。</w:t>
      </w:r>
    </w:p>
    <w:p w14:paraId="582B200A">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cs="宋体"/>
          <w:sz w:val="24"/>
          <w:szCs w:val="24"/>
          <w:lang w:val="en-US" w:eastAsia="zh-CN"/>
        </w:rPr>
        <w:t>2.</w:t>
      </w:r>
      <w:r>
        <w:rPr>
          <w:rStyle w:val="86"/>
          <w:rFonts w:hint="eastAsia" w:ascii="宋体" w:hAnsi="宋体" w:eastAsia="宋体" w:cs="宋体"/>
          <w:sz w:val="24"/>
          <w:szCs w:val="24"/>
          <w:lang w:val="en-US" w:eastAsia="zh-CN"/>
        </w:rPr>
        <w:t>乙方在合同期内不得将超市转包给第三方，如乙方违反规定则视为乙方违约，承担相关违约责任。</w:t>
      </w:r>
    </w:p>
    <w:p w14:paraId="55F9B65C">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cs="宋体"/>
          <w:sz w:val="24"/>
          <w:szCs w:val="24"/>
          <w:lang w:val="en-US" w:eastAsia="zh-CN"/>
        </w:rPr>
      </w:pPr>
      <w:r>
        <w:rPr>
          <w:rStyle w:val="86"/>
          <w:rFonts w:hint="eastAsia" w:ascii="宋体" w:hAnsi="宋体" w:cs="宋体"/>
          <w:sz w:val="24"/>
          <w:szCs w:val="24"/>
          <w:lang w:val="en-US" w:eastAsia="zh-CN"/>
        </w:rPr>
        <w:t>3.乙方应为医院和病人提供优质的服务，如发生病人投诉乙方服务态度有问题或发生违反合同，或与投标文件不符的事情，一经查实，甲方将采取相应的处罚措施或解除合同。</w:t>
      </w:r>
    </w:p>
    <w:p w14:paraId="3454F9B0">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baseline"/>
        <w:rPr>
          <w:rStyle w:val="86"/>
          <w:rFonts w:hint="default" w:ascii="宋体" w:hAnsi="宋体" w:eastAsia="宋体" w:cs="宋体"/>
          <w:b w:val="0"/>
          <w:i w:val="0"/>
          <w:caps w:val="0"/>
          <w:spacing w:val="0"/>
          <w:w w:val="100"/>
          <w:kern w:val="2"/>
          <w:sz w:val="24"/>
          <w:szCs w:val="24"/>
          <w:lang w:val="en-US" w:eastAsia="zh-CN" w:bidi="ar-SA"/>
        </w:rPr>
      </w:pPr>
      <w:r>
        <w:rPr>
          <w:rStyle w:val="86"/>
          <w:rFonts w:hint="eastAsia" w:ascii="宋体" w:hAnsi="宋体" w:cs="宋体"/>
          <w:b w:val="0"/>
          <w:i w:val="0"/>
          <w:caps w:val="0"/>
          <w:spacing w:val="0"/>
          <w:w w:val="100"/>
          <w:kern w:val="2"/>
          <w:sz w:val="24"/>
          <w:szCs w:val="24"/>
          <w:lang w:val="en-US" w:eastAsia="zh-CN" w:bidi="ar-SA"/>
        </w:rPr>
        <w:t>4.甲方</w:t>
      </w:r>
      <w:r>
        <w:rPr>
          <w:rStyle w:val="86"/>
          <w:rFonts w:hint="eastAsia" w:ascii="宋体" w:hAnsi="宋体" w:eastAsia="宋体" w:cs="宋体"/>
          <w:b w:val="0"/>
          <w:i w:val="0"/>
          <w:caps w:val="0"/>
          <w:spacing w:val="0"/>
          <w:w w:val="100"/>
          <w:kern w:val="2"/>
          <w:sz w:val="24"/>
          <w:szCs w:val="24"/>
          <w:lang w:val="en-US" w:eastAsia="zh-CN" w:bidi="ar-SA"/>
        </w:rPr>
        <w:t>将定期抽查超市出售商品的价格，如发现一次高于市场价情况（包含各种渠道投诉、满意度调查等），将按</w:t>
      </w:r>
      <w:r>
        <w:rPr>
          <w:rStyle w:val="86"/>
          <w:rFonts w:hint="eastAsia" w:ascii="宋体" w:hAnsi="宋体" w:cs="宋体"/>
          <w:b w:val="0"/>
          <w:i w:val="0"/>
          <w:caps w:val="0"/>
          <w:spacing w:val="0"/>
          <w:w w:val="100"/>
          <w:kern w:val="2"/>
          <w:sz w:val="24"/>
          <w:szCs w:val="24"/>
          <w:lang w:val="en-US" w:eastAsia="zh-CN" w:bidi="ar-SA"/>
        </w:rPr>
        <w:t>承包费</w:t>
      </w:r>
      <w:r>
        <w:rPr>
          <w:rStyle w:val="86"/>
          <w:rFonts w:hint="eastAsia" w:ascii="宋体" w:hAnsi="宋体" w:eastAsia="宋体" w:cs="宋体"/>
          <w:b w:val="0"/>
          <w:i w:val="0"/>
          <w:caps w:val="0"/>
          <w:spacing w:val="0"/>
          <w:w w:val="100"/>
          <w:kern w:val="2"/>
          <w:sz w:val="24"/>
          <w:szCs w:val="24"/>
          <w:lang w:val="en-US" w:eastAsia="zh-CN" w:bidi="ar-SA"/>
        </w:rPr>
        <w:t>的2%进行处罚，罚款从履约保证金中扣除。在合同期限内（一年），发现商品价格高于市场价情况累计达5次，医院有权解除合同，且缴纳的</w:t>
      </w:r>
      <w:r>
        <w:rPr>
          <w:rStyle w:val="86"/>
          <w:rFonts w:hint="eastAsia" w:ascii="宋体" w:hAnsi="宋体" w:cs="宋体"/>
          <w:b w:val="0"/>
          <w:i w:val="0"/>
          <w:caps w:val="0"/>
          <w:spacing w:val="0"/>
          <w:w w:val="100"/>
          <w:kern w:val="2"/>
          <w:sz w:val="24"/>
          <w:szCs w:val="24"/>
          <w:lang w:val="en-US" w:eastAsia="zh-CN" w:bidi="ar-SA"/>
        </w:rPr>
        <w:t>承包费</w:t>
      </w:r>
      <w:r>
        <w:rPr>
          <w:rStyle w:val="86"/>
          <w:rFonts w:hint="eastAsia" w:ascii="宋体" w:hAnsi="宋体" w:eastAsia="宋体" w:cs="宋体"/>
          <w:b w:val="0"/>
          <w:i w:val="0"/>
          <w:caps w:val="0"/>
          <w:spacing w:val="0"/>
          <w:w w:val="100"/>
          <w:kern w:val="2"/>
          <w:sz w:val="24"/>
          <w:szCs w:val="24"/>
          <w:lang w:val="en-US" w:eastAsia="zh-CN" w:bidi="ar-SA"/>
        </w:rPr>
        <w:t>不再退还。</w:t>
      </w:r>
    </w:p>
    <w:p w14:paraId="61EE4464">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2" w:firstLineChars="200"/>
        <w:rPr>
          <w:rStyle w:val="86"/>
          <w:rFonts w:hint="eastAsia" w:ascii="宋体" w:hAnsi="宋体" w:eastAsia="宋体" w:cs="宋体"/>
          <w:b/>
          <w:bCs/>
          <w:sz w:val="24"/>
          <w:szCs w:val="24"/>
          <w:lang w:val="en-US" w:eastAsia="zh-CN"/>
        </w:rPr>
      </w:pPr>
      <w:r>
        <w:rPr>
          <w:rStyle w:val="86"/>
          <w:rFonts w:hint="eastAsia" w:ascii="宋体" w:hAnsi="宋体" w:eastAsia="宋体" w:cs="宋体"/>
          <w:b/>
          <w:bCs/>
          <w:sz w:val="24"/>
          <w:szCs w:val="24"/>
          <w:lang w:val="en-US" w:eastAsia="zh-CN"/>
        </w:rPr>
        <w:t>十</w:t>
      </w:r>
      <w:r>
        <w:rPr>
          <w:rStyle w:val="86"/>
          <w:rFonts w:hint="eastAsia" w:ascii="宋体" w:hAnsi="宋体" w:cs="宋体"/>
          <w:b/>
          <w:bCs/>
          <w:sz w:val="24"/>
          <w:szCs w:val="24"/>
          <w:lang w:val="en-US" w:eastAsia="zh-CN"/>
        </w:rPr>
        <w:t>一</w:t>
      </w:r>
      <w:r>
        <w:rPr>
          <w:rStyle w:val="86"/>
          <w:rFonts w:hint="eastAsia" w:ascii="宋体" w:hAnsi="宋体" w:eastAsia="宋体" w:cs="宋体"/>
          <w:b/>
          <w:bCs/>
          <w:sz w:val="24"/>
          <w:szCs w:val="24"/>
          <w:lang w:val="en-US" w:eastAsia="zh-CN"/>
        </w:rPr>
        <w:t>、其他条款</w:t>
      </w:r>
    </w:p>
    <w:p w14:paraId="61F5352E">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eastAsia="宋体" w:cs="宋体"/>
          <w:sz w:val="24"/>
          <w:szCs w:val="24"/>
          <w:lang w:val="en-US" w:eastAsia="zh-CN"/>
        </w:rPr>
        <w:t>1</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若遇自然灾害等不可抗力因素，造成双方财产损毁或部分损毁，损毁的财产双方互不承担责任；若因此造成本合同无法继续履行的，本合同即告终止，双方互不承担违约责任。</w:t>
      </w:r>
    </w:p>
    <w:p w14:paraId="1A95A4F1">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default"/>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因本合同履行过程中所产生的争议，双方应协商解决；协商不成时，任何一方均可向甲方所在地人民法院提起诉讼。</w:t>
      </w:r>
    </w:p>
    <w:p w14:paraId="341965CD">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hint="eastAsia" w:ascii="宋体" w:hAnsi="宋体" w:eastAsia="宋体" w:cs="宋体"/>
          <w:sz w:val="24"/>
          <w:szCs w:val="24"/>
          <w:lang w:val="en-US" w:eastAsia="zh-CN"/>
        </w:rPr>
      </w:pPr>
      <w:r>
        <w:rPr>
          <w:rStyle w:val="86"/>
          <w:rFonts w:hint="eastAsia" w:ascii="宋体" w:hAnsi="宋体" w:eastAsia="宋体" w:cs="宋体"/>
          <w:sz w:val="24"/>
          <w:szCs w:val="24"/>
          <w:lang w:val="en-US" w:eastAsia="zh-CN"/>
        </w:rPr>
        <w:t>3</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合同签订后，甲方制订的其它监管制度也一并适用于本合同。</w:t>
      </w:r>
    </w:p>
    <w:p w14:paraId="12596074">
      <w:pPr>
        <w:pStyle w:val="2"/>
        <w:keepNext w:val="0"/>
        <w:keepLines w:val="0"/>
        <w:pageBreakBefore w:val="0"/>
        <w:kinsoku/>
        <w:wordWrap/>
        <w:overflowPunct/>
        <w:topLinePunct w:val="0"/>
        <w:autoSpaceDE/>
        <w:autoSpaceDN/>
        <w:bidi w:val="0"/>
        <w:adjustRightInd/>
        <w:spacing w:after="0" w:afterLines="-2147483648" w:line="420" w:lineRule="exact"/>
        <w:ind w:left="0" w:leftChars="0" w:firstLine="480" w:firstLineChars="200"/>
        <w:rPr>
          <w:rStyle w:val="86"/>
          <w:rFonts w:ascii="Calibri" w:hAnsi="Calibri" w:eastAsia="宋体"/>
          <w:b w:val="0"/>
          <w:i w:val="0"/>
          <w:caps w:val="0"/>
          <w:spacing w:val="0"/>
          <w:w w:val="100"/>
          <w:kern w:val="2"/>
          <w:sz w:val="28"/>
          <w:szCs w:val="28"/>
          <w:lang w:val="en-US" w:eastAsia="zh-CN" w:bidi="ar-SA"/>
        </w:rPr>
      </w:pPr>
      <w:r>
        <w:rPr>
          <w:rStyle w:val="86"/>
          <w:rFonts w:hint="eastAsia" w:ascii="宋体" w:hAnsi="宋体" w:eastAsia="宋体" w:cs="宋体"/>
          <w:sz w:val="24"/>
          <w:szCs w:val="24"/>
          <w:lang w:val="en-US" w:eastAsia="zh-CN"/>
        </w:rPr>
        <w:t>4</w:t>
      </w:r>
      <w:r>
        <w:rPr>
          <w:rStyle w:val="86"/>
          <w:rFonts w:hint="eastAsia" w:ascii="宋体" w:hAnsi="宋体" w:cs="宋体"/>
          <w:sz w:val="24"/>
          <w:szCs w:val="24"/>
          <w:lang w:val="en-US" w:eastAsia="zh-CN"/>
        </w:rPr>
        <w:t>.</w:t>
      </w:r>
      <w:r>
        <w:rPr>
          <w:rStyle w:val="86"/>
          <w:rFonts w:hint="eastAsia" w:ascii="宋体" w:hAnsi="宋体" w:eastAsia="宋体" w:cs="宋体"/>
          <w:sz w:val="24"/>
          <w:szCs w:val="24"/>
          <w:lang w:val="en-US" w:eastAsia="zh-CN"/>
        </w:rPr>
        <w:t>本合同一式</w:t>
      </w:r>
      <w:r>
        <w:rPr>
          <w:rStyle w:val="86"/>
          <w:rFonts w:hint="eastAsia" w:ascii="宋体" w:hAnsi="宋体" w:cs="宋体"/>
          <w:sz w:val="24"/>
          <w:szCs w:val="24"/>
          <w:lang w:val="en-US" w:eastAsia="zh-CN"/>
        </w:rPr>
        <w:t>伍</w:t>
      </w:r>
      <w:r>
        <w:rPr>
          <w:rStyle w:val="86"/>
          <w:rFonts w:hint="eastAsia" w:ascii="宋体" w:hAnsi="宋体" w:eastAsia="宋体" w:cs="宋体"/>
          <w:sz w:val="24"/>
          <w:szCs w:val="24"/>
          <w:lang w:val="en-US" w:eastAsia="zh-CN"/>
        </w:rPr>
        <w:t>份，甲方执</w:t>
      </w:r>
      <w:r>
        <w:rPr>
          <w:rStyle w:val="86"/>
          <w:rFonts w:hint="eastAsia" w:ascii="宋体" w:hAnsi="宋体" w:cs="宋体"/>
          <w:sz w:val="24"/>
          <w:szCs w:val="24"/>
          <w:lang w:val="en-US" w:eastAsia="zh-CN"/>
        </w:rPr>
        <w:t>肆</w:t>
      </w:r>
      <w:r>
        <w:rPr>
          <w:rStyle w:val="86"/>
          <w:rFonts w:hint="eastAsia" w:ascii="宋体" w:hAnsi="宋体" w:eastAsia="宋体" w:cs="宋体"/>
          <w:sz w:val="24"/>
          <w:szCs w:val="24"/>
          <w:lang w:val="en-US" w:eastAsia="zh-CN"/>
        </w:rPr>
        <w:t>份，乙方执壹份，本合同自签字盖章之日起生效。</w:t>
      </w:r>
    </w:p>
    <w:p w14:paraId="0A3C05EE">
      <w:pPr>
        <w:snapToGrid/>
        <w:spacing w:before="0" w:beforeAutospacing="0" w:after="0" w:afterAutospacing="0" w:line="240" w:lineRule="auto"/>
        <w:jc w:val="both"/>
        <w:textAlignment w:val="baseline"/>
        <w:rPr>
          <w:rStyle w:val="86"/>
          <w:rFonts w:ascii="Calibri" w:hAnsi="Calibri" w:eastAsia="宋体"/>
          <w:b w:val="0"/>
          <w:i w:val="0"/>
          <w:caps w:val="0"/>
          <w:spacing w:val="0"/>
          <w:w w:val="100"/>
          <w:kern w:val="2"/>
          <w:sz w:val="28"/>
          <w:szCs w:val="28"/>
          <w:lang w:val="en-US" w:eastAsia="zh-CN" w:bidi="ar-SA"/>
        </w:rPr>
      </w:pPr>
    </w:p>
    <w:p w14:paraId="58761D83">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jc w:val="both"/>
        <w:textAlignment w:val="baseline"/>
        <w:rPr>
          <w:rStyle w:val="86"/>
          <w:rFonts w:hint="eastAsia" w:ascii="宋体" w:hAnsi="宋体" w:eastAsia="宋体" w:cs="宋体"/>
          <w:b w:val="0"/>
          <w:i w:val="0"/>
          <w:caps w:val="0"/>
          <w:spacing w:val="0"/>
          <w:w w:val="100"/>
          <w:kern w:val="2"/>
          <w:sz w:val="24"/>
          <w:szCs w:val="24"/>
          <w:lang w:val="en-US" w:eastAsia="zh-CN" w:bidi="ar-SA"/>
        </w:rPr>
      </w:pPr>
      <w:r>
        <w:rPr>
          <w:rStyle w:val="86"/>
          <w:rFonts w:ascii="Calibri" w:hAnsi="Calibri" w:eastAsia="宋体"/>
          <w:b w:val="0"/>
          <w:i w:val="0"/>
          <w:caps w:val="0"/>
          <w:spacing w:val="0"/>
          <w:w w:val="100"/>
          <w:kern w:val="2"/>
          <w:sz w:val="24"/>
          <w:szCs w:val="24"/>
          <w:lang w:val="en-US" w:eastAsia="zh-CN" w:bidi="ar-SA"/>
        </w:rPr>
        <w:t xml:space="preserve">甲方：            </w:t>
      </w:r>
      <w:r>
        <w:rPr>
          <w:rStyle w:val="86"/>
          <w:rFonts w:hint="eastAsia"/>
          <w:b w:val="0"/>
          <w:i w:val="0"/>
          <w:caps w:val="0"/>
          <w:spacing w:val="0"/>
          <w:w w:val="100"/>
          <w:kern w:val="2"/>
          <w:sz w:val="24"/>
          <w:szCs w:val="24"/>
          <w:lang w:val="en-US" w:eastAsia="zh-CN" w:bidi="ar-SA"/>
        </w:rPr>
        <w:t xml:space="preserve">                  </w:t>
      </w:r>
      <w:r>
        <w:rPr>
          <w:rStyle w:val="86"/>
          <w:rFonts w:ascii="Calibri" w:hAnsi="Calibri" w:eastAsia="宋体"/>
          <w:b w:val="0"/>
          <w:i w:val="0"/>
          <w:caps w:val="0"/>
          <w:spacing w:val="0"/>
          <w:w w:val="100"/>
          <w:kern w:val="2"/>
          <w:sz w:val="24"/>
          <w:szCs w:val="24"/>
          <w:lang w:val="en-US" w:eastAsia="zh-CN" w:bidi="ar-SA"/>
        </w:rPr>
        <w:t>乙方：</w:t>
      </w:r>
    </w:p>
    <w:p w14:paraId="729E3B4F">
      <w:pPr>
        <w:snapToGrid/>
        <w:spacing w:before="0" w:beforeAutospacing="0" w:after="0" w:afterAutospacing="0" w:line="240" w:lineRule="auto"/>
        <w:jc w:val="both"/>
        <w:textAlignment w:val="baseline"/>
        <w:rPr>
          <w:rFonts w:hint="default"/>
          <w:lang w:val="en-US" w:eastAsia="zh-CN"/>
        </w:rPr>
      </w:pPr>
      <w:r>
        <w:rPr>
          <w:rStyle w:val="86"/>
          <w:rFonts w:hint="eastAsia"/>
          <w:b w:val="0"/>
          <w:i w:val="0"/>
          <w:caps w:val="0"/>
          <w:spacing w:val="0"/>
          <w:w w:val="100"/>
          <w:kern w:val="2"/>
          <w:sz w:val="24"/>
          <w:szCs w:val="24"/>
          <w:lang w:val="en-US" w:eastAsia="zh-CN" w:bidi="ar-SA"/>
        </w:rPr>
        <w:t xml:space="preserve"> </w:t>
      </w:r>
    </w:p>
    <w:p w14:paraId="58849CBE">
      <w:pPr>
        <w:snapToGrid/>
        <w:spacing w:before="0" w:beforeAutospacing="0" w:after="0" w:afterAutospacing="0" w:line="240" w:lineRule="auto"/>
        <w:jc w:val="both"/>
        <w:textAlignment w:val="baseline"/>
        <w:rPr>
          <w:rStyle w:val="86"/>
          <w:rFonts w:ascii="Calibri" w:hAnsi="Calibri" w:eastAsia="宋体"/>
          <w:b w:val="0"/>
          <w:i w:val="0"/>
          <w:caps w:val="0"/>
          <w:spacing w:val="0"/>
          <w:w w:val="100"/>
          <w:kern w:val="2"/>
          <w:sz w:val="24"/>
          <w:szCs w:val="24"/>
          <w:lang w:val="en-US" w:eastAsia="zh-CN" w:bidi="ar-SA"/>
        </w:rPr>
      </w:pPr>
    </w:p>
    <w:p w14:paraId="0DACC301">
      <w:pPr>
        <w:snapToGrid/>
        <w:spacing w:before="0" w:beforeAutospacing="0" w:after="0" w:afterAutospacing="0" w:line="240" w:lineRule="auto"/>
        <w:jc w:val="both"/>
        <w:textAlignment w:val="baseline"/>
        <w:rPr>
          <w:rStyle w:val="86"/>
          <w:rFonts w:ascii="Calibri" w:hAnsi="Calibri" w:eastAsia="宋体"/>
          <w:b w:val="0"/>
          <w:i w:val="0"/>
          <w:caps w:val="0"/>
          <w:spacing w:val="0"/>
          <w:w w:val="100"/>
          <w:kern w:val="2"/>
          <w:sz w:val="24"/>
          <w:szCs w:val="24"/>
          <w:lang w:val="en-US" w:eastAsia="zh-CN" w:bidi="ar-SA"/>
        </w:rPr>
      </w:pPr>
    </w:p>
    <w:p w14:paraId="34AE2102">
      <w:pPr>
        <w:keepNext w:val="0"/>
        <w:keepLines w:val="0"/>
        <w:widowControl w:val="0"/>
        <w:suppressLineNumbers w:val="0"/>
        <w:spacing w:before="0" w:beforeAutospacing="0" w:after="0" w:afterAutospacing="0" w:line="440" w:lineRule="exact"/>
        <w:ind w:right="0"/>
        <w:jc w:val="both"/>
        <w:rPr>
          <w:rFonts w:hint="eastAsia"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甲方</w:t>
      </w:r>
      <w:r>
        <w:rPr>
          <w:rFonts w:hint="eastAsia" w:ascii="宋体" w:hAnsi="宋体" w:eastAsia="宋体" w:cs="宋体"/>
          <w:kern w:val="2"/>
          <w:sz w:val="24"/>
          <w:szCs w:val="24"/>
          <w:lang w:val="en-US" w:eastAsia="zh-CN" w:bidi="ar"/>
        </w:rPr>
        <w:t>代表</w:t>
      </w:r>
      <w:r>
        <w:rPr>
          <w:rFonts w:hint="eastAsia" w:ascii="宋体" w:hAnsi="宋体" w:cs="宋体"/>
          <w:kern w:val="2"/>
          <w:sz w:val="24"/>
          <w:szCs w:val="24"/>
          <w:lang w:val="en-US" w:eastAsia="zh-CN" w:bidi="ar"/>
        </w:rPr>
        <w:t>：</w:t>
      </w:r>
      <w:r>
        <w:rPr>
          <w:rFonts w:hint="eastAsia" w:ascii="宋体" w:hAnsi="宋体" w:eastAsia="宋体" w:cs="宋体"/>
          <w:kern w:val="2"/>
          <w:sz w:val="24"/>
          <w:szCs w:val="24"/>
          <w:lang w:val="en-US" w:eastAsia="zh-CN" w:bidi="ar"/>
        </w:rPr>
        <w:t xml:space="preserve">                </w:t>
      </w:r>
      <w:r>
        <w:rPr>
          <w:rFonts w:hint="eastAsia" w:ascii="宋体" w:hAnsi="宋体" w:cs="宋体"/>
          <w:kern w:val="2"/>
          <w:sz w:val="24"/>
          <w:szCs w:val="24"/>
          <w:lang w:val="en-US" w:eastAsia="zh-CN" w:bidi="ar"/>
        </w:rPr>
        <w:t xml:space="preserve">          乙方</w:t>
      </w:r>
      <w:r>
        <w:rPr>
          <w:rFonts w:hint="eastAsia" w:ascii="宋体" w:hAnsi="宋体" w:eastAsia="宋体" w:cs="宋体"/>
          <w:kern w:val="2"/>
          <w:sz w:val="24"/>
          <w:szCs w:val="24"/>
          <w:lang w:val="en-US" w:eastAsia="zh-CN" w:bidi="ar"/>
        </w:rPr>
        <w:t>代表</w:t>
      </w:r>
      <w:r>
        <w:rPr>
          <w:rFonts w:hint="eastAsia" w:ascii="宋体" w:hAnsi="宋体" w:cs="宋体"/>
          <w:kern w:val="2"/>
          <w:sz w:val="24"/>
          <w:szCs w:val="24"/>
          <w:lang w:val="en-US" w:eastAsia="zh-CN" w:bidi="ar"/>
        </w:rPr>
        <w:t>：</w:t>
      </w:r>
    </w:p>
    <w:p w14:paraId="440BA1E4">
      <w:pPr>
        <w:widowControl/>
        <w:wordWrap w:val="0"/>
        <w:spacing w:line="319" w:lineRule="exact"/>
        <w:ind w:firstLine="480" w:firstLineChars="200"/>
        <w:jc w:val="left"/>
        <w:rPr>
          <w:rFonts w:hint="eastAsia" w:ascii="宋体" w:hAnsi="宋体" w:cs="宋体"/>
          <w:kern w:val="0"/>
          <w:sz w:val="24"/>
          <w:lang w:val="en-US" w:eastAsia="zh-CN"/>
        </w:rPr>
      </w:pPr>
    </w:p>
    <w:p w14:paraId="6CE8ABB7">
      <w:pPr>
        <w:widowControl/>
        <w:wordWrap w:val="0"/>
        <w:spacing w:line="319" w:lineRule="exact"/>
        <w:ind w:firstLine="480" w:firstLineChars="200"/>
        <w:jc w:val="left"/>
        <w:rPr>
          <w:rFonts w:hint="eastAsia" w:ascii="宋体" w:hAnsi="宋体" w:cs="宋体"/>
          <w:kern w:val="0"/>
          <w:sz w:val="24"/>
        </w:rPr>
      </w:pPr>
    </w:p>
    <w:p w14:paraId="1B0240F1">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s="宋体"/>
          <w:kern w:val="0"/>
          <w:sz w:val="24"/>
          <w:lang w:val="en-US" w:eastAsia="zh-CN"/>
        </w:rPr>
        <w:t xml:space="preserve">       年    月    日                        年    月    日</w:t>
      </w:r>
    </w:p>
    <w:p w14:paraId="6DC651EB">
      <w:pPr>
        <w:rPr>
          <w:color w:val="000000" w:themeColor="text1"/>
          <w:sz w:val="32"/>
          <w:szCs w:val="32"/>
          <w:highlight w:val="none"/>
          <w14:textFill>
            <w14:solidFill>
              <w14:schemeClr w14:val="tx1"/>
            </w14:solidFill>
          </w14:textFill>
        </w:rPr>
      </w:pPr>
    </w:p>
    <w:p w14:paraId="7A3FD7B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7E0A1038">
      <w:pPr>
        <w:pStyle w:val="31"/>
        <w:rPr>
          <w:color w:val="000000" w:themeColor="text1"/>
          <w:highlight w:val="none"/>
          <w14:textFill>
            <w14:solidFill>
              <w14:schemeClr w14:val="tx1"/>
            </w14:solidFill>
          </w14:textFill>
        </w:rPr>
      </w:pPr>
    </w:p>
    <w:p w14:paraId="285C43CD">
      <w:pPr>
        <w:pStyle w:val="3"/>
        <w:jc w:val="center"/>
        <w:rPr>
          <w:rFonts w:ascii="宋体" w:hAnsi="宋体" w:cs="宋体"/>
          <w:color w:val="000000" w:themeColor="text1"/>
          <w:kern w:val="0"/>
          <w:highlight w:val="none"/>
          <w14:textFill>
            <w14:solidFill>
              <w14:schemeClr w14:val="tx1"/>
            </w14:solidFill>
          </w14:textFill>
        </w:rPr>
      </w:pPr>
      <w:bookmarkStart w:id="49" w:name="_Toc5963"/>
      <w:r>
        <w:rPr>
          <w:rFonts w:hint="eastAsia"/>
          <w:color w:val="000000" w:themeColor="text1"/>
          <w:sz w:val="32"/>
          <w:szCs w:val="32"/>
          <w:highlight w:val="none"/>
          <w14:textFill>
            <w14:solidFill>
              <w14:schemeClr w14:val="tx1"/>
            </w14:solidFill>
          </w14:textFill>
        </w:rPr>
        <w:t>第六章  投标文件格式</w:t>
      </w:r>
      <w:bookmarkEnd w:id="44"/>
      <w:bookmarkEnd w:id="45"/>
      <w:bookmarkEnd w:id="49"/>
    </w:p>
    <w:p w14:paraId="2291DDC2">
      <w:pPr>
        <w:spacing w:line="440" w:lineRule="exact"/>
        <w:rPr>
          <w:color w:val="000000" w:themeColor="text1"/>
          <w:sz w:val="24"/>
          <w:highlight w:val="none"/>
          <w14:textFill>
            <w14:solidFill>
              <w14:schemeClr w14:val="tx1"/>
            </w14:solidFill>
          </w14:textFill>
        </w:rPr>
      </w:pPr>
    </w:p>
    <w:p w14:paraId="6A4A095E">
      <w:pPr>
        <w:jc w:val="center"/>
        <w:rPr>
          <w:b/>
          <w:bCs/>
          <w:color w:val="000000" w:themeColor="text1"/>
          <w:sz w:val="32"/>
          <w:szCs w:val="32"/>
          <w:highlight w:val="none"/>
          <w14:textFill>
            <w14:solidFill>
              <w14:schemeClr w14:val="tx1"/>
            </w14:solidFill>
          </w14:textFill>
        </w:rPr>
      </w:pPr>
      <w:bookmarkStart w:id="50" w:name="_Toc13604"/>
      <w:r>
        <w:rPr>
          <w:rFonts w:hint="eastAsia"/>
          <w:b/>
          <w:bCs/>
          <w:color w:val="000000" w:themeColor="text1"/>
          <w:sz w:val="32"/>
          <w:szCs w:val="32"/>
          <w:highlight w:val="none"/>
          <w14:textFill>
            <w14:solidFill>
              <w14:schemeClr w14:val="tx1"/>
            </w14:solidFill>
          </w14:textFill>
        </w:rPr>
        <w:t>目    录</w:t>
      </w:r>
      <w:bookmarkEnd w:id="50"/>
    </w:p>
    <w:p w14:paraId="6FEE6868">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101ED537">
      <w:pPr>
        <w:snapToGrid w:val="0"/>
        <w:spacing w:line="360" w:lineRule="auto"/>
        <w:ind w:firstLine="480" w:firstLineChars="200"/>
        <w:rPr>
          <w:color w:val="000000" w:themeColor="text1"/>
          <w:sz w:val="24"/>
          <w:highlight w:val="none"/>
          <w14:textFill>
            <w14:solidFill>
              <w14:schemeClr w14:val="tx1"/>
            </w14:solidFill>
          </w14:textFill>
        </w:rPr>
      </w:pPr>
      <w:bookmarkStart w:id="51" w:name="_Toc11308"/>
      <w:r>
        <w:rPr>
          <w:rFonts w:hint="eastAsia"/>
          <w:color w:val="000000" w:themeColor="text1"/>
          <w:sz w:val="24"/>
          <w:highlight w:val="none"/>
          <w14:textFill>
            <w14:solidFill>
              <w14:schemeClr w14:val="tx1"/>
            </w14:solidFill>
          </w14:textFill>
        </w:rPr>
        <w:t>附件1投标文件封面（格式）</w:t>
      </w:r>
      <w:bookmarkEnd w:id="51"/>
    </w:p>
    <w:p w14:paraId="48CDE64D">
      <w:pPr>
        <w:snapToGrid w:val="0"/>
        <w:spacing w:line="360" w:lineRule="auto"/>
        <w:ind w:firstLine="480" w:firstLineChars="200"/>
        <w:rPr>
          <w:color w:val="000000" w:themeColor="text1"/>
          <w:sz w:val="24"/>
          <w:highlight w:val="none"/>
          <w14:textFill>
            <w14:solidFill>
              <w14:schemeClr w14:val="tx1"/>
            </w14:solidFill>
          </w14:textFill>
        </w:rPr>
      </w:pPr>
      <w:bookmarkStart w:id="52" w:name="_Toc25345"/>
      <w:r>
        <w:rPr>
          <w:rFonts w:hint="eastAsia"/>
          <w:color w:val="000000" w:themeColor="text1"/>
          <w:sz w:val="24"/>
          <w:highlight w:val="none"/>
          <w14:textFill>
            <w14:solidFill>
              <w14:schemeClr w14:val="tx1"/>
            </w14:solidFill>
          </w14:textFill>
        </w:rPr>
        <w:t>附件2 投标书（格式）</w:t>
      </w:r>
      <w:bookmarkEnd w:id="52"/>
    </w:p>
    <w:p w14:paraId="4DE16ACB">
      <w:pPr>
        <w:snapToGrid w:val="0"/>
        <w:spacing w:line="360" w:lineRule="auto"/>
        <w:ind w:firstLine="480" w:firstLineChars="200"/>
        <w:rPr>
          <w:color w:val="000000" w:themeColor="text1"/>
          <w:sz w:val="24"/>
          <w:highlight w:val="none"/>
          <w14:textFill>
            <w14:solidFill>
              <w14:schemeClr w14:val="tx1"/>
            </w14:solidFill>
          </w14:textFill>
        </w:rPr>
      </w:pPr>
      <w:bookmarkStart w:id="53" w:name="_Toc10217"/>
      <w:r>
        <w:rPr>
          <w:rFonts w:hint="eastAsia"/>
          <w:color w:val="000000" w:themeColor="text1"/>
          <w:sz w:val="24"/>
          <w:highlight w:val="none"/>
          <w14:textFill>
            <w14:solidFill>
              <w14:schemeClr w14:val="tx1"/>
            </w14:solidFill>
          </w14:textFill>
        </w:rPr>
        <w:t>附件3 开标一览表（格式）</w:t>
      </w:r>
      <w:bookmarkEnd w:id="53"/>
    </w:p>
    <w:p w14:paraId="692BCA6D">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4" w:name="_Toc9579"/>
      <w:r>
        <w:rPr>
          <w:rFonts w:hint="eastAsia"/>
          <w:color w:val="000000" w:themeColor="text1"/>
          <w:sz w:val="24"/>
          <w:highlight w:val="none"/>
          <w14:textFill>
            <w14:solidFill>
              <w14:schemeClr w14:val="tx1"/>
            </w14:solidFill>
          </w14:textFill>
        </w:rPr>
        <w:t xml:space="preserve">附件4 </w:t>
      </w:r>
      <w:bookmarkEnd w:id="54"/>
      <w:r>
        <w:rPr>
          <w:rFonts w:hint="eastAsia"/>
          <w:color w:val="000000" w:themeColor="text1"/>
          <w:sz w:val="24"/>
          <w:highlight w:val="none"/>
          <w:lang w:val="en-US" w:eastAsia="zh-CN"/>
          <w14:textFill>
            <w14:solidFill>
              <w14:schemeClr w14:val="tx1"/>
            </w14:solidFill>
          </w14:textFill>
        </w:rPr>
        <w:t>报价明细表（格式）</w:t>
      </w:r>
    </w:p>
    <w:p w14:paraId="160D8C61">
      <w:pPr>
        <w:snapToGrid w:val="0"/>
        <w:spacing w:line="360" w:lineRule="auto"/>
        <w:ind w:firstLine="480" w:firstLineChars="200"/>
        <w:rPr>
          <w:rFonts w:hint="default"/>
          <w:color w:val="000000" w:themeColor="text1"/>
          <w:sz w:val="24"/>
          <w:highlight w:val="none"/>
          <w:lang w:val="en-US"/>
          <w14:textFill>
            <w14:solidFill>
              <w14:schemeClr w14:val="tx1"/>
            </w14:solidFill>
          </w14:textFill>
        </w:rPr>
      </w:pPr>
      <w:bookmarkStart w:id="55" w:name="_Toc28392"/>
      <w:r>
        <w:rPr>
          <w:rFonts w:hint="eastAsia"/>
          <w:color w:val="000000" w:themeColor="text1"/>
          <w:sz w:val="24"/>
          <w:highlight w:val="none"/>
          <w14:textFill>
            <w14:solidFill>
              <w14:schemeClr w14:val="tx1"/>
            </w14:solidFill>
          </w14:textFill>
        </w:rPr>
        <w:t>附件5</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技术</w:t>
      </w:r>
      <w:r>
        <w:rPr>
          <w:rFonts w:hint="eastAsia"/>
          <w:color w:val="000000" w:themeColor="text1"/>
          <w:sz w:val="24"/>
          <w:highlight w:val="none"/>
          <w:lang w:val="en-US" w:eastAsia="zh-CN"/>
          <w14:textFill>
            <w14:solidFill>
              <w14:schemeClr w14:val="tx1"/>
            </w14:solidFill>
          </w14:textFill>
        </w:rPr>
        <w:t>响应</w:t>
      </w:r>
      <w:bookmarkEnd w:id="55"/>
      <w:r>
        <w:rPr>
          <w:rFonts w:hint="eastAsia"/>
          <w:color w:val="000000" w:themeColor="text1"/>
          <w:sz w:val="24"/>
          <w:highlight w:val="none"/>
          <w:lang w:val="en-US" w:eastAsia="zh-CN"/>
          <w14:textFill>
            <w14:solidFill>
              <w14:schemeClr w14:val="tx1"/>
            </w14:solidFill>
          </w14:textFill>
        </w:rPr>
        <w:t>表（格式）</w:t>
      </w:r>
    </w:p>
    <w:p w14:paraId="1A66A025">
      <w:pPr>
        <w:snapToGrid w:val="0"/>
        <w:spacing w:line="360" w:lineRule="auto"/>
        <w:ind w:firstLine="480" w:firstLineChars="200"/>
        <w:rPr>
          <w:rFonts w:hint="default" w:eastAsia="宋体"/>
          <w:color w:val="000000" w:themeColor="text1"/>
          <w:sz w:val="24"/>
          <w:highlight w:val="none"/>
          <w:lang w:val="en-US" w:eastAsia="zh-CN"/>
          <w14:textFill>
            <w14:solidFill>
              <w14:schemeClr w14:val="tx1"/>
            </w14:solidFill>
          </w14:textFill>
        </w:rPr>
      </w:pPr>
      <w:bookmarkStart w:id="56" w:name="_Toc6234"/>
      <w:r>
        <w:rPr>
          <w:rFonts w:hint="eastAsia"/>
          <w:color w:val="000000" w:themeColor="text1"/>
          <w:sz w:val="24"/>
          <w:highlight w:val="none"/>
          <w14:textFill>
            <w14:solidFill>
              <w14:schemeClr w14:val="tx1"/>
            </w14:solidFill>
          </w14:textFill>
        </w:rPr>
        <w:t>附件6 商务</w:t>
      </w:r>
      <w:bookmarkEnd w:id="56"/>
      <w:r>
        <w:rPr>
          <w:rFonts w:hint="eastAsia"/>
          <w:color w:val="000000" w:themeColor="text1"/>
          <w:sz w:val="24"/>
          <w:highlight w:val="none"/>
          <w:lang w:val="en-US" w:eastAsia="zh-CN"/>
          <w14:textFill>
            <w14:solidFill>
              <w14:schemeClr w14:val="tx1"/>
            </w14:solidFill>
          </w14:textFill>
        </w:rPr>
        <w:t>响应</w:t>
      </w:r>
    </w:p>
    <w:p w14:paraId="383569DF">
      <w:pPr>
        <w:snapToGrid w:val="0"/>
        <w:spacing w:line="360" w:lineRule="auto"/>
        <w:ind w:firstLine="480" w:firstLineChars="200"/>
        <w:rPr>
          <w:color w:val="000000" w:themeColor="text1"/>
          <w:sz w:val="24"/>
          <w:highlight w:val="none"/>
          <w14:textFill>
            <w14:solidFill>
              <w14:schemeClr w14:val="tx1"/>
            </w14:solidFill>
          </w14:textFill>
        </w:rPr>
      </w:pPr>
      <w:bookmarkStart w:id="57" w:name="_Toc26231"/>
      <w:r>
        <w:rPr>
          <w:rFonts w:hint="eastAsia"/>
          <w:color w:val="000000" w:themeColor="text1"/>
          <w:sz w:val="24"/>
          <w:highlight w:val="none"/>
          <w14:textFill>
            <w14:solidFill>
              <w14:schemeClr w14:val="tx1"/>
            </w14:solidFill>
          </w14:textFill>
        </w:rPr>
        <w:t>附件7</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法定代表人身份证明（格式）</w:t>
      </w:r>
      <w:bookmarkEnd w:id="57"/>
    </w:p>
    <w:p w14:paraId="6B595DA4">
      <w:pPr>
        <w:snapToGrid w:val="0"/>
        <w:spacing w:line="360" w:lineRule="auto"/>
        <w:ind w:firstLine="480" w:firstLineChars="200"/>
        <w:rPr>
          <w:color w:val="000000" w:themeColor="text1"/>
          <w:sz w:val="24"/>
          <w:highlight w:val="none"/>
          <w14:textFill>
            <w14:solidFill>
              <w14:schemeClr w14:val="tx1"/>
            </w14:solidFill>
          </w14:textFill>
        </w:rPr>
      </w:pPr>
      <w:bookmarkStart w:id="58" w:name="_Toc18484"/>
      <w:r>
        <w:rPr>
          <w:rFonts w:hint="eastAsia"/>
          <w:color w:val="000000" w:themeColor="text1"/>
          <w:sz w:val="24"/>
          <w:highlight w:val="none"/>
          <w14:textFill>
            <w14:solidFill>
              <w14:schemeClr w14:val="tx1"/>
            </w14:solidFill>
          </w14:textFill>
        </w:rPr>
        <w:t>附件8</w:t>
      </w:r>
      <w:r>
        <w:rPr>
          <w:rFonts w:hint="eastAsia"/>
          <w:color w:val="000000" w:themeColor="text1"/>
          <w:sz w:val="24"/>
          <w:highlight w:val="none"/>
          <w:lang w:val="en-US" w:eastAsia="zh-CN"/>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法定代表人授权书（格式）</w:t>
      </w:r>
      <w:bookmarkEnd w:id="58"/>
    </w:p>
    <w:p w14:paraId="6D857FF6">
      <w:pPr>
        <w:snapToGrid w:val="0"/>
        <w:spacing w:line="360" w:lineRule="auto"/>
        <w:ind w:firstLine="480" w:firstLineChars="200"/>
        <w:rPr>
          <w:color w:val="000000" w:themeColor="text1"/>
          <w:sz w:val="24"/>
          <w:highlight w:val="none"/>
          <w14:textFill>
            <w14:solidFill>
              <w14:schemeClr w14:val="tx1"/>
            </w14:solidFill>
          </w14:textFill>
        </w:rPr>
      </w:pPr>
      <w:bookmarkStart w:id="59" w:name="_Toc31857"/>
      <w:r>
        <w:rPr>
          <w:rFonts w:hint="eastAsia"/>
          <w:color w:val="000000" w:themeColor="text1"/>
          <w:sz w:val="24"/>
          <w:highlight w:val="none"/>
          <w14:textFill>
            <w14:solidFill>
              <w14:schemeClr w14:val="tx1"/>
            </w14:solidFill>
          </w14:textFill>
        </w:rPr>
        <w:t>附件9 证明文件</w:t>
      </w:r>
      <w:bookmarkEnd w:id="59"/>
    </w:p>
    <w:p w14:paraId="6898C3D0">
      <w:pPr>
        <w:snapToGrid w:val="0"/>
        <w:spacing w:line="360" w:lineRule="auto"/>
        <w:ind w:firstLine="480" w:firstLineChars="200"/>
        <w:rPr>
          <w:rFonts w:hint="eastAsia"/>
          <w:color w:val="000000" w:themeColor="text1"/>
          <w:sz w:val="24"/>
          <w:highlight w:val="none"/>
          <w14:textFill>
            <w14:solidFill>
              <w14:schemeClr w14:val="tx1"/>
            </w14:solidFill>
          </w14:textFill>
        </w:rPr>
      </w:pPr>
      <w:bookmarkStart w:id="60" w:name="_Toc23116"/>
      <w:r>
        <w:rPr>
          <w:rFonts w:hint="eastAsia"/>
          <w:color w:val="000000" w:themeColor="text1"/>
          <w:sz w:val="24"/>
          <w:highlight w:val="none"/>
          <w14:textFill>
            <w14:solidFill>
              <w14:schemeClr w14:val="tx1"/>
            </w14:solidFill>
          </w14:textFill>
        </w:rPr>
        <w:t>附件10 供应商承诺书（格式）</w:t>
      </w:r>
      <w:bookmarkEnd w:id="60"/>
    </w:p>
    <w:p w14:paraId="56FC6A9E">
      <w:pPr>
        <w:snapToGrid w:val="0"/>
        <w:spacing w:line="360" w:lineRule="auto"/>
        <w:ind w:firstLine="480" w:firstLineChars="200"/>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附件11 供应商信用承诺函（格式）</w:t>
      </w:r>
    </w:p>
    <w:p w14:paraId="3ECA2727">
      <w:pPr>
        <w:pStyle w:val="31"/>
        <w:rPr>
          <w:rFonts w:hint="eastAsia"/>
          <w:color w:val="000000" w:themeColor="text1"/>
          <w:highlight w:val="none"/>
          <w14:textFill>
            <w14:solidFill>
              <w14:schemeClr w14:val="tx1"/>
            </w14:solidFill>
          </w14:textFill>
        </w:rPr>
      </w:pPr>
    </w:p>
    <w:p w14:paraId="67D408EF">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630DFFC3">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16774146">
      <w:pPr>
        <w:widowControl/>
        <w:wordWrap w:val="0"/>
        <w:snapToGrid w:val="0"/>
        <w:spacing w:line="460" w:lineRule="exact"/>
        <w:ind w:firstLine="482" w:firstLineChars="200"/>
        <w:jc w:val="center"/>
        <w:rPr>
          <w:rFonts w:ascii="宋体" w:hAnsi="宋体" w:cs="宋体"/>
          <w:b/>
          <w:bCs/>
          <w:color w:val="000000" w:themeColor="text1"/>
          <w:kern w:val="0"/>
          <w:sz w:val="24"/>
          <w:highlight w:val="none"/>
          <w14:textFill>
            <w14:solidFill>
              <w14:schemeClr w14:val="tx1"/>
            </w14:solidFill>
          </w14:textFill>
        </w:rPr>
      </w:pPr>
    </w:p>
    <w:p w14:paraId="6930A6DB">
      <w:pPr>
        <w:pStyle w:val="4"/>
        <w:rPr>
          <w:rFonts w:ascii="宋体" w:hAnsi="宋体" w:cs="宋体"/>
          <w:b/>
          <w:bCs/>
          <w:color w:val="000000" w:themeColor="text1"/>
          <w:kern w:val="0"/>
          <w:sz w:val="24"/>
          <w:highlight w:val="none"/>
          <w14:textFill>
            <w14:solidFill>
              <w14:schemeClr w14:val="tx1"/>
            </w14:solidFill>
          </w14:textFill>
        </w:rPr>
      </w:pPr>
    </w:p>
    <w:p w14:paraId="0B36FDA8">
      <w:pPr>
        <w:pStyle w:val="5"/>
        <w:rPr>
          <w:rFonts w:hAnsi="宋体"/>
          <w:b/>
          <w:bCs/>
          <w:color w:val="000000" w:themeColor="text1"/>
          <w:highlight w:val="none"/>
          <w14:textFill>
            <w14:solidFill>
              <w14:schemeClr w14:val="tx1"/>
            </w14:solidFill>
          </w14:textFill>
        </w:rPr>
      </w:pPr>
    </w:p>
    <w:p w14:paraId="4A08CFD3">
      <w:pPr>
        <w:pStyle w:val="5"/>
        <w:rPr>
          <w:rFonts w:hAnsi="宋体"/>
          <w:b/>
          <w:bCs/>
          <w:color w:val="000000" w:themeColor="text1"/>
          <w:highlight w:val="none"/>
          <w14:textFill>
            <w14:solidFill>
              <w14:schemeClr w14:val="tx1"/>
            </w14:solidFill>
          </w14:textFill>
        </w:rPr>
      </w:pPr>
    </w:p>
    <w:p w14:paraId="65CE4B5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E06025C">
      <w:pPr>
        <w:pStyle w:val="26"/>
        <w:rPr>
          <w:color w:val="000000" w:themeColor="text1"/>
          <w:highlight w:val="none"/>
          <w14:textFill>
            <w14:solidFill>
              <w14:schemeClr w14:val="tx1"/>
            </w14:solidFill>
          </w14:textFill>
        </w:rPr>
      </w:pPr>
    </w:p>
    <w:p w14:paraId="0A90DAA9">
      <w:pPr>
        <w:pStyle w:val="6"/>
        <w:rPr>
          <w:color w:val="000000" w:themeColor="text1"/>
          <w:highlight w:val="none"/>
          <w14:textFill>
            <w14:solidFill>
              <w14:schemeClr w14:val="tx1"/>
            </w14:solidFill>
          </w14:textFill>
        </w:rPr>
      </w:pPr>
      <w:bookmarkStart w:id="61" w:name="_Toc24743"/>
      <w:bookmarkStart w:id="62" w:name="_Toc31798"/>
      <w:r>
        <w:rPr>
          <w:rFonts w:hint="eastAsia"/>
          <w:color w:val="000000" w:themeColor="text1"/>
          <w:highlight w:val="none"/>
          <w14:textFill>
            <w14:solidFill>
              <w14:schemeClr w14:val="tx1"/>
            </w14:solidFill>
          </w14:textFill>
        </w:rPr>
        <w:t>附件1               投标文件封面（格式）</w:t>
      </w:r>
      <w:bookmarkEnd w:id="61"/>
      <w:bookmarkEnd w:id="62"/>
    </w:p>
    <w:p w14:paraId="25876366">
      <w:pPr>
        <w:widowControl/>
        <w:wordWrap w:val="0"/>
        <w:spacing w:line="460" w:lineRule="exact"/>
        <w:ind w:firstLine="482" w:firstLineChars="200"/>
        <w:jc w:val="center"/>
        <w:rPr>
          <w:rFonts w:ascii="宋体" w:hAnsi="宋体" w:cs="宋体"/>
          <w:b/>
          <w:color w:val="000000" w:themeColor="text1"/>
          <w:kern w:val="0"/>
          <w:sz w:val="24"/>
          <w:highlight w:val="none"/>
          <w14:textFill>
            <w14:solidFill>
              <w14:schemeClr w14:val="tx1"/>
            </w14:solidFill>
          </w14:textFill>
        </w:rPr>
      </w:pPr>
    </w:p>
    <w:p w14:paraId="11D99964">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驻马店</w:t>
      </w:r>
      <w:r>
        <w:rPr>
          <w:rFonts w:hint="eastAsia" w:ascii="宋体" w:hAnsi="宋体" w:cs="宋体"/>
          <w:b/>
          <w:snapToGrid w:val="0"/>
          <w:color w:val="000000" w:themeColor="text1"/>
          <w:spacing w:val="0"/>
          <w:kern w:val="0"/>
          <w:sz w:val="44"/>
          <w:szCs w:val="44"/>
          <w:highlight w:val="none"/>
          <w:u w:val="none"/>
          <w:lang w:val="en-US" w:eastAsia="zh-CN"/>
          <w14:textFill>
            <w14:solidFill>
              <w14:schemeClr w14:val="tx1"/>
            </w14:solidFill>
          </w14:textFill>
        </w:rPr>
        <w:t>市</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中心医院</w:t>
      </w:r>
      <w:r>
        <w:rPr>
          <w:rFonts w:hint="eastAsia" w:ascii="宋体" w:hAnsi="宋体" w:eastAsia="宋体" w:cs="宋体"/>
          <w:b/>
          <w:snapToGrid w:val="0"/>
          <w:color w:val="000000" w:themeColor="text1"/>
          <w:spacing w:val="0"/>
          <w:kern w:val="0"/>
          <w:sz w:val="44"/>
          <w:szCs w:val="44"/>
          <w:highlight w:val="none"/>
          <w:u w:val="single"/>
          <w:lang w:val="en-US" w:eastAsia="zh-CN"/>
          <w14:textFill>
            <w14:solidFill>
              <w14:schemeClr w14:val="tx1"/>
            </w14:solidFill>
          </w14:textFill>
        </w:rPr>
        <w:t xml:space="preserve">      </w:t>
      </w:r>
      <w:r>
        <w:rPr>
          <w:rFonts w:hint="eastAsia" w:ascii="宋体" w:hAnsi="宋体" w:eastAsia="宋体" w:cs="宋体"/>
          <w:b/>
          <w:snapToGrid w:val="0"/>
          <w:color w:val="000000" w:themeColor="text1"/>
          <w:spacing w:val="0"/>
          <w:kern w:val="0"/>
          <w:sz w:val="44"/>
          <w:szCs w:val="44"/>
          <w:highlight w:val="none"/>
          <w:u w:val="none"/>
          <w:lang w:val="en-US" w:eastAsia="zh-CN"/>
          <w14:textFill>
            <w14:solidFill>
              <w14:schemeClr w14:val="tx1"/>
            </w14:solidFill>
          </w14:textFill>
        </w:rPr>
        <w:t>项目</w:t>
      </w:r>
    </w:p>
    <w:p w14:paraId="6B41838D">
      <w:pPr>
        <w:snapToGrid w:val="0"/>
        <w:spacing w:line="360" w:lineRule="auto"/>
        <w:jc w:val="center"/>
        <w:rPr>
          <w:rFonts w:hint="eastAsia" w:ascii="宋体" w:hAnsi="宋体" w:eastAsia="宋体" w:cs="宋体"/>
          <w:b/>
          <w:color w:val="000000" w:themeColor="text1"/>
          <w:spacing w:val="90"/>
          <w:sz w:val="52"/>
          <w:szCs w:val="52"/>
          <w:highlight w:val="none"/>
          <w14:textFill>
            <w14:solidFill>
              <w14:schemeClr w14:val="tx1"/>
            </w14:solidFill>
          </w14:textFill>
        </w:rPr>
      </w:pPr>
      <w:r>
        <w:rPr>
          <w:rFonts w:hint="eastAsia" w:ascii="宋体" w:hAnsi="宋体" w:eastAsia="宋体" w:cs="宋体"/>
          <w:b/>
          <w:color w:val="000000" w:themeColor="text1"/>
          <w:spacing w:val="90"/>
          <w:sz w:val="52"/>
          <w:szCs w:val="52"/>
          <w:highlight w:val="none"/>
          <w14:textFill>
            <w14:solidFill>
              <w14:schemeClr w14:val="tx1"/>
            </w14:solidFill>
          </w14:textFill>
        </w:rPr>
        <w:t>投标文件</w:t>
      </w:r>
    </w:p>
    <w:p w14:paraId="36455F2D">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09B7826">
      <w:pPr>
        <w:pStyle w:val="5"/>
        <w:spacing w:line="360" w:lineRule="auto"/>
        <w:rPr>
          <w:rFonts w:hint="eastAsia" w:ascii="宋体" w:hAnsi="宋体" w:eastAsia="宋体" w:cs="宋体"/>
          <w:color w:val="000000" w:themeColor="text1"/>
          <w:highlight w:val="none"/>
          <w14:textFill>
            <w14:solidFill>
              <w14:schemeClr w14:val="tx1"/>
            </w14:solidFill>
          </w14:textFill>
        </w:rPr>
      </w:pPr>
    </w:p>
    <w:p w14:paraId="538F8129">
      <w:pPr>
        <w:pStyle w:val="5"/>
        <w:spacing w:line="360" w:lineRule="auto"/>
        <w:rPr>
          <w:rFonts w:hint="eastAsia" w:ascii="宋体" w:hAnsi="宋体" w:eastAsia="宋体" w:cs="宋体"/>
          <w:color w:val="000000" w:themeColor="text1"/>
          <w:highlight w:val="none"/>
          <w14:textFill>
            <w14:solidFill>
              <w14:schemeClr w14:val="tx1"/>
            </w14:solidFill>
          </w14:textFill>
        </w:rPr>
      </w:pPr>
    </w:p>
    <w:p w14:paraId="4B1370F0">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0773B7C">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13A03BF2">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C641B44">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0B359F0A">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28ABDC43">
      <w:pPr>
        <w:spacing w:line="360" w:lineRule="auto"/>
        <w:rPr>
          <w:rFonts w:hint="eastAsia" w:ascii="宋体" w:hAnsi="宋体" w:eastAsia="宋体" w:cs="宋体"/>
          <w:color w:val="000000" w:themeColor="text1"/>
          <w:sz w:val="28"/>
          <w:highlight w:val="none"/>
          <w14:textFill>
            <w14:solidFill>
              <w14:schemeClr w14:val="tx1"/>
            </w14:solidFill>
          </w14:textFill>
        </w:rPr>
      </w:pPr>
    </w:p>
    <w:p w14:paraId="60CF52E5">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eastAsia="zh-CN"/>
          <w14:textFill>
            <w14:solidFill>
              <w14:schemeClr w14:val="tx1"/>
            </w14:solidFill>
          </w14:textFill>
        </w:rPr>
        <w:t>供应商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全称并</w:t>
      </w:r>
      <w:r>
        <w:rPr>
          <w:rFonts w:hint="eastAsia" w:ascii="宋体" w:hAnsi="宋体" w:eastAsia="宋体" w:cs="宋体"/>
          <w:color w:val="000000" w:themeColor="text1"/>
          <w:sz w:val="28"/>
          <w:szCs w:val="28"/>
          <w:highlight w:val="none"/>
          <w:lang w:eastAsia="zh-CN"/>
          <w14:textFill>
            <w14:solidFill>
              <w14:schemeClr w14:val="tx1"/>
            </w14:solidFill>
          </w14:textFill>
        </w:rPr>
        <w:t>盖章</w:t>
      </w:r>
      <w:r>
        <w:rPr>
          <w:rFonts w:hint="eastAsia" w:ascii="宋体" w:hAnsi="宋体" w:eastAsia="宋体" w:cs="宋体"/>
          <w:color w:val="000000" w:themeColor="text1"/>
          <w:sz w:val="28"/>
          <w:szCs w:val="28"/>
          <w:highlight w:val="none"/>
          <w14:textFill>
            <w14:solidFill>
              <w14:schemeClr w14:val="tx1"/>
            </w14:solidFill>
          </w14:textFill>
        </w:rPr>
        <w:t>）</w:t>
      </w:r>
    </w:p>
    <w:p w14:paraId="09160DF7">
      <w:pPr>
        <w:spacing w:line="360" w:lineRule="auto"/>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w:t>
      </w:r>
      <w:r>
        <w:rPr>
          <w:rFonts w:hint="eastAsia" w:ascii="宋体" w:hAnsi="宋体" w:cs="宋体"/>
          <w:color w:val="000000" w:themeColor="text1"/>
          <w:sz w:val="28"/>
          <w:szCs w:val="28"/>
          <w:highlight w:val="none"/>
          <w:lang w:val="en-US" w:eastAsia="zh-CN"/>
          <w14:textFill>
            <w14:solidFill>
              <w14:schemeClr w14:val="tx1"/>
            </w14:solidFill>
          </w14:textFill>
        </w:rPr>
        <w:t>签字或</w:t>
      </w:r>
      <w:r>
        <w:rPr>
          <w:rFonts w:hint="eastAsia" w:ascii="宋体" w:hAnsi="宋体" w:eastAsia="宋体" w:cs="宋体"/>
          <w:color w:val="000000" w:themeColor="text1"/>
          <w:sz w:val="28"/>
          <w:szCs w:val="28"/>
          <w:highlight w:val="none"/>
          <w:lang w:eastAsia="zh-CN"/>
          <w14:textFill>
            <w14:solidFill>
              <w14:schemeClr w14:val="tx1"/>
            </w14:solidFill>
          </w14:textFill>
        </w:rPr>
        <w:t>盖</w:t>
      </w:r>
      <w:r>
        <w:rPr>
          <w:rFonts w:hint="eastAsia" w:ascii="宋体" w:hAnsi="宋体" w:cs="宋体"/>
          <w:color w:val="000000" w:themeColor="text1"/>
          <w:sz w:val="28"/>
          <w:szCs w:val="28"/>
          <w:highlight w:val="none"/>
          <w:lang w:val="en-US" w:eastAsia="zh-CN"/>
          <w14:textFill>
            <w14:solidFill>
              <w14:schemeClr w14:val="tx1"/>
            </w14:solidFill>
          </w14:textFill>
        </w:rPr>
        <w:t>章</w:t>
      </w:r>
      <w:r>
        <w:rPr>
          <w:rFonts w:hint="eastAsia" w:ascii="宋体" w:hAnsi="宋体" w:eastAsia="宋体" w:cs="宋体"/>
          <w:color w:val="000000" w:themeColor="text1"/>
          <w:sz w:val="28"/>
          <w:szCs w:val="28"/>
          <w:highlight w:val="none"/>
          <w14:textFill>
            <w14:solidFill>
              <w14:schemeClr w14:val="tx1"/>
            </w14:solidFill>
          </w14:textFill>
        </w:rPr>
        <w:t>）</w:t>
      </w:r>
    </w:p>
    <w:p w14:paraId="3CE734EA">
      <w:pPr>
        <w:widowControl/>
        <w:wordWrap w:val="0"/>
        <w:spacing w:line="460" w:lineRule="exact"/>
        <w:ind w:left="0" w:leftChars="0" w:firstLine="0" w:firstLineChars="0"/>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年   月   日</w:t>
      </w:r>
    </w:p>
    <w:p w14:paraId="42018E44">
      <w:pPr>
        <w:widowControl/>
        <w:wordWrap w:val="0"/>
        <w:spacing w:line="460" w:lineRule="exact"/>
        <w:ind w:firstLine="482" w:firstLineChars="200"/>
        <w:jc w:val="left"/>
        <w:rPr>
          <w:rFonts w:ascii="宋体" w:hAnsi="宋体" w:cs="宋体"/>
          <w:b/>
          <w:color w:val="000000" w:themeColor="text1"/>
          <w:kern w:val="0"/>
          <w:sz w:val="24"/>
          <w:highlight w:val="none"/>
          <w14:textFill>
            <w14:solidFill>
              <w14:schemeClr w14:val="tx1"/>
            </w14:solidFill>
          </w14:textFill>
        </w:rPr>
      </w:pPr>
    </w:p>
    <w:p w14:paraId="7D86E42A">
      <w:pPr>
        <w:pStyle w:val="4"/>
        <w:rPr>
          <w:rFonts w:ascii="宋体" w:hAnsi="宋体" w:cs="宋体"/>
          <w:b/>
          <w:color w:val="000000" w:themeColor="text1"/>
          <w:kern w:val="0"/>
          <w:sz w:val="24"/>
          <w:highlight w:val="none"/>
          <w14:textFill>
            <w14:solidFill>
              <w14:schemeClr w14:val="tx1"/>
            </w14:solidFill>
          </w14:textFill>
        </w:rPr>
      </w:pPr>
    </w:p>
    <w:p w14:paraId="5C25A5C9">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30B81243">
      <w:pPr>
        <w:rPr>
          <w:color w:val="000000" w:themeColor="text1"/>
          <w:highlight w:val="none"/>
          <w14:textFill>
            <w14:solidFill>
              <w14:schemeClr w14:val="tx1"/>
            </w14:solidFill>
          </w14:textFill>
        </w:rPr>
      </w:pPr>
    </w:p>
    <w:p w14:paraId="28A23622">
      <w:pPr>
        <w:pStyle w:val="6"/>
        <w:rPr>
          <w:color w:val="000000" w:themeColor="text1"/>
          <w:highlight w:val="none"/>
          <w14:textFill>
            <w14:solidFill>
              <w14:schemeClr w14:val="tx1"/>
            </w14:solidFill>
          </w14:textFill>
        </w:rPr>
      </w:pPr>
      <w:bookmarkStart w:id="63" w:name="_Toc8818"/>
      <w:bookmarkStart w:id="64" w:name="_Toc14560"/>
      <w:r>
        <w:rPr>
          <w:rFonts w:hint="eastAsia"/>
          <w:color w:val="000000" w:themeColor="text1"/>
          <w:highlight w:val="none"/>
          <w14:textFill>
            <w14:solidFill>
              <w14:schemeClr w14:val="tx1"/>
            </w14:solidFill>
          </w14:textFill>
        </w:rPr>
        <w:t>附件2               投  标  书（格式）</w:t>
      </w:r>
      <w:bookmarkEnd w:id="63"/>
      <w:bookmarkEnd w:id="64"/>
    </w:p>
    <w:p w14:paraId="7A4ED231">
      <w:pPr>
        <w:widowControl/>
        <w:wordWrap w:val="0"/>
        <w:snapToGrid w:val="0"/>
        <w:spacing w:line="46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eastAsia="zh-CN"/>
          <w14:textFill>
            <w14:solidFill>
              <w14:schemeClr w14:val="tx1"/>
            </w14:solidFill>
          </w14:textFill>
        </w:rPr>
        <w:t>采购人</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w:t>
      </w:r>
    </w:p>
    <w:p w14:paraId="658E54E5">
      <w:pPr>
        <w:widowControl/>
        <w:wordWrap w:val="0"/>
        <w:spacing w:line="460" w:lineRule="exact"/>
        <w:ind w:firstLine="525" w:firstLineChars="25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lang w:eastAsia="zh-CN"/>
          <w14:textFill>
            <w14:solidFill>
              <w14:schemeClr w14:val="tx1"/>
            </w14:solidFill>
          </w14:textFill>
        </w:rPr>
        <w:t>供应商</w:t>
      </w:r>
      <w:r>
        <w:rPr>
          <w:rFonts w:hint="eastAsia" w:ascii="宋体" w:hAnsi="宋体" w:cs="宋体"/>
          <w:color w:val="000000" w:themeColor="text1"/>
          <w:kern w:val="0"/>
          <w:szCs w:val="21"/>
          <w:highlight w:val="none"/>
          <w:u w:val="single"/>
          <w14:textFill>
            <w14:solidFill>
              <w14:schemeClr w14:val="tx1"/>
            </w14:solidFill>
          </w14:textFill>
        </w:rPr>
        <w:t>名称）</w:t>
      </w:r>
      <w:r>
        <w:rPr>
          <w:rFonts w:hint="eastAsia" w:ascii="宋体" w:hAnsi="宋体" w:cs="宋体"/>
          <w:color w:val="000000" w:themeColor="text1"/>
          <w:kern w:val="0"/>
          <w:szCs w:val="21"/>
          <w:highlight w:val="none"/>
          <w14:textFill>
            <w14:solidFill>
              <w14:schemeClr w14:val="tx1"/>
            </w14:solidFill>
          </w14:textFill>
        </w:rPr>
        <w:t xml:space="preserve">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（姓名）为我方代理人，参加贵方组织的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项目的投标。现正式提交下述文件1份：</w:t>
      </w:r>
    </w:p>
    <w:p w14:paraId="4AFAE52E">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1、开标一览表。</w:t>
      </w:r>
    </w:p>
    <w:p w14:paraId="31AEC045">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2、报价明细表。</w:t>
      </w:r>
    </w:p>
    <w:p w14:paraId="49F593C2">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4、技术响应表。</w:t>
      </w:r>
    </w:p>
    <w:p w14:paraId="2C54DC9D">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、商务响应表。</w:t>
      </w:r>
    </w:p>
    <w:p w14:paraId="03080323">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、证明文件。</w:t>
      </w:r>
    </w:p>
    <w:p w14:paraId="40FB81D1">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为便于贵方公正、择优地确定中标供应商及其投标产品和服务，我方就本次投标有关事项郑重声明并宣布同意如下：</w:t>
      </w:r>
    </w:p>
    <w:p w14:paraId="5E70205F">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1、我方承诺已经具备</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文件中规定的参加政府采购活动的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应当具备的条件。我方愿意向贵方提供任何与本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项目投标有关的数据、情况和技术资料，并根据需要提供一切承诺的证明材料，并保证其真实、合法、有效。</w:t>
      </w:r>
    </w:p>
    <w:p w14:paraId="0D63EF43">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2、我方承诺在投标活动中提供的各种材料真实有效。</w:t>
      </w:r>
    </w:p>
    <w:p w14:paraId="7174570E">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3、我方同意在投标文件有效期内遵守本投标文件中的承诺且在此期限期满之前均具有约束力。如果我方中标，投标文件有效期与合同履行期相同。</w:t>
      </w:r>
    </w:p>
    <w:p w14:paraId="3F3209F1">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4、我方已详细审查全部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文件，包括修改文件（如有的话）和有关附件，将自行承担因对全部</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文件理解不正确或误解而产生的相应后果。</w:t>
      </w:r>
    </w:p>
    <w:p w14:paraId="35CD7332">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5、我方保证尊重</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的评标结果，完全理解本</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项目最低投标价不作为中标的保证。</w:t>
      </w:r>
    </w:p>
    <w:p w14:paraId="0954422A">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6、我方理解并遵守</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文件的全部规定，接受</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文件中政府采购合同的全部条款且无任何异议。</w:t>
      </w:r>
    </w:p>
    <w:p w14:paraId="692D7086">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7、如果我方代表</w:t>
      </w:r>
      <w:r>
        <w:rPr>
          <w:rFonts w:hint="eastAsia" w:ascii="宋体" w:hAnsi="宋体" w:cs="宋体"/>
          <w:bCs/>
          <w:color w:val="000000" w:themeColor="text1"/>
          <w:kern w:val="0"/>
          <w:szCs w:val="21"/>
          <w:highlight w:val="none"/>
          <w14:textFill>
            <w14:solidFill>
              <w14:schemeClr w14:val="tx1"/>
            </w14:solidFill>
          </w14:textFill>
        </w:rPr>
        <w:t>未按时参加开标的，视同放弃开标监督权利，认可开标结果。</w:t>
      </w:r>
    </w:p>
    <w:p w14:paraId="54D3536B">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8、如果我方存在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须知第9.3项所述情况，同意被认定为在经营活动中有重大违法记录。</w:t>
      </w:r>
    </w:p>
    <w:p w14:paraId="7DAA2DD0">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.4.1、2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.4.3项所述情况，同意我方投标被作为无效投标处理。</w:t>
      </w:r>
    </w:p>
    <w:p w14:paraId="7171716B">
      <w:pPr>
        <w:widowControl/>
        <w:wordWrap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10、如果发生</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须知第2</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.5项所述情况，同意</w:t>
      </w:r>
      <w:r>
        <w:rPr>
          <w:rFonts w:hint="eastAsia" w:ascii="宋体" w:hAnsi="宋体" w:cs="宋体"/>
          <w:color w:val="000000" w:themeColor="text1"/>
          <w:kern w:val="0"/>
          <w:szCs w:val="21"/>
          <w:highlight w:val="none"/>
          <w:lang w:eastAsia="zh-CN"/>
          <w14:textFill>
            <w14:solidFill>
              <w14:schemeClr w14:val="tx1"/>
            </w14:solidFill>
          </w14:textFill>
        </w:rPr>
        <w:t>磋商小组</w:t>
      </w:r>
      <w:r>
        <w:rPr>
          <w:rFonts w:hint="eastAsia" w:ascii="宋体" w:hAnsi="宋体" w:cs="宋体"/>
          <w:color w:val="000000" w:themeColor="text1"/>
          <w:kern w:val="0"/>
          <w:szCs w:val="21"/>
          <w:highlight w:val="none"/>
          <w14:textFill>
            <w14:solidFill>
              <w14:schemeClr w14:val="tx1"/>
            </w14:solidFill>
          </w14:textFill>
        </w:rPr>
        <w:t>认定我方的行为属于串通投标的行为，并自愿接受监管部门的处罚。</w:t>
      </w:r>
    </w:p>
    <w:p w14:paraId="2CA9D0EB">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11、如果现场变更采购方式，我方同意在不改变</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需求、资质条件等情况下，按变更后的采购方式的规定程序进行采购。</w:t>
      </w:r>
    </w:p>
    <w:p w14:paraId="03179136">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12、如果被确定为中标供应商，我方同意按</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并缴纳服务费。否则，视为我方中标后自动放弃中标资格，承担由此引起的一切后果。</w:t>
      </w:r>
    </w:p>
    <w:p w14:paraId="5828378D">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13、如果被确定为中标供应商，我方同意在领取</w:t>
      </w:r>
      <w:r>
        <w:rPr>
          <w:rFonts w:hint="eastAsia" w:ascii="宋体" w:hAnsi="宋体" w:cs="宋体"/>
          <w:color w:val="000000" w:themeColor="text1"/>
          <w:kern w:val="0"/>
          <w:szCs w:val="21"/>
          <w:highlight w:val="none"/>
          <w:lang w:eastAsia="zh-CN"/>
          <w14:textFill>
            <w14:solidFill>
              <w14:schemeClr w14:val="tx1"/>
            </w14:solidFill>
          </w14:textFill>
        </w:rPr>
        <w:t>成交通知书</w:t>
      </w:r>
      <w:r>
        <w:rPr>
          <w:rFonts w:hint="eastAsia" w:ascii="宋体" w:hAnsi="宋体" w:cs="宋体"/>
          <w:color w:val="000000" w:themeColor="text1"/>
          <w:kern w:val="0"/>
          <w:szCs w:val="21"/>
          <w:highlight w:val="none"/>
          <w14:textFill>
            <w14:solidFill>
              <w14:schemeClr w14:val="tx1"/>
            </w14:solidFill>
          </w14:textFill>
        </w:rPr>
        <w:t>之日起</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30  </w:t>
      </w:r>
      <w:r>
        <w:rPr>
          <w:rFonts w:hint="eastAsia" w:ascii="宋体" w:hAnsi="宋体" w:cs="宋体"/>
          <w:color w:val="000000" w:themeColor="text1"/>
          <w:kern w:val="0"/>
          <w:szCs w:val="21"/>
          <w:highlight w:val="none"/>
          <w14:textFill>
            <w14:solidFill>
              <w14:schemeClr w14:val="tx1"/>
            </w14:solidFill>
          </w14:textFill>
        </w:rPr>
        <w:t>日内，按照</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文件的规定与采购人签订采购合同。否则，视为我方中标后无正当理由不与采购人签订合同并承担相应法律责任。</w:t>
      </w:r>
    </w:p>
    <w:p w14:paraId="11C1F6CF">
      <w:pPr>
        <w:widowControl/>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14、我方最近3年内的被公开披露或查处的违法违规行为有：</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7D0C8D44">
      <w:pPr>
        <w:widowControl/>
        <w:tabs>
          <w:tab w:val="left" w:pos="939"/>
        </w:tabs>
        <w:wordWrap w:val="0"/>
        <w:snapToGrid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15、以上事项如有虚假或隐瞒，我方愿意承担一切后果和责任。</w:t>
      </w:r>
    </w:p>
    <w:p w14:paraId="6F979C2E">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16、与本投标有关的一切正式往来通讯请寄（地址电话必须为最新并可以联系到）：</w:t>
      </w:r>
    </w:p>
    <w:p w14:paraId="116DA978">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地址：  邮编：</w:t>
      </w:r>
    </w:p>
    <w:p w14:paraId="59B00FA6">
      <w:pPr>
        <w:widowControl/>
        <w:wordWrap w:val="0"/>
        <w:spacing w:line="460" w:lineRule="exact"/>
        <w:ind w:firstLine="42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电话：  传真： </w:t>
      </w:r>
    </w:p>
    <w:p w14:paraId="2AC7B30C">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37BAF388">
      <w:pPr>
        <w:widowControl/>
        <w:wordWrap w:val="0"/>
        <w:spacing w:line="460" w:lineRule="exact"/>
        <w:ind w:firstLine="735" w:firstLineChars="35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s="宋体"/>
          <w:color w:val="000000" w:themeColor="text1"/>
          <w:kern w:val="0"/>
          <w:szCs w:val="21"/>
          <w:highlight w:val="none"/>
          <w14:textFill>
            <w14:solidFill>
              <w14:schemeClr w14:val="tx1"/>
            </w14:solidFill>
          </w14:textFill>
        </w:rPr>
        <w:t xml:space="preserve">： </w:t>
      </w:r>
    </w:p>
    <w:p w14:paraId="0D84880E">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：（全称并加盖公章）</w:t>
      </w:r>
    </w:p>
    <w:p w14:paraId="563DCE94">
      <w:pPr>
        <w:widowControl/>
        <w:wordWrap w:val="0"/>
        <w:spacing w:line="460" w:lineRule="exact"/>
        <w:ind w:firstLine="420" w:firstLineChars="200"/>
        <w:jc w:val="left"/>
        <w:rPr>
          <w:rFonts w:ascii="宋体" w:hAnsi="宋体" w:cs="宋体"/>
          <w:color w:val="000000" w:themeColor="text1"/>
          <w:kern w:val="0"/>
          <w:szCs w:val="21"/>
          <w:highlight w:val="none"/>
          <w14:textFill>
            <w14:solidFill>
              <w14:schemeClr w14:val="tx1"/>
            </w14:solidFill>
          </w14:textFill>
        </w:rPr>
      </w:pPr>
    </w:p>
    <w:p w14:paraId="77CBA05F">
      <w:pPr>
        <w:widowControl/>
        <w:snapToGrid w:val="0"/>
        <w:spacing w:line="460" w:lineRule="exact"/>
        <w:ind w:firstLine="3360" w:firstLineChars="16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年    月   日 </w:t>
      </w:r>
    </w:p>
    <w:p w14:paraId="2A99C2A6">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712AE13D">
      <w:pPr>
        <w:widowControl/>
        <w:wordWrap w:val="0"/>
        <w:snapToGrid w:val="0"/>
        <w:spacing w:before="50" w:after="50" w:line="480" w:lineRule="auto"/>
        <w:jc w:val="left"/>
        <w:rPr>
          <w:rFonts w:ascii="宋体" w:hAnsi="宋体" w:cs="宋体"/>
          <w:b/>
          <w:color w:val="000000" w:themeColor="text1"/>
          <w:kern w:val="0"/>
          <w:sz w:val="24"/>
          <w:highlight w:val="none"/>
          <w14:textFill>
            <w14:solidFill>
              <w14:schemeClr w14:val="tx1"/>
            </w14:solidFill>
          </w14:textFill>
        </w:rPr>
      </w:pPr>
    </w:p>
    <w:p w14:paraId="142144DC">
      <w:pPr>
        <w:spacing w:line="500" w:lineRule="exact"/>
        <w:jc w:val="center"/>
        <w:rPr>
          <w:rFonts w:ascii="宋体" w:hAnsi="宋体"/>
          <w:b/>
          <w:bCs/>
          <w:color w:val="000000" w:themeColor="text1"/>
          <w:sz w:val="24"/>
          <w:highlight w:val="none"/>
          <w14:textFill>
            <w14:solidFill>
              <w14:schemeClr w14:val="tx1"/>
            </w14:solidFill>
          </w14:textFill>
        </w:rPr>
      </w:pPr>
    </w:p>
    <w:p w14:paraId="52691D02">
      <w:pP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br w:type="page"/>
      </w:r>
    </w:p>
    <w:p w14:paraId="0D3450A0">
      <w:pPr>
        <w:rPr>
          <w:color w:val="000000" w:themeColor="text1"/>
          <w:highlight w:val="none"/>
          <w14:textFill>
            <w14:solidFill>
              <w14:schemeClr w14:val="tx1"/>
            </w14:solidFill>
          </w14:textFill>
        </w:rPr>
      </w:pPr>
    </w:p>
    <w:p w14:paraId="2B078DC6">
      <w:pPr>
        <w:pStyle w:val="6"/>
        <w:spacing w:before="20" w:after="20"/>
        <w:rPr>
          <w:rFonts w:hint="eastAsia" w:eastAsia="黑体"/>
          <w:color w:val="000000" w:themeColor="text1"/>
          <w:highlight w:val="none"/>
          <w:lang w:eastAsia="zh-CN"/>
          <w14:textFill>
            <w14:solidFill>
              <w14:schemeClr w14:val="tx1"/>
            </w14:solidFill>
          </w14:textFill>
        </w:rPr>
      </w:pPr>
      <w:bookmarkStart w:id="65" w:name="_Toc7838"/>
      <w:r>
        <w:rPr>
          <w:rFonts w:hint="eastAsia"/>
          <w:color w:val="000000" w:themeColor="text1"/>
          <w:highlight w:val="none"/>
          <w14:textFill>
            <w14:solidFill>
              <w14:schemeClr w14:val="tx1"/>
            </w14:solidFill>
          </w14:textFill>
        </w:rPr>
        <w:t>附件3               开标一览表</w:t>
      </w:r>
      <w:bookmarkEnd w:id="6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5EF07C6B">
      <w:pPr>
        <w:spacing w:line="239" w:lineRule="auto"/>
        <w:jc w:val="right"/>
        <w:rPr>
          <w:rFonts w:hint="default" w:ascii="宋体" w:hAnsi="宋体"/>
          <w:color w:val="000000" w:themeColor="text1"/>
          <w:sz w:val="24"/>
          <w:highlight w:val="none"/>
          <w:lang w:val="en-US"/>
          <w14:textFill>
            <w14:solidFill>
              <w14:schemeClr w14:val="tx1"/>
            </w14:solidFill>
          </w14:textFill>
        </w:rPr>
      </w:pPr>
      <w:r>
        <w:rPr>
          <w:rFonts w:ascii="宋体" w:hAnsi="宋体"/>
          <w:color w:val="000000" w:themeColor="text1"/>
          <w:sz w:val="24"/>
          <w:highlight w:val="none"/>
          <w14:textFill>
            <w14:solidFill>
              <w14:schemeClr w14:val="tx1"/>
            </w14:solidFill>
          </w14:textFill>
        </w:rPr>
        <w:t>单位：人民币</w:t>
      </w:r>
      <w:r>
        <w:rPr>
          <w:rFonts w:hint="eastAsia"/>
          <w:color w:val="000000" w:themeColor="text1"/>
          <w:sz w:val="24"/>
          <w:highlight w:val="none"/>
          <w:lang w:val="en-US" w:eastAsia="zh-CN"/>
          <w14:textFill>
            <w14:solidFill>
              <w14:schemeClr w14:val="tx1"/>
            </w14:solidFill>
          </w14:textFill>
        </w:rPr>
        <w:t>元</w:t>
      </w:r>
    </w:p>
    <w:p w14:paraId="774F3D64">
      <w:pPr>
        <w:rPr>
          <w:color w:val="000000" w:themeColor="text1"/>
          <w:highlight w:val="none"/>
          <w14:textFill>
            <w14:solidFill>
              <w14:schemeClr w14:val="tx1"/>
            </w14:solidFill>
          </w14:textFill>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5527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E57A598">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项目名称</w:t>
            </w:r>
          </w:p>
        </w:tc>
        <w:tc>
          <w:tcPr>
            <w:tcW w:w="7708" w:type="dxa"/>
            <w:noWrap/>
            <w:vAlign w:val="center"/>
          </w:tcPr>
          <w:p w14:paraId="7A86DC61">
            <w:pPr>
              <w:rPr>
                <w:rFonts w:ascii="宋体" w:hAnsi="宋体"/>
                <w:bCs/>
                <w:color w:val="000000" w:themeColor="text1"/>
                <w:szCs w:val="21"/>
                <w:highlight w:val="none"/>
                <w14:textFill>
                  <w14:solidFill>
                    <w14:schemeClr w14:val="tx1"/>
                  </w14:solidFill>
                </w14:textFill>
              </w:rPr>
            </w:pPr>
          </w:p>
        </w:tc>
      </w:tr>
      <w:tr w14:paraId="02BB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1735E66">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p>
        </w:tc>
        <w:tc>
          <w:tcPr>
            <w:tcW w:w="7708" w:type="dxa"/>
            <w:noWrap/>
            <w:vAlign w:val="center"/>
          </w:tcPr>
          <w:p w14:paraId="1780EE9F">
            <w:pPr>
              <w:rPr>
                <w:rFonts w:ascii="宋体" w:hAnsi="宋体"/>
                <w:color w:val="000000" w:themeColor="text1"/>
                <w:szCs w:val="21"/>
                <w:highlight w:val="none"/>
                <w14:textFill>
                  <w14:solidFill>
                    <w14:schemeClr w14:val="tx1"/>
                  </w14:solidFill>
                </w14:textFill>
              </w:rPr>
            </w:pPr>
          </w:p>
        </w:tc>
      </w:tr>
      <w:tr w14:paraId="787C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DE0FAE5">
            <w:pPr>
              <w:jc w:val="center"/>
              <w:rPr>
                <w:rFonts w:ascii="宋体" w:hAnsi="宋体"/>
                <w:color w:val="000000" w:themeColor="text1"/>
                <w:spacing w:val="-2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w:t>
            </w:r>
          </w:p>
        </w:tc>
        <w:tc>
          <w:tcPr>
            <w:tcW w:w="7708" w:type="dxa"/>
            <w:noWrap/>
            <w:vAlign w:val="center"/>
          </w:tcPr>
          <w:p w14:paraId="13E11061">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3218AD12">
            <w:pP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14:paraId="443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E7BD46F">
            <w:pPr>
              <w:widowControl/>
              <w:snapToGrid w:val="0"/>
              <w:spacing w:before="50" w:after="5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地点</w:t>
            </w:r>
          </w:p>
        </w:tc>
        <w:tc>
          <w:tcPr>
            <w:tcW w:w="7708" w:type="dxa"/>
            <w:noWrap/>
            <w:vAlign w:val="bottom"/>
          </w:tcPr>
          <w:p w14:paraId="33E3F79D">
            <w:pPr>
              <w:spacing w:line="360" w:lineRule="auto"/>
              <w:ind w:firstLine="1155" w:firstLineChars="550"/>
              <w:rPr>
                <w:rFonts w:ascii="宋体" w:hAnsi="宋体"/>
                <w:color w:val="000000" w:themeColor="text1"/>
                <w:szCs w:val="21"/>
                <w:highlight w:val="none"/>
                <w14:textFill>
                  <w14:solidFill>
                    <w14:schemeClr w14:val="tx1"/>
                  </w14:solidFill>
                </w14:textFill>
              </w:rPr>
            </w:pPr>
          </w:p>
        </w:tc>
      </w:tr>
      <w:tr w14:paraId="22F2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7FAB17D">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服务期限</w:t>
            </w:r>
          </w:p>
        </w:tc>
        <w:tc>
          <w:tcPr>
            <w:tcW w:w="7708" w:type="dxa"/>
            <w:noWrap/>
            <w:vAlign w:val="bottom"/>
          </w:tcPr>
          <w:p w14:paraId="58F2A89D">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43AA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2E120A8">
            <w:pPr>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14:paraId="563E56C9">
            <w:pPr>
              <w:spacing w:line="360" w:lineRule="auto"/>
              <w:ind w:firstLine="1155" w:firstLineChars="550"/>
              <w:rPr>
                <w:rFonts w:ascii="宋体" w:hAnsi="宋体"/>
                <w:color w:val="000000" w:themeColor="text1"/>
                <w:szCs w:val="21"/>
                <w:highlight w:val="none"/>
                <w:u w:val="single"/>
                <w14:textFill>
                  <w14:solidFill>
                    <w14:schemeClr w14:val="tx1"/>
                  </w14:solidFill>
                </w14:textFill>
              </w:rPr>
            </w:pPr>
          </w:p>
        </w:tc>
      </w:tr>
      <w:tr w14:paraId="2FCB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A19FA30">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  注</w:t>
            </w:r>
          </w:p>
        </w:tc>
        <w:tc>
          <w:tcPr>
            <w:tcW w:w="7708" w:type="dxa"/>
            <w:noWrap/>
            <w:vAlign w:val="center"/>
          </w:tcPr>
          <w:p w14:paraId="3306E2D8">
            <w:pPr>
              <w:pStyle w:val="21"/>
              <w:ind w:left="0" w:leftChars="0"/>
              <w:rPr>
                <w:color w:val="000000" w:themeColor="text1"/>
                <w:sz w:val="21"/>
                <w:szCs w:val="21"/>
                <w:highlight w:val="none"/>
                <w14:textFill>
                  <w14:solidFill>
                    <w14:schemeClr w14:val="tx1"/>
                  </w14:solidFill>
                </w14:textFill>
              </w:rPr>
            </w:pPr>
          </w:p>
        </w:tc>
      </w:tr>
    </w:tbl>
    <w:p w14:paraId="55A098D9">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 1、报价一经涂改，应在涂改处加盖单位公章或</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代表签字或盖章，否则其投标作无效标处理。</w:t>
      </w:r>
    </w:p>
    <w:p w14:paraId="302FC901">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2、以上报价应与“报价明细表”中的报价相一致。</w:t>
      </w:r>
    </w:p>
    <w:p w14:paraId="0C2C9052">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3、凡认为所投产品符合价格折扣条件的，在相应的产品的“备注”栏内注明符合何种折扣条件。</w:t>
      </w:r>
    </w:p>
    <w:p w14:paraId="31000656">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按格式填列，不得自行更改。否则引起的不利后果由</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承担。</w:t>
      </w:r>
    </w:p>
    <w:p w14:paraId="52ED2CE5">
      <w:pPr>
        <w:spacing w:line="360" w:lineRule="auto"/>
        <w:ind w:firstLine="420" w:firstLineChars="200"/>
        <w:jc w:val="center"/>
        <w:rPr>
          <w:rFonts w:ascii="宋体" w:hAnsi="宋体"/>
          <w:color w:val="000000" w:themeColor="text1"/>
          <w:szCs w:val="21"/>
          <w:highlight w:val="none"/>
          <w14:textFill>
            <w14:solidFill>
              <w14:schemeClr w14:val="tx1"/>
            </w14:solidFill>
          </w14:textFill>
        </w:rPr>
      </w:pPr>
      <w:bookmarkStart w:id="66" w:name="_Toc11620"/>
      <w:bookmarkStart w:id="67" w:name="_Toc20877"/>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（全称并加盖公章）：</w:t>
      </w:r>
      <w:bookmarkEnd w:id="66"/>
      <w:bookmarkEnd w:id="67"/>
    </w:p>
    <w:p w14:paraId="41D08E04">
      <w:pPr>
        <w:spacing w:line="360" w:lineRule="auto"/>
        <w:ind w:firstLine="420" w:firstLineChars="200"/>
        <w:jc w:val="center"/>
        <w:rPr>
          <w:rFonts w:ascii="宋体" w:hAnsi="宋体"/>
          <w:color w:val="000000" w:themeColor="text1"/>
          <w:szCs w:val="21"/>
          <w:highlight w:val="none"/>
          <w:u w:val="single"/>
          <w14:textFill>
            <w14:solidFill>
              <w14:schemeClr w14:val="tx1"/>
            </w14:solidFill>
          </w14:textFill>
        </w:rPr>
      </w:pPr>
      <w:bookmarkStart w:id="68" w:name="_Toc625"/>
      <w:bookmarkStart w:id="69" w:name="_Toc12222"/>
      <w:r>
        <w:rPr>
          <w:rFonts w:hint="eastAsia" w:ascii="宋体" w:hAnsi="宋体"/>
          <w:color w:val="000000" w:themeColor="text1"/>
          <w:szCs w:val="21"/>
          <w:highlight w:val="none"/>
          <w14:textFill>
            <w14:solidFill>
              <w14:schemeClr w14:val="tx1"/>
            </w14:solidFill>
          </w14:textFill>
        </w:rPr>
        <w:t>法定代表人或其委托代理人（签字</w:t>
      </w:r>
      <w:r>
        <w:rPr>
          <w:rFonts w:hint="eastAsia" w:ascii="宋体" w:hAnsi="宋体" w:cs="宋体"/>
          <w:color w:val="000000" w:themeColor="text1"/>
          <w:kern w:val="0"/>
          <w:szCs w:val="21"/>
          <w:highlight w:val="none"/>
          <w:lang w:val="en-US" w:eastAsia="zh-CN"/>
          <w14:textFill>
            <w14:solidFill>
              <w14:schemeClr w14:val="tx1"/>
            </w14:solidFill>
          </w14:textFill>
        </w:rPr>
        <w:t>或盖章</w:t>
      </w:r>
      <w:r>
        <w:rPr>
          <w:rFonts w:hint="eastAsia" w:ascii="宋体" w:hAnsi="宋体"/>
          <w:color w:val="000000" w:themeColor="text1"/>
          <w:szCs w:val="21"/>
          <w:highlight w:val="none"/>
          <w14:textFill>
            <w14:solidFill>
              <w14:schemeClr w14:val="tx1"/>
            </w14:solidFill>
          </w14:textFill>
        </w:rPr>
        <w:t>）：</w:t>
      </w:r>
      <w:bookmarkEnd w:id="68"/>
      <w:bookmarkEnd w:id="69"/>
    </w:p>
    <w:p w14:paraId="2CD858F8">
      <w:pPr>
        <w:jc w:val="center"/>
        <w:rPr>
          <w:rFonts w:ascii="宋体" w:hAnsi="宋体"/>
          <w:color w:val="000000" w:themeColor="text1"/>
          <w:szCs w:val="21"/>
          <w:highlight w:val="none"/>
          <w14:textFill>
            <w14:solidFill>
              <w14:schemeClr w14:val="tx1"/>
            </w14:solidFill>
          </w14:textFill>
        </w:rPr>
      </w:pPr>
    </w:p>
    <w:p w14:paraId="31F0D642">
      <w:pPr>
        <w:spacing w:line="360" w:lineRule="auto"/>
        <w:ind w:firstLine="420" w:firstLineChars="200"/>
        <w:jc w:val="center"/>
        <w:rPr>
          <w:color w:val="000000" w:themeColor="text1"/>
          <w:highlight w:val="none"/>
          <w14:textFill>
            <w14:solidFill>
              <w14:schemeClr w14:val="tx1"/>
            </w14:solidFill>
          </w14:textFill>
        </w:rPr>
      </w:pPr>
      <w:bookmarkStart w:id="70" w:name="_Toc1330"/>
      <w:bookmarkStart w:id="71" w:name="_Toc9950"/>
      <w:r>
        <w:rPr>
          <w:rFonts w:hint="eastAsia" w:ascii="宋体" w:hAnsi="宋体"/>
          <w:color w:val="000000" w:themeColor="text1"/>
          <w:szCs w:val="21"/>
          <w:highlight w:val="none"/>
          <w14:textFill>
            <w14:solidFill>
              <w14:schemeClr w14:val="tx1"/>
            </w14:solidFill>
          </w14:textFill>
        </w:rPr>
        <w:t>年  月  日</w:t>
      </w:r>
      <w:bookmarkEnd w:id="70"/>
      <w:bookmarkEnd w:id="71"/>
    </w:p>
    <w:p w14:paraId="5E9FD449">
      <w:pPr>
        <w:rPr>
          <w:color w:val="000000" w:themeColor="text1"/>
          <w:highlight w:val="none"/>
          <w14:textFill>
            <w14:solidFill>
              <w14:schemeClr w14:val="tx1"/>
            </w14:solidFill>
          </w14:textFill>
        </w:rPr>
      </w:pPr>
    </w:p>
    <w:bookmarkEnd w:id="46"/>
    <w:bookmarkEnd w:id="47"/>
    <w:p w14:paraId="7263CD59">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291B1E56">
      <w:pPr>
        <w:outlineLvl w:val="9"/>
        <w:rPr>
          <w:rFonts w:hint="eastAsia"/>
          <w:color w:val="000000" w:themeColor="text1"/>
          <w:highlight w:val="none"/>
          <w:lang w:eastAsia="zh-CN"/>
          <w14:textFill>
            <w14:solidFill>
              <w14:schemeClr w14:val="tx1"/>
            </w14:solidFill>
          </w14:textFill>
        </w:rPr>
      </w:pPr>
    </w:p>
    <w:p w14:paraId="0E11BA7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49C571C">
      <w:pPr>
        <w:pStyle w:val="6"/>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52A3EA25">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2205"/>
        <w:gridCol w:w="1853"/>
        <w:gridCol w:w="1694"/>
        <w:gridCol w:w="1306"/>
        <w:gridCol w:w="1763"/>
      </w:tblGrid>
      <w:tr w14:paraId="1A1D9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059" w:type="dxa"/>
            <w:tcBorders>
              <w:top w:val="single" w:color="auto" w:sz="4" w:space="0"/>
              <w:left w:val="single" w:color="auto" w:sz="4" w:space="0"/>
              <w:bottom w:val="nil"/>
              <w:right w:val="single" w:color="auto" w:sz="4" w:space="0"/>
            </w:tcBorders>
            <w:vAlign w:val="center"/>
          </w:tcPr>
          <w:p w14:paraId="7B5774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05" w:type="dxa"/>
            <w:tcBorders>
              <w:top w:val="single" w:color="auto" w:sz="4" w:space="0"/>
              <w:left w:val="single" w:color="auto" w:sz="4" w:space="0"/>
              <w:bottom w:val="nil"/>
              <w:right w:val="single" w:color="auto" w:sz="4" w:space="0"/>
            </w:tcBorders>
            <w:vAlign w:val="center"/>
          </w:tcPr>
          <w:p w14:paraId="2CBDDE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853" w:type="dxa"/>
            <w:tcBorders>
              <w:top w:val="single" w:color="auto" w:sz="4" w:space="0"/>
              <w:left w:val="single" w:color="auto" w:sz="4" w:space="0"/>
              <w:bottom w:val="nil"/>
              <w:right w:val="single" w:color="auto" w:sz="4" w:space="0"/>
            </w:tcBorders>
            <w:vAlign w:val="center"/>
          </w:tcPr>
          <w:p w14:paraId="42CDC2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694" w:type="dxa"/>
            <w:tcBorders>
              <w:top w:val="single" w:color="auto" w:sz="4" w:space="0"/>
              <w:left w:val="single" w:color="auto" w:sz="4" w:space="0"/>
              <w:bottom w:val="nil"/>
              <w:right w:val="single" w:color="auto" w:sz="4" w:space="0"/>
            </w:tcBorders>
            <w:vAlign w:val="center"/>
          </w:tcPr>
          <w:p w14:paraId="33699B6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06" w:type="dxa"/>
            <w:tcBorders>
              <w:top w:val="single" w:color="auto" w:sz="4" w:space="0"/>
              <w:left w:val="single" w:color="auto" w:sz="4" w:space="0"/>
              <w:bottom w:val="nil"/>
              <w:right w:val="single" w:color="auto" w:sz="4" w:space="0"/>
            </w:tcBorders>
            <w:vAlign w:val="center"/>
          </w:tcPr>
          <w:p w14:paraId="7D9D17D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763" w:type="dxa"/>
            <w:tcBorders>
              <w:top w:val="single" w:color="auto" w:sz="4" w:space="0"/>
              <w:left w:val="single" w:color="auto" w:sz="4" w:space="0"/>
              <w:bottom w:val="nil"/>
              <w:right w:val="single" w:color="auto" w:sz="4" w:space="0"/>
            </w:tcBorders>
            <w:vAlign w:val="center"/>
          </w:tcPr>
          <w:p w14:paraId="2AF26D4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6D2EC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035F1A8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205" w:type="dxa"/>
            <w:tcBorders>
              <w:top w:val="single" w:color="auto" w:sz="4" w:space="0"/>
              <w:left w:val="single" w:color="auto" w:sz="4" w:space="0"/>
              <w:bottom w:val="single" w:color="auto" w:sz="4" w:space="0"/>
              <w:right w:val="single" w:color="auto" w:sz="4" w:space="0"/>
            </w:tcBorders>
          </w:tcPr>
          <w:p w14:paraId="4FD3FE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54CBAA2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70FC36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5BE66A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781DB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3307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227D39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205" w:type="dxa"/>
            <w:tcBorders>
              <w:top w:val="single" w:color="auto" w:sz="4" w:space="0"/>
              <w:left w:val="single" w:color="auto" w:sz="4" w:space="0"/>
              <w:bottom w:val="single" w:color="auto" w:sz="4" w:space="0"/>
              <w:right w:val="single" w:color="auto" w:sz="4" w:space="0"/>
            </w:tcBorders>
          </w:tcPr>
          <w:p w14:paraId="5164CA3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50EEAE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2100532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17C4903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4AADD5A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02F96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0D4DCCF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205" w:type="dxa"/>
            <w:tcBorders>
              <w:top w:val="single" w:color="auto" w:sz="4" w:space="0"/>
              <w:left w:val="single" w:color="auto" w:sz="4" w:space="0"/>
              <w:bottom w:val="single" w:color="auto" w:sz="4" w:space="0"/>
              <w:right w:val="single" w:color="auto" w:sz="4" w:space="0"/>
            </w:tcBorders>
          </w:tcPr>
          <w:p w14:paraId="145717E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23551BF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4DCDC8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2BB1997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5270877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011E2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69D7C0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205" w:type="dxa"/>
            <w:tcBorders>
              <w:top w:val="single" w:color="auto" w:sz="4" w:space="0"/>
              <w:left w:val="single" w:color="auto" w:sz="4" w:space="0"/>
              <w:bottom w:val="single" w:color="auto" w:sz="4" w:space="0"/>
              <w:right w:val="single" w:color="auto" w:sz="4" w:space="0"/>
            </w:tcBorders>
          </w:tcPr>
          <w:p w14:paraId="66B4B54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7112BEA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00AB8E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21199BA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02FEFFA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C656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549D80D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205" w:type="dxa"/>
            <w:tcBorders>
              <w:top w:val="single" w:color="auto" w:sz="4" w:space="0"/>
              <w:left w:val="single" w:color="auto" w:sz="4" w:space="0"/>
              <w:bottom w:val="single" w:color="auto" w:sz="4" w:space="0"/>
              <w:right w:val="single" w:color="auto" w:sz="4" w:space="0"/>
            </w:tcBorders>
          </w:tcPr>
          <w:p w14:paraId="389178B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853" w:type="dxa"/>
            <w:tcBorders>
              <w:top w:val="single" w:color="auto" w:sz="4" w:space="0"/>
              <w:left w:val="single" w:color="auto" w:sz="4" w:space="0"/>
              <w:bottom w:val="single" w:color="auto" w:sz="4" w:space="0"/>
              <w:right w:val="single" w:color="auto" w:sz="4" w:space="0"/>
            </w:tcBorders>
          </w:tcPr>
          <w:p w14:paraId="0342F8A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70E1308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11FF288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1F56C48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07A93C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59" w:type="dxa"/>
            <w:tcBorders>
              <w:top w:val="single" w:color="auto" w:sz="4" w:space="0"/>
              <w:left w:val="single" w:color="auto" w:sz="4" w:space="0"/>
              <w:bottom w:val="single" w:color="auto" w:sz="4" w:space="0"/>
              <w:right w:val="single" w:color="auto" w:sz="4" w:space="0"/>
            </w:tcBorders>
          </w:tcPr>
          <w:p w14:paraId="2642475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205" w:type="dxa"/>
            <w:tcBorders>
              <w:top w:val="single" w:color="auto" w:sz="4" w:space="0"/>
              <w:left w:val="single" w:color="auto" w:sz="4" w:space="0"/>
              <w:bottom w:val="single" w:color="auto" w:sz="4" w:space="0"/>
              <w:right w:val="single" w:color="auto" w:sz="4" w:space="0"/>
            </w:tcBorders>
          </w:tcPr>
          <w:p w14:paraId="12F376A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合计</w:t>
            </w:r>
          </w:p>
        </w:tc>
        <w:tc>
          <w:tcPr>
            <w:tcW w:w="1853" w:type="dxa"/>
            <w:tcBorders>
              <w:top w:val="single" w:color="auto" w:sz="4" w:space="0"/>
              <w:left w:val="single" w:color="auto" w:sz="4" w:space="0"/>
              <w:bottom w:val="single" w:color="auto" w:sz="4" w:space="0"/>
              <w:right w:val="single" w:color="auto" w:sz="4" w:space="0"/>
            </w:tcBorders>
          </w:tcPr>
          <w:p w14:paraId="10DD38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694" w:type="dxa"/>
            <w:tcBorders>
              <w:top w:val="single" w:color="auto" w:sz="4" w:space="0"/>
              <w:left w:val="single" w:color="auto" w:sz="4" w:space="0"/>
              <w:bottom w:val="single" w:color="auto" w:sz="4" w:space="0"/>
              <w:right w:val="single" w:color="auto" w:sz="4" w:space="0"/>
            </w:tcBorders>
          </w:tcPr>
          <w:p w14:paraId="4D060AF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306" w:type="dxa"/>
            <w:tcBorders>
              <w:top w:val="single" w:color="auto" w:sz="4" w:space="0"/>
              <w:left w:val="single" w:color="auto" w:sz="4" w:space="0"/>
              <w:bottom w:val="single" w:color="auto" w:sz="4" w:space="0"/>
              <w:right w:val="single" w:color="auto" w:sz="4" w:space="0"/>
            </w:tcBorders>
          </w:tcPr>
          <w:p w14:paraId="0126443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tcPr>
          <w:p w14:paraId="523747E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DE572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59" w:type="dxa"/>
            <w:tcBorders>
              <w:top w:val="single" w:color="auto" w:sz="4" w:space="0"/>
              <w:left w:val="single" w:color="auto" w:sz="4" w:space="0"/>
              <w:bottom w:val="single" w:color="auto" w:sz="4" w:space="0"/>
              <w:right w:val="single" w:color="auto" w:sz="4" w:space="0"/>
            </w:tcBorders>
            <w:vAlign w:val="top"/>
          </w:tcPr>
          <w:p w14:paraId="21F923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8821" w:type="dxa"/>
            <w:gridSpan w:val="5"/>
            <w:tcBorders>
              <w:top w:val="single" w:color="auto" w:sz="4" w:space="0"/>
              <w:left w:val="single" w:color="auto" w:sz="4" w:space="0"/>
              <w:bottom w:val="single" w:color="auto" w:sz="4" w:space="0"/>
              <w:right w:val="single" w:color="auto" w:sz="4" w:space="0"/>
            </w:tcBorders>
            <w:vAlign w:val="top"/>
          </w:tcPr>
          <w:p w14:paraId="38609D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14:textFill>
                  <w14:solidFill>
                    <w14:schemeClr w14:val="tx1"/>
                  </w14:solidFill>
                </w14:textFill>
              </w:rPr>
              <w:t>￥</w:t>
            </w:r>
            <w:r>
              <w:rPr>
                <w:rFonts w:hint="eastAsia" w:ascii="宋体" w:hAnsi="宋体" w:cs="宋体"/>
                <w:color w:val="000000" w:themeColor="text1"/>
                <w:kern w:val="0"/>
                <w:sz w:val="24"/>
                <w:szCs w:val="21"/>
                <w:highlight w:val="none"/>
                <w:lang w:eastAsia="zh-CN"/>
                <w14:textFill>
                  <w14:solidFill>
                    <w14:schemeClr w14:val="tx1"/>
                  </w14:solidFill>
                </w14:textFill>
              </w:rPr>
              <w:t>：</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1"/>
                <w:highlight w:val="none"/>
                <w:u w:val="none"/>
                <w:lang w:val="en-US" w:eastAsia="zh-CN"/>
                <w14:textFill>
                  <w14:solidFill>
                    <w14:schemeClr w14:val="tx1"/>
                  </w14:solidFill>
                </w14:textFill>
              </w:rPr>
              <w:t>（小写）</w:t>
            </w:r>
          </w:p>
        </w:tc>
      </w:tr>
    </w:tbl>
    <w:p w14:paraId="50538298">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000000" w:themeColor="text1"/>
          <w:kern w:val="0"/>
          <w:sz w:val="24"/>
          <w:highlight w:val="none"/>
          <w14:textFill>
            <w14:solidFill>
              <w14:schemeClr w14:val="tx1"/>
            </w14:solidFill>
          </w14:textFill>
        </w:rPr>
      </w:pPr>
    </w:p>
    <w:p w14:paraId="1F0E61BF">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p>
    <w:p w14:paraId="20857748">
      <w:pPr>
        <w:pStyle w:val="31"/>
        <w:rPr>
          <w:rFonts w:hint="eastAsia"/>
          <w:color w:val="000000" w:themeColor="text1"/>
          <w:highlight w:val="none"/>
          <w14:textFill>
            <w14:solidFill>
              <w14:schemeClr w14:val="tx1"/>
            </w14:solidFill>
          </w14:textFill>
        </w:rPr>
      </w:pPr>
    </w:p>
    <w:p w14:paraId="7FC7C8F9">
      <w:pPr>
        <w:widowControl/>
        <w:shd w:val="clear" w:color="auto" w:fill="FFFFFF"/>
        <w:spacing w:line="360" w:lineRule="auto"/>
        <w:ind w:left="1418" w:hanging="567"/>
        <w:jc w:val="both"/>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供应商法定代表人</w:t>
      </w:r>
      <w:r>
        <w:rPr>
          <w:rFonts w:hint="eastAsia" w:ascii="宋体" w:hAnsi="宋体" w:cs="宋体"/>
          <w:color w:val="000000" w:themeColor="text1"/>
          <w:kern w:val="0"/>
          <w:sz w:val="24"/>
          <w:highlight w:val="none"/>
          <w:lang w:eastAsia="zh-CN"/>
          <w14:textFill>
            <w14:solidFill>
              <w14:schemeClr w14:val="tx1"/>
            </w14:solidFill>
          </w14:textFill>
        </w:rPr>
        <w:t>或</w:t>
      </w:r>
      <w:r>
        <w:rPr>
          <w:rFonts w:hint="eastAsia" w:ascii="宋体" w:hAnsi="宋体" w:cs="宋体"/>
          <w:color w:val="000000" w:themeColor="text1"/>
          <w:kern w:val="0"/>
          <w:sz w:val="24"/>
          <w:highlight w:val="none"/>
          <w14:textFill>
            <w14:solidFill>
              <w14:schemeClr w14:val="tx1"/>
            </w14:solidFill>
          </w14:textFill>
        </w:rPr>
        <w:t>其授权代表签字：</w:t>
      </w:r>
      <w:r>
        <w:rPr>
          <w:rFonts w:hint="eastAsia" w:ascii="宋体" w:hAnsi="宋体" w:cs="宋体"/>
          <w:color w:val="000000" w:themeColor="text1"/>
          <w:kern w:val="0"/>
          <w:sz w:val="24"/>
          <w:highlight w:val="none"/>
          <w:u w:val="single"/>
          <w14:textFill>
            <w14:solidFill>
              <w14:schemeClr w14:val="tx1"/>
            </w14:solidFill>
          </w14:textFill>
        </w:rPr>
        <w:t xml:space="preserve">              </w:t>
      </w:r>
    </w:p>
    <w:p w14:paraId="5FC92FCB">
      <w:pPr>
        <w:widowControl/>
        <w:shd w:val="clear" w:color="auto" w:fill="FFFFFF"/>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供应商名称： </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36F274BB">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58E5C7E8">
      <w:pPr>
        <w:widowControl/>
        <w:wordWrap w:val="0"/>
        <w:spacing w:line="460" w:lineRule="exact"/>
        <w:ind w:firstLine="2880" w:firstLineChars="12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218651C5">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5552408A">
      <w:pPr>
        <w:pStyle w:val="15"/>
        <w:rPr>
          <w:rFonts w:hint="eastAsia" w:ascii="宋体" w:hAnsi="宋体" w:cs="宋体"/>
          <w:color w:val="000000" w:themeColor="text1"/>
          <w:kern w:val="0"/>
          <w:sz w:val="24"/>
          <w:highlight w:val="none"/>
          <w14:textFill>
            <w14:solidFill>
              <w14:schemeClr w14:val="tx1"/>
            </w14:solidFill>
          </w14:textFill>
        </w:rPr>
      </w:pPr>
    </w:p>
    <w:p w14:paraId="518E4DBE">
      <w:pPr>
        <w:pStyle w:val="16"/>
        <w:rPr>
          <w:rFonts w:hint="eastAsia" w:ascii="宋体" w:hAnsi="宋体" w:cs="宋体"/>
          <w:color w:val="000000" w:themeColor="text1"/>
          <w:kern w:val="0"/>
          <w:sz w:val="24"/>
          <w:highlight w:val="none"/>
          <w14:textFill>
            <w14:solidFill>
              <w14:schemeClr w14:val="tx1"/>
            </w14:solidFill>
          </w14:textFill>
        </w:rPr>
      </w:pPr>
    </w:p>
    <w:p w14:paraId="6004137C">
      <w:pPr>
        <w:pStyle w:val="16"/>
        <w:rPr>
          <w:rFonts w:hint="eastAsia" w:ascii="宋体" w:hAnsi="宋体" w:cs="宋体"/>
          <w:color w:val="000000" w:themeColor="text1"/>
          <w:kern w:val="0"/>
          <w:sz w:val="24"/>
          <w:highlight w:val="none"/>
          <w14:textFill>
            <w14:solidFill>
              <w14:schemeClr w14:val="tx1"/>
            </w14:solidFill>
          </w14:textFill>
        </w:rPr>
      </w:pPr>
    </w:p>
    <w:p w14:paraId="715C4FDD">
      <w:pPr>
        <w:pStyle w:val="16"/>
        <w:rPr>
          <w:rFonts w:hint="eastAsia" w:ascii="宋体" w:hAnsi="宋体" w:cs="宋体"/>
          <w:color w:val="000000" w:themeColor="text1"/>
          <w:kern w:val="0"/>
          <w:sz w:val="24"/>
          <w:highlight w:val="none"/>
          <w14:textFill>
            <w14:solidFill>
              <w14:schemeClr w14:val="tx1"/>
            </w14:solidFill>
          </w14:textFill>
        </w:rPr>
      </w:pPr>
    </w:p>
    <w:p w14:paraId="7F7C82DF">
      <w:pPr>
        <w:pStyle w:val="16"/>
        <w:rPr>
          <w:rFonts w:hint="eastAsia" w:ascii="宋体" w:hAnsi="宋体" w:cs="宋体"/>
          <w:color w:val="000000" w:themeColor="text1"/>
          <w:kern w:val="0"/>
          <w:sz w:val="24"/>
          <w:highlight w:val="none"/>
          <w14:textFill>
            <w14:solidFill>
              <w14:schemeClr w14:val="tx1"/>
            </w14:solidFill>
          </w14:textFill>
        </w:rPr>
      </w:pPr>
    </w:p>
    <w:p w14:paraId="4EDC57C7">
      <w:pPr>
        <w:pStyle w:val="16"/>
        <w:rPr>
          <w:rFonts w:hint="eastAsia" w:ascii="宋体" w:hAnsi="宋体" w:cs="宋体"/>
          <w:color w:val="000000" w:themeColor="text1"/>
          <w:kern w:val="0"/>
          <w:sz w:val="24"/>
          <w:highlight w:val="none"/>
          <w14:textFill>
            <w14:solidFill>
              <w14:schemeClr w14:val="tx1"/>
            </w14:solidFill>
          </w14:textFill>
        </w:rPr>
      </w:pPr>
    </w:p>
    <w:p w14:paraId="62DCD9CD">
      <w:pPr>
        <w:pStyle w:val="16"/>
        <w:rPr>
          <w:rFonts w:hint="eastAsia" w:ascii="宋体" w:hAnsi="宋体" w:cs="宋体"/>
          <w:color w:val="000000" w:themeColor="text1"/>
          <w:kern w:val="0"/>
          <w:sz w:val="24"/>
          <w:highlight w:val="none"/>
          <w14:textFill>
            <w14:solidFill>
              <w14:schemeClr w14:val="tx1"/>
            </w14:solidFill>
          </w14:textFill>
        </w:rPr>
      </w:pPr>
    </w:p>
    <w:p w14:paraId="7E218541">
      <w:pPr>
        <w:pStyle w:val="16"/>
        <w:rPr>
          <w:rFonts w:hint="eastAsia" w:ascii="宋体" w:hAnsi="宋体" w:cs="宋体"/>
          <w:color w:val="000000" w:themeColor="text1"/>
          <w:kern w:val="0"/>
          <w:sz w:val="24"/>
          <w:highlight w:val="none"/>
          <w14:textFill>
            <w14:solidFill>
              <w14:schemeClr w14:val="tx1"/>
            </w14:solidFill>
          </w14:textFill>
        </w:rPr>
      </w:pPr>
    </w:p>
    <w:p w14:paraId="5892AD52">
      <w:pPr>
        <w:pStyle w:val="16"/>
        <w:rPr>
          <w:rFonts w:hint="eastAsia" w:ascii="宋体" w:hAnsi="宋体" w:cs="宋体"/>
          <w:color w:val="000000" w:themeColor="text1"/>
          <w:kern w:val="0"/>
          <w:sz w:val="24"/>
          <w:highlight w:val="none"/>
          <w14:textFill>
            <w14:solidFill>
              <w14:schemeClr w14:val="tx1"/>
            </w14:solidFill>
          </w14:textFill>
        </w:rPr>
      </w:pPr>
    </w:p>
    <w:p w14:paraId="206E310E">
      <w:pPr>
        <w:pStyle w:val="16"/>
        <w:rPr>
          <w:rFonts w:hint="eastAsia" w:ascii="宋体" w:hAnsi="宋体" w:cs="宋体"/>
          <w:color w:val="000000" w:themeColor="text1"/>
          <w:kern w:val="0"/>
          <w:sz w:val="24"/>
          <w:highlight w:val="none"/>
          <w14:textFill>
            <w14:solidFill>
              <w14:schemeClr w14:val="tx1"/>
            </w14:solidFill>
          </w14:textFill>
        </w:rPr>
      </w:pPr>
    </w:p>
    <w:p w14:paraId="7C80AC8A">
      <w:pPr>
        <w:pStyle w:val="16"/>
        <w:rPr>
          <w:rFonts w:hint="eastAsia" w:ascii="宋体" w:hAnsi="宋体" w:cs="宋体"/>
          <w:color w:val="000000" w:themeColor="text1"/>
          <w:kern w:val="0"/>
          <w:sz w:val="24"/>
          <w:highlight w:val="none"/>
          <w14:textFill>
            <w14:solidFill>
              <w14:schemeClr w14:val="tx1"/>
            </w14:solidFill>
          </w14:textFill>
        </w:rPr>
        <w:sectPr>
          <w:footerReference r:id="rId6" w:type="default"/>
          <w:pgSz w:w="11906" w:h="16838"/>
          <w:pgMar w:top="1417" w:right="1474" w:bottom="1417" w:left="1474" w:header="851" w:footer="624" w:gutter="0"/>
          <w:pgNumType w:fmt="decimal"/>
          <w:cols w:space="720" w:num="1"/>
          <w:docGrid w:type="lines" w:linePitch="319" w:charSpace="0"/>
        </w:sectPr>
      </w:pPr>
    </w:p>
    <w:p w14:paraId="1C6A7780">
      <w:pPr>
        <w:pStyle w:val="6"/>
        <w:rPr>
          <w:rFonts w:hint="eastAsia" w:eastAsia="黑体"/>
          <w:color w:val="000000" w:themeColor="text1"/>
          <w:highlight w:val="none"/>
          <w:lang w:val="en-US" w:eastAsia="zh-CN"/>
          <w14:textFill>
            <w14:solidFill>
              <w14:schemeClr w14:val="tx1"/>
            </w14:solidFill>
          </w14:textFill>
        </w:rPr>
      </w:pPr>
      <w:bookmarkStart w:id="74" w:name="_Toc15804"/>
      <w:bookmarkStart w:id="75" w:name="_Toc226"/>
      <w:r>
        <w:rPr>
          <w:rFonts w:hint="eastAsia"/>
          <w:color w:val="000000" w:themeColor="text1"/>
          <w:highlight w:val="none"/>
          <w14:textFill>
            <w14:solidFill>
              <w14:schemeClr w14:val="tx1"/>
            </w14:solidFill>
          </w14:textFill>
        </w:rPr>
        <w:t xml:space="preserve">附件5         </w:t>
      </w:r>
      <w:bookmarkEnd w:id="74"/>
      <w:bookmarkEnd w:id="75"/>
      <w:r>
        <w:rPr>
          <w:rFonts w:hint="eastAsia"/>
          <w:color w:val="000000" w:themeColor="text1"/>
          <w:highlight w:val="none"/>
          <w14:textFill>
            <w14:solidFill>
              <w14:schemeClr w14:val="tx1"/>
            </w14:solidFill>
          </w14:textFill>
        </w:rPr>
        <w:t xml:space="preserve">     技术响应</w:t>
      </w:r>
      <w:r>
        <w:rPr>
          <w:rFonts w:hint="eastAsia"/>
          <w:color w:val="000000" w:themeColor="text1"/>
          <w:highlight w:val="none"/>
          <w:lang w:val="en-US" w:eastAsia="zh-CN"/>
          <w14:textFill>
            <w14:solidFill>
              <w14:schemeClr w14:val="tx1"/>
            </w14:solidFill>
          </w14:textFill>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29AFF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2701872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44" w:type="dxa"/>
            <w:noWrap w:val="0"/>
            <w:vAlign w:val="center"/>
          </w:tcPr>
          <w:p w14:paraId="0195FEC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264" w:type="dxa"/>
            <w:noWrap w:val="0"/>
            <w:vAlign w:val="center"/>
          </w:tcPr>
          <w:p w14:paraId="45CC1E6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3329" w:type="dxa"/>
            <w:noWrap w:val="0"/>
            <w:vAlign w:val="center"/>
          </w:tcPr>
          <w:p w14:paraId="47BC5DD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文件响应</w:t>
            </w:r>
          </w:p>
        </w:tc>
        <w:tc>
          <w:tcPr>
            <w:tcW w:w="1222" w:type="dxa"/>
            <w:noWrap w:val="0"/>
            <w:vAlign w:val="center"/>
          </w:tcPr>
          <w:p w14:paraId="4A6FD69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偏离情况</w:t>
            </w:r>
          </w:p>
        </w:tc>
      </w:tr>
      <w:tr w14:paraId="6BCA3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EE9712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44" w:type="dxa"/>
            <w:noWrap w:val="0"/>
            <w:vAlign w:val="center"/>
          </w:tcPr>
          <w:p w14:paraId="3429948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2215090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5401E77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5473201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03068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229563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44" w:type="dxa"/>
            <w:noWrap w:val="0"/>
            <w:vAlign w:val="center"/>
          </w:tcPr>
          <w:p w14:paraId="68AAA83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1952F06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4782C6A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67F5F7A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DEA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5A976C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tc>
        <w:tc>
          <w:tcPr>
            <w:tcW w:w="1244" w:type="dxa"/>
            <w:noWrap w:val="0"/>
            <w:vAlign w:val="center"/>
          </w:tcPr>
          <w:p w14:paraId="3321AA5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2264" w:type="dxa"/>
            <w:noWrap w:val="0"/>
            <w:vAlign w:val="center"/>
          </w:tcPr>
          <w:p w14:paraId="13C555E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3329" w:type="dxa"/>
            <w:noWrap w:val="0"/>
            <w:vAlign w:val="center"/>
          </w:tcPr>
          <w:p w14:paraId="691E7D4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222" w:type="dxa"/>
            <w:noWrap w:val="0"/>
            <w:vAlign w:val="center"/>
          </w:tcPr>
          <w:p w14:paraId="0D951D2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2359F8BE">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2E664277">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注：供应商必须如实完整填写表格，“偏离情况”是指“正偏离”、“负偏离”或“无偏离”。</w:t>
      </w:r>
    </w:p>
    <w:p w14:paraId="511E8224">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7C05F1AC">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1426F80">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7EBE851F">
      <w:pPr>
        <w:widowControl/>
        <w:wordWrap w:val="0"/>
        <w:spacing w:line="460" w:lineRule="exact"/>
        <w:ind w:firstLine="1920" w:firstLineChars="8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0F7E8F63">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549B588C">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6826AEEE">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71D78546">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24C99A0F">
      <w:pPr>
        <w:widowControl/>
        <w:wordWrap w:val="0"/>
        <w:spacing w:line="460" w:lineRule="exact"/>
        <w:ind w:firstLine="643" w:firstLineChars="200"/>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p>
    <w:p w14:paraId="1B296972">
      <w:pPr>
        <w:widowControl/>
        <w:wordWrap w:val="0"/>
        <w:snapToGrid w:val="0"/>
        <w:spacing w:before="50" w:afterLines="50"/>
        <w:jc w:val="left"/>
        <w:rPr>
          <w:rFonts w:hint="eastAsia" w:ascii="宋体" w:hAnsi="宋体" w:eastAsia="宋体" w:cs="宋体"/>
          <w:color w:val="000000" w:themeColor="text1"/>
          <w:kern w:val="0"/>
          <w:sz w:val="24"/>
          <w:highlight w:val="none"/>
          <w:u w:val="single"/>
          <w:lang w:eastAsia="zh-CN"/>
          <w14:textFill>
            <w14:solidFill>
              <w14:schemeClr w14:val="tx1"/>
            </w14:solidFill>
          </w14:textFill>
        </w:rPr>
      </w:pPr>
    </w:p>
    <w:p w14:paraId="24701C73">
      <w:pP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br w:type="page"/>
      </w:r>
    </w:p>
    <w:p w14:paraId="1B4D4816">
      <w:pPr>
        <w:pStyle w:val="6"/>
        <w:rPr>
          <w:rFonts w:hint="eastAsia" w:cs="Times New Roman"/>
          <w:color w:val="000000" w:themeColor="text1"/>
          <w:highlight w:val="none"/>
          <w:lang w:val="en-US" w:eastAsia="zh-CN"/>
          <w14:textFill>
            <w14:solidFill>
              <w14:schemeClr w14:val="tx1"/>
            </w14:solidFill>
          </w14:textFill>
        </w:rPr>
      </w:pPr>
      <w:bookmarkStart w:id="76" w:name="_Toc24168"/>
      <w:bookmarkStart w:id="77" w:name="_Toc20420"/>
      <w:bookmarkStart w:id="78" w:name="_Toc29960"/>
      <w:r>
        <w:rPr>
          <w:rFonts w:hint="eastAsia" w:cs="Times New Roman"/>
          <w:color w:val="000000" w:themeColor="text1"/>
          <w:highlight w:val="none"/>
          <w14:textFill>
            <w14:solidFill>
              <w14:schemeClr w14:val="tx1"/>
            </w14:solidFill>
          </w14:textFill>
        </w:rPr>
        <w:t>附件6               商务响应</w:t>
      </w:r>
      <w:bookmarkEnd w:id="76"/>
      <w:bookmarkEnd w:id="77"/>
      <w:bookmarkEnd w:id="78"/>
      <w:r>
        <w:rPr>
          <w:rFonts w:hint="eastAsia" w:cs="Times New Roman"/>
          <w:color w:val="000000" w:themeColor="text1"/>
          <w:highlight w:val="none"/>
          <w:lang w:val="en-US" w:eastAsia="zh-CN"/>
          <w14:textFill>
            <w14:solidFill>
              <w14:schemeClr w14:val="tx1"/>
            </w14:solidFill>
          </w14:textFill>
        </w:rPr>
        <w:t>表（格式）</w:t>
      </w:r>
    </w:p>
    <w:p w14:paraId="39B17D57">
      <w:pPr>
        <w:widowControl/>
        <w:wordWrap w:val="0"/>
        <w:spacing w:line="460" w:lineRule="exact"/>
        <w:jc w:val="left"/>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28046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481384B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p>
        </w:tc>
        <w:tc>
          <w:tcPr>
            <w:tcW w:w="2054" w:type="dxa"/>
            <w:noWrap w:val="0"/>
            <w:vAlign w:val="center"/>
          </w:tcPr>
          <w:p w14:paraId="2094685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采购</w:t>
            </w:r>
            <w:r>
              <w:rPr>
                <w:rFonts w:hint="eastAsia" w:ascii="宋体" w:hAnsi="宋体" w:eastAsia="宋体" w:cs="宋体"/>
                <w:color w:val="000000" w:themeColor="text1"/>
                <w:sz w:val="24"/>
                <w:szCs w:val="24"/>
                <w:highlight w:val="none"/>
                <w14:textFill>
                  <w14:solidFill>
                    <w14:schemeClr w14:val="tx1"/>
                  </w14:solidFill>
                </w14:textFill>
              </w:rPr>
              <w:t>文件要求</w:t>
            </w:r>
          </w:p>
        </w:tc>
        <w:tc>
          <w:tcPr>
            <w:tcW w:w="1866" w:type="dxa"/>
            <w:noWrap w:val="0"/>
            <w:vAlign w:val="center"/>
          </w:tcPr>
          <w:p w14:paraId="12566E9B">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投标文件</w:t>
            </w:r>
          </w:p>
          <w:p w14:paraId="2A2D00C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响应情况</w:t>
            </w:r>
          </w:p>
        </w:tc>
        <w:tc>
          <w:tcPr>
            <w:tcW w:w="1612" w:type="dxa"/>
            <w:noWrap w:val="0"/>
            <w:vAlign w:val="center"/>
          </w:tcPr>
          <w:p w14:paraId="58EE36F4">
            <w:pPr>
              <w:pageBreakBefore w:val="0"/>
              <w:widowControl/>
              <w:wordWrap/>
              <w:overflowPunct/>
              <w:topLinePunct w:val="0"/>
              <w:bidi w:val="0"/>
              <w:spacing w:line="360" w:lineRule="auto"/>
              <w:jc w:val="center"/>
              <w:textAlignment w:val="baseline"/>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对采购文件</w:t>
            </w:r>
          </w:p>
          <w:p w14:paraId="79E3CF2D">
            <w:pPr>
              <w:pageBreakBefore w:val="0"/>
              <w:widowControl/>
              <w:wordWrap/>
              <w:overflowPunct/>
              <w:topLinePunct w:val="0"/>
              <w:bidi w:val="0"/>
              <w:spacing w:line="360" w:lineRule="auto"/>
              <w:jc w:val="center"/>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偏差</w:t>
            </w:r>
          </w:p>
        </w:tc>
        <w:tc>
          <w:tcPr>
            <w:tcW w:w="1612" w:type="dxa"/>
            <w:noWrap w:val="0"/>
            <w:vAlign w:val="center"/>
          </w:tcPr>
          <w:p w14:paraId="5CD49F33">
            <w:pPr>
              <w:pageBreakBefore w:val="0"/>
              <w:widowControl/>
              <w:wordWrap/>
              <w:overflowPunct/>
              <w:topLinePunct w:val="0"/>
              <w:bidi w:val="0"/>
              <w:spacing w:line="360" w:lineRule="auto"/>
              <w:jc w:val="center"/>
              <w:textAlignment w:val="baseline"/>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14:paraId="2A3E0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143EF02">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6B0FD0D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339D8F5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49EFAF2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1D89098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69D41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247F484">
            <w:pPr>
              <w:pStyle w:val="15"/>
              <w:ind w:left="0" w:leftChar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2054" w:type="dxa"/>
            <w:noWrap w:val="0"/>
            <w:vAlign w:val="center"/>
          </w:tcPr>
          <w:p w14:paraId="76BBAD6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06F20A3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30FD7B9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930295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71F0E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4E1AEE1">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6692AA0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1F22E04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529E026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024900F4">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1601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1D4CD6B">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160D9E3B">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36B3079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567DD3F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5C37391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34CA2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4FE6DF2">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16753A3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7E62FFF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B493C8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7E5D9E1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670A1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53AA3C5">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507E39F2">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57E886B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95ACFB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CCD8A5D">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r w14:paraId="5589D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B3DD453">
            <w:pPr>
              <w:pStyle w:val="15"/>
              <w:ind w:left="0" w:leftChars="0"/>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2054" w:type="dxa"/>
            <w:noWrap w:val="0"/>
            <w:vAlign w:val="center"/>
          </w:tcPr>
          <w:p w14:paraId="3FB9D6C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866" w:type="dxa"/>
            <w:noWrap w:val="0"/>
            <w:vAlign w:val="center"/>
          </w:tcPr>
          <w:p w14:paraId="4D04214F">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666BE76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c>
          <w:tcPr>
            <w:tcW w:w="1612" w:type="dxa"/>
            <w:noWrap w:val="0"/>
            <w:vAlign w:val="center"/>
          </w:tcPr>
          <w:p w14:paraId="0F1F089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p>
        </w:tc>
      </w:tr>
    </w:tbl>
    <w:p w14:paraId="1468ADB7">
      <w:pPr>
        <w:rPr>
          <w:rFonts w:cs="宋体"/>
          <w:b/>
          <w:color w:val="000000" w:themeColor="text1"/>
          <w:kern w:val="0"/>
          <w:sz w:val="24"/>
          <w:highlight w:val="none"/>
          <w14:textFill>
            <w14:solidFill>
              <w14:schemeClr w14:val="tx1"/>
            </w14:solidFill>
          </w14:textFill>
        </w:rPr>
      </w:pPr>
    </w:p>
    <w:p w14:paraId="088ADB4A">
      <w:pPr>
        <w:pStyle w:val="31"/>
        <w:rPr>
          <w:color w:val="000000" w:themeColor="text1"/>
          <w:highlight w:val="none"/>
          <w14:textFill>
            <w14:solidFill>
              <w14:schemeClr w14:val="tx1"/>
            </w14:solidFill>
          </w14:textFill>
        </w:rPr>
      </w:pPr>
    </w:p>
    <w:p w14:paraId="4DECFF19">
      <w:pPr>
        <w:pageBreakBefore w:val="0"/>
        <w:widowControl/>
        <w:wordWrap/>
        <w:overflowPunct/>
        <w:topLinePunct w:val="0"/>
        <w:bidi w:val="0"/>
        <w:spacing w:line="360"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（全称并加盖公章）</w:t>
      </w:r>
    </w:p>
    <w:p w14:paraId="665AC3FC">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年    月    日</w:t>
      </w:r>
    </w:p>
    <w:p w14:paraId="16F4C89A">
      <w:pPr>
        <w:outlineLvl w:val="9"/>
        <w:rPr>
          <w:color w:val="000000" w:themeColor="text1"/>
          <w:highlight w:val="none"/>
          <w14:textFill>
            <w14:solidFill>
              <w14:schemeClr w14:val="tx1"/>
            </w14:solidFill>
          </w14:textFill>
        </w:rPr>
      </w:pPr>
    </w:p>
    <w:p w14:paraId="2D7C89F3">
      <w:pPr>
        <w:outlineLvl w:val="9"/>
        <w:rPr>
          <w:color w:val="000000" w:themeColor="text1"/>
          <w:highlight w:val="none"/>
          <w14:textFill>
            <w14:solidFill>
              <w14:schemeClr w14:val="tx1"/>
            </w14:solidFill>
          </w14:textFill>
        </w:rPr>
      </w:pPr>
    </w:p>
    <w:p w14:paraId="41422181">
      <w:pPr>
        <w:outlineLvl w:val="9"/>
        <w:rPr>
          <w:color w:val="000000" w:themeColor="text1"/>
          <w:highlight w:val="none"/>
          <w14:textFill>
            <w14:solidFill>
              <w14:schemeClr w14:val="tx1"/>
            </w14:solidFill>
          </w14:textFill>
        </w:rPr>
      </w:pPr>
    </w:p>
    <w:p w14:paraId="34535165">
      <w:pPr>
        <w:outlineLvl w:val="9"/>
        <w:rPr>
          <w:color w:val="000000" w:themeColor="text1"/>
          <w:highlight w:val="none"/>
          <w14:textFill>
            <w14:solidFill>
              <w14:schemeClr w14:val="tx1"/>
            </w14:solidFill>
          </w14:textFill>
        </w:rPr>
      </w:pPr>
    </w:p>
    <w:p w14:paraId="4CB13A3E">
      <w:pPr>
        <w:outlineLvl w:val="9"/>
        <w:rPr>
          <w:color w:val="000000" w:themeColor="text1"/>
          <w:highlight w:val="none"/>
          <w14:textFill>
            <w14:solidFill>
              <w14:schemeClr w14:val="tx1"/>
            </w14:solidFill>
          </w14:textFill>
        </w:rPr>
      </w:pPr>
    </w:p>
    <w:p w14:paraId="171D0726">
      <w:pPr>
        <w:outlineLvl w:val="9"/>
        <w:rPr>
          <w:color w:val="000000" w:themeColor="text1"/>
          <w:highlight w:val="none"/>
          <w14:textFill>
            <w14:solidFill>
              <w14:schemeClr w14:val="tx1"/>
            </w14:solidFill>
          </w14:textFill>
        </w:rPr>
      </w:pPr>
    </w:p>
    <w:p w14:paraId="03004560">
      <w:pPr>
        <w:outlineLvl w:val="9"/>
        <w:rPr>
          <w:color w:val="000000" w:themeColor="text1"/>
          <w:highlight w:val="none"/>
          <w14:textFill>
            <w14:solidFill>
              <w14:schemeClr w14:val="tx1"/>
            </w14:solidFill>
          </w14:textFill>
        </w:rPr>
      </w:pPr>
    </w:p>
    <w:p w14:paraId="35DDA688">
      <w:pPr>
        <w:outlineLvl w:val="9"/>
        <w:rPr>
          <w:color w:val="000000" w:themeColor="text1"/>
          <w:highlight w:val="none"/>
          <w14:textFill>
            <w14:solidFill>
              <w14:schemeClr w14:val="tx1"/>
            </w14:solidFill>
          </w14:textFill>
        </w:rPr>
      </w:pPr>
    </w:p>
    <w:p w14:paraId="67E781B4">
      <w:pPr>
        <w:outlineLvl w:val="9"/>
        <w:rPr>
          <w:color w:val="000000" w:themeColor="text1"/>
          <w:highlight w:val="none"/>
          <w14:textFill>
            <w14:solidFill>
              <w14:schemeClr w14:val="tx1"/>
            </w14:solidFill>
          </w14:textFill>
        </w:rPr>
      </w:pPr>
    </w:p>
    <w:p w14:paraId="616AE805">
      <w:pPr>
        <w:outlineLvl w:val="9"/>
        <w:rPr>
          <w:color w:val="000000" w:themeColor="text1"/>
          <w:highlight w:val="none"/>
          <w14:textFill>
            <w14:solidFill>
              <w14:schemeClr w14:val="tx1"/>
            </w14:solidFill>
          </w14:textFill>
        </w:rPr>
      </w:pPr>
    </w:p>
    <w:p w14:paraId="2A2E9D7C">
      <w:pPr>
        <w:outlineLvl w:val="9"/>
        <w:rPr>
          <w:color w:val="000000" w:themeColor="text1"/>
          <w:highlight w:val="none"/>
          <w14:textFill>
            <w14:solidFill>
              <w14:schemeClr w14:val="tx1"/>
            </w14:solidFill>
          </w14:textFill>
        </w:rPr>
      </w:pPr>
    </w:p>
    <w:p w14:paraId="38ACD1E2">
      <w:pPr>
        <w:outlineLvl w:val="9"/>
        <w:rPr>
          <w:color w:val="000000" w:themeColor="text1"/>
          <w:highlight w:val="none"/>
          <w14:textFill>
            <w14:solidFill>
              <w14:schemeClr w14:val="tx1"/>
            </w14:solidFill>
          </w14:textFill>
        </w:rPr>
      </w:pPr>
    </w:p>
    <w:p w14:paraId="688A9A45">
      <w:pPr>
        <w:outlineLvl w:val="9"/>
        <w:rPr>
          <w:color w:val="000000" w:themeColor="text1"/>
          <w:highlight w:val="none"/>
          <w14:textFill>
            <w14:solidFill>
              <w14:schemeClr w14:val="tx1"/>
            </w14:solidFill>
          </w14:textFill>
        </w:rPr>
      </w:pPr>
    </w:p>
    <w:p w14:paraId="235EB905">
      <w:pPr>
        <w:outlineLvl w:val="9"/>
        <w:rPr>
          <w:color w:val="000000" w:themeColor="text1"/>
          <w:highlight w:val="none"/>
          <w14:textFill>
            <w14:solidFill>
              <w14:schemeClr w14:val="tx1"/>
            </w14:solidFill>
          </w14:textFill>
        </w:rPr>
      </w:pPr>
    </w:p>
    <w:p w14:paraId="0E88A749">
      <w:pPr>
        <w:outlineLvl w:val="9"/>
        <w:rPr>
          <w:color w:val="000000" w:themeColor="text1"/>
          <w:highlight w:val="none"/>
          <w14:textFill>
            <w14:solidFill>
              <w14:schemeClr w14:val="tx1"/>
            </w14:solidFill>
          </w14:textFill>
        </w:rPr>
      </w:pPr>
    </w:p>
    <w:p w14:paraId="46663050">
      <w:pPr>
        <w:rPr>
          <w:rFonts w:hint="eastAsia" w:ascii="Arial" w:hAnsi="Arial" w:eastAsia="新宋体"/>
          <w:b/>
          <w:color w:val="000000" w:themeColor="text1"/>
          <w:sz w:val="28"/>
          <w:highlight w:val="none"/>
          <w14:textFill>
            <w14:solidFill>
              <w14:schemeClr w14:val="tx1"/>
            </w14:solidFill>
          </w14:textFill>
        </w:rPr>
      </w:pPr>
      <w:bookmarkStart w:id="79" w:name="_Toc28621"/>
      <w:bookmarkStart w:id="80" w:name="_Toc31526"/>
      <w:r>
        <w:rPr>
          <w:rFonts w:hint="eastAsia" w:ascii="Arial" w:hAnsi="Arial" w:eastAsia="新宋体"/>
          <w:b/>
          <w:color w:val="000000" w:themeColor="text1"/>
          <w:sz w:val="28"/>
          <w:highlight w:val="none"/>
          <w14:textFill>
            <w14:solidFill>
              <w14:schemeClr w14:val="tx1"/>
            </w14:solidFill>
          </w14:textFill>
        </w:rPr>
        <w:br w:type="page"/>
      </w:r>
    </w:p>
    <w:p w14:paraId="32C33639">
      <w:pPr>
        <w:widowControl/>
        <w:wordWrap w:val="0"/>
        <w:spacing w:line="460" w:lineRule="exact"/>
        <w:jc w:val="left"/>
        <w:outlineLvl w:val="0"/>
        <w:rPr>
          <w:rFonts w:hint="eastAsia" w:ascii="黑体" w:hAnsi="黑体" w:eastAsia="黑体" w:cs="黑体"/>
          <w:b w:val="0"/>
          <w:bCs/>
          <w:color w:val="000000" w:themeColor="text1"/>
          <w:sz w:val="32"/>
          <w:szCs w:val="28"/>
          <w:highlight w:val="none"/>
          <w14:textFill>
            <w14:solidFill>
              <w14:schemeClr w14:val="tx1"/>
            </w14:solidFill>
          </w14:textFill>
        </w:rPr>
      </w:pPr>
      <w:bookmarkStart w:id="81" w:name="_Toc29406"/>
      <w:r>
        <w:rPr>
          <w:rFonts w:hint="eastAsia" w:ascii="黑体" w:hAnsi="黑体" w:eastAsia="黑体" w:cs="黑体"/>
          <w:b w:val="0"/>
          <w:bCs/>
          <w:color w:val="000000" w:themeColor="text1"/>
          <w:sz w:val="32"/>
          <w:szCs w:val="28"/>
          <w:highlight w:val="none"/>
          <w14:textFill>
            <w14:solidFill>
              <w14:schemeClr w14:val="tx1"/>
            </w14:solidFill>
          </w14:textFill>
        </w:rPr>
        <w:t xml:space="preserve">附件7     </w:t>
      </w:r>
      <w:r>
        <w:rPr>
          <w:rFonts w:hint="eastAsia" w:ascii="黑体" w:hAnsi="黑体" w:eastAsia="黑体" w:cs="黑体"/>
          <w:b w:val="0"/>
          <w:bCs/>
          <w:color w:val="000000" w:themeColor="text1"/>
          <w:sz w:val="32"/>
          <w:szCs w:val="28"/>
          <w:highlight w:val="none"/>
          <w:lang w:val="en-US" w:eastAsia="zh-CN"/>
          <w14:textFill>
            <w14:solidFill>
              <w14:schemeClr w14:val="tx1"/>
            </w14:solidFill>
          </w14:textFill>
        </w:rPr>
        <w:t xml:space="preserve">   </w:t>
      </w:r>
      <w:r>
        <w:rPr>
          <w:rFonts w:hint="eastAsia" w:ascii="黑体" w:hAnsi="黑体" w:eastAsia="黑体" w:cs="黑体"/>
          <w:b w:val="0"/>
          <w:bCs/>
          <w:color w:val="000000" w:themeColor="text1"/>
          <w:sz w:val="32"/>
          <w:szCs w:val="28"/>
          <w:highlight w:val="none"/>
          <w14:textFill>
            <w14:solidFill>
              <w14:schemeClr w14:val="tx1"/>
            </w14:solidFill>
          </w14:textFill>
        </w:rPr>
        <w:t xml:space="preserve">   法定代表人身份证明（格式）</w:t>
      </w:r>
      <w:bookmarkEnd w:id="79"/>
      <w:bookmarkEnd w:id="80"/>
      <w:bookmarkEnd w:id="81"/>
    </w:p>
    <w:p w14:paraId="017D921D">
      <w:pPr>
        <w:widowControl/>
        <w:wordWrap w:val="0"/>
        <w:spacing w:line="460" w:lineRule="exact"/>
        <w:jc w:val="left"/>
        <w:rPr>
          <w:rFonts w:ascii="宋体" w:hAnsi="宋体" w:cs="宋体"/>
          <w:color w:val="000000" w:themeColor="text1"/>
          <w:kern w:val="0"/>
          <w:sz w:val="24"/>
          <w:highlight w:val="none"/>
          <w14:textFill>
            <w14:solidFill>
              <w14:schemeClr w14:val="tx1"/>
            </w14:solidFill>
          </w14:textFill>
        </w:rPr>
      </w:pPr>
    </w:p>
    <w:p w14:paraId="725F6A25">
      <w:pPr>
        <w:widowControl/>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名称：</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0627910B">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0555AD47">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成立时间：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月</w:t>
      </w:r>
      <w:r>
        <w:rPr>
          <w:rFonts w:hint="eastAsia" w:ascii="宋体" w:hAnsi="宋体" w:cs="宋体"/>
          <w:color w:val="000000" w:themeColor="text1"/>
          <w:kern w:val="0"/>
          <w:sz w:val="24"/>
          <w:szCs w:val="20"/>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日</w:t>
      </w:r>
    </w:p>
    <w:p w14:paraId="0A0D45C5">
      <w:pPr>
        <w:widowControl/>
        <w:wordWrap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经营期限：</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74F52E8C">
      <w:pPr>
        <w:widowControl/>
        <w:wordWrap w:val="0"/>
        <w:spacing w:line="460" w:lineRule="exact"/>
        <w:ind w:firstLine="480" w:firstLineChars="200"/>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姓名：</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，性别：</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，年龄：</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，职务：</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p>
    <w:p w14:paraId="2FFEB027">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lang w:eastAsia="zh-CN"/>
          <w14:textFill>
            <w14:solidFill>
              <w14:schemeClr w14:val="tx1"/>
            </w14:solidFill>
          </w14:textFill>
        </w:rPr>
        <w:t>供应商</w:t>
      </w:r>
      <w:r>
        <w:rPr>
          <w:rFonts w:hint="eastAsia" w:ascii="宋体" w:hAnsi="宋体" w:cs="宋体"/>
          <w:color w:val="000000" w:themeColor="text1"/>
          <w:kern w:val="0"/>
          <w:sz w:val="24"/>
          <w:szCs w:val="20"/>
          <w:highlight w:val="none"/>
          <w14:textFill>
            <w14:solidFill>
              <w14:schemeClr w14:val="tx1"/>
            </w14:solidFill>
          </w14:textFill>
        </w:rPr>
        <w:t>名称）的法定代表人。</w:t>
      </w:r>
    </w:p>
    <w:p w14:paraId="49E4DBEF">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20E14607">
      <w:pPr>
        <w:widowControl/>
        <w:wordWrap w:val="0"/>
        <w:spacing w:line="460" w:lineRule="exact"/>
        <w:ind w:firstLine="480" w:firstLineChars="200"/>
        <w:jc w:val="left"/>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特此证明。</w:t>
      </w:r>
    </w:p>
    <w:p w14:paraId="2C3491FB">
      <w:pPr>
        <w:widowControl/>
        <w:wordWrap w:val="0"/>
        <w:spacing w:line="460" w:lineRule="exact"/>
        <w:jc w:val="left"/>
        <w:rPr>
          <w:rFonts w:ascii="宋体" w:hAnsi="宋体" w:cs="宋体"/>
          <w:color w:val="000000" w:themeColor="text1"/>
          <w:kern w:val="0"/>
          <w:sz w:val="24"/>
          <w:szCs w:val="20"/>
          <w:highlight w:val="none"/>
          <w14:textFill>
            <w14:solidFill>
              <w14:schemeClr w14:val="tx1"/>
            </w14:solidFill>
          </w14:textFill>
        </w:rPr>
      </w:pPr>
    </w:p>
    <w:p w14:paraId="6C052746">
      <w:pPr>
        <w:widowControl/>
        <w:wordWrap w:val="0"/>
        <w:spacing w:beforeLines="100" w:afterLines="100" w:line="480" w:lineRule="exact"/>
        <w:jc w:val="center"/>
        <w:rPr>
          <w:rFonts w:ascii="宋体" w:hAnsi="宋体" w:cs="Lucida Sans Unicode"/>
          <w:b/>
          <w:color w:val="000000" w:themeColor="text1"/>
          <w:kern w:val="0"/>
          <w:sz w:val="36"/>
          <w:szCs w:val="36"/>
          <w:highlight w:val="none"/>
          <w14:textFill>
            <w14:solidFill>
              <w14:schemeClr w14:val="tx1"/>
            </w14:solidFill>
          </w14:textFill>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82F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66434016">
            <w:pPr>
              <w:widowControl/>
              <w:spacing w:line="480" w:lineRule="exact"/>
              <w:jc w:val="left"/>
              <w:rPr>
                <w:rFonts w:ascii="宋体" w:hAnsi="宋体" w:cs="Lucida Sans Unicode"/>
                <w:bCs/>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此处请粘贴法定代表人身份证复印件</w:t>
            </w:r>
          </w:p>
          <w:p w14:paraId="75A79424">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56DE127A">
            <w:pPr>
              <w:widowControl/>
              <w:spacing w:line="480" w:lineRule="exact"/>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tc>
      </w:tr>
    </w:tbl>
    <w:p w14:paraId="423940F9">
      <w:pPr>
        <w:widowControl/>
        <w:wordWrap w:val="0"/>
        <w:spacing w:beforeLines="100" w:afterLines="100" w:line="480" w:lineRule="exact"/>
        <w:jc w:val="center"/>
        <w:rPr>
          <w:rFonts w:ascii="宋体" w:hAnsi="宋体" w:cs="Lucida Sans Unicode"/>
          <w:b/>
          <w:color w:val="000000" w:themeColor="text1"/>
          <w:kern w:val="0"/>
          <w:sz w:val="24"/>
          <w:highlight w:val="none"/>
          <w14:textFill>
            <w14:solidFill>
              <w14:schemeClr w14:val="tx1"/>
            </w14:solidFill>
          </w14:textFill>
        </w:rPr>
      </w:pPr>
    </w:p>
    <w:p w14:paraId="21C894D5">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08C73D37">
      <w:pPr>
        <w:widowControl/>
        <w:wordWrap w:val="0"/>
        <w:spacing w:beforeLines="100" w:afterLines="100" w:line="480" w:lineRule="exact"/>
        <w:jc w:val="center"/>
        <w:rPr>
          <w:rFonts w:ascii="Lucida Sans Unicode" w:hAnsi="Lucida Sans Unicode" w:cs="Lucida Sans Unicode"/>
          <w:b/>
          <w:color w:val="000000" w:themeColor="text1"/>
          <w:kern w:val="0"/>
          <w:sz w:val="36"/>
          <w:szCs w:val="36"/>
          <w:highlight w:val="none"/>
          <w14:textFill>
            <w14:solidFill>
              <w14:schemeClr w14:val="tx1"/>
            </w14:solidFill>
          </w14:textFill>
        </w:rPr>
      </w:pPr>
    </w:p>
    <w:p w14:paraId="4E3AA348">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72C89375">
      <w:pPr>
        <w:widowControl/>
        <w:wordWrap w:val="0"/>
        <w:spacing w:line="480" w:lineRule="exact"/>
        <w:jc w:val="right"/>
        <w:rPr>
          <w:rFonts w:ascii="仿宋_GB2312" w:hAnsi="仿宋_GB2312" w:eastAsia="仿宋_GB2312" w:cs="Lucida Sans Unicode"/>
          <w:color w:val="000000" w:themeColor="text1"/>
          <w:kern w:val="0"/>
          <w:sz w:val="24"/>
          <w:highlight w:val="none"/>
          <w14:textFill>
            <w14:solidFill>
              <w14:schemeClr w14:val="tx1"/>
            </w14:solidFill>
          </w14:textFill>
        </w:rPr>
      </w:pPr>
    </w:p>
    <w:p w14:paraId="465F2972">
      <w:pPr>
        <w:widowControl/>
        <w:wordWrap w:val="0"/>
        <w:snapToGrid w:val="0"/>
        <w:spacing w:line="460" w:lineRule="exact"/>
        <w:ind w:firstLine="2760" w:firstLineChars="115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74CD459F">
      <w:pPr>
        <w:widowControl/>
        <w:wordWrap w:val="0"/>
        <w:spacing w:line="460" w:lineRule="exact"/>
        <w:ind w:left="3780" w:leftChars="1800"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6262B930">
      <w:pPr>
        <w:rPr>
          <w:color w:val="000000" w:themeColor="text1"/>
          <w:highlight w:val="none"/>
          <w14:textFill>
            <w14:solidFill>
              <w14:schemeClr w14:val="tx1"/>
            </w14:solidFill>
          </w14:textFill>
        </w:rPr>
      </w:pPr>
    </w:p>
    <w:p w14:paraId="635EA8C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6EB84CB9">
      <w:pPr>
        <w:widowControl/>
        <w:wordWrap w:val="0"/>
        <w:spacing w:line="460" w:lineRule="exact"/>
        <w:jc w:val="left"/>
        <w:outlineLvl w:val="0"/>
        <w:rPr>
          <w:rFonts w:hint="eastAsia" w:ascii="黑体" w:hAnsi="黑体" w:eastAsia="黑体" w:cs="黑体"/>
          <w:b/>
          <w:color w:val="000000" w:themeColor="text1"/>
          <w:sz w:val="32"/>
          <w:szCs w:val="28"/>
          <w:highlight w:val="none"/>
          <w14:textFill>
            <w14:solidFill>
              <w14:schemeClr w14:val="tx1"/>
            </w14:solidFill>
          </w14:textFill>
        </w:rPr>
      </w:pPr>
      <w:bookmarkStart w:id="82" w:name="_Toc30519"/>
      <w:bookmarkStart w:id="83" w:name="_Toc13976"/>
      <w:bookmarkStart w:id="84" w:name="_Toc12939"/>
      <w:r>
        <w:rPr>
          <w:rFonts w:hint="eastAsia" w:ascii="黑体" w:hAnsi="黑体" w:eastAsia="黑体" w:cs="黑体"/>
          <w:b/>
          <w:color w:val="000000" w:themeColor="text1"/>
          <w:sz w:val="32"/>
          <w:szCs w:val="28"/>
          <w:highlight w:val="none"/>
          <w14:textFill>
            <w14:solidFill>
              <w14:schemeClr w14:val="tx1"/>
            </w14:solidFill>
          </w14:textFill>
        </w:rPr>
        <w:t>附件8             法定代表人授权书（格式）</w:t>
      </w:r>
      <w:bookmarkEnd w:id="82"/>
      <w:bookmarkEnd w:id="83"/>
      <w:bookmarkEnd w:id="84"/>
    </w:p>
    <w:p w14:paraId="5B44D9CF">
      <w:pPr>
        <w:widowControl/>
        <w:tabs>
          <w:tab w:val="left" w:pos="420"/>
          <w:tab w:val="left" w:pos="2160"/>
        </w:tabs>
        <w:wordWrap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7151DBC9">
      <w:pPr>
        <w:widowControl/>
        <w:wordWrap w:val="0"/>
        <w:snapToGrid w:val="0"/>
        <w:spacing w:line="46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致：</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采购人</w:t>
      </w:r>
      <w:r>
        <w:rPr>
          <w:rFonts w:hint="eastAsia" w:ascii="宋体" w:hAnsi="宋体" w:cs="宋体"/>
          <w:color w:val="000000" w:themeColor="text1"/>
          <w:kern w:val="0"/>
          <w:sz w:val="24"/>
          <w:highlight w:val="none"/>
          <w14:textFill>
            <w14:solidFill>
              <w14:schemeClr w14:val="tx1"/>
            </w14:solidFill>
          </w14:textFill>
        </w:rPr>
        <w:t>名称）：</w:t>
      </w:r>
    </w:p>
    <w:p w14:paraId="1CB697A6">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（姓名）系</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 xml:space="preserve">名称）的法定代表人，现委托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（姓名）为我方代理人。代理人根据本授权，以我方的名义参加</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项目的投标活动，并代表我方全权办理针对上述项目的投标、开标、评标、签约等具体事务和签署相关文件。</w:t>
      </w:r>
    </w:p>
    <w:p w14:paraId="217F759A">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我方对代理人的签名负全部责任。在撤销授权的书面通知以前，本授权书一直有效。代理人在授权书有效期内签署的所有文件不因授权的撤销而失效。</w:t>
      </w:r>
    </w:p>
    <w:p w14:paraId="5CDF86E6">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如果本次采购活动现场变更采购方式，本授权书有效。</w:t>
      </w:r>
    </w:p>
    <w:p w14:paraId="42CD7A36">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代理人无转委托权。</w:t>
      </w:r>
    </w:p>
    <w:p w14:paraId="35F5ACA6">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委托期限：</w:t>
      </w:r>
    </w:p>
    <w:p w14:paraId="540610C2">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p>
    <w:p w14:paraId="40DD8489">
      <w:pPr>
        <w:widowControl/>
        <w:wordWrap w:val="0"/>
        <w:snapToGrid w:val="0"/>
        <w:spacing w:line="460" w:lineRule="exact"/>
        <w:ind w:firstLine="480" w:firstLineChars="200"/>
        <w:jc w:val="left"/>
        <w:rPr>
          <w:rFonts w:ascii="宋体" w:hAnsi="宋体" w:cs="宋体"/>
          <w:color w:val="000000" w:themeColor="text1"/>
          <w:kern w:val="0"/>
          <w:sz w:val="24"/>
          <w:highlight w:val="none"/>
          <w:u w:val="singl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委托代理人签名：             法定代表人签名：</w:t>
      </w:r>
    </w:p>
    <w:p w14:paraId="2DE9DCB8">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2217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6AE52115">
            <w:pPr>
              <w:widowControl/>
              <w:spacing w:line="480" w:lineRule="exact"/>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bCs/>
                <w:color w:val="000000" w:themeColor="text1"/>
                <w:kern w:val="0"/>
                <w:sz w:val="24"/>
                <w:highlight w:val="none"/>
                <w14:textFill>
                  <w14:solidFill>
                    <w14:schemeClr w14:val="tx1"/>
                  </w14:solidFill>
                </w14:textFill>
              </w:rPr>
              <w:t>此处请粘贴</w:t>
            </w:r>
            <w:r>
              <w:rPr>
                <w:rFonts w:hint="eastAsia" w:ascii="宋体" w:hAnsi="宋体" w:cs="宋体"/>
                <w:color w:val="000000" w:themeColor="text1"/>
                <w:kern w:val="0"/>
                <w:sz w:val="24"/>
                <w:highlight w:val="none"/>
                <w14:textFill>
                  <w14:solidFill>
                    <w14:schemeClr w14:val="tx1"/>
                  </w14:solidFill>
                </w14:textFill>
              </w:rPr>
              <w:t>委托代理人</w:t>
            </w:r>
            <w:r>
              <w:rPr>
                <w:rFonts w:hint="eastAsia" w:ascii="宋体" w:hAnsi="宋体" w:cs="Lucida Sans Unicode"/>
                <w:bCs/>
                <w:color w:val="000000" w:themeColor="text1"/>
                <w:kern w:val="0"/>
                <w:sz w:val="24"/>
                <w:highlight w:val="none"/>
                <w14:textFill>
                  <w14:solidFill>
                    <w14:schemeClr w14:val="tx1"/>
                  </w14:solidFill>
                </w14:textFill>
              </w:rPr>
              <w:t>身份证复印件</w:t>
            </w:r>
          </w:p>
        </w:tc>
      </w:tr>
    </w:tbl>
    <w:p w14:paraId="69EA81BD">
      <w:pPr>
        <w:widowControl/>
        <w:wordWrap w:val="0"/>
        <w:snapToGrid w:val="0"/>
        <w:spacing w:line="46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委托代理人身份证号码：</w:t>
      </w:r>
    </w:p>
    <w:p w14:paraId="2916E2AA">
      <w:pPr>
        <w:widowControl/>
        <w:wordWrap w:val="0"/>
        <w:spacing w:line="460" w:lineRule="exact"/>
        <w:ind w:firstLine="4800" w:firstLineChars="2000"/>
        <w:jc w:val="left"/>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634FC270">
      <w:pPr>
        <w:widowControl/>
        <w:wordWrap w:val="0"/>
        <w:spacing w:line="360" w:lineRule="auto"/>
        <w:jc w:val="center"/>
        <w:rPr>
          <w:rFonts w:ascii="仿宋_GB2312" w:hAnsi="Lucida Sans Unicode" w:eastAsia="仿宋_GB2312" w:cs="Lucida Sans Unicode"/>
          <w:color w:val="000000" w:themeColor="text1"/>
          <w:kern w:val="0"/>
          <w:sz w:val="24"/>
          <w:highlight w:val="none"/>
          <w14:textFill>
            <w14:solidFill>
              <w14:schemeClr w14:val="tx1"/>
            </w14:solidFill>
          </w14:textFill>
        </w:rPr>
      </w:pPr>
    </w:p>
    <w:p w14:paraId="29083562">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3A0CF7BC">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76C00EC9">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1AEC8F85">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50C4F0E9">
      <w:pPr>
        <w:widowControl/>
        <w:wordWrap w:val="0"/>
        <w:spacing w:line="360" w:lineRule="auto"/>
        <w:jc w:val="right"/>
        <w:rPr>
          <w:rFonts w:hint="eastAsia" w:ascii="宋体" w:hAnsi="宋体" w:cs="宋体"/>
          <w:color w:val="000000" w:themeColor="text1"/>
          <w:kern w:val="0"/>
          <w:sz w:val="24"/>
          <w:highlight w:val="none"/>
          <w14:textFill>
            <w14:solidFill>
              <w14:schemeClr w14:val="tx1"/>
            </w14:solidFill>
          </w14:textFill>
        </w:rPr>
      </w:pPr>
    </w:p>
    <w:p w14:paraId="1765E10E">
      <w:pPr>
        <w:widowControl/>
        <w:wordWrap/>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（全称并加盖公章）</w:t>
      </w:r>
    </w:p>
    <w:p w14:paraId="55F4732F">
      <w:pPr>
        <w:widowControl/>
        <w:wordWrap w:val="0"/>
        <w:spacing w:line="460" w:lineRule="exact"/>
        <w:ind w:firstLine="3840" w:firstLineChars="1600"/>
        <w:jc w:val="left"/>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年    月    日</w:t>
      </w:r>
    </w:p>
    <w:p w14:paraId="46D5FB71">
      <w:pPr>
        <w:widowControl/>
        <w:spacing w:line="360" w:lineRule="auto"/>
        <w:ind w:firstLine="7228" w:firstLineChars="2250"/>
        <w:jc w:val="left"/>
        <w:rPr>
          <w:rFonts w:ascii="宋体" w:hAnsi="宋体" w:cs="宋体"/>
          <w:b/>
          <w:color w:val="000000" w:themeColor="text1"/>
          <w:kern w:val="0"/>
          <w:sz w:val="32"/>
          <w:szCs w:val="32"/>
          <w:highlight w:val="none"/>
          <w14:textFill>
            <w14:solidFill>
              <w14:schemeClr w14:val="tx1"/>
            </w14:solidFill>
          </w14:textFill>
        </w:rPr>
      </w:pPr>
    </w:p>
    <w:p w14:paraId="3EEF03D7">
      <w:pPr>
        <w:rPr>
          <w:rFonts w:ascii="宋体" w:hAnsi="宋体" w:cs="宋体"/>
          <w:b/>
          <w:color w:val="000000" w:themeColor="text1"/>
          <w:kern w:val="0"/>
          <w:sz w:val="32"/>
          <w:szCs w:val="32"/>
          <w:highlight w:val="none"/>
          <w14:textFill>
            <w14:solidFill>
              <w14:schemeClr w14:val="tx1"/>
            </w14:solidFill>
          </w14:textFill>
        </w:rPr>
      </w:pPr>
      <w:r>
        <w:rPr>
          <w:rFonts w:ascii="宋体" w:hAnsi="宋体" w:cs="宋体"/>
          <w:b/>
          <w:color w:val="000000" w:themeColor="text1"/>
          <w:kern w:val="0"/>
          <w:sz w:val="32"/>
          <w:szCs w:val="32"/>
          <w:highlight w:val="none"/>
          <w14:textFill>
            <w14:solidFill>
              <w14:schemeClr w14:val="tx1"/>
            </w14:solidFill>
          </w14:textFill>
        </w:rPr>
        <w:br w:type="page"/>
      </w:r>
    </w:p>
    <w:p w14:paraId="0A6E7B37">
      <w:pPr>
        <w:widowControl/>
        <w:snapToGrid w:val="0"/>
        <w:spacing w:before="156" w:after="156" w:line="360" w:lineRule="auto"/>
        <w:jc w:val="left"/>
        <w:outlineLvl w:val="0"/>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5" w:name="_Toc18105"/>
      <w:bookmarkStart w:id="86" w:name="_Toc24693"/>
      <w:bookmarkStart w:id="87" w:name="_Toc3342"/>
      <w:r>
        <w:rPr>
          <w:rFonts w:hint="eastAsia" w:ascii="黑体" w:hAnsi="黑体" w:eastAsia="黑体" w:cs="黑体"/>
          <w:b/>
          <w:bCs w:val="0"/>
          <w:color w:val="000000" w:themeColor="text1"/>
          <w:sz w:val="32"/>
          <w:szCs w:val="32"/>
          <w:highlight w:val="none"/>
          <w14:textFill>
            <w14:solidFill>
              <w14:schemeClr w14:val="tx1"/>
            </w14:solidFill>
          </w14:textFill>
        </w:rPr>
        <w:t>附件9               证明文件</w:t>
      </w:r>
      <w:bookmarkEnd w:id="85"/>
      <w:bookmarkEnd w:id="86"/>
      <w:bookmarkEnd w:id="87"/>
    </w:p>
    <w:p w14:paraId="2F202E21">
      <w:pPr>
        <w:pStyle w:val="11"/>
        <w:spacing w:beforeAutospacing="0" w:afterAutospacing="0" w:line="480" w:lineRule="auto"/>
        <w:ind w:firstLine="470" w:firstLineChars="224"/>
        <w:jc w:val="both"/>
        <w:rPr>
          <w:rFonts w:hint="eastAsia"/>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9.1</w:t>
      </w:r>
      <w:r>
        <w:rPr>
          <w:rFonts w:hint="eastAsia"/>
          <w:bCs/>
          <w:color w:val="000000" w:themeColor="text1"/>
          <w:sz w:val="21"/>
          <w:szCs w:val="21"/>
          <w:highlight w:val="none"/>
          <w:lang w:val="en-US" w:eastAsia="zh-CN"/>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资格审查资料</w:t>
      </w:r>
    </w:p>
    <w:p w14:paraId="7BCCE072">
      <w:pPr>
        <w:pStyle w:val="11"/>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lang w:val="en-US" w:eastAsia="zh-CN"/>
          <w14:textFill>
            <w14:solidFill>
              <w14:schemeClr w14:val="tx1"/>
            </w14:solidFill>
          </w14:textFill>
        </w:rPr>
        <w:t>9.2产品技术参数支持资料</w:t>
      </w:r>
    </w:p>
    <w:p w14:paraId="1D2E918C">
      <w:pPr>
        <w:pStyle w:val="11"/>
        <w:spacing w:beforeAutospacing="0" w:afterAutospacing="0" w:line="480" w:lineRule="auto"/>
        <w:ind w:firstLine="470" w:firstLineChars="224"/>
        <w:jc w:val="both"/>
        <w:rPr>
          <w:rFonts w:hint="eastAsia"/>
          <w:bCs/>
          <w:color w:val="000000" w:themeColor="text1"/>
          <w:sz w:val="21"/>
          <w:szCs w:val="21"/>
          <w:highlight w:val="none"/>
          <w:lang w:val="en-US" w:eastAsia="zh-CN"/>
          <w14:textFill>
            <w14:solidFill>
              <w14:schemeClr w14:val="tx1"/>
            </w14:solidFill>
          </w14:textFill>
        </w:rPr>
      </w:pPr>
      <w:r>
        <w:rPr>
          <w:rFonts w:hint="eastAsia"/>
          <w:bCs/>
          <w:color w:val="000000" w:themeColor="text1"/>
          <w:sz w:val="21"/>
          <w:szCs w:val="21"/>
          <w:highlight w:val="none"/>
          <w14:textFill>
            <w14:solidFill>
              <w14:schemeClr w14:val="tx1"/>
            </w14:solidFill>
          </w14:textFill>
        </w:rPr>
        <w:t>9.3</w:t>
      </w:r>
      <w:r>
        <w:rPr>
          <w:rFonts w:hint="eastAsia"/>
          <w:bCs/>
          <w:color w:val="000000" w:themeColor="text1"/>
          <w:sz w:val="21"/>
          <w:szCs w:val="21"/>
          <w:highlight w:val="none"/>
          <w:lang w:val="en-US" w:eastAsia="zh-CN"/>
          <w14:textFill>
            <w14:solidFill>
              <w14:schemeClr w14:val="tx1"/>
            </w14:solidFill>
          </w14:textFill>
        </w:rPr>
        <w:t xml:space="preserve"> </w:t>
      </w:r>
      <w:bookmarkStart w:id="88" w:name="_Toc17966"/>
      <w:r>
        <w:rPr>
          <w:rFonts w:hint="eastAsia"/>
          <w:bCs/>
          <w:color w:val="000000" w:themeColor="text1"/>
          <w:sz w:val="21"/>
          <w:szCs w:val="21"/>
          <w:highlight w:val="none"/>
          <w:lang w:val="en-US" w:eastAsia="zh-CN"/>
          <w14:textFill>
            <w14:solidFill>
              <w14:schemeClr w14:val="tx1"/>
            </w14:solidFill>
          </w14:textFill>
        </w:rPr>
        <w:t>评分标准中需提供的证明材料</w:t>
      </w:r>
    </w:p>
    <w:p w14:paraId="2C6BD9C9">
      <w:pPr>
        <w:pStyle w:val="11"/>
        <w:spacing w:beforeAutospacing="0" w:afterAutospacing="0" w:line="480" w:lineRule="auto"/>
        <w:ind w:firstLine="470" w:firstLineChars="224"/>
        <w:jc w:val="both"/>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w:t>
      </w:r>
      <w:r>
        <w:rPr>
          <w:rFonts w:hint="eastAsia"/>
          <w:bCs/>
          <w:color w:val="000000" w:themeColor="text1"/>
          <w:sz w:val="21"/>
          <w:szCs w:val="21"/>
          <w:highlight w:val="none"/>
          <w:lang w:val="en-US" w:eastAsia="zh-CN"/>
          <w14:textFill>
            <w14:solidFill>
              <w14:schemeClr w14:val="tx1"/>
            </w14:solidFill>
          </w14:textFill>
        </w:rPr>
        <w:t>4 供应商认为其他需要提供的证明材料</w:t>
      </w:r>
      <w:r>
        <w:rPr>
          <w:rFonts w:hint="eastAsia"/>
          <w:bCs/>
          <w:color w:val="000000" w:themeColor="text1"/>
          <w:sz w:val="21"/>
          <w:szCs w:val="21"/>
          <w:highlight w:val="none"/>
          <w14:textFill>
            <w14:solidFill>
              <w14:schemeClr w14:val="tx1"/>
            </w14:solidFill>
          </w14:textFill>
        </w:rPr>
        <w:t>。</w:t>
      </w:r>
    </w:p>
    <w:p w14:paraId="34A04E14">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17B800F">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63DE94D">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53289772">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718C76C9">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522341CA">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F0504DC">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7AF2791E">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2949EC1">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605857D">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293131F4">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2D7AED6">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08221B2">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1D21F368">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54BD83AA">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2E415359">
      <w:pPr>
        <w:pStyle w:val="11"/>
        <w:spacing w:beforeAutospacing="0" w:afterAutospacing="0" w:line="480" w:lineRule="auto"/>
        <w:ind w:firstLine="540" w:firstLineChars="224"/>
        <w:jc w:val="both"/>
        <w:rPr>
          <w:b/>
          <w:bCs/>
          <w:color w:val="000000" w:themeColor="text1"/>
          <w:highlight w:val="none"/>
          <w14:textFill>
            <w14:solidFill>
              <w14:schemeClr w14:val="tx1"/>
            </w14:solidFill>
          </w14:textFill>
        </w:rPr>
      </w:pPr>
    </w:p>
    <w:p w14:paraId="0B196C01">
      <w:pPr>
        <w:rPr>
          <w:rFonts w:hint="eastAsia" w:ascii="黑体" w:hAnsi="黑体" w:eastAsia="黑体" w:cs="黑体"/>
          <w:b/>
          <w:bCs w:val="0"/>
          <w:color w:val="000000" w:themeColor="text1"/>
          <w:kern w:val="0"/>
          <w:sz w:val="32"/>
          <w:szCs w:val="32"/>
          <w:highlight w:val="none"/>
          <w14:textFill>
            <w14:solidFill>
              <w14:schemeClr w14:val="tx1"/>
            </w14:solidFill>
          </w14:textFill>
        </w:rPr>
      </w:pPr>
      <w:bookmarkStart w:id="89" w:name="_Toc12888"/>
      <w:bookmarkStart w:id="90" w:name="_Toc13726"/>
      <w:bookmarkStart w:id="91" w:name="_Toc16083"/>
      <w:r>
        <w:rPr>
          <w:rFonts w:hint="eastAsia" w:ascii="黑体" w:hAnsi="黑体" w:eastAsia="黑体" w:cs="黑体"/>
          <w:b/>
          <w:bCs w:val="0"/>
          <w:color w:val="000000" w:themeColor="text1"/>
          <w:kern w:val="0"/>
          <w:sz w:val="32"/>
          <w:szCs w:val="32"/>
          <w:highlight w:val="none"/>
          <w14:textFill>
            <w14:solidFill>
              <w14:schemeClr w14:val="tx1"/>
            </w14:solidFill>
          </w14:textFill>
        </w:rPr>
        <w:t xml:space="preserve">附件10        </w:t>
      </w:r>
      <w:bookmarkEnd w:id="88"/>
      <w:r>
        <w:rPr>
          <w:rFonts w:hint="eastAsia" w:ascii="黑体" w:hAnsi="黑体" w:eastAsia="黑体" w:cs="黑体"/>
          <w:b/>
          <w:bCs w:val="0"/>
          <w:color w:val="000000" w:themeColor="text1"/>
          <w:kern w:val="0"/>
          <w:sz w:val="32"/>
          <w:szCs w:val="32"/>
          <w:highlight w:val="none"/>
          <w14:textFill>
            <w14:solidFill>
              <w14:schemeClr w14:val="tx1"/>
            </w14:solidFill>
          </w14:textFill>
        </w:rPr>
        <w:t>供 应 商 承 诺 书</w:t>
      </w:r>
      <w:r>
        <w:rPr>
          <w:rFonts w:hint="eastAsia" w:ascii="黑体" w:hAnsi="黑体" w:eastAsia="黑体" w:cs="黑体"/>
          <w:b/>
          <w:bCs w:val="0"/>
          <w:color w:val="000000" w:themeColor="text1"/>
          <w:kern w:val="0"/>
          <w:sz w:val="32"/>
          <w:szCs w:val="32"/>
          <w:highlight w:val="none"/>
          <w:lang w:val="en-US" w:eastAsia="zh-CN"/>
          <w14:textFill>
            <w14:solidFill>
              <w14:schemeClr w14:val="tx1"/>
            </w14:solidFill>
          </w14:textFill>
        </w:rPr>
        <w:t xml:space="preserve"> </w:t>
      </w:r>
      <w:r>
        <w:rPr>
          <w:rFonts w:hint="eastAsia" w:ascii="黑体" w:hAnsi="黑体" w:eastAsia="黑体" w:cs="黑体"/>
          <w:b/>
          <w:bCs w:val="0"/>
          <w:color w:val="000000" w:themeColor="text1"/>
          <w:kern w:val="0"/>
          <w:sz w:val="32"/>
          <w:szCs w:val="32"/>
          <w:highlight w:val="none"/>
          <w14:textFill>
            <w14:solidFill>
              <w14:schemeClr w14:val="tx1"/>
            </w14:solidFill>
          </w14:textFill>
        </w:rPr>
        <w:t>（格式）</w:t>
      </w:r>
      <w:bookmarkEnd w:id="89"/>
      <w:bookmarkEnd w:id="90"/>
      <w:bookmarkEnd w:id="91"/>
    </w:p>
    <w:p w14:paraId="2500C119">
      <w:pPr>
        <w:bidi w:val="0"/>
        <w:rPr>
          <w:color w:val="000000" w:themeColor="text1"/>
          <w:highlight w:val="none"/>
          <w14:textFill>
            <w14:solidFill>
              <w14:schemeClr w14:val="tx1"/>
            </w14:solidFill>
          </w14:textFill>
        </w:rPr>
      </w:pPr>
    </w:p>
    <w:p w14:paraId="4DA221E0">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院（以下简称甲方）组织的本次采购，在遵守《招标投标法》、《政府采购法》、《合同法》、《反不正当竞争法》和《关于推进招投标监督领域诚信建设的意见》等法律法规的基础上，要求贵方（以下简称乙方）做出如下承诺：</w:t>
      </w:r>
    </w:p>
    <w:p w14:paraId="6F6CAFA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1、遵循公开、公平、公正和诚实信用的原则自愿参加，所提供的一切材料真实、有效、合法。</w:t>
      </w:r>
    </w:p>
    <w:p w14:paraId="64095F5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2、遵守甲方采购纪律，诚实守信地为甲方提供安全可靠的产品、服务及相关技术，保证质量并主动做好售后服务工作。</w:t>
      </w:r>
    </w:p>
    <w:p w14:paraId="05D7D43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3、杜绝利用提供财物或给予其他不正当利益谋取中标的不良行为。</w:t>
      </w:r>
    </w:p>
    <w:p w14:paraId="4FE6995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4、不发生其他任何可能影响甲方工作人员公正执行公务或者职务廉洁的行为。</w:t>
      </w:r>
    </w:p>
    <w:p w14:paraId="07B732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5、不参与串标、围标或其他不正当竞争行为；杜绝以虚报资质、业绩或其他弄虚作假等方式骗取中标。</w:t>
      </w:r>
    </w:p>
    <w:p w14:paraId="078605E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6、响应时，杜绝擅自修改采购文件或技术标准（包括差异表）技术配置的行为。</w:t>
      </w:r>
    </w:p>
    <w:p w14:paraId="2DB4CC1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7、严格按照采购、投标文件要求签订合同，不违反法律无故拒签合同，不签订背离合同（或技术协议书）实质性内容的协议。</w:t>
      </w:r>
    </w:p>
    <w:p w14:paraId="39C0C83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01A38F1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公司名称</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9156A3E">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法定代表人或委托人（签字）：                   年   月   日</w:t>
      </w:r>
    </w:p>
    <w:p w14:paraId="6BF15FFC">
      <w:pPr>
        <w:widowControl/>
        <w:spacing w:line="360" w:lineRule="auto"/>
        <w:ind w:firstLine="4305" w:firstLineChars="2050"/>
        <w:jc w:val="left"/>
        <w:rPr>
          <w:rFonts w:ascii="宋体" w:hAnsi="宋体" w:cs="宋体"/>
          <w:color w:val="000000" w:themeColor="text1"/>
          <w:kern w:val="0"/>
          <w:szCs w:val="21"/>
          <w:highlight w:val="none"/>
          <w14:textFill>
            <w14:solidFill>
              <w14:schemeClr w14:val="tx1"/>
            </w14:solidFill>
          </w14:textFill>
        </w:rPr>
      </w:pPr>
    </w:p>
    <w:p w14:paraId="23519868">
      <w:pPr>
        <w:pStyle w:val="31"/>
        <w:rPr>
          <w:rFonts w:ascii="宋体" w:hAnsi="宋体" w:cs="宋体"/>
          <w:color w:val="000000" w:themeColor="text1"/>
          <w:kern w:val="0"/>
          <w:szCs w:val="21"/>
          <w:highlight w:val="none"/>
          <w14:textFill>
            <w14:solidFill>
              <w14:schemeClr w14:val="tx1"/>
            </w14:solidFill>
          </w14:textFill>
        </w:rPr>
      </w:pPr>
    </w:p>
    <w:p w14:paraId="3B24CB01">
      <w:pPr>
        <w:pStyle w:val="32"/>
        <w:rPr>
          <w:rFonts w:ascii="宋体" w:hAnsi="宋体" w:cs="宋体"/>
          <w:color w:val="000000" w:themeColor="text1"/>
          <w:kern w:val="0"/>
          <w:szCs w:val="21"/>
          <w:highlight w:val="none"/>
          <w14:textFill>
            <w14:solidFill>
              <w14:schemeClr w14:val="tx1"/>
            </w14:solidFill>
          </w14:textFill>
        </w:rPr>
      </w:pPr>
    </w:p>
    <w:p w14:paraId="5E70B1DF">
      <w:pPr>
        <w:pStyle w:val="11"/>
        <w:rPr>
          <w:color w:val="000000" w:themeColor="text1"/>
          <w:highlight w:val="none"/>
          <w14:textFill>
            <w14:solidFill>
              <w14:schemeClr w14:val="tx1"/>
            </w14:solidFill>
          </w14:textFill>
        </w:rPr>
      </w:pPr>
    </w:p>
    <w:p w14:paraId="16098500">
      <w:pPr>
        <w:jc w:val="cente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28"/>
          <w:szCs w:val="18"/>
          <w:highlight w:val="none"/>
          <w:lang w:val="en-US" w:eastAsia="zh-CN" w:bidi="ar-SA"/>
          <w14:textFill>
            <w14:solidFill>
              <w14:schemeClr w14:val="tx1"/>
            </w14:solidFill>
          </w14:textFill>
        </w:rPr>
        <w:t>附件11     供应商信用承诺函（格式）</w:t>
      </w:r>
    </w:p>
    <w:p w14:paraId="57C0527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p>
    <w:p w14:paraId="65B080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致（采购人或政府采购代理机构）：</w:t>
      </w:r>
    </w:p>
    <w:p w14:paraId="21EC1C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单位名称（自然人姓名）：</w:t>
      </w:r>
    </w:p>
    <w:p w14:paraId="6FB9C81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统一社会信用代码（身份证号码）：</w:t>
      </w:r>
    </w:p>
    <w:p w14:paraId="5F80EB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w:t>
      </w:r>
    </w:p>
    <w:p w14:paraId="1B3E304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联系地址和电话：</w:t>
      </w:r>
    </w:p>
    <w:p w14:paraId="335DF26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8F0324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（一）具有独立承担民事责任的能力；</w:t>
      </w:r>
    </w:p>
    <w:p w14:paraId="433C5B4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（二）具有良好的商业信誉和健全的财务会计制度；</w:t>
      </w:r>
    </w:p>
    <w:p w14:paraId="59E5C72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（三）具有履行合同所必需的设备和专业技术能力；</w:t>
      </w:r>
    </w:p>
    <w:p w14:paraId="31B858C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（四）有依法缴纳税收和社会保障资金的良好记录；</w:t>
      </w:r>
    </w:p>
    <w:p w14:paraId="57C19A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（五）参加政府采购活动前三年内，在经营活动中没有重大违法记录；</w:t>
      </w:r>
    </w:p>
    <w:p w14:paraId="505391A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（六）未被列入严重失信主体名单、失信被执行人、税收违法黑名单、政府采购严重违法失信行为记录名单，未曾作出虚假承诺；</w:t>
      </w:r>
    </w:p>
    <w:p w14:paraId="6FDC7DC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（七）符合法律、行政法规规定的其他条件。</w:t>
      </w:r>
    </w:p>
    <w:p w14:paraId="014A40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我单位（本人）保证上述承诺事项的真实性，如有弄虚作假或其他违法违规行为，愿意承担一切法律责任，并承担因此所造成的一切损失。</w:t>
      </w:r>
    </w:p>
    <w:p w14:paraId="290420E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6388F46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供应商名称（盖章）：</w:t>
      </w:r>
    </w:p>
    <w:p w14:paraId="1AD4C88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法定代表人、负责人、自然人或授权代表(签字)：</w:t>
      </w:r>
    </w:p>
    <w:p w14:paraId="06C8AA8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日期：       年         月          日</w:t>
      </w:r>
    </w:p>
    <w:p w14:paraId="195E7B1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5B2FDC0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0B1EF0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注：1.供应商须在投标（响应性）文件中按此模板提供承诺函，未提供视为未实质性响应招标文件要求，按无效投标（响应）处理。</w:t>
      </w:r>
    </w:p>
    <w:p w14:paraId="6961C86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2.供应商的法定代表人或者授权代表的签字或盖章应真实、有效，如由授权代表签字或盖章的，应提供“法定代表人授权书”。</w:t>
      </w:r>
    </w:p>
    <w:p w14:paraId="598C9D35">
      <w:pPr>
        <w:pStyle w:val="11"/>
        <w:spacing w:beforeAutospacing="0" w:afterAutospacing="0" w:line="460" w:lineRule="atLeast"/>
        <w:jc w:val="both"/>
        <w:rPr>
          <w:b/>
          <w:bCs/>
          <w:color w:val="000000" w:themeColor="text1"/>
          <w:sz w:val="28"/>
          <w:szCs w:val="28"/>
          <w:highlight w:val="none"/>
          <w14:textFill>
            <w14:solidFill>
              <w14:schemeClr w14:val="tx1"/>
            </w14:solidFill>
          </w14:textFill>
        </w:rPr>
        <w:sectPr>
          <w:pgSz w:w="11906" w:h="16838"/>
          <w:pgMar w:top="1417" w:right="1474" w:bottom="1417" w:left="1474" w:header="851" w:footer="624" w:gutter="0"/>
          <w:pgNumType w:fmt="decimal"/>
          <w:cols w:space="720" w:num="1"/>
          <w:docGrid w:type="lines" w:linePitch="319" w:charSpace="0"/>
        </w:sectPr>
      </w:pPr>
    </w:p>
    <w:p w14:paraId="437FAF82">
      <w:pPr>
        <w:bidi w:val="0"/>
        <w:rPr>
          <w:rFonts w:hint="eastAsia"/>
          <w:color w:val="000000" w:themeColor="text1"/>
          <w:highlight w:val="none"/>
          <w:lang w:eastAsia="zh-CN"/>
          <w14:textFill>
            <w14:solidFill>
              <w14:schemeClr w14:val="tx1"/>
            </w14:solidFill>
          </w14:textFill>
        </w:rPr>
      </w:pPr>
      <w:bookmarkStart w:id="92" w:name="_Toc31685"/>
      <w:bookmarkStart w:id="93" w:name="_Toc25094"/>
      <w:bookmarkStart w:id="94" w:name="_Toc23394"/>
    </w:p>
    <w:p w14:paraId="4FA18375">
      <w:pPr>
        <w:widowControl/>
        <w:snapToGrid w:val="0"/>
        <w:spacing w:line="360" w:lineRule="auto"/>
        <w:jc w:val="center"/>
        <w:outlineLvl w:val="0"/>
        <w:rPr>
          <w:rFonts w:ascii="宋体" w:hAnsi="宋体" w:cs="Lucida Sans Unicode"/>
          <w:b/>
          <w:color w:val="000000" w:themeColor="text1"/>
          <w:kern w:val="0"/>
          <w:sz w:val="24"/>
          <w:highlight w:val="none"/>
          <w14:textFill>
            <w14:solidFill>
              <w14:schemeClr w14:val="tx1"/>
            </w14:solidFill>
          </w14:textFill>
        </w:rPr>
      </w:pPr>
      <w:r>
        <w:rPr>
          <w:rFonts w:hint="eastAsia" w:ascii="宋体" w:hAnsi="宋体" w:cs="Lucida Sans Unicode"/>
          <w:b/>
          <w:color w:val="000000" w:themeColor="text1"/>
          <w:kern w:val="0"/>
          <w:sz w:val="24"/>
          <w:highlight w:val="none"/>
          <w:lang w:eastAsia="zh-CN"/>
          <w14:textFill>
            <w14:solidFill>
              <w14:schemeClr w14:val="tx1"/>
            </w14:solidFill>
          </w14:textFill>
        </w:rPr>
        <w:t>供应商</w:t>
      </w:r>
      <w:r>
        <w:rPr>
          <w:rFonts w:hint="eastAsia" w:ascii="宋体" w:hAnsi="宋体" w:cs="Lucida Sans Unicode"/>
          <w:b/>
          <w:color w:val="000000" w:themeColor="text1"/>
          <w:kern w:val="0"/>
          <w:sz w:val="24"/>
          <w:highlight w:val="none"/>
          <w14:textFill>
            <w14:solidFill>
              <w14:schemeClr w14:val="tx1"/>
            </w14:solidFill>
          </w14:textFill>
        </w:rPr>
        <w:t>认为有必要的其他资料</w:t>
      </w:r>
      <w:bookmarkEnd w:id="92"/>
      <w:bookmarkEnd w:id="93"/>
      <w:bookmarkEnd w:id="94"/>
    </w:p>
    <w:p w14:paraId="6CD4D5DF">
      <w:pPr>
        <w:widowControl/>
        <w:spacing w:line="360" w:lineRule="auto"/>
        <w:ind w:firstLine="420" w:firstLineChars="200"/>
        <w:jc w:val="left"/>
        <w:rPr>
          <w:rFonts w:ascii="宋体" w:hAnsi="宋体" w:cs="Lucida Sans Unicode"/>
          <w:color w:val="000000" w:themeColor="text1"/>
          <w:kern w:val="0"/>
          <w:sz w:val="24"/>
          <w:highlight w:val="none"/>
          <w14:textFill>
            <w14:solidFill>
              <w14:schemeClr w14:val="tx1"/>
            </w14:solidFill>
          </w14:textFill>
        </w:rPr>
      </w:pPr>
      <w:r>
        <w:rPr>
          <w:rFonts w:hint="eastAsia" w:ascii="宋体" w:hAnsi="宋体" w:cs="Lucida Sans Unicode"/>
          <w:color w:val="000000" w:themeColor="text1"/>
          <w:kern w:val="0"/>
          <w:szCs w:val="21"/>
          <w:highlight w:val="none"/>
          <w14:textFill>
            <w14:solidFill>
              <w14:schemeClr w14:val="tx1"/>
            </w14:solidFill>
          </w14:textFill>
        </w:rPr>
        <w:t>备注：</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应当仔细核对</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文件中有关废标条款和评标标准，提供</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认为应当附加的其它内容，以充分证明其投标符合</w:t>
      </w:r>
      <w:r>
        <w:rPr>
          <w:rFonts w:hint="eastAsia" w:ascii="宋体" w:hAnsi="宋体" w:cs="Lucida Sans Unicode"/>
          <w:color w:val="000000" w:themeColor="text1"/>
          <w:kern w:val="0"/>
          <w:szCs w:val="21"/>
          <w:highlight w:val="none"/>
          <w:lang w:val="en-US" w:eastAsia="zh-CN"/>
          <w14:textFill>
            <w14:solidFill>
              <w14:schemeClr w14:val="tx1"/>
            </w14:solidFill>
          </w14:textFill>
        </w:rPr>
        <w:t>采购</w:t>
      </w:r>
      <w:r>
        <w:rPr>
          <w:rFonts w:hint="eastAsia" w:ascii="宋体" w:hAnsi="宋体" w:cs="Lucida Sans Unicode"/>
          <w:color w:val="000000" w:themeColor="text1"/>
          <w:kern w:val="0"/>
          <w:szCs w:val="21"/>
          <w:highlight w:val="none"/>
          <w14:textFill>
            <w14:solidFill>
              <w14:schemeClr w14:val="tx1"/>
            </w14:solidFill>
          </w14:textFill>
        </w:rPr>
        <w:t>文件规定，并为评标提供充分依据。如果</w:t>
      </w:r>
      <w:r>
        <w:rPr>
          <w:rFonts w:hint="eastAsia" w:ascii="宋体" w:hAnsi="宋体" w:cs="Lucida Sans Unicode"/>
          <w:color w:val="000000" w:themeColor="text1"/>
          <w:kern w:val="0"/>
          <w:szCs w:val="21"/>
          <w:highlight w:val="none"/>
          <w:lang w:eastAsia="zh-CN"/>
          <w14:textFill>
            <w14:solidFill>
              <w14:schemeClr w14:val="tx1"/>
            </w14:solidFill>
          </w14:textFill>
        </w:rPr>
        <w:t>供应商</w:t>
      </w:r>
      <w:r>
        <w:rPr>
          <w:rFonts w:hint="eastAsia" w:ascii="宋体" w:hAnsi="宋体" w:cs="Lucida Sans Unicode"/>
          <w:color w:val="000000" w:themeColor="text1"/>
          <w:kern w:val="0"/>
          <w:szCs w:val="21"/>
          <w:highlight w:val="none"/>
          <w14:textFill>
            <w14:solidFill>
              <w14:schemeClr w14:val="tx1"/>
            </w14:solidFill>
          </w14:textFill>
        </w:rPr>
        <w:t>未能提供相关证明文件，将有可能导致废标或者无法得分。</w:t>
      </w:r>
    </w:p>
    <w:p w14:paraId="0154558D">
      <w:pPr>
        <w:pStyle w:val="11"/>
        <w:spacing w:beforeAutospacing="0" w:afterAutospacing="0" w:line="460" w:lineRule="atLeast"/>
        <w:jc w:val="both"/>
        <w:rPr>
          <w:b/>
          <w:bCs/>
          <w:color w:val="000000" w:themeColor="text1"/>
          <w:sz w:val="28"/>
          <w:szCs w:val="28"/>
          <w:highlight w:val="none"/>
          <w14:textFill>
            <w14:solidFill>
              <w14:schemeClr w14:val="tx1"/>
            </w14:solidFill>
          </w14:textFill>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94E7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0FE331">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400FE331">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1965">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461664AC">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461664AC">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F4941C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338B">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77CBD">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驻马店市中心医院妇儿院区超市经营权采购项目（二次）采购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14C6"/>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581CB1"/>
    <w:rsid w:val="047968B1"/>
    <w:rsid w:val="04870542"/>
    <w:rsid w:val="04B30F7A"/>
    <w:rsid w:val="04E57408"/>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8577E"/>
    <w:rsid w:val="068E7B23"/>
    <w:rsid w:val="06983B20"/>
    <w:rsid w:val="069A3B66"/>
    <w:rsid w:val="06A869D6"/>
    <w:rsid w:val="06A9264E"/>
    <w:rsid w:val="06B31420"/>
    <w:rsid w:val="06B91765"/>
    <w:rsid w:val="06CA2AD2"/>
    <w:rsid w:val="06CE3071"/>
    <w:rsid w:val="06D33DBA"/>
    <w:rsid w:val="06DD376C"/>
    <w:rsid w:val="06E13F9F"/>
    <w:rsid w:val="06FB0AC5"/>
    <w:rsid w:val="070D2D5D"/>
    <w:rsid w:val="07111B8D"/>
    <w:rsid w:val="072C5514"/>
    <w:rsid w:val="0737768A"/>
    <w:rsid w:val="074A5B92"/>
    <w:rsid w:val="075D0147"/>
    <w:rsid w:val="075E3193"/>
    <w:rsid w:val="078E18EB"/>
    <w:rsid w:val="07A540DF"/>
    <w:rsid w:val="07B10EA5"/>
    <w:rsid w:val="07CD6512"/>
    <w:rsid w:val="07CE3FA1"/>
    <w:rsid w:val="07EC2ECB"/>
    <w:rsid w:val="07FE66CB"/>
    <w:rsid w:val="080B4D47"/>
    <w:rsid w:val="081B727D"/>
    <w:rsid w:val="08321601"/>
    <w:rsid w:val="08326375"/>
    <w:rsid w:val="083774E3"/>
    <w:rsid w:val="083D5C91"/>
    <w:rsid w:val="0847191F"/>
    <w:rsid w:val="08591DC3"/>
    <w:rsid w:val="08672793"/>
    <w:rsid w:val="08695E80"/>
    <w:rsid w:val="087C4541"/>
    <w:rsid w:val="087E5595"/>
    <w:rsid w:val="08BC0A60"/>
    <w:rsid w:val="08C52D6F"/>
    <w:rsid w:val="08EE2977"/>
    <w:rsid w:val="08EF0201"/>
    <w:rsid w:val="08F41DE8"/>
    <w:rsid w:val="094840A2"/>
    <w:rsid w:val="09737462"/>
    <w:rsid w:val="099156C3"/>
    <w:rsid w:val="09A53F39"/>
    <w:rsid w:val="09A60E13"/>
    <w:rsid w:val="09A82D92"/>
    <w:rsid w:val="09AB2883"/>
    <w:rsid w:val="09AB3C3F"/>
    <w:rsid w:val="09CD0A4B"/>
    <w:rsid w:val="09D206F0"/>
    <w:rsid w:val="09F056F6"/>
    <w:rsid w:val="0A321AC2"/>
    <w:rsid w:val="0A343D4E"/>
    <w:rsid w:val="0A3E6D2E"/>
    <w:rsid w:val="0A4232E4"/>
    <w:rsid w:val="0A4F145F"/>
    <w:rsid w:val="0A8455AD"/>
    <w:rsid w:val="0AAC240E"/>
    <w:rsid w:val="0AD13A85"/>
    <w:rsid w:val="0AE0655C"/>
    <w:rsid w:val="0B091954"/>
    <w:rsid w:val="0B3B7D65"/>
    <w:rsid w:val="0B434C20"/>
    <w:rsid w:val="0B5F0822"/>
    <w:rsid w:val="0B637D77"/>
    <w:rsid w:val="0B7006C4"/>
    <w:rsid w:val="0B726646"/>
    <w:rsid w:val="0B7606E8"/>
    <w:rsid w:val="0B924545"/>
    <w:rsid w:val="0BA37CB5"/>
    <w:rsid w:val="0BAC324F"/>
    <w:rsid w:val="0BC11EE9"/>
    <w:rsid w:val="0BF16C73"/>
    <w:rsid w:val="0BF72F1E"/>
    <w:rsid w:val="0C3152C1"/>
    <w:rsid w:val="0C3957A5"/>
    <w:rsid w:val="0C507E2F"/>
    <w:rsid w:val="0C626DA7"/>
    <w:rsid w:val="0C6876AE"/>
    <w:rsid w:val="0C71390F"/>
    <w:rsid w:val="0C720EC8"/>
    <w:rsid w:val="0C7A373E"/>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10AFE"/>
    <w:rsid w:val="0E541CA2"/>
    <w:rsid w:val="0E594756"/>
    <w:rsid w:val="0E95596D"/>
    <w:rsid w:val="0EAE6205"/>
    <w:rsid w:val="0EAE6579"/>
    <w:rsid w:val="0EAF71BF"/>
    <w:rsid w:val="0ECE6257"/>
    <w:rsid w:val="0EE4129D"/>
    <w:rsid w:val="0F095E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58509E"/>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386A"/>
    <w:rsid w:val="12CD57F1"/>
    <w:rsid w:val="12CE5941"/>
    <w:rsid w:val="12CE7AFA"/>
    <w:rsid w:val="12D67466"/>
    <w:rsid w:val="13036052"/>
    <w:rsid w:val="13272A5D"/>
    <w:rsid w:val="133C40E3"/>
    <w:rsid w:val="13493108"/>
    <w:rsid w:val="134A4EBA"/>
    <w:rsid w:val="136C5B26"/>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129AC"/>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26AFE"/>
    <w:rsid w:val="1AE41750"/>
    <w:rsid w:val="1AF423FA"/>
    <w:rsid w:val="1B0C5B32"/>
    <w:rsid w:val="1B0D3E82"/>
    <w:rsid w:val="1B1652AB"/>
    <w:rsid w:val="1B181CD5"/>
    <w:rsid w:val="1B1A632D"/>
    <w:rsid w:val="1B265306"/>
    <w:rsid w:val="1B4F2450"/>
    <w:rsid w:val="1B530868"/>
    <w:rsid w:val="1B6573E8"/>
    <w:rsid w:val="1B804320"/>
    <w:rsid w:val="1B8C18B7"/>
    <w:rsid w:val="1BB73AE1"/>
    <w:rsid w:val="1BDA6D68"/>
    <w:rsid w:val="1BF14125"/>
    <w:rsid w:val="1C002CEE"/>
    <w:rsid w:val="1C555978"/>
    <w:rsid w:val="1C6554A1"/>
    <w:rsid w:val="1C7971B7"/>
    <w:rsid w:val="1C917D91"/>
    <w:rsid w:val="1CAB2820"/>
    <w:rsid w:val="1CB9131B"/>
    <w:rsid w:val="1CD402EC"/>
    <w:rsid w:val="1CED16EF"/>
    <w:rsid w:val="1CF02333"/>
    <w:rsid w:val="1D0C33A2"/>
    <w:rsid w:val="1D113E6E"/>
    <w:rsid w:val="1D114E5E"/>
    <w:rsid w:val="1D1F0050"/>
    <w:rsid w:val="1D214EDE"/>
    <w:rsid w:val="1D2222DC"/>
    <w:rsid w:val="1D5144F7"/>
    <w:rsid w:val="1D5B3CDE"/>
    <w:rsid w:val="1D6E2950"/>
    <w:rsid w:val="1D796AC8"/>
    <w:rsid w:val="1D98209B"/>
    <w:rsid w:val="1DA23746"/>
    <w:rsid w:val="1DAA14B9"/>
    <w:rsid w:val="1DD04513"/>
    <w:rsid w:val="1DDD2BCB"/>
    <w:rsid w:val="1E0345E3"/>
    <w:rsid w:val="1E1B7B7F"/>
    <w:rsid w:val="1E443370"/>
    <w:rsid w:val="1E656063"/>
    <w:rsid w:val="1E6B06A5"/>
    <w:rsid w:val="1E7F7D9E"/>
    <w:rsid w:val="1E840DA4"/>
    <w:rsid w:val="1E9D2CBC"/>
    <w:rsid w:val="1EA20545"/>
    <w:rsid w:val="1EA5444C"/>
    <w:rsid w:val="1EB350EF"/>
    <w:rsid w:val="1EC21749"/>
    <w:rsid w:val="1EEB7C4E"/>
    <w:rsid w:val="1F072441"/>
    <w:rsid w:val="1F171B83"/>
    <w:rsid w:val="1F2D491A"/>
    <w:rsid w:val="1F66355F"/>
    <w:rsid w:val="1F686DF4"/>
    <w:rsid w:val="1F7369C7"/>
    <w:rsid w:val="1F94547B"/>
    <w:rsid w:val="1FA47700"/>
    <w:rsid w:val="1FAF308C"/>
    <w:rsid w:val="1FAF3D99"/>
    <w:rsid w:val="1FB64FF9"/>
    <w:rsid w:val="1FC11109"/>
    <w:rsid w:val="1FDA3223"/>
    <w:rsid w:val="1FEF08C8"/>
    <w:rsid w:val="1FF72E6A"/>
    <w:rsid w:val="1FFB6F12"/>
    <w:rsid w:val="201B3ED4"/>
    <w:rsid w:val="20230F6D"/>
    <w:rsid w:val="20310B02"/>
    <w:rsid w:val="206F0406"/>
    <w:rsid w:val="20784063"/>
    <w:rsid w:val="207E346A"/>
    <w:rsid w:val="208E12C3"/>
    <w:rsid w:val="209502A3"/>
    <w:rsid w:val="2100305C"/>
    <w:rsid w:val="210F579E"/>
    <w:rsid w:val="212550B5"/>
    <w:rsid w:val="21592B62"/>
    <w:rsid w:val="2172049B"/>
    <w:rsid w:val="21747CD2"/>
    <w:rsid w:val="218912A4"/>
    <w:rsid w:val="219263AA"/>
    <w:rsid w:val="219E5782"/>
    <w:rsid w:val="21D10545"/>
    <w:rsid w:val="21E72B0B"/>
    <w:rsid w:val="21F66F4C"/>
    <w:rsid w:val="221F2D96"/>
    <w:rsid w:val="22246DB1"/>
    <w:rsid w:val="22440067"/>
    <w:rsid w:val="224B030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21E8A"/>
    <w:rsid w:val="23B57016"/>
    <w:rsid w:val="23D4764B"/>
    <w:rsid w:val="23EC3718"/>
    <w:rsid w:val="24044EF2"/>
    <w:rsid w:val="2407139D"/>
    <w:rsid w:val="240B04F4"/>
    <w:rsid w:val="240E369A"/>
    <w:rsid w:val="242A0646"/>
    <w:rsid w:val="2435301D"/>
    <w:rsid w:val="243A0633"/>
    <w:rsid w:val="243D6E1A"/>
    <w:rsid w:val="24453D05"/>
    <w:rsid w:val="245B0CD5"/>
    <w:rsid w:val="24607F91"/>
    <w:rsid w:val="246C581B"/>
    <w:rsid w:val="247C52A2"/>
    <w:rsid w:val="2494587B"/>
    <w:rsid w:val="24C05D3F"/>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5DF507D"/>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1635D9"/>
    <w:rsid w:val="274E2228"/>
    <w:rsid w:val="27517A93"/>
    <w:rsid w:val="275E53AF"/>
    <w:rsid w:val="276658E8"/>
    <w:rsid w:val="276F6846"/>
    <w:rsid w:val="277E30D2"/>
    <w:rsid w:val="27803F2A"/>
    <w:rsid w:val="27811F3E"/>
    <w:rsid w:val="27983FEE"/>
    <w:rsid w:val="27A34941"/>
    <w:rsid w:val="27C43035"/>
    <w:rsid w:val="27EE3A7B"/>
    <w:rsid w:val="282E4F00"/>
    <w:rsid w:val="283C23DF"/>
    <w:rsid w:val="283D69F1"/>
    <w:rsid w:val="284C16F5"/>
    <w:rsid w:val="28570AB5"/>
    <w:rsid w:val="285F2CDC"/>
    <w:rsid w:val="28622C36"/>
    <w:rsid w:val="289C18BC"/>
    <w:rsid w:val="289E7E22"/>
    <w:rsid w:val="28C2534B"/>
    <w:rsid w:val="28C5525A"/>
    <w:rsid w:val="28D14B96"/>
    <w:rsid w:val="29020C46"/>
    <w:rsid w:val="290240C7"/>
    <w:rsid w:val="291713AF"/>
    <w:rsid w:val="291A2B97"/>
    <w:rsid w:val="29274EE0"/>
    <w:rsid w:val="294645D2"/>
    <w:rsid w:val="294B1A54"/>
    <w:rsid w:val="295029E3"/>
    <w:rsid w:val="29543A59"/>
    <w:rsid w:val="2969197F"/>
    <w:rsid w:val="29746E87"/>
    <w:rsid w:val="297C03C2"/>
    <w:rsid w:val="29841F33"/>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D2E97"/>
    <w:rsid w:val="2C2E71FC"/>
    <w:rsid w:val="2C3F3A41"/>
    <w:rsid w:val="2C4431C4"/>
    <w:rsid w:val="2C460A8A"/>
    <w:rsid w:val="2C62059F"/>
    <w:rsid w:val="2C6634FA"/>
    <w:rsid w:val="2C7843EE"/>
    <w:rsid w:val="2CA25191"/>
    <w:rsid w:val="2CAC022C"/>
    <w:rsid w:val="2CC11807"/>
    <w:rsid w:val="2CF16074"/>
    <w:rsid w:val="2CF81D1B"/>
    <w:rsid w:val="2D195F0C"/>
    <w:rsid w:val="2D3F2453"/>
    <w:rsid w:val="2D835174"/>
    <w:rsid w:val="2D9331F9"/>
    <w:rsid w:val="2DD90B7B"/>
    <w:rsid w:val="2DDD3FC1"/>
    <w:rsid w:val="2DF701D8"/>
    <w:rsid w:val="2DF970A1"/>
    <w:rsid w:val="2E085834"/>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6A13B6"/>
    <w:rsid w:val="31700E4B"/>
    <w:rsid w:val="3172683C"/>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A93829"/>
    <w:rsid w:val="32B943EC"/>
    <w:rsid w:val="32DC63A0"/>
    <w:rsid w:val="32E429C1"/>
    <w:rsid w:val="330503EE"/>
    <w:rsid w:val="33185360"/>
    <w:rsid w:val="33345437"/>
    <w:rsid w:val="334045BE"/>
    <w:rsid w:val="334A3B2A"/>
    <w:rsid w:val="3365592E"/>
    <w:rsid w:val="336A31F3"/>
    <w:rsid w:val="336F6533"/>
    <w:rsid w:val="337E5E2F"/>
    <w:rsid w:val="3384610D"/>
    <w:rsid w:val="33994127"/>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78502D"/>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43428E"/>
    <w:rsid w:val="3A524858"/>
    <w:rsid w:val="3A64203E"/>
    <w:rsid w:val="3A663D00"/>
    <w:rsid w:val="3A7428D0"/>
    <w:rsid w:val="3A923AE4"/>
    <w:rsid w:val="3AA50E25"/>
    <w:rsid w:val="3AC566E3"/>
    <w:rsid w:val="3AD6747A"/>
    <w:rsid w:val="3AD95C48"/>
    <w:rsid w:val="3ADE6A9D"/>
    <w:rsid w:val="3ADF5D0A"/>
    <w:rsid w:val="3AED5FA8"/>
    <w:rsid w:val="3B312338"/>
    <w:rsid w:val="3B3C5B77"/>
    <w:rsid w:val="3B3D0FF2"/>
    <w:rsid w:val="3B521A18"/>
    <w:rsid w:val="3B8D2B96"/>
    <w:rsid w:val="3B923660"/>
    <w:rsid w:val="3BCA44BE"/>
    <w:rsid w:val="3BCC2061"/>
    <w:rsid w:val="3C061F3A"/>
    <w:rsid w:val="3C0A04F9"/>
    <w:rsid w:val="3C1F6635"/>
    <w:rsid w:val="3C495480"/>
    <w:rsid w:val="3C4C3A42"/>
    <w:rsid w:val="3C6F0167"/>
    <w:rsid w:val="3C71667B"/>
    <w:rsid w:val="3C7D1098"/>
    <w:rsid w:val="3C914F3B"/>
    <w:rsid w:val="3CC17F13"/>
    <w:rsid w:val="3CD50B40"/>
    <w:rsid w:val="3CE320A3"/>
    <w:rsid w:val="3CE9196C"/>
    <w:rsid w:val="3CF15105"/>
    <w:rsid w:val="3D0C04B9"/>
    <w:rsid w:val="3D1414C5"/>
    <w:rsid w:val="3D1C763E"/>
    <w:rsid w:val="3D201AA5"/>
    <w:rsid w:val="3D2B37EA"/>
    <w:rsid w:val="3D2F7FF3"/>
    <w:rsid w:val="3D3D1507"/>
    <w:rsid w:val="3D522E61"/>
    <w:rsid w:val="3D62085B"/>
    <w:rsid w:val="3D6B12FD"/>
    <w:rsid w:val="3D7B4622"/>
    <w:rsid w:val="3D8E5820"/>
    <w:rsid w:val="3D942E29"/>
    <w:rsid w:val="3DA53531"/>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436A"/>
    <w:rsid w:val="40425879"/>
    <w:rsid w:val="405C1C05"/>
    <w:rsid w:val="40765D15"/>
    <w:rsid w:val="407B4FC1"/>
    <w:rsid w:val="407F2DE9"/>
    <w:rsid w:val="40920B61"/>
    <w:rsid w:val="40991379"/>
    <w:rsid w:val="409B3C3D"/>
    <w:rsid w:val="40F701DF"/>
    <w:rsid w:val="40FC0CF2"/>
    <w:rsid w:val="40FD480A"/>
    <w:rsid w:val="412A32F8"/>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991A91"/>
    <w:rsid w:val="42A06B6C"/>
    <w:rsid w:val="42A27996"/>
    <w:rsid w:val="42AA04E2"/>
    <w:rsid w:val="42B5586A"/>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73ADC"/>
    <w:rsid w:val="45DD529D"/>
    <w:rsid w:val="45E57886"/>
    <w:rsid w:val="45E945CC"/>
    <w:rsid w:val="46003076"/>
    <w:rsid w:val="46026F63"/>
    <w:rsid w:val="46177E29"/>
    <w:rsid w:val="46205B7F"/>
    <w:rsid w:val="46411CEF"/>
    <w:rsid w:val="465D501C"/>
    <w:rsid w:val="466367DB"/>
    <w:rsid w:val="46686D18"/>
    <w:rsid w:val="466D15DA"/>
    <w:rsid w:val="46BF7E28"/>
    <w:rsid w:val="46C3037C"/>
    <w:rsid w:val="46FF15E0"/>
    <w:rsid w:val="4700581C"/>
    <w:rsid w:val="47022DDB"/>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01AF6"/>
    <w:rsid w:val="4C1C2A09"/>
    <w:rsid w:val="4C284AD9"/>
    <w:rsid w:val="4C423098"/>
    <w:rsid w:val="4C694192"/>
    <w:rsid w:val="4C71246E"/>
    <w:rsid w:val="4C7964D9"/>
    <w:rsid w:val="4C9269F6"/>
    <w:rsid w:val="4CC84335"/>
    <w:rsid w:val="4CE9350A"/>
    <w:rsid w:val="4D1427A1"/>
    <w:rsid w:val="4D225F85"/>
    <w:rsid w:val="4D297BF3"/>
    <w:rsid w:val="4D2D0EAF"/>
    <w:rsid w:val="4D2F4E5E"/>
    <w:rsid w:val="4D4B0A43"/>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2F2707"/>
    <w:rsid w:val="4E304B5D"/>
    <w:rsid w:val="4E611B8B"/>
    <w:rsid w:val="4E6279D7"/>
    <w:rsid w:val="4E682F8C"/>
    <w:rsid w:val="4E6A7BB7"/>
    <w:rsid w:val="4E7C7EC1"/>
    <w:rsid w:val="4E9133C2"/>
    <w:rsid w:val="4EB23220"/>
    <w:rsid w:val="4F0773B4"/>
    <w:rsid w:val="4F241019"/>
    <w:rsid w:val="4F307BB1"/>
    <w:rsid w:val="4F3D562D"/>
    <w:rsid w:val="4F5C4EE0"/>
    <w:rsid w:val="4F6E1972"/>
    <w:rsid w:val="4F816817"/>
    <w:rsid w:val="4F943166"/>
    <w:rsid w:val="4F9C19A5"/>
    <w:rsid w:val="4FBA02A1"/>
    <w:rsid w:val="4FC57984"/>
    <w:rsid w:val="4FE7106E"/>
    <w:rsid w:val="4FF82FCD"/>
    <w:rsid w:val="50053943"/>
    <w:rsid w:val="502C02FC"/>
    <w:rsid w:val="50374A3C"/>
    <w:rsid w:val="50550E55"/>
    <w:rsid w:val="507E28CB"/>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2D3402"/>
    <w:rsid w:val="52382F2A"/>
    <w:rsid w:val="52386E3D"/>
    <w:rsid w:val="523A7DD1"/>
    <w:rsid w:val="523B7711"/>
    <w:rsid w:val="5271774C"/>
    <w:rsid w:val="528D7B65"/>
    <w:rsid w:val="52C35B14"/>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12376"/>
    <w:rsid w:val="545E1D01"/>
    <w:rsid w:val="54674051"/>
    <w:rsid w:val="54935B8F"/>
    <w:rsid w:val="54CC6227"/>
    <w:rsid w:val="54D10F9B"/>
    <w:rsid w:val="54D97871"/>
    <w:rsid w:val="551D586C"/>
    <w:rsid w:val="55200298"/>
    <w:rsid w:val="55335E1B"/>
    <w:rsid w:val="554B7EF0"/>
    <w:rsid w:val="556F3D99"/>
    <w:rsid w:val="556F788D"/>
    <w:rsid w:val="55720837"/>
    <w:rsid w:val="55860894"/>
    <w:rsid w:val="558F6181"/>
    <w:rsid w:val="55B02DF1"/>
    <w:rsid w:val="55DC290C"/>
    <w:rsid w:val="55E71B19"/>
    <w:rsid w:val="55EA5D64"/>
    <w:rsid w:val="55F01FA1"/>
    <w:rsid w:val="55FC19B9"/>
    <w:rsid w:val="56105B8A"/>
    <w:rsid w:val="56130B60"/>
    <w:rsid w:val="56990B7C"/>
    <w:rsid w:val="569E1126"/>
    <w:rsid w:val="56A8690E"/>
    <w:rsid w:val="56B80DEB"/>
    <w:rsid w:val="56E0560F"/>
    <w:rsid w:val="56E06E61"/>
    <w:rsid w:val="56F653FE"/>
    <w:rsid w:val="570B1AB1"/>
    <w:rsid w:val="571F7091"/>
    <w:rsid w:val="574448FC"/>
    <w:rsid w:val="57561D39"/>
    <w:rsid w:val="575B7AFD"/>
    <w:rsid w:val="57660D3F"/>
    <w:rsid w:val="5785783C"/>
    <w:rsid w:val="57D1153D"/>
    <w:rsid w:val="57FA3774"/>
    <w:rsid w:val="58084A3C"/>
    <w:rsid w:val="582772A7"/>
    <w:rsid w:val="58531B77"/>
    <w:rsid w:val="585D2975"/>
    <w:rsid w:val="585F64F9"/>
    <w:rsid w:val="587E3341"/>
    <w:rsid w:val="587F428B"/>
    <w:rsid w:val="58801DB1"/>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9FC20DF"/>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25002"/>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45079"/>
    <w:rsid w:val="5DDF1821"/>
    <w:rsid w:val="5DE2656A"/>
    <w:rsid w:val="5DEA2F91"/>
    <w:rsid w:val="5DF430D6"/>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7811D3"/>
    <w:rsid w:val="5F9A65E6"/>
    <w:rsid w:val="5F9B2627"/>
    <w:rsid w:val="5FAC7B1F"/>
    <w:rsid w:val="5FB80E3D"/>
    <w:rsid w:val="5FB831B4"/>
    <w:rsid w:val="5FD40999"/>
    <w:rsid w:val="5FE5522B"/>
    <w:rsid w:val="5FEF060D"/>
    <w:rsid w:val="5FF03F08"/>
    <w:rsid w:val="5FF2548E"/>
    <w:rsid w:val="5FF313D3"/>
    <w:rsid w:val="602610FD"/>
    <w:rsid w:val="602808B2"/>
    <w:rsid w:val="603814FF"/>
    <w:rsid w:val="60394E7C"/>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8012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82D47"/>
    <w:rsid w:val="63C74D38"/>
    <w:rsid w:val="63C811DC"/>
    <w:rsid w:val="63EE4692"/>
    <w:rsid w:val="63F316BC"/>
    <w:rsid w:val="63F43D7F"/>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ED0EB5"/>
    <w:rsid w:val="65FB3FBE"/>
    <w:rsid w:val="6604015A"/>
    <w:rsid w:val="66247D11"/>
    <w:rsid w:val="66736112"/>
    <w:rsid w:val="667F5B5B"/>
    <w:rsid w:val="6694262A"/>
    <w:rsid w:val="66990381"/>
    <w:rsid w:val="66B15F58"/>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F35317"/>
    <w:rsid w:val="67F434FF"/>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5F6260"/>
    <w:rsid w:val="6B774DF2"/>
    <w:rsid w:val="6B847AD7"/>
    <w:rsid w:val="6B9A2DF9"/>
    <w:rsid w:val="6BA56BC7"/>
    <w:rsid w:val="6BAC4619"/>
    <w:rsid w:val="6BC60150"/>
    <w:rsid w:val="6BCD2823"/>
    <w:rsid w:val="6BDD15DD"/>
    <w:rsid w:val="6BDF2966"/>
    <w:rsid w:val="6BE86A5F"/>
    <w:rsid w:val="6C234DED"/>
    <w:rsid w:val="6C29198B"/>
    <w:rsid w:val="6C367B5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54FA9"/>
    <w:rsid w:val="6D2F6F7D"/>
    <w:rsid w:val="6D480984"/>
    <w:rsid w:val="6DB13E57"/>
    <w:rsid w:val="6DC71662"/>
    <w:rsid w:val="6DCD5126"/>
    <w:rsid w:val="6DDB6CB0"/>
    <w:rsid w:val="6DDC4373"/>
    <w:rsid w:val="6DE21877"/>
    <w:rsid w:val="6DE52ACD"/>
    <w:rsid w:val="6DFC0B44"/>
    <w:rsid w:val="6E0458E7"/>
    <w:rsid w:val="6E212037"/>
    <w:rsid w:val="6E3B221B"/>
    <w:rsid w:val="6E475779"/>
    <w:rsid w:val="6E51424D"/>
    <w:rsid w:val="6E663C68"/>
    <w:rsid w:val="6E7764EF"/>
    <w:rsid w:val="6E877DAD"/>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A86356"/>
    <w:rsid w:val="6FB21D4C"/>
    <w:rsid w:val="6FB80698"/>
    <w:rsid w:val="701021F4"/>
    <w:rsid w:val="701C29A6"/>
    <w:rsid w:val="7024611F"/>
    <w:rsid w:val="70637B96"/>
    <w:rsid w:val="70797317"/>
    <w:rsid w:val="7099044B"/>
    <w:rsid w:val="709D518F"/>
    <w:rsid w:val="70C759D3"/>
    <w:rsid w:val="70CD7E32"/>
    <w:rsid w:val="70CF2B23"/>
    <w:rsid w:val="70D70CB1"/>
    <w:rsid w:val="70E1568B"/>
    <w:rsid w:val="70FD0709"/>
    <w:rsid w:val="710952C1"/>
    <w:rsid w:val="713F70AB"/>
    <w:rsid w:val="71452CD8"/>
    <w:rsid w:val="7158683A"/>
    <w:rsid w:val="715B2F52"/>
    <w:rsid w:val="7167680B"/>
    <w:rsid w:val="716A38D3"/>
    <w:rsid w:val="71764F23"/>
    <w:rsid w:val="71946576"/>
    <w:rsid w:val="71967E84"/>
    <w:rsid w:val="7197629F"/>
    <w:rsid w:val="71A61873"/>
    <w:rsid w:val="71AF4936"/>
    <w:rsid w:val="71B12351"/>
    <w:rsid w:val="71D07496"/>
    <w:rsid w:val="71D75D0F"/>
    <w:rsid w:val="72133F6A"/>
    <w:rsid w:val="721919B3"/>
    <w:rsid w:val="721A6098"/>
    <w:rsid w:val="721D18D3"/>
    <w:rsid w:val="72310D1A"/>
    <w:rsid w:val="725D6B54"/>
    <w:rsid w:val="72986FA0"/>
    <w:rsid w:val="72A17C99"/>
    <w:rsid w:val="72A5093A"/>
    <w:rsid w:val="72AD7197"/>
    <w:rsid w:val="72AF6F7E"/>
    <w:rsid w:val="72CD226C"/>
    <w:rsid w:val="73047904"/>
    <w:rsid w:val="73117D7E"/>
    <w:rsid w:val="73253EFA"/>
    <w:rsid w:val="734C1A6A"/>
    <w:rsid w:val="735663B7"/>
    <w:rsid w:val="735C5949"/>
    <w:rsid w:val="73671287"/>
    <w:rsid w:val="73737DA5"/>
    <w:rsid w:val="73740A39"/>
    <w:rsid w:val="73763B7F"/>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273A51"/>
    <w:rsid w:val="7550443E"/>
    <w:rsid w:val="755F0BCC"/>
    <w:rsid w:val="7561323F"/>
    <w:rsid w:val="756F17F9"/>
    <w:rsid w:val="757E5B9F"/>
    <w:rsid w:val="75825461"/>
    <w:rsid w:val="758E53BF"/>
    <w:rsid w:val="75916599"/>
    <w:rsid w:val="759926FC"/>
    <w:rsid w:val="75A24276"/>
    <w:rsid w:val="75AA231D"/>
    <w:rsid w:val="75AD6340"/>
    <w:rsid w:val="75DF5F11"/>
    <w:rsid w:val="75E8633A"/>
    <w:rsid w:val="76393874"/>
    <w:rsid w:val="763F09AA"/>
    <w:rsid w:val="764F3FCC"/>
    <w:rsid w:val="7650339F"/>
    <w:rsid w:val="76603C9A"/>
    <w:rsid w:val="76832D41"/>
    <w:rsid w:val="76910334"/>
    <w:rsid w:val="76BB1CAB"/>
    <w:rsid w:val="76C04050"/>
    <w:rsid w:val="76D67314"/>
    <w:rsid w:val="76E00193"/>
    <w:rsid w:val="76E65049"/>
    <w:rsid w:val="77076007"/>
    <w:rsid w:val="77413F7E"/>
    <w:rsid w:val="77464076"/>
    <w:rsid w:val="7758241F"/>
    <w:rsid w:val="777A7D22"/>
    <w:rsid w:val="77835654"/>
    <w:rsid w:val="7797109C"/>
    <w:rsid w:val="779A2A38"/>
    <w:rsid w:val="77B4450A"/>
    <w:rsid w:val="77B46E73"/>
    <w:rsid w:val="77E37A12"/>
    <w:rsid w:val="77FE3468"/>
    <w:rsid w:val="782347DB"/>
    <w:rsid w:val="78250553"/>
    <w:rsid w:val="784E2046"/>
    <w:rsid w:val="78546F0C"/>
    <w:rsid w:val="786778FE"/>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06F92"/>
    <w:rsid w:val="7A6F5001"/>
    <w:rsid w:val="7A9635B3"/>
    <w:rsid w:val="7AA2343E"/>
    <w:rsid w:val="7AD60EB8"/>
    <w:rsid w:val="7ADA73A4"/>
    <w:rsid w:val="7AE66B99"/>
    <w:rsid w:val="7AF34646"/>
    <w:rsid w:val="7AFE508C"/>
    <w:rsid w:val="7B0A3BCA"/>
    <w:rsid w:val="7B345AA9"/>
    <w:rsid w:val="7B4048C1"/>
    <w:rsid w:val="7B4C5DF7"/>
    <w:rsid w:val="7B71585E"/>
    <w:rsid w:val="7B73082F"/>
    <w:rsid w:val="7B7B492E"/>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B3106A"/>
    <w:rsid w:val="7CCC5441"/>
    <w:rsid w:val="7CD2318A"/>
    <w:rsid w:val="7CD2702A"/>
    <w:rsid w:val="7CD34C42"/>
    <w:rsid w:val="7CD46B29"/>
    <w:rsid w:val="7CDE3FF9"/>
    <w:rsid w:val="7CE26EBF"/>
    <w:rsid w:val="7CEE3130"/>
    <w:rsid w:val="7D1F6674"/>
    <w:rsid w:val="7D480B34"/>
    <w:rsid w:val="7D777A3E"/>
    <w:rsid w:val="7D9005BC"/>
    <w:rsid w:val="7D9F0AD0"/>
    <w:rsid w:val="7DBD2FDC"/>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ED3B14"/>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4"/>
    <w:autoRedefine/>
    <w:qFormat/>
    <w:uiPriority w:val="0"/>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next w:val="32"/>
    <w:autoRedefine/>
    <w:qFormat/>
    <w:uiPriority w:val="0"/>
    <w:pPr>
      <w:spacing w:line="360" w:lineRule="auto"/>
      <w:ind w:firstLine="420" w:firstLineChars="100"/>
    </w:pPr>
    <w:rPr>
      <w:szCs w:val="21"/>
    </w:rPr>
  </w:style>
  <w:style w:type="paragraph" w:styleId="32">
    <w:name w:val="Body Text First Indent 2"/>
    <w:basedOn w:val="15"/>
    <w:next w:val="33"/>
    <w:autoRedefine/>
    <w:qFormat/>
    <w:uiPriority w:val="0"/>
    <w:pPr>
      <w:ind w:firstLine="420" w:firstLineChars="200"/>
    </w:pPr>
  </w:style>
  <w:style w:type="paragraph" w:customStyle="1" w:styleId="3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32"/>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6"/>
    <w:link w:val="4"/>
    <w:autoRedefine/>
    <w:qFormat/>
    <w:uiPriority w:val="0"/>
  </w:style>
  <w:style w:type="character" w:customStyle="1" w:styleId="75">
    <w:name w:val="apple-converted-space"/>
    <w:basedOn w:val="36"/>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6"/>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19414</Words>
  <Characters>20184</Characters>
  <Lines>50</Lines>
  <Paragraphs>68</Paragraphs>
  <TotalTime>8</TotalTime>
  <ScaleCrop>false</ScaleCrop>
  <LinksUpToDate>false</LinksUpToDate>
  <CharactersWithSpaces>21329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2024-09-11T07:44:33Z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6B4FDCA957CB4E82998C2E32247B97ED_13</vt:lpwstr>
  </property>
</Properties>
</file>