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DD188BD">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highlight w:val="none"/>
          <w:lang w:val="en-US" w:eastAsia="zh-CN"/>
        </w:rPr>
      </w:pPr>
      <w:bookmarkStart w:id="0" w:name="_Toc22804073"/>
      <w:bookmarkEnd w:id="0"/>
      <w:bookmarkStart w:id="1" w:name="_Toc22953395"/>
      <w:bookmarkEnd w:id="1"/>
    </w:p>
    <w:p w14:paraId="37C9B670">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default" w:cs="宋体"/>
          <w:b/>
          <w:bCs/>
          <w:color w:val="auto"/>
          <w:sz w:val="44"/>
          <w:szCs w:val="44"/>
          <w:highlight w:val="none"/>
          <w:lang w:val="en-US" w:eastAsia="zh-CN"/>
        </w:rPr>
      </w:pPr>
      <w:r>
        <w:rPr>
          <w:rFonts w:hint="eastAsia" w:cs="宋体"/>
          <w:b/>
          <w:bCs/>
          <w:color w:val="auto"/>
          <w:sz w:val="44"/>
          <w:szCs w:val="44"/>
          <w:highlight w:val="none"/>
          <w:lang w:val="en-US" w:eastAsia="zh-CN"/>
        </w:rPr>
        <w:t>驻马店市中心医院无菌光纤及激光保护鞘供货项目</w:t>
      </w:r>
    </w:p>
    <w:p w14:paraId="7E7BB872">
      <w:pPr>
        <w:pStyle w:val="20"/>
        <w:bidi w:val="0"/>
        <w:jc w:val="center"/>
        <w:rPr>
          <w:rStyle w:val="44"/>
          <w:rFonts w:hint="eastAsia" w:ascii="宋体" w:hAnsi="宋体" w:eastAsia="宋体" w:cs="宋体"/>
          <w:b/>
          <w:bCs/>
          <w:color w:val="auto"/>
          <w:sz w:val="48"/>
          <w:szCs w:val="48"/>
          <w:highlight w:val="none"/>
        </w:rPr>
      </w:pPr>
    </w:p>
    <w:p w14:paraId="34706313">
      <w:pPr>
        <w:pStyle w:val="20"/>
        <w:bidi w:val="0"/>
        <w:jc w:val="center"/>
        <w:rPr>
          <w:rStyle w:val="44"/>
          <w:rFonts w:hint="eastAsia" w:ascii="宋体" w:hAnsi="宋体" w:eastAsia="宋体" w:cs="宋体"/>
          <w:b/>
          <w:bCs/>
          <w:color w:val="auto"/>
          <w:sz w:val="48"/>
          <w:szCs w:val="48"/>
          <w:highlight w:val="none"/>
        </w:rPr>
      </w:pPr>
    </w:p>
    <w:p w14:paraId="3188E326">
      <w:pPr>
        <w:pStyle w:val="20"/>
        <w:bidi w:val="0"/>
        <w:jc w:val="center"/>
        <w:rPr>
          <w:rStyle w:val="44"/>
          <w:rFonts w:hint="eastAsia" w:ascii="宋体" w:hAnsi="宋体" w:eastAsia="宋体" w:cs="宋体"/>
          <w:b/>
          <w:bCs/>
          <w:color w:val="auto"/>
          <w:sz w:val="48"/>
          <w:szCs w:val="48"/>
          <w:highlight w:val="none"/>
        </w:rPr>
      </w:pPr>
    </w:p>
    <w:p w14:paraId="4A800A21">
      <w:pPr>
        <w:pStyle w:val="20"/>
        <w:bidi w:val="0"/>
        <w:jc w:val="center"/>
        <w:rPr>
          <w:rStyle w:val="44"/>
          <w:rFonts w:hint="eastAsia" w:ascii="宋体" w:hAnsi="宋体" w:eastAsia="宋体" w:cs="宋体"/>
          <w:b/>
          <w:bCs/>
          <w:color w:val="auto"/>
          <w:sz w:val="48"/>
          <w:szCs w:val="48"/>
          <w:highlight w:val="none"/>
        </w:rPr>
      </w:pPr>
    </w:p>
    <w:p w14:paraId="1B73D1D3">
      <w:pPr>
        <w:pStyle w:val="20"/>
        <w:bidi w:val="0"/>
        <w:jc w:val="center"/>
        <w:rPr>
          <w:rStyle w:val="44"/>
          <w:rFonts w:hint="eastAsia" w:ascii="宋体" w:hAnsi="宋体" w:eastAsia="宋体" w:cs="宋体"/>
          <w:b/>
          <w:bCs/>
          <w:color w:val="auto"/>
          <w:szCs w:val="44"/>
          <w:highlight w:val="none"/>
        </w:rPr>
      </w:pPr>
      <w:r>
        <w:rPr>
          <w:rStyle w:val="44"/>
          <w:rFonts w:hint="eastAsia" w:cs="宋体"/>
          <w:b/>
          <w:bCs/>
          <w:color w:val="auto"/>
          <w:sz w:val="72"/>
          <w:szCs w:val="72"/>
          <w:highlight w:val="none"/>
          <w:lang w:val="en-US" w:eastAsia="zh-CN"/>
        </w:rPr>
        <w:t>采购</w:t>
      </w:r>
      <w:r>
        <w:rPr>
          <w:rStyle w:val="44"/>
          <w:rFonts w:hint="eastAsia" w:ascii="宋体" w:hAnsi="宋体" w:eastAsia="宋体" w:cs="宋体"/>
          <w:b/>
          <w:bCs/>
          <w:color w:val="auto"/>
          <w:sz w:val="72"/>
          <w:szCs w:val="72"/>
          <w:highlight w:val="none"/>
        </w:rPr>
        <w:t>文件</w:t>
      </w:r>
    </w:p>
    <w:p w14:paraId="2869B3F2">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color w:val="auto"/>
          <w:spacing w:val="-10"/>
          <w:sz w:val="34"/>
          <w:szCs w:val="34"/>
          <w:highlight w:val="none"/>
          <w:lang w:val="en-US" w:eastAsia="zh-CN"/>
        </w:rPr>
      </w:pPr>
    </w:p>
    <w:p w14:paraId="3E9DC44D">
      <w:pPr>
        <w:snapToGrid w:val="0"/>
        <w:spacing w:line="380" w:lineRule="exact"/>
        <w:jc w:val="center"/>
        <w:rPr>
          <w:rFonts w:hint="eastAsia" w:ascii="宋体" w:hAnsi="宋体" w:eastAsia="宋体" w:cs="宋体"/>
          <w:b/>
          <w:color w:val="auto"/>
          <w:sz w:val="32"/>
          <w:szCs w:val="32"/>
          <w:highlight w:val="none"/>
        </w:rPr>
      </w:pPr>
    </w:p>
    <w:p w14:paraId="5D83D130">
      <w:pPr>
        <w:pStyle w:val="32"/>
        <w:rPr>
          <w:rFonts w:hint="eastAsia"/>
          <w:color w:val="auto"/>
          <w:highlight w:val="none"/>
        </w:rPr>
      </w:pPr>
    </w:p>
    <w:p w14:paraId="6DB5A4D8">
      <w:pPr>
        <w:pStyle w:val="59"/>
        <w:rPr>
          <w:rFonts w:hint="eastAsia" w:ascii="宋体" w:hAnsi="宋体" w:eastAsia="宋体" w:cs="宋体"/>
          <w:bCs/>
          <w:color w:val="auto"/>
          <w:sz w:val="2"/>
          <w:szCs w:val="2"/>
          <w:highlight w:val="none"/>
        </w:rPr>
      </w:pPr>
    </w:p>
    <w:p w14:paraId="31B0102B">
      <w:pPr>
        <w:rPr>
          <w:rFonts w:hint="eastAsia" w:ascii="宋体" w:hAnsi="宋体" w:eastAsia="宋体" w:cs="宋体"/>
          <w:bCs/>
          <w:color w:val="auto"/>
          <w:sz w:val="2"/>
          <w:szCs w:val="2"/>
          <w:highlight w:val="none"/>
        </w:rPr>
      </w:pPr>
    </w:p>
    <w:p w14:paraId="6A125CB3">
      <w:pPr>
        <w:spacing w:line="20" w:lineRule="exact"/>
        <w:rPr>
          <w:rFonts w:hint="eastAsia" w:ascii="宋体" w:hAnsi="宋体" w:eastAsia="宋体" w:cs="宋体"/>
          <w:bCs/>
          <w:color w:val="auto"/>
          <w:sz w:val="2"/>
          <w:szCs w:val="2"/>
          <w:highlight w:val="none"/>
        </w:rPr>
      </w:pPr>
    </w:p>
    <w:p w14:paraId="38AB9647">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p>
    <w:p w14:paraId="4B3D1B0E">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p>
    <w:p w14:paraId="080A94E0">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color w:val="auto"/>
          <w:spacing w:val="-10"/>
          <w:sz w:val="34"/>
          <w:szCs w:val="34"/>
          <w:highlight w:val="none"/>
          <w:lang w:val="en-US" w:eastAsia="zh-CN"/>
        </w:rPr>
      </w:pPr>
    </w:p>
    <w:p w14:paraId="00B0B498">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color w:val="auto"/>
          <w:spacing w:val="80"/>
          <w:sz w:val="34"/>
          <w:szCs w:val="34"/>
          <w:highlight w:val="none"/>
        </w:rPr>
      </w:pPr>
      <w:r>
        <w:rPr>
          <w:rFonts w:hint="eastAsia" w:ascii="宋体" w:hAnsi="宋体" w:eastAsia="宋体" w:cs="宋体"/>
          <w:b/>
          <w:bCs/>
          <w:color w:val="auto"/>
          <w:spacing w:val="-10"/>
          <w:sz w:val="34"/>
          <w:szCs w:val="34"/>
          <w:highlight w:val="none"/>
          <w:lang w:val="en-US" w:eastAsia="zh-CN"/>
        </w:rPr>
        <w:t>采 购</w:t>
      </w:r>
      <w:r>
        <w:rPr>
          <w:rFonts w:hint="eastAsia" w:ascii="宋体" w:hAnsi="宋体" w:eastAsia="宋体" w:cs="宋体"/>
          <w:b/>
          <w:bCs/>
          <w:color w:val="auto"/>
          <w:spacing w:val="-10"/>
          <w:sz w:val="34"/>
          <w:szCs w:val="34"/>
          <w:highlight w:val="none"/>
        </w:rPr>
        <w:t xml:space="preserve"> 人：驻马店市中心医院</w:t>
      </w:r>
    </w:p>
    <w:p w14:paraId="5AD79BD9">
      <w:pPr>
        <w:tabs>
          <w:tab w:val="left" w:pos="2505"/>
          <w:tab w:val="center" w:pos="4535"/>
        </w:tabs>
        <w:snapToGrid w:val="0"/>
        <w:spacing w:line="480" w:lineRule="auto"/>
        <w:jc w:val="center"/>
        <w:rPr>
          <w:rFonts w:hint="eastAsia" w:ascii="宋体" w:hAnsi="宋体" w:eastAsia="宋体" w:cs="宋体"/>
          <w:b/>
          <w:color w:val="auto"/>
          <w:sz w:val="36"/>
          <w:szCs w:val="36"/>
          <w:highlight w:val="none"/>
        </w:rPr>
        <w:sectPr>
          <w:pgSz w:w="11923" w:h="16838"/>
          <w:pgMar w:top="1304" w:right="1417" w:bottom="992" w:left="1417" w:header="720" w:footer="720" w:gutter="0"/>
          <w:pgNumType w:fmt="decimal" w:start="1"/>
          <w:cols w:space="720" w:num="1"/>
          <w:docGrid w:type="lines" w:linePitch="312" w:charSpace="0"/>
        </w:sectPr>
      </w:pPr>
      <w:r>
        <w:rPr>
          <w:rFonts w:hint="eastAsia" w:ascii="宋体" w:hAnsi="宋体" w:eastAsia="宋体" w:cs="宋体"/>
          <w:b/>
          <w:bCs/>
          <w:color w:val="auto"/>
          <w:spacing w:val="40"/>
          <w:sz w:val="34"/>
          <w:szCs w:val="34"/>
          <w:highlight w:val="none"/>
          <w:lang w:val="en-US" w:eastAsia="zh-CN"/>
        </w:rPr>
        <w:t>202</w:t>
      </w:r>
      <w:r>
        <w:rPr>
          <w:rFonts w:hint="eastAsia" w:ascii="宋体" w:hAnsi="宋体" w:cs="宋体"/>
          <w:b/>
          <w:bCs/>
          <w:color w:val="auto"/>
          <w:spacing w:val="40"/>
          <w:sz w:val="34"/>
          <w:szCs w:val="34"/>
          <w:highlight w:val="none"/>
          <w:lang w:val="en-US" w:eastAsia="zh-CN"/>
        </w:rPr>
        <w:t>4</w:t>
      </w:r>
      <w:r>
        <w:rPr>
          <w:rFonts w:hint="eastAsia" w:ascii="宋体" w:hAnsi="宋体" w:eastAsia="宋体" w:cs="宋体"/>
          <w:b/>
          <w:bCs/>
          <w:color w:val="auto"/>
          <w:spacing w:val="40"/>
          <w:sz w:val="34"/>
          <w:szCs w:val="34"/>
          <w:highlight w:val="none"/>
        </w:rPr>
        <w:t>年</w:t>
      </w:r>
      <w:r>
        <w:rPr>
          <w:rFonts w:hint="eastAsia" w:ascii="宋体" w:hAnsi="宋体" w:cs="宋体"/>
          <w:b/>
          <w:bCs/>
          <w:color w:val="auto"/>
          <w:spacing w:val="40"/>
          <w:sz w:val="34"/>
          <w:szCs w:val="34"/>
          <w:highlight w:val="none"/>
          <w:lang w:val="en-US" w:eastAsia="zh-CN"/>
        </w:rPr>
        <w:t>08</w:t>
      </w:r>
      <w:r>
        <w:rPr>
          <w:rFonts w:hint="eastAsia" w:ascii="宋体" w:hAnsi="宋体" w:eastAsia="宋体" w:cs="宋体"/>
          <w:b/>
          <w:bCs/>
          <w:color w:val="auto"/>
          <w:spacing w:val="40"/>
          <w:sz w:val="34"/>
          <w:szCs w:val="34"/>
          <w:highlight w:val="none"/>
        </w:rPr>
        <w:t>月</w:t>
      </w:r>
    </w:p>
    <w:p w14:paraId="5442A212">
      <w:pPr>
        <w:rPr>
          <w:rFonts w:ascii="宋体" w:hAnsi="宋体"/>
          <w:bCs/>
          <w:color w:val="auto"/>
          <w:sz w:val="24"/>
          <w:highlight w:val="none"/>
        </w:rPr>
      </w:pPr>
    </w:p>
    <w:p w14:paraId="221D8B11">
      <w:pPr>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目录</w:t>
      </w:r>
    </w:p>
    <w:p w14:paraId="29867028">
      <w:pPr>
        <w:pStyle w:val="53"/>
        <w:rPr>
          <w:color w:val="auto"/>
          <w:highlight w:val="none"/>
        </w:rPr>
      </w:pPr>
    </w:p>
    <w:p w14:paraId="4777C560">
      <w:pPr>
        <w:pStyle w:val="25"/>
        <w:keepNext w:val="0"/>
        <w:keepLines w:val="0"/>
        <w:pageBreakBefore w:val="0"/>
        <w:tabs>
          <w:tab w:val="right" w:leader="dot" w:pos="8958"/>
        </w:tabs>
        <w:kinsoku/>
        <w:wordWrap/>
        <w:overflowPunct/>
        <w:topLinePunct w:val="0"/>
        <w:autoSpaceDE/>
        <w:autoSpaceDN/>
        <w:bidi w:val="0"/>
        <w:adjustRightInd/>
        <w:spacing w:line="360" w:lineRule="auto"/>
        <w:textAlignment w:val="auto"/>
        <w:rPr>
          <w:color w:val="auto"/>
          <w:highlight w:val="none"/>
        </w:rPr>
      </w:pPr>
      <w:r>
        <w:rPr>
          <w:rFonts w:hint="eastAsia" w:ascii="宋体" w:hAnsi="宋体" w:cs="宋体"/>
          <w:b/>
          <w:bCs/>
          <w:color w:val="auto"/>
          <w:sz w:val="32"/>
          <w:szCs w:val="32"/>
          <w:highlight w:val="none"/>
        </w:rPr>
        <w:fldChar w:fldCharType="begin"/>
      </w:r>
      <w:r>
        <w:rPr>
          <w:rFonts w:hint="eastAsia" w:ascii="宋体" w:hAnsi="宋体" w:cs="宋体"/>
          <w:b/>
          <w:bCs/>
          <w:color w:val="auto"/>
          <w:sz w:val="32"/>
          <w:szCs w:val="32"/>
          <w:highlight w:val="none"/>
        </w:rPr>
        <w:instrText xml:space="preserve">TOC \o "1-1" \h \u </w:instrText>
      </w:r>
      <w:r>
        <w:rPr>
          <w:rFonts w:hint="eastAsia" w:ascii="宋体" w:hAnsi="宋体" w:cs="宋体"/>
          <w:b/>
          <w:bCs/>
          <w:color w:val="auto"/>
          <w:sz w:val="32"/>
          <w:szCs w:val="32"/>
          <w:highlight w:val="none"/>
        </w:rPr>
        <w:fldChar w:fldCharType="separate"/>
      </w:r>
      <w:r>
        <w:rPr>
          <w:rFonts w:hint="eastAsia" w:ascii="宋体" w:hAnsi="宋体" w:cs="宋体"/>
          <w:bCs/>
          <w:color w:val="auto"/>
          <w:szCs w:val="32"/>
          <w:highlight w:val="none"/>
        </w:rPr>
        <w:fldChar w:fldCharType="begin"/>
      </w:r>
      <w:r>
        <w:rPr>
          <w:rFonts w:hint="eastAsia" w:ascii="宋体" w:hAnsi="宋体" w:cs="宋体"/>
          <w:bCs/>
          <w:color w:val="auto"/>
          <w:szCs w:val="32"/>
          <w:highlight w:val="none"/>
        </w:rPr>
        <w:instrText xml:space="preserve"> HYPERLINK \l _Toc22821 </w:instrText>
      </w:r>
      <w:r>
        <w:rPr>
          <w:rFonts w:hint="eastAsia" w:ascii="宋体" w:hAnsi="宋体" w:cs="宋体"/>
          <w:bCs/>
          <w:color w:val="auto"/>
          <w:szCs w:val="32"/>
          <w:highlight w:val="none"/>
        </w:rPr>
        <w:fldChar w:fldCharType="separate"/>
      </w:r>
      <w:r>
        <w:rPr>
          <w:rFonts w:hint="eastAsia" w:ascii="宋体" w:hAnsi="宋体"/>
          <w:color w:val="auto"/>
          <w:szCs w:val="32"/>
          <w:highlight w:val="none"/>
        </w:rPr>
        <w:t xml:space="preserve">第一章  </w:t>
      </w:r>
      <w:r>
        <w:rPr>
          <w:rFonts w:hint="eastAsia" w:ascii="宋体" w:hAnsi="宋体"/>
          <w:color w:val="auto"/>
          <w:szCs w:val="32"/>
          <w:highlight w:val="none"/>
          <w:lang w:val="en-US" w:eastAsia="zh-CN"/>
        </w:rPr>
        <w:t>竞争性磋商采购</w:t>
      </w:r>
      <w:r>
        <w:rPr>
          <w:rFonts w:hint="eastAsia" w:ascii="宋体" w:hAnsi="宋体"/>
          <w:color w:val="auto"/>
          <w:szCs w:val="32"/>
          <w:highlight w:val="none"/>
        </w:rPr>
        <w:t>公告</w:t>
      </w:r>
      <w:r>
        <w:rPr>
          <w:color w:val="auto"/>
          <w:highlight w:val="none"/>
        </w:rPr>
        <w:tab/>
      </w:r>
      <w:r>
        <w:rPr>
          <w:color w:val="auto"/>
          <w:highlight w:val="none"/>
        </w:rPr>
        <w:fldChar w:fldCharType="begin"/>
      </w:r>
      <w:r>
        <w:rPr>
          <w:color w:val="auto"/>
          <w:highlight w:val="none"/>
        </w:rPr>
        <w:instrText xml:space="preserve"> PAGEREF _Toc22821 \h </w:instrText>
      </w:r>
      <w:r>
        <w:rPr>
          <w:color w:val="auto"/>
          <w:highlight w:val="none"/>
        </w:rPr>
        <w:fldChar w:fldCharType="separate"/>
      </w:r>
      <w:r>
        <w:rPr>
          <w:color w:val="auto"/>
          <w:highlight w:val="none"/>
        </w:rPr>
        <w:t>2</w:t>
      </w:r>
      <w:r>
        <w:rPr>
          <w:color w:val="auto"/>
          <w:highlight w:val="none"/>
        </w:rPr>
        <w:fldChar w:fldCharType="end"/>
      </w:r>
      <w:r>
        <w:rPr>
          <w:rFonts w:hint="eastAsia" w:ascii="宋体" w:hAnsi="宋体" w:cs="宋体"/>
          <w:bCs/>
          <w:color w:val="auto"/>
          <w:szCs w:val="32"/>
          <w:highlight w:val="none"/>
        </w:rPr>
        <w:fldChar w:fldCharType="end"/>
      </w:r>
    </w:p>
    <w:p w14:paraId="79A6AD10">
      <w:pPr>
        <w:pStyle w:val="25"/>
        <w:keepNext w:val="0"/>
        <w:keepLines w:val="0"/>
        <w:pageBreakBefore w:val="0"/>
        <w:tabs>
          <w:tab w:val="right" w:leader="dot" w:pos="8958"/>
        </w:tabs>
        <w:kinsoku/>
        <w:wordWrap/>
        <w:overflowPunct/>
        <w:topLinePunct w:val="0"/>
        <w:autoSpaceDE/>
        <w:autoSpaceDN/>
        <w:bidi w:val="0"/>
        <w:adjustRightInd/>
        <w:spacing w:line="360" w:lineRule="auto"/>
        <w:textAlignment w:val="auto"/>
        <w:rPr>
          <w:color w:val="auto"/>
          <w:highlight w:val="none"/>
        </w:rPr>
      </w:pPr>
      <w:r>
        <w:rPr>
          <w:rFonts w:hint="eastAsia" w:ascii="宋体" w:hAnsi="宋体" w:cs="宋体"/>
          <w:bCs/>
          <w:color w:val="auto"/>
          <w:szCs w:val="32"/>
          <w:highlight w:val="none"/>
        </w:rPr>
        <w:fldChar w:fldCharType="begin"/>
      </w:r>
      <w:r>
        <w:rPr>
          <w:rFonts w:hint="eastAsia" w:ascii="宋体" w:hAnsi="宋体" w:cs="宋体"/>
          <w:bCs/>
          <w:color w:val="auto"/>
          <w:szCs w:val="32"/>
          <w:highlight w:val="none"/>
        </w:rPr>
        <w:instrText xml:space="preserve"> HYPERLINK \l _Toc17552 </w:instrText>
      </w:r>
      <w:r>
        <w:rPr>
          <w:rFonts w:hint="eastAsia" w:ascii="宋体" w:hAnsi="宋体" w:cs="宋体"/>
          <w:bCs/>
          <w:color w:val="auto"/>
          <w:szCs w:val="32"/>
          <w:highlight w:val="none"/>
        </w:rPr>
        <w:fldChar w:fldCharType="separate"/>
      </w:r>
      <w:r>
        <w:rPr>
          <w:rFonts w:hint="eastAsia" w:ascii="宋体" w:hAnsi="宋体"/>
          <w:color w:val="auto"/>
          <w:szCs w:val="32"/>
          <w:highlight w:val="none"/>
        </w:rPr>
        <w:t xml:space="preserve">第二章  </w:t>
      </w:r>
      <w:r>
        <w:rPr>
          <w:rFonts w:hint="eastAsia" w:ascii="宋体" w:hAnsi="宋体"/>
          <w:color w:val="auto"/>
          <w:szCs w:val="32"/>
          <w:highlight w:val="none"/>
          <w:lang w:eastAsia="zh-CN"/>
        </w:rPr>
        <w:t>采购</w:t>
      </w:r>
      <w:r>
        <w:rPr>
          <w:rFonts w:hint="eastAsia" w:ascii="宋体" w:hAnsi="宋体"/>
          <w:color w:val="auto"/>
          <w:szCs w:val="32"/>
          <w:highlight w:val="none"/>
        </w:rPr>
        <w:t>需求</w:t>
      </w:r>
      <w:r>
        <w:rPr>
          <w:color w:val="auto"/>
          <w:highlight w:val="none"/>
        </w:rPr>
        <w:tab/>
      </w:r>
      <w:r>
        <w:rPr>
          <w:color w:val="auto"/>
          <w:highlight w:val="none"/>
        </w:rPr>
        <w:fldChar w:fldCharType="begin"/>
      </w:r>
      <w:r>
        <w:rPr>
          <w:color w:val="auto"/>
          <w:highlight w:val="none"/>
        </w:rPr>
        <w:instrText xml:space="preserve"> PAGEREF _Toc17552 \h </w:instrText>
      </w:r>
      <w:r>
        <w:rPr>
          <w:color w:val="auto"/>
          <w:highlight w:val="none"/>
        </w:rPr>
        <w:fldChar w:fldCharType="separate"/>
      </w:r>
      <w:r>
        <w:rPr>
          <w:color w:val="auto"/>
          <w:highlight w:val="none"/>
        </w:rPr>
        <w:t>3</w:t>
      </w:r>
      <w:r>
        <w:rPr>
          <w:color w:val="auto"/>
          <w:highlight w:val="none"/>
        </w:rPr>
        <w:fldChar w:fldCharType="end"/>
      </w:r>
      <w:r>
        <w:rPr>
          <w:rFonts w:hint="eastAsia" w:ascii="宋体" w:hAnsi="宋体" w:cs="宋体"/>
          <w:bCs/>
          <w:color w:val="auto"/>
          <w:szCs w:val="32"/>
          <w:highlight w:val="none"/>
        </w:rPr>
        <w:fldChar w:fldCharType="end"/>
      </w:r>
    </w:p>
    <w:p w14:paraId="75CABE92">
      <w:pPr>
        <w:pStyle w:val="25"/>
        <w:keepNext w:val="0"/>
        <w:keepLines w:val="0"/>
        <w:pageBreakBefore w:val="0"/>
        <w:tabs>
          <w:tab w:val="right" w:leader="dot" w:pos="8958"/>
        </w:tabs>
        <w:kinsoku/>
        <w:wordWrap/>
        <w:overflowPunct/>
        <w:topLinePunct w:val="0"/>
        <w:autoSpaceDE/>
        <w:autoSpaceDN/>
        <w:bidi w:val="0"/>
        <w:adjustRightInd/>
        <w:spacing w:line="360" w:lineRule="auto"/>
        <w:textAlignment w:val="auto"/>
        <w:rPr>
          <w:color w:val="auto"/>
          <w:highlight w:val="none"/>
        </w:rPr>
      </w:pPr>
      <w:r>
        <w:rPr>
          <w:rFonts w:hint="eastAsia" w:ascii="宋体" w:hAnsi="宋体" w:cs="宋体"/>
          <w:bCs/>
          <w:color w:val="auto"/>
          <w:szCs w:val="32"/>
          <w:highlight w:val="none"/>
        </w:rPr>
        <w:fldChar w:fldCharType="begin"/>
      </w:r>
      <w:r>
        <w:rPr>
          <w:rFonts w:hint="eastAsia" w:ascii="宋体" w:hAnsi="宋体" w:cs="宋体"/>
          <w:bCs/>
          <w:color w:val="auto"/>
          <w:szCs w:val="32"/>
          <w:highlight w:val="none"/>
        </w:rPr>
        <w:instrText xml:space="preserve"> HYPERLINK \l _Toc16791 </w:instrText>
      </w:r>
      <w:r>
        <w:rPr>
          <w:rFonts w:hint="eastAsia" w:ascii="宋体" w:hAnsi="宋体" w:cs="宋体"/>
          <w:bCs/>
          <w:color w:val="auto"/>
          <w:szCs w:val="32"/>
          <w:highlight w:val="none"/>
        </w:rPr>
        <w:fldChar w:fldCharType="separate"/>
      </w:r>
      <w:r>
        <w:rPr>
          <w:rFonts w:hint="eastAsia"/>
          <w:bCs/>
          <w:color w:val="auto"/>
          <w:szCs w:val="32"/>
          <w:highlight w:val="none"/>
        </w:rPr>
        <w:t xml:space="preserve">第三章  </w:t>
      </w:r>
      <w:r>
        <w:rPr>
          <w:rFonts w:hint="eastAsia"/>
          <w:bCs/>
          <w:color w:val="auto"/>
          <w:szCs w:val="32"/>
          <w:highlight w:val="none"/>
          <w:lang w:eastAsia="zh-CN"/>
        </w:rPr>
        <w:t>供应商</w:t>
      </w:r>
      <w:r>
        <w:rPr>
          <w:rFonts w:hint="eastAsia"/>
          <w:bCs/>
          <w:color w:val="auto"/>
          <w:szCs w:val="32"/>
          <w:highlight w:val="none"/>
        </w:rPr>
        <w:t>须知</w:t>
      </w:r>
      <w:r>
        <w:rPr>
          <w:color w:val="auto"/>
          <w:highlight w:val="none"/>
        </w:rPr>
        <w:tab/>
      </w:r>
      <w:r>
        <w:rPr>
          <w:color w:val="auto"/>
          <w:highlight w:val="none"/>
        </w:rPr>
        <w:fldChar w:fldCharType="begin"/>
      </w:r>
      <w:r>
        <w:rPr>
          <w:color w:val="auto"/>
          <w:highlight w:val="none"/>
        </w:rPr>
        <w:instrText xml:space="preserve"> PAGEREF _Toc16791 \h </w:instrText>
      </w:r>
      <w:r>
        <w:rPr>
          <w:color w:val="auto"/>
          <w:highlight w:val="none"/>
        </w:rPr>
        <w:fldChar w:fldCharType="separate"/>
      </w:r>
      <w:r>
        <w:rPr>
          <w:color w:val="auto"/>
          <w:highlight w:val="none"/>
        </w:rPr>
        <w:t>7</w:t>
      </w:r>
      <w:r>
        <w:rPr>
          <w:color w:val="auto"/>
          <w:highlight w:val="none"/>
        </w:rPr>
        <w:fldChar w:fldCharType="end"/>
      </w:r>
      <w:r>
        <w:rPr>
          <w:rFonts w:hint="eastAsia" w:ascii="宋体" w:hAnsi="宋体" w:cs="宋体"/>
          <w:bCs/>
          <w:color w:val="auto"/>
          <w:szCs w:val="32"/>
          <w:highlight w:val="none"/>
        </w:rPr>
        <w:fldChar w:fldCharType="end"/>
      </w:r>
    </w:p>
    <w:p w14:paraId="1BD64C3C">
      <w:pPr>
        <w:pStyle w:val="25"/>
        <w:keepNext w:val="0"/>
        <w:keepLines w:val="0"/>
        <w:pageBreakBefore w:val="0"/>
        <w:tabs>
          <w:tab w:val="right" w:leader="dot" w:pos="8958"/>
        </w:tabs>
        <w:kinsoku/>
        <w:wordWrap/>
        <w:overflowPunct/>
        <w:topLinePunct w:val="0"/>
        <w:autoSpaceDE/>
        <w:autoSpaceDN/>
        <w:bidi w:val="0"/>
        <w:adjustRightInd/>
        <w:spacing w:line="360" w:lineRule="auto"/>
        <w:textAlignment w:val="auto"/>
        <w:rPr>
          <w:color w:val="auto"/>
          <w:highlight w:val="none"/>
        </w:rPr>
      </w:pPr>
      <w:r>
        <w:rPr>
          <w:rFonts w:hint="eastAsia" w:ascii="宋体" w:hAnsi="宋体" w:cs="宋体"/>
          <w:bCs/>
          <w:color w:val="auto"/>
          <w:szCs w:val="32"/>
          <w:highlight w:val="none"/>
        </w:rPr>
        <w:fldChar w:fldCharType="begin"/>
      </w:r>
      <w:r>
        <w:rPr>
          <w:rFonts w:hint="eastAsia" w:ascii="宋体" w:hAnsi="宋体" w:cs="宋体"/>
          <w:bCs/>
          <w:color w:val="auto"/>
          <w:szCs w:val="32"/>
          <w:highlight w:val="none"/>
        </w:rPr>
        <w:instrText xml:space="preserve"> HYPERLINK \l _Toc16473 </w:instrText>
      </w:r>
      <w:r>
        <w:rPr>
          <w:rFonts w:hint="eastAsia" w:ascii="宋体" w:hAnsi="宋体" w:cs="宋体"/>
          <w:bCs/>
          <w:color w:val="auto"/>
          <w:szCs w:val="32"/>
          <w:highlight w:val="none"/>
        </w:rPr>
        <w:fldChar w:fldCharType="separate"/>
      </w:r>
      <w:r>
        <w:rPr>
          <w:rFonts w:hint="eastAsia" w:ascii="宋体" w:hAnsi="宋体" w:eastAsia="宋体" w:cs="宋体"/>
          <w:bCs/>
          <w:color w:val="auto"/>
          <w:kern w:val="0"/>
          <w:szCs w:val="32"/>
          <w:highlight w:val="none"/>
        </w:rPr>
        <w:t>第四章  评标办法及评分标准</w:t>
      </w:r>
      <w:r>
        <w:rPr>
          <w:color w:val="auto"/>
          <w:highlight w:val="none"/>
        </w:rPr>
        <w:tab/>
      </w:r>
      <w:r>
        <w:rPr>
          <w:color w:val="auto"/>
          <w:highlight w:val="none"/>
        </w:rPr>
        <w:fldChar w:fldCharType="begin"/>
      </w:r>
      <w:r>
        <w:rPr>
          <w:color w:val="auto"/>
          <w:highlight w:val="none"/>
        </w:rPr>
        <w:instrText xml:space="preserve"> PAGEREF _Toc16473 \h </w:instrText>
      </w:r>
      <w:r>
        <w:rPr>
          <w:color w:val="auto"/>
          <w:highlight w:val="none"/>
        </w:rPr>
        <w:fldChar w:fldCharType="separate"/>
      </w:r>
      <w:r>
        <w:rPr>
          <w:color w:val="auto"/>
          <w:highlight w:val="none"/>
        </w:rPr>
        <w:t>17</w:t>
      </w:r>
      <w:r>
        <w:rPr>
          <w:color w:val="auto"/>
          <w:highlight w:val="none"/>
        </w:rPr>
        <w:fldChar w:fldCharType="end"/>
      </w:r>
      <w:r>
        <w:rPr>
          <w:rFonts w:hint="eastAsia" w:ascii="宋体" w:hAnsi="宋体" w:cs="宋体"/>
          <w:bCs/>
          <w:color w:val="auto"/>
          <w:szCs w:val="32"/>
          <w:highlight w:val="none"/>
        </w:rPr>
        <w:fldChar w:fldCharType="end"/>
      </w:r>
    </w:p>
    <w:p w14:paraId="27B1715E">
      <w:pPr>
        <w:pStyle w:val="25"/>
        <w:keepNext w:val="0"/>
        <w:keepLines w:val="0"/>
        <w:pageBreakBefore w:val="0"/>
        <w:tabs>
          <w:tab w:val="right" w:leader="dot" w:pos="8958"/>
        </w:tabs>
        <w:kinsoku/>
        <w:wordWrap/>
        <w:overflowPunct/>
        <w:topLinePunct w:val="0"/>
        <w:autoSpaceDE/>
        <w:autoSpaceDN/>
        <w:bidi w:val="0"/>
        <w:adjustRightInd/>
        <w:spacing w:line="360" w:lineRule="auto"/>
        <w:textAlignment w:val="auto"/>
        <w:rPr>
          <w:color w:val="auto"/>
          <w:highlight w:val="none"/>
        </w:rPr>
      </w:pPr>
      <w:r>
        <w:rPr>
          <w:rFonts w:hint="eastAsia" w:ascii="宋体" w:hAnsi="宋体" w:cs="宋体"/>
          <w:bCs/>
          <w:color w:val="auto"/>
          <w:szCs w:val="32"/>
          <w:highlight w:val="none"/>
        </w:rPr>
        <w:fldChar w:fldCharType="begin"/>
      </w:r>
      <w:r>
        <w:rPr>
          <w:rFonts w:hint="eastAsia" w:ascii="宋体" w:hAnsi="宋体" w:cs="宋体"/>
          <w:bCs/>
          <w:color w:val="auto"/>
          <w:szCs w:val="32"/>
          <w:highlight w:val="none"/>
        </w:rPr>
        <w:instrText xml:space="preserve"> HYPERLINK \l _Toc1638 </w:instrText>
      </w:r>
      <w:r>
        <w:rPr>
          <w:rFonts w:hint="eastAsia" w:ascii="宋体" w:hAnsi="宋体" w:cs="宋体"/>
          <w:bCs/>
          <w:color w:val="auto"/>
          <w:szCs w:val="32"/>
          <w:highlight w:val="none"/>
        </w:rPr>
        <w:fldChar w:fldCharType="separate"/>
      </w:r>
      <w:r>
        <w:rPr>
          <w:rFonts w:hint="eastAsia"/>
          <w:color w:val="auto"/>
          <w:szCs w:val="28"/>
          <w:highlight w:val="none"/>
        </w:rPr>
        <w:t>第五章  采购合同</w:t>
      </w:r>
      <w:r>
        <w:rPr>
          <w:color w:val="auto"/>
          <w:highlight w:val="none"/>
        </w:rPr>
        <w:tab/>
      </w:r>
      <w:r>
        <w:rPr>
          <w:color w:val="auto"/>
          <w:highlight w:val="none"/>
        </w:rPr>
        <w:fldChar w:fldCharType="begin"/>
      </w:r>
      <w:r>
        <w:rPr>
          <w:color w:val="auto"/>
          <w:highlight w:val="none"/>
        </w:rPr>
        <w:instrText xml:space="preserve"> PAGEREF _Toc1638 \h </w:instrText>
      </w:r>
      <w:r>
        <w:rPr>
          <w:color w:val="auto"/>
          <w:highlight w:val="none"/>
        </w:rPr>
        <w:fldChar w:fldCharType="separate"/>
      </w:r>
      <w:r>
        <w:rPr>
          <w:color w:val="auto"/>
          <w:highlight w:val="none"/>
        </w:rPr>
        <w:t>19</w:t>
      </w:r>
      <w:r>
        <w:rPr>
          <w:color w:val="auto"/>
          <w:highlight w:val="none"/>
        </w:rPr>
        <w:fldChar w:fldCharType="end"/>
      </w:r>
      <w:r>
        <w:rPr>
          <w:rFonts w:hint="eastAsia" w:ascii="宋体" w:hAnsi="宋体" w:cs="宋体"/>
          <w:bCs/>
          <w:color w:val="auto"/>
          <w:szCs w:val="32"/>
          <w:highlight w:val="none"/>
        </w:rPr>
        <w:fldChar w:fldCharType="end"/>
      </w:r>
    </w:p>
    <w:p w14:paraId="0DE0107B">
      <w:pPr>
        <w:pStyle w:val="25"/>
        <w:keepNext w:val="0"/>
        <w:keepLines w:val="0"/>
        <w:pageBreakBefore w:val="0"/>
        <w:tabs>
          <w:tab w:val="right" w:leader="dot" w:pos="8958"/>
        </w:tabs>
        <w:kinsoku/>
        <w:wordWrap/>
        <w:overflowPunct/>
        <w:topLinePunct w:val="0"/>
        <w:autoSpaceDE/>
        <w:autoSpaceDN/>
        <w:bidi w:val="0"/>
        <w:adjustRightInd/>
        <w:spacing w:line="360" w:lineRule="auto"/>
        <w:textAlignment w:val="auto"/>
        <w:rPr>
          <w:color w:val="auto"/>
          <w:highlight w:val="none"/>
        </w:rPr>
      </w:pPr>
      <w:r>
        <w:rPr>
          <w:rFonts w:hint="eastAsia" w:ascii="宋体" w:hAnsi="宋体" w:cs="宋体"/>
          <w:bCs/>
          <w:color w:val="auto"/>
          <w:szCs w:val="32"/>
          <w:highlight w:val="none"/>
        </w:rPr>
        <w:fldChar w:fldCharType="begin"/>
      </w:r>
      <w:r>
        <w:rPr>
          <w:rFonts w:hint="eastAsia" w:ascii="宋体" w:hAnsi="宋体" w:cs="宋体"/>
          <w:bCs/>
          <w:color w:val="auto"/>
          <w:szCs w:val="32"/>
          <w:highlight w:val="none"/>
        </w:rPr>
        <w:instrText xml:space="preserve"> HYPERLINK \l _Toc5963 </w:instrText>
      </w:r>
      <w:r>
        <w:rPr>
          <w:rFonts w:hint="eastAsia" w:ascii="宋体" w:hAnsi="宋体" w:cs="宋体"/>
          <w:bCs/>
          <w:color w:val="auto"/>
          <w:szCs w:val="32"/>
          <w:highlight w:val="none"/>
        </w:rPr>
        <w:fldChar w:fldCharType="separate"/>
      </w:r>
      <w:r>
        <w:rPr>
          <w:rFonts w:hint="eastAsia"/>
          <w:color w:val="auto"/>
          <w:szCs w:val="32"/>
          <w:highlight w:val="none"/>
        </w:rPr>
        <w:t>第六章  投标文件格式</w:t>
      </w:r>
      <w:r>
        <w:rPr>
          <w:color w:val="auto"/>
          <w:highlight w:val="none"/>
        </w:rPr>
        <w:tab/>
      </w:r>
      <w:r>
        <w:rPr>
          <w:color w:val="auto"/>
          <w:highlight w:val="none"/>
        </w:rPr>
        <w:fldChar w:fldCharType="begin"/>
      </w:r>
      <w:r>
        <w:rPr>
          <w:color w:val="auto"/>
          <w:highlight w:val="none"/>
        </w:rPr>
        <w:instrText xml:space="preserve"> PAGEREF _Toc5963 \h </w:instrText>
      </w:r>
      <w:r>
        <w:rPr>
          <w:color w:val="auto"/>
          <w:highlight w:val="none"/>
        </w:rPr>
        <w:fldChar w:fldCharType="separate"/>
      </w:r>
      <w:r>
        <w:rPr>
          <w:color w:val="auto"/>
          <w:highlight w:val="none"/>
        </w:rPr>
        <w:t>20</w:t>
      </w:r>
      <w:r>
        <w:rPr>
          <w:color w:val="auto"/>
          <w:highlight w:val="none"/>
        </w:rPr>
        <w:fldChar w:fldCharType="end"/>
      </w:r>
      <w:r>
        <w:rPr>
          <w:rFonts w:hint="eastAsia" w:ascii="宋体" w:hAnsi="宋体" w:cs="宋体"/>
          <w:bCs/>
          <w:color w:val="auto"/>
          <w:szCs w:val="32"/>
          <w:highlight w:val="none"/>
        </w:rPr>
        <w:fldChar w:fldCharType="end"/>
      </w:r>
    </w:p>
    <w:p w14:paraId="4875F08A">
      <w:pPr>
        <w:pStyle w:val="83"/>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ascii="宋体" w:hAnsi="宋体" w:cs="宋体"/>
          <w:color w:val="auto"/>
          <w:sz w:val="32"/>
          <w:szCs w:val="32"/>
          <w:highlight w:val="none"/>
        </w:rPr>
      </w:pPr>
      <w:r>
        <w:rPr>
          <w:rFonts w:hint="eastAsia" w:ascii="宋体" w:hAnsi="宋体" w:cs="宋体"/>
          <w:bCs/>
          <w:color w:val="auto"/>
          <w:szCs w:val="32"/>
          <w:highlight w:val="none"/>
        </w:rPr>
        <w:fldChar w:fldCharType="end"/>
      </w:r>
    </w:p>
    <w:p w14:paraId="22110704">
      <w:pPr>
        <w:spacing w:line="440" w:lineRule="exact"/>
        <w:rPr>
          <w:rFonts w:ascii="宋体" w:hAnsi="宋体"/>
          <w:b/>
          <w:color w:val="auto"/>
          <w:sz w:val="32"/>
          <w:szCs w:val="32"/>
          <w:highlight w:val="none"/>
        </w:rPr>
      </w:pPr>
    </w:p>
    <w:p w14:paraId="1496D88E">
      <w:pPr>
        <w:spacing w:line="360" w:lineRule="auto"/>
        <w:ind w:firstLine="2409" w:firstLineChars="600"/>
        <w:rPr>
          <w:rFonts w:ascii="宋体" w:hAnsi="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4276BE90">
      <w:pPr>
        <w:spacing w:line="360" w:lineRule="auto"/>
        <w:jc w:val="center"/>
        <w:outlineLvl w:val="0"/>
        <w:rPr>
          <w:rFonts w:ascii="宋体" w:hAnsi="宋体"/>
          <w:b/>
          <w:color w:val="auto"/>
          <w:sz w:val="32"/>
          <w:szCs w:val="32"/>
          <w:highlight w:val="none"/>
        </w:rPr>
      </w:pPr>
      <w:bookmarkStart w:id="2" w:name="_Toc22821"/>
      <w:r>
        <w:rPr>
          <w:rFonts w:hint="eastAsia" w:ascii="宋体" w:hAnsi="宋体"/>
          <w:b/>
          <w:color w:val="auto"/>
          <w:sz w:val="32"/>
          <w:szCs w:val="32"/>
          <w:highlight w:val="none"/>
        </w:rPr>
        <w:t xml:space="preserve">第一章  </w:t>
      </w:r>
      <w:r>
        <w:rPr>
          <w:rFonts w:hint="eastAsia" w:ascii="宋体" w:hAnsi="宋体"/>
          <w:b/>
          <w:color w:val="auto"/>
          <w:sz w:val="32"/>
          <w:szCs w:val="32"/>
          <w:highlight w:val="none"/>
          <w:lang w:val="en-US" w:eastAsia="zh-CN"/>
        </w:rPr>
        <w:t>竞争性磋商采购</w:t>
      </w:r>
      <w:r>
        <w:rPr>
          <w:rFonts w:hint="eastAsia" w:ascii="宋体" w:hAnsi="宋体"/>
          <w:b/>
          <w:color w:val="auto"/>
          <w:sz w:val="32"/>
          <w:szCs w:val="32"/>
          <w:highlight w:val="none"/>
        </w:rPr>
        <w:t>公告</w:t>
      </w:r>
      <w:bookmarkEnd w:id="2"/>
    </w:p>
    <w:p w14:paraId="1425D905">
      <w:pPr>
        <w:keepNext w:val="0"/>
        <w:keepLines w:val="0"/>
        <w:pageBreakBefore w:val="0"/>
        <w:widowControl/>
        <w:kinsoku/>
        <w:wordWrap/>
        <w:overflowPunct/>
        <w:topLinePunct w:val="0"/>
        <w:autoSpaceDE/>
        <w:autoSpaceDN/>
        <w:bidi w:val="0"/>
        <w:adjustRightInd w:val="0"/>
        <w:snapToGrid w:val="0"/>
        <w:spacing w:afterAutospacing="0" w:line="360" w:lineRule="auto"/>
        <w:jc w:val="center"/>
        <w:textAlignment w:val="auto"/>
        <w:rPr>
          <w:rFonts w:hint="eastAsia" w:ascii="宋体" w:hAnsi="宋体" w:eastAsia="宋体" w:cs="宋体"/>
          <w:b/>
          <w:bCs w:val="0"/>
          <w:color w:val="auto"/>
          <w:kern w:val="0"/>
          <w:sz w:val="28"/>
          <w:szCs w:val="28"/>
          <w:highlight w:val="none"/>
        </w:rPr>
      </w:pPr>
      <w:r>
        <w:rPr>
          <w:rFonts w:hint="eastAsia" w:ascii="宋体" w:hAnsi="宋体" w:cs="宋体"/>
          <w:b/>
          <w:bCs w:val="0"/>
          <w:color w:val="auto"/>
          <w:kern w:val="0"/>
          <w:sz w:val="28"/>
          <w:szCs w:val="28"/>
          <w:highlight w:val="none"/>
          <w:u w:val="none"/>
          <w:lang w:val="en-US" w:eastAsia="zh-CN"/>
        </w:rPr>
        <w:t>驻马店市中心医院无菌光纤及激光保护鞘供货项目</w:t>
      </w:r>
      <w:r>
        <w:rPr>
          <w:rFonts w:hint="eastAsia" w:ascii="宋体" w:hAnsi="宋体" w:eastAsia="宋体" w:cs="宋体"/>
          <w:b/>
          <w:bCs w:val="0"/>
          <w:color w:val="auto"/>
          <w:kern w:val="0"/>
          <w:sz w:val="28"/>
          <w:szCs w:val="28"/>
          <w:highlight w:val="none"/>
          <w:u w:val="none"/>
          <w:lang w:val="en-US" w:eastAsia="zh-CN"/>
        </w:rPr>
        <w:t>竞争性磋商</w:t>
      </w:r>
      <w:r>
        <w:rPr>
          <w:rFonts w:hint="eastAsia" w:ascii="宋体" w:hAnsi="宋体" w:eastAsia="宋体" w:cs="宋体"/>
          <w:b/>
          <w:bCs w:val="0"/>
          <w:color w:val="auto"/>
          <w:kern w:val="0"/>
          <w:sz w:val="28"/>
          <w:szCs w:val="28"/>
          <w:highlight w:val="none"/>
        </w:rPr>
        <w:t>公告</w:t>
      </w:r>
    </w:p>
    <w:p w14:paraId="2D9D0303">
      <w:pPr>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rPr>
        <w:t>驻马店市中心医院现对</w:t>
      </w:r>
      <w:r>
        <w:rPr>
          <w:rFonts w:hint="eastAsia" w:ascii="宋体" w:hAnsi="宋体" w:cs="宋体"/>
          <w:color w:val="auto"/>
          <w:lang w:val="en-US" w:eastAsia="zh-CN"/>
        </w:rPr>
        <w:t>无菌光纤及激光保护鞘供货项目</w:t>
      </w:r>
      <w:r>
        <w:rPr>
          <w:rFonts w:hint="eastAsia" w:ascii="宋体" w:hAnsi="宋体" w:eastAsia="宋体" w:cs="宋体"/>
          <w:color w:val="auto"/>
        </w:rPr>
        <w:t>进行院内</w:t>
      </w:r>
      <w:r>
        <w:rPr>
          <w:rFonts w:hint="eastAsia" w:ascii="宋体" w:hAnsi="宋体" w:eastAsia="宋体" w:cs="宋体"/>
          <w:color w:val="auto"/>
          <w:lang w:val="en-US" w:eastAsia="zh-CN"/>
        </w:rPr>
        <w:t>竞争性磋商</w:t>
      </w:r>
      <w:r>
        <w:rPr>
          <w:rFonts w:hint="eastAsia" w:ascii="宋体" w:hAnsi="宋体" w:eastAsia="宋体" w:cs="宋体"/>
          <w:color w:val="auto"/>
        </w:rPr>
        <w:t>采购，欢迎符合资格条件的供应商前来</w:t>
      </w:r>
      <w:r>
        <w:rPr>
          <w:rFonts w:hint="eastAsia" w:ascii="宋体" w:hAnsi="宋体" w:eastAsia="宋体" w:cs="宋体"/>
          <w:color w:val="auto"/>
          <w:lang w:val="en-US" w:eastAsia="zh-CN"/>
        </w:rPr>
        <w:t>报名并</w:t>
      </w:r>
      <w:r>
        <w:rPr>
          <w:rFonts w:hint="eastAsia" w:ascii="宋体" w:hAnsi="宋体" w:eastAsia="宋体" w:cs="宋体"/>
          <w:color w:val="auto"/>
          <w:szCs w:val="21"/>
        </w:rPr>
        <w:t>获取</w:t>
      </w:r>
      <w:r>
        <w:rPr>
          <w:rFonts w:hint="eastAsia" w:ascii="宋体" w:hAnsi="宋体" w:eastAsia="宋体" w:cs="宋体"/>
          <w:color w:val="auto"/>
          <w:szCs w:val="21"/>
          <w:lang w:val="en-US" w:eastAsia="zh-CN"/>
        </w:rPr>
        <w:t>采购</w:t>
      </w:r>
      <w:r>
        <w:rPr>
          <w:rFonts w:hint="eastAsia" w:ascii="宋体" w:hAnsi="宋体" w:eastAsia="宋体" w:cs="宋体"/>
          <w:color w:val="auto"/>
          <w:szCs w:val="21"/>
        </w:rPr>
        <w:t>文件。</w:t>
      </w:r>
    </w:p>
    <w:p w14:paraId="7AFCB64D">
      <w:pPr>
        <w:keepNext w:val="0"/>
        <w:keepLines w:val="0"/>
        <w:widowControl/>
        <w:snapToGrid w:val="0"/>
        <w:spacing w:before="0" w:after="0" w:line="360" w:lineRule="auto"/>
        <w:jc w:val="left"/>
        <w:outlineLvl w:val="1"/>
        <w:rPr>
          <w:rFonts w:ascii="宋体" w:hAnsi="宋体" w:eastAsia="宋体" w:cs="宋体"/>
          <w:b/>
          <w:bCs/>
          <w:color w:val="auto"/>
          <w:kern w:val="2"/>
          <w:sz w:val="21"/>
          <w:szCs w:val="21"/>
          <w:shd w:val="clear" w:color="auto" w:fill="FFFFFF"/>
          <w:lang w:val="en-US" w:eastAsia="zh-CN" w:bidi="ar-SA"/>
        </w:rPr>
      </w:pPr>
      <w:r>
        <w:rPr>
          <w:rFonts w:hint="eastAsia" w:ascii="宋体" w:hAnsi="宋体" w:eastAsia="宋体" w:cs="宋体"/>
          <w:b/>
          <w:bCs/>
          <w:color w:val="auto"/>
          <w:kern w:val="2"/>
          <w:sz w:val="21"/>
          <w:szCs w:val="21"/>
          <w:shd w:val="clear" w:color="auto" w:fill="FFFFFF"/>
          <w:lang w:val="en-US" w:eastAsia="zh-CN" w:bidi="ar-SA"/>
        </w:rPr>
        <w:t>一、项目基本情况</w:t>
      </w:r>
    </w:p>
    <w:p w14:paraId="27960F91">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cs="宋体"/>
          <w:color w:val="auto"/>
          <w:szCs w:val="21"/>
          <w:highlight w:val="none"/>
          <w:shd w:val="clear" w:color="auto" w:fill="FFFFFF"/>
          <w:lang w:val="en-US" w:eastAsia="zh-CN"/>
        </w:rPr>
        <w:t>无菌光纤及激光保护鞘供货项目</w:t>
      </w:r>
      <w:r>
        <w:rPr>
          <w:rFonts w:hint="eastAsia" w:ascii="宋体" w:hAnsi="宋体" w:eastAsia="宋体" w:cs="宋体"/>
          <w:color w:val="auto"/>
          <w:szCs w:val="21"/>
          <w:highlight w:val="none"/>
          <w:shd w:val="clear" w:color="auto" w:fill="FFFFFF"/>
          <w:lang w:eastAsia="zh-CN"/>
        </w:rPr>
        <w:t>；</w:t>
      </w:r>
    </w:p>
    <w:p w14:paraId="56EFFA8C">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w:t>
      </w:r>
      <w:r>
        <w:rPr>
          <w:rFonts w:hint="eastAsia" w:ascii="宋体" w:hAnsi="宋体" w:eastAsia="宋体" w:cs="宋体"/>
          <w:color w:val="auto"/>
          <w:szCs w:val="21"/>
          <w:highlight w:val="none"/>
          <w:shd w:val="clear" w:color="auto" w:fill="FFFFFF"/>
        </w:rPr>
        <w:t>具体要求详见附件</w:t>
      </w:r>
      <w:r>
        <w:rPr>
          <w:rFonts w:hint="eastAsia" w:ascii="宋体" w:hAnsi="宋体" w:eastAsia="宋体" w:cs="宋体"/>
          <w:color w:val="auto"/>
          <w:szCs w:val="21"/>
          <w:highlight w:val="none"/>
          <w:shd w:val="clear" w:color="auto" w:fill="FFFFFF"/>
          <w:lang w:eastAsia="zh-CN"/>
        </w:rPr>
        <w:t>；</w:t>
      </w:r>
    </w:p>
    <w:p w14:paraId="404C831A">
      <w:pPr>
        <w:widowControl/>
        <w:tabs>
          <w:tab w:val="left" w:pos="840"/>
        </w:tabs>
        <w:snapToGrid w:val="0"/>
        <w:spacing w:line="360" w:lineRule="auto"/>
        <w:ind w:firstLine="420" w:firstLineChars="200"/>
        <w:jc w:val="left"/>
        <w:rPr>
          <w:rFonts w:hint="default"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cs="宋体"/>
          <w:color w:val="auto"/>
          <w:szCs w:val="21"/>
          <w:highlight w:val="none"/>
          <w:shd w:val="clear" w:color="auto" w:fill="FFFFFF"/>
          <w:lang w:val="en-US" w:eastAsia="zh-CN"/>
        </w:rPr>
        <w:t>48万元；</w:t>
      </w:r>
    </w:p>
    <w:p w14:paraId="0E714B67">
      <w:pPr>
        <w:widowControl/>
        <w:tabs>
          <w:tab w:val="left" w:pos="840"/>
        </w:tabs>
        <w:snapToGrid w:val="0"/>
        <w:spacing w:line="360" w:lineRule="auto"/>
        <w:ind w:firstLine="420" w:firstLineChars="200"/>
        <w:jc w:val="left"/>
        <w:rPr>
          <w:rFonts w:hint="default"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w:t>
      </w:r>
      <w:r>
        <w:rPr>
          <w:rFonts w:hint="eastAsia" w:ascii="宋体" w:hAnsi="宋体" w:cs="宋体"/>
          <w:color w:val="auto"/>
          <w:szCs w:val="21"/>
          <w:highlight w:val="none"/>
          <w:shd w:val="clear" w:color="auto" w:fill="FFFFFF"/>
          <w:lang w:val="en-US" w:eastAsia="zh-CN"/>
        </w:rPr>
        <w:t>合同履行期限</w:t>
      </w:r>
      <w:r>
        <w:rPr>
          <w:rFonts w:hint="eastAsia" w:ascii="宋体" w:hAnsi="宋体" w:eastAsia="宋体" w:cs="宋体"/>
          <w:color w:val="auto"/>
          <w:szCs w:val="21"/>
          <w:highlight w:val="none"/>
          <w:shd w:val="clear" w:color="auto" w:fill="FFFFFF"/>
          <w:lang w:val="en-US" w:eastAsia="zh-CN"/>
        </w:rPr>
        <w:t>：</w:t>
      </w:r>
      <w:r>
        <w:rPr>
          <w:rFonts w:hint="eastAsia" w:cs="宋体"/>
          <w:color w:val="auto"/>
          <w:kern w:val="2"/>
          <w:sz w:val="21"/>
          <w:szCs w:val="24"/>
          <w:highlight w:val="none"/>
          <w:lang w:val="en-US" w:eastAsia="zh-CN" w:bidi="ar-SA"/>
        </w:rPr>
        <w:t>一年</w:t>
      </w:r>
      <w:r>
        <w:rPr>
          <w:rFonts w:hint="eastAsia" w:ascii="宋体" w:hAnsi="宋体" w:cs="宋体"/>
          <w:color w:val="auto"/>
          <w:szCs w:val="21"/>
          <w:highlight w:val="none"/>
          <w:shd w:val="clear" w:color="auto" w:fill="FFFFFF"/>
          <w:lang w:val="en-US" w:eastAsia="zh-CN"/>
        </w:rPr>
        <w:t>；</w:t>
      </w:r>
    </w:p>
    <w:p w14:paraId="224B9FA4">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、质量要求：符合国家有关法律、法规以及行业质量标淮的要求</w:t>
      </w:r>
      <w:r>
        <w:rPr>
          <w:rFonts w:hint="eastAsia" w:ascii="宋体" w:hAnsi="宋体" w:eastAsia="宋体" w:cs="宋体"/>
          <w:color w:val="auto"/>
          <w:szCs w:val="21"/>
          <w:highlight w:val="none"/>
          <w:shd w:val="clear" w:color="auto" w:fill="FFFFFF"/>
          <w:lang w:eastAsia="zh-CN"/>
        </w:rPr>
        <w:t>。</w:t>
      </w:r>
    </w:p>
    <w:p w14:paraId="3A7E7248">
      <w:pPr>
        <w:keepNext w:val="0"/>
        <w:keepLines w:val="0"/>
        <w:widowControl/>
        <w:snapToGrid w:val="0"/>
        <w:spacing w:before="0" w:after="0" w:line="360" w:lineRule="auto"/>
        <w:jc w:val="left"/>
        <w:outlineLvl w:val="1"/>
        <w:rPr>
          <w:rFonts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pPr>
      <w:bookmarkStart w:id="4" w:name="_Toc23626"/>
      <w:bookmarkStart w:id="5" w:name="_Toc27704"/>
      <w:bookmarkStart w:id="6" w:name="_Toc16639"/>
      <w:bookmarkStart w:id="7" w:name="_Toc18607"/>
      <w:r>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t>二、</w:t>
      </w:r>
      <w:bookmarkEnd w:id="3"/>
      <w:bookmarkEnd w:id="4"/>
      <w:bookmarkEnd w:id="5"/>
      <w:bookmarkEnd w:id="6"/>
      <w:bookmarkEnd w:id="7"/>
      <w:r>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t>供应商资格要求：</w:t>
      </w:r>
    </w:p>
    <w:p w14:paraId="3CF9F31E">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4"/>
          <w:lang w:val="en-US" w:eastAsia="zh-CN" w:bidi="ar-SA"/>
        </w:rPr>
      </w:pPr>
      <w:bookmarkStart w:id="8" w:name="_Toc30971"/>
      <w:bookmarkStart w:id="9" w:name="_Toc23395"/>
      <w:bookmarkStart w:id="10" w:name="_Toc7823"/>
      <w:bookmarkStart w:id="11" w:name="_Toc30643"/>
      <w:bookmarkStart w:id="12" w:name="_Toc9562"/>
      <w:r>
        <w:rPr>
          <w:rFonts w:hint="eastAsia" w:ascii="宋体" w:hAnsi="宋体" w:eastAsia="宋体" w:cs="宋体"/>
          <w:color w:val="000000"/>
          <w:kern w:val="2"/>
          <w:sz w:val="21"/>
          <w:szCs w:val="24"/>
          <w:lang w:val="en-US" w:eastAsia="zh-CN" w:bidi="ar-SA"/>
        </w:rPr>
        <w:t>1、供应商应为注册在中华人民共和国境内的，且具有独立承担民事责任能力，提供营业执照等证明文件。</w:t>
      </w:r>
    </w:p>
    <w:p w14:paraId="0F58E756">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t>2、供应商应提供2022年度</w:t>
      </w:r>
      <w:r>
        <w:rPr>
          <w:rFonts w:hint="eastAsia" w:cs="宋体"/>
          <w:color w:val="000000"/>
          <w:kern w:val="2"/>
          <w:sz w:val="21"/>
          <w:szCs w:val="24"/>
          <w:lang w:val="en-US" w:eastAsia="zh-CN" w:bidi="ar-SA"/>
        </w:rPr>
        <w:t>或2023年度</w:t>
      </w:r>
      <w:r>
        <w:rPr>
          <w:rFonts w:hint="eastAsia" w:ascii="宋体" w:hAnsi="宋体" w:eastAsia="宋体" w:cs="宋体"/>
          <w:color w:val="000000"/>
          <w:kern w:val="2"/>
          <w:sz w:val="21"/>
          <w:szCs w:val="24"/>
          <w:lang w:val="en-US" w:eastAsia="zh-CN" w:bidi="ar-SA"/>
        </w:rPr>
        <w:t>经审计的财务报告或者其基本开户银行出具的资信证明；采购活动近</w:t>
      </w:r>
      <w:r>
        <w:rPr>
          <w:rFonts w:hint="eastAsia" w:cs="宋体"/>
          <w:color w:val="000000"/>
          <w:kern w:val="2"/>
          <w:sz w:val="21"/>
          <w:szCs w:val="24"/>
          <w:lang w:val="en-US" w:eastAsia="zh-CN" w:bidi="ar-SA"/>
        </w:rPr>
        <w:t>六</w:t>
      </w:r>
      <w:r>
        <w:rPr>
          <w:rFonts w:hint="eastAsia" w:ascii="宋体" w:hAnsi="宋体" w:eastAsia="宋体" w:cs="宋体"/>
          <w:color w:val="000000"/>
          <w:kern w:val="2"/>
          <w:sz w:val="21"/>
          <w:szCs w:val="24"/>
          <w:lang w:val="en-US" w:eastAsia="zh-CN" w:bidi="ar-SA"/>
        </w:rPr>
        <w:t>个月任意一个月的依法缴纳税收的凭据和缴纳社会保险的凭据；依法免税或不需要缴纳社会保障资金的供应商，应提供相应文件证明其依法免税或不需要缴纳社会保障资金。（新成立企业从成立之日起计算）；</w:t>
      </w:r>
    </w:p>
    <w:p w14:paraId="6C88981C">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t>3、具有履行合同所必需的设备和专业技术能力（提供书面声明函）；</w:t>
      </w:r>
    </w:p>
    <w:p w14:paraId="133AB99C">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t>4、参加本采购活动前三年内，在经营活动中没有重大违法记录（提供书面声明函）；</w:t>
      </w:r>
    </w:p>
    <w:p w14:paraId="4305D0DF">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t>5、符合法律、行政法规规定的其他条件；</w:t>
      </w:r>
    </w:p>
    <w:p w14:paraId="2176B9FD">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4"/>
          <w:highlight w:val="yellow"/>
          <w:lang w:val="en-US" w:eastAsia="zh-CN" w:bidi="ar-SA"/>
        </w:rPr>
      </w:pPr>
      <w:r>
        <w:rPr>
          <w:rFonts w:hint="eastAsia" w:cs="宋体"/>
          <w:color w:val="000000"/>
          <w:kern w:val="2"/>
          <w:sz w:val="21"/>
          <w:szCs w:val="24"/>
          <w:lang w:val="en-US" w:eastAsia="zh-CN" w:bidi="ar-SA"/>
        </w:rPr>
        <w:t>6</w:t>
      </w:r>
      <w:r>
        <w:rPr>
          <w:rFonts w:hint="eastAsia" w:ascii="宋体" w:hAnsi="宋体" w:eastAsia="宋体" w:cs="宋体"/>
          <w:color w:val="000000"/>
          <w:kern w:val="2"/>
          <w:sz w:val="21"/>
          <w:szCs w:val="24"/>
          <w:lang w:val="en-US" w:eastAsia="zh-CN" w:bidi="ar-SA"/>
        </w:rPr>
        <w:t>、 供应商为制造商，所投产品为第一类医疗器械</w:t>
      </w:r>
      <w:r>
        <w:rPr>
          <w:rFonts w:hint="eastAsia" w:cs="宋体"/>
          <w:color w:val="000000"/>
          <w:kern w:val="2"/>
          <w:sz w:val="21"/>
          <w:szCs w:val="24"/>
          <w:lang w:val="en-US" w:eastAsia="zh-CN" w:bidi="ar-SA"/>
        </w:rPr>
        <w:t>须</w:t>
      </w:r>
      <w:r>
        <w:rPr>
          <w:rFonts w:hint="eastAsia" w:ascii="宋体" w:hAnsi="宋体" w:eastAsia="宋体" w:cs="宋体"/>
          <w:color w:val="000000"/>
          <w:kern w:val="2"/>
          <w:sz w:val="21"/>
          <w:szCs w:val="24"/>
          <w:lang w:val="en-US" w:eastAsia="zh-CN" w:bidi="ar-SA"/>
        </w:rPr>
        <w:t>提供有效的《医疗器械生产备案凭证》，所投产品为第二、三类医疗器械</w:t>
      </w:r>
      <w:r>
        <w:rPr>
          <w:rFonts w:hint="eastAsia" w:cs="宋体"/>
          <w:color w:val="000000"/>
          <w:kern w:val="2"/>
          <w:sz w:val="21"/>
          <w:szCs w:val="24"/>
          <w:lang w:val="en-US" w:eastAsia="zh-CN" w:bidi="ar-SA"/>
        </w:rPr>
        <w:t>须</w:t>
      </w:r>
      <w:r>
        <w:rPr>
          <w:rFonts w:hint="eastAsia" w:ascii="宋体" w:hAnsi="宋体" w:eastAsia="宋体" w:cs="宋体"/>
          <w:color w:val="000000"/>
          <w:kern w:val="2"/>
          <w:sz w:val="21"/>
          <w:szCs w:val="24"/>
          <w:lang w:val="en-US" w:eastAsia="zh-CN" w:bidi="ar-SA"/>
        </w:rPr>
        <w:t>提供有效的《医疗器械生产许可证》；供应商为经销商或代理商的须提供《医疗器械经营许可证》或《医疗器械经营备案凭证》，所投产品为第二类、第三类医疗器械，则须提供有效的《医疗器械注册证》。（如投标产品不属于医疗器械管理范围的可不提供）</w:t>
      </w:r>
      <w:r>
        <w:rPr>
          <w:rFonts w:hint="eastAsia" w:cs="宋体"/>
          <w:color w:val="000000"/>
          <w:kern w:val="2"/>
          <w:sz w:val="21"/>
          <w:szCs w:val="24"/>
          <w:lang w:val="en-US" w:eastAsia="zh-CN" w:bidi="ar-SA"/>
        </w:rPr>
        <w:t>。</w:t>
      </w:r>
    </w:p>
    <w:p w14:paraId="133C7D8C">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4"/>
          <w:lang w:val="en-US" w:eastAsia="zh-CN" w:bidi="ar-SA"/>
        </w:rPr>
      </w:pPr>
      <w:r>
        <w:rPr>
          <w:rFonts w:hint="eastAsia" w:cs="宋体"/>
          <w:color w:val="000000"/>
          <w:kern w:val="2"/>
          <w:sz w:val="21"/>
          <w:szCs w:val="24"/>
          <w:lang w:val="en-US" w:eastAsia="zh-CN" w:bidi="ar-SA"/>
        </w:rPr>
        <w:t>7、根据《关于在政府采购活动中查询及使用信用记录有关问题的通知》（财库【2016】125号）的规定，对列入失信被执行人、重大税收违法失信主体、政府采购严重违法失信行为记录名单的供应商，拒绝参与本项目政府采购活动；（查询渠道：“信用中国”网站、中国政府采购网，供应商提供的仅做为信用参考，以采购人或采购代理机构查询结果为准）</w:t>
      </w:r>
      <w:r>
        <w:rPr>
          <w:rFonts w:hint="eastAsia" w:ascii="宋体" w:hAnsi="宋体" w:eastAsia="宋体" w:cs="宋体"/>
          <w:color w:val="000000"/>
          <w:kern w:val="2"/>
          <w:sz w:val="21"/>
          <w:szCs w:val="24"/>
          <w:lang w:val="en-US" w:eastAsia="zh-CN" w:bidi="ar-SA"/>
        </w:rPr>
        <w:t>；</w:t>
      </w:r>
    </w:p>
    <w:p w14:paraId="6FCFABF5">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4"/>
          <w:lang w:val="en-US" w:eastAsia="zh-CN" w:bidi="ar-SA"/>
        </w:rPr>
      </w:pPr>
      <w:r>
        <w:rPr>
          <w:rFonts w:hint="eastAsia" w:cs="宋体"/>
          <w:color w:val="000000"/>
          <w:kern w:val="2"/>
          <w:sz w:val="21"/>
          <w:szCs w:val="24"/>
          <w:lang w:val="en-US" w:eastAsia="zh-CN" w:bidi="ar-SA"/>
        </w:rPr>
        <w:t>8、</w:t>
      </w:r>
      <w:r>
        <w:rPr>
          <w:rFonts w:hint="eastAsia" w:ascii="宋体" w:hAnsi="宋体" w:eastAsia="宋体" w:cs="宋体"/>
          <w:color w:val="000000"/>
          <w:kern w:val="2"/>
          <w:sz w:val="21"/>
          <w:szCs w:val="24"/>
          <w:lang w:val="en-US" w:eastAsia="zh-CN" w:bidi="ar-SA"/>
        </w:rPr>
        <w:t>单位负责人为同一人或者存在直接控股、管理关系的不同供应商，不得参加同一合同项下的投标（提供书面声明函）。一经发现，将导致投标同时被拒绝</w:t>
      </w:r>
      <w:r>
        <w:rPr>
          <w:rFonts w:hint="eastAsia" w:cs="宋体"/>
          <w:color w:val="000000"/>
          <w:kern w:val="2"/>
          <w:sz w:val="21"/>
          <w:szCs w:val="24"/>
          <w:lang w:val="en-US" w:eastAsia="zh-CN" w:bidi="ar-SA"/>
        </w:rPr>
        <w:t>。</w:t>
      </w:r>
    </w:p>
    <w:p w14:paraId="25ED19B6">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4"/>
          <w:lang w:val="en-US" w:eastAsia="zh-CN" w:bidi="ar-SA"/>
        </w:rPr>
      </w:pPr>
      <w:r>
        <w:rPr>
          <w:rFonts w:hint="eastAsia" w:cs="宋体"/>
          <w:color w:val="000000"/>
          <w:kern w:val="2"/>
          <w:sz w:val="21"/>
          <w:szCs w:val="24"/>
          <w:lang w:val="en-US" w:eastAsia="zh-CN" w:bidi="ar-SA"/>
        </w:rPr>
        <w:t>9、</w:t>
      </w:r>
      <w:r>
        <w:rPr>
          <w:rFonts w:hint="eastAsia" w:ascii="宋体" w:hAnsi="宋体" w:eastAsia="宋体" w:cs="宋体"/>
          <w:color w:val="000000"/>
          <w:kern w:val="2"/>
          <w:sz w:val="21"/>
          <w:szCs w:val="24"/>
          <w:lang w:val="en-US" w:eastAsia="zh-CN" w:bidi="ar-SA"/>
        </w:rPr>
        <w:t>不接受联合体投标。</w:t>
      </w:r>
    </w:p>
    <w:p w14:paraId="6F6FAF87">
      <w:pPr>
        <w:keepNext w:val="0"/>
        <w:keepLines w:val="0"/>
        <w:widowControl/>
        <w:snapToGrid w:val="0"/>
        <w:spacing w:before="0" w:after="0" w:line="360" w:lineRule="auto"/>
        <w:jc w:val="left"/>
        <w:outlineLvl w:val="1"/>
        <w:rPr>
          <w:rFonts w:ascii="宋体" w:hAnsi="宋体" w:eastAsia="宋体" w:cs="宋体"/>
          <w:b/>
          <w:bCs/>
          <w:color w:val="auto"/>
          <w:kern w:val="2"/>
          <w:sz w:val="21"/>
          <w:szCs w:val="24"/>
          <w:lang w:val="en-US" w:eastAsia="zh-CN" w:bidi="ar-SA"/>
        </w:rPr>
      </w:pPr>
      <w:r>
        <w:rPr>
          <w:rFonts w:hint="eastAsia" w:ascii="宋体" w:hAnsi="宋体" w:cs="宋体"/>
          <w:b/>
          <w:bCs/>
          <w:color w:val="auto"/>
          <w:kern w:val="2"/>
          <w:sz w:val="21"/>
          <w:szCs w:val="24"/>
          <w:lang w:val="en-US" w:eastAsia="zh-CN" w:bidi="ar-SA"/>
        </w:rPr>
        <w:t>三</w:t>
      </w:r>
      <w:r>
        <w:rPr>
          <w:rFonts w:hint="eastAsia" w:ascii="宋体" w:hAnsi="宋体" w:eastAsia="宋体" w:cs="宋体"/>
          <w:b/>
          <w:bCs/>
          <w:color w:val="auto"/>
          <w:kern w:val="2"/>
          <w:sz w:val="21"/>
          <w:szCs w:val="24"/>
          <w:lang w:val="en-US" w:eastAsia="zh-CN" w:bidi="ar-SA"/>
        </w:rPr>
        <w:t>、获取采购文件</w:t>
      </w:r>
      <w:bookmarkEnd w:id="8"/>
      <w:bookmarkEnd w:id="9"/>
      <w:bookmarkEnd w:id="10"/>
      <w:bookmarkEnd w:id="11"/>
      <w:bookmarkEnd w:id="12"/>
    </w:p>
    <w:p w14:paraId="76C799C1">
      <w:pPr>
        <w:widowControl/>
        <w:adjustRightInd w:val="0"/>
        <w:snapToGrid w:val="0"/>
        <w:spacing w:line="360" w:lineRule="auto"/>
        <w:ind w:firstLine="420" w:firstLineChars="200"/>
        <w:jc w:val="left"/>
        <w:rPr>
          <w:rFonts w:hint="default" w:ascii="宋体" w:hAnsi="宋体" w:eastAsia="宋体" w:cs="宋体"/>
          <w:color w:val="000000" w:themeColor="text1"/>
          <w:szCs w:val="21"/>
          <w:shd w:val="clear" w:color="auto" w:fill="FFFFFF"/>
          <w:lang w:val="en-US"/>
          <w14:textFill>
            <w14:solidFill>
              <w14:schemeClr w14:val="tx1"/>
            </w14:solidFill>
          </w14:textFill>
        </w:rPr>
      </w:pPr>
      <w:r>
        <w:rPr>
          <w:rFonts w:hint="eastAsia" w:ascii="宋体" w:hAnsi="宋体" w:eastAsia="宋体" w:cs="宋体"/>
          <w:color w:val="auto"/>
          <w:szCs w:val="21"/>
          <w:shd w:val="clear" w:color="auto" w:fill="FFFFFF"/>
        </w:rPr>
        <w:t>1</w:t>
      </w:r>
      <w:r>
        <w:rPr>
          <w:rFonts w:hint="eastAsia" w:ascii="宋体" w:hAnsi="宋体" w:cs="宋体"/>
          <w:color w:val="000000" w:themeColor="text1"/>
          <w:szCs w:val="21"/>
          <w:shd w:val="clear" w:color="auto" w:fill="FFFFFF"/>
          <w:lang w:val="en-US" w:eastAsia="zh-CN"/>
          <w14:textFill>
            <w14:solidFill>
              <w14:schemeClr w14:val="tx1"/>
            </w14:solidFill>
          </w14:textFill>
        </w:rPr>
        <w:t>报名</w:t>
      </w:r>
      <w:r>
        <w:rPr>
          <w:rFonts w:hint="eastAsia" w:ascii="宋体" w:hAnsi="宋体" w:eastAsia="宋体" w:cs="宋体"/>
          <w:color w:val="000000" w:themeColor="text1"/>
          <w:szCs w:val="21"/>
          <w:shd w:val="clear" w:color="auto" w:fill="FFFFFF"/>
          <w14:textFill>
            <w14:solidFill>
              <w14:schemeClr w14:val="tx1"/>
            </w14:solidFill>
          </w14:textFill>
        </w:rPr>
        <w:t>时</w:t>
      </w:r>
      <w:r>
        <w:rPr>
          <w:rFonts w:hint="eastAsia" w:ascii="宋体" w:hAnsi="宋体" w:eastAsia="宋体" w:cs="宋体"/>
          <w:color w:val="000000" w:themeColor="text1"/>
          <w:szCs w:val="21"/>
          <w:highlight w:val="none"/>
          <w:shd w:val="clear" w:color="auto" w:fill="FFFFFF"/>
          <w14:textFill>
            <w14:solidFill>
              <w14:schemeClr w14:val="tx1"/>
            </w14:solidFill>
          </w14:textFill>
        </w:rPr>
        <w:t>间：</w:t>
      </w:r>
      <w:r>
        <w:rPr>
          <w:rFonts w:hint="eastAsia" w:ascii="宋体" w:hAnsi="宋体" w:eastAsia="宋体" w:cs="宋体"/>
          <w:color w:val="auto"/>
          <w:szCs w:val="21"/>
          <w:highlight w:val="none"/>
          <w:shd w:val="clear" w:color="auto" w:fill="FFFFFF"/>
        </w:rPr>
        <w:t>20</w:t>
      </w:r>
      <w:r>
        <w:rPr>
          <w:rFonts w:hint="eastAsia" w:ascii="宋体" w:hAnsi="宋体" w:cs="宋体"/>
          <w:color w:val="auto"/>
          <w:szCs w:val="21"/>
          <w:highlight w:val="none"/>
          <w:shd w:val="clear" w:color="auto" w:fill="FFFFFF"/>
          <w:lang w:val="en-US" w:eastAsia="zh-CN"/>
        </w:rPr>
        <w:t>24</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9</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rPr>
        <w:t>日-202</w:t>
      </w: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9</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6</w:t>
      </w:r>
      <w:r>
        <w:rPr>
          <w:rFonts w:hint="eastAsia" w:ascii="宋体" w:hAnsi="宋体" w:eastAsia="宋体" w:cs="宋体"/>
          <w:color w:val="auto"/>
          <w:szCs w:val="21"/>
          <w:highlight w:val="none"/>
          <w:shd w:val="clear" w:color="auto" w:fill="FFFFFF"/>
        </w:rPr>
        <w:t>日</w:t>
      </w:r>
      <w:r>
        <w:rPr>
          <w:rFonts w:hint="eastAsia" w:ascii="宋体" w:hAnsi="宋体" w:eastAsia="宋体" w:cs="宋体"/>
          <w:color w:val="000000" w:themeColor="text1"/>
          <w:szCs w:val="21"/>
          <w:shd w:val="clear" w:color="auto" w:fill="FFFFFF"/>
          <w14:textFill>
            <w14:solidFill>
              <w14:schemeClr w14:val="tx1"/>
            </w14:solidFill>
          </w14:textFill>
        </w:rPr>
        <w:t>，上午8：30-11:30，下午14:30-17:30（北京时间，法定节假日除外）</w:t>
      </w:r>
      <w:r>
        <w:rPr>
          <w:rFonts w:hint="eastAsia" w:ascii="宋体" w:hAnsi="宋体" w:cs="宋体"/>
          <w:color w:val="000000" w:themeColor="text1"/>
          <w:szCs w:val="21"/>
          <w:shd w:val="clear" w:color="auto" w:fill="FFFFFF"/>
          <w:lang w:val="en-US" w:eastAsia="zh-CN"/>
          <w14:textFill>
            <w14:solidFill>
              <w14:schemeClr w14:val="tx1"/>
            </w14:solidFill>
          </w14:textFill>
        </w:rPr>
        <w:t>。</w:t>
      </w:r>
    </w:p>
    <w:p w14:paraId="427DB0C7">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2.凡报名成功的供应商无故不来参与投标的，列入我院黑名</w:t>
      </w:r>
      <w:r>
        <w:rPr>
          <w:rFonts w:hint="eastAsia" w:ascii="宋体" w:hAnsi="宋体" w:eastAsia="宋体" w:cs="宋体"/>
          <w:color w:val="auto"/>
          <w:kern w:val="0"/>
          <w:sz w:val="21"/>
          <w:szCs w:val="21"/>
          <w:shd w:val="clear" w:color="auto" w:fill="FFFFFF"/>
          <w:lang w:val="en-US" w:eastAsia="zh-CN" w:bidi="ar-SA"/>
        </w:rPr>
        <w:t xml:space="preserve">单，一年内不得参与我院任何采购活动。中标供应商缴纳相应服务费。 </w:t>
      </w:r>
    </w:p>
    <w:p w14:paraId="7A63EA23">
      <w:pPr>
        <w:widowControl/>
        <w:wordWrap w:val="0"/>
        <w:snapToGrid w:val="0"/>
        <w:spacing w:before="0" w:beforeAutospacing="0" w:after="0" w:afterAutospacing="0" w:line="360" w:lineRule="auto"/>
        <w:ind w:left="0" w:leftChars="0" w:firstLine="420" w:firstLineChars="200"/>
        <w:jc w:val="left"/>
        <w:rPr>
          <w:rFonts w:ascii="宋体" w:hAnsi="宋体" w:eastAsia="宋体" w:cs="宋体"/>
          <w:color w:val="auto"/>
          <w:kern w:val="0"/>
          <w:sz w:val="21"/>
          <w:szCs w:val="21"/>
          <w:u w:val="single"/>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3.采购文件获取方式：供应商须把填写完整的报名登记表及报名登记表要求提供的相关资料扫描件按序排版为PDF格式文件，发送至以下邮箱：</w:t>
      </w:r>
      <w:r>
        <w:rPr>
          <w:rFonts w:hint="eastAsia" w:ascii="宋体" w:hAnsi="宋体" w:eastAsia="宋体" w:cs="宋体"/>
          <w:color w:val="auto"/>
          <w:kern w:val="0"/>
          <w:sz w:val="21"/>
          <w:szCs w:val="21"/>
          <w:shd w:val="clear" w:color="auto" w:fill="FFFFFF"/>
          <w:lang w:val="en-US" w:eastAsia="zh-CN" w:bidi="ar-SA"/>
        </w:rPr>
        <w:fldChar w:fldCharType="begin"/>
      </w:r>
      <w:r>
        <w:rPr>
          <w:rFonts w:hint="eastAsia" w:ascii="宋体" w:hAnsi="宋体" w:eastAsia="宋体" w:cs="宋体"/>
          <w:color w:val="auto"/>
          <w:kern w:val="0"/>
          <w:sz w:val="21"/>
          <w:szCs w:val="21"/>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shd w:val="clear" w:color="auto" w:fill="FFFFFF"/>
          <w:lang w:val="en-US" w:eastAsia="zh-CN" w:bidi="ar-SA"/>
        </w:rPr>
        <w:fldChar w:fldCharType="separate"/>
      </w:r>
      <w:r>
        <w:rPr>
          <w:rFonts w:hint="eastAsia" w:ascii="宋体" w:hAnsi="宋体" w:cs="宋体"/>
          <w:color w:val="auto"/>
          <w:kern w:val="0"/>
          <w:sz w:val="21"/>
          <w:szCs w:val="21"/>
          <w:shd w:val="clear" w:color="auto" w:fill="FFFFFF"/>
          <w:lang w:val="en-US" w:eastAsia="zh-CN" w:bidi="ar-SA"/>
        </w:rPr>
        <w:t>1150105437</w:t>
      </w:r>
      <w:r>
        <w:rPr>
          <w:rFonts w:hint="eastAsia" w:ascii="宋体" w:hAnsi="宋体" w:eastAsia="宋体" w:cs="宋体"/>
          <w:color w:val="auto"/>
          <w:kern w:val="0"/>
          <w:sz w:val="21"/>
          <w:szCs w:val="21"/>
          <w:shd w:val="clear" w:color="auto" w:fill="FFFFFF"/>
          <w:lang w:val="en-US" w:eastAsia="zh-CN" w:bidi="ar-SA"/>
        </w:rPr>
        <w:t>@qq.com</w:t>
      </w:r>
      <w:r>
        <w:rPr>
          <w:rFonts w:hint="eastAsia" w:ascii="宋体" w:hAnsi="宋体" w:cs="宋体"/>
          <w:color w:val="auto"/>
          <w:kern w:val="0"/>
          <w:sz w:val="21"/>
          <w:szCs w:val="21"/>
          <w:shd w:val="clear" w:color="auto" w:fill="FFFFFF"/>
          <w:lang w:val="en-US" w:eastAsia="zh-CN" w:bidi="ar-SA"/>
        </w:rPr>
        <w:t>,</w:t>
      </w:r>
      <w:r>
        <w:rPr>
          <w:rFonts w:hint="eastAsia" w:ascii="宋体" w:hAnsi="宋体" w:eastAsia="宋体" w:cs="宋体"/>
          <w:color w:val="auto"/>
          <w:kern w:val="0"/>
          <w:sz w:val="21"/>
          <w:szCs w:val="21"/>
          <w:shd w:val="clear" w:color="auto" w:fill="FFFFFF"/>
          <w:lang w:val="en-US" w:eastAsia="zh-CN" w:bidi="ar-SA"/>
        </w:rPr>
        <w:t>并标明XX公司XX</w:t>
      </w:r>
      <w:r>
        <w:rPr>
          <w:rFonts w:hint="eastAsia" w:ascii="宋体" w:hAnsi="宋体" w:eastAsia="宋体" w:cs="宋体"/>
          <w:color w:val="auto"/>
          <w:kern w:val="0"/>
          <w:sz w:val="21"/>
          <w:szCs w:val="21"/>
          <w:shd w:val="clear" w:color="auto" w:fill="FFFFFF"/>
          <w:lang w:val="en-US" w:eastAsia="zh-CN" w:bidi="ar-SA"/>
        </w:rPr>
        <w:fldChar w:fldCharType="end"/>
      </w:r>
      <w:r>
        <w:rPr>
          <w:rFonts w:hint="eastAsia" w:ascii="宋体" w:hAnsi="宋体" w:eastAsia="宋体" w:cs="宋体"/>
          <w:color w:val="auto"/>
          <w:kern w:val="0"/>
          <w:sz w:val="21"/>
          <w:szCs w:val="21"/>
          <w:shd w:val="clear" w:color="auto" w:fill="FFFFFF"/>
          <w:lang w:val="en-US" w:eastAsia="zh-CN" w:bidi="ar-SA"/>
        </w:rPr>
        <w:t>项目报名资料。</w:t>
      </w:r>
    </w:p>
    <w:p w14:paraId="11F5DD36">
      <w:pPr>
        <w:widowControl/>
        <w:wordWrap w:val="0"/>
        <w:snapToGrid w:val="0"/>
        <w:spacing w:before="0" w:beforeAutospacing="0" w:after="0" w:afterAutospacing="0" w:line="360" w:lineRule="auto"/>
        <w:ind w:left="420" w:left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4.报名登记表：请从附件中下载。</w:t>
      </w:r>
    </w:p>
    <w:p w14:paraId="32A636E0">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bookmarkStart w:id="13" w:name="_Toc25869"/>
      <w:bookmarkStart w:id="14" w:name="_Toc15111"/>
      <w:bookmarkStart w:id="15" w:name="_Toc15135"/>
      <w:bookmarkStart w:id="16" w:name="_Toc10738"/>
      <w:bookmarkStart w:id="17" w:name="_Toc27480"/>
      <w:r>
        <w:rPr>
          <w:rFonts w:hint="eastAsia" w:ascii="宋体" w:hAnsi="宋体" w:cs="宋体"/>
          <w:b/>
          <w:bCs/>
          <w:color w:val="auto"/>
          <w:kern w:val="2"/>
          <w:sz w:val="21"/>
          <w:szCs w:val="21"/>
          <w:shd w:val="clear" w:color="auto" w:fill="FFFFFF"/>
          <w:lang w:val="en-US" w:eastAsia="zh-CN" w:bidi="ar-SA"/>
        </w:rPr>
        <w:t>四</w:t>
      </w:r>
      <w:r>
        <w:rPr>
          <w:rFonts w:hint="eastAsia" w:ascii="宋体" w:hAnsi="宋体" w:eastAsia="宋体" w:cs="宋体"/>
          <w:b/>
          <w:bCs/>
          <w:color w:val="auto"/>
          <w:kern w:val="2"/>
          <w:sz w:val="21"/>
          <w:szCs w:val="21"/>
          <w:shd w:val="clear" w:color="auto" w:fill="FFFFFF"/>
          <w:lang w:val="en-US" w:eastAsia="zh-CN" w:bidi="ar-SA"/>
        </w:rPr>
        <w:t>、投标截止时间及地点</w:t>
      </w:r>
      <w:bookmarkEnd w:id="13"/>
      <w:bookmarkEnd w:id="14"/>
      <w:bookmarkEnd w:id="15"/>
      <w:bookmarkEnd w:id="16"/>
      <w:bookmarkEnd w:id="17"/>
    </w:p>
    <w:p w14:paraId="2B60AC02">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w:t>
      </w:r>
      <w:r>
        <w:rPr>
          <w:rFonts w:hint="eastAsia" w:ascii="宋体" w:hAnsi="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14:paraId="3CAD7799">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w:t>
      </w:r>
      <w:r>
        <w:rPr>
          <w:rFonts w:hint="eastAsia" w:ascii="宋体" w:hAnsi="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14:paraId="71A55BAD">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r>
        <w:rPr>
          <w:rFonts w:hint="eastAsia" w:ascii="宋体" w:hAnsi="宋体" w:cs="宋体"/>
          <w:b/>
          <w:bCs/>
          <w:color w:val="auto"/>
          <w:kern w:val="2"/>
          <w:sz w:val="21"/>
          <w:szCs w:val="21"/>
          <w:shd w:val="clear" w:color="auto" w:fill="FFFFFF"/>
          <w:lang w:val="en-US" w:eastAsia="zh-CN" w:bidi="ar-SA"/>
        </w:rPr>
        <w:t>五</w:t>
      </w:r>
      <w:r>
        <w:rPr>
          <w:rFonts w:hint="eastAsia" w:ascii="宋体" w:hAnsi="宋体" w:eastAsia="宋体" w:cs="宋体"/>
          <w:b/>
          <w:bCs/>
          <w:color w:val="auto"/>
          <w:kern w:val="2"/>
          <w:sz w:val="21"/>
          <w:szCs w:val="21"/>
          <w:shd w:val="clear" w:color="auto" w:fill="FFFFFF"/>
          <w:lang w:val="en-US" w:eastAsia="zh-CN" w:bidi="ar-SA"/>
        </w:rPr>
        <w:t>、开标时间及地点</w:t>
      </w:r>
    </w:p>
    <w:p w14:paraId="7BA34F11">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w:t>
      </w:r>
      <w:r>
        <w:rPr>
          <w:rFonts w:hint="eastAsia" w:ascii="宋体" w:hAnsi="宋体" w:cs="宋体"/>
          <w:color w:val="auto"/>
          <w:sz w:val="21"/>
          <w:szCs w:val="21"/>
          <w:shd w:val="clear" w:color="auto" w:fill="auto"/>
          <w:lang w:val="en-US" w:eastAsia="zh-CN"/>
        </w:rPr>
        <w:t>另行通知</w:t>
      </w:r>
      <w:r>
        <w:rPr>
          <w:rFonts w:hint="eastAsia" w:ascii="宋体" w:hAnsi="宋体" w:cs="宋体"/>
          <w:color w:val="auto"/>
          <w:kern w:val="0"/>
          <w:sz w:val="21"/>
          <w:szCs w:val="21"/>
          <w:highlight w:val="none"/>
          <w:shd w:val="clear" w:color="auto" w:fill="FFFFFF"/>
          <w:lang w:val="en-US" w:eastAsia="zh-CN" w:bidi="ar-SA"/>
        </w:rPr>
        <w:t>。</w:t>
      </w:r>
    </w:p>
    <w:p w14:paraId="7B5EA9E3">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w:t>
      </w:r>
      <w:r>
        <w:rPr>
          <w:rFonts w:hint="eastAsia" w:ascii="宋体" w:hAnsi="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14:paraId="5893AAE6">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bookmarkStart w:id="18" w:name="_Toc29784"/>
      <w:bookmarkStart w:id="19" w:name="_Toc30918"/>
      <w:bookmarkStart w:id="20" w:name="_Toc6523"/>
      <w:bookmarkStart w:id="21" w:name="_Toc20287"/>
      <w:r>
        <w:rPr>
          <w:rFonts w:hint="eastAsia" w:ascii="宋体" w:hAnsi="宋体" w:cs="宋体"/>
          <w:b/>
          <w:bCs/>
          <w:color w:val="auto"/>
          <w:kern w:val="2"/>
          <w:sz w:val="21"/>
          <w:szCs w:val="21"/>
          <w:shd w:val="clear" w:color="auto" w:fill="FFFFFF"/>
          <w:lang w:val="en-US" w:eastAsia="zh-CN" w:bidi="ar-SA"/>
        </w:rPr>
        <w:t>六</w:t>
      </w:r>
      <w:r>
        <w:rPr>
          <w:rFonts w:hint="eastAsia" w:ascii="宋体" w:hAnsi="宋体" w:eastAsia="宋体" w:cs="宋体"/>
          <w:b/>
          <w:bCs/>
          <w:color w:val="auto"/>
          <w:kern w:val="2"/>
          <w:sz w:val="21"/>
          <w:szCs w:val="21"/>
          <w:shd w:val="clear" w:color="auto" w:fill="FFFFFF"/>
          <w:lang w:val="en-US" w:eastAsia="zh-CN" w:bidi="ar-SA"/>
        </w:rPr>
        <w:t>、发布公告的媒介及</w:t>
      </w:r>
      <w:r>
        <w:rPr>
          <w:rFonts w:hint="eastAsia" w:ascii="宋体" w:hAnsi="宋体" w:eastAsia="宋体" w:cs="宋体"/>
          <w:b/>
          <w:bCs/>
          <w:color w:val="auto"/>
          <w:sz w:val="21"/>
          <w:szCs w:val="21"/>
          <w:shd w:val="clear" w:color="auto" w:fill="auto"/>
          <w:lang w:val="en-US" w:eastAsia="zh-CN"/>
        </w:rPr>
        <w:t>采购</w:t>
      </w:r>
      <w:r>
        <w:rPr>
          <w:rFonts w:hint="eastAsia" w:ascii="宋体" w:hAnsi="宋体" w:eastAsia="宋体" w:cs="宋体"/>
          <w:b/>
          <w:bCs/>
          <w:color w:val="auto"/>
          <w:kern w:val="2"/>
          <w:sz w:val="21"/>
          <w:szCs w:val="21"/>
          <w:shd w:val="clear" w:color="auto" w:fill="FFFFFF"/>
          <w:lang w:val="en-US" w:eastAsia="zh-CN" w:bidi="ar-SA"/>
        </w:rPr>
        <w:t>公告期限</w:t>
      </w:r>
      <w:bookmarkEnd w:id="18"/>
      <w:bookmarkEnd w:id="19"/>
      <w:bookmarkEnd w:id="20"/>
      <w:bookmarkEnd w:id="21"/>
    </w:p>
    <w:p w14:paraId="57D6F114">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本次</w:t>
      </w:r>
      <w:r>
        <w:rPr>
          <w:rFonts w:hint="eastAsia" w:ascii="宋体" w:hAnsi="宋体" w:eastAsia="宋体" w:cs="宋体"/>
          <w:color w:val="auto"/>
          <w:sz w:val="21"/>
          <w:szCs w:val="21"/>
          <w:shd w:val="clear" w:color="auto" w:fill="auto"/>
          <w:lang w:val="en-US" w:eastAsia="zh-CN"/>
        </w:rPr>
        <w:t>采购</w:t>
      </w:r>
      <w:r>
        <w:rPr>
          <w:rFonts w:hint="eastAsia" w:ascii="宋体" w:hAnsi="宋体" w:eastAsia="宋体" w:cs="宋体"/>
          <w:color w:val="auto"/>
          <w:kern w:val="0"/>
          <w:sz w:val="21"/>
          <w:szCs w:val="21"/>
          <w:shd w:val="clear" w:color="auto" w:fill="FFFFFF"/>
          <w:lang w:val="en-US" w:eastAsia="zh-CN" w:bidi="ar-SA"/>
        </w:rPr>
        <w:t>公告在《驻马店市中心医院》</w:t>
      </w:r>
      <w:r>
        <w:rPr>
          <w:rFonts w:hint="eastAsia" w:ascii="宋体" w:hAnsi="宋体" w:cs="宋体"/>
          <w:color w:val="auto"/>
          <w:kern w:val="0"/>
          <w:sz w:val="21"/>
          <w:szCs w:val="21"/>
          <w:shd w:val="clear" w:color="auto" w:fill="FFFFFF"/>
          <w:lang w:val="en-US" w:eastAsia="zh-CN" w:bidi="ar-SA"/>
        </w:rPr>
        <w:t>院内</w:t>
      </w:r>
      <w:r>
        <w:rPr>
          <w:rFonts w:hint="eastAsia" w:ascii="宋体" w:hAnsi="宋体" w:eastAsia="宋体" w:cs="宋体"/>
          <w:color w:val="auto"/>
          <w:kern w:val="0"/>
          <w:sz w:val="21"/>
          <w:szCs w:val="21"/>
          <w:shd w:val="clear" w:color="auto" w:fill="FFFFFF"/>
          <w:lang w:val="en-US" w:eastAsia="zh-CN" w:bidi="ar-SA"/>
        </w:rPr>
        <w:t>网</w:t>
      </w:r>
      <w:r>
        <w:rPr>
          <w:rFonts w:hint="eastAsia" w:ascii="宋体" w:hAnsi="宋体" w:eastAsia="宋体" w:cs="宋体"/>
          <w:color w:val="auto"/>
          <w:sz w:val="21"/>
          <w:szCs w:val="21"/>
          <w:shd w:val="clear" w:color="auto" w:fill="auto"/>
        </w:rPr>
        <w:t>上发布</w:t>
      </w:r>
      <w:r>
        <w:rPr>
          <w:rFonts w:hint="eastAsia" w:ascii="宋体" w:hAnsi="宋体" w:cs="宋体"/>
          <w:color w:val="auto"/>
          <w:sz w:val="21"/>
          <w:szCs w:val="21"/>
          <w:highlight w:val="none"/>
          <w:shd w:val="clear" w:color="auto" w:fill="auto"/>
          <w:lang w:eastAsia="zh-CN"/>
        </w:rPr>
        <w:t>，</w:t>
      </w:r>
      <w:r>
        <w:rPr>
          <w:rFonts w:hint="eastAsia" w:ascii="宋体" w:hAnsi="宋体" w:eastAsia="宋体" w:cs="宋体"/>
          <w:color w:val="auto"/>
          <w:sz w:val="21"/>
          <w:szCs w:val="21"/>
          <w:shd w:val="clear" w:color="auto" w:fill="auto"/>
          <w:lang w:val="en-US" w:eastAsia="zh-CN"/>
        </w:rPr>
        <w:t>采购</w:t>
      </w:r>
      <w:r>
        <w:rPr>
          <w:rFonts w:hint="eastAsia" w:ascii="宋体" w:hAnsi="宋体" w:cs="宋体"/>
          <w:color w:val="auto"/>
          <w:sz w:val="21"/>
          <w:szCs w:val="21"/>
          <w:highlight w:val="none"/>
          <w:shd w:val="clear" w:color="auto" w:fill="auto"/>
          <w:lang w:eastAsia="zh-CN"/>
        </w:rPr>
        <w:t>公告期限为</w:t>
      </w:r>
      <w:r>
        <w:rPr>
          <w:rFonts w:hint="eastAsia" w:ascii="宋体" w:hAnsi="宋体" w:cs="宋体"/>
          <w:color w:val="auto"/>
          <w:sz w:val="21"/>
          <w:szCs w:val="21"/>
          <w:highlight w:val="none"/>
          <w:shd w:val="clear" w:color="auto" w:fill="auto"/>
          <w:lang w:val="en-US" w:eastAsia="zh-CN"/>
        </w:rPr>
        <w:t>三</w:t>
      </w:r>
      <w:r>
        <w:rPr>
          <w:rFonts w:hint="eastAsia" w:ascii="宋体" w:hAnsi="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795"/>
      <w:bookmarkStart w:id="23" w:name="_Toc35393626"/>
    </w:p>
    <w:bookmarkEnd w:id="22"/>
    <w:bookmarkEnd w:id="23"/>
    <w:p w14:paraId="08F5BB74">
      <w:pPr>
        <w:keepNext w:val="0"/>
        <w:keepLines w:val="0"/>
        <w:widowControl/>
        <w:snapToGrid w:val="0"/>
        <w:spacing w:before="0" w:after="0" w:line="360" w:lineRule="auto"/>
        <w:jc w:val="left"/>
        <w:outlineLvl w:val="1"/>
        <w:rPr>
          <w:rFonts w:ascii="宋体" w:hAnsi="宋体" w:eastAsia="宋体" w:cs="宋体"/>
          <w:b/>
          <w:bCs/>
          <w:color w:val="auto"/>
          <w:kern w:val="2"/>
          <w:sz w:val="21"/>
          <w:szCs w:val="21"/>
          <w:highlight w:val="none"/>
          <w:lang w:val="en-US" w:eastAsia="zh-CN" w:bidi="ar-SA"/>
        </w:rPr>
      </w:pPr>
      <w:bookmarkStart w:id="24" w:name="_Toc3604"/>
      <w:bookmarkStart w:id="25" w:name="_Toc27370"/>
      <w:bookmarkStart w:id="26" w:name="_Toc31928"/>
      <w:bookmarkStart w:id="27" w:name="_Toc24274"/>
      <w:bookmarkStart w:id="28" w:name="_Toc16291"/>
      <w:bookmarkStart w:id="29" w:name="_Toc17552"/>
      <w:bookmarkStart w:id="30" w:name="_Toc23793"/>
      <w:bookmarkStart w:id="31" w:name="_Toc29890"/>
      <w:r>
        <w:rPr>
          <w:rFonts w:hint="eastAsia" w:ascii="宋体" w:hAnsi="宋体" w:cs="宋体"/>
          <w:b/>
          <w:bCs/>
          <w:color w:val="auto"/>
          <w:kern w:val="2"/>
          <w:sz w:val="21"/>
          <w:szCs w:val="21"/>
          <w:shd w:val="clear" w:color="auto" w:fill="FFFFFF"/>
          <w:lang w:val="en-US" w:eastAsia="zh-CN" w:bidi="ar-SA"/>
        </w:rPr>
        <w:t>七</w:t>
      </w:r>
      <w:r>
        <w:rPr>
          <w:rFonts w:hint="eastAsia" w:ascii="宋体" w:hAnsi="宋体" w:eastAsia="宋体" w:cs="宋体"/>
          <w:b/>
          <w:bCs/>
          <w:color w:val="auto"/>
          <w:kern w:val="2"/>
          <w:sz w:val="21"/>
          <w:szCs w:val="21"/>
          <w:shd w:val="clear" w:color="auto" w:fill="FFFFFF"/>
          <w:lang w:val="en-US" w:eastAsia="zh-CN" w:bidi="ar-SA"/>
        </w:rPr>
        <w:t>、</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14:paraId="04EA837E">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1.采购人：驻马店市中心医院</w:t>
      </w:r>
    </w:p>
    <w:p w14:paraId="69CAF13E">
      <w:pPr>
        <w:widowControl/>
        <w:snapToGrid w:val="0"/>
        <w:spacing w:before="0" w:beforeAutospacing="0" w:after="0" w:afterAutospacing="0" w:line="360" w:lineRule="auto"/>
        <w:ind w:firstLine="630" w:firstLineChars="3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地址：驻马店市中华大道747号</w:t>
      </w:r>
    </w:p>
    <w:p w14:paraId="02AF12F7">
      <w:pPr>
        <w:widowControl/>
        <w:snapToGrid w:val="0"/>
        <w:spacing w:before="0" w:beforeAutospacing="0" w:after="0" w:afterAutospacing="0" w:line="360" w:lineRule="auto"/>
        <w:ind w:firstLine="630" w:firstLineChars="3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联系人：陈先生</w:t>
      </w:r>
    </w:p>
    <w:p w14:paraId="2DF7625A">
      <w:pPr>
        <w:widowControl/>
        <w:snapToGrid w:val="0"/>
        <w:spacing w:before="0" w:beforeAutospacing="0" w:after="0" w:afterAutospacing="0" w:line="360" w:lineRule="auto"/>
        <w:ind w:firstLine="630" w:firstLineChars="3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电话：0396-2726379</w:t>
      </w:r>
    </w:p>
    <w:p w14:paraId="2C5B6A5C">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2.采购代理机构：河南招标采购服务有限公司</w:t>
      </w:r>
    </w:p>
    <w:p w14:paraId="16CFD697">
      <w:pPr>
        <w:widowControl/>
        <w:snapToGrid w:val="0"/>
        <w:spacing w:before="0" w:beforeAutospacing="0" w:after="0" w:afterAutospacing="0" w:line="360" w:lineRule="auto"/>
        <w:ind w:firstLine="630" w:firstLineChars="3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地址：郑州市金水区纬四路13号</w:t>
      </w:r>
    </w:p>
    <w:p w14:paraId="0548F8FA">
      <w:pPr>
        <w:widowControl/>
        <w:snapToGrid w:val="0"/>
        <w:spacing w:before="0" w:beforeAutospacing="0" w:after="0" w:afterAutospacing="0" w:line="360" w:lineRule="auto"/>
        <w:ind w:firstLine="630" w:firstLineChars="3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联系人：王女士</w:t>
      </w:r>
    </w:p>
    <w:p w14:paraId="235EFF6D">
      <w:pPr>
        <w:widowControl/>
        <w:snapToGrid w:val="0"/>
        <w:spacing w:before="0" w:beforeAutospacing="0" w:after="0" w:afterAutospacing="0" w:line="360" w:lineRule="auto"/>
        <w:ind w:firstLine="630" w:firstLineChars="3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联系方式：18639627370</w:t>
      </w:r>
    </w:p>
    <w:p w14:paraId="5E2B0CA4">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3.监督部门：驻马店市中心医院纪检监察室</w:t>
      </w:r>
    </w:p>
    <w:p w14:paraId="7ADEC81B">
      <w:pPr>
        <w:widowControl/>
        <w:snapToGrid w:val="0"/>
        <w:spacing w:before="0" w:beforeAutospacing="0" w:after="0" w:afterAutospacing="0" w:line="360" w:lineRule="auto"/>
        <w:ind w:firstLine="630" w:firstLineChars="300"/>
        <w:jc w:val="left"/>
        <w:rPr>
          <w:rFonts w:hint="default"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监督电话：0396-2726678</w:t>
      </w:r>
      <w:bookmarkStart w:id="95" w:name="_GoBack"/>
      <w:bookmarkEnd w:id="95"/>
    </w:p>
    <w:p w14:paraId="0FD81A83">
      <w:pPr>
        <w:widowControl/>
        <w:snapToGrid w:val="0"/>
        <w:spacing w:before="0" w:beforeAutospacing="0" w:after="0" w:afterAutospacing="0" w:line="360" w:lineRule="auto"/>
        <w:ind w:firstLine="630" w:firstLineChars="300"/>
        <w:jc w:val="left"/>
        <w:rPr>
          <w:rFonts w:hint="eastAsia" w:ascii="宋体" w:hAnsi="宋体" w:eastAsia="宋体" w:cs="宋体"/>
          <w:color w:val="auto"/>
          <w:kern w:val="0"/>
          <w:sz w:val="21"/>
          <w:szCs w:val="21"/>
          <w:shd w:val="clear" w:color="auto" w:fill="FFFFFF"/>
          <w:lang w:val="en-US" w:eastAsia="zh-CN" w:bidi="ar-SA"/>
        </w:rPr>
      </w:pPr>
    </w:p>
    <w:p w14:paraId="29461D2D">
      <w:pPr>
        <w:pStyle w:val="32"/>
        <w:rPr>
          <w:rFonts w:hint="eastAsia"/>
          <w:highlight w:val="yellow"/>
          <w:lang w:val="en-US" w:eastAsia="zh-CN"/>
        </w:rPr>
      </w:pPr>
    </w:p>
    <w:p w14:paraId="1BB59B70">
      <w:pPr>
        <w:widowControl/>
        <w:snapToGrid w:val="0"/>
        <w:spacing w:before="0" w:beforeAutospacing="0" w:after="0" w:afterAutospacing="0" w:line="360" w:lineRule="auto"/>
        <w:ind w:firstLine="420" w:firstLineChars="200"/>
        <w:jc w:val="right"/>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pPr>
      <w:r>
        <w:rPr>
          <w:rFonts w:hint="eastAsia" w:ascii="宋体" w:hAnsi="宋体" w:eastAsia="宋体" w:cs="宋体"/>
          <w:kern w:val="0"/>
          <w:sz w:val="21"/>
          <w:szCs w:val="21"/>
          <w:shd w:val="clear" w:color="auto" w:fill="FFFFFF"/>
          <w:lang w:val="en-US" w:eastAsia="zh-CN" w:bidi="ar-SA"/>
        </w:rPr>
        <w:t>驻马</w:t>
      </w: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店市中心医院采购科</w:t>
      </w:r>
    </w:p>
    <w:p w14:paraId="20CCB22C">
      <w:pPr>
        <w:widowControl/>
        <w:snapToGrid w:val="0"/>
        <w:spacing w:before="0" w:beforeAutospacing="0" w:after="0" w:afterAutospacing="0" w:line="360" w:lineRule="auto"/>
        <w:ind w:firstLine="420" w:firstLineChars="200"/>
        <w:jc w:val="center"/>
        <w:rPr>
          <w:rFonts w:ascii="宋体" w:hAnsi="宋体" w:cs="宋体"/>
          <w:color w:val="auto"/>
          <w:sz w:val="21"/>
          <w:szCs w:val="21"/>
          <w:highlight w:val="none"/>
          <w:shd w:val="clear" w:color="auto" w:fill="FFFFFF"/>
        </w:rPr>
      </w:pPr>
      <w:r>
        <w:rPr>
          <w:rFonts w:hint="eastAsia" w:ascii="宋体" w:hAnsi="宋体" w:cs="宋体"/>
          <w:color w:val="auto"/>
          <w:kern w:val="0"/>
          <w:sz w:val="21"/>
          <w:szCs w:val="21"/>
          <w:highlight w:val="none"/>
          <w:shd w:val="clear" w:color="auto" w:fill="FFFFFF"/>
          <w:lang w:val="en-US" w:eastAsia="zh-CN" w:bidi="ar-SA"/>
        </w:rPr>
        <w:t xml:space="preserve">                                                          </w:t>
      </w:r>
      <w:r>
        <w:rPr>
          <w:rFonts w:hint="eastAsia" w:ascii="宋体" w:hAnsi="宋体" w:eastAsia="宋体" w:cs="宋体"/>
          <w:color w:val="auto"/>
          <w:kern w:val="0"/>
          <w:sz w:val="21"/>
          <w:szCs w:val="21"/>
          <w:highlight w:val="none"/>
          <w:shd w:val="clear" w:color="auto" w:fill="FFFFFF"/>
          <w:lang w:val="en-US" w:eastAsia="zh-CN" w:bidi="ar-SA"/>
        </w:rPr>
        <w:t>202</w:t>
      </w:r>
      <w:r>
        <w:rPr>
          <w:rFonts w:hint="eastAsia" w:ascii="宋体" w:hAnsi="宋体" w:cs="宋体"/>
          <w:color w:val="auto"/>
          <w:kern w:val="0"/>
          <w:sz w:val="21"/>
          <w:szCs w:val="21"/>
          <w:highlight w:val="none"/>
          <w:shd w:val="clear" w:color="auto" w:fill="FFFFFF"/>
          <w:lang w:val="en-US" w:eastAsia="zh-CN" w:bidi="ar-SA"/>
        </w:rPr>
        <w:t>4</w:t>
      </w:r>
      <w:r>
        <w:rPr>
          <w:rFonts w:hint="eastAsia" w:ascii="宋体" w:hAnsi="宋体" w:eastAsia="宋体" w:cs="宋体"/>
          <w:color w:val="auto"/>
          <w:kern w:val="0"/>
          <w:sz w:val="21"/>
          <w:szCs w:val="21"/>
          <w:highlight w:val="none"/>
          <w:shd w:val="clear" w:color="auto" w:fill="FFFFFF"/>
          <w:lang w:val="en-US" w:eastAsia="zh-CN" w:bidi="ar-SA"/>
        </w:rPr>
        <w:t>年</w:t>
      </w:r>
      <w:r>
        <w:rPr>
          <w:rFonts w:hint="eastAsia" w:ascii="宋体" w:hAnsi="宋体" w:cs="宋体"/>
          <w:color w:val="auto"/>
          <w:kern w:val="0"/>
          <w:sz w:val="21"/>
          <w:szCs w:val="21"/>
          <w:highlight w:val="none"/>
          <w:shd w:val="clear" w:color="auto" w:fill="FFFFFF"/>
          <w:lang w:val="en-US" w:eastAsia="zh-CN" w:bidi="ar-SA"/>
        </w:rPr>
        <w:t>9</w:t>
      </w:r>
      <w:r>
        <w:rPr>
          <w:rFonts w:hint="eastAsia" w:ascii="宋体" w:hAnsi="宋体" w:eastAsia="宋体" w:cs="宋体"/>
          <w:color w:val="auto"/>
          <w:kern w:val="0"/>
          <w:sz w:val="21"/>
          <w:szCs w:val="21"/>
          <w:highlight w:val="none"/>
          <w:shd w:val="clear" w:color="auto" w:fill="FFFFFF"/>
          <w:lang w:val="en-US" w:eastAsia="zh-CN" w:bidi="ar-SA"/>
        </w:rPr>
        <w:t>月</w:t>
      </w:r>
      <w:r>
        <w:rPr>
          <w:rFonts w:hint="eastAsia" w:ascii="宋体" w:hAnsi="宋体" w:cs="宋体"/>
          <w:color w:val="auto"/>
          <w:kern w:val="0"/>
          <w:sz w:val="21"/>
          <w:szCs w:val="21"/>
          <w:highlight w:val="none"/>
          <w:shd w:val="clear" w:color="auto" w:fill="FFFFFF"/>
          <w:lang w:val="en-US" w:eastAsia="zh-CN" w:bidi="ar-SA"/>
        </w:rPr>
        <w:t xml:space="preserve">3 </w:t>
      </w:r>
      <w:r>
        <w:rPr>
          <w:rFonts w:hint="eastAsia" w:ascii="宋体" w:hAnsi="宋体" w:eastAsia="宋体" w:cs="宋体"/>
          <w:color w:val="auto"/>
          <w:kern w:val="0"/>
          <w:sz w:val="21"/>
          <w:szCs w:val="21"/>
          <w:highlight w:val="none"/>
          <w:shd w:val="clear" w:color="auto" w:fill="FFFFFF"/>
          <w:lang w:val="en-US" w:eastAsia="zh-CN" w:bidi="ar-SA"/>
        </w:rPr>
        <w:t>日</w:t>
      </w:r>
    </w:p>
    <w:p w14:paraId="41EE3DA0">
      <w:pPr>
        <w:rPr>
          <w:rFonts w:hint="eastAsia" w:ascii="宋体" w:hAnsi="宋体"/>
          <w:b/>
          <w:color w:val="auto"/>
          <w:sz w:val="32"/>
          <w:szCs w:val="32"/>
          <w:highlight w:val="none"/>
        </w:rPr>
      </w:pPr>
      <w:r>
        <w:rPr>
          <w:rFonts w:hint="eastAsia" w:ascii="宋体" w:hAnsi="宋体"/>
          <w:b/>
          <w:color w:val="auto"/>
          <w:sz w:val="32"/>
          <w:szCs w:val="32"/>
          <w:highlight w:val="none"/>
        </w:rPr>
        <w:br w:type="page"/>
      </w:r>
    </w:p>
    <w:p w14:paraId="170C3289">
      <w:pPr>
        <w:widowControl/>
        <w:spacing w:line="360" w:lineRule="auto"/>
        <w:ind w:firstLine="643" w:firstLineChars="200"/>
        <w:jc w:val="center"/>
        <w:outlineLvl w:val="0"/>
        <w:rPr>
          <w:rFonts w:ascii="宋体" w:hAnsi="宋体"/>
          <w:b/>
          <w:color w:val="auto"/>
          <w:sz w:val="32"/>
          <w:szCs w:val="32"/>
          <w:highlight w:val="none"/>
        </w:rPr>
      </w:pPr>
      <w:r>
        <w:rPr>
          <w:rFonts w:hint="eastAsia" w:ascii="宋体" w:hAnsi="宋体"/>
          <w:b/>
          <w:color w:val="auto"/>
          <w:sz w:val="32"/>
          <w:szCs w:val="32"/>
          <w:highlight w:val="none"/>
        </w:rPr>
        <w:t xml:space="preserve">第二章  </w:t>
      </w:r>
      <w:r>
        <w:rPr>
          <w:rFonts w:hint="eastAsia" w:ascii="宋体" w:hAnsi="宋体"/>
          <w:b/>
          <w:color w:val="auto"/>
          <w:sz w:val="32"/>
          <w:szCs w:val="32"/>
          <w:highlight w:val="none"/>
          <w:lang w:eastAsia="zh-CN"/>
        </w:rPr>
        <w:t>采购</w:t>
      </w:r>
      <w:r>
        <w:rPr>
          <w:rFonts w:hint="eastAsia" w:ascii="宋体" w:hAnsi="宋体"/>
          <w:b/>
          <w:color w:val="auto"/>
          <w:sz w:val="32"/>
          <w:szCs w:val="32"/>
          <w:highlight w:val="none"/>
        </w:rPr>
        <w:t>需求</w:t>
      </w:r>
      <w:bookmarkEnd w:id="29"/>
      <w:bookmarkStart w:id="32" w:name="_Toc31536"/>
      <w:bookmarkStart w:id="33" w:name="_Toc23610"/>
      <w:bookmarkStart w:id="34" w:name="_Toc9989"/>
    </w:p>
    <w:bookmarkEnd w:id="30"/>
    <w:bookmarkEnd w:id="31"/>
    <w:bookmarkEnd w:id="32"/>
    <w:bookmarkEnd w:id="33"/>
    <w:bookmarkEnd w:id="34"/>
    <w:p w14:paraId="792266BF">
      <w:pPr>
        <w:keepNext w:val="0"/>
        <w:keepLines w:val="0"/>
        <w:pageBreakBefore w:val="0"/>
        <w:widowControl w:val="0"/>
        <w:kinsoku/>
        <w:wordWrap/>
        <w:overflowPunct/>
        <w:topLinePunct w:val="0"/>
        <w:autoSpaceDE/>
        <w:autoSpaceDN/>
        <w:bidi w:val="0"/>
        <w:adjustRightInd/>
        <w:snapToGrid w:val="0"/>
        <w:spacing w:line="360" w:lineRule="auto"/>
        <w:ind w:firstLine="422" w:firstLineChars="200"/>
        <w:jc w:val="both"/>
        <w:textAlignment w:val="auto"/>
        <w:rPr>
          <w:rFonts w:hint="default" w:ascii="宋体" w:hAnsi="宋体" w:eastAsia="宋体" w:cs="宋体"/>
          <w:i w:val="0"/>
          <w:iCs/>
          <w:color w:val="auto"/>
          <w:sz w:val="21"/>
          <w:szCs w:val="21"/>
          <w:highlight w:val="none"/>
          <w:u w:val="none"/>
          <w:lang w:val="en-US" w:eastAsia="zh-CN"/>
        </w:rPr>
      </w:pPr>
      <w:r>
        <w:rPr>
          <w:rFonts w:hint="eastAsia" w:ascii="宋体" w:hAnsi="宋体" w:eastAsia="宋体" w:cs="宋体"/>
          <w:b/>
          <w:bCs/>
          <w:i w:val="0"/>
          <w:iCs/>
          <w:color w:val="auto"/>
          <w:sz w:val="21"/>
          <w:szCs w:val="21"/>
          <w:highlight w:val="none"/>
          <w:u w:val="none"/>
          <w:lang w:val="en-US" w:eastAsia="zh-CN"/>
        </w:rPr>
        <w:t>一、项目名称：</w:t>
      </w:r>
      <w:r>
        <w:rPr>
          <w:rFonts w:hint="eastAsia" w:ascii="宋体" w:hAnsi="宋体" w:cs="宋体"/>
          <w:b w:val="0"/>
          <w:bCs w:val="0"/>
          <w:i w:val="0"/>
          <w:iCs/>
          <w:color w:val="auto"/>
          <w:sz w:val="21"/>
          <w:szCs w:val="21"/>
          <w:highlight w:val="none"/>
          <w:u w:val="none"/>
          <w:lang w:val="en-US" w:eastAsia="zh-CN"/>
        </w:rPr>
        <w:t>驻马店市中心医院无菌光纤及激光保护鞘供货项目</w:t>
      </w:r>
    </w:p>
    <w:p w14:paraId="30F985AB">
      <w:pPr>
        <w:pStyle w:val="15"/>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ind w:firstLine="422" w:firstLineChars="200"/>
        <w:jc w:val="both"/>
        <w:textAlignment w:val="auto"/>
        <w:rPr>
          <w:rFonts w:hint="eastAsia" w:cs="宋体"/>
          <w:b/>
          <w:bCs/>
          <w:color w:val="auto"/>
          <w:kern w:val="2"/>
          <w:sz w:val="21"/>
          <w:szCs w:val="24"/>
          <w:highlight w:val="none"/>
          <w:lang w:val="en-US" w:eastAsia="zh-CN" w:bidi="ar-SA"/>
        </w:rPr>
      </w:pPr>
      <w:r>
        <w:rPr>
          <w:rFonts w:hint="eastAsia" w:cs="宋体"/>
          <w:b/>
          <w:bCs/>
          <w:color w:val="auto"/>
          <w:kern w:val="2"/>
          <w:sz w:val="21"/>
          <w:szCs w:val="24"/>
          <w:highlight w:val="none"/>
          <w:lang w:val="en-US" w:eastAsia="zh-CN" w:bidi="ar-SA"/>
        </w:rPr>
        <w:t>二、采购标的清单：</w:t>
      </w:r>
    </w:p>
    <w:tbl>
      <w:tblPr>
        <w:tblStyle w:val="34"/>
        <w:tblW w:w="9075"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7"/>
        <w:gridCol w:w="881"/>
        <w:gridCol w:w="1608"/>
        <w:gridCol w:w="757"/>
        <w:gridCol w:w="862"/>
        <w:gridCol w:w="1242"/>
        <w:gridCol w:w="982"/>
        <w:gridCol w:w="1110"/>
        <w:gridCol w:w="996"/>
      </w:tblGrid>
      <w:tr w14:paraId="41973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trPr>
        <w:tc>
          <w:tcPr>
            <w:tcW w:w="637" w:type="dxa"/>
            <w:vAlign w:val="center"/>
          </w:tcPr>
          <w:p w14:paraId="5D616C02">
            <w:pPr>
              <w:pStyle w:val="15"/>
              <w:keepNext w:val="0"/>
              <w:keepLines w:val="0"/>
              <w:pageBreakBefore w:val="0"/>
              <w:widowControl w:val="0"/>
              <w:kinsoku/>
              <w:wordWrap/>
              <w:overflowPunct/>
              <w:topLinePunct w:val="0"/>
              <w:autoSpaceDE/>
              <w:autoSpaceDN/>
              <w:bidi w:val="0"/>
              <w:adjustRightInd/>
              <w:snapToGrid/>
              <w:spacing w:before="0" w:beforeAutospacing="0" w:after="0" w:line="360" w:lineRule="auto"/>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lang w:val="en-US" w:eastAsia="zh-CN"/>
              </w:rPr>
              <w:t>包号</w:t>
            </w:r>
          </w:p>
        </w:tc>
        <w:tc>
          <w:tcPr>
            <w:tcW w:w="881" w:type="dxa"/>
            <w:vAlign w:val="center"/>
          </w:tcPr>
          <w:p w14:paraId="20E002E6">
            <w:pPr>
              <w:pStyle w:val="15"/>
              <w:keepNext w:val="0"/>
              <w:keepLines w:val="0"/>
              <w:pageBreakBefore w:val="0"/>
              <w:widowControl w:val="0"/>
              <w:kinsoku/>
              <w:wordWrap/>
              <w:overflowPunct/>
              <w:topLinePunct w:val="0"/>
              <w:autoSpaceDE/>
              <w:autoSpaceDN/>
              <w:bidi w:val="0"/>
              <w:adjustRightInd/>
              <w:snapToGrid/>
              <w:spacing w:before="0" w:beforeAutospacing="0" w:after="0" w:line="360" w:lineRule="auto"/>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rPr>
              <w:t>序号</w:t>
            </w:r>
          </w:p>
        </w:tc>
        <w:tc>
          <w:tcPr>
            <w:tcW w:w="1608" w:type="dxa"/>
            <w:vAlign w:val="center"/>
          </w:tcPr>
          <w:p w14:paraId="443B574D">
            <w:pPr>
              <w:pStyle w:val="15"/>
              <w:keepNext w:val="0"/>
              <w:keepLines w:val="0"/>
              <w:pageBreakBefore w:val="0"/>
              <w:widowControl w:val="0"/>
              <w:kinsoku/>
              <w:wordWrap/>
              <w:overflowPunct/>
              <w:topLinePunct w:val="0"/>
              <w:autoSpaceDE/>
              <w:autoSpaceDN/>
              <w:bidi w:val="0"/>
              <w:adjustRightInd/>
              <w:snapToGrid/>
              <w:spacing w:before="0" w:beforeAutospacing="0" w:after="0" w:line="360" w:lineRule="auto"/>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rPr>
              <w:t>标的名称</w:t>
            </w:r>
          </w:p>
        </w:tc>
        <w:tc>
          <w:tcPr>
            <w:tcW w:w="757" w:type="dxa"/>
            <w:vAlign w:val="center"/>
          </w:tcPr>
          <w:p w14:paraId="4A5C18D0">
            <w:pPr>
              <w:pStyle w:val="15"/>
              <w:keepNext w:val="0"/>
              <w:keepLines w:val="0"/>
              <w:pageBreakBefore w:val="0"/>
              <w:widowControl w:val="0"/>
              <w:kinsoku/>
              <w:wordWrap/>
              <w:overflowPunct/>
              <w:topLinePunct w:val="0"/>
              <w:autoSpaceDE/>
              <w:autoSpaceDN/>
              <w:bidi w:val="0"/>
              <w:adjustRightInd/>
              <w:snapToGrid/>
              <w:spacing w:before="0" w:beforeAutospacing="0" w:after="0" w:line="360" w:lineRule="auto"/>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lang w:val="en-US" w:eastAsia="zh-CN"/>
              </w:rPr>
              <w:t>单位</w:t>
            </w:r>
          </w:p>
        </w:tc>
        <w:tc>
          <w:tcPr>
            <w:tcW w:w="862" w:type="dxa"/>
            <w:vAlign w:val="center"/>
          </w:tcPr>
          <w:p w14:paraId="289A4D2A">
            <w:pPr>
              <w:pStyle w:val="15"/>
              <w:keepNext w:val="0"/>
              <w:keepLines w:val="0"/>
              <w:pageBreakBefore w:val="0"/>
              <w:widowControl w:val="0"/>
              <w:kinsoku/>
              <w:wordWrap/>
              <w:overflowPunct/>
              <w:topLinePunct w:val="0"/>
              <w:autoSpaceDE/>
              <w:autoSpaceDN/>
              <w:bidi w:val="0"/>
              <w:adjustRightInd/>
              <w:snapToGrid/>
              <w:spacing w:before="0" w:beforeAutospacing="0" w:after="0" w:line="360" w:lineRule="auto"/>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rPr>
              <w:t>数量</w:t>
            </w:r>
          </w:p>
        </w:tc>
        <w:tc>
          <w:tcPr>
            <w:tcW w:w="1242" w:type="dxa"/>
            <w:vAlign w:val="center"/>
          </w:tcPr>
          <w:p w14:paraId="1ABFE959">
            <w:pPr>
              <w:pStyle w:val="15"/>
              <w:keepNext w:val="0"/>
              <w:keepLines w:val="0"/>
              <w:pageBreakBefore w:val="0"/>
              <w:widowControl w:val="0"/>
              <w:kinsoku/>
              <w:wordWrap/>
              <w:overflowPunct/>
              <w:topLinePunct w:val="0"/>
              <w:autoSpaceDE/>
              <w:autoSpaceDN/>
              <w:bidi w:val="0"/>
              <w:adjustRightInd/>
              <w:snapToGrid/>
              <w:spacing w:before="0" w:beforeAutospacing="0" w:after="0" w:line="360" w:lineRule="auto"/>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lang w:eastAsia="zh-CN"/>
              </w:rPr>
              <w:t>控制价（元）</w:t>
            </w:r>
          </w:p>
        </w:tc>
        <w:tc>
          <w:tcPr>
            <w:tcW w:w="982" w:type="dxa"/>
            <w:vAlign w:val="center"/>
          </w:tcPr>
          <w:p w14:paraId="5679471E">
            <w:pPr>
              <w:pStyle w:val="15"/>
              <w:keepNext w:val="0"/>
              <w:keepLines w:val="0"/>
              <w:pageBreakBefore w:val="0"/>
              <w:widowControl w:val="0"/>
              <w:kinsoku/>
              <w:wordWrap/>
              <w:overflowPunct/>
              <w:topLinePunct w:val="0"/>
              <w:autoSpaceDE/>
              <w:autoSpaceDN/>
              <w:bidi w:val="0"/>
              <w:adjustRightInd/>
              <w:snapToGrid/>
              <w:spacing w:before="0" w:beforeAutospacing="0" w:after="0" w:line="360" w:lineRule="auto"/>
              <w:ind w:left="0" w:leftChars="0" w:firstLine="0" w:firstLineChars="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资金</w:t>
            </w:r>
          </w:p>
          <w:p w14:paraId="231F5EB7">
            <w:pPr>
              <w:pStyle w:val="15"/>
              <w:keepNext w:val="0"/>
              <w:keepLines w:val="0"/>
              <w:pageBreakBefore w:val="0"/>
              <w:widowControl w:val="0"/>
              <w:kinsoku/>
              <w:wordWrap/>
              <w:overflowPunct/>
              <w:topLinePunct w:val="0"/>
              <w:autoSpaceDE/>
              <w:autoSpaceDN/>
              <w:bidi w:val="0"/>
              <w:adjustRightInd/>
              <w:snapToGrid/>
              <w:spacing w:before="0" w:beforeAutospacing="0" w:after="0" w:line="360" w:lineRule="auto"/>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lang w:val="en-US" w:eastAsia="zh-CN"/>
              </w:rPr>
              <w:t>性质</w:t>
            </w:r>
          </w:p>
        </w:tc>
        <w:tc>
          <w:tcPr>
            <w:tcW w:w="1110" w:type="dxa"/>
            <w:vAlign w:val="center"/>
          </w:tcPr>
          <w:p w14:paraId="57F9F79B">
            <w:pPr>
              <w:pStyle w:val="15"/>
              <w:keepNext w:val="0"/>
              <w:keepLines w:val="0"/>
              <w:pageBreakBefore w:val="0"/>
              <w:widowControl w:val="0"/>
              <w:kinsoku/>
              <w:wordWrap/>
              <w:overflowPunct/>
              <w:topLinePunct w:val="0"/>
              <w:autoSpaceDE/>
              <w:autoSpaceDN/>
              <w:bidi w:val="0"/>
              <w:adjustRightInd/>
              <w:snapToGrid/>
              <w:spacing w:before="0" w:beforeAutospacing="0" w:after="0" w:line="360" w:lineRule="auto"/>
              <w:ind w:left="0" w:leftChars="0" w:firstLine="0" w:firstLineChars="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国产/</w:t>
            </w:r>
          </w:p>
          <w:p w14:paraId="74394116">
            <w:pPr>
              <w:pStyle w:val="15"/>
              <w:keepNext w:val="0"/>
              <w:keepLines w:val="0"/>
              <w:pageBreakBefore w:val="0"/>
              <w:widowControl w:val="0"/>
              <w:kinsoku/>
              <w:wordWrap/>
              <w:overflowPunct/>
              <w:topLinePunct w:val="0"/>
              <w:autoSpaceDE/>
              <w:autoSpaceDN/>
              <w:bidi w:val="0"/>
              <w:adjustRightInd/>
              <w:snapToGrid/>
              <w:spacing w:before="0" w:beforeAutospacing="0" w:after="0" w:line="360" w:lineRule="auto"/>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lang w:val="en-US" w:eastAsia="zh-CN"/>
              </w:rPr>
              <w:t>进口</w:t>
            </w:r>
          </w:p>
        </w:tc>
        <w:tc>
          <w:tcPr>
            <w:tcW w:w="996" w:type="dxa"/>
            <w:vAlign w:val="center"/>
          </w:tcPr>
          <w:p w14:paraId="1E2E6E41">
            <w:pPr>
              <w:pStyle w:val="15"/>
              <w:keepNext w:val="0"/>
              <w:keepLines w:val="0"/>
              <w:pageBreakBefore w:val="0"/>
              <w:widowControl w:val="0"/>
              <w:tabs>
                <w:tab w:val="left" w:pos="361"/>
              </w:tabs>
              <w:kinsoku/>
              <w:wordWrap/>
              <w:overflowPunct/>
              <w:topLinePunct w:val="0"/>
              <w:autoSpaceDE/>
              <w:autoSpaceDN/>
              <w:bidi w:val="0"/>
              <w:adjustRightInd/>
              <w:snapToGrid/>
              <w:spacing w:before="0" w:beforeAutospacing="0" w:after="0" w:line="360" w:lineRule="auto"/>
              <w:ind w:left="0" w:leftChars="0" w:firstLine="0" w:firstLineChars="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质保期</w:t>
            </w:r>
          </w:p>
        </w:tc>
      </w:tr>
      <w:tr w14:paraId="12666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trPr>
        <w:tc>
          <w:tcPr>
            <w:tcW w:w="637" w:type="dxa"/>
            <w:vMerge w:val="restart"/>
            <w:vAlign w:val="center"/>
          </w:tcPr>
          <w:p w14:paraId="7AC8F2B0">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881" w:type="dxa"/>
            <w:vAlign w:val="center"/>
          </w:tcPr>
          <w:p w14:paraId="1F04EE02">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1608" w:type="dxa"/>
            <w:vAlign w:val="center"/>
          </w:tcPr>
          <w:p w14:paraId="37E6D3AF">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无菌医用激光光纤</w:t>
            </w:r>
          </w:p>
        </w:tc>
        <w:tc>
          <w:tcPr>
            <w:tcW w:w="757" w:type="dxa"/>
            <w:vAlign w:val="center"/>
          </w:tcPr>
          <w:p w14:paraId="65D63DE2">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根</w:t>
            </w:r>
          </w:p>
        </w:tc>
        <w:tc>
          <w:tcPr>
            <w:tcW w:w="862" w:type="dxa"/>
            <w:vAlign w:val="center"/>
          </w:tcPr>
          <w:p w14:paraId="67CFF6AB">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w:t>
            </w:r>
          </w:p>
        </w:tc>
        <w:tc>
          <w:tcPr>
            <w:tcW w:w="1242" w:type="dxa"/>
            <w:vAlign w:val="center"/>
          </w:tcPr>
          <w:p w14:paraId="35EF548F">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7500</w:t>
            </w:r>
          </w:p>
        </w:tc>
        <w:tc>
          <w:tcPr>
            <w:tcW w:w="982" w:type="dxa"/>
            <w:vAlign w:val="center"/>
          </w:tcPr>
          <w:p w14:paraId="345C7A8B">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自筹</w:t>
            </w:r>
          </w:p>
        </w:tc>
        <w:tc>
          <w:tcPr>
            <w:tcW w:w="1110" w:type="dxa"/>
            <w:vAlign w:val="center"/>
          </w:tcPr>
          <w:p w14:paraId="7C88EBF4">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w:t>
            </w:r>
          </w:p>
        </w:tc>
        <w:tc>
          <w:tcPr>
            <w:tcW w:w="996" w:type="dxa"/>
            <w:vAlign w:val="center"/>
          </w:tcPr>
          <w:p w14:paraId="76431757">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三个月</w:t>
            </w:r>
          </w:p>
        </w:tc>
      </w:tr>
      <w:tr w14:paraId="6637B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637" w:type="dxa"/>
            <w:vMerge w:val="continue"/>
            <w:vAlign w:val="center"/>
          </w:tcPr>
          <w:p w14:paraId="1D274674">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eastAsia" w:ascii="宋体" w:hAnsi="宋体" w:eastAsia="宋体" w:cs="宋体"/>
                <w:sz w:val="21"/>
                <w:szCs w:val="21"/>
                <w:vertAlign w:val="baseline"/>
                <w:lang w:val="en-US" w:eastAsia="zh-CN"/>
              </w:rPr>
            </w:pPr>
          </w:p>
        </w:tc>
        <w:tc>
          <w:tcPr>
            <w:tcW w:w="881" w:type="dxa"/>
            <w:vAlign w:val="center"/>
          </w:tcPr>
          <w:p w14:paraId="7D674375">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c>
          <w:tcPr>
            <w:tcW w:w="1608" w:type="dxa"/>
            <w:vAlign w:val="center"/>
          </w:tcPr>
          <w:p w14:paraId="1C263254">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光纤保护鞘</w:t>
            </w:r>
          </w:p>
        </w:tc>
        <w:tc>
          <w:tcPr>
            <w:tcW w:w="757" w:type="dxa"/>
            <w:vAlign w:val="center"/>
          </w:tcPr>
          <w:p w14:paraId="4C9303B0">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个</w:t>
            </w:r>
          </w:p>
        </w:tc>
        <w:tc>
          <w:tcPr>
            <w:tcW w:w="862" w:type="dxa"/>
            <w:vAlign w:val="center"/>
          </w:tcPr>
          <w:p w14:paraId="5EA1074E">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w:t>
            </w:r>
          </w:p>
        </w:tc>
        <w:tc>
          <w:tcPr>
            <w:tcW w:w="1242" w:type="dxa"/>
            <w:vAlign w:val="center"/>
          </w:tcPr>
          <w:p w14:paraId="55E8B4D4">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6760</w:t>
            </w:r>
          </w:p>
        </w:tc>
        <w:tc>
          <w:tcPr>
            <w:tcW w:w="982" w:type="dxa"/>
            <w:vAlign w:val="center"/>
          </w:tcPr>
          <w:p w14:paraId="6F5C6DBC">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自筹</w:t>
            </w:r>
          </w:p>
        </w:tc>
        <w:tc>
          <w:tcPr>
            <w:tcW w:w="1110" w:type="dxa"/>
            <w:vAlign w:val="center"/>
          </w:tcPr>
          <w:p w14:paraId="3D968064">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w:t>
            </w:r>
          </w:p>
        </w:tc>
        <w:tc>
          <w:tcPr>
            <w:tcW w:w="996" w:type="dxa"/>
            <w:vAlign w:val="center"/>
          </w:tcPr>
          <w:p w14:paraId="1174A972">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三个月</w:t>
            </w:r>
          </w:p>
        </w:tc>
      </w:tr>
      <w:tr w14:paraId="6625A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trPr>
        <w:tc>
          <w:tcPr>
            <w:tcW w:w="637" w:type="dxa"/>
            <w:vMerge w:val="continue"/>
            <w:vAlign w:val="center"/>
          </w:tcPr>
          <w:p w14:paraId="6D7BF8C9">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eastAsia" w:ascii="宋体" w:hAnsi="宋体" w:eastAsia="宋体" w:cs="宋体"/>
                <w:sz w:val="21"/>
                <w:szCs w:val="21"/>
                <w:vertAlign w:val="baseline"/>
                <w:lang w:val="en-US" w:eastAsia="zh-CN"/>
              </w:rPr>
            </w:pPr>
          </w:p>
        </w:tc>
        <w:tc>
          <w:tcPr>
            <w:tcW w:w="881" w:type="dxa"/>
            <w:vAlign w:val="center"/>
          </w:tcPr>
          <w:p w14:paraId="0EE24A87">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w:t>
            </w:r>
          </w:p>
        </w:tc>
        <w:tc>
          <w:tcPr>
            <w:tcW w:w="1608" w:type="dxa"/>
            <w:vAlign w:val="center"/>
          </w:tcPr>
          <w:p w14:paraId="7673B24E">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无菌医用激光光纤</w:t>
            </w:r>
          </w:p>
        </w:tc>
        <w:tc>
          <w:tcPr>
            <w:tcW w:w="757" w:type="dxa"/>
            <w:vAlign w:val="center"/>
          </w:tcPr>
          <w:p w14:paraId="527C3AD9">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ind w:left="0" w:leftChars="0" w:firstLine="0" w:firstLineChars="0"/>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根</w:t>
            </w:r>
          </w:p>
        </w:tc>
        <w:tc>
          <w:tcPr>
            <w:tcW w:w="862" w:type="dxa"/>
            <w:vAlign w:val="center"/>
          </w:tcPr>
          <w:p w14:paraId="34005D0B">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w:t>
            </w:r>
          </w:p>
        </w:tc>
        <w:tc>
          <w:tcPr>
            <w:tcW w:w="1242" w:type="dxa"/>
            <w:vAlign w:val="center"/>
          </w:tcPr>
          <w:p w14:paraId="4A762726">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7500</w:t>
            </w:r>
          </w:p>
        </w:tc>
        <w:tc>
          <w:tcPr>
            <w:tcW w:w="982" w:type="dxa"/>
            <w:vAlign w:val="center"/>
          </w:tcPr>
          <w:p w14:paraId="1BF32E22">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自筹</w:t>
            </w:r>
          </w:p>
        </w:tc>
        <w:tc>
          <w:tcPr>
            <w:tcW w:w="1110" w:type="dxa"/>
            <w:vAlign w:val="center"/>
          </w:tcPr>
          <w:p w14:paraId="107A7339">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w:t>
            </w:r>
          </w:p>
        </w:tc>
        <w:tc>
          <w:tcPr>
            <w:tcW w:w="996" w:type="dxa"/>
            <w:vAlign w:val="center"/>
          </w:tcPr>
          <w:p w14:paraId="67D5F680">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三个月</w:t>
            </w:r>
          </w:p>
        </w:tc>
      </w:tr>
      <w:tr w14:paraId="57AF1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trPr>
        <w:tc>
          <w:tcPr>
            <w:tcW w:w="637" w:type="dxa"/>
            <w:vMerge w:val="restart"/>
            <w:vAlign w:val="center"/>
          </w:tcPr>
          <w:p w14:paraId="2BC34505">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c>
          <w:tcPr>
            <w:tcW w:w="881" w:type="dxa"/>
            <w:vAlign w:val="center"/>
          </w:tcPr>
          <w:p w14:paraId="30A01D8C">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1608" w:type="dxa"/>
            <w:vAlign w:val="center"/>
          </w:tcPr>
          <w:p w14:paraId="3737DDDD">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一次性使用无菌激光光纤</w:t>
            </w:r>
          </w:p>
        </w:tc>
        <w:tc>
          <w:tcPr>
            <w:tcW w:w="757" w:type="dxa"/>
            <w:vAlign w:val="center"/>
          </w:tcPr>
          <w:p w14:paraId="5970AF67">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ind w:left="0" w:leftChars="0" w:firstLine="0" w:firstLineChars="0"/>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根</w:t>
            </w:r>
          </w:p>
        </w:tc>
        <w:tc>
          <w:tcPr>
            <w:tcW w:w="862" w:type="dxa"/>
            <w:vAlign w:val="center"/>
          </w:tcPr>
          <w:p w14:paraId="49BEED4E">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w:t>
            </w:r>
          </w:p>
        </w:tc>
        <w:tc>
          <w:tcPr>
            <w:tcW w:w="1242" w:type="dxa"/>
            <w:vAlign w:val="center"/>
          </w:tcPr>
          <w:p w14:paraId="34E8D922">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7900</w:t>
            </w:r>
          </w:p>
        </w:tc>
        <w:tc>
          <w:tcPr>
            <w:tcW w:w="982" w:type="dxa"/>
            <w:vAlign w:val="center"/>
          </w:tcPr>
          <w:p w14:paraId="61B7E237">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自筹</w:t>
            </w:r>
          </w:p>
        </w:tc>
        <w:tc>
          <w:tcPr>
            <w:tcW w:w="1110" w:type="dxa"/>
            <w:vAlign w:val="center"/>
          </w:tcPr>
          <w:p w14:paraId="142DBF86">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w:t>
            </w:r>
          </w:p>
        </w:tc>
        <w:tc>
          <w:tcPr>
            <w:tcW w:w="996" w:type="dxa"/>
            <w:vAlign w:val="center"/>
          </w:tcPr>
          <w:p w14:paraId="75B14813">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三个月</w:t>
            </w:r>
          </w:p>
        </w:tc>
      </w:tr>
      <w:tr w14:paraId="60A2C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637" w:type="dxa"/>
            <w:vMerge w:val="continue"/>
            <w:vAlign w:val="center"/>
          </w:tcPr>
          <w:p w14:paraId="716B38E1">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eastAsia" w:ascii="宋体" w:hAnsi="宋体" w:eastAsia="宋体" w:cs="宋体"/>
                <w:sz w:val="21"/>
                <w:szCs w:val="21"/>
                <w:vertAlign w:val="baseline"/>
                <w:lang w:val="en-US" w:eastAsia="zh-CN"/>
              </w:rPr>
            </w:pPr>
          </w:p>
        </w:tc>
        <w:tc>
          <w:tcPr>
            <w:tcW w:w="881" w:type="dxa"/>
            <w:vAlign w:val="center"/>
          </w:tcPr>
          <w:p w14:paraId="4072D1B6">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c>
          <w:tcPr>
            <w:tcW w:w="1608" w:type="dxa"/>
            <w:vAlign w:val="center"/>
          </w:tcPr>
          <w:p w14:paraId="3596E733">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光纤保护鞘</w:t>
            </w:r>
          </w:p>
        </w:tc>
        <w:tc>
          <w:tcPr>
            <w:tcW w:w="757" w:type="dxa"/>
            <w:vAlign w:val="center"/>
          </w:tcPr>
          <w:p w14:paraId="68875962">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ind w:left="0" w:leftChars="0" w:firstLine="0" w:firstLineChars="0"/>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个</w:t>
            </w:r>
          </w:p>
        </w:tc>
        <w:tc>
          <w:tcPr>
            <w:tcW w:w="862" w:type="dxa"/>
            <w:vAlign w:val="center"/>
          </w:tcPr>
          <w:p w14:paraId="614B7C93">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w:t>
            </w:r>
          </w:p>
        </w:tc>
        <w:tc>
          <w:tcPr>
            <w:tcW w:w="1242" w:type="dxa"/>
            <w:vAlign w:val="center"/>
          </w:tcPr>
          <w:p w14:paraId="63E89C3C">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6700</w:t>
            </w:r>
          </w:p>
        </w:tc>
        <w:tc>
          <w:tcPr>
            <w:tcW w:w="982" w:type="dxa"/>
            <w:vAlign w:val="center"/>
          </w:tcPr>
          <w:p w14:paraId="7DDD2BBD">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自筹</w:t>
            </w:r>
          </w:p>
        </w:tc>
        <w:tc>
          <w:tcPr>
            <w:tcW w:w="1110" w:type="dxa"/>
            <w:vAlign w:val="center"/>
          </w:tcPr>
          <w:p w14:paraId="0A71B861">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w:t>
            </w:r>
          </w:p>
        </w:tc>
        <w:tc>
          <w:tcPr>
            <w:tcW w:w="996" w:type="dxa"/>
            <w:vAlign w:val="center"/>
          </w:tcPr>
          <w:p w14:paraId="335E407C">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三个月</w:t>
            </w:r>
          </w:p>
        </w:tc>
      </w:tr>
      <w:tr w14:paraId="752D9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518" w:type="dxa"/>
            <w:gridSpan w:val="2"/>
            <w:vAlign w:val="center"/>
          </w:tcPr>
          <w:p w14:paraId="3BE1C85D">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备注</w:t>
            </w:r>
          </w:p>
        </w:tc>
        <w:tc>
          <w:tcPr>
            <w:tcW w:w="7557" w:type="dxa"/>
            <w:gridSpan w:val="7"/>
            <w:vAlign w:val="center"/>
          </w:tcPr>
          <w:p w14:paraId="4E2287E6">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年预算48万元，实际费用据实结算。</w:t>
            </w:r>
          </w:p>
        </w:tc>
      </w:tr>
    </w:tbl>
    <w:p w14:paraId="01D0A679">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2" w:firstLineChars="200"/>
        <w:jc w:val="both"/>
        <w:textAlignment w:val="auto"/>
        <w:rPr>
          <w:rFonts w:hint="eastAsia" w:ascii="宋体" w:hAnsi="宋体" w:cs="宋体"/>
          <w:b/>
          <w:bCs/>
          <w:color w:val="auto"/>
          <w:kern w:val="2"/>
          <w:sz w:val="21"/>
          <w:szCs w:val="24"/>
          <w:highlight w:val="none"/>
          <w:lang w:val="en-US" w:eastAsia="zh-CN" w:bidi="ar-SA"/>
        </w:rPr>
      </w:pPr>
      <w:r>
        <w:rPr>
          <w:rFonts w:hint="eastAsia" w:ascii="宋体" w:hAnsi="宋体" w:cs="宋体"/>
          <w:b/>
          <w:bCs/>
          <w:color w:val="auto"/>
          <w:kern w:val="2"/>
          <w:sz w:val="21"/>
          <w:szCs w:val="24"/>
          <w:highlight w:val="none"/>
          <w:lang w:val="en-US" w:eastAsia="zh-CN" w:bidi="ar-SA"/>
        </w:rPr>
        <w:t>三、技术要求：</w:t>
      </w:r>
    </w:p>
    <w:p w14:paraId="53A56B81">
      <w:pPr>
        <w:spacing w:line="360" w:lineRule="auto"/>
        <w:jc w:val="left"/>
        <w:rPr>
          <w:rFonts w:hint="eastAsia" w:ascii="宋体" w:hAnsi="宋体" w:eastAsia="宋体" w:cs="宋体"/>
          <w:sz w:val="21"/>
          <w:szCs w:val="21"/>
          <w:lang w:val="en-US" w:eastAsia="zh-CN"/>
        </w:rPr>
      </w:pPr>
      <w:r>
        <w:rPr>
          <w:rFonts w:hint="eastAsia" w:ascii="宋体" w:hAnsi="宋体" w:eastAsia="宋体" w:cs="宋体"/>
          <w:i w:val="0"/>
          <w:iCs/>
          <w:sz w:val="21"/>
          <w:szCs w:val="21"/>
          <w:u w:val="none"/>
          <w:lang w:val="en-US" w:eastAsia="zh-CN"/>
        </w:rPr>
        <w:t>1、参数要求</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4"/>
        <w:gridCol w:w="2175"/>
        <w:gridCol w:w="3843"/>
        <w:gridCol w:w="2217"/>
      </w:tblGrid>
      <w:tr w14:paraId="19AA7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644" w:type="dxa"/>
            <w:vAlign w:val="center"/>
          </w:tcPr>
          <w:p w14:paraId="0B2BDF37">
            <w:pPr>
              <w:spacing w:line="360" w:lineRule="auto"/>
              <w:jc w:val="center"/>
              <w:rPr>
                <w:rFonts w:hint="eastAsia" w:ascii="宋体" w:hAnsi="宋体" w:eastAsia="宋体" w:cs="宋体"/>
                <w:i w:val="0"/>
                <w:iCs/>
                <w:sz w:val="21"/>
                <w:szCs w:val="21"/>
                <w:u w:val="none"/>
                <w:lang w:val="en-US" w:eastAsia="zh-CN"/>
              </w:rPr>
            </w:pPr>
            <w:r>
              <w:rPr>
                <w:rFonts w:hint="eastAsia" w:ascii="宋体" w:hAnsi="宋体" w:eastAsia="宋体" w:cs="宋体"/>
                <w:i w:val="0"/>
                <w:iCs/>
                <w:sz w:val="21"/>
                <w:szCs w:val="21"/>
                <w:u w:val="none"/>
                <w:lang w:val="en-US" w:eastAsia="zh-CN"/>
              </w:rPr>
              <w:t>序号</w:t>
            </w:r>
          </w:p>
        </w:tc>
        <w:tc>
          <w:tcPr>
            <w:tcW w:w="2175" w:type="dxa"/>
            <w:vAlign w:val="center"/>
          </w:tcPr>
          <w:p w14:paraId="2C2B9FE6">
            <w:pPr>
              <w:spacing w:line="360" w:lineRule="auto"/>
              <w:jc w:val="center"/>
              <w:rPr>
                <w:rFonts w:hint="eastAsia" w:ascii="宋体" w:hAnsi="宋体" w:eastAsia="宋体" w:cs="宋体"/>
                <w:i w:val="0"/>
                <w:iCs/>
                <w:sz w:val="21"/>
                <w:szCs w:val="21"/>
                <w:u w:val="none"/>
                <w:lang w:val="en-US" w:eastAsia="zh-CN"/>
              </w:rPr>
            </w:pPr>
            <w:r>
              <w:rPr>
                <w:rFonts w:hint="eastAsia" w:ascii="宋体" w:hAnsi="宋体" w:eastAsia="宋体" w:cs="宋体"/>
                <w:i w:val="0"/>
                <w:iCs/>
                <w:sz w:val="21"/>
                <w:szCs w:val="21"/>
                <w:u w:val="none"/>
                <w:lang w:val="en-US" w:eastAsia="zh-CN"/>
              </w:rPr>
              <w:t>项目</w:t>
            </w:r>
          </w:p>
        </w:tc>
        <w:tc>
          <w:tcPr>
            <w:tcW w:w="3843" w:type="dxa"/>
            <w:vAlign w:val="center"/>
          </w:tcPr>
          <w:p w14:paraId="0890C489">
            <w:pPr>
              <w:spacing w:line="360" w:lineRule="auto"/>
              <w:jc w:val="center"/>
              <w:rPr>
                <w:rFonts w:hint="eastAsia" w:ascii="宋体" w:hAnsi="宋体" w:eastAsia="宋体" w:cs="宋体"/>
                <w:i w:val="0"/>
                <w:iCs/>
                <w:sz w:val="21"/>
                <w:szCs w:val="21"/>
                <w:u w:val="none"/>
                <w:lang w:val="en-US" w:eastAsia="zh-CN"/>
              </w:rPr>
            </w:pPr>
            <w:r>
              <w:rPr>
                <w:rFonts w:hint="eastAsia" w:ascii="宋体" w:hAnsi="宋体" w:eastAsia="宋体" w:cs="宋体"/>
                <w:i w:val="0"/>
                <w:iCs/>
                <w:sz w:val="21"/>
                <w:szCs w:val="21"/>
                <w:u w:val="none"/>
                <w:lang w:val="en-US" w:eastAsia="zh-CN"/>
              </w:rPr>
              <w:t>技术参数要求</w:t>
            </w:r>
          </w:p>
        </w:tc>
        <w:tc>
          <w:tcPr>
            <w:tcW w:w="2217" w:type="dxa"/>
            <w:vAlign w:val="center"/>
          </w:tcPr>
          <w:p w14:paraId="17A26894">
            <w:pPr>
              <w:spacing w:line="360" w:lineRule="auto"/>
              <w:jc w:val="center"/>
              <w:rPr>
                <w:rFonts w:hint="eastAsia" w:ascii="宋体" w:hAnsi="宋体" w:eastAsia="宋体" w:cs="宋体"/>
                <w:i w:val="0"/>
                <w:iCs/>
                <w:sz w:val="21"/>
                <w:szCs w:val="21"/>
                <w:u w:val="none"/>
                <w:lang w:val="en-US" w:eastAsia="zh-CN"/>
              </w:rPr>
            </w:pPr>
            <w:r>
              <w:rPr>
                <w:rFonts w:hint="eastAsia" w:ascii="宋体" w:hAnsi="宋体" w:eastAsia="宋体" w:cs="宋体"/>
                <w:i w:val="0"/>
                <w:iCs/>
                <w:sz w:val="21"/>
                <w:szCs w:val="21"/>
                <w:u w:val="none"/>
                <w:lang w:val="en-US" w:eastAsia="zh-CN"/>
              </w:rPr>
              <w:t>备注</w:t>
            </w:r>
          </w:p>
        </w:tc>
      </w:tr>
      <w:tr w14:paraId="2001F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644" w:type="dxa"/>
            <w:vAlign w:val="center"/>
          </w:tcPr>
          <w:p w14:paraId="33C13BA6">
            <w:pPr>
              <w:spacing w:line="360" w:lineRule="auto"/>
              <w:jc w:val="center"/>
              <w:rPr>
                <w:rFonts w:hint="eastAsia" w:ascii="宋体" w:hAnsi="宋体" w:eastAsia="宋体" w:cs="宋体"/>
                <w:i w:val="0"/>
                <w:iCs/>
                <w:sz w:val="21"/>
                <w:szCs w:val="21"/>
                <w:u w:val="none"/>
                <w:lang w:val="en-US" w:eastAsia="zh-CN"/>
              </w:rPr>
            </w:pPr>
            <w:r>
              <w:rPr>
                <w:rFonts w:hint="eastAsia" w:ascii="宋体" w:hAnsi="宋体" w:eastAsia="宋体" w:cs="宋体"/>
                <w:i w:val="0"/>
                <w:iCs/>
                <w:sz w:val="21"/>
                <w:szCs w:val="21"/>
                <w:u w:val="none"/>
                <w:lang w:val="en-US" w:eastAsia="zh-CN"/>
              </w:rPr>
              <w:t>1</w:t>
            </w:r>
          </w:p>
        </w:tc>
        <w:tc>
          <w:tcPr>
            <w:tcW w:w="2175" w:type="dxa"/>
            <w:vAlign w:val="center"/>
          </w:tcPr>
          <w:p w14:paraId="2B7E2D8A">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ind w:left="0" w:leftChars="0" w:firstLine="0" w:firstLineChars="0"/>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无菌医用激光光纤</w:t>
            </w:r>
          </w:p>
        </w:tc>
        <w:tc>
          <w:tcPr>
            <w:tcW w:w="3843" w:type="dxa"/>
            <w:vAlign w:val="center"/>
          </w:tcPr>
          <w:p w14:paraId="5AD6C3A7">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200、365、550</w:t>
            </w:r>
          </w:p>
        </w:tc>
        <w:tc>
          <w:tcPr>
            <w:tcW w:w="2217" w:type="dxa"/>
            <w:vAlign w:val="center"/>
          </w:tcPr>
          <w:p w14:paraId="44FC343F">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科医人钬激光专用</w:t>
            </w:r>
          </w:p>
        </w:tc>
      </w:tr>
      <w:tr w14:paraId="725B0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4" w:type="dxa"/>
            <w:vAlign w:val="center"/>
          </w:tcPr>
          <w:p w14:paraId="75F0F0A8">
            <w:pPr>
              <w:spacing w:line="360" w:lineRule="auto"/>
              <w:jc w:val="center"/>
              <w:rPr>
                <w:rFonts w:hint="eastAsia" w:ascii="宋体" w:hAnsi="宋体" w:eastAsia="宋体" w:cs="宋体"/>
                <w:i w:val="0"/>
                <w:iCs/>
                <w:sz w:val="21"/>
                <w:szCs w:val="21"/>
                <w:u w:val="none"/>
                <w:lang w:val="en-US" w:eastAsia="zh-CN"/>
              </w:rPr>
            </w:pPr>
            <w:r>
              <w:rPr>
                <w:rFonts w:hint="eastAsia" w:ascii="宋体" w:hAnsi="宋体" w:eastAsia="宋体" w:cs="宋体"/>
                <w:i w:val="0"/>
                <w:iCs/>
                <w:sz w:val="21"/>
                <w:szCs w:val="21"/>
                <w:u w:val="none"/>
                <w:lang w:val="en-US" w:eastAsia="zh-CN"/>
              </w:rPr>
              <w:t>2</w:t>
            </w:r>
          </w:p>
        </w:tc>
        <w:tc>
          <w:tcPr>
            <w:tcW w:w="2175" w:type="dxa"/>
            <w:vAlign w:val="center"/>
          </w:tcPr>
          <w:p w14:paraId="1B82C009">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ind w:left="0" w:leftChars="0" w:firstLine="0" w:firstLineChars="0"/>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光纤保护鞘</w:t>
            </w:r>
          </w:p>
        </w:tc>
        <w:tc>
          <w:tcPr>
            <w:tcW w:w="3843" w:type="dxa"/>
            <w:vAlign w:val="center"/>
          </w:tcPr>
          <w:p w14:paraId="070B1B32">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能量透过率99.5%</w:t>
            </w:r>
          </w:p>
        </w:tc>
        <w:tc>
          <w:tcPr>
            <w:tcW w:w="2217" w:type="dxa"/>
            <w:vAlign w:val="center"/>
          </w:tcPr>
          <w:p w14:paraId="123971B9">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科医人钬激光专用</w:t>
            </w:r>
          </w:p>
        </w:tc>
      </w:tr>
      <w:tr w14:paraId="21DD3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4" w:type="dxa"/>
            <w:vAlign w:val="center"/>
          </w:tcPr>
          <w:p w14:paraId="04D20A03">
            <w:pPr>
              <w:spacing w:line="360" w:lineRule="auto"/>
              <w:jc w:val="center"/>
              <w:rPr>
                <w:rFonts w:hint="eastAsia" w:ascii="宋体" w:hAnsi="宋体" w:eastAsia="宋体" w:cs="宋体"/>
                <w:i w:val="0"/>
                <w:iCs/>
                <w:sz w:val="21"/>
                <w:szCs w:val="21"/>
                <w:u w:val="none"/>
                <w:lang w:val="en-US" w:eastAsia="zh-CN"/>
              </w:rPr>
            </w:pPr>
            <w:r>
              <w:rPr>
                <w:rFonts w:hint="eastAsia" w:ascii="宋体" w:hAnsi="宋体" w:eastAsia="宋体" w:cs="宋体"/>
                <w:i w:val="0"/>
                <w:iCs/>
                <w:sz w:val="21"/>
                <w:szCs w:val="21"/>
                <w:u w:val="none"/>
                <w:lang w:val="en-US" w:eastAsia="zh-CN"/>
              </w:rPr>
              <w:t>3</w:t>
            </w:r>
          </w:p>
        </w:tc>
        <w:tc>
          <w:tcPr>
            <w:tcW w:w="2175" w:type="dxa"/>
            <w:vAlign w:val="center"/>
          </w:tcPr>
          <w:p w14:paraId="1B267379">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ind w:left="0" w:leftChars="0" w:firstLine="0" w:firstLineChars="0"/>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无菌医用激光光纤</w:t>
            </w:r>
          </w:p>
        </w:tc>
        <w:tc>
          <w:tcPr>
            <w:tcW w:w="3843" w:type="dxa"/>
            <w:vAlign w:val="top"/>
          </w:tcPr>
          <w:p w14:paraId="2B64FB34">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200、275、365、550</w:t>
            </w:r>
          </w:p>
        </w:tc>
        <w:tc>
          <w:tcPr>
            <w:tcW w:w="2217" w:type="dxa"/>
            <w:vAlign w:val="center"/>
          </w:tcPr>
          <w:p w14:paraId="7F6D6479">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安徽航天钬激光专用</w:t>
            </w:r>
          </w:p>
        </w:tc>
      </w:tr>
      <w:tr w14:paraId="08590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4" w:type="dxa"/>
            <w:vAlign w:val="center"/>
          </w:tcPr>
          <w:p w14:paraId="38DBA586">
            <w:pPr>
              <w:spacing w:line="360" w:lineRule="auto"/>
              <w:jc w:val="center"/>
              <w:rPr>
                <w:rFonts w:hint="eastAsia" w:ascii="宋体" w:hAnsi="宋体" w:eastAsia="宋体" w:cs="宋体"/>
                <w:i w:val="0"/>
                <w:iCs/>
                <w:sz w:val="21"/>
                <w:szCs w:val="21"/>
                <w:u w:val="none"/>
                <w:lang w:val="en-US" w:eastAsia="zh-CN"/>
              </w:rPr>
            </w:pPr>
            <w:r>
              <w:rPr>
                <w:rFonts w:hint="eastAsia" w:ascii="宋体" w:hAnsi="宋体" w:eastAsia="宋体" w:cs="宋体"/>
                <w:i w:val="0"/>
                <w:iCs/>
                <w:sz w:val="21"/>
                <w:szCs w:val="21"/>
                <w:u w:val="none"/>
                <w:lang w:val="en-US" w:eastAsia="zh-CN"/>
              </w:rPr>
              <w:t>4</w:t>
            </w:r>
          </w:p>
        </w:tc>
        <w:tc>
          <w:tcPr>
            <w:tcW w:w="2175" w:type="dxa"/>
            <w:vAlign w:val="center"/>
          </w:tcPr>
          <w:p w14:paraId="4432CAA1">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ind w:left="0" w:leftChars="0" w:firstLine="0" w:firstLineChars="0"/>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一次性使用无菌激光光纤</w:t>
            </w:r>
          </w:p>
        </w:tc>
        <w:tc>
          <w:tcPr>
            <w:tcW w:w="3843" w:type="dxa"/>
            <w:vAlign w:val="center"/>
          </w:tcPr>
          <w:p w14:paraId="046E6A44">
            <w:pPr>
              <w:pStyle w:val="88"/>
              <w:numPr>
                <w:ilvl w:val="0"/>
                <w:numId w:val="0"/>
              </w:numPr>
              <w:spacing w:line="360" w:lineRule="auto"/>
              <w:ind w:leftChars="0"/>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适用波长:2100nm</w:t>
            </w:r>
          </w:p>
          <w:p w14:paraId="7E14FD2C">
            <w:pPr>
              <w:pStyle w:val="88"/>
              <w:numPr>
                <w:ilvl w:val="0"/>
                <w:numId w:val="0"/>
              </w:numPr>
              <w:spacing w:line="360" w:lineRule="auto"/>
              <w:ind w:leftChars="0"/>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最低传输效率:≥80％</w:t>
            </w:r>
          </w:p>
          <w:p w14:paraId="32B785CE">
            <w:pPr>
              <w:pStyle w:val="88"/>
              <w:numPr>
                <w:ilvl w:val="0"/>
                <w:numId w:val="0"/>
              </w:numPr>
              <w:spacing w:line="360" w:lineRule="auto"/>
              <w:ind w:leftChars="0"/>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抗拉强度:5N</w:t>
            </w:r>
          </w:p>
          <w:p w14:paraId="2870AF71">
            <w:pPr>
              <w:pStyle w:val="88"/>
              <w:numPr>
                <w:ilvl w:val="0"/>
                <w:numId w:val="0"/>
              </w:numPr>
              <w:spacing w:line="360" w:lineRule="auto"/>
              <w:ind w:leftChars="0"/>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最小弯曲工作半径:9cm</w:t>
            </w:r>
          </w:p>
          <w:p w14:paraId="78CC90E3">
            <w:pPr>
              <w:pStyle w:val="88"/>
              <w:numPr>
                <w:ilvl w:val="0"/>
                <w:numId w:val="0"/>
              </w:numPr>
              <w:spacing w:line="360" w:lineRule="auto"/>
              <w:ind w:leftChars="0"/>
              <w:jc w:val="center"/>
              <w:rPr>
                <w:rFonts w:hint="eastAsia" w:ascii="宋体" w:hAnsi="宋体" w:eastAsia="宋体" w:cs="宋体"/>
                <w:i w:val="0"/>
                <w:iCs/>
                <w:sz w:val="21"/>
                <w:szCs w:val="21"/>
                <w:u w:val="none"/>
                <w:lang w:val="en-US" w:eastAsia="zh-CN"/>
              </w:rPr>
            </w:pPr>
            <w:r>
              <w:rPr>
                <w:rFonts w:hint="eastAsia" w:ascii="宋体" w:hAnsi="宋体" w:eastAsia="宋体" w:cs="宋体"/>
                <w:kern w:val="2"/>
                <w:sz w:val="21"/>
                <w:szCs w:val="21"/>
                <w:vertAlign w:val="baseline"/>
                <w:lang w:val="en-US" w:eastAsia="zh-CN" w:bidi="ar-SA"/>
              </w:rPr>
              <w:t>长度:3m</w:t>
            </w:r>
          </w:p>
        </w:tc>
        <w:tc>
          <w:tcPr>
            <w:tcW w:w="2217" w:type="dxa"/>
            <w:vAlign w:val="center"/>
          </w:tcPr>
          <w:p w14:paraId="0BC390F6">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EMS钬激光专用</w:t>
            </w:r>
          </w:p>
        </w:tc>
      </w:tr>
      <w:tr w14:paraId="0C01E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jc w:val="center"/>
        </w:trPr>
        <w:tc>
          <w:tcPr>
            <w:tcW w:w="644" w:type="dxa"/>
            <w:vAlign w:val="center"/>
          </w:tcPr>
          <w:p w14:paraId="327C2136">
            <w:pPr>
              <w:spacing w:line="360" w:lineRule="auto"/>
              <w:jc w:val="center"/>
              <w:rPr>
                <w:rFonts w:hint="eastAsia" w:ascii="宋体" w:hAnsi="宋体" w:eastAsia="宋体" w:cs="宋体"/>
                <w:i w:val="0"/>
                <w:iCs/>
                <w:sz w:val="21"/>
                <w:szCs w:val="21"/>
                <w:u w:val="none"/>
                <w:lang w:val="en-US" w:eastAsia="zh-CN"/>
              </w:rPr>
            </w:pPr>
            <w:r>
              <w:rPr>
                <w:rFonts w:hint="eastAsia" w:ascii="宋体" w:hAnsi="宋体" w:eastAsia="宋体" w:cs="宋体"/>
                <w:i w:val="0"/>
                <w:iCs/>
                <w:sz w:val="21"/>
                <w:szCs w:val="21"/>
                <w:u w:val="none"/>
                <w:lang w:val="en-US" w:eastAsia="zh-CN"/>
              </w:rPr>
              <w:t>5</w:t>
            </w:r>
          </w:p>
        </w:tc>
        <w:tc>
          <w:tcPr>
            <w:tcW w:w="2175" w:type="dxa"/>
            <w:vAlign w:val="center"/>
          </w:tcPr>
          <w:p w14:paraId="52D8A10C">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ind w:left="0" w:leftChars="0" w:firstLine="0" w:firstLineChars="0"/>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光纤保护鞘</w:t>
            </w:r>
          </w:p>
        </w:tc>
        <w:tc>
          <w:tcPr>
            <w:tcW w:w="3843" w:type="dxa"/>
            <w:vAlign w:val="center"/>
          </w:tcPr>
          <w:p w14:paraId="7258560F">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适用波长:2.1um</w:t>
            </w:r>
          </w:p>
          <w:p w14:paraId="725B9C14">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ind w:left="0" w:leftChars="0" w:firstLine="0" w:firstLineChars="0"/>
              <w:jc w:val="center"/>
              <w:textAlignment w:val="auto"/>
              <w:rPr>
                <w:rFonts w:hint="eastAsia" w:ascii="宋体" w:hAnsi="宋体" w:eastAsia="宋体" w:cs="宋体"/>
                <w:i w:val="0"/>
                <w:iCs/>
                <w:sz w:val="21"/>
                <w:szCs w:val="21"/>
                <w:u w:val="none"/>
                <w:lang w:val="en-US" w:eastAsia="zh-CN"/>
              </w:rPr>
            </w:pPr>
            <w:r>
              <w:rPr>
                <w:rFonts w:hint="eastAsia" w:ascii="宋体" w:hAnsi="宋体" w:eastAsia="宋体" w:cs="宋体"/>
                <w:sz w:val="21"/>
                <w:szCs w:val="21"/>
                <w:vertAlign w:val="baseline"/>
                <w:lang w:val="en-US" w:eastAsia="zh-CN"/>
              </w:rPr>
              <w:t>适用脉冲宽度:短脉冲 100-500us 长脉冲 100-800us</w:t>
            </w:r>
          </w:p>
        </w:tc>
        <w:tc>
          <w:tcPr>
            <w:tcW w:w="2217" w:type="dxa"/>
            <w:vAlign w:val="center"/>
          </w:tcPr>
          <w:p w14:paraId="51F879E2">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EMS钬激光专用</w:t>
            </w:r>
          </w:p>
        </w:tc>
      </w:tr>
    </w:tbl>
    <w:p w14:paraId="3CDFC201">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rPr>
      </w:pPr>
    </w:p>
    <w:p w14:paraId="0E18012F">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360" w:lineRule="auto"/>
        <w:ind w:firstLine="210" w:firstLineChars="100"/>
        <w:jc w:val="left"/>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lang w:val="zh-CN"/>
        </w:rPr>
        <w:t>所供产品的医疗器械质量应符合国家有关法律、法规，以及行业质量标淮的要求，医疗器械应随货附当批次质量检验报告：进口商品须符合进口医疗器械管理办法，且随货应附报关单和合格证明文件。</w:t>
      </w:r>
    </w:p>
    <w:p w14:paraId="384F7D76">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360" w:lineRule="auto"/>
        <w:ind w:firstLine="210" w:firstLineChars="100"/>
        <w:jc w:val="left"/>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lang w:val="zh-CN"/>
        </w:rPr>
        <w:t>医疗器械的包装应符合国家有关标准或行业标淮，并保证适合运输、储存。</w:t>
      </w:r>
    </w:p>
    <w:p w14:paraId="676EFA61">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360" w:lineRule="auto"/>
        <w:ind w:firstLine="210" w:firstLineChars="100"/>
        <w:jc w:val="left"/>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lang w:val="zh-CN"/>
        </w:rPr>
        <w:t>提供的</w:t>
      </w:r>
      <w:r>
        <w:rPr>
          <w:rFonts w:hint="eastAsia" w:ascii="宋体" w:hAnsi="宋体" w:eastAsia="宋体" w:cs="宋体"/>
          <w:color w:val="auto"/>
          <w:kern w:val="0"/>
          <w:sz w:val="21"/>
          <w:szCs w:val="21"/>
          <w:highlight w:val="none"/>
          <w:lang w:val="en-US" w:eastAsia="zh-CN"/>
        </w:rPr>
        <w:t>器械</w:t>
      </w:r>
      <w:r>
        <w:rPr>
          <w:rFonts w:hint="eastAsia" w:ascii="宋体" w:hAnsi="宋体" w:eastAsia="宋体" w:cs="宋体"/>
          <w:color w:val="auto"/>
          <w:kern w:val="0"/>
          <w:sz w:val="21"/>
          <w:szCs w:val="21"/>
          <w:highlight w:val="none"/>
          <w:lang w:val="zh-CN"/>
        </w:rPr>
        <w:t>必须是合格出厂的全新（含零部件、配件等）产品，全部外观表面无划伤、无碰撞痕迹，产品所有权及自身涉及的各项知识产权权属清楚，不得存在侵害他人知识产权和其他权益的情形。</w:t>
      </w:r>
    </w:p>
    <w:p w14:paraId="2927CF5F">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360" w:lineRule="auto"/>
        <w:ind w:firstLine="210" w:firstLineChars="100"/>
        <w:jc w:val="left"/>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en-US" w:eastAsia="zh-CN"/>
        </w:rPr>
        <w:t>5、器械</w:t>
      </w:r>
      <w:r>
        <w:rPr>
          <w:rFonts w:hint="eastAsia" w:ascii="宋体" w:hAnsi="宋体" w:eastAsia="宋体" w:cs="宋体"/>
          <w:color w:val="auto"/>
          <w:kern w:val="0"/>
          <w:sz w:val="21"/>
          <w:szCs w:val="21"/>
          <w:highlight w:val="none"/>
          <w:lang w:val="zh-CN"/>
        </w:rPr>
        <w:t>出厂时必须符合或优于国家(没有国标时，以行标）新标准，同时符合本项目招标文件确定的各项质量要求和技术指标及出厂标准。</w:t>
      </w:r>
    </w:p>
    <w:p w14:paraId="0960710D">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360" w:lineRule="auto"/>
        <w:ind w:firstLine="210" w:firstLineChars="100"/>
        <w:jc w:val="left"/>
        <w:textAlignment w:val="auto"/>
        <w:rPr>
          <w:rFonts w:hint="eastAsia"/>
          <w:lang w:val="zh-CN"/>
        </w:rPr>
      </w:pPr>
      <w:r>
        <w:rPr>
          <w:rFonts w:hint="eastAsia" w:ascii="宋体" w:hAnsi="宋体" w:eastAsia="宋体" w:cs="宋体"/>
          <w:color w:val="auto"/>
          <w:kern w:val="0"/>
          <w:sz w:val="21"/>
          <w:szCs w:val="21"/>
          <w:highlight w:val="none"/>
          <w:lang w:val="en-US" w:eastAsia="zh-CN"/>
        </w:rPr>
        <w:t>6、器械</w:t>
      </w:r>
      <w:r>
        <w:rPr>
          <w:rFonts w:hint="eastAsia" w:ascii="宋体" w:hAnsi="宋体" w:eastAsia="宋体" w:cs="宋体"/>
          <w:color w:val="auto"/>
          <w:kern w:val="0"/>
          <w:sz w:val="21"/>
          <w:szCs w:val="21"/>
          <w:highlight w:val="none"/>
          <w:lang w:val="zh-CN"/>
        </w:rPr>
        <w:t>的制造质量存在或出现问题时，必须负责三包（包修、包换、包退），有权亲自派员或委托第三方到生产或仓储现场查验标的物质量或生产进度。</w:t>
      </w:r>
    </w:p>
    <w:p w14:paraId="6D6D7356">
      <w:pPr>
        <w:pStyle w:val="15"/>
        <w:keepNext w:val="0"/>
        <w:keepLines w:val="0"/>
        <w:pageBreakBefore w:val="0"/>
        <w:widowControl/>
        <w:kinsoku/>
        <w:wordWrap/>
        <w:overflowPunct/>
        <w:topLinePunct w:val="0"/>
        <w:autoSpaceDE/>
        <w:autoSpaceDN/>
        <w:bidi w:val="0"/>
        <w:adjustRightInd/>
        <w:snapToGrid w:val="0"/>
        <w:spacing w:before="161" w:beforeLines="50" w:beforeAutospacing="0" w:after="161" w:afterLines="50" w:afterAutospacing="0" w:line="240" w:lineRule="auto"/>
        <w:jc w:val="center"/>
        <w:textAlignment w:val="auto"/>
        <w:rPr>
          <w:rFonts w:hint="eastAsia"/>
          <w:b/>
          <w:bCs/>
          <w:color w:val="auto"/>
          <w:sz w:val="30"/>
          <w:szCs w:val="30"/>
          <w:highlight w:val="none"/>
        </w:rPr>
      </w:pPr>
    </w:p>
    <w:p w14:paraId="51255124">
      <w:pPr>
        <w:pStyle w:val="15"/>
        <w:keepNext w:val="0"/>
        <w:keepLines w:val="0"/>
        <w:pageBreakBefore w:val="0"/>
        <w:widowControl/>
        <w:kinsoku/>
        <w:wordWrap/>
        <w:overflowPunct/>
        <w:topLinePunct w:val="0"/>
        <w:autoSpaceDE/>
        <w:autoSpaceDN/>
        <w:bidi w:val="0"/>
        <w:adjustRightInd/>
        <w:snapToGrid w:val="0"/>
        <w:spacing w:before="161" w:beforeLines="50" w:beforeAutospacing="0" w:after="161" w:afterLines="50" w:afterAutospacing="0" w:line="240" w:lineRule="auto"/>
        <w:jc w:val="center"/>
        <w:textAlignment w:val="auto"/>
        <w:rPr>
          <w:b/>
          <w:bCs/>
          <w:color w:val="auto"/>
          <w:sz w:val="30"/>
          <w:szCs w:val="30"/>
          <w:highlight w:val="none"/>
        </w:rPr>
      </w:pPr>
      <w:r>
        <w:rPr>
          <w:rFonts w:hint="eastAsia"/>
          <w:b/>
          <w:bCs/>
          <w:color w:val="auto"/>
          <w:sz w:val="30"/>
          <w:szCs w:val="30"/>
          <w:highlight w:val="none"/>
        </w:rPr>
        <w:t>商务要求</w:t>
      </w:r>
    </w:p>
    <w:tbl>
      <w:tblPr>
        <w:tblStyle w:val="33"/>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14:paraId="24A5EC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05288027">
            <w:pPr>
              <w:pStyle w:val="15"/>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合同签订时间</w:t>
            </w:r>
          </w:p>
        </w:tc>
        <w:tc>
          <w:tcPr>
            <w:tcW w:w="7354" w:type="dxa"/>
            <w:tcBorders>
              <w:top w:val="single" w:color="auto" w:sz="4" w:space="0"/>
              <w:left w:val="single" w:color="auto" w:sz="4" w:space="0"/>
              <w:bottom w:val="single" w:color="auto" w:sz="4" w:space="0"/>
              <w:right w:val="single" w:color="auto" w:sz="4" w:space="0"/>
            </w:tcBorders>
            <w:noWrap/>
            <w:vAlign w:val="center"/>
          </w:tcPr>
          <w:p w14:paraId="5C3AE8F7">
            <w:pPr>
              <w:pStyle w:val="15"/>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自</w:t>
            </w:r>
            <w:r>
              <w:rPr>
                <w:rFonts w:hint="eastAsia" w:cs="宋体"/>
                <w:color w:val="auto"/>
                <w:sz w:val="21"/>
                <w:szCs w:val="21"/>
                <w:highlight w:val="none"/>
                <w:lang w:val="en-US" w:eastAsia="zh-CN"/>
              </w:rPr>
              <w:t>成交通知书</w:t>
            </w:r>
            <w:r>
              <w:rPr>
                <w:rFonts w:hint="eastAsia" w:ascii="宋体" w:hAnsi="宋体" w:eastAsia="宋体" w:cs="宋体"/>
                <w:color w:val="auto"/>
                <w:sz w:val="21"/>
                <w:szCs w:val="21"/>
                <w:highlight w:val="none"/>
                <w:lang w:val="en-US" w:eastAsia="zh-CN"/>
              </w:rPr>
              <w:t>发出之日起三十个日历日内。</w:t>
            </w:r>
          </w:p>
        </w:tc>
      </w:tr>
      <w:tr w14:paraId="5D6FBA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AE6D045">
            <w:pPr>
              <w:pStyle w:val="15"/>
              <w:ind w:left="0" w:leftChars="0"/>
              <w:jc w:val="center"/>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交货地点</w:t>
            </w:r>
          </w:p>
        </w:tc>
        <w:tc>
          <w:tcPr>
            <w:tcW w:w="7354" w:type="dxa"/>
            <w:tcBorders>
              <w:top w:val="single" w:color="auto" w:sz="4" w:space="0"/>
              <w:left w:val="single" w:color="auto" w:sz="4" w:space="0"/>
              <w:bottom w:val="single" w:color="auto" w:sz="4" w:space="0"/>
              <w:right w:val="single" w:color="auto" w:sz="4" w:space="0"/>
            </w:tcBorders>
            <w:noWrap/>
            <w:vAlign w:val="center"/>
          </w:tcPr>
          <w:p w14:paraId="76956822">
            <w:pPr>
              <w:pStyle w:val="15"/>
              <w:ind w:left="0" w:leftChars="0"/>
              <w:jc w:val="left"/>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采购人指定地点。</w:t>
            </w:r>
          </w:p>
        </w:tc>
      </w:tr>
      <w:tr w14:paraId="5A7843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96A5A33">
            <w:pPr>
              <w:pStyle w:val="15"/>
              <w:ind w:left="0" w:leftChars="0"/>
              <w:jc w:val="center"/>
              <w:rPr>
                <w:rFonts w:hint="eastAsia"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交货方法</w:t>
            </w:r>
          </w:p>
        </w:tc>
        <w:tc>
          <w:tcPr>
            <w:tcW w:w="7354" w:type="dxa"/>
            <w:tcBorders>
              <w:top w:val="single" w:color="auto" w:sz="4" w:space="0"/>
              <w:left w:val="single" w:color="auto" w:sz="4" w:space="0"/>
              <w:bottom w:val="single" w:color="auto" w:sz="4" w:space="0"/>
              <w:right w:val="single" w:color="auto" w:sz="4" w:space="0"/>
            </w:tcBorders>
            <w:noWrap/>
            <w:vAlign w:val="center"/>
          </w:tcPr>
          <w:p w14:paraId="2B8AF05E">
            <w:pPr>
              <w:pStyle w:val="15"/>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送货上门，运费由供应商承担。</w:t>
            </w:r>
          </w:p>
        </w:tc>
      </w:tr>
      <w:tr w14:paraId="709A9C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0B9144A1">
            <w:pPr>
              <w:pStyle w:val="15"/>
              <w:ind w:left="0" w:leftChars="0"/>
              <w:jc w:val="center"/>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合同履行期限</w:t>
            </w:r>
          </w:p>
        </w:tc>
        <w:tc>
          <w:tcPr>
            <w:tcW w:w="7354" w:type="dxa"/>
            <w:tcBorders>
              <w:top w:val="single" w:color="auto" w:sz="4" w:space="0"/>
              <w:left w:val="single" w:color="auto" w:sz="4" w:space="0"/>
              <w:bottom w:val="single" w:color="auto" w:sz="4" w:space="0"/>
              <w:right w:val="single" w:color="auto" w:sz="4" w:space="0"/>
            </w:tcBorders>
            <w:noWrap/>
            <w:vAlign w:val="center"/>
          </w:tcPr>
          <w:p w14:paraId="7220733B">
            <w:pPr>
              <w:pStyle w:val="15"/>
              <w:ind w:left="0" w:leftChars="0"/>
              <w:jc w:val="left"/>
              <w:rPr>
                <w:rFonts w:hint="default" w:ascii="宋体" w:hAnsi="宋体" w:cs="宋体"/>
                <w:color w:val="auto"/>
                <w:kern w:val="2"/>
                <w:sz w:val="21"/>
                <w:szCs w:val="24"/>
                <w:highlight w:val="none"/>
                <w:lang w:val="en-US" w:eastAsia="zh-CN" w:bidi="ar-SA"/>
              </w:rPr>
            </w:pPr>
            <w:r>
              <w:rPr>
                <w:rFonts w:hint="eastAsia" w:cs="宋体"/>
                <w:color w:val="auto"/>
                <w:kern w:val="2"/>
                <w:sz w:val="21"/>
                <w:szCs w:val="24"/>
                <w:highlight w:val="none"/>
                <w:lang w:val="en-US" w:eastAsia="zh-CN" w:bidi="ar-SA"/>
              </w:rPr>
              <w:t>一年。</w:t>
            </w:r>
          </w:p>
        </w:tc>
      </w:tr>
      <w:tr w14:paraId="642EEE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24E99CDB">
            <w:pPr>
              <w:pStyle w:val="15"/>
              <w:ind w:left="0" w:leftChars="0"/>
              <w:jc w:val="center"/>
              <w:rPr>
                <w:rFonts w:hint="default" w:cs="宋体"/>
                <w:color w:val="auto"/>
                <w:sz w:val="21"/>
                <w:szCs w:val="21"/>
                <w:highlight w:val="none"/>
                <w:lang w:val="en-US" w:eastAsia="zh-CN"/>
              </w:rPr>
            </w:pPr>
            <w:r>
              <w:rPr>
                <w:rFonts w:hint="eastAsia" w:cs="宋体"/>
                <w:color w:val="auto"/>
                <w:sz w:val="21"/>
                <w:szCs w:val="21"/>
                <w:highlight w:val="none"/>
                <w:lang w:val="en-US" w:eastAsia="zh-CN"/>
              </w:rPr>
              <w:t>质保期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62A74A7E">
            <w:pPr>
              <w:pStyle w:val="15"/>
              <w:ind w:left="0" w:leftChars="0"/>
              <w:jc w:val="left"/>
              <w:rPr>
                <w:rFonts w:hint="default" w:ascii="宋体" w:hAnsi="宋体" w:cs="宋体"/>
                <w:color w:val="auto"/>
                <w:kern w:val="2"/>
                <w:sz w:val="21"/>
                <w:szCs w:val="24"/>
                <w:highlight w:val="none"/>
                <w:lang w:val="en-US" w:eastAsia="zh-CN" w:bidi="ar-SA"/>
              </w:rPr>
            </w:pPr>
            <w:r>
              <w:rPr>
                <w:rFonts w:hint="eastAsia" w:cs="宋体"/>
                <w:sz w:val="21"/>
                <w:szCs w:val="21"/>
                <w:u w:val="none"/>
                <w:vertAlign w:val="baseline"/>
                <w:lang w:val="en-US" w:eastAsia="zh-CN"/>
              </w:rPr>
              <w:t>三个月</w:t>
            </w:r>
          </w:p>
        </w:tc>
      </w:tr>
      <w:tr w14:paraId="3DF8FC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7C02BAF8">
            <w:pPr>
              <w:pStyle w:val="15"/>
              <w:ind w:left="0" w:leftChars="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质量要求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7CDF0702">
            <w:pPr>
              <w:pStyle w:val="15"/>
              <w:ind w:left="0" w:leftChars="0"/>
              <w:jc w:val="left"/>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1"/>
                <w:szCs w:val="18"/>
                <w:highlight w:val="none"/>
                <w:shd w:val="clear" w:color="auto" w:fill="FFFFFF"/>
              </w:rPr>
              <w:t>符合国家有关法律、法规以及行业质量标淮的要求</w:t>
            </w:r>
            <w:r>
              <w:rPr>
                <w:rFonts w:hint="eastAsia" w:cs="宋体"/>
                <w:color w:val="auto"/>
                <w:sz w:val="18"/>
                <w:szCs w:val="18"/>
                <w:highlight w:val="none"/>
                <w:lang w:val="en-US" w:eastAsia="zh-CN"/>
              </w:rPr>
              <w:t>。</w:t>
            </w:r>
          </w:p>
        </w:tc>
      </w:tr>
      <w:tr w14:paraId="4B2D68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0B56B4E3">
            <w:pPr>
              <w:pStyle w:val="15"/>
              <w:ind w:left="0" w:leftChars="0"/>
              <w:jc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rPr>
              <w:t>付款方式</w:t>
            </w:r>
          </w:p>
        </w:tc>
        <w:tc>
          <w:tcPr>
            <w:tcW w:w="7354" w:type="dxa"/>
            <w:tcBorders>
              <w:top w:val="single" w:color="auto" w:sz="4" w:space="0"/>
              <w:left w:val="single" w:color="auto" w:sz="4" w:space="0"/>
              <w:bottom w:val="single" w:color="auto" w:sz="4" w:space="0"/>
              <w:right w:val="single" w:color="auto" w:sz="4" w:space="0"/>
            </w:tcBorders>
            <w:noWrap/>
            <w:vAlign w:val="center"/>
          </w:tcPr>
          <w:p w14:paraId="56E4E2B2">
            <w:pPr>
              <w:pStyle w:val="15"/>
              <w:ind w:left="0" w:leftChars="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lang w:val="en-US" w:eastAsia="zh-CN"/>
              </w:rPr>
              <w:t>根据医院实际使用情况据实结算</w:t>
            </w:r>
            <w:r>
              <w:rPr>
                <w:rFonts w:hint="eastAsia" w:cs="宋体"/>
                <w:color w:val="auto"/>
                <w:sz w:val="21"/>
                <w:szCs w:val="21"/>
                <w:highlight w:val="none"/>
                <w:lang w:val="en-US" w:eastAsia="zh-CN"/>
              </w:rPr>
              <w:t>，具体付款方式以合同签订为准</w:t>
            </w:r>
            <w:r>
              <w:rPr>
                <w:rFonts w:hint="eastAsia" w:ascii="宋体" w:hAnsi="宋体" w:eastAsia="宋体" w:cs="宋体"/>
                <w:color w:val="auto"/>
                <w:sz w:val="21"/>
                <w:szCs w:val="21"/>
                <w:highlight w:val="none"/>
                <w:lang w:val="en-US" w:eastAsia="zh-CN"/>
              </w:rPr>
              <w:t>。</w:t>
            </w:r>
          </w:p>
        </w:tc>
      </w:tr>
      <w:tr w14:paraId="4EE8AD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1A90870">
            <w:pPr>
              <w:pStyle w:val="15"/>
              <w:ind w:left="0" w:leftChars="0"/>
              <w:jc w:val="center"/>
              <w:rPr>
                <w:rFonts w:hint="eastAsia" w:ascii="宋体" w:hAnsi="宋体" w:eastAsia="宋体" w:cs="宋体"/>
                <w:color w:val="auto"/>
                <w:kern w:val="0"/>
                <w:sz w:val="21"/>
                <w:szCs w:val="21"/>
                <w:highlight w:val="none"/>
                <w:lang w:val="en-US" w:eastAsia="zh-CN" w:bidi="ar-SA"/>
              </w:rPr>
            </w:pPr>
            <w:r>
              <w:rPr>
                <w:rFonts w:hint="eastAsia" w:cs="宋体"/>
                <w:color w:val="auto"/>
                <w:sz w:val="21"/>
                <w:szCs w:val="21"/>
                <w:highlight w:val="none"/>
                <w:lang w:val="en-US" w:eastAsia="zh-CN"/>
              </w:rPr>
              <w:t>技术资料</w:t>
            </w:r>
          </w:p>
        </w:tc>
        <w:tc>
          <w:tcPr>
            <w:tcW w:w="7354" w:type="dxa"/>
            <w:tcBorders>
              <w:top w:val="single" w:color="auto" w:sz="4" w:space="0"/>
              <w:left w:val="single" w:color="auto" w:sz="4" w:space="0"/>
              <w:bottom w:val="single" w:color="auto" w:sz="4" w:space="0"/>
              <w:right w:val="single" w:color="auto" w:sz="4" w:space="0"/>
            </w:tcBorders>
            <w:noWrap/>
            <w:vAlign w:val="center"/>
          </w:tcPr>
          <w:p w14:paraId="68497A26">
            <w:pPr>
              <w:pStyle w:val="15"/>
              <w:spacing w:line="360" w:lineRule="auto"/>
              <w:ind w:left="0" w:leftChars="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所供医疗器械的标签及说明书更新证明文件应在货到之日 24 小时内提供，否则将作退货处理。(如属特殊情况，请签订销售责任保证书）</w:t>
            </w:r>
          </w:p>
        </w:tc>
      </w:tr>
      <w:tr w14:paraId="3AD8F4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49F3F78D">
            <w:pPr>
              <w:pStyle w:val="15"/>
              <w:ind w:left="0" w:leftChars="0"/>
              <w:jc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交货时间</w:t>
            </w:r>
          </w:p>
        </w:tc>
        <w:tc>
          <w:tcPr>
            <w:tcW w:w="7354" w:type="dxa"/>
            <w:tcBorders>
              <w:top w:val="single" w:color="auto" w:sz="4" w:space="0"/>
              <w:left w:val="single" w:color="auto" w:sz="4" w:space="0"/>
              <w:bottom w:val="single" w:color="auto" w:sz="4" w:space="0"/>
              <w:right w:val="single" w:color="auto" w:sz="4" w:space="0"/>
            </w:tcBorders>
            <w:noWrap/>
            <w:vAlign w:val="center"/>
          </w:tcPr>
          <w:p w14:paraId="13B2B6E6">
            <w:pPr>
              <w:pStyle w:val="15"/>
              <w:spacing w:line="360" w:lineRule="auto"/>
              <w:ind w:left="0" w:leftChars="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zh-CN"/>
              </w:rPr>
              <w:t>在接到采购通知单（款到发货的为收到货款）后，应在 5个工作日内将医疗器械送达。</w:t>
            </w:r>
          </w:p>
        </w:tc>
      </w:tr>
    </w:tbl>
    <w:p w14:paraId="6439BFCA">
      <w:pPr>
        <w:pStyle w:val="24"/>
        <w:rPr>
          <w:rFonts w:hint="eastAsia"/>
          <w:color w:val="auto"/>
          <w:highlight w:val="none"/>
        </w:rPr>
      </w:pPr>
    </w:p>
    <w:p w14:paraId="4D19E423">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rPr>
          <w:b/>
          <w:bCs/>
          <w:color w:val="auto"/>
          <w:sz w:val="30"/>
          <w:szCs w:val="30"/>
          <w:highlight w:val="none"/>
        </w:rPr>
      </w:pPr>
      <w:r>
        <w:rPr>
          <w:rFonts w:hint="eastAsia"/>
          <w:b/>
          <w:bCs/>
          <w:color w:val="auto"/>
          <w:sz w:val="30"/>
          <w:szCs w:val="30"/>
          <w:highlight w:val="none"/>
        </w:rPr>
        <w:t>采购人对项目的特殊要求及说明</w:t>
      </w:r>
    </w:p>
    <w:tbl>
      <w:tblPr>
        <w:tblStyle w:val="33"/>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14:paraId="5B8ACB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41"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14:paraId="71C1E9C8">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14:paraId="5A1891A0">
            <w:pPr>
              <w:widowControl/>
              <w:numPr>
                <w:ilvl w:val="0"/>
                <w:numId w:val="1"/>
              </w:numPr>
              <w:snapToGrid w:val="0"/>
              <w:spacing w:line="360" w:lineRule="auto"/>
              <w:rPr>
                <w:color w:val="auto"/>
                <w:highlight w:val="none"/>
              </w:rPr>
            </w:pPr>
            <w:r>
              <w:rPr>
                <w:rFonts w:hint="eastAsia"/>
                <w:color w:val="auto"/>
                <w:highlight w:val="none"/>
              </w:rPr>
              <w:t>不接受联合体投标，不允许转包和分包。</w:t>
            </w:r>
          </w:p>
          <w:p w14:paraId="5B969646">
            <w:pPr>
              <w:widowControl/>
              <w:snapToGrid w:val="0"/>
              <w:spacing w:line="360" w:lineRule="auto"/>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2、授权</w:t>
            </w:r>
            <w:r>
              <w:rPr>
                <w:rFonts w:hint="eastAsia" w:cs="Times New Roman"/>
                <w:color w:val="auto"/>
                <w:highlight w:val="none"/>
                <w:lang w:val="en-US" w:eastAsia="zh-CN"/>
              </w:rPr>
              <w:t>磋商小组</w:t>
            </w:r>
            <w:r>
              <w:rPr>
                <w:rFonts w:hint="eastAsia" w:ascii="Times New Roman" w:hAnsi="Times New Roman" w:eastAsia="宋体" w:cs="Times New Roman"/>
                <w:color w:val="auto"/>
                <w:highlight w:val="none"/>
                <w:lang w:val="en-US" w:eastAsia="zh-CN"/>
              </w:rPr>
              <w:t>确定一名</w:t>
            </w:r>
            <w:r>
              <w:rPr>
                <w:rFonts w:hint="eastAsia" w:cs="Times New Roman"/>
                <w:color w:val="auto"/>
                <w:highlight w:val="none"/>
                <w:lang w:val="en-US" w:eastAsia="zh-CN"/>
              </w:rPr>
              <w:t>成交人</w:t>
            </w:r>
            <w:r>
              <w:rPr>
                <w:rFonts w:hint="eastAsia" w:ascii="Times New Roman" w:hAnsi="Times New Roman" w:eastAsia="宋体" w:cs="Times New Roman"/>
                <w:color w:val="auto"/>
                <w:highlight w:val="none"/>
                <w:lang w:val="en-US" w:eastAsia="zh-CN"/>
              </w:rPr>
              <w:t>并推荐</w:t>
            </w:r>
            <w:r>
              <w:rPr>
                <w:rFonts w:hint="eastAsia" w:cs="Times New Roman"/>
                <w:color w:val="auto"/>
                <w:highlight w:val="none"/>
                <w:lang w:val="en-US" w:eastAsia="zh-CN"/>
              </w:rPr>
              <w:t>一</w:t>
            </w:r>
            <w:r>
              <w:rPr>
                <w:rFonts w:hint="eastAsia" w:ascii="Times New Roman" w:hAnsi="Times New Roman" w:eastAsia="宋体" w:cs="Times New Roman"/>
                <w:color w:val="auto"/>
                <w:highlight w:val="none"/>
                <w:lang w:val="en-US" w:eastAsia="zh-CN"/>
              </w:rPr>
              <w:t>名</w:t>
            </w:r>
            <w:r>
              <w:rPr>
                <w:rFonts w:hint="eastAsia" w:cs="Times New Roman"/>
                <w:color w:val="auto"/>
                <w:highlight w:val="none"/>
                <w:lang w:val="en-US" w:eastAsia="zh-CN"/>
              </w:rPr>
              <w:t>成交候选人</w:t>
            </w:r>
            <w:r>
              <w:rPr>
                <w:rFonts w:hint="eastAsia" w:ascii="Times New Roman" w:hAnsi="Times New Roman" w:eastAsia="宋体" w:cs="Times New Roman"/>
                <w:color w:val="auto"/>
                <w:highlight w:val="none"/>
                <w:lang w:val="en-US" w:eastAsia="zh-CN"/>
              </w:rPr>
              <w:t>。</w:t>
            </w:r>
          </w:p>
          <w:p w14:paraId="296FFC64">
            <w:pPr>
              <w:widowControl/>
              <w:snapToGrid w:val="0"/>
              <w:spacing w:line="360" w:lineRule="auto"/>
              <w:rPr>
                <w:rFonts w:hint="default" w:eastAsia="宋体"/>
                <w:color w:val="auto"/>
                <w:highlight w:val="none"/>
                <w:lang w:val="en-US" w:eastAsia="zh-CN"/>
              </w:rPr>
            </w:pPr>
            <w:r>
              <w:rPr>
                <w:rFonts w:hint="eastAsia" w:ascii="Times New Roman" w:hAnsi="Times New Roman" w:eastAsia="宋体" w:cs="Times New Roman"/>
                <w:color w:val="auto"/>
                <w:highlight w:val="none"/>
                <w:lang w:val="en-US" w:eastAsia="zh-CN"/>
              </w:rPr>
              <w:t>3、供应商应根据采购文件的要求提供技术响应</w:t>
            </w:r>
            <w:r>
              <w:rPr>
                <w:rFonts w:hint="eastAsia" w:cs="Times New Roman"/>
                <w:color w:val="auto"/>
                <w:highlight w:val="none"/>
                <w:lang w:val="en-US" w:eastAsia="zh-CN"/>
              </w:rPr>
              <w:t>部分</w:t>
            </w:r>
            <w:r>
              <w:rPr>
                <w:rFonts w:hint="eastAsia" w:ascii="Times New Roman" w:hAnsi="Times New Roman" w:eastAsia="宋体" w:cs="Times New Roman"/>
                <w:color w:val="auto"/>
                <w:highlight w:val="none"/>
                <w:lang w:val="en-US" w:eastAsia="zh-CN"/>
              </w:rPr>
              <w:t>、商务响应</w:t>
            </w:r>
            <w:r>
              <w:rPr>
                <w:rFonts w:hint="eastAsia" w:cs="Times New Roman"/>
                <w:color w:val="auto"/>
                <w:highlight w:val="none"/>
                <w:lang w:val="en-US" w:eastAsia="zh-CN"/>
              </w:rPr>
              <w:t>部分</w:t>
            </w:r>
            <w:r>
              <w:rPr>
                <w:rFonts w:hint="eastAsia" w:ascii="Times New Roman" w:hAnsi="Times New Roman" w:eastAsia="宋体" w:cs="Times New Roman"/>
                <w:color w:val="auto"/>
                <w:highlight w:val="none"/>
                <w:lang w:val="en-US" w:eastAsia="zh-CN"/>
              </w:rPr>
              <w:t>等内容以对采购文件作出响应。</w:t>
            </w:r>
          </w:p>
        </w:tc>
      </w:tr>
    </w:tbl>
    <w:p w14:paraId="6E7F15E6">
      <w:pPr>
        <w:rPr>
          <w:color w:val="auto"/>
          <w:highlight w:val="none"/>
        </w:rPr>
      </w:pPr>
    </w:p>
    <w:p w14:paraId="4E4CD6E8">
      <w:pPr>
        <w:jc w:val="center"/>
        <w:rPr>
          <w:rFonts w:hint="eastAsia"/>
          <w:b/>
          <w:bCs/>
          <w:color w:val="auto"/>
          <w:sz w:val="32"/>
          <w:szCs w:val="32"/>
          <w:highlight w:val="none"/>
        </w:rPr>
      </w:pPr>
    </w:p>
    <w:p w14:paraId="2BD57F05">
      <w:pPr>
        <w:rPr>
          <w:rFonts w:hint="eastAsia"/>
          <w:b/>
          <w:bCs/>
          <w:color w:val="auto"/>
          <w:sz w:val="32"/>
          <w:szCs w:val="32"/>
          <w:highlight w:val="none"/>
        </w:rPr>
      </w:pPr>
      <w:r>
        <w:rPr>
          <w:rFonts w:hint="eastAsia"/>
          <w:b/>
          <w:bCs/>
          <w:color w:val="auto"/>
          <w:sz w:val="32"/>
          <w:szCs w:val="32"/>
          <w:highlight w:val="none"/>
        </w:rPr>
        <w:br w:type="page"/>
      </w:r>
    </w:p>
    <w:p w14:paraId="3110E4DE">
      <w:pPr>
        <w:jc w:val="center"/>
        <w:outlineLvl w:val="0"/>
        <w:rPr>
          <w:b/>
          <w:bCs/>
          <w:color w:val="auto"/>
          <w:sz w:val="32"/>
          <w:szCs w:val="32"/>
          <w:highlight w:val="none"/>
        </w:rPr>
      </w:pPr>
      <w:bookmarkStart w:id="35" w:name="_Toc16791"/>
      <w:r>
        <w:rPr>
          <w:rFonts w:hint="eastAsia"/>
          <w:b/>
          <w:bCs/>
          <w:color w:val="auto"/>
          <w:sz w:val="32"/>
          <w:szCs w:val="32"/>
          <w:highlight w:val="none"/>
        </w:rPr>
        <w:t xml:space="preserve">第三章  </w:t>
      </w:r>
      <w:r>
        <w:rPr>
          <w:rFonts w:hint="eastAsia"/>
          <w:b/>
          <w:bCs/>
          <w:color w:val="auto"/>
          <w:sz w:val="32"/>
          <w:szCs w:val="32"/>
          <w:highlight w:val="none"/>
          <w:lang w:eastAsia="zh-CN"/>
        </w:rPr>
        <w:t>供应商</w:t>
      </w:r>
      <w:r>
        <w:rPr>
          <w:rFonts w:hint="eastAsia"/>
          <w:b/>
          <w:bCs/>
          <w:color w:val="auto"/>
          <w:sz w:val="32"/>
          <w:szCs w:val="32"/>
          <w:highlight w:val="none"/>
        </w:rPr>
        <w:t>须知</w:t>
      </w:r>
      <w:bookmarkEnd w:id="35"/>
    </w:p>
    <w:p w14:paraId="3AD6D64B">
      <w:pPr>
        <w:snapToGrid w:val="0"/>
        <w:spacing w:beforeLines="50" w:line="360" w:lineRule="auto"/>
        <w:jc w:val="center"/>
        <w:outlineLvl w:val="1"/>
        <w:rPr>
          <w:rFonts w:ascii="宋体" w:hAnsi="宋体"/>
          <w:color w:val="auto"/>
          <w:sz w:val="28"/>
          <w:szCs w:val="28"/>
          <w:highlight w:val="none"/>
        </w:rPr>
      </w:pPr>
      <w:r>
        <w:rPr>
          <w:rFonts w:hint="eastAsia" w:ascii="宋体" w:hAnsi="宋体"/>
          <w:color w:val="auto"/>
          <w:sz w:val="28"/>
          <w:szCs w:val="28"/>
          <w:highlight w:val="none"/>
          <w:lang w:eastAsia="zh-CN"/>
        </w:rPr>
        <w:t>供应商</w:t>
      </w:r>
      <w:r>
        <w:rPr>
          <w:rFonts w:hint="eastAsia" w:ascii="宋体" w:hAnsi="宋体"/>
          <w:color w:val="auto"/>
          <w:sz w:val="28"/>
          <w:szCs w:val="28"/>
          <w:highlight w:val="none"/>
        </w:rPr>
        <w:t>须知前附表</w:t>
      </w:r>
    </w:p>
    <w:tbl>
      <w:tblPr>
        <w:tblStyle w:val="33"/>
        <w:tblW w:w="9840" w:type="dxa"/>
        <w:jc w:val="center"/>
        <w:tblLayout w:type="fixed"/>
        <w:tblCellMar>
          <w:top w:w="0" w:type="dxa"/>
          <w:left w:w="0" w:type="dxa"/>
          <w:bottom w:w="0" w:type="dxa"/>
          <w:right w:w="0" w:type="dxa"/>
        </w:tblCellMar>
      </w:tblPr>
      <w:tblGrid>
        <w:gridCol w:w="926"/>
        <w:gridCol w:w="8914"/>
      </w:tblGrid>
      <w:tr w14:paraId="6CD2CDD3">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66A3E27">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5354802">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内容、要求</w:t>
            </w:r>
          </w:p>
        </w:tc>
      </w:tr>
      <w:tr w14:paraId="717A0C5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766B80C">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6998E94">
            <w:pPr>
              <w:widowControl/>
              <w:snapToGrid w:val="0"/>
              <w:spacing w:line="440" w:lineRule="exact"/>
              <w:jc w:val="left"/>
              <w:outlineLvl w:val="0"/>
              <w:rPr>
                <w:rFonts w:hint="default" w:ascii="宋体" w:hAnsi="宋体" w:eastAsia="宋体" w:cs="宋体"/>
                <w:color w:val="auto"/>
                <w:highlight w:val="none"/>
                <w:lang w:val="en-US"/>
              </w:rPr>
            </w:pPr>
            <w:bookmarkStart w:id="36" w:name="_Toc30169"/>
            <w:r>
              <w:rPr>
                <w:rFonts w:hint="eastAsia"/>
                <w:color w:val="auto"/>
                <w:highlight w:val="none"/>
              </w:rPr>
              <w:t>1.1 项目名称：</w:t>
            </w:r>
            <w:bookmarkEnd w:id="36"/>
            <w:r>
              <w:rPr>
                <w:rFonts w:hint="eastAsia"/>
                <w:color w:val="auto"/>
                <w:highlight w:val="none"/>
                <w:lang w:val="en-US" w:eastAsia="zh-CN"/>
              </w:rPr>
              <w:t>驻马店市中心医院无菌光纤及激光保护鞘供货项目</w:t>
            </w:r>
          </w:p>
          <w:p w14:paraId="257603E6">
            <w:pPr>
              <w:widowControl/>
              <w:snapToGrid w:val="0"/>
              <w:spacing w:line="440" w:lineRule="exact"/>
              <w:jc w:val="left"/>
              <w:outlineLvl w:val="0"/>
              <w:rPr>
                <w:rFonts w:hint="eastAsia"/>
                <w:color w:val="auto"/>
                <w:highlight w:val="none"/>
              </w:rPr>
            </w:pPr>
            <w:bookmarkStart w:id="37" w:name="_Toc23424"/>
            <w:r>
              <w:rPr>
                <w:rFonts w:hint="eastAsia"/>
                <w:color w:val="auto"/>
                <w:highlight w:val="none"/>
              </w:rPr>
              <w:t>1.2 采购人名称：驻马店市中心医院</w:t>
            </w:r>
            <w:bookmarkEnd w:id="37"/>
          </w:p>
          <w:p w14:paraId="3EFB3852">
            <w:pPr>
              <w:widowControl/>
              <w:snapToGrid w:val="0"/>
              <w:spacing w:line="440" w:lineRule="exact"/>
              <w:jc w:val="left"/>
              <w:outlineLvl w:val="0"/>
              <w:rPr>
                <w:rFonts w:ascii="Times New Roman" w:hAnsi="Times New Roman" w:eastAsia="宋体" w:cs="Times New Roman"/>
                <w:color w:val="auto"/>
                <w:kern w:val="2"/>
                <w:sz w:val="21"/>
                <w:szCs w:val="24"/>
                <w:highlight w:val="none"/>
                <w:lang w:val="en-US" w:eastAsia="zh-CN" w:bidi="ar-SA"/>
              </w:rPr>
            </w:pPr>
            <w:bookmarkStart w:id="38" w:name="_Toc3148"/>
            <w:r>
              <w:rPr>
                <w:rFonts w:hint="eastAsia"/>
                <w:color w:val="auto"/>
                <w:highlight w:val="none"/>
              </w:rPr>
              <w:t>1.</w:t>
            </w:r>
            <w:r>
              <w:rPr>
                <w:rFonts w:hint="eastAsia"/>
                <w:color w:val="auto"/>
                <w:highlight w:val="none"/>
                <w:lang w:val="en-US" w:eastAsia="zh-CN"/>
              </w:rPr>
              <w:t>3</w:t>
            </w:r>
            <w:r>
              <w:rPr>
                <w:rFonts w:hint="eastAsia"/>
                <w:color w:val="auto"/>
                <w:highlight w:val="none"/>
              </w:rPr>
              <w:t>采购范围：详</w:t>
            </w:r>
            <w:r>
              <w:rPr>
                <w:rFonts w:hint="eastAsia"/>
                <w:color w:val="auto"/>
                <w:highlight w:val="none"/>
                <w:lang w:val="en-US" w:eastAsia="zh-CN"/>
              </w:rPr>
              <w:t>见第二章采购</w:t>
            </w:r>
            <w:r>
              <w:rPr>
                <w:rFonts w:hint="eastAsia"/>
                <w:color w:val="auto"/>
                <w:highlight w:val="none"/>
              </w:rPr>
              <w:t>需求</w:t>
            </w:r>
            <w:bookmarkEnd w:id="38"/>
          </w:p>
        </w:tc>
      </w:tr>
      <w:tr w14:paraId="54E69E42">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D400062">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F3BA930">
            <w:pPr>
              <w:widowControl/>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合格</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公告第二项规定的条件。</w:t>
            </w:r>
          </w:p>
        </w:tc>
      </w:tr>
      <w:tr w14:paraId="7F984712">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E0C8BE0">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E7DAE45">
            <w:pPr>
              <w:widowControl/>
              <w:snapToGrid w:val="0"/>
              <w:spacing w:line="440" w:lineRule="exact"/>
              <w:jc w:val="left"/>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rPr>
              <w:t>采购预算：</w:t>
            </w:r>
            <w:r>
              <w:rPr>
                <w:rFonts w:hint="eastAsia" w:ascii="宋体" w:hAnsi="宋体" w:cs="宋体"/>
                <w:color w:val="auto"/>
                <w:kern w:val="0"/>
                <w:szCs w:val="21"/>
                <w:highlight w:val="none"/>
                <w:lang w:val="en-US" w:eastAsia="zh-CN"/>
              </w:rPr>
              <w:t>48万元</w:t>
            </w:r>
            <w:r>
              <w:rPr>
                <w:rFonts w:hint="eastAsia" w:ascii="宋体" w:hAnsi="宋体" w:cs="宋体"/>
                <w:color w:val="auto"/>
                <w:kern w:val="0"/>
                <w:szCs w:val="21"/>
                <w:highlight w:val="none"/>
                <w:lang w:eastAsia="zh-CN"/>
              </w:rPr>
              <w:t>；</w:t>
            </w:r>
            <w:r>
              <w:rPr>
                <w:rFonts w:hint="eastAsia" w:ascii="宋体" w:hAnsi="宋体" w:cs="宋体"/>
                <w:color w:val="0000FF"/>
                <w:kern w:val="0"/>
                <w:szCs w:val="21"/>
                <w:highlight w:val="none"/>
              </w:rPr>
              <w:t>最高投标限价</w:t>
            </w:r>
            <w:r>
              <w:rPr>
                <w:rFonts w:hint="eastAsia" w:ascii="宋体" w:hAnsi="宋体" w:cs="宋体"/>
                <w:color w:val="0000FF"/>
                <w:kern w:val="0"/>
                <w:szCs w:val="21"/>
                <w:highlight w:val="none"/>
                <w:lang w:val="en-US" w:eastAsia="zh-CN"/>
              </w:rPr>
              <w:t>:详见第二章采购需求第二项采购标的清单中单项控制价</w:t>
            </w:r>
            <w:r>
              <w:rPr>
                <w:rFonts w:hint="eastAsia" w:ascii="宋体" w:hAnsi="宋体" w:cs="宋体"/>
                <w:color w:val="0000FF"/>
                <w:kern w:val="0"/>
                <w:szCs w:val="21"/>
                <w:highlight w:val="none"/>
                <w:lang w:eastAsia="zh-CN"/>
              </w:rPr>
              <w:t>；</w:t>
            </w:r>
          </w:p>
          <w:p w14:paraId="143D4827">
            <w:pPr>
              <w:widowControl/>
              <w:snapToGrid w:val="0"/>
              <w:spacing w:line="4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3.1 本项目投标以人民币报价</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供应商需填报每项的单价和合计单价</w:t>
            </w:r>
            <w:r>
              <w:rPr>
                <w:rFonts w:hint="eastAsia" w:ascii="宋体" w:hAnsi="宋体" w:cs="宋体"/>
                <w:color w:val="auto"/>
                <w:kern w:val="0"/>
                <w:szCs w:val="21"/>
                <w:highlight w:val="none"/>
              </w:rPr>
              <w:t>。</w:t>
            </w:r>
          </w:p>
          <w:p w14:paraId="10E04A53">
            <w:pPr>
              <w:widowControl/>
              <w:snapToGrid w:val="0"/>
              <w:spacing w:line="4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3.2 供应商的报价超过采购预算，采购人不能支付的，按废标处理。</w:t>
            </w:r>
          </w:p>
          <w:p w14:paraId="58BB39A6">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3.3 本项目</w:t>
            </w:r>
            <w:r>
              <w:rPr>
                <w:rFonts w:hint="eastAsia" w:ascii="宋体" w:hAnsi="宋体" w:cs="宋体"/>
                <w:color w:val="auto"/>
                <w:kern w:val="0"/>
                <w:szCs w:val="21"/>
                <w:highlight w:val="none"/>
                <w:lang w:val="en-US" w:eastAsia="zh-CN"/>
              </w:rPr>
              <w:t>由成交供应商缴纳</w:t>
            </w:r>
            <w:r>
              <w:rPr>
                <w:rFonts w:hint="eastAsia" w:ascii="宋体" w:hAnsi="宋体" w:cs="宋体"/>
                <w:color w:val="auto"/>
                <w:kern w:val="0"/>
                <w:szCs w:val="21"/>
                <w:highlight w:val="none"/>
              </w:rPr>
              <w:t>招标代理服务费。</w:t>
            </w:r>
          </w:p>
        </w:tc>
      </w:tr>
      <w:tr w14:paraId="65126C2B">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81BE240">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DF44C3B">
            <w:pPr>
              <w:widowControl/>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现场踏勘或标前答疑：本项目不组织现场踏勘或标前答疑会。</w:t>
            </w:r>
          </w:p>
        </w:tc>
      </w:tr>
      <w:tr w14:paraId="5447649E">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8E613DB">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9B493D0">
            <w:pPr>
              <w:widowControl/>
              <w:snapToGrid w:val="0"/>
              <w:spacing w:line="440" w:lineRule="exact"/>
              <w:jc w:val="left"/>
              <w:rPr>
                <w:color w:val="auto"/>
                <w:highlight w:val="none"/>
              </w:rPr>
            </w:pPr>
            <w:r>
              <w:rPr>
                <w:rFonts w:hint="eastAsia"/>
                <w:color w:val="auto"/>
                <w:highlight w:val="none"/>
              </w:rPr>
              <w:t>投标文件组成</w:t>
            </w:r>
            <w:r>
              <w:rPr>
                <w:rFonts w:hint="eastAsia" w:ascii="宋体" w:hAnsi="宋体" w:eastAsia="宋体" w:cs="宋体"/>
                <w:color w:val="auto"/>
                <w:highlight w:val="none"/>
              </w:rPr>
              <w:t>：纸质投标文件正本1份</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副本2份</w:t>
            </w:r>
            <w:r>
              <w:rPr>
                <w:rFonts w:hint="eastAsia" w:ascii="宋体" w:hAnsi="宋体" w:eastAsia="宋体" w:cs="宋体"/>
                <w:color w:val="auto"/>
                <w:highlight w:val="none"/>
              </w:rPr>
              <w:t>。</w:t>
            </w:r>
          </w:p>
        </w:tc>
      </w:tr>
      <w:tr w14:paraId="61EB42BA">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7F652BC">
            <w:pPr>
              <w:widowControl/>
              <w:snapToGrid w:val="0"/>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3C6961A">
            <w:pPr>
              <w:widowControl/>
              <w:snapToGrid w:val="0"/>
              <w:spacing w:line="4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投标截止时间</w:t>
            </w:r>
            <w:r>
              <w:rPr>
                <w:rFonts w:hint="eastAsia" w:ascii="宋体" w:hAnsi="宋体" w:cs="宋体"/>
                <w:color w:val="auto"/>
                <w:kern w:val="0"/>
                <w:szCs w:val="21"/>
                <w:highlight w:val="none"/>
                <w:lang w:val="en-US" w:eastAsia="zh-CN"/>
              </w:rPr>
              <w:t>及开标时间</w:t>
            </w:r>
            <w:r>
              <w:rPr>
                <w:rFonts w:hint="eastAsia" w:ascii="宋体" w:hAnsi="宋体" w:cs="宋体"/>
                <w:color w:val="auto"/>
                <w:kern w:val="0"/>
                <w:szCs w:val="21"/>
                <w:highlight w:val="none"/>
              </w:rPr>
              <w:t>：</w:t>
            </w:r>
            <w:r>
              <w:rPr>
                <w:rFonts w:hint="eastAsia" w:ascii="宋体" w:hAnsi="宋体" w:cs="宋体"/>
                <w:color w:val="auto"/>
                <w:szCs w:val="21"/>
                <w:highlight w:val="none"/>
                <w:lang w:val="en-US" w:eastAsia="zh-CN"/>
              </w:rPr>
              <w:t>另行通知</w:t>
            </w:r>
          </w:p>
          <w:p w14:paraId="14BC58B2">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投标文件递交地点</w:t>
            </w:r>
            <w:r>
              <w:rPr>
                <w:rFonts w:hint="eastAsia" w:ascii="宋体" w:hAnsi="宋体" w:cs="宋体"/>
                <w:color w:val="auto"/>
                <w:kern w:val="0"/>
                <w:szCs w:val="21"/>
                <w:highlight w:val="none"/>
                <w:lang w:val="en-US" w:eastAsia="zh-CN"/>
              </w:rPr>
              <w:t>及开标地点</w:t>
            </w:r>
            <w:r>
              <w:rPr>
                <w:rFonts w:hint="eastAsia" w:ascii="宋体" w:hAnsi="宋体" w:cs="宋体"/>
                <w:color w:val="auto"/>
                <w:kern w:val="0"/>
                <w:szCs w:val="21"/>
                <w:highlight w:val="none"/>
              </w:rPr>
              <w:t>：</w:t>
            </w:r>
            <w:r>
              <w:rPr>
                <w:rFonts w:hint="eastAsia" w:ascii="宋体" w:hAnsi="宋体" w:cs="宋体"/>
                <w:color w:val="auto"/>
                <w:szCs w:val="21"/>
                <w:highlight w:val="none"/>
                <w:lang w:val="en-US" w:eastAsia="zh-CN"/>
              </w:rPr>
              <w:t>另行通知</w:t>
            </w:r>
            <w:r>
              <w:rPr>
                <w:rFonts w:hint="eastAsia" w:ascii="宋体" w:hAnsi="宋体" w:cs="宋体"/>
                <w:color w:val="auto"/>
                <w:kern w:val="0"/>
                <w:szCs w:val="21"/>
                <w:highlight w:val="none"/>
              </w:rPr>
              <w:t>。</w:t>
            </w:r>
          </w:p>
        </w:tc>
      </w:tr>
      <w:tr w14:paraId="2562CD92">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BF2955F">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E9E3935">
            <w:pPr>
              <w:spacing w:line="440" w:lineRule="exact"/>
              <w:rPr>
                <w:rFonts w:ascii="宋体" w:hAnsi="宋体" w:cs="宋体"/>
                <w:color w:val="auto"/>
                <w:szCs w:val="21"/>
                <w:highlight w:val="none"/>
              </w:rPr>
            </w:pPr>
            <w:r>
              <w:rPr>
                <w:rFonts w:hint="eastAsia" w:ascii="宋体" w:hAnsi="宋体" w:cs="宋体"/>
                <w:color w:val="auto"/>
                <w:szCs w:val="21"/>
                <w:highlight w:val="none"/>
                <w:lang w:eastAsia="zh-CN"/>
              </w:rPr>
              <w:t>磋商小组</w:t>
            </w:r>
            <w:r>
              <w:rPr>
                <w:rFonts w:hint="eastAsia" w:ascii="宋体" w:hAnsi="宋体" w:cs="宋体"/>
                <w:color w:val="auto"/>
                <w:szCs w:val="21"/>
                <w:highlight w:val="none"/>
              </w:rPr>
              <w:t>成</w:t>
            </w:r>
            <w:r>
              <w:rPr>
                <w:rFonts w:hint="eastAsia" w:ascii="宋体" w:hAnsi="宋体" w:cs="宋体"/>
                <w:color w:val="auto"/>
                <w:kern w:val="0"/>
                <w:szCs w:val="21"/>
                <w:highlight w:val="none"/>
              </w:rPr>
              <w:t>员：</w:t>
            </w:r>
            <w:r>
              <w:rPr>
                <w:rFonts w:hint="eastAsia" w:ascii="宋体" w:hAnsi="宋体" w:cs="宋体"/>
                <w:color w:val="auto"/>
                <w:szCs w:val="21"/>
                <w:highlight w:val="none"/>
                <w:lang w:val="en-US" w:eastAsia="zh-CN"/>
              </w:rPr>
              <w:t>3</w:t>
            </w:r>
            <w:r>
              <w:rPr>
                <w:rFonts w:hint="eastAsia" w:ascii="宋体" w:hAnsi="宋体" w:cs="宋体"/>
                <w:color w:val="auto"/>
                <w:highlight w:val="none"/>
              </w:rPr>
              <w:t>人</w:t>
            </w:r>
            <w:r>
              <w:rPr>
                <w:rFonts w:hint="eastAsia" w:ascii="宋体" w:hAnsi="宋体" w:cs="宋体"/>
                <w:color w:val="auto"/>
                <w:highlight w:val="none"/>
                <w:lang w:val="en-US" w:eastAsia="zh-CN"/>
              </w:rPr>
              <w:t>及以上单数</w:t>
            </w:r>
            <w:r>
              <w:rPr>
                <w:rFonts w:hint="eastAsia" w:ascii="宋体" w:hAnsi="宋体" w:cs="宋体"/>
                <w:color w:val="auto"/>
                <w:kern w:val="0"/>
                <w:szCs w:val="21"/>
                <w:highlight w:val="none"/>
              </w:rPr>
              <w:t>。</w:t>
            </w:r>
          </w:p>
          <w:p w14:paraId="5AAF0909">
            <w:pPr>
              <w:widowControl/>
              <w:spacing w:line="440" w:lineRule="exact"/>
              <w:jc w:val="left"/>
              <w:rPr>
                <w:rFonts w:ascii="宋体" w:hAnsi="宋体" w:cs="宋体"/>
                <w:color w:val="auto"/>
                <w:kern w:val="0"/>
                <w:szCs w:val="21"/>
                <w:highlight w:val="none"/>
              </w:rPr>
            </w:pPr>
            <w:r>
              <w:rPr>
                <w:rFonts w:hint="eastAsia" w:ascii="宋体" w:hAnsi="宋体" w:cs="宋体"/>
                <w:color w:val="auto"/>
                <w:szCs w:val="21"/>
                <w:highlight w:val="none"/>
              </w:rPr>
              <w:t>专家确定方式：</w:t>
            </w:r>
            <w:r>
              <w:rPr>
                <w:rFonts w:hint="eastAsia" w:ascii="宋体" w:hAnsi="宋体" w:cs="宋体"/>
                <w:color w:val="auto"/>
                <w:kern w:val="0"/>
                <w:szCs w:val="21"/>
                <w:highlight w:val="none"/>
              </w:rPr>
              <w:t>由采购人</w:t>
            </w:r>
            <w:r>
              <w:rPr>
                <w:rFonts w:hint="eastAsia" w:ascii="宋体" w:hAnsi="宋体" w:cs="宋体"/>
                <w:color w:val="auto"/>
                <w:kern w:val="0"/>
                <w:szCs w:val="21"/>
                <w:highlight w:val="none"/>
                <w:lang w:val="en-US" w:eastAsia="zh-CN"/>
              </w:rPr>
              <w:t>抽取相关的技术人员组成</w:t>
            </w:r>
            <w:r>
              <w:rPr>
                <w:rFonts w:hint="eastAsia" w:ascii="宋体" w:hAnsi="宋体" w:cs="宋体"/>
                <w:color w:val="auto"/>
                <w:kern w:val="0"/>
                <w:szCs w:val="21"/>
                <w:highlight w:val="none"/>
              </w:rPr>
              <w:t>。</w:t>
            </w:r>
          </w:p>
        </w:tc>
      </w:tr>
      <w:tr w14:paraId="3DBBB392">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9659A49">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887B4BD">
            <w:pPr>
              <w:spacing w:line="240" w:lineRule="auto"/>
              <w:rPr>
                <w:rFonts w:ascii="宋体" w:hAnsi="宋体" w:cs="宋体"/>
                <w:color w:val="auto"/>
                <w:kern w:val="0"/>
                <w:szCs w:val="21"/>
                <w:highlight w:val="none"/>
              </w:rPr>
            </w:pPr>
            <w:r>
              <w:rPr>
                <w:rFonts w:hint="eastAsia" w:ascii="宋体" w:hAnsi="宋体" w:cs="宋体"/>
                <w:color w:val="auto"/>
                <w:szCs w:val="21"/>
                <w:highlight w:val="none"/>
              </w:rPr>
              <w:t>评标办法：</w:t>
            </w:r>
            <w:r>
              <w:rPr>
                <w:rFonts w:hint="eastAsia" w:ascii="宋体" w:hAnsi="宋体" w:cs="宋体"/>
                <w:color w:val="auto"/>
                <w:kern w:val="0"/>
                <w:szCs w:val="21"/>
                <w:highlight w:val="none"/>
              </w:rPr>
              <w:t>本项目采用</w:t>
            </w:r>
            <w:r>
              <w:rPr>
                <w:rFonts w:hint="eastAsia" w:ascii="宋体" w:hAnsi="宋体" w:cs="宋体"/>
                <w:color w:val="auto"/>
                <w:szCs w:val="21"/>
                <w:highlight w:val="none"/>
              </w:rPr>
              <w:t>综合评分法</w:t>
            </w:r>
            <w:r>
              <w:rPr>
                <w:rFonts w:hint="eastAsia" w:ascii="宋体" w:hAnsi="宋体" w:cs="宋体"/>
                <w:color w:val="auto"/>
                <w:kern w:val="0"/>
                <w:szCs w:val="21"/>
                <w:highlight w:val="none"/>
              </w:rPr>
              <w:t>。</w:t>
            </w:r>
          </w:p>
        </w:tc>
      </w:tr>
      <w:tr w14:paraId="3F5FFC25">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79E4F3A">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AA4D369">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公告及</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通知书：由采购人授权磋商小组确定一名成交人并推荐一名成交候选人。评审结束后在《驻马店市中心医院》官网上发布成交公告，公示期结束后向成交人发出成交通知书。</w:t>
            </w:r>
          </w:p>
        </w:tc>
      </w:tr>
      <w:tr w14:paraId="659C39F1">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6CFA115">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DC4C1CF">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签订合同：自</w:t>
            </w:r>
            <w:r>
              <w:rPr>
                <w:rFonts w:hint="eastAsia" w:ascii="宋体" w:hAnsi="宋体" w:cs="宋体"/>
                <w:color w:val="auto"/>
                <w:kern w:val="0"/>
                <w:szCs w:val="21"/>
                <w:highlight w:val="none"/>
                <w:lang w:eastAsia="zh-CN"/>
              </w:rPr>
              <w:t>成交通知书</w:t>
            </w:r>
            <w:r>
              <w:rPr>
                <w:rFonts w:hint="eastAsia" w:ascii="宋体" w:hAnsi="宋体" w:cs="宋体"/>
                <w:color w:val="auto"/>
                <w:kern w:val="0"/>
                <w:szCs w:val="21"/>
                <w:highlight w:val="none"/>
              </w:rPr>
              <w:t>发出之日起</w:t>
            </w:r>
            <w:r>
              <w:rPr>
                <w:rFonts w:hint="eastAsia" w:ascii="宋体" w:hAnsi="宋体" w:cs="宋体"/>
                <w:color w:val="auto"/>
                <w:kern w:val="0"/>
                <w:szCs w:val="21"/>
                <w:highlight w:val="none"/>
                <w:lang w:val="en-US" w:eastAsia="zh-CN"/>
              </w:rPr>
              <w:t>30日</w:t>
            </w:r>
            <w:r>
              <w:rPr>
                <w:rFonts w:hint="eastAsia" w:ascii="宋体" w:hAnsi="宋体" w:cs="宋体"/>
                <w:color w:val="auto"/>
                <w:kern w:val="0"/>
                <w:szCs w:val="21"/>
                <w:highlight w:val="none"/>
              </w:rPr>
              <w:t>内。</w:t>
            </w:r>
          </w:p>
        </w:tc>
      </w:tr>
      <w:tr w14:paraId="2C7AF025">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D03FD39">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53D989D">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采购资金来源：自筹资金。</w:t>
            </w:r>
          </w:p>
        </w:tc>
      </w:tr>
      <w:tr w14:paraId="0E79855A">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24F3DA8">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0BF565A">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付款方式：详见第二章</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w:t>
            </w:r>
          </w:p>
        </w:tc>
      </w:tr>
      <w:tr w14:paraId="674FD26F">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F27A058">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E84ED0F">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投标文件有效期：投标</w:t>
            </w:r>
            <w:r>
              <w:rPr>
                <w:rFonts w:hint="eastAsia" w:ascii="宋体" w:hAnsi="宋体" w:cs="宋体"/>
                <w:color w:val="auto"/>
                <w:kern w:val="0"/>
                <w:szCs w:val="21"/>
                <w:highlight w:val="none"/>
                <w:lang w:val="en-US" w:eastAsia="zh-CN"/>
              </w:rPr>
              <w:t>文件递交</w:t>
            </w:r>
            <w:r>
              <w:rPr>
                <w:rFonts w:hint="eastAsia" w:ascii="宋体" w:hAnsi="宋体" w:cs="宋体"/>
                <w:color w:val="auto"/>
                <w:kern w:val="0"/>
                <w:szCs w:val="21"/>
                <w:highlight w:val="none"/>
              </w:rPr>
              <w:t>截止期结束后</w:t>
            </w:r>
            <w:r>
              <w:rPr>
                <w:rFonts w:hint="eastAsia" w:ascii="宋体" w:hAnsi="宋体" w:cs="宋体"/>
                <w:color w:val="auto"/>
                <w:kern w:val="0"/>
                <w:szCs w:val="21"/>
                <w:highlight w:val="none"/>
                <w:lang w:val="en-US" w:eastAsia="zh-CN"/>
              </w:rPr>
              <w:t>90</w:t>
            </w:r>
            <w:r>
              <w:rPr>
                <w:rFonts w:hint="eastAsia" w:ascii="宋体" w:hAnsi="宋体" w:cs="宋体"/>
                <w:color w:val="auto"/>
                <w:kern w:val="0"/>
                <w:szCs w:val="21"/>
                <w:highlight w:val="none"/>
              </w:rPr>
              <w:t>日。</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的投标文件是合同的组成部分,有效期至合同完全履行止。 </w:t>
            </w:r>
          </w:p>
        </w:tc>
      </w:tr>
      <w:tr w14:paraId="2CA876CC">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E6E0C67">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133EEF2">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left"/>
              <w:textAlignment w:val="auto"/>
              <w:rPr>
                <w:rFonts w:ascii="宋体" w:hAnsi="宋体" w:cs="宋体"/>
                <w:color w:val="auto"/>
                <w:kern w:val="0"/>
                <w:szCs w:val="21"/>
                <w:highlight w:val="none"/>
              </w:rPr>
            </w:pPr>
            <w:r>
              <w:rPr>
                <w:rFonts w:hint="eastAsia" w:ascii="宋体" w:hAnsi="宋体" w:eastAsia="宋体" w:cs="宋体"/>
                <w:color w:val="auto"/>
                <w:kern w:val="2"/>
                <w:sz w:val="21"/>
                <w:szCs w:val="24"/>
                <w:highlight w:val="none"/>
                <w:lang w:val="en-US" w:eastAsia="zh-CN" w:bidi="ar-SA"/>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46318A6B">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57D9B82">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02FCE45">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lang w:val="en-US" w:eastAsia="zh-CN"/>
              </w:rPr>
              <w:t>商品包装和快递包装应符合《商品包装政府采购需求标准（试行）》和《快递包装政府采购需求标准（试行）》规定，商品的包装和快递包装验收标准应符合《商品包装政府采购需求标准（试行）》和《快递包装政府采购需求标准（试行）》规定，并提供相关的检测报告</w:t>
            </w:r>
            <w:r>
              <w:rPr>
                <w:rFonts w:hint="eastAsia" w:ascii="宋体" w:hAnsi="宋体" w:cs="宋体"/>
                <w:color w:val="auto"/>
                <w:szCs w:val="21"/>
                <w:highlight w:val="none"/>
              </w:rPr>
              <w:t>。</w:t>
            </w:r>
          </w:p>
        </w:tc>
      </w:tr>
      <w:tr w14:paraId="7E720EE0">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6B29945">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AD1C9CB">
            <w:pPr>
              <w:spacing w:line="360" w:lineRule="auto"/>
              <w:rPr>
                <w:rFonts w:ascii="宋体" w:hAnsi="宋体" w:cs="宋体"/>
                <w:color w:val="auto"/>
                <w:kern w:val="0"/>
                <w:szCs w:val="21"/>
                <w:highlight w:val="none"/>
              </w:rPr>
            </w:pPr>
            <w:r>
              <w:rPr>
                <w:rFonts w:hint="eastAsia" w:ascii="宋体" w:hAnsi="宋体" w:cs="宋体"/>
                <w:bCs/>
                <w:color w:val="auto"/>
                <w:kern w:val="0"/>
                <w:szCs w:val="21"/>
                <w:highlight w:val="none"/>
              </w:rPr>
              <w:t>质疑和投诉：供应商认为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bCs/>
                <w:color w:val="auto"/>
                <w:kern w:val="0"/>
                <w:szCs w:val="21"/>
                <w:highlight w:val="none"/>
                <w:lang w:eastAsia="zh-CN"/>
              </w:rPr>
              <w:t>。</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w:t>
            </w:r>
            <w:r>
              <w:rPr>
                <w:rFonts w:hint="eastAsia" w:ascii="宋体" w:hAnsi="宋体" w:cs="宋体"/>
                <w:color w:val="auto"/>
                <w:kern w:val="0"/>
                <w:szCs w:val="21"/>
                <w:highlight w:val="none"/>
                <w:lang w:val="en-US" w:eastAsia="zh-CN"/>
              </w:rPr>
              <w:t>医院纪检</w:t>
            </w:r>
            <w:r>
              <w:rPr>
                <w:rFonts w:hint="eastAsia" w:ascii="宋体" w:hAnsi="宋体" w:cs="宋体"/>
                <w:color w:val="auto"/>
                <w:kern w:val="0"/>
                <w:szCs w:val="21"/>
                <w:highlight w:val="none"/>
              </w:rPr>
              <w:t>部门投诉。</w:t>
            </w:r>
          </w:p>
        </w:tc>
      </w:tr>
      <w:tr w14:paraId="6246815B">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A7F8BC4">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1E085EE">
            <w:pPr>
              <w:widowControl/>
              <w:spacing w:line="360" w:lineRule="auto"/>
              <w:jc w:val="left"/>
              <w:textAlignment w:val="bottom"/>
              <w:rPr>
                <w:color w:val="auto"/>
                <w:highlight w:val="none"/>
              </w:rPr>
            </w:pPr>
            <w:r>
              <w:rPr>
                <w:rFonts w:hint="eastAsia"/>
                <w:color w:val="auto"/>
                <w:highlight w:val="none"/>
              </w:rPr>
              <w:t>解释：1、构成本</w:t>
            </w:r>
            <w:r>
              <w:rPr>
                <w:rFonts w:hint="eastAsia"/>
                <w:color w:val="auto"/>
                <w:highlight w:val="none"/>
                <w:lang w:val="en-US" w:eastAsia="zh-CN"/>
              </w:rPr>
              <w:t>采购</w:t>
            </w:r>
            <w:r>
              <w:rPr>
                <w:rFonts w:hint="eastAsia"/>
                <w:color w:val="auto"/>
                <w:highlight w:val="none"/>
              </w:rPr>
              <w:t>文件的各个组成文件应互为解释，互为说明；如有不明确或不一致，构成合同文件组成内容的，以合同文件约定内容为准；除</w:t>
            </w:r>
            <w:r>
              <w:rPr>
                <w:rFonts w:hint="eastAsia"/>
                <w:color w:val="auto"/>
                <w:highlight w:val="none"/>
                <w:lang w:val="en-US" w:eastAsia="zh-CN"/>
              </w:rPr>
              <w:t>采购</w:t>
            </w:r>
            <w:r>
              <w:rPr>
                <w:rFonts w:hint="eastAsia"/>
                <w:color w:val="auto"/>
                <w:highlight w:val="none"/>
              </w:rPr>
              <w:t>文件中有特殊规定外，仅适用于招标投标阶段的规定，按</w:t>
            </w:r>
            <w:r>
              <w:rPr>
                <w:rFonts w:hint="eastAsia"/>
                <w:color w:val="auto"/>
                <w:highlight w:val="none"/>
                <w:lang w:val="en-US" w:eastAsia="zh-CN"/>
              </w:rPr>
              <w:t>采购</w:t>
            </w:r>
            <w:r>
              <w:rPr>
                <w:rFonts w:hint="eastAsia"/>
                <w:color w:val="auto"/>
                <w:highlight w:val="none"/>
              </w:rPr>
              <w:t>公告、供应商须知、评标办法、投标文件格式的先后顺序解释；同一组成文件中就同一事项的规定或约定不一致的，以编排顺序在后者为准；当</w:t>
            </w:r>
            <w:r>
              <w:rPr>
                <w:rFonts w:hint="eastAsia"/>
                <w:color w:val="auto"/>
                <w:highlight w:val="none"/>
                <w:lang w:val="en-US" w:eastAsia="zh-CN"/>
              </w:rPr>
              <w:t>采购</w:t>
            </w:r>
            <w:r>
              <w:rPr>
                <w:rFonts w:hint="eastAsia"/>
                <w:color w:val="auto"/>
                <w:highlight w:val="none"/>
              </w:rPr>
              <w:t>文件与</w:t>
            </w:r>
            <w:r>
              <w:rPr>
                <w:rFonts w:hint="eastAsia"/>
                <w:color w:val="auto"/>
                <w:highlight w:val="none"/>
                <w:lang w:val="en-US" w:eastAsia="zh-CN"/>
              </w:rPr>
              <w:t>采购</w:t>
            </w:r>
            <w:r>
              <w:rPr>
                <w:rFonts w:hint="eastAsia"/>
                <w:color w:val="auto"/>
                <w:highlight w:val="none"/>
              </w:rPr>
              <w:t>文件的澄清、修改或补充通知就同一内容的表述不一致时，以最后发出的书面文件为准。合同文件约定或后者明显错误的除外。</w:t>
            </w:r>
          </w:p>
          <w:p w14:paraId="47D18DBF">
            <w:pPr>
              <w:widowControl/>
              <w:spacing w:line="360" w:lineRule="auto"/>
              <w:jc w:val="left"/>
              <w:textAlignment w:val="bottom"/>
              <w:rPr>
                <w:rFonts w:ascii="宋体" w:hAnsi="宋体" w:cs="宋体"/>
                <w:color w:val="auto"/>
                <w:kern w:val="0"/>
                <w:szCs w:val="21"/>
                <w:highlight w:val="none"/>
              </w:rPr>
            </w:pPr>
            <w:r>
              <w:rPr>
                <w:rFonts w:hint="eastAsia"/>
                <w:color w:val="auto"/>
                <w:highlight w:val="none"/>
              </w:rPr>
              <w:t>2、本</w:t>
            </w:r>
            <w:r>
              <w:rPr>
                <w:rFonts w:hint="eastAsia"/>
                <w:color w:val="auto"/>
                <w:highlight w:val="none"/>
                <w:lang w:val="en-US" w:eastAsia="zh-CN"/>
              </w:rPr>
              <w:t>采购</w:t>
            </w:r>
            <w:r>
              <w:rPr>
                <w:rFonts w:hint="eastAsia"/>
                <w:color w:val="auto"/>
                <w:highlight w:val="none"/>
              </w:rPr>
              <w:t>文件解释权归采购人。</w:t>
            </w:r>
          </w:p>
        </w:tc>
      </w:tr>
    </w:tbl>
    <w:p w14:paraId="7A34F9F2">
      <w:pPr>
        <w:rPr>
          <w:color w:val="auto"/>
          <w:highlight w:val="none"/>
        </w:rPr>
      </w:pPr>
    </w:p>
    <w:p w14:paraId="2D174254">
      <w:pPr>
        <w:keepNext w:val="0"/>
        <w:keepLines w:val="0"/>
        <w:pageBreakBefore w:val="0"/>
        <w:widowControl/>
        <w:kinsoku/>
        <w:wordWrap/>
        <w:overflowPunct/>
        <w:topLinePunct w:val="0"/>
        <w:autoSpaceDE/>
        <w:autoSpaceDN/>
        <w:bidi w:val="0"/>
        <w:adjustRightInd/>
        <w:snapToGrid w:val="0"/>
        <w:spacing w:line="360" w:lineRule="auto"/>
        <w:ind w:firstLine="0"/>
        <w:jc w:val="center"/>
        <w:textAlignment w:val="auto"/>
        <w:outlineLvl w:val="1"/>
        <w:rPr>
          <w:rFonts w:ascii="宋体" w:hAnsi="宋体" w:cs="宋体"/>
          <w:color w:val="auto"/>
          <w:kern w:val="0"/>
          <w:sz w:val="24"/>
          <w:highlight w:val="none"/>
        </w:rPr>
      </w:pPr>
      <w:r>
        <w:rPr>
          <w:rFonts w:hint="eastAsia" w:ascii="黑体" w:hAnsi="宋体" w:eastAsia="黑体" w:cs="宋体"/>
          <w:b/>
          <w:bCs/>
          <w:color w:val="auto"/>
          <w:kern w:val="0"/>
          <w:sz w:val="28"/>
          <w:szCs w:val="28"/>
          <w:highlight w:val="none"/>
        </w:rPr>
        <w:t>一 、说 明</w:t>
      </w:r>
    </w:p>
    <w:p w14:paraId="1277D3BC">
      <w:pPr>
        <w:keepNext w:val="0"/>
        <w:keepLines w:val="0"/>
        <w:pageBreakBefore w:val="0"/>
        <w:kinsoku/>
        <w:wordWrap/>
        <w:overflowPunct/>
        <w:topLinePunct w:val="0"/>
        <w:bidi w:val="0"/>
        <w:snapToGrid w:val="0"/>
        <w:spacing w:line="360" w:lineRule="auto"/>
        <w:rPr>
          <w:color w:val="auto"/>
          <w:highlight w:val="none"/>
        </w:rPr>
      </w:pPr>
    </w:p>
    <w:p w14:paraId="228CA302">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1.适用范围</w:t>
      </w:r>
    </w:p>
    <w:p w14:paraId="2C3A87FB">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文件仅适用于</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公告中所叙述项目的</w:t>
      </w:r>
      <w:r>
        <w:rPr>
          <w:rFonts w:hint="eastAsia" w:ascii="宋体" w:hAnsi="宋体" w:cs="宋体"/>
          <w:color w:val="auto"/>
          <w:kern w:val="0"/>
          <w:szCs w:val="21"/>
          <w:highlight w:val="none"/>
          <w:lang w:eastAsia="zh-CN"/>
        </w:rPr>
        <w:t>货物</w:t>
      </w:r>
      <w:r>
        <w:rPr>
          <w:rFonts w:hint="eastAsia" w:ascii="宋体" w:hAnsi="宋体" w:cs="宋体"/>
          <w:color w:val="auto"/>
          <w:kern w:val="0"/>
          <w:szCs w:val="21"/>
          <w:highlight w:val="none"/>
        </w:rPr>
        <w:t>采购。</w:t>
      </w:r>
    </w:p>
    <w:p w14:paraId="6D8CE6D3">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2.定义</w:t>
      </w:r>
    </w:p>
    <w:p w14:paraId="6DA7DB09">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2.1 “采购人”系指</w:t>
      </w:r>
      <w:r>
        <w:rPr>
          <w:rFonts w:hint="eastAsia" w:ascii="宋体" w:hAnsi="宋体" w:eastAsia="宋体" w:cs="宋体"/>
          <w:color w:val="auto"/>
          <w:kern w:val="0"/>
          <w:szCs w:val="21"/>
          <w:highlight w:val="none"/>
        </w:rPr>
        <w:t>各级国家机关、事业单位、团体组织</w:t>
      </w:r>
      <w:r>
        <w:rPr>
          <w:rFonts w:hint="eastAsia" w:ascii="宋体" w:hAnsi="宋体" w:cs="宋体"/>
          <w:color w:val="auto"/>
          <w:kern w:val="0"/>
          <w:szCs w:val="21"/>
          <w:highlight w:val="none"/>
        </w:rPr>
        <w:t>。</w:t>
      </w:r>
    </w:p>
    <w:p w14:paraId="3C131414">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”系指</w:t>
      </w:r>
      <w:r>
        <w:rPr>
          <w:rFonts w:hint="eastAsia" w:ascii="宋体" w:hAnsi="宋体" w:cs="宋体"/>
          <w:color w:val="auto"/>
          <w:kern w:val="0"/>
          <w:szCs w:val="21"/>
          <w:highlight w:val="none"/>
          <w:lang w:val="en-US" w:eastAsia="zh-CN"/>
        </w:rPr>
        <w:t>领取</w:t>
      </w:r>
      <w:r>
        <w:rPr>
          <w:rFonts w:hint="eastAsia" w:ascii="宋体" w:hAnsi="宋体" w:cs="宋体"/>
          <w:color w:val="auto"/>
          <w:kern w:val="0"/>
          <w:szCs w:val="21"/>
          <w:highlight w:val="none"/>
        </w:rPr>
        <w:t>了本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文件，且已经提交本次投标文件的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w:t>
      </w:r>
    </w:p>
    <w:p w14:paraId="4C9AF92D">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2.3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代表”系指代表</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参加本次</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活动的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的法定代表人或其委托代理人。</w:t>
      </w:r>
    </w:p>
    <w:p w14:paraId="23D1204F">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2.4 “货物”系指投标人按采购文件规定向采购人提供的一切设备、机械、仪器仪表、备品备件、工具、手册及其它有关技术资料和材料。</w:t>
      </w:r>
    </w:p>
    <w:p w14:paraId="3506193A">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3.采购预算：</w:t>
      </w:r>
      <w:r>
        <w:rPr>
          <w:rFonts w:hint="eastAsia" w:ascii="宋体" w:hAnsi="宋体" w:cs="宋体"/>
          <w:b/>
          <w:bCs/>
          <w:color w:val="auto"/>
          <w:kern w:val="0"/>
          <w:szCs w:val="21"/>
          <w:highlight w:val="none"/>
          <w:lang w:val="en-US" w:eastAsia="zh-CN"/>
        </w:rPr>
        <w:t>48万元</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rPr>
        <w:t>最高投标限价</w:t>
      </w:r>
      <w:r>
        <w:rPr>
          <w:rFonts w:hint="eastAsia" w:ascii="宋体" w:hAnsi="宋体" w:cs="宋体"/>
          <w:b/>
          <w:bCs/>
          <w:color w:val="auto"/>
          <w:kern w:val="0"/>
          <w:szCs w:val="21"/>
          <w:highlight w:val="none"/>
          <w:lang w:val="en-US" w:eastAsia="zh-CN"/>
        </w:rPr>
        <w:t>:详见第二章采购需求第二项采购标的清单中单项控制价</w:t>
      </w:r>
      <w:r>
        <w:rPr>
          <w:rFonts w:hint="eastAsia" w:ascii="宋体" w:hAnsi="宋体" w:cs="宋体"/>
          <w:b/>
          <w:bCs/>
          <w:color w:val="auto"/>
          <w:kern w:val="0"/>
          <w:szCs w:val="21"/>
          <w:highlight w:val="none"/>
          <w:lang w:eastAsia="zh-CN"/>
        </w:rPr>
        <w:t>；</w:t>
      </w:r>
    </w:p>
    <w:p w14:paraId="1C87CFB7">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szCs w:val="21"/>
          <w:highlight w:val="none"/>
        </w:rPr>
      </w:pPr>
      <w:r>
        <w:rPr>
          <w:rFonts w:hint="eastAsia" w:ascii="宋体" w:hAnsi="宋体" w:cs="宋体"/>
          <w:b/>
          <w:bCs/>
          <w:color w:val="auto"/>
          <w:kern w:val="0"/>
          <w:szCs w:val="21"/>
          <w:highlight w:val="none"/>
        </w:rPr>
        <w:t>4.</w:t>
      </w:r>
      <w:r>
        <w:rPr>
          <w:rFonts w:hint="eastAsia" w:ascii="宋体" w:hAnsi="宋体" w:cs="宋体"/>
          <w:b/>
          <w:bCs/>
          <w:color w:val="auto"/>
          <w:kern w:val="0"/>
          <w:szCs w:val="21"/>
          <w:highlight w:val="none"/>
          <w:lang w:eastAsia="zh-CN"/>
        </w:rPr>
        <w:t>供应商</w:t>
      </w:r>
      <w:r>
        <w:rPr>
          <w:rFonts w:hint="eastAsia" w:ascii="宋体" w:hAnsi="宋体" w:cs="宋体"/>
          <w:b/>
          <w:bCs/>
          <w:color w:val="auto"/>
          <w:kern w:val="0"/>
          <w:szCs w:val="21"/>
          <w:highlight w:val="none"/>
        </w:rPr>
        <w:t>应提交的证明文件</w:t>
      </w:r>
    </w:p>
    <w:p w14:paraId="76A64510">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default" w:cs="宋体"/>
          <w:color w:val="auto"/>
          <w:kern w:val="2"/>
          <w:sz w:val="21"/>
          <w:szCs w:val="24"/>
          <w:highlight w:val="none"/>
          <w:lang w:val="en-US" w:eastAsia="zh-CN" w:bidi="ar-SA"/>
        </w:rPr>
      </w:pPr>
      <w:r>
        <w:rPr>
          <w:rFonts w:hint="eastAsia" w:cs="宋体"/>
          <w:color w:val="auto"/>
          <w:kern w:val="2"/>
          <w:sz w:val="21"/>
          <w:szCs w:val="24"/>
          <w:highlight w:val="none"/>
          <w:lang w:val="en-US" w:eastAsia="zh-CN" w:bidi="ar-SA"/>
        </w:rPr>
        <w:t>4.1</w:t>
      </w:r>
      <w:r>
        <w:rPr>
          <w:rFonts w:hint="default" w:cs="宋体"/>
          <w:color w:val="auto"/>
          <w:kern w:val="2"/>
          <w:sz w:val="21"/>
          <w:szCs w:val="24"/>
          <w:highlight w:val="none"/>
          <w:lang w:val="en-US" w:eastAsia="zh-CN" w:bidi="ar-SA"/>
        </w:rPr>
        <w:t>供应商应为注册在中华人民共和国境内的，且具有独立承担民事责任能力，提供营业执照等证明文件。</w:t>
      </w:r>
    </w:p>
    <w:p w14:paraId="2140E82E">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default" w:cs="宋体"/>
          <w:color w:val="auto"/>
          <w:kern w:val="2"/>
          <w:sz w:val="21"/>
          <w:szCs w:val="24"/>
          <w:highlight w:val="none"/>
          <w:lang w:val="en-US" w:eastAsia="zh-CN" w:bidi="ar-SA"/>
        </w:rPr>
      </w:pPr>
      <w:r>
        <w:rPr>
          <w:rFonts w:hint="eastAsia" w:cs="宋体"/>
          <w:color w:val="auto"/>
          <w:kern w:val="2"/>
          <w:sz w:val="21"/>
          <w:szCs w:val="24"/>
          <w:highlight w:val="none"/>
          <w:lang w:val="en-US" w:eastAsia="zh-CN" w:bidi="ar-SA"/>
        </w:rPr>
        <w:t>4.2</w:t>
      </w:r>
      <w:r>
        <w:rPr>
          <w:rFonts w:hint="default" w:cs="宋体"/>
          <w:color w:val="auto"/>
          <w:kern w:val="2"/>
          <w:sz w:val="21"/>
          <w:szCs w:val="24"/>
          <w:highlight w:val="none"/>
          <w:lang w:val="en-US" w:eastAsia="zh-CN" w:bidi="ar-SA"/>
        </w:rPr>
        <w:t>供应商应提供2022年度或2023年度经审计的财务报告或者其基本开户银行出具的资信证明；采购活动近六个月任意一个月的依法缴纳税收的凭据和缴纳社会保险的凭据；依法免税或不需要缴纳社会保障资金的供应商，应提供相应文件证明其依法免税或不需要缴纳社会保障资金。（新成立企业从成立之日起计算）；</w:t>
      </w:r>
    </w:p>
    <w:p w14:paraId="71A47A2E">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default" w:cs="宋体"/>
          <w:color w:val="auto"/>
          <w:kern w:val="2"/>
          <w:sz w:val="21"/>
          <w:szCs w:val="24"/>
          <w:highlight w:val="none"/>
          <w:lang w:val="en-US" w:eastAsia="zh-CN" w:bidi="ar-SA"/>
        </w:rPr>
      </w:pPr>
      <w:r>
        <w:rPr>
          <w:rFonts w:hint="eastAsia" w:cs="宋体"/>
          <w:color w:val="auto"/>
          <w:kern w:val="2"/>
          <w:sz w:val="21"/>
          <w:szCs w:val="24"/>
          <w:highlight w:val="none"/>
          <w:lang w:val="en-US" w:eastAsia="zh-CN" w:bidi="ar-SA"/>
        </w:rPr>
        <w:t>4.3</w:t>
      </w:r>
      <w:r>
        <w:rPr>
          <w:rFonts w:hint="default" w:cs="宋体"/>
          <w:color w:val="auto"/>
          <w:kern w:val="2"/>
          <w:sz w:val="21"/>
          <w:szCs w:val="24"/>
          <w:highlight w:val="none"/>
          <w:lang w:val="en-US" w:eastAsia="zh-CN" w:bidi="ar-SA"/>
        </w:rPr>
        <w:t>具有履行合同所必需的设备和专业技术能力（提供书面声明函）；</w:t>
      </w:r>
    </w:p>
    <w:p w14:paraId="1A5D4137">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default" w:cs="宋体"/>
          <w:color w:val="auto"/>
          <w:kern w:val="2"/>
          <w:sz w:val="21"/>
          <w:szCs w:val="24"/>
          <w:highlight w:val="none"/>
          <w:lang w:val="en-US" w:eastAsia="zh-CN" w:bidi="ar-SA"/>
        </w:rPr>
      </w:pPr>
      <w:r>
        <w:rPr>
          <w:rFonts w:hint="default" w:cs="宋体"/>
          <w:color w:val="auto"/>
          <w:kern w:val="2"/>
          <w:sz w:val="21"/>
          <w:szCs w:val="24"/>
          <w:highlight w:val="none"/>
          <w:lang w:val="en-US" w:eastAsia="zh-CN" w:bidi="ar-SA"/>
        </w:rPr>
        <w:t>4</w:t>
      </w:r>
      <w:r>
        <w:rPr>
          <w:rFonts w:hint="eastAsia" w:cs="宋体"/>
          <w:color w:val="auto"/>
          <w:kern w:val="2"/>
          <w:sz w:val="21"/>
          <w:szCs w:val="24"/>
          <w:highlight w:val="none"/>
          <w:lang w:val="en-US" w:eastAsia="zh-CN" w:bidi="ar-SA"/>
        </w:rPr>
        <w:t>.4</w:t>
      </w:r>
      <w:r>
        <w:rPr>
          <w:rFonts w:hint="default" w:cs="宋体"/>
          <w:color w:val="auto"/>
          <w:kern w:val="2"/>
          <w:sz w:val="21"/>
          <w:szCs w:val="24"/>
          <w:highlight w:val="none"/>
          <w:lang w:val="en-US" w:eastAsia="zh-CN" w:bidi="ar-SA"/>
        </w:rPr>
        <w:t>参加本采购活动前三年内，在经营活动中没有重大违法记录（提供书面声明函）；</w:t>
      </w:r>
    </w:p>
    <w:p w14:paraId="6766D386">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default" w:cs="宋体"/>
          <w:color w:val="auto"/>
          <w:kern w:val="2"/>
          <w:sz w:val="21"/>
          <w:szCs w:val="24"/>
          <w:highlight w:val="none"/>
          <w:lang w:val="en-US" w:eastAsia="zh-CN" w:bidi="ar-SA"/>
        </w:rPr>
      </w:pPr>
      <w:r>
        <w:rPr>
          <w:rFonts w:hint="eastAsia" w:cs="宋体"/>
          <w:color w:val="auto"/>
          <w:kern w:val="2"/>
          <w:sz w:val="21"/>
          <w:szCs w:val="24"/>
          <w:highlight w:val="none"/>
          <w:lang w:val="en-US" w:eastAsia="zh-CN" w:bidi="ar-SA"/>
        </w:rPr>
        <w:t>4.5</w:t>
      </w:r>
      <w:r>
        <w:rPr>
          <w:rFonts w:hint="default" w:cs="宋体"/>
          <w:color w:val="auto"/>
          <w:kern w:val="2"/>
          <w:sz w:val="21"/>
          <w:szCs w:val="24"/>
          <w:highlight w:val="none"/>
          <w:lang w:val="en-US" w:eastAsia="zh-CN" w:bidi="ar-SA"/>
        </w:rPr>
        <w:t>符合法律、行政法规规定的其他条件；</w:t>
      </w:r>
    </w:p>
    <w:p w14:paraId="6B6CA38B">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default" w:cs="宋体"/>
          <w:color w:val="auto"/>
          <w:kern w:val="2"/>
          <w:sz w:val="21"/>
          <w:szCs w:val="24"/>
          <w:highlight w:val="none"/>
          <w:lang w:val="en-US" w:eastAsia="zh-CN" w:bidi="ar-SA"/>
        </w:rPr>
      </w:pPr>
      <w:r>
        <w:rPr>
          <w:rFonts w:hint="eastAsia" w:cs="宋体"/>
          <w:color w:val="auto"/>
          <w:kern w:val="2"/>
          <w:sz w:val="21"/>
          <w:szCs w:val="24"/>
          <w:highlight w:val="none"/>
          <w:lang w:val="en-US" w:eastAsia="zh-CN" w:bidi="ar-SA"/>
        </w:rPr>
        <w:t>4.6</w:t>
      </w:r>
      <w:r>
        <w:rPr>
          <w:rFonts w:hint="default" w:cs="宋体"/>
          <w:color w:val="auto"/>
          <w:kern w:val="2"/>
          <w:sz w:val="21"/>
          <w:szCs w:val="24"/>
          <w:highlight w:val="none"/>
          <w:lang w:val="en-US" w:eastAsia="zh-CN" w:bidi="ar-SA"/>
        </w:rPr>
        <w:t>供应商为制造商，所投产品为第一类医疗器械须提供有效的《医疗器械生产备案凭证》，所投产品为第二、三类医疗器械须提供有效的《医疗器械生产许可证》；供应商为经销商或代理商的须提供《医疗器械经营许可证》或《医疗器械经营备案凭证》，所投产品为第二类、第三类医疗器械，则须提供有效的《医疗器械注册证》。（如投标产品不属于医疗器械管理范围的可不提供）。</w:t>
      </w:r>
    </w:p>
    <w:p w14:paraId="13E3E41E">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default" w:cs="宋体"/>
          <w:color w:val="auto"/>
          <w:kern w:val="2"/>
          <w:sz w:val="21"/>
          <w:szCs w:val="24"/>
          <w:highlight w:val="none"/>
          <w:lang w:val="en-US" w:eastAsia="zh-CN" w:bidi="ar-SA"/>
        </w:rPr>
      </w:pPr>
      <w:r>
        <w:rPr>
          <w:rFonts w:hint="eastAsia" w:cs="宋体"/>
          <w:color w:val="auto"/>
          <w:kern w:val="2"/>
          <w:sz w:val="21"/>
          <w:szCs w:val="24"/>
          <w:highlight w:val="none"/>
          <w:lang w:val="en-US" w:eastAsia="zh-CN" w:bidi="ar-SA"/>
        </w:rPr>
        <w:t>4.7</w:t>
      </w:r>
      <w:r>
        <w:rPr>
          <w:rFonts w:hint="default" w:cs="宋体"/>
          <w:color w:val="auto"/>
          <w:kern w:val="2"/>
          <w:sz w:val="21"/>
          <w:szCs w:val="24"/>
          <w:highlight w:val="none"/>
          <w:lang w:val="en-US" w:eastAsia="zh-CN" w:bidi="ar-SA"/>
        </w:rPr>
        <w:t>根据《关于在政府采购活动中查询及使用信用记录有关问题的通知》（财库【2016】125号）的规定，对列入失信被执行人、重大税收违法失信主体、政府采购严重违法失信行为记录名单的供应商，拒绝参与本项目政府采购活动；（查询渠道：“信用中国”网站、中国政府采购网，供应商提供的仅做为信用参考，以采购人或采购代理机构查询结果为准）；</w:t>
      </w:r>
    </w:p>
    <w:p w14:paraId="3F22EF56">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default" w:cs="宋体"/>
          <w:color w:val="auto"/>
          <w:kern w:val="2"/>
          <w:sz w:val="21"/>
          <w:szCs w:val="24"/>
          <w:highlight w:val="none"/>
          <w:lang w:val="en-US" w:eastAsia="zh-CN" w:bidi="ar-SA"/>
        </w:rPr>
      </w:pPr>
      <w:r>
        <w:rPr>
          <w:rFonts w:hint="eastAsia" w:cs="宋体"/>
          <w:color w:val="auto"/>
          <w:kern w:val="2"/>
          <w:sz w:val="21"/>
          <w:szCs w:val="24"/>
          <w:highlight w:val="none"/>
          <w:lang w:val="en-US" w:eastAsia="zh-CN" w:bidi="ar-SA"/>
        </w:rPr>
        <w:t>4.8</w:t>
      </w:r>
      <w:r>
        <w:rPr>
          <w:rFonts w:hint="default" w:cs="宋体"/>
          <w:color w:val="auto"/>
          <w:kern w:val="2"/>
          <w:sz w:val="21"/>
          <w:szCs w:val="24"/>
          <w:highlight w:val="none"/>
          <w:lang w:val="en-US" w:eastAsia="zh-CN" w:bidi="ar-SA"/>
        </w:rPr>
        <w:t>单位负责人为同一人或者存在直接控股、管理关系的不同供应商，不得参加同一合同项下的投标（提供书面声明函）。一经发现，将导致投标同时被拒绝。</w:t>
      </w:r>
    </w:p>
    <w:p w14:paraId="323A400E">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5.投标费用</w:t>
      </w:r>
    </w:p>
    <w:p w14:paraId="12FBBD2F">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不论投标结果如何，</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均应自行承担所有与投标有关的全部费用。</w:t>
      </w:r>
    </w:p>
    <w:p w14:paraId="60ADA456">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6.联合体投标：本项目不接受联合体投标。</w:t>
      </w:r>
    </w:p>
    <w:p w14:paraId="38EE1828">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7.关联企业投标</w:t>
      </w:r>
    </w:p>
    <w:p w14:paraId="37888F52">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7.1 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14:paraId="79E41C36">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cs="宋体"/>
          <w:color w:val="auto"/>
          <w:kern w:val="0"/>
          <w:szCs w:val="21"/>
          <w:highlight w:val="none"/>
          <w:lang w:eastAsia="zh-CN"/>
        </w:rPr>
        <w:t>。</w:t>
      </w:r>
    </w:p>
    <w:p w14:paraId="3EC9E007">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7.3 为采购项目提供整体设计、规范编制或者项目管理、监理、检测等服务的供应商，不得再参加该采购项目的投标活动。</w:t>
      </w:r>
    </w:p>
    <w:p w14:paraId="048E53FB">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8.转包与分包</w:t>
      </w:r>
    </w:p>
    <w:p w14:paraId="18E8D793">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8.1本项目不允许采取转包方式履行合同。</w:t>
      </w:r>
    </w:p>
    <w:p w14:paraId="78943497">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8.2本项目不允许采取分包方式履行合同。</w:t>
      </w:r>
    </w:p>
    <w:p w14:paraId="6968E2EE">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9.特别说明：</w:t>
      </w:r>
    </w:p>
    <w:p w14:paraId="444955C0">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9.1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投标所使用的资格、信誉、荣誉、业绩与企业认证必须为本法人所拥有。  </w:t>
      </w:r>
    </w:p>
    <w:p w14:paraId="68BCA07A">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9.2</w:t>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代表只能接受一个</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的委托参加投标。</w:t>
      </w:r>
    </w:p>
    <w:p w14:paraId="6B47A43E">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9.3《政府采购法》第二十二条第五款“参加政府采购活动前三年内，在经营活动中没有重大违法记录”，“重大违法记录”包括</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或者其法定代表人、董事、监事、高级管理人员因经营活动中的违法行为受到行政处罚，但警告和罚款额在人民币3万元以下的行政处罚除外；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或其法定代表人、董事、监事、高级管理人员因经营活动中的违法行为受到刑事处罚。</w:t>
      </w:r>
    </w:p>
    <w:p w14:paraId="017A03DE">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9.4</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在投标活动中提供虚假材料或从事其他违法活动的,其投标无效，由相关部门查处。</w:t>
      </w:r>
    </w:p>
    <w:p w14:paraId="4619306B">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10.质疑和投诉</w:t>
      </w:r>
    </w:p>
    <w:p w14:paraId="496662FC">
      <w:pPr>
        <w:keepNext w:val="0"/>
        <w:keepLines w:val="0"/>
        <w:pageBreakBefore w:val="0"/>
        <w:widowControl/>
        <w:kinsoku/>
        <w:wordWrap/>
        <w:overflowPunct/>
        <w:topLinePunct w:val="0"/>
        <w:bidi w:val="0"/>
        <w:snapToGrid w:val="0"/>
        <w:spacing w:line="360" w:lineRule="auto"/>
        <w:ind w:firstLine="411" w:firstLineChars="196"/>
        <w:jc w:val="left"/>
        <w:rPr>
          <w:rFonts w:ascii="宋体" w:hAnsi="宋体" w:cs="宋体"/>
          <w:color w:val="auto"/>
          <w:kern w:val="0"/>
          <w:szCs w:val="21"/>
          <w:highlight w:val="none"/>
        </w:rPr>
      </w:pPr>
      <w:r>
        <w:rPr>
          <w:rFonts w:hint="eastAsia" w:ascii="宋体" w:hAnsi="宋体" w:cs="宋体"/>
          <w:color w:val="auto"/>
          <w:kern w:val="0"/>
          <w:szCs w:val="21"/>
          <w:highlight w:val="none"/>
        </w:rPr>
        <w:t>10.1 </w:t>
      </w:r>
      <w:r>
        <w:rPr>
          <w:rFonts w:hint="eastAsia" w:ascii="宋体" w:hAnsi="宋体" w:cs="宋体"/>
          <w:bCs/>
          <w:color w:val="auto"/>
          <w:kern w:val="0"/>
          <w:szCs w:val="21"/>
          <w:highlight w:val="none"/>
        </w:rPr>
        <w:t>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w:t>
      </w:r>
      <w:r>
        <w:rPr>
          <w:rFonts w:hint="eastAsia" w:ascii="宋体" w:hAnsi="宋体" w:cs="宋体"/>
          <w:color w:val="auto"/>
          <w:kern w:val="0"/>
          <w:szCs w:val="21"/>
          <w:highlight w:val="none"/>
          <w:lang w:val="en-US" w:eastAsia="zh-CN"/>
        </w:rPr>
        <w:t>医院纪检</w:t>
      </w:r>
      <w:r>
        <w:rPr>
          <w:rFonts w:hint="eastAsia" w:ascii="宋体" w:hAnsi="宋体" w:cs="宋体"/>
          <w:color w:val="auto"/>
          <w:kern w:val="0"/>
          <w:szCs w:val="21"/>
          <w:highlight w:val="none"/>
        </w:rPr>
        <w:t>部门投诉。</w:t>
      </w:r>
    </w:p>
    <w:p w14:paraId="76B427A1">
      <w:pPr>
        <w:keepNext w:val="0"/>
        <w:keepLines w:val="0"/>
        <w:pageBreakBefore w:val="0"/>
        <w:widowControl/>
        <w:shd w:val="clear" w:color="auto" w:fill="FFFFFF"/>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10.2 </w:t>
      </w:r>
      <w:r>
        <w:rPr>
          <w:rFonts w:hint="eastAsia" w:ascii="宋体" w:hAnsi="宋体" w:cs="宋体"/>
          <w:bCs/>
          <w:color w:val="auto"/>
          <w:kern w:val="0"/>
          <w:szCs w:val="21"/>
          <w:highlight w:val="none"/>
        </w:rPr>
        <w:t>质疑、投诉应当采用书面形式，质疑书、投诉书均应明确阐述</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过程和中标结果中使自己合法权益受到损害的实质性内容，提供相关事实、依据和证据及其来源或线索，便于有关单位调查、答复和处理。</w:t>
      </w:r>
    </w:p>
    <w:p w14:paraId="06469B0B">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11.</w:t>
      </w:r>
      <w:r>
        <w:rPr>
          <w:rFonts w:hint="eastAsia" w:ascii="宋体" w:hAnsi="宋体" w:cs="宋体"/>
          <w:b/>
          <w:bCs/>
          <w:color w:val="auto"/>
          <w:kern w:val="0"/>
          <w:szCs w:val="21"/>
          <w:highlight w:val="none"/>
          <w:lang w:eastAsia="zh-CN"/>
        </w:rPr>
        <w:t>供应商</w:t>
      </w:r>
      <w:r>
        <w:rPr>
          <w:rFonts w:hint="eastAsia" w:ascii="宋体" w:hAnsi="宋体" w:cs="宋体"/>
          <w:b/>
          <w:bCs/>
          <w:color w:val="auto"/>
          <w:kern w:val="0"/>
          <w:szCs w:val="21"/>
          <w:highlight w:val="none"/>
        </w:rPr>
        <w:t>的风险</w:t>
      </w:r>
    </w:p>
    <w:p w14:paraId="48EB5FB4">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没有按照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文件要求提供全部资料，或者</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没有对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文件在各方面都作出实质性响应是</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的风险，并可能导致其投标被拒绝。</w:t>
      </w:r>
    </w:p>
    <w:p w14:paraId="3D6E6D7E">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二、</w:t>
      </w:r>
      <w:r>
        <w:rPr>
          <w:rFonts w:hint="eastAsia" w:ascii="黑体" w:hAnsi="宋体" w:eastAsia="黑体" w:cs="宋体"/>
          <w:b/>
          <w:bCs/>
          <w:color w:val="auto"/>
          <w:kern w:val="0"/>
          <w:sz w:val="32"/>
          <w:szCs w:val="32"/>
          <w:highlight w:val="none"/>
          <w:lang w:val="en-US" w:eastAsia="zh-CN"/>
        </w:rPr>
        <w:t>采购</w:t>
      </w:r>
      <w:r>
        <w:rPr>
          <w:rFonts w:hint="eastAsia" w:ascii="黑体" w:hAnsi="宋体" w:eastAsia="黑体" w:cs="宋体"/>
          <w:b/>
          <w:bCs/>
          <w:color w:val="auto"/>
          <w:kern w:val="0"/>
          <w:sz w:val="32"/>
          <w:szCs w:val="32"/>
          <w:highlight w:val="none"/>
        </w:rPr>
        <w:t>文件</w:t>
      </w:r>
    </w:p>
    <w:p w14:paraId="27C9DE7B">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12.</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文件的构成。本</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文件由以下部分组成：</w:t>
      </w:r>
    </w:p>
    <w:p w14:paraId="1CA1A01D">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12.1 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w:t>
      </w:r>
    </w:p>
    <w:p w14:paraId="339B36E7">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需求</w:t>
      </w:r>
    </w:p>
    <w:p w14:paraId="0AB9A9D8">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12.3 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w:t>
      </w:r>
    </w:p>
    <w:p w14:paraId="2F7167CC">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12.4 评标办法</w:t>
      </w:r>
    </w:p>
    <w:p w14:paraId="2D32A6A3">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12.5 合同主要条款</w:t>
      </w:r>
    </w:p>
    <w:p w14:paraId="23730844">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12.6 投标文件格式</w:t>
      </w:r>
    </w:p>
    <w:p w14:paraId="6B431501">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bCs/>
          <w:color w:val="auto"/>
          <w:kern w:val="0"/>
          <w:szCs w:val="21"/>
          <w:highlight w:val="none"/>
        </w:rPr>
      </w:pPr>
      <w:r>
        <w:rPr>
          <w:rFonts w:hint="eastAsia" w:ascii="宋体" w:hAnsi="宋体" w:cs="宋体"/>
          <w:b/>
          <w:bCs/>
          <w:color w:val="auto"/>
          <w:kern w:val="0"/>
          <w:szCs w:val="21"/>
          <w:highlight w:val="none"/>
        </w:rPr>
        <w:t>13.</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文件的澄清与修改</w:t>
      </w:r>
    </w:p>
    <w:p w14:paraId="0A279CD9">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13.1 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对已发出的</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文件进行必要澄清、修改或补充的，应当在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文件要求提交投标文件截止时间</w:t>
      </w:r>
      <w:r>
        <w:rPr>
          <w:rFonts w:hint="eastAsia" w:ascii="宋体" w:hAnsi="宋体" w:cs="宋体"/>
          <w:color w:val="auto"/>
          <w:kern w:val="0"/>
          <w:szCs w:val="21"/>
          <w:highlight w:val="none"/>
          <w:lang w:val="en-US" w:eastAsia="zh-CN"/>
        </w:rPr>
        <w:t>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前，在</w:t>
      </w:r>
      <w:r>
        <w:rPr>
          <w:rFonts w:hint="eastAsia" w:ascii="宋体" w:hAnsi="宋体" w:cs="宋体"/>
          <w:color w:val="auto"/>
          <w:kern w:val="0"/>
          <w:szCs w:val="21"/>
          <w:highlight w:val="none"/>
          <w:lang w:val="en-US" w:eastAsia="zh-CN"/>
        </w:rPr>
        <w:t>原采购公告发布</w:t>
      </w:r>
      <w:r>
        <w:rPr>
          <w:rFonts w:hint="eastAsia" w:ascii="宋体" w:hAnsi="宋体" w:cs="宋体"/>
          <w:color w:val="auto"/>
          <w:kern w:val="0"/>
          <w:szCs w:val="21"/>
          <w:highlight w:val="none"/>
        </w:rPr>
        <w:t>相关媒体上发布更正公告或变更公告。</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文件公示期间对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文件进行的澄清、修改或补充不受上述限制。</w:t>
      </w:r>
    </w:p>
    <w:p w14:paraId="4632B204">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文件澄清、修改或补充的内容为</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文件的组成部分。</w:t>
      </w:r>
    </w:p>
    <w:p w14:paraId="79249442">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13.3 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文件的澄清、修改或补充都应以法定形式发布。采购人未对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文件进行的澄清、修改或补充无效，评标时不予认可。</w:t>
      </w:r>
    </w:p>
    <w:p w14:paraId="7595B708">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rPr>
        <w:t>13.4 </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可以视招标具体情况延长投标截止时间和开标时间，但至少应当在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文件要求提交投标文件的截止时间3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前，将变更时间</w:t>
      </w:r>
      <w:r>
        <w:rPr>
          <w:rFonts w:hint="eastAsia" w:ascii="宋体" w:hAnsi="宋体" w:cs="宋体"/>
          <w:color w:val="auto"/>
          <w:kern w:val="0"/>
          <w:szCs w:val="21"/>
          <w:highlight w:val="none"/>
          <w:lang w:val="en-US" w:eastAsia="zh-CN"/>
        </w:rPr>
        <w:t>通知所有潜在供应商</w:t>
      </w:r>
      <w:r>
        <w:rPr>
          <w:rFonts w:hint="eastAsia" w:ascii="宋体" w:hAnsi="宋体" w:cs="宋体"/>
          <w:color w:val="auto"/>
          <w:kern w:val="0"/>
          <w:szCs w:val="21"/>
          <w:highlight w:val="none"/>
        </w:rPr>
        <w:t>。</w:t>
      </w:r>
    </w:p>
    <w:p w14:paraId="678F692D">
      <w:pPr>
        <w:keepNext w:val="0"/>
        <w:keepLines w:val="0"/>
        <w:pageBreakBefore w:val="0"/>
        <w:widowControl/>
        <w:kinsoku/>
        <w:wordWrap/>
        <w:overflowPunct/>
        <w:topLinePunct w:val="0"/>
        <w:autoSpaceDE/>
        <w:autoSpaceDN/>
        <w:bidi w:val="0"/>
        <w:adjustRightInd/>
        <w:snapToGrid w:val="0"/>
        <w:spacing w:line="360" w:lineRule="auto"/>
        <w:ind w:firstLine="0" w:firstLineChars="0"/>
        <w:jc w:val="center"/>
        <w:textAlignment w:val="auto"/>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三</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投标文件的编制</w:t>
      </w:r>
    </w:p>
    <w:p w14:paraId="0A8B84FF">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14.要求</w:t>
      </w:r>
    </w:p>
    <w:p w14:paraId="4A4A8AA1">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14.1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应仔细阅读</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文件的所有内容，按照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文件提供的格式编写投标文件，不得缺少或留空任何</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文件要求填写的表格或提交的资料。</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文件提供格式的按格式填列，未提供格式的可自行拟定。投标文件应对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文件的要求作出实质性响应（包括</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资格要求、技术要求、商务要求和投标文件格式中对投标的要求），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对所提供的全部资料的合法性、真实性负责。</w:t>
      </w:r>
    </w:p>
    <w:p w14:paraId="07C59097">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14.2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应完整签署投标文件格式附件中《投标书》和《抵制商业贿赂承诺》，不得增减或修改内容。否则视为对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14:paraId="60A835AB">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15.投标文件的语言和计量单位</w:t>
      </w:r>
    </w:p>
    <w:p w14:paraId="0105850F">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15.1投标文件以及</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与采购人就有关投标事宜的所有来往函电均应使用简体中文书写。</w:t>
      </w:r>
    </w:p>
    <w:p w14:paraId="5C6C1B9B">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15.2 关于投标计量单位，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文件已有明确规定的，使用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文件规定的计量单位；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文件没有规定的，应采用中华人民共和国法定计量单位。否则视为对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14:paraId="3B0F55D9">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15.3 原版为外文的证书类文件，以及由外国人做出的本人签名、外国公司的名称或外国印章等可以是外文，但应当提供中文翻译文件并加盖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公章。必要时</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可以要求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提供附有公证书的中文翻译文件或者与原版文件签章相一致的中文翻译文件。</w:t>
      </w:r>
    </w:p>
    <w:p w14:paraId="43FDEB43">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16.投标文件的组成</w:t>
      </w:r>
      <w:r>
        <w:rPr>
          <w:rFonts w:hint="eastAsia" w:ascii="宋体" w:hAnsi="宋体" w:cs="宋体"/>
          <w:color w:val="auto"/>
          <w:kern w:val="0"/>
          <w:szCs w:val="21"/>
          <w:highlight w:val="none"/>
        </w:rPr>
        <w:t>。</w:t>
      </w:r>
      <w:r>
        <w:rPr>
          <w:rFonts w:hint="eastAsia" w:ascii="宋体" w:hAnsi="宋体" w:cs="宋体"/>
          <w:b/>
          <w:bCs/>
          <w:color w:val="auto"/>
          <w:kern w:val="0"/>
          <w:szCs w:val="21"/>
          <w:highlight w:val="none"/>
        </w:rPr>
        <w:t>投标文件应包括下列部分：</w:t>
      </w:r>
    </w:p>
    <w:p w14:paraId="4EA7A75B">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16.1、投标书及开标一览表</w:t>
      </w:r>
    </w:p>
    <w:p w14:paraId="718B23EE">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16.2、</w:t>
      </w:r>
      <w:r>
        <w:rPr>
          <w:rFonts w:hint="eastAsia" w:ascii="宋体" w:hAnsi="宋体" w:cs="宋体"/>
          <w:color w:val="auto"/>
          <w:kern w:val="0"/>
          <w:szCs w:val="21"/>
          <w:highlight w:val="none"/>
        </w:rPr>
        <w:t>报价明细表</w:t>
      </w:r>
    </w:p>
    <w:p w14:paraId="6430CD08">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、技术响应表</w:t>
      </w:r>
    </w:p>
    <w:p w14:paraId="2C5B85A6">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、商务响应表</w:t>
      </w:r>
    </w:p>
    <w:p w14:paraId="747BC47F">
      <w:pPr>
        <w:keepNext w:val="0"/>
        <w:keepLines w:val="0"/>
        <w:pageBreakBefore w:val="0"/>
        <w:widowControl/>
        <w:kinsoku/>
        <w:wordWrap/>
        <w:overflowPunct/>
        <w:topLinePunct w:val="0"/>
        <w:bidi w:val="0"/>
        <w:snapToGrid w:val="0"/>
        <w:spacing w:line="360" w:lineRule="auto"/>
        <w:ind w:left="208" w:leftChars="99"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、法定代表人身份证明</w:t>
      </w:r>
    </w:p>
    <w:p w14:paraId="72F24F96">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、法定代表人授权书</w:t>
      </w:r>
    </w:p>
    <w:p w14:paraId="7C3D64D5">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7</w:t>
      </w:r>
      <w:r>
        <w:rPr>
          <w:rFonts w:hint="eastAsia" w:ascii="宋体" w:hAnsi="宋体" w:cs="宋体"/>
          <w:color w:val="auto"/>
          <w:kern w:val="0"/>
          <w:szCs w:val="21"/>
          <w:highlight w:val="none"/>
        </w:rPr>
        <w:t>、证明文件</w:t>
      </w:r>
    </w:p>
    <w:p w14:paraId="569ACCC1">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、抵制商业贿赂承诺</w:t>
      </w:r>
    </w:p>
    <w:p w14:paraId="1910709D">
      <w:pPr>
        <w:pStyle w:val="16"/>
        <w:keepNext w:val="0"/>
        <w:keepLines w:val="0"/>
        <w:pageBreakBefore w:val="0"/>
        <w:kinsoku/>
        <w:wordWrap/>
        <w:overflowPunct/>
        <w:topLinePunct w:val="0"/>
        <w:bidi w:val="0"/>
        <w:snapToGrid w:val="0"/>
        <w:spacing w:beforeAutospacing="0" w:afterAutospacing="0" w:line="360" w:lineRule="auto"/>
        <w:rPr>
          <w:color w:val="auto"/>
          <w:sz w:val="21"/>
          <w:szCs w:val="21"/>
          <w:highlight w:val="none"/>
        </w:rPr>
      </w:pPr>
      <w:r>
        <w:rPr>
          <w:rFonts w:hint="eastAsia"/>
          <w:color w:val="auto"/>
          <w:sz w:val="21"/>
          <w:szCs w:val="21"/>
          <w:highlight w:val="none"/>
        </w:rPr>
        <w:t>16.</w:t>
      </w:r>
      <w:r>
        <w:rPr>
          <w:rFonts w:hint="eastAsia"/>
          <w:color w:val="auto"/>
          <w:sz w:val="21"/>
          <w:szCs w:val="21"/>
          <w:highlight w:val="none"/>
          <w:lang w:val="en-US" w:eastAsia="zh-CN"/>
        </w:rPr>
        <w:t>9</w:t>
      </w:r>
      <w:r>
        <w:rPr>
          <w:rFonts w:hint="eastAsia"/>
          <w:color w:val="auto"/>
          <w:sz w:val="21"/>
          <w:szCs w:val="21"/>
          <w:highlight w:val="none"/>
        </w:rPr>
        <w:t>、</w:t>
      </w:r>
      <w:r>
        <w:rPr>
          <w:rFonts w:hint="eastAsia"/>
          <w:color w:val="auto"/>
          <w:sz w:val="21"/>
          <w:szCs w:val="21"/>
          <w:highlight w:val="none"/>
          <w:lang w:eastAsia="zh-CN"/>
        </w:rPr>
        <w:t>供应商</w:t>
      </w:r>
      <w:r>
        <w:rPr>
          <w:rFonts w:hint="eastAsia"/>
          <w:color w:val="auto"/>
          <w:sz w:val="21"/>
          <w:szCs w:val="21"/>
          <w:highlight w:val="none"/>
        </w:rPr>
        <w:t>认为有必要的其他资料</w:t>
      </w:r>
    </w:p>
    <w:p w14:paraId="79700366">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17.投标有效期</w:t>
      </w:r>
    </w:p>
    <w:p w14:paraId="6CA4CD49">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17.1 投标文件从</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公告所规定的投标截止期之后开始生效，在</w:t>
      </w:r>
      <w:r>
        <w:rPr>
          <w:rFonts w:hint="eastAsia" w:ascii="宋体" w:hAnsi="宋体" w:cs="宋体"/>
          <w:bCs/>
          <w:color w:val="auto"/>
          <w:kern w:val="0"/>
          <w:szCs w:val="21"/>
          <w:highlight w:val="none"/>
          <w:lang w:eastAsia="zh-CN"/>
        </w:rPr>
        <w:t>供应商</w:t>
      </w:r>
      <w:r>
        <w:rPr>
          <w:rFonts w:hint="eastAsia" w:ascii="宋体" w:hAnsi="宋体" w:cs="宋体"/>
          <w:bCs/>
          <w:color w:val="auto"/>
          <w:kern w:val="0"/>
          <w:szCs w:val="21"/>
          <w:highlight w:val="none"/>
        </w:rPr>
        <w:t>须知前附表</w:t>
      </w:r>
      <w:r>
        <w:rPr>
          <w:rFonts w:hint="eastAsia" w:ascii="宋体" w:hAnsi="宋体" w:cs="宋体"/>
          <w:color w:val="auto"/>
          <w:kern w:val="0"/>
          <w:szCs w:val="21"/>
          <w:highlight w:val="none"/>
        </w:rPr>
        <w:t>第16项所规定的期限内保持有效。有效期不足将导致其投标文件被拒绝。</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的投标文件有效期至合同完全履行止。</w:t>
      </w:r>
    </w:p>
    <w:p w14:paraId="69030740">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17.2特殊情况下</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可于投标有效期满之前书面要求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同意延长有效期，</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应在</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规定的期限内以书面形式予以答复。</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可以拒绝上述要求。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答复不明确或者逾期未答复的，均视为拒绝上述要求。对于接受该要求的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，既不要求也不允许其修改投标文件。</w:t>
      </w:r>
    </w:p>
    <w:p w14:paraId="144E1ABE">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18.投标报价</w:t>
      </w:r>
    </w:p>
    <w:p w14:paraId="110CC5CB">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18.1 所有投标报价均以人民币元为计算单位。</w:t>
      </w:r>
    </w:p>
    <w:p w14:paraId="06DFA7AA">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要按开标一览表的内容填写。</w:t>
      </w:r>
    </w:p>
    <w:p w14:paraId="1B83BECF">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18.3 </w:t>
      </w:r>
      <w:r>
        <w:rPr>
          <w:rFonts w:hint="eastAsia" w:ascii="宋体" w:hAnsi="宋体" w:cs="宋体"/>
          <w:color w:val="auto"/>
          <w:spacing w:val="10"/>
          <w:kern w:val="0"/>
          <w:szCs w:val="21"/>
          <w:highlight w:val="none"/>
          <w:lang w:eastAsia="zh-CN"/>
        </w:rPr>
        <w:t>供应商</w:t>
      </w:r>
      <w:r>
        <w:rPr>
          <w:rFonts w:hint="eastAsia" w:ascii="宋体" w:hAnsi="宋体" w:cs="宋体"/>
          <w:color w:val="auto"/>
          <w:spacing w:val="10"/>
          <w:kern w:val="0"/>
          <w:szCs w:val="21"/>
          <w:highlight w:val="none"/>
        </w:rPr>
        <w:t>投报多标包的，应对每标包分别报价并分别填报开标一览表。</w:t>
      </w:r>
    </w:p>
    <w:p w14:paraId="6914DF00">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18.4 开标一览表中标明的价格为磋商时的参考价格，磋商小组以最终磋商报价确定成交供应商的成交价格。</w:t>
      </w:r>
    </w:p>
    <w:p w14:paraId="227CAD3D">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18.5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不接受可选择的投标报价。</w:t>
      </w:r>
    </w:p>
    <w:p w14:paraId="2724F307">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18.6 对于</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在开标一览表和投标文件中列出的赠送条款，在评审时不得作为价格评分因素或者调整评标价格的依据。</w:t>
      </w:r>
    </w:p>
    <w:p w14:paraId="73911F53">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cs="宋体"/>
          <w:b/>
          <w:color w:val="auto"/>
          <w:kern w:val="0"/>
          <w:szCs w:val="21"/>
          <w:highlight w:val="none"/>
        </w:rPr>
        <w:t>19.投标保证金</w:t>
      </w:r>
      <w:r>
        <w:rPr>
          <w:rFonts w:hint="eastAsia" w:ascii="宋体" w:hAnsi="宋体" w:cs="宋体"/>
          <w:b/>
          <w:color w:val="auto"/>
          <w:kern w:val="0"/>
          <w:szCs w:val="21"/>
          <w:highlight w:val="none"/>
          <w:lang w:eastAsia="zh-CN"/>
        </w:rPr>
        <w:t>（</w:t>
      </w:r>
      <w:r>
        <w:rPr>
          <w:rFonts w:hint="eastAsia" w:ascii="宋体" w:hAnsi="宋体" w:cs="宋体"/>
          <w:b/>
          <w:color w:val="auto"/>
          <w:kern w:val="0"/>
          <w:szCs w:val="21"/>
          <w:highlight w:val="none"/>
          <w:lang w:val="en-US" w:eastAsia="zh-CN"/>
        </w:rPr>
        <w:t>详见采购公告</w:t>
      </w:r>
      <w:r>
        <w:rPr>
          <w:rFonts w:hint="eastAsia" w:ascii="宋体" w:hAnsi="宋体" w:cs="宋体"/>
          <w:b/>
          <w:color w:val="auto"/>
          <w:kern w:val="0"/>
          <w:szCs w:val="21"/>
          <w:highlight w:val="none"/>
          <w:lang w:eastAsia="zh-CN"/>
        </w:rPr>
        <w:t>）</w:t>
      </w:r>
    </w:p>
    <w:p w14:paraId="792360E7">
      <w:pPr>
        <w:keepNext w:val="0"/>
        <w:keepLines w:val="0"/>
        <w:pageBreakBefore w:val="0"/>
        <w:widowControl/>
        <w:kinsoku/>
        <w:wordWrap/>
        <w:overflowPunct/>
        <w:topLinePunct w:val="0"/>
        <w:bidi w:val="0"/>
        <w:snapToGrid w:val="0"/>
        <w:spacing w:line="360" w:lineRule="auto"/>
        <w:ind w:firstLine="417" w:firstLineChars="198"/>
        <w:rPr>
          <w:rFonts w:hint="default" w:ascii="宋体" w:hAnsi="宋体" w:eastAsia="宋体" w:cs="宋体"/>
          <w:b/>
          <w:color w:val="auto"/>
          <w:kern w:val="0"/>
          <w:szCs w:val="21"/>
          <w:highlight w:val="none"/>
          <w:lang w:val="en-US" w:eastAsia="zh-CN"/>
        </w:rPr>
      </w:pPr>
      <w:r>
        <w:rPr>
          <w:rFonts w:hint="eastAsia" w:ascii="宋体" w:hAnsi="宋体" w:cs="宋体"/>
          <w:b/>
          <w:color w:val="auto"/>
          <w:kern w:val="0"/>
          <w:szCs w:val="21"/>
          <w:highlight w:val="none"/>
        </w:rPr>
        <w:t>20.投标文件的签署</w:t>
      </w:r>
      <w:r>
        <w:rPr>
          <w:rFonts w:hint="eastAsia" w:ascii="宋体" w:hAnsi="宋体" w:cs="宋体"/>
          <w:b/>
          <w:color w:val="auto"/>
          <w:kern w:val="0"/>
          <w:szCs w:val="21"/>
          <w:highlight w:val="none"/>
          <w:lang w:val="en-US" w:eastAsia="zh-CN"/>
        </w:rPr>
        <w:t>及其他规定</w:t>
      </w:r>
    </w:p>
    <w:p w14:paraId="451D46D2">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.1投标文件应按第六章“投标文件格式”进行编写，如有必要，可以增加附页，作为投标文件的组成部分。其中，投标报价一览表在满足</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p>
    <w:p w14:paraId="5A9B5BF3">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.2 投标文件应当对</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文件有关</w:t>
      </w:r>
      <w:r>
        <w:rPr>
          <w:rFonts w:hint="eastAsia" w:ascii="宋体" w:hAnsi="宋体" w:cs="宋体"/>
          <w:color w:val="auto"/>
          <w:kern w:val="0"/>
          <w:szCs w:val="21"/>
          <w:highlight w:val="none"/>
          <w:lang w:val="en-US" w:eastAsia="zh-CN"/>
        </w:rPr>
        <w:t>交货期</w:t>
      </w:r>
      <w:r>
        <w:rPr>
          <w:rFonts w:hint="eastAsia" w:ascii="宋体" w:hAnsi="宋体" w:eastAsia="宋体" w:cs="宋体"/>
          <w:color w:val="auto"/>
          <w:kern w:val="0"/>
          <w:szCs w:val="21"/>
          <w:highlight w:val="none"/>
        </w:rPr>
        <w:t>、投标有效期、</w:t>
      </w:r>
      <w:r>
        <w:rPr>
          <w:rFonts w:hint="eastAsia" w:ascii="宋体" w:hAnsi="宋体" w:cs="宋体"/>
          <w:color w:val="auto"/>
          <w:kern w:val="0"/>
          <w:szCs w:val="21"/>
          <w:highlight w:val="none"/>
          <w:lang w:val="en-US" w:eastAsia="zh-CN"/>
        </w:rPr>
        <w:t>质量</w:t>
      </w:r>
      <w:r>
        <w:rPr>
          <w:rFonts w:hint="eastAsia" w:ascii="宋体" w:hAnsi="宋体" w:eastAsia="宋体" w:cs="宋体"/>
          <w:color w:val="auto"/>
          <w:kern w:val="0"/>
          <w:szCs w:val="21"/>
          <w:highlight w:val="none"/>
        </w:rPr>
        <w:t>要求、技术标准和要求、</w:t>
      </w:r>
      <w:r>
        <w:rPr>
          <w:rFonts w:hint="eastAsia" w:ascii="宋体" w:hAnsi="宋体" w:cs="宋体"/>
          <w:color w:val="auto"/>
          <w:kern w:val="0"/>
          <w:szCs w:val="21"/>
          <w:highlight w:val="none"/>
          <w:lang w:eastAsia="zh-CN"/>
        </w:rPr>
        <w:t>磋商</w:t>
      </w:r>
      <w:r>
        <w:rPr>
          <w:rFonts w:hint="eastAsia" w:ascii="宋体" w:hAnsi="宋体" w:eastAsia="宋体" w:cs="宋体"/>
          <w:color w:val="auto"/>
          <w:kern w:val="0"/>
          <w:szCs w:val="21"/>
          <w:highlight w:val="none"/>
        </w:rPr>
        <w:t>范围等实质性内容作出响应。</w:t>
      </w:r>
    </w:p>
    <w:p w14:paraId="1B629998">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.3投标文件应用不褪色的材料书写或打印，并由</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的法定代表人盖章或盖单位公章；投标文件应尽量避免涂改、行间插字或删除，如果出现上述情况，改动之处应加盖单位公章或由</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4D28D219">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.4投标文件份数见</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须知前附表。投标文件正本和副本的封面上应清楚地标记“正本”或“副本”的字样。</w:t>
      </w:r>
    </w:p>
    <w:p w14:paraId="493A5700">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.5投标文件的具体装订要求见</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14:paraId="5E9289CE">
      <w:pPr>
        <w:keepNext w:val="0"/>
        <w:keepLines w:val="0"/>
        <w:pageBreakBefore w:val="0"/>
        <w:widowControl/>
        <w:kinsoku/>
        <w:wordWrap/>
        <w:overflowPunct/>
        <w:topLinePunct w:val="0"/>
        <w:autoSpaceDE/>
        <w:autoSpaceDN/>
        <w:bidi w:val="0"/>
        <w:adjustRightInd/>
        <w:snapToGrid w:val="0"/>
        <w:spacing w:line="360" w:lineRule="auto"/>
        <w:ind w:firstLine="0" w:firstLineChars="0"/>
        <w:jc w:val="center"/>
        <w:textAlignment w:val="auto"/>
        <w:rPr>
          <w:rFonts w:ascii="黑体" w:hAnsi="宋体" w:eastAsia="黑体" w:cs="宋体"/>
          <w:b/>
          <w:color w:val="auto"/>
          <w:kern w:val="0"/>
          <w:sz w:val="32"/>
          <w:szCs w:val="32"/>
          <w:highlight w:val="none"/>
        </w:rPr>
      </w:pPr>
      <w:r>
        <w:rPr>
          <w:rFonts w:hint="eastAsia" w:ascii="黑体" w:hAnsi="宋体" w:eastAsia="黑体" w:cs="宋体"/>
          <w:b/>
          <w:color w:val="auto"/>
          <w:kern w:val="0"/>
          <w:sz w:val="32"/>
          <w:szCs w:val="32"/>
          <w:highlight w:val="none"/>
        </w:rPr>
        <w:t>四、投标文件的递交</w:t>
      </w:r>
    </w:p>
    <w:p w14:paraId="75DBC26A">
      <w:pPr>
        <w:keepNext w:val="0"/>
        <w:keepLines w:val="0"/>
        <w:pageBreakBefore w:val="0"/>
        <w:widowControl/>
        <w:kinsoku/>
        <w:wordWrap/>
        <w:overflowPunct/>
        <w:topLinePunct w:val="0"/>
        <w:autoSpaceDE/>
        <w:autoSpaceDN/>
        <w:bidi w:val="0"/>
        <w:adjustRightInd/>
        <w:snapToGrid w:val="0"/>
        <w:spacing w:line="360" w:lineRule="auto"/>
        <w:ind w:firstLine="417" w:firstLineChars="198"/>
        <w:textAlignment w:val="auto"/>
        <w:rPr>
          <w:rFonts w:ascii="宋体" w:hAnsi="宋体" w:cs="宋体"/>
          <w:b/>
          <w:color w:val="auto"/>
          <w:kern w:val="0"/>
          <w:szCs w:val="21"/>
          <w:highlight w:val="none"/>
        </w:rPr>
      </w:pPr>
      <w:r>
        <w:rPr>
          <w:rFonts w:hint="eastAsia" w:ascii="宋体" w:hAnsi="宋体" w:cs="宋体"/>
          <w:b/>
          <w:color w:val="auto"/>
          <w:kern w:val="0"/>
          <w:szCs w:val="21"/>
          <w:highlight w:val="none"/>
        </w:rPr>
        <w:t>21. 投标文件的密封、标记</w:t>
      </w:r>
    </w:p>
    <w:p w14:paraId="232CA686">
      <w:pPr>
        <w:keepNext w:val="0"/>
        <w:keepLines w:val="0"/>
        <w:pageBreakBefore w:val="0"/>
        <w:kinsoku/>
        <w:wordWrap/>
        <w:overflowPunct/>
        <w:topLinePunct w:val="0"/>
        <w:autoSpaceDE/>
        <w:autoSpaceDN/>
        <w:bidi w:val="0"/>
        <w:adjustRightInd/>
        <w:spacing w:line="360" w:lineRule="auto"/>
        <w:ind w:firstLine="424" w:firstLineChars="202"/>
        <w:textAlignment w:val="auto"/>
        <w:rPr>
          <w:rFonts w:ascii="宋体" w:hAnsi="宋体" w:cs="宋体"/>
          <w:color w:val="auto"/>
          <w:kern w:val="0"/>
          <w:szCs w:val="21"/>
          <w:highlight w:val="none"/>
        </w:rPr>
      </w:pPr>
      <w:r>
        <w:rPr>
          <w:rFonts w:hint="eastAsia" w:ascii="宋体" w:hAnsi="宋体" w:cs="宋体"/>
          <w:color w:val="auto"/>
          <w:kern w:val="0"/>
          <w:szCs w:val="21"/>
          <w:highlight w:val="none"/>
        </w:rPr>
        <w:t>21.1</w:t>
      </w:r>
      <w:r>
        <w:rPr>
          <w:color w:val="auto"/>
          <w:highlight w:val="none"/>
        </w:rPr>
        <w:t>响应文件应密封包装，并在封套的封口处加盖供应商单位章或由供应商的法定代表人（单位负责人）或其授权的代理人签字。</w:t>
      </w:r>
    </w:p>
    <w:p w14:paraId="78A51DDB">
      <w:pPr>
        <w:keepNext w:val="0"/>
        <w:keepLines w:val="0"/>
        <w:pageBreakBefore w:val="0"/>
        <w:widowControl/>
        <w:kinsoku/>
        <w:wordWrap/>
        <w:overflowPunct/>
        <w:topLinePunct w:val="0"/>
        <w:bidi w:val="0"/>
        <w:snapToGrid w:val="0"/>
        <w:spacing w:line="360" w:lineRule="auto"/>
        <w:ind w:firstLine="420" w:firstLineChars="200"/>
        <w:jc w:val="left"/>
        <w:rPr>
          <w:rFonts w:hint="eastAsia"/>
          <w:color w:val="auto"/>
          <w:highlight w:val="none"/>
          <w:lang w:eastAsia="zh-CN"/>
        </w:rPr>
      </w:pPr>
      <w:r>
        <w:rPr>
          <w:rFonts w:hint="eastAsia"/>
          <w:color w:val="auto"/>
          <w:highlight w:val="none"/>
          <w:lang w:eastAsia="zh-CN"/>
        </w:rPr>
        <w:t>2</w:t>
      </w:r>
      <w:r>
        <w:rPr>
          <w:rFonts w:hint="eastAsia"/>
          <w:color w:val="auto"/>
          <w:highlight w:val="none"/>
          <w:lang w:val="en-US" w:eastAsia="zh-CN"/>
        </w:rPr>
        <w:t>1</w:t>
      </w:r>
      <w:r>
        <w:rPr>
          <w:rFonts w:hint="eastAsia"/>
          <w:color w:val="auto"/>
          <w:highlight w:val="none"/>
          <w:lang w:eastAsia="zh-CN"/>
        </w:rPr>
        <w:t>.</w:t>
      </w:r>
      <w:r>
        <w:rPr>
          <w:rFonts w:hint="eastAsia"/>
          <w:color w:val="auto"/>
          <w:highlight w:val="none"/>
          <w:lang w:val="en-US" w:eastAsia="zh-CN"/>
        </w:rPr>
        <w:t>2</w:t>
      </w:r>
      <w:r>
        <w:rPr>
          <w:rFonts w:hint="eastAsia"/>
          <w:color w:val="auto"/>
          <w:highlight w:val="none"/>
          <w:lang w:eastAsia="zh-CN"/>
        </w:rPr>
        <w:t xml:space="preserve"> 未按本章第2</w:t>
      </w:r>
      <w:r>
        <w:rPr>
          <w:rFonts w:hint="eastAsia"/>
          <w:color w:val="auto"/>
          <w:highlight w:val="none"/>
          <w:lang w:val="en-US" w:eastAsia="zh-CN"/>
        </w:rPr>
        <w:t>1</w:t>
      </w:r>
      <w:r>
        <w:rPr>
          <w:rFonts w:hint="eastAsia"/>
          <w:color w:val="auto"/>
          <w:highlight w:val="none"/>
          <w:lang w:eastAsia="zh-CN"/>
        </w:rPr>
        <w:t>.1项要求密封的投标文件，采购人不予受理。</w:t>
      </w:r>
    </w:p>
    <w:p w14:paraId="0E1C31BA">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22. 投标文件的递交</w:t>
      </w:r>
    </w:p>
    <w:p w14:paraId="03DB78D4">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 xml:space="preserve">.1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应在规定的投标截止时间前</w:t>
      </w:r>
      <w:r>
        <w:rPr>
          <w:rFonts w:hint="eastAsia" w:ascii="宋体" w:hAnsi="宋体" w:cs="宋体"/>
          <w:color w:val="auto"/>
          <w:kern w:val="0"/>
          <w:szCs w:val="21"/>
          <w:highlight w:val="none"/>
          <w:lang w:eastAsia="zh-CN"/>
        </w:rPr>
        <w:t>递交</w:t>
      </w:r>
      <w:r>
        <w:rPr>
          <w:rFonts w:hint="eastAsia" w:ascii="宋体" w:hAnsi="宋体" w:cs="宋体"/>
          <w:color w:val="auto"/>
          <w:kern w:val="0"/>
          <w:szCs w:val="21"/>
          <w:highlight w:val="none"/>
        </w:rPr>
        <w:t>投标文件。</w:t>
      </w:r>
    </w:p>
    <w:p w14:paraId="3CFD430A">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 xml:space="preserve">.2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递交投标文件的地点：见</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须知前附表。</w:t>
      </w:r>
    </w:p>
    <w:p w14:paraId="3F63EDFA">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 除</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须知前附表另有规定外，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所递交的投标文件不予退还。</w:t>
      </w:r>
    </w:p>
    <w:p w14:paraId="6809C3D6">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.4 逾期送达的或者未送达指定地点的投标文件，采购人不予受理。</w:t>
      </w:r>
    </w:p>
    <w:p w14:paraId="1871431E">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23. 投标文件的修改和撤回</w:t>
      </w:r>
    </w:p>
    <w:p w14:paraId="4B5379BA">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23.1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在投标截止时间前，可以对所提交的投标文件进行补充、修改或者撤回，并书面通知</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。补充、修改的内容和撤回通知应当按本须知要求签署、盖章、密封，并作为投标文件的组成部分。</w:t>
      </w:r>
    </w:p>
    <w:p w14:paraId="6FEADEA6">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color w:val="auto"/>
          <w:kern w:val="0"/>
          <w:szCs w:val="21"/>
          <w:highlight w:val="none"/>
        </w:rPr>
        <w:t xml:space="preserve">23.2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在投标截止期后不得修改、撤回投标文件。</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在投标截止期后修改投标文件的，其投标将被拒绝。</w:t>
      </w:r>
    </w:p>
    <w:p w14:paraId="6F7A3315">
      <w:pPr>
        <w:keepNext w:val="0"/>
        <w:keepLines w:val="0"/>
        <w:pageBreakBefore w:val="0"/>
        <w:widowControl/>
        <w:kinsoku/>
        <w:wordWrap/>
        <w:overflowPunct/>
        <w:topLinePunct w:val="0"/>
        <w:bidi w:val="0"/>
        <w:snapToGrid w:val="0"/>
        <w:spacing w:line="360" w:lineRule="auto"/>
        <w:jc w:val="center"/>
        <w:outlineLvl w:val="1"/>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五</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评标</w:t>
      </w:r>
    </w:p>
    <w:p w14:paraId="7600AE86">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lang w:eastAsia="zh-CN"/>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 组建</w:t>
      </w:r>
      <w:r>
        <w:rPr>
          <w:rFonts w:hint="eastAsia" w:ascii="宋体" w:hAnsi="宋体" w:cs="宋体"/>
          <w:b/>
          <w:bCs/>
          <w:color w:val="auto"/>
          <w:kern w:val="0"/>
          <w:szCs w:val="21"/>
          <w:highlight w:val="none"/>
          <w:lang w:eastAsia="zh-CN"/>
        </w:rPr>
        <w:t>磋商小组</w:t>
      </w:r>
    </w:p>
    <w:p w14:paraId="33D9CA1A">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 xml:space="preserve">.1 </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由采购人代表和评审专家组成。成员由</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人以上单数组成。</w:t>
      </w:r>
      <w:r>
        <w:rPr>
          <w:rFonts w:hint="eastAsia" w:ascii="宋体" w:hAnsi="宋体" w:cs="宋体"/>
          <w:color w:val="auto"/>
          <w:szCs w:val="21"/>
          <w:highlight w:val="none"/>
        </w:rPr>
        <w:t>在开标后由</w:t>
      </w:r>
      <w:r>
        <w:rPr>
          <w:rFonts w:hint="eastAsia" w:ascii="宋体" w:hAnsi="宋体" w:cs="宋体"/>
          <w:color w:val="auto"/>
          <w:szCs w:val="21"/>
          <w:highlight w:val="none"/>
          <w:lang w:eastAsia="zh-CN"/>
        </w:rPr>
        <w:t>磋商小组</w:t>
      </w:r>
      <w:r>
        <w:rPr>
          <w:rFonts w:hint="eastAsia" w:ascii="宋体" w:hAnsi="宋体" w:cs="宋体"/>
          <w:color w:val="auto"/>
          <w:szCs w:val="21"/>
          <w:highlight w:val="none"/>
        </w:rPr>
        <w:t>对投标文件进行审查、质疑、评估和比较，并做合理的建议。</w:t>
      </w:r>
    </w:p>
    <w:p w14:paraId="5F4CB767">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成员要依法独立评审，并对评审意见承担个人责任。</w:t>
      </w:r>
      <w:r>
        <w:rPr>
          <w:rFonts w:hint="eastAsia" w:ascii="宋体" w:hAnsi="宋体" w:cs="宋体"/>
          <w:color w:val="auto"/>
          <w:szCs w:val="21"/>
          <w:highlight w:val="none"/>
          <w:lang w:eastAsia="zh-CN"/>
        </w:rPr>
        <w:t>磋商小组</w:t>
      </w:r>
      <w:r>
        <w:rPr>
          <w:rFonts w:hint="eastAsia" w:ascii="宋体" w:hAnsi="宋体" w:cs="宋体"/>
          <w:color w:val="auto"/>
          <w:szCs w:val="21"/>
          <w:highlight w:val="none"/>
        </w:rPr>
        <w:t>成员对需要共同认定的事项存在争议的，按照少数服从多数的原则</w:t>
      </w:r>
      <w:r>
        <w:rPr>
          <w:rFonts w:hint="eastAsia" w:ascii="宋体" w:hAnsi="宋体" w:cs="宋体"/>
          <w:color w:val="auto"/>
          <w:kern w:val="0"/>
          <w:szCs w:val="21"/>
          <w:highlight w:val="none"/>
        </w:rPr>
        <w:t>做</w:t>
      </w:r>
      <w:r>
        <w:rPr>
          <w:rFonts w:hint="eastAsia" w:ascii="宋体" w:hAnsi="宋体" w:cs="宋体"/>
          <w:color w:val="auto"/>
          <w:szCs w:val="21"/>
          <w:highlight w:val="none"/>
        </w:rPr>
        <w:t>出结论。持不同意见的</w:t>
      </w:r>
      <w:r>
        <w:rPr>
          <w:rFonts w:hint="eastAsia" w:ascii="宋体" w:hAnsi="宋体" w:cs="宋体"/>
          <w:color w:val="auto"/>
          <w:szCs w:val="21"/>
          <w:highlight w:val="none"/>
          <w:lang w:eastAsia="zh-CN"/>
        </w:rPr>
        <w:t>磋商小组</w:t>
      </w:r>
      <w:r>
        <w:rPr>
          <w:rFonts w:hint="eastAsia" w:ascii="宋体" w:hAnsi="宋体" w:cs="宋体"/>
          <w:color w:val="auto"/>
          <w:szCs w:val="21"/>
          <w:highlight w:val="none"/>
        </w:rPr>
        <w:t>成员应当在评标报告上签署不同意见</w:t>
      </w:r>
      <w:r>
        <w:rPr>
          <w:rFonts w:hint="eastAsia" w:ascii="宋体" w:hAnsi="宋体" w:cs="宋体"/>
          <w:color w:val="auto"/>
          <w:kern w:val="0"/>
          <w:szCs w:val="21"/>
          <w:highlight w:val="none"/>
        </w:rPr>
        <w:t>并说明</w:t>
      </w:r>
      <w:r>
        <w:rPr>
          <w:rFonts w:hint="eastAsia" w:ascii="宋体" w:hAnsi="宋体" w:cs="宋体"/>
          <w:color w:val="auto"/>
          <w:szCs w:val="21"/>
          <w:highlight w:val="none"/>
        </w:rPr>
        <w:t>理由，否则视为同意。</w:t>
      </w:r>
    </w:p>
    <w:p w14:paraId="59A9A326">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2</w:t>
      </w:r>
      <w:r>
        <w:rPr>
          <w:rFonts w:hint="eastAsia" w:ascii="宋体" w:hAnsi="宋体" w:cs="宋体"/>
          <w:b/>
          <w:bCs/>
          <w:color w:val="auto"/>
          <w:szCs w:val="21"/>
          <w:highlight w:val="none"/>
          <w:lang w:val="en-US" w:eastAsia="zh-CN"/>
        </w:rPr>
        <w:t>5</w:t>
      </w:r>
      <w:r>
        <w:rPr>
          <w:rFonts w:hint="eastAsia" w:ascii="宋体" w:hAnsi="宋体" w:cs="宋体"/>
          <w:b/>
          <w:bCs/>
          <w:color w:val="auto"/>
          <w:szCs w:val="21"/>
          <w:highlight w:val="none"/>
        </w:rPr>
        <w:t>. 投标文件的初审</w:t>
      </w:r>
    </w:p>
    <w:p w14:paraId="73296F58">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.1对所有</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的评估，都采用相同的程序和标准。评标过程将严格按照</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文件的要求和条件进行。</w:t>
      </w:r>
    </w:p>
    <w:p w14:paraId="37FF192C">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.2 </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将对投标文件进行检查，以确定投标文件是否完整、有无计算上的错误、文件是否已正确签署等。</w:t>
      </w:r>
    </w:p>
    <w:p w14:paraId="0BD33AD6">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ascii="宋体" w:hAnsi="宋体" w:cs="宋体"/>
          <w:color w:val="auto"/>
          <w:kern w:val="0"/>
          <w:szCs w:val="21"/>
          <w:highlight w:val="none"/>
        </w:rPr>
        <w:t>.</w:t>
      </w:r>
      <w:r>
        <w:rPr>
          <w:rFonts w:hint="eastAsia" w:ascii="宋体" w:hAnsi="宋体" w:cs="宋体"/>
          <w:color w:val="auto"/>
          <w:kern w:val="0"/>
          <w:szCs w:val="21"/>
          <w:highlight w:val="none"/>
        </w:rPr>
        <w:t>3</w:t>
      </w:r>
      <w:r>
        <w:rPr>
          <w:rFonts w:ascii="宋体" w:hAnsi="宋体" w:cs="宋体"/>
          <w:color w:val="auto"/>
          <w:kern w:val="0"/>
          <w:szCs w:val="21"/>
          <w:highlight w:val="none"/>
        </w:rPr>
        <w:t> </w:t>
      </w:r>
      <w:r>
        <w:rPr>
          <w:rFonts w:hint="eastAsia"/>
          <w:color w:val="auto"/>
          <w:kern w:val="0"/>
          <w:szCs w:val="21"/>
          <w:highlight w:val="none"/>
        </w:rPr>
        <w:t>投标文件报价出现前后不一致的，除</w:t>
      </w:r>
      <w:r>
        <w:rPr>
          <w:rFonts w:hint="eastAsia"/>
          <w:color w:val="auto"/>
          <w:kern w:val="0"/>
          <w:szCs w:val="21"/>
          <w:highlight w:val="none"/>
          <w:lang w:val="en-US" w:eastAsia="zh-CN"/>
        </w:rPr>
        <w:t>采购</w:t>
      </w:r>
      <w:r>
        <w:rPr>
          <w:rFonts w:hint="eastAsia"/>
          <w:color w:val="auto"/>
          <w:kern w:val="0"/>
          <w:szCs w:val="21"/>
          <w:highlight w:val="none"/>
        </w:rPr>
        <w:t>文件另有规定外，</w:t>
      </w:r>
      <w:r>
        <w:rPr>
          <w:rFonts w:hint="eastAsia" w:cs="宋体"/>
          <w:color w:val="auto"/>
          <w:kern w:val="0"/>
          <w:szCs w:val="21"/>
          <w:highlight w:val="none"/>
        </w:rPr>
        <w:t>修正错误的原则如下：</w:t>
      </w:r>
    </w:p>
    <w:p w14:paraId="2F17A19F">
      <w:pPr>
        <w:pStyle w:val="30"/>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.3.1</w:t>
      </w:r>
      <w:r>
        <w:rPr>
          <w:rFonts w:hint="eastAsia" w:ascii="宋体" w:hAnsi="宋体" w:cs="宋体"/>
          <w:color w:val="auto"/>
          <w:sz w:val="21"/>
          <w:szCs w:val="21"/>
          <w:highlight w:val="none"/>
          <w:shd w:val="clear" w:color="auto" w:fill="FFFFFF"/>
        </w:rPr>
        <w:t>投标文件开标一览表（报价表）内容与投标文件中相应内容不一致的，以开标一览表（报价表）为准；</w:t>
      </w:r>
    </w:p>
    <w:p w14:paraId="5B378DFC">
      <w:pPr>
        <w:pStyle w:val="30"/>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.3.2</w:t>
      </w:r>
      <w:r>
        <w:rPr>
          <w:rFonts w:hint="eastAsia" w:ascii="宋体" w:hAnsi="宋体" w:cs="宋体"/>
          <w:color w:val="auto"/>
          <w:sz w:val="21"/>
          <w:szCs w:val="21"/>
          <w:highlight w:val="none"/>
          <w:shd w:val="clear" w:color="auto" w:fill="FFFFFF"/>
        </w:rPr>
        <w:t>大写金额</w:t>
      </w:r>
      <w:r>
        <w:rPr>
          <w:rFonts w:hint="eastAsia" w:ascii="宋体" w:hAnsi="宋体" w:cs="宋体"/>
          <w:color w:val="auto"/>
          <w:sz w:val="21"/>
          <w:szCs w:val="21"/>
          <w:highlight w:val="none"/>
        </w:rPr>
        <w:t>与</w:t>
      </w:r>
      <w:r>
        <w:rPr>
          <w:rFonts w:hint="eastAsia" w:ascii="宋体" w:hAnsi="宋体" w:cs="宋体"/>
          <w:color w:val="auto"/>
          <w:sz w:val="21"/>
          <w:szCs w:val="21"/>
          <w:highlight w:val="none"/>
          <w:shd w:val="clear" w:color="auto" w:fill="FFFFFF"/>
        </w:rPr>
        <w:t>小写金额不一致的，以大写金额为准；</w:t>
      </w:r>
    </w:p>
    <w:p w14:paraId="086950D2">
      <w:pPr>
        <w:pStyle w:val="30"/>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.3.3</w:t>
      </w:r>
      <w:r>
        <w:rPr>
          <w:rFonts w:hint="eastAsia" w:ascii="宋体" w:hAnsi="宋体" w:cs="宋体"/>
          <w:color w:val="auto"/>
          <w:sz w:val="21"/>
          <w:szCs w:val="21"/>
          <w:highlight w:val="none"/>
          <w:shd w:val="clear" w:color="auto" w:fill="FFFFFF"/>
        </w:rPr>
        <w:t>单价金额小数点或者百分比有明显错位的，以开标一览表的总价为准，并修改单价；</w:t>
      </w:r>
    </w:p>
    <w:p w14:paraId="6B6ED623">
      <w:pPr>
        <w:pStyle w:val="30"/>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.3.4</w:t>
      </w:r>
      <w:r>
        <w:rPr>
          <w:rFonts w:hint="eastAsia" w:ascii="宋体" w:hAnsi="宋体" w:cs="宋体"/>
          <w:color w:val="auto"/>
          <w:sz w:val="21"/>
          <w:szCs w:val="21"/>
          <w:highlight w:val="none"/>
          <w:shd w:val="clear" w:color="auto" w:fill="FFFFFF"/>
        </w:rPr>
        <w:t>总价金额与按单价汇总金额不一致的，以单价金额计算结果为准。</w:t>
      </w:r>
    </w:p>
    <w:p w14:paraId="26A74D2B">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.3.5 对不同文字文本投标文件的解释发生异议的，以中文文本为准。</w:t>
      </w:r>
    </w:p>
    <w:p w14:paraId="1BBDF378">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.3.6 同时出现两种以上不一致的，按照前款规定的顺序修正。修正后的报价按照财政部87号令第五十一条第二款的规定经</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确认后产生约束力，</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不确认的，其投标无效。</w:t>
      </w:r>
    </w:p>
    <w:p w14:paraId="2EE0D3B7">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 资格性检查和符合性检查。</w:t>
      </w:r>
    </w:p>
    <w:p w14:paraId="419FD9A4">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w:t>
      </w:r>
      <w:r>
        <w:rPr>
          <w:rFonts w:hint="eastAsia" w:ascii="宋体" w:hAnsi="宋体"/>
          <w:color w:val="auto"/>
          <w:szCs w:val="21"/>
          <w:highlight w:val="none"/>
        </w:rPr>
        <w:t>资格性检查。依据法规政策和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文件的规定，在对投标文件详细评估之前，采购人将依据</w:t>
      </w:r>
      <w:r>
        <w:rPr>
          <w:rFonts w:hint="eastAsia" w:ascii="宋体" w:hAnsi="宋体"/>
          <w:color w:val="auto"/>
          <w:szCs w:val="21"/>
          <w:highlight w:val="none"/>
          <w:lang w:eastAsia="zh-CN"/>
        </w:rPr>
        <w:t>供应商</w:t>
      </w:r>
      <w:r>
        <w:rPr>
          <w:rFonts w:hint="eastAsia" w:ascii="宋体" w:hAnsi="宋体"/>
          <w:color w:val="auto"/>
          <w:szCs w:val="21"/>
          <w:highlight w:val="none"/>
        </w:rPr>
        <w:t>提交的投标文件按</w:t>
      </w:r>
      <w:r>
        <w:rPr>
          <w:rFonts w:hint="eastAsia" w:ascii="宋体" w:hAnsi="宋体"/>
          <w:color w:val="auto"/>
          <w:szCs w:val="21"/>
          <w:highlight w:val="none"/>
          <w:lang w:val="en-US" w:eastAsia="zh-CN"/>
        </w:rPr>
        <w:t>采购</w:t>
      </w:r>
      <w:r>
        <w:rPr>
          <w:rFonts w:hint="eastAsia" w:ascii="宋体" w:hAnsi="宋体"/>
          <w:color w:val="auto"/>
          <w:szCs w:val="21"/>
          <w:highlight w:val="none"/>
        </w:rPr>
        <w:t>公告第二项和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文件第三章4.</w:t>
      </w:r>
      <w:r>
        <w:rPr>
          <w:rFonts w:hint="eastAsia" w:ascii="宋体" w:hAnsi="宋体"/>
          <w:color w:val="auto"/>
          <w:szCs w:val="21"/>
          <w:highlight w:val="none"/>
          <w:lang w:eastAsia="zh-CN"/>
        </w:rPr>
        <w:t>供应商</w:t>
      </w:r>
      <w:r>
        <w:rPr>
          <w:rFonts w:hint="eastAsia" w:ascii="宋体" w:hAnsi="宋体"/>
          <w:color w:val="auto"/>
          <w:szCs w:val="21"/>
          <w:highlight w:val="none"/>
        </w:rPr>
        <w:t>应提交的证明文件所述的资格标准对</w:t>
      </w:r>
      <w:r>
        <w:rPr>
          <w:rFonts w:hint="eastAsia" w:ascii="宋体" w:hAnsi="宋体"/>
          <w:color w:val="auto"/>
          <w:szCs w:val="21"/>
          <w:highlight w:val="none"/>
          <w:lang w:eastAsia="zh-CN"/>
        </w:rPr>
        <w:t>供应商</w:t>
      </w:r>
      <w:r>
        <w:rPr>
          <w:rFonts w:hint="eastAsia" w:ascii="宋体" w:hAnsi="宋体"/>
          <w:color w:val="auto"/>
          <w:szCs w:val="21"/>
          <w:highlight w:val="none"/>
        </w:rPr>
        <w:t>进行资格审查,以确定其是否具备投标资格。如果</w:t>
      </w:r>
      <w:r>
        <w:rPr>
          <w:rFonts w:hint="eastAsia" w:ascii="宋体" w:hAnsi="宋体"/>
          <w:color w:val="auto"/>
          <w:szCs w:val="21"/>
          <w:highlight w:val="none"/>
          <w:lang w:eastAsia="zh-CN"/>
        </w:rPr>
        <w:t>供应商</w:t>
      </w:r>
      <w:r>
        <w:rPr>
          <w:rFonts w:hint="eastAsia" w:ascii="宋体" w:hAnsi="宋体"/>
          <w:color w:val="auto"/>
          <w:szCs w:val="21"/>
          <w:highlight w:val="none"/>
        </w:rPr>
        <w:t>不具备投标资格、不满足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文件所规定的资格标准或提供资格证明文件不全,其投标将被作为无效投标。</w:t>
      </w:r>
      <w:r>
        <w:rPr>
          <w:rFonts w:hint="eastAsia" w:ascii="宋体" w:hAnsi="宋体" w:cs="Lucida Sans Unicode"/>
          <w:color w:val="auto"/>
          <w:szCs w:val="21"/>
          <w:highlight w:val="none"/>
        </w:rPr>
        <w:t>在审查过程中，采购人有权要求</w:t>
      </w:r>
      <w:r>
        <w:rPr>
          <w:rFonts w:hint="eastAsia" w:ascii="宋体" w:hAnsi="宋体" w:cs="Lucida Sans Unicode"/>
          <w:color w:val="auto"/>
          <w:szCs w:val="21"/>
          <w:highlight w:val="none"/>
          <w:lang w:eastAsia="zh-CN"/>
        </w:rPr>
        <w:t>供应商</w:t>
      </w:r>
      <w:r>
        <w:rPr>
          <w:rFonts w:hint="eastAsia" w:ascii="宋体" w:hAnsi="宋体" w:cs="Lucida Sans Unicode"/>
          <w:color w:val="auto"/>
          <w:szCs w:val="21"/>
          <w:highlight w:val="none"/>
        </w:rPr>
        <w:t>按</w:t>
      </w:r>
      <w:r>
        <w:rPr>
          <w:rFonts w:hint="eastAsia" w:ascii="宋体" w:hAnsi="宋体" w:cs="Lucida Sans Unicode"/>
          <w:color w:val="auto"/>
          <w:szCs w:val="21"/>
          <w:highlight w:val="none"/>
          <w:lang w:val="en-US" w:eastAsia="zh-CN"/>
        </w:rPr>
        <w:t>采购</w:t>
      </w:r>
      <w:r>
        <w:rPr>
          <w:rFonts w:hint="eastAsia" w:ascii="宋体" w:hAnsi="宋体" w:cs="Lucida Sans Unicode"/>
          <w:color w:val="auto"/>
          <w:szCs w:val="21"/>
          <w:highlight w:val="none"/>
        </w:rPr>
        <w:t>文件的规定提供相关资格证明材料的原件以供审查。</w:t>
      </w:r>
      <w:r>
        <w:rPr>
          <w:rFonts w:hint="eastAsia" w:ascii="宋体" w:hAnsi="宋体" w:cs="Lucida Sans Unicode"/>
          <w:color w:val="auto"/>
          <w:szCs w:val="21"/>
          <w:highlight w:val="none"/>
          <w:lang w:eastAsia="zh-CN"/>
        </w:rPr>
        <w:t>供应商</w:t>
      </w:r>
      <w:r>
        <w:rPr>
          <w:rFonts w:hint="eastAsia" w:ascii="宋体" w:hAnsi="宋体" w:cs="Lucida Sans Unicode"/>
          <w:color w:val="auto"/>
          <w:szCs w:val="21"/>
          <w:highlight w:val="none"/>
        </w:rPr>
        <w:t>应在规定的时限内提供。</w:t>
      </w:r>
      <w:r>
        <w:rPr>
          <w:rFonts w:hint="eastAsia" w:ascii="宋体" w:hAnsi="宋体" w:cs="Lucida Sans Unicode"/>
          <w:color w:val="auto"/>
          <w:szCs w:val="21"/>
          <w:highlight w:val="none"/>
          <w:lang w:eastAsia="zh-CN"/>
        </w:rPr>
        <w:t>供应商</w:t>
      </w:r>
      <w:r>
        <w:rPr>
          <w:rFonts w:hint="eastAsia" w:ascii="宋体" w:hAnsi="宋体" w:cs="Lucida Sans Unicode"/>
          <w:color w:val="auto"/>
          <w:szCs w:val="21"/>
          <w:highlight w:val="none"/>
        </w:rPr>
        <w:t>拒不提供的，或者不能在规定时限内提供的，视为其不具备该资格条件。</w:t>
      </w:r>
    </w:p>
    <w:p w14:paraId="0B00A672">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Lucida Sans Unicode"/>
          <w:color w:val="auto"/>
          <w:szCs w:val="21"/>
          <w:highlight w:val="none"/>
        </w:rPr>
      </w:pPr>
      <w:r>
        <w:rPr>
          <w:rFonts w:hint="eastAsia" w:ascii="宋体" w:hAnsi="宋体" w:cs="Lucida Sans Unicode"/>
          <w:color w:val="auto"/>
          <w:szCs w:val="21"/>
          <w:highlight w:val="none"/>
        </w:rPr>
        <w:t>2</w:t>
      </w:r>
      <w:r>
        <w:rPr>
          <w:rFonts w:hint="eastAsia" w:ascii="宋体" w:hAnsi="宋体" w:cs="Lucida Sans Unicode"/>
          <w:color w:val="auto"/>
          <w:szCs w:val="21"/>
          <w:highlight w:val="none"/>
          <w:lang w:val="en-US" w:eastAsia="zh-CN"/>
        </w:rPr>
        <w:t>5</w:t>
      </w:r>
      <w:r>
        <w:rPr>
          <w:rFonts w:hint="eastAsia" w:ascii="宋体" w:hAnsi="宋体" w:cs="Lucida Sans Unicode"/>
          <w:color w:val="auto"/>
          <w:szCs w:val="21"/>
          <w:highlight w:val="none"/>
        </w:rPr>
        <w:t>.4.2 资格审查后合格的</w:t>
      </w:r>
      <w:r>
        <w:rPr>
          <w:rFonts w:hint="eastAsia" w:ascii="宋体" w:hAnsi="宋体" w:cs="Lucida Sans Unicode"/>
          <w:color w:val="auto"/>
          <w:szCs w:val="21"/>
          <w:highlight w:val="none"/>
          <w:lang w:eastAsia="zh-CN"/>
        </w:rPr>
        <w:t>供应商</w:t>
      </w:r>
      <w:r>
        <w:rPr>
          <w:rFonts w:hint="eastAsia" w:ascii="宋体" w:hAnsi="宋体" w:cs="Lucida Sans Unicode"/>
          <w:color w:val="auto"/>
          <w:szCs w:val="21"/>
          <w:highlight w:val="none"/>
        </w:rPr>
        <w:t>不足3家的，不得评标。</w:t>
      </w:r>
    </w:p>
    <w:p w14:paraId="75958CE2">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 符合性检查。依据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将从投标文件的有效性、完整性和对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文件的响应程度进行审查，以确定是否符合对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文件的实质性要求作出响应。对没有实质性响应的投标文件将不进行评估，其投标被作为无效投标。凡有下列情况之一者，投标文件也将被视为未实质性响应</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w:t>
      </w:r>
    </w:p>
    <w:p w14:paraId="4BDDBDE2">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（1）投标文件未按规定签字、盖章的。</w:t>
      </w:r>
    </w:p>
    <w:p w14:paraId="79A3FF2C">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eastAsia="zh-CN"/>
        </w:rPr>
        <w:t>供应商</w:t>
      </w:r>
      <w:r>
        <w:rPr>
          <w:rFonts w:hint="eastAsia" w:ascii="宋体" w:hAnsi="宋体"/>
          <w:color w:val="auto"/>
          <w:szCs w:val="21"/>
          <w:highlight w:val="none"/>
        </w:rPr>
        <w:t>未能出具有效身份证明，或与身份不符的。</w:t>
      </w:r>
    </w:p>
    <w:p w14:paraId="79B52171">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（3）资格证明文件不全的，或不符合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文件标明的资格要求的。</w:t>
      </w:r>
    </w:p>
    <w:p w14:paraId="03AB64BE">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（4）投标有效期、</w:t>
      </w:r>
      <w:r>
        <w:rPr>
          <w:rFonts w:hint="eastAsia" w:ascii="宋体" w:hAnsi="宋体"/>
          <w:color w:val="auto"/>
          <w:szCs w:val="21"/>
          <w:highlight w:val="none"/>
          <w:lang w:val="en-US" w:eastAsia="zh-CN"/>
        </w:rPr>
        <w:t>合同履行期限</w:t>
      </w:r>
      <w:r>
        <w:rPr>
          <w:rFonts w:hint="eastAsia" w:ascii="宋体" w:hAnsi="宋体"/>
          <w:color w:val="auto"/>
          <w:szCs w:val="21"/>
          <w:highlight w:val="none"/>
        </w:rPr>
        <w:t>、</w:t>
      </w:r>
      <w:r>
        <w:rPr>
          <w:rFonts w:hint="eastAsia" w:ascii="宋体" w:hAnsi="宋体"/>
          <w:color w:val="auto"/>
          <w:szCs w:val="21"/>
          <w:highlight w:val="none"/>
          <w:lang w:eastAsia="zh-CN"/>
        </w:rPr>
        <w:t>质量</w:t>
      </w:r>
      <w:r>
        <w:rPr>
          <w:rFonts w:hint="eastAsia" w:ascii="宋体" w:hAnsi="宋体"/>
          <w:color w:val="auto"/>
          <w:szCs w:val="21"/>
          <w:highlight w:val="none"/>
        </w:rPr>
        <w:t>等不满足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14:paraId="7A6219A8">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（5）未按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文件提供的格式填列、项目不齐全或内容虚假的。</w:t>
      </w:r>
    </w:p>
    <w:p w14:paraId="0DCB6DCB">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（6）投标文件的实质性内容未使用中文表述，或意思表述不明确，或前后矛盾，或使用计量单位不符合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14:paraId="58CBD4F5">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（7）投标文件的关键内容字迹模糊、无法辨认,或投标文件中经修正的内容字迹模糊无法辩认，或修改处未按规定签名盖章的。</w:t>
      </w:r>
    </w:p>
    <w:p w14:paraId="1C11F0E7">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olor w:val="auto"/>
          <w:szCs w:val="21"/>
          <w:highlight w:val="none"/>
        </w:rPr>
        <w:t>（8）投标文件内容未按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文件响应的。</w:t>
      </w:r>
    </w:p>
    <w:p w14:paraId="5F51FEC7">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（9）不符合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文件中规定的其它实质性条款。</w:t>
      </w:r>
    </w:p>
    <w:p w14:paraId="526FB8D4">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决定投标的响应性只根据投标文件本身的内容，而不寻求其他的外部证据。</w:t>
      </w:r>
    </w:p>
    <w:p w14:paraId="71EB6266">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.4.4 对资格性检查和符合性检查不合格的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，将</w:t>
      </w:r>
      <w:r>
        <w:rPr>
          <w:rFonts w:hint="eastAsia" w:ascii="宋体" w:hAnsi="宋体" w:cs="宋体"/>
          <w:color w:val="auto"/>
          <w:kern w:val="0"/>
          <w:szCs w:val="21"/>
          <w:highlight w:val="none"/>
          <w:lang w:val="en-US" w:eastAsia="zh-CN"/>
        </w:rPr>
        <w:t>通过评标系统</w:t>
      </w:r>
      <w:r>
        <w:rPr>
          <w:rFonts w:hint="eastAsia" w:ascii="宋体" w:hAnsi="宋体" w:cs="宋体"/>
          <w:color w:val="auto"/>
          <w:kern w:val="0"/>
          <w:szCs w:val="21"/>
          <w:highlight w:val="none"/>
        </w:rPr>
        <w:t>告知其理由。</w:t>
      </w:r>
    </w:p>
    <w:p w14:paraId="1E9780FF">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5</w:t>
      </w:r>
      <w:r>
        <w:rPr>
          <w:rFonts w:hint="eastAsia" w:ascii="宋体" w:hAnsi="宋体" w:cs="宋体"/>
          <w:color w:val="auto"/>
          <w:sz w:val="21"/>
          <w:szCs w:val="21"/>
          <w:highlight w:val="none"/>
        </w:rPr>
        <w:t>.5 在评审过程中，</w:t>
      </w:r>
      <w:r>
        <w:rPr>
          <w:rFonts w:hint="eastAsia" w:ascii="宋体" w:hAnsi="宋体" w:cs="宋体"/>
          <w:color w:val="auto"/>
          <w:sz w:val="21"/>
          <w:szCs w:val="21"/>
          <w:highlight w:val="none"/>
          <w:lang w:eastAsia="zh-CN"/>
        </w:rPr>
        <w:t>磋商小组</w:t>
      </w:r>
      <w:r>
        <w:rPr>
          <w:rFonts w:hint="eastAsia" w:ascii="宋体" w:hAnsi="宋体" w:cs="宋体"/>
          <w:color w:val="auto"/>
          <w:sz w:val="21"/>
          <w:szCs w:val="21"/>
          <w:highlight w:val="none"/>
        </w:rPr>
        <w:t>发现</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有下列情形之一的，视为</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串通投标，其投标无效：</w:t>
      </w:r>
    </w:p>
    <w:p w14:paraId="4335AF1C">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.5.1不同</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的投标文件异常一致。</w:t>
      </w:r>
    </w:p>
    <w:p w14:paraId="5ABAEA48">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.5.2不同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的投标文件由同一单位或者个人编制；</w:t>
      </w:r>
    </w:p>
    <w:p w14:paraId="3EF0605D">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.5.3不同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委托同一单位或者个人办理投标事宜；</w:t>
      </w:r>
    </w:p>
    <w:p w14:paraId="229110C6">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.5.4不同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的投标文件载明的项目管理成员或者联系人员为同一人；　　</w:t>
      </w:r>
    </w:p>
    <w:p w14:paraId="4850756D">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.5.5不同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的投标文件相互混装；</w:t>
      </w:r>
    </w:p>
    <w:p w14:paraId="370D6492">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.5.6不同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的投标保证金从同一单位或者个人的账户转出（若收取）。</w:t>
      </w:r>
    </w:p>
    <w:p w14:paraId="2306EC2C">
      <w:pPr>
        <w:keepNext w:val="0"/>
        <w:keepLines w:val="0"/>
        <w:pageBreakBefore w:val="0"/>
        <w:widowControl/>
        <w:kinsoku/>
        <w:wordWrap/>
        <w:overflowPunct/>
        <w:topLinePunct w:val="0"/>
        <w:bidi w:val="0"/>
        <w:adjustRightInd w:val="0"/>
        <w:snapToGrid w:val="0"/>
        <w:spacing w:line="360" w:lineRule="auto"/>
        <w:ind w:left="19" w:leftChars="9" w:firstLine="399" w:firstLineChars="190"/>
        <w:jc w:val="left"/>
        <w:textAlignment w:val="baseline"/>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.5.7 有证据证明</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串通投标的其他情形的；</w:t>
      </w:r>
    </w:p>
    <w:p w14:paraId="37928AE1">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.5.8 不同</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的投标文件制作机器码一致；</w:t>
      </w:r>
    </w:p>
    <w:p w14:paraId="22667DCE">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 xml:space="preserve">.5.9 </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认定的其他串通投标情形。</w:t>
      </w:r>
    </w:p>
    <w:p w14:paraId="5F0CE30F">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6</w:t>
      </w:r>
      <w:r>
        <w:rPr>
          <w:rFonts w:hint="eastAsia" w:ascii="宋体" w:hAnsi="宋体" w:cs="宋体"/>
          <w:b/>
          <w:bCs/>
          <w:color w:val="auto"/>
          <w:kern w:val="0"/>
          <w:szCs w:val="21"/>
          <w:highlight w:val="none"/>
        </w:rPr>
        <w:t>. 投标文件的澄清</w:t>
      </w:r>
    </w:p>
    <w:p w14:paraId="477A5C24">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对投标文件中含义不明确、同类问题表述不一致或者有明显文字和计算错误的内容，</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可以书面形式要求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作出必要的澄清。</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的澄清应当在</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规定的时间内以书面形式作出，由其</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代表签字。但澄清事项不得超出投标文件的范围，不得实质性改变投标文件的内容，不得通过澄清等方式对</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实行差别对待。</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不得接受</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主动提出的澄清和解释。</w:t>
      </w:r>
    </w:p>
    <w:p w14:paraId="656B28C1">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7</w:t>
      </w:r>
      <w:r>
        <w:rPr>
          <w:rFonts w:hint="eastAsia" w:ascii="宋体" w:hAnsi="宋体" w:cs="宋体"/>
          <w:b/>
          <w:bCs/>
          <w:color w:val="auto"/>
          <w:kern w:val="0"/>
          <w:szCs w:val="21"/>
          <w:highlight w:val="none"/>
        </w:rPr>
        <w:t>. 比较与评价</w:t>
      </w:r>
    </w:p>
    <w:p w14:paraId="170BB10A">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 xml:space="preserve">.1 </w:t>
      </w:r>
      <w:r>
        <w:rPr>
          <w:rFonts w:hint="eastAsia" w:ascii="宋体" w:hAnsi="宋体" w:cs="宋体"/>
          <w:color w:val="auto"/>
          <w:sz w:val="21"/>
          <w:szCs w:val="21"/>
          <w:highlight w:val="none"/>
          <w:lang w:eastAsia="zh-CN"/>
        </w:rPr>
        <w:t>磋商小组</w:t>
      </w:r>
      <w:r>
        <w:rPr>
          <w:rFonts w:hint="eastAsia" w:ascii="宋体" w:hAnsi="宋体" w:cs="宋体"/>
          <w:color w:val="auto"/>
          <w:sz w:val="21"/>
          <w:szCs w:val="21"/>
          <w:highlight w:val="none"/>
        </w:rPr>
        <w:t>将按本</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文件规定的评标方法与标准，对资格性检查和符合性检查合格的投标文件进行商务和技术评估，综合比较与评价。</w:t>
      </w:r>
    </w:p>
    <w:p w14:paraId="72567AFC">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.2对漏（缺）报项的处理：</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文件中要求列入报价的费用（含配置、功能），漏（缺）报的视同已含在投标总价中。</w:t>
      </w:r>
    </w:p>
    <w:p w14:paraId="19949D3B">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b/>
          <w:bCs/>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.3</w:t>
      </w:r>
      <w:r>
        <w:rPr>
          <w:rFonts w:hint="eastAsia" w:ascii="宋体" w:hAnsi="宋体" w:cs="宋体"/>
          <w:color w:val="auto"/>
          <w:sz w:val="21"/>
          <w:szCs w:val="21"/>
          <w:highlight w:val="none"/>
          <w:lang w:eastAsia="zh-CN"/>
        </w:rPr>
        <w:t>磋商小组</w:t>
      </w:r>
      <w:r>
        <w:rPr>
          <w:rFonts w:hint="eastAsia" w:ascii="宋体" w:hAnsi="宋体" w:cs="宋体"/>
          <w:color w:val="auto"/>
          <w:sz w:val="21"/>
          <w:szCs w:val="21"/>
          <w:highlight w:val="none"/>
        </w:rPr>
        <w:t>认为</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的报价明显低于其他通过符合性审查</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的报价，有可能影响产品质量或者不能诚信履约的，应当要求其在评标现场合理的时间内提供书面说明，必要时提交相关证明材料；</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不能证明其报价合理性的，</w:t>
      </w:r>
      <w:r>
        <w:rPr>
          <w:rFonts w:hint="eastAsia" w:ascii="宋体" w:hAnsi="宋体" w:cs="宋体"/>
          <w:color w:val="auto"/>
          <w:sz w:val="21"/>
          <w:szCs w:val="21"/>
          <w:highlight w:val="none"/>
          <w:lang w:eastAsia="zh-CN"/>
        </w:rPr>
        <w:t>磋商小组</w:t>
      </w:r>
      <w:r>
        <w:rPr>
          <w:rFonts w:hint="eastAsia" w:ascii="宋体" w:hAnsi="宋体" w:cs="宋体"/>
          <w:color w:val="auto"/>
          <w:sz w:val="21"/>
          <w:szCs w:val="21"/>
          <w:highlight w:val="none"/>
        </w:rPr>
        <w:t>应当将其作为无效投标处理。</w:t>
      </w:r>
    </w:p>
    <w:p w14:paraId="68DCF851">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8</w:t>
      </w:r>
      <w:r>
        <w:rPr>
          <w:rFonts w:hint="eastAsia" w:ascii="宋体" w:hAnsi="宋体" w:cs="宋体"/>
          <w:b/>
          <w:bCs/>
          <w:color w:val="auto"/>
          <w:kern w:val="0"/>
          <w:szCs w:val="21"/>
          <w:highlight w:val="none"/>
        </w:rPr>
        <w:t>. 评标过程及保密原则</w:t>
      </w:r>
    </w:p>
    <w:p w14:paraId="1F05FEF7">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.1 凡与本次</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有关人员对属于审查、澄清、评价和比较投标的有关资料以及定标意向等，均不得向</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或其他人员透露。否则,将按有关规定追究相关人员的责任。</w:t>
      </w:r>
    </w:p>
    <w:p w14:paraId="0422D1F0">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.2 在评标期间，</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试图影响或干预评审的任何行为，将导致其投标被作为无效投标，并承担相应的法律责任。</w:t>
      </w:r>
    </w:p>
    <w:p w14:paraId="712356E7">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lang w:val="en-US" w:eastAsia="zh-CN"/>
        </w:rPr>
        <w:t>29</w:t>
      </w:r>
      <w:r>
        <w:rPr>
          <w:rFonts w:hint="eastAsia" w:ascii="宋体" w:hAnsi="宋体" w:cs="宋体"/>
          <w:b/>
          <w:color w:val="auto"/>
          <w:kern w:val="0"/>
          <w:szCs w:val="21"/>
          <w:highlight w:val="none"/>
        </w:rPr>
        <w:t>.评标异议登记</w:t>
      </w:r>
    </w:p>
    <w:p w14:paraId="37C77510">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工作人员对评审专家等相关人员在评审过程中发现、提出的异议进行逐项登记。</w:t>
      </w:r>
    </w:p>
    <w:p w14:paraId="26693CBC">
      <w:pPr>
        <w:keepNext w:val="0"/>
        <w:keepLines w:val="0"/>
        <w:pageBreakBefore w:val="0"/>
        <w:widowControl/>
        <w:kinsoku/>
        <w:wordWrap/>
        <w:overflowPunct/>
        <w:topLinePunct w:val="0"/>
        <w:autoSpaceDE/>
        <w:autoSpaceDN/>
        <w:bidi w:val="0"/>
        <w:adjustRightInd/>
        <w:snapToGrid w:val="0"/>
        <w:spacing w:line="360" w:lineRule="auto"/>
        <w:ind w:firstLine="0"/>
        <w:jc w:val="center"/>
        <w:textAlignment w:val="auto"/>
        <w:outlineLvl w:val="1"/>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六</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定标</w:t>
      </w:r>
    </w:p>
    <w:p w14:paraId="569A4D6C">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0</w:t>
      </w:r>
      <w:r>
        <w:rPr>
          <w:rFonts w:hint="eastAsia" w:ascii="宋体" w:hAnsi="宋体" w:cs="宋体"/>
          <w:b/>
          <w:bCs/>
          <w:color w:val="auto"/>
          <w:kern w:val="0"/>
          <w:szCs w:val="21"/>
          <w:highlight w:val="none"/>
        </w:rPr>
        <w:t>. 定标原则</w:t>
      </w:r>
    </w:p>
    <w:p w14:paraId="33AC1A70">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.1 最低投标价不作为中标的保证。</w:t>
      </w:r>
    </w:p>
    <w:p w14:paraId="6F5349B3">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 确定实质上响应</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文件且满足下列条件的为</w:t>
      </w:r>
      <w:r>
        <w:rPr>
          <w:rFonts w:hint="eastAsia" w:ascii="宋体" w:hAnsi="宋体" w:cs="宋体"/>
          <w:bCs/>
          <w:color w:val="auto"/>
          <w:kern w:val="0"/>
          <w:szCs w:val="21"/>
          <w:highlight w:val="none"/>
          <w:lang w:eastAsia="zh-CN"/>
        </w:rPr>
        <w:t>成交候选人</w:t>
      </w:r>
      <w:r>
        <w:rPr>
          <w:rFonts w:hint="eastAsia" w:ascii="宋体" w:hAnsi="宋体" w:cs="宋体"/>
          <w:bCs/>
          <w:color w:val="auto"/>
          <w:kern w:val="0"/>
          <w:szCs w:val="21"/>
          <w:highlight w:val="none"/>
        </w:rPr>
        <w:t>（或</w:t>
      </w:r>
      <w:r>
        <w:rPr>
          <w:rFonts w:hint="eastAsia" w:ascii="宋体" w:hAnsi="宋体" w:cs="宋体"/>
          <w:bCs/>
          <w:color w:val="auto"/>
          <w:kern w:val="0"/>
          <w:szCs w:val="21"/>
          <w:highlight w:val="none"/>
          <w:lang w:eastAsia="zh-CN"/>
        </w:rPr>
        <w:t>成交人</w:t>
      </w:r>
      <w:r>
        <w:rPr>
          <w:rFonts w:hint="eastAsia" w:ascii="宋体" w:hAnsi="宋体" w:cs="宋体"/>
          <w:bCs/>
          <w:color w:val="auto"/>
          <w:kern w:val="0"/>
          <w:szCs w:val="21"/>
          <w:highlight w:val="none"/>
        </w:rPr>
        <w:t>）</w:t>
      </w:r>
    </w:p>
    <w:p w14:paraId="44922BE6">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bookmarkStart w:id="39" w:name="_Toc32200"/>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.2.1</w:t>
      </w:r>
      <w:bookmarkEnd w:id="39"/>
      <w:r>
        <w:rPr>
          <w:rFonts w:hint="eastAsia" w:ascii="宋体" w:hAnsi="宋体" w:cs="宋体"/>
          <w:bCs/>
          <w:color w:val="auto"/>
          <w:kern w:val="0"/>
          <w:szCs w:val="21"/>
          <w:highlight w:val="none"/>
        </w:rPr>
        <w:t>本次评标采用</w:t>
      </w:r>
      <w:r>
        <w:rPr>
          <w:rFonts w:hint="eastAsia" w:ascii="宋体" w:hAnsi="宋体" w:cs="宋体"/>
          <w:color w:val="auto"/>
          <w:szCs w:val="21"/>
          <w:highlight w:val="none"/>
        </w:rPr>
        <w:t>综合评分法，是指响应文件满足采购文件全部实质性要求，且按照评审因素的量化指标评审得分最高的</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为</w:t>
      </w:r>
      <w:r>
        <w:rPr>
          <w:rFonts w:hint="eastAsia" w:ascii="宋体" w:hAnsi="宋体" w:cs="宋体"/>
          <w:color w:val="auto"/>
          <w:szCs w:val="21"/>
          <w:highlight w:val="none"/>
          <w:lang w:eastAsia="zh-CN"/>
        </w:rPr>
        <w:t>成交候选人</w:t>
      </w:r>
      <w:r>
        <w:rPr>
          <w:rFonts w:hint="eastAsia" w:ascii="宋体" w:hAnsi="宋体" w:cs="宋体"/>
          <w:color w:val="auto"/>
          <w:szCs w:val="21"/>
          <w:highlight w:val="none"/>
        </w:rPr>
        <w:t>的评标方法。</w:t>
      </w:r>
    </w:p>
    <w:p w14:paraId="51778565">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采用综合评分法的，评标结果按评审后得分由高到低顺序排列。投标文件满足</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文件全部实质性要求，且按照评审因素的量化指标评审得分最高的</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为排名第一的</w:t>
      </w:r>
      <w:r>
        <w:rPr>
          <w:rFonts w:hint="eastAsia" w:ascii="宋体" w:hAnsi="宋体" w:cs="宋体"/>
          <w:color w:val="auto"/>
          <w:szCs w:val="21"/>
          <w:highlight w:val="none"/>
          <w:lang w:eastAsia="zh-CN"/>
        </w:rPr>
        <w:t>成交候选人</w:t>
      </w:r>
      <w:r>
        <w:rPr>
          <w:rFonts w:hint="eastAsia" w:ascii="宋体" w:hAnsi="宋体" w:cs="宋体"/>
          <w:color w:val="auto"/>
          <w:szCs w:val="21"/>
          <w:highlight w:val="none"/>
        </w:rPr>
        <w:t>，以此类推。得分相同的，按投标报价由低到高顺序排列。得分且投标报价相同的，按技术部分得分顺序排列。得分与技术指标优劣均相同的，通过随机抽取产生。</w:t>
      </w:r>
    </w:p>
    <w:p w14:paraId="1CA3A1A1">
      <w:pPr>
        <w:keepNext w:val="0"/>
        <w:keepLines w:val="0"/>
        <w:pageBreakBefore w:val="0"/>
        <w:widowControl/>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lang w:eastAsia="zh-CN"/>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1</w:t>
      </w:r>
      <w:r>
        <w:rPr>
          <w:rFonts w:hint="eastAsia" w:ascii="宋体" w:hAnsi="宋体" w:cs="宋体"/>
          <w:b/>
          <w:bCs/>
          <w:color w:val="auto"/>
          <w:kern w:val="0"/>
          <w:szCs w:val="21"/>
          <w:highlight w:val="none"/>
        </w:rPr>
        <w:t>. 确定</w:t>
      </w:r>
      <w:r>
        <w:rPr>
          <w:rFonts w:hint="eastAsia" w:ascii="宋体" w:hAnsi="宋体" w:cs="宋体"/>
          <w:b/>
          <w:bCs/>
          <w:color w:val="auto"/>
          <w:kern w:val="0"/>
          <w:szCs w:val="21"/>
          <w:highlight w:val="none"/>
          <w:lang w:eastAsia="zh-CN"/>
        </w:rPr>
        <w:t>成交人</w:t>
      </w:r>
      <w:r>
        <w:rPr>
          <w:rFonts w:hint="eastAsia" w:ascii="宋体" w:hAnsi="宋体" w:cs="宋体"/>
          <w:b/>
          <w:bCs/>
          <w:color w:val="auto"/>
          <w:kern w:val="0"/>
          <w:szCs w:val="21"/>
          <w:highlight w:val="none"/>
        </w:rPr>
        <w:t>和</w:t>
      </w:r>
      <w:r>
        <w:rPr>
          <w:rFonts w:hint="eastAsia" w:ascii="宋体" w:hAnsi="宋体" w:cs="宋体"/>
          <w:b/>
          <w:bCs/>
          <w:color w:val="auto"/>
          <w:kern w:val="0"/>
          <w:szCs w:val="21"/>
          <w:highlight w:val="none"/>
          <w:lang w:eastAsia="zh-CN"/>
        </w:rPr>
        <w:t>成交候选人</w:t>
      </w:r>
    </w:p>
    <w:p w14:paraId="784F364C">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bCs/>
          <w:color w:val="auto"/>
          <w:kern w:val="0"/>
          <w:szCs w:val="21"/>
          <w:highlight w:val="none"/>
        </w:rPr>
        <w:t>本项目由采购人授权</w:t>
      </w:r>
      <w:r>
        <w:rPr>
          <w:rFonts w:hint="eastAsia" w:ascii="宋体" w:hAnsi="宋体" w:cs="宋体"/>
          <w:bCs/>
          <w:color w:val="auto"/>
          <w:kern w:val="0"/>
          <w:szCs w:val="21"/>
          <w:highlight w:val="none"/>
          <w:lang w:eastAsia="zh-CN"/>
        </w:rPr>
        <w:t>磋商小组</w:t>
      </w:r>
      <w:r>
        <w:rPr>
          <w:rFonts w:hint="eastAsia" w:ascii="宋体" w:hAnsi="宋体" w:cs="宋体"/>
          <w:bCs/>
          <w:color w:val="auto"/>
          <w:kern w:val="0"/>
          <w:szCs w:val="21"/>
          <w:highlight w:val="none"/>
        </w:rPr>
        <w:t>确定一名</w:t>
      </w:r>
      <w:r>
        <w:rPr>
          <w:rFonts w:hint="eastAsia" w:ascii="宋体" w:hAnsi="宋体" w:cs="宋体"/>
          <w:bCs/>
          <w:color w:val="auto"/>
          <w:kern w:val="0"/>
          <w:szCs w:val="21"/>
          <w:highlight w:val="none"/>
          <w:lang w:eastAsia="zh-CN"/>
        </w:rPr>
        <w:t>成交人</w:t>
      </w:r>
      <w:r>
        <w:rPr>
          <w:rFonts w:hint="eastAsia" w:ascii="宋体" w:hAnsi="宋体" w:cs="宋体"/>
          <w:bCs/>
          <w:color w:val="auto"/>
          <w:kern w:val="0"/>
          <w:szCs w:val="21"/>
          <w:highlight w:val="none"/>
        </w:rPr>
        <w:t>并推荐</w:t>
      </w:r>
      <w:r>
        <w:rPr>
          <w:rFonts w:hint="eastAsia" w:ascii="宋体" w:hAnsi="宋体" w:cs="宋体"/>
          <w:bCs/>
          <w:color w:val="auto"/>
          <w:kern w:val="0"/>
          <w:szCs w:val="21"/>
          <w:highlight w:val="none"/>
          <w:lang w:val="en-US" w:eastAsia="zh-CN"/>
        </w:rPr>
        <w:t>一</w:t>
      </w:r>
      <w:r>
        <w:rPr>
          <w:rFonts w:hint="eastAsia" w:ascii="宋体" w:hAnsi="宋体" w:cs="宋体"/>
          <w:bCs/>
          <w:color w:val="auto"/>
          <w:kern w:val="0"/>
          <w:szCs w:val="21"/>
          <w:highlight w:val="none"/>
        </w:rPr>
        <w:t>名</w:t>
      </w:r>
      <w:r>
        <w:rPr>
          <w:rFonts w:hint="eastAsia" w:ascii="宋体" w:hAnsi="宋体" w:cs="宋体"/>
          <w:bCs/>
          <w:color w:val="auto"/>
          <w:kern w:val="0"/>
          <w:szCs w:val="21"/>
          <w:highlight w:val="none"/>
          <w:lang w:eastAsia="zh-CN"/>
        </w:rPr>
        <w:t>成交候选人</w:t>
      </w:r>
      <w:r>
        <w:rPr>
          <w:rFonts w:hint="eastAsia" w:ascii="宋体" w:hAnsi="宋体" w:cs="宋体"/>
          <w:color w:val="auto"/>
          <w:kern w:val="0"/>
          <w:szCs w:val="21"/>
          <w:highlight w:val="none"/>
        </w:rPr>
        <w:t>。</w:t>
      </w:r>
    </w:p>
    <w:p w14:paraId="4FC30E03">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2</w:t>
      </w:r>
      <w:r>
        <w:rPr>
          <w:rFonts w:hint="eastAsia" w:ascii="宋体" w:hAnsi="宋体" w:cs="宋体"/>
          <w:b/>
          <w:bCs/>
          <w:color w:val="auto"/>
          <w:kern w:val="0"/>
          <w:szCs w:val="21"/>
          <w:highlight w:val="none"/>
        </w:rPr>
        <w:t xml:space="preserve">. </w:t>
      </w:r>
      <w:r>
        <w:rPr>
          <w:rFonts w:hint="eastAsia" w:ascii="宋体" w:hAnsi="宋体" w:cs="宋体"/>
          <w:b/>
          <w:bCs/>
          <w:color w:val="auto"/>
          <w:kern w:val="0"/>
          <w:szCs w:val="21"/>
          <w:highlight w:val="none"/>
          <w:lang w:eastAsia="zh-CN"/>
        </w:rPr>
        <w:t>成交通知书</w:t>
      </w:r>
      <w:r>
        <w:rPr>
          <w:rFonts w:hint="eastAsia" w:ascii="宋体" w:hAnsi="宋体" w:cs="宋体"/>
          <w:b/>
          <w:bCs/>
          <w:color w:val="auto"/>
          <w:kern w:val="0"/>
          <w:szCs w:val="21"/>
          <w:highlight w:val="none"/>
        </w:rPr>
        <w:t>及中标公告</w:t>
      </w:r>
    </w:p>
    <w:p w14:paraId="5BFA2C41">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.1评审结束后，</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人将</w:t>
      </w:r>
      <w:r>
        <w:rPr>
          <w:rFonts w:hint="eastAsia" w:ascii="宋体" w:hAnsi="宋体" w:cs="宋体"/>
          <w:color w:val="auto"/>
          <w:kern w:val="0"/>
          <w:szCs w:val="21"/>
          <w:highlight w:val="none"/>
          <w:lang w:eastAsia="zh-CN"/>
        </w:rPr>
        <w:t>成交候选人</w:t>
      </w:r>
      <w:r>
        <w:rPr>
          <w:rFonts w:hint="eastAsia" w:ascii="宋体" w:hAnsi="宋体" w:cs="宋体"/>
          <w:color w:val="auto"/>
          <w:kern w:val="0"/>
          <w:szCs w:val="21"/>
          <w:highlight w:val="none"/>
        </w:rPr>
        <w:t>的情况在本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项目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公告发布的同一媒介予以公示，公示</w:t>
      </w:r>
      <w:r>
        <w:rPr>
          <w:rFonts w:hint="eastAsia" w:ascii="宋体" w:hAnsi="宋体" w:cs="宋体"/>
          <w:color w:val="auto"/>
          <w:kern w:val="0"/>
          <w:szCs w:val="21"/>
          <w:highlight w:val="none"/>
          <w:lang w:eastAsia="zh-CN"/>
        </w:rPr>
        <w:t>期限</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lang w:eastAsia="zh-CN"/>
        </w:rPr>
        <w:t>个工作日</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发出</w:t>
      </w:r>
      <w:r>
        <w:rPr>
          <w:rFonts w:hint="eastAsia" w:ascii="宋体" w:hAnsi="宋体" w:cs="宋体"/>
          <w:color w:val="auto"/>
          <w:kern w:val="0"/>
          <w:szCs w:val="21"/>
          <w:highlight w:val="none"/>
          <w:lang w:eastAsia="zh-CN"/>
        </w:rPr>
        <w:t>成交通知书</w:t>
      </w:r>
      <w:r>
        <w:rPr>
          <w:rFonts w:hint="eastAsia" w:ascii="宋体" w:hAnsi="宋体" w:cs="宋体"/>
          <w:color w:val="auto"/>
          <w:kern w:val="0"/>
          <w:szCs w:val="21"/>
          <w:highlight w:val="none"/>
        </w:rPr>
        <w:t>。</w:t>
      </w:r>
    </w:p>
    <w:p w14:paraId="0084AF7B">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在规定的时间内不领取</w:t>
      </w:r>
      <w:r>
        <w:rPr>
          <w:rFonts w:hint="eastAsia" w:ascii="宋体" w:hAnsi="宋体" w:cs="宋体"/>
          <w:color w:val="auto"/>
          <w:kern w:val="0"/>
          <w:szCs w:val="21"/>
          <w:highlight w:val="none"/>
          <w:lang w:eastAsia="zh-CN"/>
        </w:rPr>
        <w:t>成交通知书</w:t>
      </w:r>
      <w:r>
        <w:rPr>
          <w:rFonts w:hint="eastAsia" w:ascii="宋体" w:hAnsi="宋体" w:cs="宋体"/>
          <w:color w:val="auto"/>
          <w:kern w:val="0"/>
          <w:szCs w:val="21"/>
          <w:highlight w:val="none"/>
        </w:rPr>
        <w:t>的，视为中标后自动放弃中标资格；</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在有效报价中报价最低,非不可抗力放弃中标资格的。发生上述情况的承担由此引起的一切后果。</w:t>
      </w:r>
    </w:p>
    <w:p w14:paraId="4005965B">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w:t>
      </w:r>
      <w:r>
        <w:rPr>
          <w:rFonts w:hint="eastAsia" w:ascii="宋体" w:hAnsi="宋体" w:cs="宋体"/>
          <w:color w:val="auto"/>
          <w:kern w:val="0"/>
          <w:szCs w:val="21"/>
          <w:highlight w:val="none"/>
          <w:lang w:eastAsia="zh-CN"/>
        </w:rPr>
        <w:t>成交通知书</w:t>
      </w:r>
      <w:r>
        <w:rPr>
          <w:rFonts w:hint="eastAsia" w:ascii="宋体" w:hAnsi="宋体" w:cs="宋体"/>
          <w:color w:val="auto"/>
          <w:kern w:val="0"/>
          <w:szCs w:val="21"/>
          <w:highlight w:val="none"/>
        </w:rPr>
        <w:t>对采购人和</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具有同等法律效力。</w:t>
      </w:r>
      <w:r>
        <w:rPr>
          <w:rFonts w:hint="eastAsia" w:ascii="宋体" w:hAnsi="宋体" w:cs="宋体"/>
          <w:color w:val="auto"/>
          <w:kern w:val="0"/>
          <w:szCs w:val="21"/>
          <w:highlight w:val="none"/>
          <w:lang w:eastAsia="zh-CN"/>
        </w:rPr>
        <w:t>成交通知书</w:t>
      </w:r>
      <w:r>
        <w:rPr>
          <w:rFonts w:hint="eastAsia" w:ascii="宋体" w:hAnsi="宋体" w:cs="宋体"/>
          <w:color w:val="auto"/>
          <w:kern w:val="0"/>
          <w:szCs w:val="21"/>
          <w:highlight w:val="none"/>
        </w:rPr>
        <w:t>发出后，采购人改变中标结果，或者</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放弃中标，应按相关法律、规章、规范性文件的要求承担相应的法律责任。</w:t>
      </w:r>
    </w:p>
    <w:p w14:paraId="27571C30">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bCs/>
          <w:color w:val="auto"/>
          <w:kern w:val="0"/>
          <w:szCs w:val="21"/>
          <w:highlight w:val="none"/>
        </w:rPr>
        <w:t>.4</w:t>
      </w:r>
      <w:r>
        <w:rPr>
          <w:rFonts w:hint="eastAsia" w:ascii="宋体" w:hAnsi="宋体" w:cs="宋体"/>
          <w:bCs/>
          <w:color w:val="auto"/>
          <w:kern w:val="0"/>
          <w:szCs w:val="21"/>
          <w:highlight w:val="none"/>
          <w:lang w:eastAsia="zh-CN"/>
        </w:rPr>
        <w:t>成交通知书</w:t>
      </w:r>
      <w:r>
        <w:rPr>
          <w:rFonts w:hint="eastAsia" w:ascii="宋体" w:hAnsi="宋体" w:cs="宋体"/>
          <w:bCs/>
          <w:color w:val="auto"/>
          <w:kern w:val="0"/>
          <w:szCs w:val="21"/>
          <w:highlight w:val="none"/>
        </w:rPr>
        <w:t>将作为签订合同的依据。合同签订后，</w:t>
      </w:r>
      <w:r>
        <w:rPr>
          <w:rFonts w:hint="eastAsia" w:ascii="宋体" w:hAnsi="宋体" w:cs="宋体"/>
          <w:bCs/>
          <w:color w:val="auto"/>
          <w:kern w:val="0"/>
          <w:szCs w:val="21"/>
          <w:highlight w:val="none"/>
          <w:lang w:eastAsia="zh-CN"/>
        </w:rPr>
        <w:t>成交通知书</w:t>
      </w:r>
      <w:r>
        <w:rPr>
          <w:rFonts w:hint="eastAsia" w:ascii="宋体" w:hAnsi="宋体" w:cs="宋体"/>
          <w:bCs/>
          <w:color w:val="auto"/>
          <w:kern w:val="0"/>
          <w:szCs w:val="21"/>
          <w:highlight w:val="none"/>
        </w:rPr>
        <w:t>成为合同的一部分。</w:t>
      </w:r>
    </w:p>
    <w:p w14:paraId="660922FF">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3</w:t>
      </w:r>
      <w:r>
        <w:rPr>
          <w:rFonts w:hint="eastAsia" w:ascii="宋体" w:hAnsi="宋体" w:cs="宋体"/>
          <w:b/>
          <w:bCs/>
          <w:color w:val="auto"/>
          <w:kern w:val="0"/>
          <w:szCs w:val="21"/>
          <w:highlight w:val="none"/>
        </w:rPr>
        <w:t>. 采购人宣布废标的权利</w:t>
      </w:r>
    </w:p>
    <w:p w14:paraId="7A9210E2">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.1出现下列情况之一时，采购人有权宣布废标，并将理由通知所有</w:t>
      </w:r>
      <w:r>
        <w:rPr>
          <w:rFonts w:hint="eastAsia" w:ascii="宋体" w:hAnsi="宋体" w:cs="宋体"/>
          <w:bCs/>
          <w:color w:val="auto"/>
          <w:kern w:val="0"/>
          <w:szCs w:val="21"/>
          <w:highlight w:val="none"/>
          <w:lang w:eastAsia="zh-CN"/>
        </w:rPr>
        <w:t>供应商</w:t>
      </w:r>
      <w:r>
        <w:rPr>
          <w:rFonts w:hint="eastAsia" w:ascii="宋体" w:hAnsi="宋体" w:cs="宋体"/>
          <w:bCs/>
          <w:color w:val="auto"/>
          <w:kern w:val="0"/>
          <w:szCs w:val="21"/>
          <w:highlight w:val="none"/>
        </w:rPr>
        <w:t>：</w:t>
      </w:r>
    </w:p>
    <w:p w14:paraId="5739205D">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.1.1出现影响采购公正的违法、违规行为的。</w:t>
      </w:r>
    </w:p>
    <w:p w14:paraId="027AAF39">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.1.2</w:t>
      </w:r>
      <w:r>
        <w:rPr>
          <w:rFonts w:hint="eastAsia" w:ascii="宋体" w:hAnsi="宋体" w:cs="宋体"/>
          <w:bCs/>
          <w:color w:val="auto"/>
          <w:kern w:val="0"/>
          <w:szCs w:val="21"/>
          <w:highlight w:val="none"/>
          <w:lang w:eastAsia="zh-CN"/>
        </w:rPr>
        <w:t>供应商</w:t>
      </w:r>
      <w:r>
        <w:rPr>
          <w:rFonts w:hint="eastAsia" w:ascii="宋体" w:hAnsi="宋体" w:cs="宋体"/>
          <w:bCs/>
          <w:color w:val="auto"/>
          <w:kern w:val="0"/>
          <w:szCs w:val="21"/>
          <w:highlight w:val="none"/>
        </w:rPr>
        <w:t>的报价均超过了</w:t>
      </w:r>
      <w:r>
        <w:rPr>
          <w:rFonts w:hint="eastAsia" w:ascii="宋体" w:hAnsi="宋体" w:cs="宋体"/>
          <w:bCs/>
          <w:color w:val="auto"/>
          <w:kern w:val="0"/>
          <w:szCs w:val="21"/>
          <w:highlight w:val="none"/>
          <w:lang w:val="en-US" w:eastAsia="zh-CN"/>
        </w:rPr>
        <w:t>采购预算金额</w:t>
      </w:r>
      <w:r>
        <w:rPr>
          <w:rFonts w:hint="eastAsia" w:ascii="宋体" w:hAnsi="宋体" w:cs="宋体"/>
          <w:bCs/>
          <w:color w:val="auto"/>
          <w:kern w:val="0"/>
          <w:szCs w:val="21"/>
          <w:highlight w:val="none"/>
        </w:rPr>
        <w:t>，采购人不能支付的。</w:t>
      </w:r>
    </w:p>
    <w:p w14:paraId="7DF6EA78">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.1.3因重大变故，采购任务取消的。</w:t>
      </w:r>
    </w:p>
    <w:p w14:paraId="12CE480E">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color w:val="auto"/>
          <w:kern w:val="0"/>
          <w:szCs w:val="21"/>
          <w:highlight w:val="none"/>
        </w:rPr>
        <w:t xml:space="preserve">.2 </w:t>
      </w:r>
      <w:r>
        <w:rPr>
          <w:rFonts w:hint="eastAsia" w:ascii="宋体" w:hAnsi="宋体" w:cs="宋体"/>
          <w:color w:val="auto"/>
          <w:szCs w:val="21"/>
          <w:highlight w:val="none"/>
        </w:rPr>
        <w:t>投标截止后</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不足3家或通过资格性检查或符合性检查的</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不足3家的，除采购任务取消情形外，按照以下方式处理：</w:t>
      </w:r>
    </w:p>
    <w:p w14:paraId="1D771F22">
      <w:pPr>
        <w:keepNext w:val="0"/>
        <w:keepLines w:val="0"/>
        <w:pageBreakBefore w:val="0"/>
        <w:numPr>
          <w:ilvl w:val="0"/>
          <w:numId w:val="2"/>
        </w:numPr>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文件存在不合理条款或者招标程序不符合规定的，采购人正后依法重新招标；　</w:t>
      </w:r>
    </w:p>
    <w:p w14:paraId="6DF5F3E5">
      <w:pPr>
        <w:keepNext w:val="0"/>
        <w:keepLines w:val="0"/>
        <w:pageBreakBefore w:val="0"/>
        <w:kinsoku/>
        <w:wordWrap/>
        <w:overflowPunct/>
        <w:topLinePunct w:val="0"/>
        <w:bidi w:val="0"/>
        <w:snapToGrid w:val="0"/>
        <w:spacing w:line="360" w:lineRule="auto"/>
        <w:ind w:firstLine="420" w:firstLineChars="200"/>
        <w:rPr>
          <w:rFonts w:ascii="宋体" w:hAnsi="宋体" w:cs="宋体"/>
          <w:b/>
          <w:color w:val="auto"/>
          <w:kern w:val="0"/>
          <w:sz w:val="52"/>
          <w:szCs w:val="52"/>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文件没有不合理条款、招标程序符合规定，需要采用其他采购方式采购的，采购人应当依法报财政部门批准。</w:t>
      </w:r>
    </w:p>
    <w:p w14:paraId="49A7D6B5">
      <w:pPr>
        <w:keepNext w:val="0"/>
        <w:keepLines w:val="0"/>
        <w:pageBreakBefore w:val="0"/>
        <w:widowControl/>
        <w:kinsoku/>
        <w:wordWrap/>
        <w:overflowPunct/>
        <w:topLinePunct w:val="0"/>
        <w:autoSpaceDE/>
        <w:autoSpaceDN/>
        <w:bidi w:val="0"/>
        <w:adjustRightInd/>
        <w:snapToGrid w:val="0"/>
        <w:spacing w:line="360" w:lineRule="auto"/>
        <w:ind w:firstLine="0" w:firstLineChars="0"/>
        <w:jc w:val="center"/>
        <w:textAlignment w:val="auto"/>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七</w:t>
      </w:r>
      <w:r>
        <w:rPr>
          <w:rFonts w:hint="eastAsia" w:ascii="黑体" w:hAnsi="宋体" w:eastAsia="黑体" w:cs="宋体"/>
          <w:b/>
          <w:bCs/>
          <w:color w:val="auto"/>
          <w:kern w:val="0"/>
          <w:sz w:val="32"/>
          <w:szCs w:val="32"/>
          <w:highlight w:val="none"/>
        </w:rPr>
        <w:t>、合同授予</w:t>
      </w:r>
    </w:p>
    <w:p w14:paraId="415BD79C">
      <w:pPr>
        <w:keepNext w:val="0"/>
        <w:keepLines w:val="0"/>
        <w:pageBreakBefore w:val="0"/>
        <w:widowControl/>
        <w:kinsoku/>
        <w:wordWrap/>
        <w:overflowPunct/>
        <w:topLinePunct w:val="0"/>
        <w:bidi w:val="0"/>
        <w:snapToGrid w:val="0"/>
        <w:spacing w:line="360" w:lineRule="auto"/>
        <w:ind w:firstLine="472" w:firstLineChars="224"/>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.合同签订</w:t>
      </w:r>
    </w:p>
    <w:p w14:paraId="584BD30F">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u w:val="single"/>
        </w:rPr>
      </w:pPr>
      <w:bookmarkStart w:id="40" w:name="_Toc8594"/>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采购人、</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自</w:t>
      </w:r>
      <w:r>
        <w:rPr>
          <w:rFonts w:hint="eastAsia" w:ascii="宋体" w:hAnsi="宋体" w:cs="宋体"/>
          <w:color w:val="auto"/>
          <w:kern w:val="0"/>
          <w:szCs w:val="21"/>
          <w:highlight w:val="none"/>
          <w:lang w:eastAsia="zh-CN"/>
        </w:rPr>
        <w:t>成交通知书</w:t>
      </w:r>
      <w:r>
        <w:rPr>
          <w:rFonts w:hint="eastAsia" w:ascii="宋体" w:hAnsi="宋体" w:cs="宋体"/>
          <w:color w:val="auto"/>
          <w:kern w:val="0"/>
          <w:szCs w:val="21"/>
          <w:highlight w:val="none"/>
        </w:rPr>
        <w:t>发出之日起，在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文件第三章《</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须知前附表》规定的时间内，根据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文件确定的事项和</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投标文件签订合同。双方所签订的合同不得对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文件和</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投标文件作实质性修改。</w:t>
      </w:r>
    </w:p>
    <w:p w14:paraId="457A0998">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 xml:space="preserve">.2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文件的修改文件、</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的投标文件、补充或修改的文件及澄清或承诺文件等，均为双方签订合同的组成部分，并与合同一并作为本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文件所列采购项目的互补性法律文件，与合同具有同等法律效力。</w:t>
      </w:r>
    </w:p>
    <w:p w14:paraId="3181D9C3">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 xml:space="preserve">.3 </w:t>
      </w:r>
      <w:r>
        <w:rPr>
          <w:rFonts w:hint="eastAsia" w:ascii="宋体" w:hAnsi="宋体" w:cs="宋体"/>
          <w:color w:val="auto"/>
          <w:kern w:val="0"/>
          <w:szCs w:val="21"/>
          <w:highlight w:val="none"/>
          <w:lang w:eastAsia="zh-CN"/>
        </w:rPr>
        <w:t>成交人</w:t>
      </w:r>
      <w:r>
        <w:rPr>
          <w:rFonts w:hint="eastAsia" w:cs="宋体"/>
          <w:color w:val="auto"/>
          <w:kern w:val="0"/>
          <w:szCs w:val="21"/>
          <w:highlight w:val="none"/>
        </w:rPr>
        <w:t>放弃中标、因不可抗力不能履行合同、不按照</w:t>
      </w:r>
      <w:r>
        <w:rPr>
          <w:rFonts w:hint="eastAsia" w:cs="宋体"/>
          <w:color w:val="auto"/>
          <w:kern w:val="0"/>
          <w:szCs w:val="21"/>
          <w:highlight w:val="none"/>
          <w:lang w:val="en-US" w:eastAsia="zh-CN"/>
        </w:rPr>
        <w:t>采购</w:t>
      </w:r>
      <w:r>
        <w:rPr>
          <w:rFonts w:hint="eastAsia" w:cs="宋体"/>
          <w:color w:val="auto"/>
          <w:kern w:val="0"/>
          <w:szCs w:val="21"/>
          <w:highlight w:val="none"/>
        </w:rPr>
        <w:t>文件要求提交履约保证金，或者被查实存在影响中标结果的违法行为等情形，不符合中标条件的，</w:t>
      </w:r>
      <w:r>
        <w:rPr>
          <w:rFonts w:hint="eastAsia" w:ascii="宋体" w:hAnsi="宋体" w:cs="宋体"/>
          <w:color w:val="auto"/>
          <w:kern w:val="0"/>
          <w:szCs w:val="21"/>
          <w:highlight w:val="none"/>
        </w:rPr>
        <w:t>采购人可以</w:t>
      </w:r>
      <w:r>
        <w:rPr>
          <w:rFonts w:hint="eastAsia" w:cs="宋体"/>
          <w:color w:val="auto"/>
          <w:kern w:val="0"/>
          <w:szCs w:val="21"/>
          <w:highlight w:val="none"/>
        </w:rPr>
        <w:t>按照</w:t>
      </w:r>
      <w:r>
        <w:rPr>
          <w:rFonts w:hint="eastAsia" w:cs="宋体"/>
          <w:color w:val="auto"/>
          <w:kern w:val="0"/>
          <w:szCs w:val="21"/>
          <w:highlight w:val="none"/>
          <w:lang w:eastAsia="zh-CN"/>
        </w:rPr>
        <w:t>磋商小组</w:t>
      </w:r>
      <w:r>
        <w:rPr>
          <w:rFonts w:hint="eastAsia" w:cs="宋体"/>
          <w:color w:val="auto"/>
          <w:kern w:val="0"/>
          <w:szCs w:val="21"/>
          <w:highlight w:val="none"/>
        </w:rPr>
        <w:t>提出的</w:t>
      </w:r>
      <w:r>
        <w:rPr>
          <w:rFonts w:hint="eastAsia" w:cs="宋体"/>
          <w:color w:val="auto"/>
          <w:kern w:val="0"/>
          <w:szCs w:val="21"/>
          <w:highlight w:val="none"/>
          <w:lang w:eastAsia="zh-CN"/>
        </w:rPr>
        <w:t>成交候选人</w:t>
      </w:r>
      <w:r>
        <w:rPr>
          <w:rFonts w:hint="eastAsia" w:cs="宋体"/>
          <w:color w:val="auto"/>
          <w:kern w:val="0"/>
          <w:szCs w:val="21"/>
          <w:highlight w:val="none"/>
        </w:rPr>
        <w:t>名单排序依次确定其他</w:t>
      </w:r>
      <w:r>
        <w:rPr>
          <w:rFonts w:hint="eastAsia" w:cs="宋体"/>
          <w:color w:val="auto"/>
          <w:kern w:val="0"/>
          <w:szCs w:val="21"/>
          <w:highlight w:val="none"/>
          <w:lang w:eastAsia="zh-CN"/>
        </w:rPr>
        <w:t>成交候选人</w:t>
      </w:r>
      <w:r>
        <w:rPr>
          <w:rFonts w:hint="eastAsia" w:cs="宋体"/>
          <w:color w:val="auto"/>
          <w:kern w:val="0"/>
          <w:szCs w:val="21"/>
          <w:highlight w:val="none"/>
        </w:rPr>
        <w:t>为</w:t>
      </w:r>
      <w:r>
        <w:rPr>
          <w:rFonts w:hint="eastAsia" w:cs="宋体"/>
          <w:color w:val="auto"/>
          <w:kern w:val="0"/>
          <w:szCs w:val="21"/>
          <w:highlight w:val="none"/>
          <w:lang w:eastAsia="zh-CN"/>
        </w:rPr>
        <w:t>成交人</w:t>
      </w:r>
      <w:r>
        <w:rPr>
          <w:rFonts w:hint="eastAsia" w:cs="宋体"/>
          <w:color w:val="auto"/>
          <w:kern w:val="0"/>
          <w:szCs w:val="21"/>
          <w:highlight w:val="none"/>
        </w:rPr>
        <w:t>，也可以重新招标。</w:t>
      </w:r>
    </w:p>
    <w:bookmarkEnd w:id="40"/>
    <w:p w14:paraId="56A7A97B">
      <w:pPr>
        <w:rPr>
          <w:color w:val="auto"/>
          <w:highlight w:val="none"/>
        </w:rPr>
      </w:pPr>
      <w:bookmarkStart w:id="41" w:name="_Toc4700"/>
      <w:bookmarkStart w:id="42" w:name="_Toc16669"/>
      <w:r>
        <w:rPr>
          <w:color w:val="auto"/>
          <w:highlight w:val="none"/>
        </w:rPr>
        <w:br w:type="page"/>
      </w:r>
    </w:p>
    <w:p w14:paraId="2D48AD78">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ascii="宋体" w:hAnsi="宋体" w:cs="宋体"/>
          <w:color w:val="auto"/>
          <w:kern w:val="0"/>
          <w:sz w:val="24"/>
          <w:highlight w:val="none"/>
        </w:rPr>
      </w:pPr>
      <w:bookmarkStart w:id="43" w:name="_Toc16473"/>
      <w:r>
        <w:rPr>
          <w:rFonts w:hint="eastAsia" w:ascii="黑体" w:hAnsi="宋体" w:eastAsia="黑体" w:cs="宋体"/>
          <w:b/>
          <w:bCs/>
          <w:color w:val="auto"/>
          <w:kern w:val="0"/>
          <w:sz w:val="32"/>
          <w:szCs w:val="32"/>
          <w:highlight w:val="none"/>
        </w:rPr>
        <w:t>第四章  评标办法及评分标准</w:t>
      </w:r>
      <w:bookmarkEnd w:id="41"/>
      <w:bookmarkEnd w:id="43"/>
    </w:p>
    <w:p w14:paraId="23049B78">
      <w:pPr>
        <w:rPr>
          <w:color w:val="auto"/>
          <w:highlight w:val="none"/>
        </w:rPr>
      </w:pPr>
    </w:p>
    <w:p w14:paraId="08C51D62">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14:paraId="6148CC42">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14:paraId="6F74A91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14:paraId="0E193CC1">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14:paraId="1EFF5DF6">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文件中规定的评标方法和标准，对投标文件进行综合比较与评价。</w:t>
      </w:r>
    </w:p>
    <w:p w14:paraId="3346AE61">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14:paraId="727A366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.投标文件满足</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w:t>
      </w:r>
      <w:r>
        <w:rPr>
          <w:rFonts w:hint="eastAsia" w:ascii="宋体" w:hAnsi="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为第一</w:t>
      </w:r>
      <w:r>
        <w:rPr>
          <w:rFonts w:hint="eastAsia" w:ascii="宋体" w:hAnsi="宋体" w:cs="宋体"/>
          <w:b w:val="0"/>
          <w:bCs w:val="0"/>
          <w:color w:val="auto"/>
          <w:sz w:val="21"/>
          <w:szCs w:val="21"/>
          <w:highlight w:val="none"/>
          <w:lang w:eastAsia="zh-CN"/>
        </w:rPr>
        <w:t>成交候选人</w:t>
      </w:r>
      <w:r>
        <w:rPr>
          <w:rFonts w:hint="eastAsia" w:ascii="宋体" w:hAnsi="宋体" w:eastAsia="宋体" w:cs="宋体"/>
          <w:b w:val="0"/>
          <w:bCs w:val="0"/>
          <w:color w:val="auto"/>
          <w:sz w:val="21"/>
          <w:szCs w:val="21"/>
          <w:highlight w:val="none"/>
        </w:rPr>
        <w:t>。</w:t>
      </w:r>
    </w:p>
    <w:p w14:paraId="7B813879">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14:paraId="14317717">
      <w:pPr>
        <w:keepNext w:val="0"/>
        <w:keepLines w:val="0"/>
        <w:pageBreakBefore w:val="0"/>
        <w:numPr>
          <w:ilvl w:val="0"/>
          <w:numId w:val="0"/>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详细评审（100分）</w:t>
      </w:r>
    </w:p>
    <w:tbl>
      <w:tblPr>
        <w:tblStyle w:val="33"/>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18BA2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82" w:type="dxa"/>
            <w:gridSpan w:val="3"/>
            <w:noWrap w:val="0"/>
            <w:vAlign w:val="center"/>
          </w:tcPr>
          <w:p w14:paraId="75B69485">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14:paraId="4BFD5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1239" w:type="dxa"/>
            <w:noWrap w:val="0"/>
            <w:vAlign w:val="center"/>
          </w:tcPr>
          <w:p w14:paraId="6F95332A">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(3</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分)</w:t>
            </w:r>
          </w:p>
        </w:tc>
        <w:tc>
          <w:tcPr>
            <w:tcW w:w="8243" w:type="dxa"/>
            <w:gridSpan w:val="2"/>
            <w:noWrap w:val="0"/>
            <w:vAlign w:val="center"/>
          </w:tcPr>
          <w:p w14:paraId="26A54EE5">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w:t>
            </w:r>
            <w:r>
              <w:rPr>
                <w:rFonts w:hint="eastAsia" w:hAnsi="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发现</w:t>
            </w:r>
            <w:r>
              <w:rPr>
                <w:rFonts w:hint="eastAsia" w:hAnsi="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的投标报价明显低于其他投标报价，使其投标报价可能低于其个别成本的，</w:t>
            </w:r>
            <w:r>
              <w:rPr>
                <w:rFonts w:hint="eastAsia" w:hAnsi="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可对其质询，并要求该</w:t>
            </w:r>
            <w:r>
              <w:rPr>
                <w:rFonts w:hint="eastAsia" w:hAnsi="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做出书面说明和提供相关的证明材料；该</w:t>
            </w:r>
            <w:r>
              <w:rPr>
                <w:rFonts w:hint="eastAsia" w:hAnsi="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不能合理说明或提供证明材料的，</w:t>
            </w:r>
            <w:r>
              <w:rPr>
                <w:rFonts w:hint="eastAsia" w:hAnsi="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应按无效投标处理。</w:t>
            </w:r>
          </w:p>
          <w:p w14:paraId="57B4575A">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有效投标报价：投标报价</w:t>
            </w:r>
            <w:r>
              <w:rPr>
                <w:rFonts w:hint="eastAsia" w:ascii="宋体" w:hAnsi="宋体" w:eastAsia="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采购预算价的为有效投标报价。</w:t>
            </w:r>
          </w:p>
          <w:p w14:paraId="2078984C">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文件要求且投标价格最低的有效投标报价为评标基准价。</w:t>
            </w:r>
          </w:p>
          <w:p w14:paraId="7E8AEED5">
            <w:pPr>
              <w:rPr>
                <w:rFonts w:hint="eastAsia" w:ascii="宋体" w:hAnsi="宋体" w:eastAsia="宋体" w:cs="宋体"/>
                <w:highlight w:val="none"/>
                <w:lang w:val="en-US" w:eastAsia="zh-CN"/>
              </w:rPr>
            </w:pPr>
            <w:r>
              <w:rPr>
                <w:rFonts w:hint="eastAsia" w:ascii="宋体" w:hAnsi="宋体" w:eastAsia="宋体" w:cs="宋体"/>
                <w:b w:val="0"/>
                <w:bCs w:val="0"/>
                <w:color w:val="auto"/>
                <w:sz w:val="21"/>
                <w:szCs w:val="21"/>
                <w:highlight w:val="none"/>
              </w:rPr>
              <w:t>投标报价得分=（评标基准价/有效投标报价）×3</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分</w:t>
            </w:r>
          </w:p>
        </w:tc>
      </w:tr>
      <w:tr w14:paraId="47B97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1239" w:type="dxa"/>
            <w:vMerge w:val="restart"/>
            <w:noWrap w:val="0"/>
            <w:vAlign w:val="center"/>
          </w:tcPr>
          <w:p w14:paraId="755C22F0">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服务质量</w:t>
            </w:r>
          </w:p>
          <w:p w14:paraId="3529305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4</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eastAsia="zh-CN"/>
              </w:rPr>
              <w:t>分）</w:t>
            </w:r>
          </w:p>
        </w:tc>
        <w:tc>
          <w:tcPr>
            <w:tcW w:w="1473" w:type="dxa"/>
            <w:noWrap w:val="0"/>
            <w:vAlign w:val="center"/>
          </w:tcPr>
          <w:p w14:paraId="2DB2F080">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1.产品技术参数（2</w:t>
            </w: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lang w:val="en-US" w:eastAsia="zh-CN"/>
              </w:rPr>
              <w:t>分）</w:t>
            </w:r>
          </w:p>
        </w:tc>
        <w:tc>
          <w:tcPr>
            <w:tcW w:w="6770" w:type="dxa"/>
            <w:noWrap w:val="0"/>
            <w:vAlign w:val="center"/>
          </w:tcPr>
          <w:p w14:paraId="5F5DE32A">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对“第二章  采购需求</w:t>
            </w:r>
            <w:r>
              <w:rPr>
                <w:rFonts w:hint="eastAsia" w:ascii="宋体" w:hAnsi="宋体" w:cs="宋体"/>
                <w:b w:val="0"/>
                <w:bCs w:val="0"/>
                <w:color w:val="auto"/>
                <w:sz w:val="21"/>
                <w:szCs w:val="21"/>
                <w:highlight w:val="none"/>
                <w:lang w:val="en-US" w:eastAsia="zh-CN"/>
              </w:rPr>
              <w:t xml:space="preserve"> </w:t>
            </w:r>
            <w:r>
              <w:rPr>
                <w:rFonts w:hint="eastAsia" w:ascii="宋体" w:hAnsi="宋体" w:cs="宋体"/>
                <w:b w:val="0"/>
                <w:bCs w:val="0"/>
                <w:color w:val="auto"/>
                <w:kern w:val="2"/>
                <w:sz w:val="21"/>
                <w:szCs w:val="24"/>
                <w:highlight w:val="none"/>
                <w:lang w:val="en-US" w:eastAsia="zh-CN" w:bidi="ar-SA"/>
              </w:rPr>
              <w:t>三、技术要求</w:t>
            </w:r>
            <w:r>
              <w:rPr>
                <w:rFonts w:hint="eastAsia" w:ascii="宋体" w:hAnsi="宋体" w:eastAsia="宋体" w:cs="宋体"/>
                <w:b w:val="0"/>
                <w:bCs w:val="0"/>
                <w:color w:val="auto"/>
                <w:sz w:val="21"/>
                <w:szCs w:val="21"/>
                <w:highlight w:val="none"/>
              </w:rPr>
              <w:t>”的响应，所投</w:t>
            </w:r>
            <w:r>
              <w:rPr>
                <w:rFonts w:hint="eastAsia" w:ascii="宋体" w:hAnsi="宋体" w:cs="宋体"/>
                <w:b w:val="0"/>
                <w:bCs w:val="0"/>
                <w:color w:val="auto"/>
                <w:sz w:val="21"/>
                <w:szCs w:val="21"/>
                <w:highlight w:val="none"/>
                <w:lang w:val="en-US" w:eastAsia="zh-CN"/>
              </w:rPr>
              <w:t>产品规格型号</w:t>
            </w:r>
            <w:r>
              <w:rPr>
                <w:rFonts w:hint="eastAsia" w:ascii="宋体" w:hAnsi="宋体" w:eastAsia="宋体" w:cs="宋体"/>
                <w:b w:val="0"/>
                <w:bCs w:val="0"/>
                <w:color w:val="auto"/>
                <w:sz w:val="21"/>
                <w:szCs w:val="21"/>
                <w:highlight w:val="none"/>
              </w:rPr>
              <w:t>全部满足磋商文件要求得</w:t>
            </w:r>
            <w:r>
              <w:rPr>
                <w:rFonts w:hint="eastAsia" w:ascii="宋体" w:hAnsi="宋体" w:eastAsia="宋体" w:cs="宋体"/>
                <w:b w:val="0"/>
                <w:bCs w:val="0"/>
                <w:color w:val="auto"/>
                <w:sz w:val="21"/>
                <w:szCs w:val="21"/>
                <w:highlight w:val="none"/>
                <w:lang w:val="en-US" w:eastAsia="zh-CN"/>
              </w:rPr>
              <w:t>2</w:t>
            </w: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分，一项不满足扣</w:t>
            </w: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分</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如得分为0，则投标无效。</w:t>
            </w:r>
          </w:p>
          <w:p w14:paraId="07A15002">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1）供应商需提供参数偏离表，并标注偏离情况。</w:t>
            </w:r>
          </w:p>
          <w:p w14:paraId="038AFA35">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2）提供相关证明文件，并对响应技术参数部分做出明显标注。</w:t>
            </w:r>
          </w:p>
        </w:tc>
      </w:tr>
      <w:tr w14:paraId="54E16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22EA0122">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noWrap w:val="0"/>
            <w:vAlign w:val="center"/>
          </w:tcPr>
          <w:p w14:paraId="5F9E7B35">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kern w:val="0"/>
                <w:sz w:val="21"/>
                <w:szCs w:val="21"/>
                <w:highlight w:val="none"/>
                <w:lang w:val="en-US" w:eastAsia="zh-CN"/>
              </w:rPr>
              <w:t>2.产品综合评议</w:t>
            </w: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rPr>
              <w:t>分）</w:t>
            </w:r>
          </w:p>
        </w:tc>
        <w:tc>
          <w:tcPr>
            <w:tcW w:w="6770" w:type="dxa"/>
            <w:noWrap w:val="0"/>
            <w:vAlign w:val="center"/>
          </w:tcPr>
          <w:p w14:paraId="5BAB7560">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评委根据供应商对所提供产品的价格、品牌知名度及市场占有率、产品耐用性及稳定性等进行打分</w:t>
            </w:r>
            <w:r>
              <w:rPr>
                <w:rFonts w:hint="eastAsia" w:ascii="宋体" w:hAnsi="宋体" w:cs="宋体"/>
                <w:color w:val="auto"/>
                <w:sz w:val="21"/>
                <w:szCs w:val="21"/>
                <w:highlight w:val="none"/>
                <w:lang w:val="en-US" w:eastAsia="zh-CN"/>
              </w:rPr>
              <w:t>。</w:t>
            </w:r>
          </w:p>
          <w:p w14:paraId="6C0D19A0">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产品的价格优惠、品牌知名度及市场占有率高、产品耐用性及稳定性的强的得6分；产品的价格较优惠、品牌知名度及市场占有率较高、产品耐用性及稳定性的较强的得3分；产品的价格一般、品牌知名度及市场占有率、产品耐用性及稳定性一般的得1分。</w:t>
            </w:r>
          </w:p>
        </w:tc>
      </w:tr>
      <w:tr w14:paraId="5D31C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1FFDA315">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restart"/>
            <w:noWrap w:val="0"/>
            <w:vAlign w:val="center"/>
          </w:tcPr>
          <w:p w14:paraId="5591EDA0">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kern w:val="0"/>
                <w:sz w:val="21"/>
                <w:szCs w:val="21"/>
                <w:highlight w:val="none"/>
                <w:lang w:val="en-US" w:eastAsia="zh-CN"/>
              </w:rPr>
              <w:t>3</w:t>
            </w:r>
            <w:r>
              <w:rPr>
                <w:rFonts w:hint="eastAsia" w:ascii="宋体" w:hAnsi="宋体" w:eastAsia="宋体" w:cs="宋体"/>
                <w:b w:val="0"/>
                <w:bCs w:val="0"/>
                <w:color w:val="auto"/>
                <w:kern w:val="0"/>
                <w:sz w:val="21"/>
                <w:szCs w:val="21"/>
                <w:highlight w:val="none"/>
                <w:lang w:val="en-US" w:eastAsia="zh-CN"/>
              </w:rPr>
              <w:t>.</w:t>
            </w:r>
            <w:r>
              <w:rPr>
                <w:rFonts w:hint="eastAsia" w:ascii="宋体" w:hAnsi="宋体" w:cs="宋体"/>
                <w:b w:val="0"/>
                <w:bCs w:val="0"/>
                <w:color w:val="auto"/>
                <w:kern w:val="0"/>
                <w:sz w:val="21"/>
                <w:szCs w:val="21"/>
                <w:highlight w:val="none"/>
                <w:lang w:val="en-US" w:eastAsia="zh-CN"/>
              </w:rPr>
              <w:t>服务</w:t>
            </w:r>
            <w:r>
              <w:rPr>
                <w:rFonts w:hint="eastAsia" w:ascii="宋体" w:hAnsi="宋体" w:eastAsia="宋体" w:cs="宋体"/>
                <w:b w:val="0"/>
                <w:bCs w:val="0"/>
                <w:color w:val="auto"/>
                <w:kern w:val="0"/>
                <w:sz w:val="21"/>
                <w:szCs w:val="21"/>
                <w:highlight w:val="none"/>
                <w:lang w:val="en-US" w:eastAsia="zh-CN"/>
              </w:rPr>
              <w:t>方案（1</w:t>
            </w:r>
            <w:r>
              <w:rPr>
                <w:rFonts w:hint="eastAsia" w:ascii="宋体" w:hAnsi="宋体" w:cs="宋体"/>
                <w:b w:val="0"/>
                <w:bCs w:val="0"/>
                <w:color w:val="auto"/>
                <w:kern w:val="0"/>
                <w:sz w:val="21"/>
                <w:szCs w:val="21"/>
                <w:highlight w:val="none"/>
                <w:lang w:val="en-US" w:eastAsia="zh-CN"/>
              </w:rPr>
              <w:t>5</w:t>
            </w:r>
            <w:r>
              <w:rPr>
                <w:rFonts w:hint="eastAsia" w:ascii="宋体" w:hAnsi="宋体" w:eastAsia="宋体" w:cs="宋体"/>
                <w:b w:val="0"/>
                <w:bCs w:val="0"/>
                <w:color w:val="auto"/>
                <w:kern w:val="0"/>
                <w:sz w:val="21"/>
                <w:szCs w:val="21"/>
                <w:highlight w:val="none"/>
                <w:lang w:val="en-US" w:eastAsia="zh-CN"/>
              </w:rPr>
              <w:t>分）</w:t>
            </w:r>
          </w:p>
        </w:tc>
        <w:tc>
          <w:tcPr>
            <w:tcW w:w="6770" w:type="dxa"/>
            <w:noWrap w:val="0"/>
            <w:vAlign w:val="center"/>
          </w:tcPr>
          <w:p w14:paraId="7BAC10FA">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评委根据</w:t>
            </w:r>
            <w:r>
              <w:rPr>
                <w:rFonts w:hint="eastAsia" w:ascii="宋体" w:hAnsi="宋体" w:eastAsia="宋体" w:cs="宋体"/>
                <w:b w:val="0"/>
                <w:bCs w:val="0"/>
                <w:color w:val="auto"/>
                <w:sz w:val="21"/>
                <w:szCs w:val="21"/>
                <w:highlight w:val="none"/>
              </w:rPr>
              <w:t>供应商</w:t>
            </w:r>
            <w:r>
              <w:rPr>
                <w:rFonts w:hint="eastAsia" w:ascii="宋体" w:hAnsi="宋体" w:cs="宋体"/>
                <w:b w:val="0"/>
                <w:bCs w:val="0"/>
                <w:color w:val="auto"/>
                <w:kern w:val="2"/>
                <w:sz w:val="21"/>
                <w:szCs w:val="21"/>
                <w:highlight w:val="none"/>
                <w:lang w:val="en-US" w:eastAsia="zh-CN"/>
              </w:rPr>
              <w:t>提供的</w:t>
            </w:r>
            <w:r>
              <w:rPr>
                <w:rFonts w:hint="eastAsia" w:ascii="宋体" w:hAnsi="宋体" w:cs="宋体"/>
                <w:b w:val="0"/>
                <w:bCs w:val="0"/>
                <w:color w:val="auto"/>
                <w:sz w:val="21"/>
                <w:szCs w:val="21"/>
                <w:highlight w:val="none"/>
                <w:lang w:eastAsia="zh-CN"/>
              </w:rPr>
              <w:t>供货</w:t>
            </w:r>
            <w:r>
              <w:rPr>
                <w:rFonts w:hint="eastAsia" w:ascii="宋体" w:hAnsi="宋体" w:eastAsia="宋体" w:cs="宋体"/>
                <w:b w:val="0"/>
                <w:bCs w:val="0"/>
                <w:color w:val="auto"/>
                <w:sz w:val="21"/>
                <w:szCs w:val="21"/>
                <w:highlight w:val="none"/>
              </w:rPr>
              <w:t>方案，包括</w:t>
            </w:r>
            <w:r>
              <w:rPr>
                <w:rFonts w:hint="eastAsia" w:ascii="宋体" w:hAnsi="宋体" w:cs="宋体"/>
                <w:b w:val="0"/>
                <w:bCs w:val="0"/>
                <w:color w:val="auto"/>
                <w:sz w:val="21"/>
                <w:szCs w:val="21"/>
                <w:highlight w:val="none"/>
                <w:lang w:eastAsia="zh-CN"/>
              </w:rPr>
              <w:t>供货计划、</w:t>
            </w:r>
            <w:r>
              <w:rPr>
                <w:rFonts w:hint="eastAsia" w:ascii="宋体" w:hAnsi="宋体" w:cs="宋体"/>
                <w:b w:val="0"/>
                <w:bCs w:val="0"/>
                <w:color w:val="auto"/>
                <w:sz w:val="21"/>
                <w:szCs w:val="21"/>
                <w:highlight w:val="none"/>
                <w:lang w:val="en-US" w:eastAsia="zh-CN"/>
              </w:rPr>
              <w:t>货物密封方式、人员安排计划、</w:t>
            </w:r>
            <w:r>
              <w:rPr>
                <w:rFonts w:hint="eastAsia" w:ascii="宋体" w:hAnsi="宋体" w:cs="宋体"/>
                <w:b w:val="0"/>
                <w:bCs w:val="0"/>
                <w:color w:val="auto"/>
                <w:sz w:val="21"/>
                <w:szCs w:val="21"/>
                <w:highlight w:val="none"/>
                <w:lang w:eastAsia="zh-CN"/>
              </w:rPr>
              <w:t>验收</w:t>
            </w:r>
            <w:r>
              <w:rPr>
                <w:rFonts w:hint="eastAsia" w:ascii="宋体" w:hAnsi="宋体" w:eastAsia="宋体" w:cs="宋体"/>
                <w:b w:val="0"/>
                <w:bCs w:val="0"/>
                <w:color w:val="auto"/>
                <w:sz w:val="21"/>
                <w:szCs w:val="21"/>
                <w:highlight w:val="none"/>
              </w:rPr>
              <w:t>方案</w:t>
            </w:r>
            <w:r>
              <w:rPr>
                <w:rFonts w:hint="eastAsia" w:ascii="宋体" w:hAnsi="宋体" w:eastAsia="宋体" w:cs="宋体"/>
                <w:b w:val="0"/>
                <w:bCs w:val="0"/>
                <w:color w:val="auto"/>
                <w:sz w:val="21"/>
                <w:szCs w:val="21"/>
                <w:highlight w:val="none"/>
                <w:lang w:val="en-US" w:eastAsia="zh-CN"/>
              </w:rPr>
              <w:t>等进行打分</w:t>
            </w:r>
            <w:r>
              <w:rPr>
                <w:rFonts w:hint="eastAsia" w:ascii="宋体" w:hAnsi="宋体" w:cs="宋体"/>
                <w:b w:val="0"/>
                <w:bCs w:val="0"/>
                <w:color w:val="auto"/>
                <w:sz w:val="21"/>
                <w:szCs w:val="21"/>
                <w:highlight w:val="none"/>
                <w:lang w:val="en-US" w:eastAsia="zh-CN"/>
              </w:rPr>
              <w:t>。</w:t>
            </w:r>
          </w:p>
          <w:p w14:paraId="577AECB7">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b w:val="0"/>
                <w:bCs w:val="0"/>
                <w:color w:val="auto"/>
                <w:sz w:val="21"/>
                <w:szCs w:val="21"/>
                <w:highlight w:val="none"/>
              </w:rPr>
              <w:t>方案</w:t>
            </w:r>
            <w:r>
              <w:rPr>
                <w:rFonts w:hint="eastAsia" w:ascii="宋体" w:hAnsi="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可行性强</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分；</w:t>
            </w:r>
            <w:r>
              <w:rPr>
                <w:rFonts w:hint="eastAsia" w:ascii="宋体" w:hAnsi="宋体" w:eastAsia="宋体" w:cs="宋体"/>
                <w:b w:val="0"/>
                <w:bCs w:val="0"/>
                <w:color w:val="auto"/>
                <w:sz w:val="21"/>
                <w:szCs w:val="21"/>
                <w:highlight w:val="none"/>
              </w:rPr>
              <w:t>方案</w:t>
            </w:r>
            <w:r>
              <w:rPr>
                <w:rFonts w:hint="eastAsia" w:ascii="宋体" w:hAnsi="宋体" w:eastAsia="宋体" w:cs="Times New Roman"/>
                <w:szCs w:val="21"/>
                <w:highlight w:val="none"/>
                <w:lang w:bidi="ar"/>
              </w:rPr>
              <w:t>较</w:t>
            </w:r>
            <w:r>
              <w:rPr>
                <w:rFonts w:hint="eastAsia" w:ascii="宋体" w:hAnsi="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Times New Roman"/>
                <w:szCs w:val="21"/>
                <w:highlight w:val="none"/>
                <w:lang w:eastAsia="zh-CN" w:bidi="ar"/>
              </w:rPr>
              <w:t>、</w:t>
            </w:r>
            <w:r>
              <w:rPr>
                <w:rFonts w:hint="eastAsia" w:ascii="宋体" w:hAnsi="宋体" w:eastAsia="宋体" w:cs="Times New Roman"/>
                <w:szCs w:val="21"/>
                <w:highlight w:val="none"/>
                <w:lang w:bidi="ar"/>
              </w:rPr>
              <w:t>可行性较</w:t>
            </w:r>
            <w:r>
              <w:rPr>
                <w:rFonts w:hint="eastAsia" w:ascii="宋体" w:hAnsi="宋体" w:eastAsia="宋体" w:cs="宋体"/>
                <w:b w:val="0"/>
                <w:bCs w:val="0"/>
                <w:color w:val="auto"/>
                <w:sz w:val="21"/>
                <w:szCs w:val="21"/>
                <w:highlight w:val="none"/>
              </w:rPr>
              <w:t>强</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分；</w:t>
            </w:r>
            <w:r>
              <w:rPr>
                <w:rFonts w:hint="eastAsia" w:ascii="宋体" w:hAnsi="宋体" w:eastAsia="宋体" w:cs="宋体"/>
                <w:b w:val="0"/>
                <w:bCs w:val="0"/>
                <w:color w:val="auto"/>
                <w:sz w:val="21"/>
                <w:szCs w:val="21"/>
                <w:highlight w:val="none"/>
              </w:rPr>
              <w:t>方案</w:t>
            </w:r>
            <w:r>
              <w:rPr>
                <w:rFonts w:hint="eastAsia" w:ascii="宋体" w:hAnsi="宋体" w:eastAsia="宋体" w:cs="Times New Roman"/>
                <w:szCs w:val="21"/>
                <w:highlight w:val="none"/>
                <w:lang w:bidi="ar"/>
              </w:rPr>
              <w:t>较</w:t>
            </w:r>
            <w:r>
              <w:rPr>
                <w:rFonts w:hint="eastAsia" w:ascii="宋体" w:hAnsi="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Times New Roman"/>
                <w:szCs w:val="21"/>
                <w:highlight w:val="none"/>
                <w:lang w:eastAsia="zh-CN" w:bidi="ar"/>
              </w:rPr>
              <w:t>、</w:t>
            </w:r>
            <w:r>
              <w:rPr>
                <w:rFonts w:hint="eastAsia" w:ascii="宋体" w:hAnsi="宋体" w:eastAsia="宋体" w:cs="Times New Roman"/>
                <w:szCs w:val="21"/>
                <w:highlight w:val="none"/>
                <w:lang w:bidi="ar"/>
              </w:rPr>
              <w:t>可行性</w:t>
            </w:r>
            <w:r>
              <w:rPr>
                <w:rFonts w:hint="eastAsia" w:ascii="宋体" w:hAnsi="宋体" w:eastAsia="宋体" w:cs="Times New Roman"/>
                <w:szCs w:val="21"/>
                <w:highlight w:val="none"/>
                <w:lang w:eastAsia="zh-CN" w:bidi="ar"/>
              </w:rPr>
              <w:t>一般</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val="en-US" w:eastAsia="zh-CN"/>
              </w:rPr>
              <w:t>分；方案内容不</w:t>
            </w:r>
            <w:r>
              <w:rPr>
                <w:rFonts w:hint="eastAsia" w:ascii="宋体" w:hAnsi="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合理性</w:t>
            </w:r>
            <w:r>
              <w:rPr>
                <w:rFonts w:hint="eastAsia" w:ascii="宋体" w:hAnsi="宋体" w:eastAsia="宋体" w:cs="Times New Roman"/>
                <w:szCs w:val="21"/>
                <w:highlight w:val="none"/>
                <w:lang w:eastAsia="zh-CN" w:bidi="ar"/>
              </w:rPr>
              <w:t>、</w:t>
            </w:r>
            <w:r>
              <w:rPr>
                <w:rFonts w:hint="eastAsia" w:ascii="宋体" w:hAnsi="宋体" w:eastAsia="宋体" w:cs="Times New Roman"/>
                <w:szCs w:val="21"/>
                <w:highlight w:val="none"/>
                <w:lang w:bidi="ar"/>
              </w:rPr>
              <w:t>可行性</w:t>
            </w:r>
            <w:r>
              <w:rPr>
                <w:rFonts w:hint="eastAsia" w:ascii="宋体" w:hAnsi="宋体" w:eastAsia="宋体" w:cs="宋体"/>
                <w:b w:val="0"/>
                <w:bCs w:val="0"/>
                <w:color w:val="auto"/>
                <w:sz w:val="21"/>
                <w:szCs w:val="21"/>
                <w:highlight w:val="none"/>
                <w:lang w:val="en-US" w:eastAsia="zh-CN"/>
              </w:rPr>
              <w:t>差的得</w:t>
            </w: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分</w:t>
            </w:r>
            <w:r>
              <w:rPr>
                <w:rFonts w:hint="eastAsia" w:ascii="宋体" w:hAnsi="宋体" w:eastAsia="宋体" w:cs="宋体"/>
                <w:b w:val="0"/>
                <w:bCs w:val="0"/>
                <w:color w:val="auto"/>
                <w:sz w:val="21"/>
                <w:szCs w:val="21"/>
                <w:highlight w:val="none"/>
              </w:rPr>
              <w:t>；缺项得0分。</w:t>
            </w:r>
          </w:p>
        </w:tc>
      </w:tr>
      <w:tr w14:paraId="4C179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239" w:type="dxa"/>
            <w:vMerge w:val="continue"/>
            <w:noWrap w:val="0"/>
            <w:vAlign w:val="center"/>
          </w:tcPr>
          <w:p w14:paraId="7C8D6684">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continue"/>
            <w:noWrap w:val="0"/>
            <w:vAlign w:val="center"/>
          </w:tcPr>
          <w:p w14:paraId="636F3BEE">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cs="宋体"/>
                <w:b w:val="0"/>
                <w:bCs w:val="0"/>
                <w:color w:val="auto"/>
                <w:kern w:val="0"/>
                <w:sz w:val="21"/>
                <w:szCs w:val="21"/>
                <w:highlight w:val="none"/>
                <w:lang w:val="en-US" w:eastAsia="zh-CN"/>
              </w:rPr>
            </w:pPr>
          </w:p>
        </w:tc>
        <w:tc>
          <w:tcPr>
            <w:tcW w:w="6770" w:type="dxa"/>
            <w:noWrap w:val="0"/>
            <w:vAlign w:val="center"/>
          </w:tcPr>
          <w:p w14:paraId="6A1E57F2">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评委根据</w:t>
            </w:r>
            <w:r>
              <w:rPr>
                <w:rFonts w:hint="eastAsia" w:ascii="宋体" w:hAnsi="宋体" w:eastAsia="宋体" w:cs="宋体"/>
                <w:b w:val="0"/>
                <w:bCs w:val="0"/>
                <w:color w:val="auto"/>
                <w:sz w:val="21"/>
                <w:szCs w:val="21"/>
                <w:highlight w:val="none"/>
              </w:rPr>
              <w:t>供应商</w:t>
            </w:r>
            <w:r>
              <w:rPr>
                <w:rFonts w:hint="eastAsia" w:ascii="宋体" w:hAnsi="宋体" w:cs="宋体"/>
                <w:b w:val="0"/>
                <w:bCs w:val="0"/>
                <w:color w:val="auto"/>
                <w:kern w:val="2"/>
                <w:sz w:val="21"/>
                <w:szCs w:val="21"/>
                <w:highlight w:val="none"/>
                <w:lang w:val="en-US" w:eastAsia="zh-CN"/>
              </w:rPr>
              <w:t>提供的供货保障措施</w:t>
            </w:r>
            <w:r>
              <w:rPr>
                <w:rFonts w:hint="eastAsia" w:ascii="宋体" w:hAnsi="宋体" w:eastAsia="宋体" w:cs="宋体"/>
                <w:b w:val="0"/>
                <w:bCs w:val="0"/>
                <w:color w:val="auto"/>
                <w:sz w:val="21"/>
                <w:szCs w:val="21"/>
                <w:highlight w:val="none"/>
              </w:rPr>
              <w:t>，包括</w:t>
            </w:r>
            <w:r>
              <w:rPr>
                <w:rFonts w:hint="eastAsia" w:ascii="宋体" w:hAnsi="宋体" w:cs="宋体"/>
                <w:b w:val="0"/>
                <w:bCs w:val="0"/>
                <w:color w:val="auto"/>
                <w:sz w:val="21"/>
                <w:szCs w:val="21"/>
                <w:highlight w:val="none"/>
                <w:lang w:eastAsia="zh-CN"/>
              </w:rPr>
              <w:t>货源保障措施、</w:t>
            </w:r>
            <w:r>
              <w:rPr>
                <w:rFonts w:hint="eastAsia" w:ascii="宋体" w:hAnsi="宋体" w:eastAsia="宋体" w:cs="宋体"/>
                <w:b w:val="0"/>
                <w:bCs w:val="0"/>
                <w:color w:val="auto"/>
                <w:sz w:val="21"/>
                <w:szCs w:val="21"/>
                <w:highlight w:val="none"/>
              </w:rPr>
              <w:t>交货期保证措施</w:t>
            </w:r>
            <w:r>
              <w:rPr>
                <w:rFonts w:hint="eastAsia" w:ascii="宋体" w:hAnsi="宋体" w:eastAsia="宋体" w:cs="宋体"/>
                <w:b w:val="0"/>
                <w:bCs w:val="0"/>
                <w:color w:val="auto"/>
                <w:sz w:val="21"/>
                <w:szCs w:val="21"/>
                <w:highlight w:val="none"/>
                <w:lang w:val="en-US" w:eastAsia="zh-CN"/>
              </w:rPr>
              <w:t>等进行打分</w:t>
            </w:r>
            <w:r>
              <w:rPr>
                <w:rFonts w:hint="eastAsia" w:ascii="宋体" w:hAnsi="宋体" w:cs="宋体"/>
                <w:b w:val="0"/>
                <w:bCs w:val="0"/>
                <w:color w:val="auto"/>
                <w:sz w:val="21"/>
                <w:szCs w:val="21"/>
                <w:highlight w:val="none"/>
                <w:lang w:val="en-US" w:eastAsia="zh-CN"/>
              </w:rPr>
              <w:t>。</w:t>
            </w:r>
          </w:p>
          <w:p w14:paraId="664703D2">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方案</w:t>
            </w:r>
            <w:r>
              <w:rPr>
                <w:rFonts w:hint="eastAsia" w:ascii="宋体" w:hAnsi="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可行性强</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分；</w:t>
            </w:r>
            <w:r>
              <w:rPr>
                <w:rFonts w:hint="eastAsia" w:ascii="宋体" w:hAnsi="宋体" w:eastAsia="宋体" w:cs="宋体"/>
                <w:b w:val="0"/>
                <w:bCs w:val="0"/>
                <w:color w:val="auto"/>
                <w:sz w:val="21"/>
                <w:szCs w:val="21"/>
                <w:highlight w:val="none"/>
              </w:rPr>
              <w:t>方案</w:t>
            </w:r>
            <w:r>
              <w:rPr>
                <w:rFonts w:hint="eastAsia" w:ascii="宋体" w:hAnsi="宋体" w:eastAsia="宋体" w:cs="Times New Roman"/>
                <w:szCs w:val="21"/>
                <w:highlight w:val="none"/>
                <w:lang w:bidi="ar"/>
              </w:rPr>
              <w:t>较</w:t>
            </w:r>
            <w:r>
              <w:rPr>
                <w:rFonts w:hint="eastAsia" w:ascii="宋体" w:hAnsi="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Times New Roman"/>
                <w:szCs w:val="21"/>
                <w:highlight w:val="none"/>
                <w:lang w:eastAsia="zh-CN" w:bidi="ar"/>
              </w:rPr>
              <w:t>、</w:t>
            </w:r>
            <w:r>
              <w:rPr>
                <w:rFonts w:hint="eastAsia" w:ascii="宋体" w:hAnsi="宋体" w:eastAsia="宋体" w:cs="Times New Roman"/>
                <w:szCs w:val="21"/>
                <w:highlight w:val="none"/>
                <w:lang w:bidi="ar"/>
              </w:rPr>
              <w:t>可行性较</w:t>
            </w:r>
            <w:r>
              <w:rPr>
                <w:rFonts w:hint="eastAsia" w:ascii="宋体" w:hAnsi="宋体" w:eastAsia="宋体" w:cs="宋体"/>
                <w:b w:val="0"/>
                <w:bCs w:val="0"/>
                <w:color w:val="auto"/>
                <w:sz w:val="21"/>
                <w:szCs w:val="21"/>
                <w:highlight w:val="none"/>
              </w:rPr>
              <w:t>强</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分；</w:t>
            </w:r>
            <w:r>
              <w:rPr>
                <w:rFonts w:hint="eastAsia" w:ascii="宋体" w:hAnsi="宋体" w:eastAsia="宋体" w:cs="宋体"/>
                <w:b w:val="0"/>
                <w:bCs w:val="0"/>
                <w:color w:val="auto"/>
                <w:sz w:val="21"/>
                <w:szCs w:val="21"/>
                <w:highlight w:val="none"/>
              </w:rPr>
              <w:t>方案</w:t>
            </w:r>
            <w:r>
              <w:rPr>
                <w:rFonts w:hint="eastAsia" w:ascii="宋体" w:hAnsi="宋体" w:eastAsia="宋体" w:cs="Times New Roman"/>
                <w:szCs w:val="21"/>
                <w:highlight w:val="none"/>
                <w:lang w:bidi="ar"/>
              </w:rPr>
              <w:t>较</w:t>
            </w:r>
            <w:r>
              <w:rPr>
                <w:rFonts w:hint="eastAsia" w:ascii="宋体" w:hAnsi="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Times New Roman"/>
                <w:szCs w:val="21"/>
                <w:highlight w:val="none"/>
                <w:lang w:eastAsia="zh-CN" w:bidi="ar"/>
              </w:rPr>
              <w:t>、</w:t>
            </w:r>
            <w:r>
              <w:rPr>
                <w:rFonts w:hint="eastAsia" w:ascii="宋体" w:hAnsi="宋体" w:eastAsia="宋体" w:cs="Times New Roman"/>
                <w:szCs w:val="21"/>
                <w:highlight w:val="none"/>
                <w:lang w:bidi="ar"/>
              </w:rPr>
              <w:t>可行性</w:t>
            </w:r>
            <w:r>
              <w:rPr>
                <w:rFonts w:hint="eastAsia" w:ascii="宋体" w:hAnsi="宋体" w:eastAsia="宋体" w:cs="Times New Roman"/>
                <w:szCs w:val="21"/>
                <w:highlight w:val="none"/>
                <w:lang w:eastAsia="zh-CN" w:bidi="ar"/>
              </w:rPr>
              <w:t>一般</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val="en-US" w:eastAsia="zh-CN"/>
              </w:rPr>
              <w:t>分；方案内容不</w:t>
            </w:r>
            <w:r>
              <w:rPr>
                <w:rFonts w:hint="eastAsia" w:ascii="宋体" w:hAnsi="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合理性</w:t>
            </w:r>
            <w:r>
              <w:rPr>
                <w:rFonts w:hint="eastAsia" w:ascii="宋体" w:hAnsi="宋体" w:eastAsia="宋体" w:cs="Times New Roman"/>
                <w:szCs w:val="21"/>
                <w:highlight w:val="none"/>
                <w:lang w:eastAsia="zh-CN" w:bidi="ar"/>
              </w:rPr>
              <w:t>、</w:t>
            </w:r>
            <w:r>
              <w:rPr>
                <w:rFonts w:hint="eastAsia" w:ascii="宋体" w:hAnsi="宋体" w:eastAsia="宋体" w:cs="Times New Roman"/>
                <w:szCs w:val="21"/>
                <w:highlight w:val="none"/>
                <w:lang w:bidi="ar"/>
              </w:rPr>
              <w:t>可行性</w:t>
            </w:r>
            <w:r>
              <w:rPr>
                <w:rFonts w:hint="eastAsia" w:ascii="宋体" w:hAnsi="宋体" w:eastAsia="宋体" w:cs="宋体"/>
                <w:b w:val="0"/>
                <w:bCs w:val="0"/>
                <w:color w:val="auto"/>
                <w:sz w:val="21"/>
                <w:szCs w:val="21"/>
                <w:highlight w:val="none"/>
                <w:lang w:val="en-US" w:eastAsia="zh-CN"/>
              </w:rPr>
              <w:t>差的得</w:t>
            </w: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分</w:t>
            </w:r>
            <w:r>
              <w:rPr>
                <w:rFonts w:hint="eastAsia" w:ascii="宋体" w:hAnsi="宋体" w:eastAsia="宋体" w:cs="宋体"/>
                <w:b w:val="0"/>
                <w:bCs w:val="0"/>
                <w:color w:val="auto"/>
                <w:sz w:val="21"/>
                <w:szCs w:val="21"/>
                <w:highlight w:val="none"/>
              </w:rPr>
              <w:t>；缺项得0分。</w:t>
            </w:r>
          </w:p>
        </w:tc>
      </w:tr>
      <w:tr w14:paraId="6DDFC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538B89B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continue"/>
            <w:noWrap w:val="0"/>
            <w:vAlign w:val="center"/>
          </w:tcPr>
          <w:p w14:paraId="64C23341">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cs="宋体"/>
                <w:b w:val="0"/>
                <w:bCs w:val="0"/>
                <w:color w:val="auto"/>
                <w:kern w:val="0"/>
                <w:sz w:val="21"/>
                <w:szCs w:val="21"/>
                <w:highlight w:val="none"/>
                <w:lang w:val="en-US" w:eastAsia="zh-CN"/>
              </w:rPr>
            </w:pPr>
          </w:p>
        </w:tc>
        <w:tc>
          <w:tcPr>
            <w:tcW w:w="6770" w:type="dxa"/>
            <w:noWrap w:val="0"/>
            <w:vAlign w:val="center"/>
          </w:tcPr>
          <w:p w14:paraId="2CE9468B">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根据</w:t>
            </w:r>
            <w:r>
              <w:rPr>
                <w:rFonts w:hint="eastAsia" w:ascii="宋体" w:hAnsi="宋体" w:eastAsia="宋体" w:cs="宋体"/>
                <w:b w:val="0"/>
                <w:bCs w:val="0"/>
                <w:color w:val="auto"/>
                <w:sz w:val="21"/>
                <w:szCs w:val="21"/>
                <w:highlight w:val="none"/>
                <w:lang w:val="en-US" w:eastAsia="zh-CN"/>
              </w:rPr>
              <w:t>供应商针对突发情况提供应急服务方案及保障措施</w:t>
            </w:r>
            <w:r>
              <w:rPr>
                <w:rFonts w:hint="eastAsia" w:ascii="宋体" w:hAnsi="宋体" w:cs="宋体"/>
                <w:b w:val="0"/>
                <w:bCs w:val="0"/>
                <w:color w:val="auto"/>
                <w:sz w:val="21"/>
                <w:szCs w:val="21"/>
                <w:highlight w:val="none"/>
                <w:lang w:val="en-US" w:eastAsia="zh-CN"/>
              </w:rPr>
              <w:t>进行打分</w:t>
            </w:r>
            <w:r>
              <w:rPr>
                <w:rFonts w:hint="eastAsia" w:ascii="宋体" w:hAnsi="宋体" w:eastAsia="宋体" w:cs="宋体"/>
                <w:b w:val="0"/>
                <w:bCs w:val="0"/>
                <w:color w:val="auto"/>
                <w:sz w:val="21"/>
                <w:szCs w:val="21"/>
                <w:highlight w:val="none"/>
                <w:lang w:val="en-US" w:eastAsia="zh-CN"/>
              </w:rPr>
              <w:t>，包含（但不限于）以下内容：应急响应流程及响应时间</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应急保障措施（人员、车辆等）。</w:t>
            </w:r>
          </w:p>
          <w:p w14:paraId="63255A65">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方案</w:t>
            </w:r>
            <w:r>
              <w:rPr>
                <w:rFonts w:hint="eastAsia" w:ascii="宋体" w:hAnsi="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可行性强</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分；</w:t>
            </w:r>
            <w:r>
              <w:rPr>
                <w:rFonts w:hint="eastAsia" w:ascii="宋体" w:hAnsi="宋体" w:eastAsia="宋体" w:cs="宋体"/>
                <w:b w:val="0"/>
                <w:bCs w:val="0"/>
                <w:color w:val="auto"/>
                <w:sz w:val="21"/>
                <w:szCs w:val="21"/>
                <w:highlight w:val="none"/>
              </w:rPr>
              <w:t>方案</w:t>
            </w:r>
            <w:r>
              <w:rPr>
                <w:rFonts w:hint="eastAsia" w:ascii="宋体" w:hAnsi="宋体" w:eastAsia="宋体" w:cs="Times New Roman"/>
                <w:szCs w:val="21"/>
                <w:highlight w:val="none"/>
                <w:lang w:bidi="ar"/>
              </w:rPr>
              <w:t>较</w:t>
            </w:r>
            <w:r>
              <w:rPr>
                <w:rFonts w:hint="eastAsia" w:ascii="宋体" w:hAnsi="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Times New Roman"/>
                <w:szCs w:val="21"/>
                <w:highlight w:val="none"/>
                <w:lang w:eastAsia="zh-CN" w:bidi="ar"/>
              </w:rPr>
              <w:t>、</w:t>
            </w:r>
            <w:r>
              <w:rPr>
                <w:rFonts w:hint="eastAsia" w:ascii="宋体" w:hAnsi="宋体" w:eastAsia="宋体" w:cs="Times New Roman"/>
                <w:szCs w:val="21"/>
                <w:highlight w:val="none"/>
                <w:lang w:bidi="ar"/>
              </w:rPr>
              <w:t>可行性较</w:t>
            </w:r>
            <w:r>
              <w:rPr>
                <w:rFonts w:hint="eastAsia" w:ascii="宋体" w:hAnsi="宋体" w:eastAsia="宋体" w:cs="宋体"/>
                <w:b w:val="0"/>
                <w:bCs w:val="0"/>
                <w:color w:val="auto"/>
                <w:sz w:val="21"/>
                <w:szCs w:val="21"/>
                <w:highlight w:val="none"/>
              </w:rPr>
              <w:t>强</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分；</w:t>
            </w:r>
            <w:r>
              <w:rPr>
                <w:rFonts w:hint="eastAsia" w:ascii="宋体" w:hAnsi="宋体" w:eastAsia="宋体" w:cs="宋体"/>
                <w:b w:val="0"/>
                <w:bCs w:val="0"/>
                <w:color w:val="auto"/>
                <w:sz w:val="21"/>
                <w:szCs w:val="21"/>
                <w:highlight w:val="none"/>
              </w:rPr>
              <w:t>方案</w:t>
            </w:r>
            <w:r>
              <w:rPr>
                <w:rFonts w:hint="eastAsia" w:ascii="宋体" w:hAnsi="宋体" w:eastAsia="宋体" w:cs="Times New Roman"/>
                <w:szCs w:val="21"/>
                <w:highlight w:val="none"/>
                <w:lang w:bidi="ar"/>
              </w:rPr>
              <w:t>较</w:t>
            </w:r>
            <w:r>
              <w:rPr>
                <w:rFonts w:hint="eastAsia" w:ascii="宋体" w:hAnsi="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Times New Roman"/>
                <w:szCs w:val="21"/>
                <w:highlight w:val="none"/>
                <w:lang w:eastAsia="zh-CN" w:bidi="ar"/>
              </w:rPr>
              <w:t>、</w:t>
            </w:r>
            <w:r>
              <w:rPr>
                <w:rFonts w:hint="eastAsia" w:ascii="宋体" w:hAnsi="宋体" w:eastAsia="宋体" w:cs="Times New Roman"/>
                <w:szCs w:val="21"/>
                <w:highlight w:val="none"/>
                <w:lang w:bidi="ar"/>
              </w:rPr>
              <w:t>可行性</w:t>
            </w:r>
            <w:r>
              <w:rPr>
                <w:rFonts w:hint="eastAsia" w:ascii="宋体" w:hAnsi="宋体" w:eastAsia="宋体" w:cs="Times New Roman"/>
                <w:szCs w:val="21"/>
                <w:highlight w:val="none"/>
                <w:lang w:eastAsia="zh-CN" w:bidi="ar"/>
              </w:rPr>
              <w:t>一般</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val="en-US" w:eastAsia="zh-CN"/>
              </w:rPr>
              <w:t>分；方案内容不</w:t>
            </w:r>
            <w:r>
              <w:rPr>
                <w:rFonts w:hint="eastAsia" w:ascii="宋体" w:hAnsi="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合理性</w:t>
            </w:r>
            <w:r>
              <w:rPr>
                <w:rFonts w:hint="eastAsia" w:ascii="宋体" w:hAnsi="宋体" w:eastAsia="宋体" w:cs="Times New Roman"/>
                <w:szCs w:val="21"/>
                <w:highlight w:val="none"/>
                <w:lang w:eastAsia="zh-CN" w:bidi="ar"/>
              </w:rPr>
              <w:t>、</w:t>
            </w:r>
            <w:r>
              <w:rPr>
                <w:rFonts w:hint="eastAsia" w:ascii="宋体" w:hAnsi="宋体" w:eastAsia="宋体" w:cs="Times New Roman"/>
                <w:szCs w:val="21"/>
                <w:highlight w:val="none"/>
                <w:lang w:bidi="ar"/>
              </w:rPr>
              <w:t>可行性</w:t>
            </w:r>
            <w:r>
              <w:rPr>
                <w:rFonts w:hint="eastAsia" w:ascii="宋体" w:hAnsi="宋体" w:eastAsia="宋体" w:cs="宋体"/>
                <w:b w:val="0"/>
                <w:bCs w:val="0"/>
                <w:color w:val="auto"/>
                <w:sz w:val="21"/>
                <w:szCs w:val="21"/>
                <w:highlight w:val="none"/>
                <w:lang w:val="en-US" w:eastAsia="zh-CN"/>
              </w:rPr>
              <w:t>差的得</w:t>
            </w: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分</w:t>
            </w:r>
            <w:r>
              <w:rPr>
                <w:rFonts w:hint="eastAsia" w:ascii="宋体" w:hAnsi="宋体" w:eastAsia="宋体" w:cs="宋体"/>
                <w:b w:val="0"/>
                <w:bCs w:val="0"/>
                <w:color w:val="auto"/>
                <w:sz w:val="21"/>
                <w:szCs w:val="21"/>
                <w:highlight w:val="none"/>
              </w:rPr>
              <w:t>；缺项得0分。</w:t>
            </w:r>
          </w:p>
        </w:tc>
      </w:tr>
      <w:tr w14:paraId="0DB40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1239" w:type="dxa"/>
            <w:vMerge w:val="restart"/>
            <w:noWrap w:val="0"/>
            <w:vAlign w:val="center"/>
          </w:tcPr>
          <w:p w14:paraId="5175C84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商务评价</w:t>
            </w:r>
          </w:p>
          <w:p w14:paraId="334896F5">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20</w:t>
            </w:r>
            <w:r>
              <w:rPr>
                <w:rFonts w:hint="eastAsia" w:ascii="宋体" w:hAnsi="宋体" w:eastAsia="宋体" w:cs="宋体"/>
                <w:b w:val="0"/>
                <w:bCs w:val="0"/>
                <w:color w:val="auto"/>
                <w:sz w:val="21"/>
                <w:szCs w:val="21"/>
                <w:highlight w:val="none"/>
                <w:lang w:eastAsia="zh-CN"/>
              </w:rPr>
              <w:t>分)</w:t>
            </w:r>
          </w:p>
        </w:tc>
        <w:tc>
          <w:tcPr>
            <w:tcW w:w="1473" w:type="dxa"/>
            <w:tcBorders>
              <w:top w:val="single" w:color="auto" w:sz="4" w:space="0"/>
            </w:tcBorders>
            <w:noWrap w:val="0"/>
            <w:vAlign w:val="center"/>
          </w:tcPr>
          <w:p w14:paraId="4420F34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1、质保期（6分）</w:t>
            </w:r>
          </w:p>
        </w:tc>
        <w:tc>
          <w:tcPr>
            <w:tcW w:w="6770" w:type="dxa"/>
            <w:noWrap w:val="0"/>
            <w:vAlign w:val="top"/>
          </w:tcPr>
          <w:p w14:paraId="5E2A49C0">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质保期达到采购文件要求的，得基础分2分，超过招标文件规定的，每增加半年加1分,最多加4分（出具相关服务承诺书）。</w:t>
            </w:r>
          </w:p>
        </w:tc>
      </w:tr>
      <w:tr w14:paraId="358E8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239" w:type="dxa"/>
            <w:vMerge w:val="continue"/>
            <w:noWrap w:val="0"/>
            <w:vAlign w:val="center"/>
          </w:tcPr>
          <w:p w14:paraId="0F836430">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tcBorders>
              <w:top w:val="single" w:color="auto" w:sz="4" w:space="0"/>
            </w:tcBorders>
            <w:noWrap w:val="0"/>
            <w:vAlign w:val="center"/>
          </w:tcPr>
          <w:p w14:paraId="61B3F2B4">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2.类似业绩（4分）</w:t>
            </w:r>
          </w:p>
        </w:tc>
        <w:tc>
          <w:tcPr>
            <w:tcW w:w="6770" w:type="dxa"/>
            <w:noWrap w:val="0"/>
            <w:vAlign w:val="center"/>
          </w:tcPr>
          <w:p w14:paraId="04E3816D">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自2021年1月1日以来具有的类似项目(以合同文件为准），每提供一份得2分，最多得4分。</w:t>
            </w:r>
          </w:p>
        </w:tc>
      </w:tr>
      <w:tr w14:paraId="1BE8C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1239" w:type="dxa"/>
            <w:vMerge w:val="continue"/>
            <w:noWrap w:val="0"/>
            <w:vAlign w:val="center"/>
          </w:tcPr>
          <w:p w14:paraId="30C26273">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vMerge w:val="restart"/>
            <w:noWrap w:val="0"/>
            <w:vAlign w:val="center"/>
          </w:tcPr>
          <w:p w14:paraId="7DA92F71">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3.售后服务</w:t>
            </w:r>
            <w:r>
              <w:rPr>
                <w:rFonts w:hint="eastAsia" w:ascii="宋体" w:hAnsi="宋体" w:cs="宋体"/>
                <w:b w:val="0"/>
                <w:bCs w:val="0"/>
                <w:color w:val="auto"/>
                <w:kern w:val="2"/>
                <w:sz w:val="21"/>
                <w:szCs w:val="21"/>
                <w:highlight w:val="none"/>
                <w:lang w:val="en-US" w:eastAsia="zh-CN"/>
              </w:rPr>
              <w:t>方案</w:t>
            </w:r>
            <w:r>
              <w:rPr>
                <w:rFonts w:hint="eastAsia" w:ascii="宋体" w:hAnsi="宋体" w:eastAsia="宋体" w:cs="宋体"/>
                <w:b w:val="0"/>
                <w:bCs w:val="0"/>
                <w:color w:val="auto"/>
                <w:kern w:val="2"/>
                <w:sz w:val="21"/>
                <w:szCs w:val="21"/>
                <w:highlight w:val="none"/>
                <w:lang w:val="en-US" w:eastAsia="zh-CN"/>
              </w:rPr>
              <w:t>（1</w:t>
            </w:r>
            <w:r>
              <w:rPr>
                <w:rFonts w:hint="eastAsia" w:ascii="宋体" w:hAnsi="宋体" w:cs="宋体"/>
                <w:b w:val="0"/>
                <w:bCs w:val="0"/>
                <w:color w:val="auto"/>
                <w:kern w:val="2"/>
                <w:sz w:val="21"/>
                <w:szCs w:val="21"/>
                <w:highlight w:val="none"/>
                <w:lang w:val="en-US" w:eastAsia="zh-CN"/>
              </w:rPr>
              <w:t>0</w:t>
            </w:r>
            <w:r>
              <w:rPr>
                <w:rFonts w:hint="eastAsia" w:ascii="宋体" w:hAnsi="宋体" w:eastAsia="宋体" w:cs="宋体"/>
                <w:b w:val="0"/>
                <w:bCs w:val="0"/>
                <w:color w:val="auto"/>
                <w:kern w:val="2"/>
                <w:sz w:val="21"/>
                <w:szCs w:val="21"/>
                <w:highlight w:val="none"/>
                <w:lang w:val="en-US" w:eastAsia="zh-CN"/>
              </w:rPr>
              <w:t>分）</w:t>
            </w:r>
          </w:p>
        </w:tc>
        <w:tc>
          <w:tcPr>
            <w:tcW w:w="6770" w:type="dxa"/>
            <w:noWrap w:val="0"/>
            <w:vAlign w:val="center"/>
          </w:tcPr>
          <w:p w14:paraId="2EA73617">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cs="宋体"/>
                <w:b w:val="0"/>
                <w:bCs w:val="0"/>
                <w:color w:val="auto"/>
                <w:kern w:val="2"/>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评委根据</w:t>
            </w:r>
            <w:r>
              <w:rPr>
                <w:rFonts w:hint="eastAsia" w:ascii="宋体" w:hAnsi="宋体" w:cs="宋体"/>
                <w:b w:val="0"/>
                <w:bCs w:val="0"/>
                <w:color w:val="auto"/>
                <w:kern w:val="2"/>
                <w:sz w:val="21"/>
                <w:szCs w:val="21"/>
                <w:highlight w:val="none"/>
                <w:lang w:val="en-US" w:eastAsia="zh-CN"/>
              </w:rPr>
              <w:t>供应商提供的售后服务</w:t>
            </w:r>
            <w:r>
              <w:rPr>
                <w:rFonts w:hint="eastAsia" w:ascii="宋体" w:hAnsi="宋体" w:eastAsia="宋体" w:cs="宋体"/>
                <w:b w:val="0"/>
                <w:bCs w:val="0"/>
                <w:color w:val="auto"/>
                <w:kern w:val="2"/>
                <w:sz w:val="21"/>
                <w:szCs w:val="21"/>
                <w:highlight w:val="none"/>
                <w:lang w:val="en-US" w:eastAsia="zh-CN"/>
              </w:rPr>
              <w:t>体系</w:t>
            </w:r>
            <w:r>
              <w:rPr>
                <w:rFonts w:hint="eastAsia" w:ascii="宋体" w:hAnsi="宋体" w:cs="宋体"/>
                <w:b w:val="0"/>
                <w:bCs w:val="0"/>
                <w:color w:val="auto"/>
                <w:kern w:val="2"/>
                <w:sz w:val="21"/>
                <w:szCs w:val="21"/>
                <w:highlight w:val="none"/>
                <w:lang w:val="en-US" w:eastAsia="zh-CN"/>
              </w:rPr>
              <w:t>，包括售后响应流程、问题反馈、时效、服务方式、服务地点等</w:t>
            </w:r>
            <w:r>
              <w:rPr>
                <w:rFonts w:hint="eastAsia" w:ascii="宋体" w:hAnsi="宋体" w:eastAsia="宋体" w:cs="宋体"/>
                <w:b w:val="0"/>
                <w:bCs w:val="0"/>
                <w:color w:val="auto"/>
                <w:sz w:val="21"/>
                <w:szCs w:val="21"/>
                <w:highlight w:val="none"/>
                <w:lang w:val="en-US" w:eastAsia="zh-CN"/>
              </w:rPr>
              <w:t>进行打分</w:t>
            </w:r>
            <w:r>
              <w:rPr>
                <w:rFonts w:hint="eastAsia" w:ascii="宋体" w:hAnsi="宋体" w:cs="宋体"/>
                <w:b w:val="0"/>
                <w:bCs w:val="0"/>
                <w:color w:val="auto"/>
                <w:sz w:val="21"/>
                <w:szCs w:val="21"/>
                <w:highlight w:val="none"/>
                <w:lang w:val="en-US" w:eastAsia="zh-CN"/>
              </w:rPr>
              <w:t>。</w:t>
            </w:r>
          </w:p>
          <w:p w14:paraId="61DE3D6F">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sz w:val="21"/>
                <w:szCs w:val="21"/>
                <w:highlight w:val="none"/>
              </w:rPr>
            </w:pPr>
            <w:r>
              <w:rPr>
                <w:rFonts w:hint="eastAsia" w:ascii="宋体" w:hAnsi="宋体" w:cs="宋体"/>
                <w:b w:val="0"/>
                <w:bCs w:val="0"/>
                <w:color w:val="auto"/>
                <w:kern w:val="2"/>
                <w:sz w:val="21"/>
                <w:szCs w:val="21"/>
                <w:highlight w:val="none"/>
                <w:lang w:val="en-US" w:eastAsia="zh-CN"/>
              </w:rPr>
              <w:t>服务</w:t>
            </w:r>
            <w:r>
              <w:rPr>
                <w:rFonts w:hint="eastAsia" w:ascii="宋体" w:hAnsi="宋体" w:eastAsia="宋体" w:cs="宋体"/>
                <w:b w:val="0"/>
                <w:bCs w:val="0"/>
                <w:color w:val="auto"/>
                <w:kern w:val="2"/>
                <w:sz w:val="21"/>
                <w:szCs w:val="21"/>
                <w:highlight w:val="none"/>
                <w:lang w:val="en-US" w:eastAsia="zh-CN"/>
              </w:rPr>
              <w:t>体系</w:t>
            </w:r>
            <w:r>
              <w:rPr>
                <w:rFonts w:hint="eastAsia" w:ascii="宋体" w:hAnsi="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可行性强</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分；</w:t>
            </w:r>
            <w:r>
              <w:rPr>
                <w:rFonts w:hint="eastAsia" w:ascii="宋体" w:hAnsi="宋体" w:cs="宋体"/>
                <w:b w:val="0"/>
                <w:bCs w:val="0"/>
                <w:color w:val="auto"/>
                <w:kern w:val="2"/>
                <w:sz w:val="21"/>
                <w:szCs w:val="21"/>
                <w:highlight w:val="none"/>
                <w:lang w:val="en-US" w:eastAsia="zh-CN"/>
              </w:rPr>
              <w:t>服务</w:t>
            </w:r>
            <w:r>
              <w:rPr>
                <w:rFonts w:hint="eastAsia" w:ascii="宋体" w:hAnsi="宋体" w:eastAsia="宋体" w:cs="宋体"/>
                <w:b w:val="0"/>
                <w:bCs w:val="0"/>
                <w:color w:val="auto"/>
                <w:kern w:val="2"/>
                <w:sz w:val="21"/>
                <w:szCs w:val="21"/>
                <w:highlight w:val="none"/>
                <w:lang w:val="en-US" w:eastAsia="zh-CN"/>
              </w:rPr>
              <w:t>体系</w:t>
            </w:r>
            <w:r>
              <w:rPr>
                <w:rFonts w:hint="eastAsia" w:ascii="宋体" w:hAnsi="宋体" w:eastAsia="宋体" w:cs="Times New Roman"/>
                <w:szCs w:val="21"/>
                <w:highlight w:val="none"/>
                <w:lang w:bidi="ar"/>
              </w:rPr>
              <w:t>较</w:t>
            </w:r>
            <w:r>
              <w:rPr>
                <w:rFonts w:hint="eastAsia" w:ascii="宋体" w:hAnsi="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Times New Roman"/>
                <w:szCs w:val="21"/>
                <w:highlight w:val="none"/>
                <w:lang w:eastAsia="zh-CN" w:bidi="ar"/>
              </w:rPr>
              <w:t>、</w:t>
            </w:r>
            <w:r>
              <w:rPr>
                <w:rFonts w:hint="eastAsia" w:ascii="宋体" w:hAnsi="宋体" w:eastAsia="宋体" w:cs="Times New Roman"/>
                <w:szCs w:val="21"/>
                <w:highlight w:val="none"/>
                <w:lang w:bidi="ar"/>
              </w:rPr>
              <w:t>可行性较</w:t>
            </w:r>
            <w:r>
              <w:rPr>
                <w:rFonts w:hint="eastAsia" w:ascii="宋体" w:hAnsi="宋体" w:eastAsia="宋体" w:cs="宋体"/>
                <w:b w:val="0"/>
                <w:bCs w:val="0"/>
                <w:color w:val="auto"/>
                <w:sz w:val="21"/>
                <w:szCs w:val="21"/>
                <w:highlight w:val="none"/>
              </w:rPr>
              <w:t>强</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分；</w:t>
            </w:r>
            <w:r>
              <w:rPr>
                <w:rFonts w:hint="eastAsia" w:ascii="宋体" w:hAnsi="宋体" w:cs="宋体"/>
                <w:b w:val="0"/>
                <w:bCs w:val="0"/>
                <w:color w:val="auto"/>
                <w:kern w:val="2"/>
                <w:sz w:val="21"/>
                <w:szCs w:val="21"/>
                <w:highlight w:val="none"/>
                <w:lang w:val="en-US" w:eastAsia="zh-CN"/>
              </w:rPr>
              <w:t>服务</w:t>
            </w:r>
            <w:r>
              <w:rPr>
                <w:rFonts w:hint="eastAsia" w:ascii="宋体" w:hAnsi="宋体" w:eastAsia="宋体" w:cs="宋体"/>
                <w:b w:val="0"/>
                <w:bCs w:val="0"/>
                <w:color w:val="auto"/>
                <w:kern w:val="2"/>
                <w:sz w:val="21"/>
                <w:szCs w:val="21"/>
                <w:highlight w:val="none"/>
                <w:lang w:val="en-US" w:eastAsia="zh-CN"/>
              </w:rPr>
              <w:t>体系</w:t>
            </w:r>
            <w:r>
              <w:rPr>
                <w:rFonts w:hint="eastAsia" w:ascii="宋体" w:hAnsi="宋体" w:eastAsia="宋体" w:cs="Times New Roman"/>
                <w:szCs w:val="21"/>
                <w:highlight w:val="none"/>
                <w:lang w:bidi="ar"/>
              </w:rPr>
              <w:t>较</w:t>
            </w:r>
            <w:r>
              <w:rPr>
                <w:rFonts w:hint="eastAsia" w:ascii="宋体" w:hAnsi="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Times New Roman"/>
                <w:szCs w:val="21"/>
                <w:highlight w:val="none"/>
                <w:lang w:eastAsia="zh-CN" w:bidi="ar"/>
              </w:rPr>
              <w:t>、</w:t>
            </w:r>
            <w:r>
              <w:rPr>
                <w:rFonts w:hint="eastAsia" w:ascii="宋体" w:hAnsi="宋体" w:eastAsia="宋体" w:cs="Times New Roman"/>
                <w:szCs w:val="21"/>
                <w:highlight w:val="none"/>
                <w:lang w:bidi="ar"/>
              </w:rPr>
              <w:t>可行性</w:t>
            </w:r>
            <w:r>
              <w:rPr>
                <w:rFonts w:hint="eastAsia" w:ascii="宋体" w:hAnsi="宋体" w:eastAsia="宋体" w:cs="Times New Roman"/>
                <w:szCs w:val="21"/>
                <w:highlight w:val="none"/>
                <w:lang w:eastAsia="zh-CN" w:bidi="ar"/>
              </w:rPr>
              <w:t>一般</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val="en-US" w:eastAsia="zh-CN"/>
              </w:rPr>
              <w:t>分；</w:t>
            </w:r>
            <w:r>
              <w:rPr>
                <w:rFonts w:hint="eastAsia" w:ascii="宋体" w:hAnsi="宋体" w:cs="宋体"/>
                <w:b w:val="0"/>
                <w:bCs w:val="0"/>
                <w:color w:val="auto"/>
                <w:kern w:val="2"/>
                <w:sz w:val="21"/>
                <w:szCs w:val="21"/>
                <w:highlight w:val="none"/>
                <w:lang w:val="en-US" w:eastAsia="zh-CN"/>
              </w:rPr>
              <w:t>服务</w:t>
            </w:r>
            <w:r>
              <w:rPr>
                <w:rFonts w:hint="eastAsia" w:ascii="宋体" w:hAnsi="宋体" w:eastAsia="宋体" w:cs="宋体"/>
                <w:b w:val="0"/>
                <w:bCs w:val="0"/>
                <w:color w:val="auto"/>
                <w:kern w:val="2"/>
                <w:sz w:val="21"/>
                <w:szCs w:val="21"/>
                <w:highlight w:val="none"/>
                <w:lang w:val="en-US" w:eastAsia="zh-CN"/>
              </w:rPr>
              <w:t>体系</w:t>
            </w:r>
            <w:r>
              <w:rPr>
                <w:rFonts w:hint="eastAsia" w:ascii="宋体" w:hAnsi="宋体" w:eastAsia="宋体" w:cs="宋体"/>
                <w:b w:val="0"/>
                <w:bCs w:val="0"/>
                <w:color w:val="auto"/>
                <w:sz w:val="21"/>
                <w:szCs w:val="21"/>
                <w:highlight w:val="none"/>
                <w:lang w:val="en-US" w:eastAsia="zh-CN"/>
              </w:rPr>
              <w:t>内容不</w:t>
            </w:r>
            <w:r>
              <w:rPr>
                <w:rFonts w:hint="eastAsia" w:ascii="宋体" w:hAnsi="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合理性</w:t>
            </w:r>
            <w:r>
              <w:rPr>
                <w:rFonts w:hint="eastAsia" w:ascii="宋体" w:hAnsi="宋体" w:eastAsia="宋体" w:cs="Times New Roman"/>
                <w:szCs w:val="21"/>
                <w:highlight w:val="none"/>
                <w:lang w:eastAsia="zh-CN" w:bidi="ar"/>
              </w:rPr>
              <w:t>、</w:t>
            </w:r>
            <w:r>
              <w:rPr>
                <w:rFonts w:hint="eastAsia" w:ascii="宋体" w:hAnsi="宋体" w:eastAsia="宋体" w:cs="Times New Roman"/>
                <w:szCs w:val="21"/>
                <w:highlight w:val="none"/>
                <w:lang w:bidi="ar"/>
              </w:rPr>
              <w:t>可行性</w:t>
            </w:r>
            <w:r>
              <w:rPr>
                <w:rFonts w:hint="eastAsia" w:ascii="宋体" w:hAnsi="宋体" w:eastAsia="宋体" w:cs="宋体"/>
                <w:b w:val="0"/>
                <w:bCs w:val="0"/>
                <w:color w:val="auto"/>
                <w:sz w:val="21"/>
                <w:szCs w:val="21"/>
                <w:highlight w:val="none"/>
                <w:lang w:val="en-US" w:eastAsia="zh-CN"/>
              </w:rPr>
              <w:t>差的得</w:t>
            </w: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分</w:t>
            </w:r>
            <w:r>
              <w:rPr>
                <w:rFonts w:hint="eastAsia" w:ascii="宋体" w:hAnsi="宋体" w:eastAsia="宋体" w:cs="宋体"/>
                <w:b w:val="0"/>
                <w:bCs w:val="0"/>
                <w:color w:val="auto"/>
                <w:sz w:val="21"/>
                <w:szCs w:val="21"/>
                <w:highlight w:val="none"/>
              </w:rPr>
              <w:t>；缺项得0分。</w:t>
            </w:r>
          </w:p>
        </w:tc>
      </w:tr>
      <w:tr w14:paraId="4FC4F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1239" w:type="dxa"/>
            <w:vMerge w:val="continue"/>
            <w:noWrap w:val="0"/>
            <w:vAlign w:val="center"/>
          </w:tcPr>
          <w:p w14:paraId="04D073C7">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vMerge w:val="continue"/>
            <w:noWrap w:val="0"/>
            <w:vAlign w:val="center"/>
          </w:tcPr>
          <w:p w14:paraId="6D5BA4C2">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kern w:val="2"/>
                <w:sz w:val="21"/>
                <w:szCs w:val="21"/>
                <w:highlight w:val="none"/>
                <w:lang w:val="en-US" w:eastAsia="zh-CN"/>
              </w:rPr>
            </w:pPr>
          </w:p>
        </w:tc>
        <w:tc>
          <w:tcPr>
            <w:tcW w:w="6770" w:type="dxa"/>
            <w:noWrap w:val="0"/>
            <w:vAlign w:val="center"/>
          </w:tcPr>
          <w:p w14:paraId="752664B1">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cs="宋体"/>
                <w:b w:val="0"/>
                <w:bCs w:val="0"/>
                <w:color w:val="auto"/>
                <w:kern w:val="2"/>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评委根据</w:t>
            </w:r>
            <w:r>
              <w:rPr>
                <w:rFonts w:hint="eastAsia" w:ascii="宋体" w:hAnsi="宋体" w:cs="宋体"/>
                <w:b w:val="0"/>
                <w:bCs w:val="0"/>
                <w:color w:val="auto"/>
                <w:kern w:val="2"/>
                <w:sz w:val="21"/>
                <w:szCs w:val="21"/>
                <w:highlight w:val="none"/>
                <w:lang w:val="en-US" w:eastAsia="zh-CN"/>
              </w:rPr>
              <w:t>供应商提供的售后服务保障措施，包括企业提供本地化服务的措施、售后人员数量等</w:t>
            </w:r>
            <w:r>
              <w:rPr>
                <w:rFonts w:hint="eastAsia" w:ascii="宋体" w:hAnsi="宋体" w:eastAsia="宋体" w:cs="宋体"/>
                <w:b w:val="0"/>
                <w:bCs w:val="0"/>
                <w:color w:val="auto"/>
                <w:sz w:val="21"/>
                <w:szCs w:val="21"/>
                <w:highlight w:val="none"/>
                <w:lang w:val="en-US" w:eastAsia="zh-CN"/>
              </w:rPr>
              <w:t>进行打分</w:t>
            </w:r>
            <w:r>
              <w:rPr>
                <w:rFonts w:hint="eastAsia" w:ascii="宋体" w:hAnsi="宋体" w:cs="宋体"/>
                <w:b w:val="0"/>
                <w:bCs w:val="0"/>
                <w:color w:val="auto"/>
                <w:sz w:val="21"/>
                <w:szCs w:val="21"/>
                <w:highlight w:val="none"/>
                <w:lang w:val="en-US" w:eastAsia="zh-CN"/>
              </w:rPr>
              <w:t>。</w:t>
            </w:r>
          </w:p>
          <w:p w14:paraId="0A8CB260">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kern w:val="2"/>
                <w:sz w:val="21"/>
                <w:szCs w:val="21"/>
                <w:highlight w:val="none"/>
              </w:rPr>
            </w:pPr>
            <w:r>
              <w:rPr>
                <w:rFonts w:hint="eastAsia" w:ascii="宋体" w:hAnsi="宋体" w:cs="宋体"/>
                <w:b w:val="0"/>
                <w:bCs w:val="0"/>
                <w:color w:val="auto"/>
                <w:kern w:val="2"/>
                <w:sz w:val="21"/>
                <w:szCs w:val="21"/>
                <w:highlight w:val="none"/>
                <w:lang w:val="en-US" w:eastAsia="zh-CN"/>
              </w:rPr>
              <w:t>保障措施</w:t>
            </w:r>
            <w:r>
              <w:rPr>
                <w:rFonts w:hint="eastAsia" w:ascii="宋体" w:hAnsi="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可行性强</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分；</w:t>
            </w:r>
            <w:r>
              <w:rPr>
                <w:rFonts w:hint="eastAsia" w:ascii="宋体" w:hAnsi="宋体" w:cs="宋体"/>
                <w:b w:val="0"/>
                <w:bCs w:val="0"/>
                <w:color w:val="auto"/>
                <w:kern w:val="2"/>
                <w:sz w:val="21"/>
                <w:szCs w:val="21"/>
                <w:highlight w:val="none"/>
                <w:lang w:val="en-US" w:eastAsia="zh-CN"/>
              </w:rPr>
              <w:t>服务</w:t>
            </w:r>
            <w:r>
              <w:rPr>
                <w:rFonts w:hint="eastAsia" w:ascii="宋体" w:hAnsi="宋体" w:eastAsia="宋体" w:cs="宋体"/>
                <w:b w:val="0"/>
                <w:bCs w:val="0"/>
                <w:color w:val="auto"/>
                <w:kern w:val="2"/>
                <w:sz w:val="21"/>
                <w:szCs w:val="21"/>
                <w:highlight w:val="none"/>
                <w:lang w:val="en-US" w:eastAsia="zh-CN"/>
              </w:rPr>
              <w:t>体系</w:t>
            </w:r>
            <w:r>
              <w:rPr>
                <w:rFonts w:hint="eastAsia" w:ascii="宋体" w:hAnsi="宋体" w:eastAsia="宋体" w:cs="Times New Roman"/>
                <w:szCs w:val="21"/>
                <w:highlight w:val="none"/>
                <w:lang w:bidi="ar"/>
              </w:rPr>
              <w:t>较</w:t>
            </w:r>
            <w:r>
              <w:rPr>
                <w:rFonts w:hint="eastAsia" w:ascii="宋体" w:hAnsi="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Times New Roman"/>
                <w:szCs w:val="21"/>
                <w:highlight w:val="none"/>
                <w:lang w:eastAsia="zh-CN" w:bidi="ar"/>
              </w:rPr>
              <w:t>、</w:t>
            </w:r>
            <w:r>
              <w:rPr>
                <w:rFonts w:hint="eastAsia" w:ascii="宋体" w:hAnsi="宋体" w:eastAsia="宋体" w:cs="Times New Roman"/>
                <w:szCs w:val="21"/>
                <w:highlight w:val="none"/>
                <w:lang w:bidi="ar"/>
              </w:rPr>
              <w:t>可行性较</w:t>
            </w:r>
            <w:r>
              <w:rPr>
                <w:rFonts w:hint="eastAsia" w:ascii="宋体" w:hAnsi="宋体" w:eastAsia="宋体" w:cs="宋体"/>
                <w:b w:val="0"/>
                <w:bCs w:val="0"/>
                <w:color w:val="auto"/>
                <w:sz w:val="21"/>
                <w:szCs w:val="21"/>
                <w:highlight w:val="none"/>
              </w:rPr>
              <w:t>强</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分；</w:t>
            </w:r>
            <w:r>
              <w:rPr>
                <w:rFonts w:hint="eastAsia" w:ascii="宋体" w:hAnsi="宋体" w:cs="宋体"/>
                <w:b w:val="0"/>
                <w:bCs w:val="0"/>
                <w:color w:val="auto"/>
                <w:kern w:val="2"/>
                <w:sz w:val="21"/>
                <w:szCs w:val="21"/>
                <w:highlight w:val="none"/>
                <w:lang w:val="en-US" w:eastAsia="zh-CN"/>
              </w:rPr>
              <w:t>服务</w:t>
            </w:r>
            <w:r>
              <w:rPr>
                <w:rFonts w:hint="eastAsia" w:ascii="宋体" w:hAnsi="宋体" w:eastAsia="宋体" w:cs="宋体"/>
                <w:b w:val="0"/>
                <w:bCs w:val="0"/>
                <w:color w:val="auto"/>
                <w:kern w:val="2"/>
                <w:sz w:val="21"/>
                <w:szCs w:val="21"/>
                <w:highlight w:val="none"/>
                <w:lang w:val="en-US" w:eastAsia="zh-CN"/>
              </w:rPr>
              <w:t>体系</w:t>
            </w:r>
            <w:r>
              <w:rPr>
                <w:rFonts w:hint="eastAsia" w:ascii="宋体" w:hAnsi="宋体" w:eastAsia="宋体" w:cs="Times New Roman"/>
                <w:szCs w:val="21"/>
                <w:highlight w:val="none"/>
                <w:lang w:bidi="ar"/>
              </w:rPr>
              <w:t>较</w:t>
            </w:r>
            <w:r>
              <w:rPr>
                <w:rFonts w:hint="eastAsia" w:ascii="宋体" w:hAnsi="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Times New Roman"/>
                <w:szCs w:val="21"/>
                <w:highlight w:val="none"/>
                <w:lang w:eastAsia="zh-CN" w:bidi="ar"/>
              </w:rPr>
              <w:t>、</w:t>
            </w:r>
            <w:r>
              <w:rPr>
                <w:rFonts w:hint="eastAsia" w:ascii="宋体" w:hAnsi="宋体" w:eastAsia="宋体" w:cs="Times New Roman"/>
                <w:szCs w:val="21"/>
                <w:highlight w:val="none"/>
                <w:lang w:bidi="ar"/>
              </w:rPr>
              <w:t>可行性</w:t>
            </w:r>
            <w:r>
              <w:rPr>
                <w:rFonts w:hint="eastAsia" w:ascii="宋体" w:hAnsi="宋体" w:eastAsia="宋体" w:cs="Times New Roman"/>
                <w:szCs w:val="21"/>
                <w:highlight w:val="none"/>
                <w:lang w:eastAsia="zh-CN" w:bidi="ar"/>
              </w:rPr>
              <w:t>一般</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val="en-US" w:eastAsia="zh-CN"/>
              </w:rPr>
              <w:t>分；</w:t>
            </w:r>
            <w:r>
              <w:rPr>
                <w:rFonts w:hint="eastAsia" w:ascii="宋体" w:hAnsi="宋体" w:cs="宋体"/>
                <w:b w:val="0"/>
                <w:bCs w:val="0"/>
                <w:color w:val="auto"/>
                <w:kern w:val="2"/>
                <w:sz w:val="21"/>
                <w:szCs w:val="21"/>
                <w:highlight w:val="none"/>
                <w:lang w:val="en-US" w:eastAsia="zh-CN"/>
              </w:rPr>
              <w:t>服务</w:t>
            </w:r>
            <w:r>
              <w:rPr>
                <w:rFonts w:hint="eastAsia" w:ascii="宋体" w:hAnsi="宋体" w:eastAsia="宋体" w:cs="宋体"/>
                <w:b w:val="0"/>
                <w:bCs w:val="0"/>
                <w:color w:val="auto"/>
                <w:kern w:val="2"/>
                <w:sz w:val="21"/>
                <w:szCs w:val="21"/>
                <w:highlight w:val="none"/>
                <w:lang w:val="en-US" w:eastAsia="zh-CN"/>
              </w:rPr>
              <w:t>体系</w:t>
            </w:r>
            <w:r>
              <w:rPr>
                <w:rFonts w:hint="eastAsia" w:ascii="宋体" w:hAnsi="宋体" w:eastAsia="宋体" w:cs="宋体"/>
                <w:b w:val="0"/>
                <w:bCs w:val="0"/>
                <w:color w:val="auto"/>
                <w:sz w:val="21"/>
                <w:szCs w:val="21"/>
                <w:highlight w:val="none"/>
                <w:lang w:val="en-US" w:eastAsia="zh-CN"/>
              </w:rPr>
              <w:t>内容不</w:t>
            </w:r>
            <w:r>
              <w:rPr>
                <w:rFonts w:hint="eastAsia" w:ascii="宋体" w:hAnsi="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合理性</w:t>
            </w:r>
            <w:r>
              <w:rPr>
                <w:rFonts w:hint="eastAsia" w:ascii="宋体" w:hAnsi="宋体" w:eastAsia="宋体" w:cs="Times New Roman"/>
                <w:szCs w:val="21"/>
                <w:highlight w:val="none"/>
                <w:lang w:eastAsia="zh-CN" w:bidi="ar"/>
              </w:rPr>
              <w:t>、</w:t>
            </w:r>
            <w:r>
              <w:rPr>
                <w:rFonts w:hint="eastAsia" w:ascii="宋体" w:hAnsi="宋体" w:eastAsia="宋体" w:cs="Times New Roman"/>
                <w:szCs w:val="21"/>
                <w:highlight w:val="none"/>
                <w:lang w:bidi="ar"/>
              </w:rPr>
              <w:t>可行性</w:t>
            </w:r>
            <w:r>
              <w:rPr>
                <w:rFonts w:hint="eastAsia" w:ascii="宋体" w:hAnsi="宋体" w:eastAsia="宋体" w:cs="宋体"/>
                <w:b w:val="0"/>
                <w:bCs w:val="0"/>
                <w:color w:val="auto"/>
                <w:sz w:val="21"/>
                <w:szCs w:val="21"/>
                <w:highlight w:val="none"/>
                <w:lang w:val="en-US" w:eastAsia="zh-CN"/>
              </w:rPr>
              <w:t>差的得</w:t>
            </w: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分</w:t>
            </w:r>
            <w:r>
              <w:rPr>
                <w:rFonts w:hint="eastAsia" w:ascii="宋体" w:hAnsi="宋体" w:eastAsia="宋体" w:cs="宋体"/>
                <w:b w:val="0"/>
                <w:bCs w:val="0"/>
                <w:color w:val="auto"/>
                <w:sz w:val="21"/>
                <w:szCs w:val="21"/>
                <w:highlight w:val="none"/>
              </w:rPr>
              <w:t>；缺项得0分。</w:t>
            </w:r>
          </w:p>
        </w:tc>
      </w:tr>
      <w:tr w14:paraId="5B17C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val="0"/>
            <w:vAlign w:val="top"/>
          </w:tcPr>
          <w:p w14:paraId="0F9A4CE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14:paraId="1536F57C">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成员评分=各项评分因素的汇总得分。</w:t>
            </w:r>
          </w:p>
          <w:p w14:paraId="3857B253">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w:t>
            </w:r>
            <w:r>
              <w:rPr>
                <w:rFonts w:hint="eastAsia" w:ascii="宋体" w:hAnsi="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所有成员合计评分/</w:t>
            </w:r>
            <w:r>
              <w:rPr>
                <w:rFonts w:hint="eastAsia" w:ascii="宋体" w:hAnsi="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组成人员数。</w:t>
            </w:r>
          </w:p>
        </w:tc>
      </w:tr>
    </w:tbl>
    <w:p w14:paraId="1865AB56">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宋体" w:hAnsi="宋体" w:cs="宋体"/>
          <w:color w:val="auto"/>
          <w:kern w:val="0"/>
          <w:szCs w:val="21"/>
          <w:highlight w:val="none"/>
        </w:rPr>
      </w:pPr>
    </w:p>
    <w:p w14:paraId="450C7E06">
      <w:pPr>
        <w:rPr>
          <w:b/>
          <w:color w:val="auto"/>
          <w:highlight w:val="none"/>
        </w:rPr>
      </w:pPr>
      <w:r>
        <w:rPr>
          <w:rFonts w:hint="eastAsia"/>
          <w:b/>
          <w:color w:val="auto"/>
          <w:highlight w:val="none"/>
        </w:rPr>
        <w:br w:type="page"/>
      </w:r>
    </w:p>
    <w:bookmarkEnd w:id="42"/>
    <w:p w14:paraId="64AF1BC4">
      <w:pPr>
        <w:rPr>
          <w:color w:val="auto"/>
          <w:highlight w:val="none"/>
        </w:rPr>
      </w:pPr>
      <w:bookmarkStart w:id="44" w:name="_Toc1482"/>
      <w:bookmarkStart w:id="45" w:name="_Toc1947"/>
      <w:bookmarkStart w:id="46" w:name="_Toc326786897"/>
      <w:bookmarkStart w:id="47" w:name="_Toc256519703"/>
    </w:p>
    <w:p w14:paraId="49E9345A">
      <w:pPr>
        <w:pStyle w:val="2"/>
        <w:snapToGrid w:val="0"/>
        <w:spacing w:before="0" w:after="0" w:line="480" w:lineRule="auto"/>
        <w:jc w:val="center"/>
        <w:rPr>
          <w:color w:val="auto"/>
          <w:sz w:val="28"/>
          <w:szCs w:val="28"/>
          <w:highlight w:val="none"/>
        </w:rPr>
      </w:pPr>
      <w:bookmarkStart w:id="48" w:name="_Toc1638"/>
      <w:r>
        <w:rPr>
          <w:rFonts w:hint="eastAsia"/>
          <w:color w:val="auto"/>
          <w:sz w:val="28"/>
          <w:szCs w:val="28"/>
          <w:highlight w:val="none"/>
        </w:rPr>
        <w:t>第五章  采购合同</w:t>
      </w:r>
      <w:bookmarkEnd w:id="48"/>
    </w:p>
    <w:p w14:paraId="091DA87F">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olor w:val="auto"/>
          <w:sz w:val="21"/>
          <w:szCs w:val="21"/>
          <w:highlight w:val="none"/>
          <w:lang w:eastAsia="zh-CN"/>
        </w:rPr>
      </w:pPr>
      <w:r>
        <w:rPr>
          <w:rFonts w:hint="eastAsia" w:ascii="宋体" w:hAnsi="宋体"/>
          <w:color w:val="auto"/>
          <w:sz w:val="21"/>
          <w:szCs w:val="21"/>
          <w:highlight w:val="none"/>
          <w:lang w:eastAsia="zh-CN"/>
        </w:rPr>
        <w:t>（</w:t>
      </w:r>
      <w:r>
        <w:rPr>
          <w:rFonts w:hint="eastAsia" w:ascii="宋体" w:hAnsi="宋体"/>
          <w:color w:val="auto"/>
          <w:sz w:val="21"/>
          <w:szCs w:val="21"/>
          <w:highlight w:val="none"/>
          <w:lang w:val="en-US" w:eastAsia="zh-CN"/>
        </w:rPr>
        <w:t>以实际合同为准</w:t>
      </w:r>
      <w:r>
        <w:rPr>
          <w:rFonts w:hint="eastAsia" w:ascii="宋体" w:hAnsi="宋体"/>
          <w:color w:val="auto"/>
          <w:sz w:val="21"/>
          <w:szCs w:val="21"/>
          <w:highlight w:val="none"/>
          <w:lang w:eastAsia="zh-CN"/>
        </w:rPr>
        <w:t>）</w:t>
      </w:r>
    </w:p>
    <w:p w14:paraId="77848494">
      <w:pPr>
        <w:rPr>
          <w:color w:val="auto"/>
          <w:sz w:val="32"/>
          <w:szCs w:val="32"/>
          <w:highlight w:val="none"/>
        </w:rPr>
      </w:pPr>
    </w:p>
    <w:p w14:paraId="2EA5AC5E">
      <w:pPr>
        <w:rPr>
          <w:color w:val="auto"/>
          <w:highlight w:val="none"/>
        </w:rPr>
      </w:pPr>
      <w:r>
        <w:rPr>
          <w:color w:val="auto"/>
          <w:highlight w:val="none"/>
        </w:rPr>
        <w:br w:type="page"/>
      </w:r>
    </w:p>
    <w:p w14:paraId="5B9F05BA">
      <w:pPr>
        <w:pStyle w:val="32"/>
        <w:rPr>
          <w:color w:val="auto"/>
          <w:highlight w:val="none"/>
        </w:rPr>
      </w:pPr>
    </w:p>
    <w:p w14:paraId="1D9A8E40">
      <w:pPr>
        <w:pStyle w:val="2"/>
        <w:jc w:val="center"/>
        <w:rPr>
          <w:rFonts w:ascii="宋体" w:hAnsi="宋体" w:cs="宋体"/>
          <w:color w:val="auto"/>
          <w:kern w:val="0"/>
          <w:highlight w:val="none"/>
        </w:rPr>
      </w:pPr>
      <w:bookmarkStart w:id="49" w:name="_Toc5963"/>
      <w:r>
        <w:rPr>
          <w:rFonts w:hint="eastAsia"/>
          <w:color w:val="auto"/>
          <w:sz w:val="32"/>
          <w:szCs w:val="32"/>
          <w:highlight w:val="none"/>
        </w:rPr>
        <w:t>第六章  投标文件格式</w:t>
      </w:r>
      <w:bookmarkEnd w:id="44"/>
      <w:bookmarkEnd w:id="45"/>
      <w:bookmarkEnd w:id="49"/>
    </w:p>
    <w:p w14:paraId="7DDED56D">
      <w:pPr>
        <w:spacing w:line="440" w:lineRule="exact"/>
        <w:rPr>
          <w:color w:val="auto"/>
          <w:sz w:val="24"/>
          <w:highlight w:val="none"/>
        </w:rPr>
      </w:pPr>
    </w:p>
    <w:p w14:paraId="22ECCDB3">
      <w:pPr>
        <w:jc w:val="center"/>
        <w:rPr>
          <w:b/>
          <w:bCs/>
          <w:color w:val="auto"/>
          <w:sz w:val="32"/>
          <w:szCs w:val="32"/>
          <w:highlight w:val="none"/>
        </w:rPr>
      </w:pPr>
      <w:bookmarkStart w:id="50" w:name="_Toc13604"/>
      <w:r>
        <w:rPr>
          <w:rFonts w:hint="eastAsia"/>
          <w:b/>
          <w:bCs/>
          <w:color w:val="auto"/>
          <w:sz w:val="32"/>
          <w:szCs w:val="32"/>
          <w:highlight w:val="none"/>
        </w:rPr>
        <w:t>目    录</w:t>
      </w:r>
      <w:bookmarkEnd w:id="50"/>
    </w:p>
    <w:p w14:paraId="5BA2E6AC">
      <w:pPr>
        <w:widowControl/>
        <w:wordWrap w:val="0"/>
        <w:spacing w:line="460" w:lineRule="exact"/>
        <w:ind w:firstLine="480" w:firstLineChars="200"/>
        <w:jc w:val="left"/>
        <w:rPr>
          <w:rFonts w:ascii="宋体" w:hAnsi="宋体" w:cs="宋体"/>
          <w:color w:val="auto"/>
          <w:kern w:val="0"/>
          <w:sz w:val="24"/>
          <w:highlight w:val="none"/>
        </w:rPr>
      </w:pPr>
    </w:p>
    <w:p w14:paraId="1DD77DB0">
      <w:pPr>
        <w:snapToGrid w:val="0"/>
        <w:spacing w:line="360" w:lineRule="auto"/>
        <w:ind w:firstLine="480" w:firstLineChars="200"/>
        <w:rPr>
          <w:color w:val="auto"/>
          <w:sz w:val="24"/>
          <w:highlight w:val="none"/>
        </w:rPr>
      </w:pPr>
      <w:bookmarkStart w:id="51" w:name="_Toc11308"/>
      <w:r>
        <w:rPr>
          <w:rFonts w:hint="eastAsia"/>
          <w:color w:val="auto"/>
          <w:sz w:val="24"/>
          <w:highlight w:val="none"/>
        </w:rPr>
        <w:t>附件1投标文件封面（格式）</w:t>
      </w:r>
      <w:bookmarkEnd w:id="51"/>
    </w:p>
    <w:p w14:paraId="4AB248D1">
      <w:pPr>
        <w:snapToGrid w:val="0"/>
        <w:spacing w:line="360" w:lineRule="auto"/>
        <w:ind w:firstLine="480" w:firstLineChars="200"/>
        <w:rPr>
          <w:color w:val="auto"/>
          <w:sz w:val="24"/>
          <w:highlight w:val="none"/>
        </w:rPr>
      </w:pPr>
      <w:bookmarkStart w:id="52" w:name="_Toc25345"/>
      <w:r>
        <w:rPr>
          <w:rFonts w:hint="eastAsia"/>
          <w:color w:val="auto"/>
          <w:sz w:val="24"/>
          <w:highlight w:val="none"/>
        </w:rPr>
        <w:t>附件2 投标书（格式）</w:t>
      </w:r>
      <w:bookmarkEnd w:id="52"/>
    </w:p>
    <w:p w14:paraId="229206A2">
      <w:pPr>
        <w:snapToGrid w:val="0"/>
        <w:spacing w:line="360" w:lineRule="auto"/>
        <w:ind w:firstLine="480" w:firstLineChars="200"/>
        <w:rPr>
          <w:color w:val="auto"/>
          <w:sz w:val="24"/>
          <w:highlight w:val="none"/>
        </w:rPr>
      </w:pPr>
      <w:bookmarkStart w:id="53" w:name="_Toc10217"/>
      <w:r>
        <w:rPr>
          <w:rFonts w:hint="eastAsia"/>
          <w:color w:val="auto"/>
          <w:sz w:val="24"/>
          <w:highlight w:val="none"/>
        </w:rPr>
        <w:t>附件3 开标一览表（格式）</w:t>
      </w:r>
      <w:bookmarkEnd w:id="53"/>
    </w:p>
    <w:p w14:paraId="3C10ED62">
      <w:pPr>
        <w:snapToGrid w:val="0"/>
        <w:spacing w:line="360" w:lineRule="auto"/>
        <w:ind w:firstLine="480" w:firstLineChars="200"/>
        <w:rPr>
          <w:rFonts w:hint="default"/>
          <w:color w:val="auto"/>
          <w:sz w:val="24"/>
          <w:highlight w:val="none"/>
          <w:lang w:val="en-US"/>
        </w:rPr>
      </w:pPr>
      <w:bookmarkStart w:id="54" w:name="_Toc9579"/>
      <w:r>
        <w:rPr>
          <w:rFonts w:hint="eastAsia"/>
          <w:color w:val="auto"/>
          <w:sz w:val="24"/>
          <w:highlight w:val="none"/>
        </w:rPr>
        <w:t xml:space="preserve">附件4 </w:t>
      </w:r>
      <w:bookmarkEnd w:id="54"/>
      <w:r>
        <w:rPr>
          <w:rFonts w:hint="eastAsia"/>
          <w:color w:val="auto"/>
          <w:sz w:val="24"/>
          <w:highlight w:val="none"/>
          <w:lang w:val="en-US" w:eastAsia="zh-CN"/>
        </w:rPr>
        <w:t>报价明细表（格式）</w:t>
      </w:r>
    </w:p>
    <w:p w14:paraId="15B56944">
      <w:pPr>
        <w:snapToGrid w:val="0"/>
        <w:spacing w:line="360" w:lineRule="auto"/>
        <w:ind w:firstLine="480" w:firstLineChars="200"/>
        <w:rPr>
          <w:rFonts w:hint="default"/>
          <w:color w:val="auto"/>
          <w:sz w:val="24"/>
          <w:highlight w:val="none"/>
          <w:lang w:val="en-US"/>
        </w:rPr>
      </w:pPr>
      <w:bookmarkStart w:id="55" w:name="_Toc28392"/>
      <w:r>
        <w:rPr>
          <w:rFonts w:hint="eastAsia"/>
          <w:color w:val="auto"/>
          <w:sz w:val="24"/>
          <w:highlight w:val="none"/>
        </w:rPr>
        <w:t>附件5</w:t>
      </w:r>
      <w:r>
        <w:rPr>
          <w:rFonts w:hint="eastAsia"/>
          <w:color w:val="auto"/>
          <w:sz w:val="24"/>
          <w:highlight w:val="none"/>
          <w:lang w:val="en-US" w:eastAsia="zh-CN"/>
        </w:rPr>
        <w:t xml:space="preserve"> </w:t>
      </w:r>
      <w:r>
        <w:rPr>
          <w:rFonts w:hint="eastAsia"/>
          <w:color w:val="auto"/>
          <w:sz w:val="24"/>
          <w:highlight w:val="none"/>
        </w:rPr>
        <w:t>技术</w:t>
      </w:r>
      <w:r>
        <w:rPr>
          <w:rFonts w:hint="eastAsia"/>
          <w:color w:val="auto"/>
          <w:sz w:val="24"/>
          <w:highlight w:val="none"/>
          <w:lang w:val="en-US" w:eastAsia="zh-CN"/>
        </w:rPr>
        <w:t>响应</w:t>
      </w:r>
      <w:bookmarkEnd w:id="55"/>
      <w:r>
        <w:rPr>
          <w:rFonts w:hint="eastAsia"/>
          <w:color w:val="auto"/>
          <w:sz w:val="24"/>
          <w:highlight w:val="none"/>
          <w:lang w:val="en-US" w:eastAsia="zh-CN"/>
        </w:rPr>
        <w:t>表（格式）</w:t>
      </w:r>
    </w:p>
    <w:p w14:paraId="7437A536">
      <w:pPr>
        <w:snapToGrid w:val="0"/>
        <w:spacing w:line="360" w:lineRule="auto"/>
        <w:ind w:firstLine="480" w:firstLineChars="200"/>
        <w:rPr>
          <w:rFonts w:hint="default" w:eastAsia="宋体"/>
          <w:color w:val="auto"/>
          <w:sz w:val="24"/>
          <w:highlight w:val="none"/>
          <w:lang w:val="en-US" w:eastAsia="zh-CN"/>
        </w:rPr>
      </w:pPr>
      <w:bookmarkStart w:id="56" w:name="_Toc6234"/>
      <w:r>
        <w:rPr>
          <w:rFonts w:hint="eastAsia"/>
          <w:color w:val="auto"/>
          <w:sz w:val="24"/>
          <w:highlight w:val="none"/>
        </w:rPr>
        <w:t>附件6 商务</w:t>
      </w:r>
      <w:bookmarkEnd w:id="56"/>
      <w:r>
        <w:rPr>
          <w:rFonts w:hint="eastAsia"/>
          <w:color w:val="auto"/>
          <w:sz w:val="24"/>
          <w:highlight w:val="none"/>
          <w:lang w:val="en-US" w:eastAsia="zh-CN"/>
        </w:rPr>
        <w:t>响应</w:t>
      </w:r>
    </w:p>
    <w:p w14:paraId="7AD05BF8">
      <w:pPr>
        <w:snapToGrid w:val="0"/>
        <w:spacing w:line="360" w:lineRule="auto"/>
        <w:ind w:firstLine="480" w:firstLineChars="200"/>
        <w:rPr>
          <w:color w:val="auto"/>
          <w:sz w:val="24"/>
          <w:highlight w:val="none"/>
        </w:rPr>
      </w:pPr>
      <w:bookmarkStart w:id="57" w:name="_Toc26231"/>
      <w:r>
        <w:rPr>
          <w:rFonts w:hint="eastAsia"/>
          <w:color w:val="auto"/>
          <w:sz w:val="24"/>
          <w:highlight w:val="none"/>
        </w:rPr>
        <w:t>附件7</w:t>
      </w:r>
      <w:r>
        <w:rPr>
          <w:rFonts w:hint="eastAsia"/>
          <w:color w:val="auto"/>
          <w:sz w:val="24"/>
          <w:highlight w:val="none"/>
          <w:lang w:val="en-US" w:eastAsia="zh-CN"/>
        </w:rPr>
        <w:t xml:space="preserve"> </w:t>
      </w:r>
      <w:r>
        <w:rPr>
          <w:rFonts w:hint="eastAsia"/>
          <w:color w:val="auto"/>
          <w:sz w:val="24"/>
          <w:highlight w:val="none"/>
        </w:rPr>
        <w:t>法定代表人身份证明（格式）</w:t>
      </w:r>
      <w:bookmarkEnd w:id="57"/>
    </w:p>
    <w:p w14:paraId="68AE4E06">
      <w:pPr>
        <w:snapToGrid w:val="0"/>
        <w:spacing w:line="360" w:lineRule="auto"/>
        <w:ind w:firstLine="480" w:firstLineChars="200"/>
        <w:rPr>
          <w:color w:val="auto"/>
          <w:sz w:val="24"/>
          <w:highlight w:val="none"/>
        </w:rPr>
      </w:pPr>
      <w:bookmarkStart w:id="58" w:name="_Toc18484"/>
      <w:r>
        <w:rPr>
          <w:rFonts w:hint="eastAsia"/>
          <w:color w:val="auto"/>
          <w:sz w:val="24"/>
          <w:highlight w:val="none"/>
        </w:rPr>
        <w:t>附件8</w:t>
      </w:r>
      <w:r>
        <w:rPr>
          <w:rFonts w:hint="eastAsia"/>
          <w:color w:val="auto"/>
          <w:sz w:val="24"/>
          <w:highlight w:val="none"/>
          <w:lang w:val="en-US" w:eastAsia="zh-CN"/>
        </w:rPr>
        <w:t xml:space="preserve"> </w:t>
      </w:r>
      <w:r>
        <w:rPr>
          <w:rFonts w:hint="eastAsia"/>
          <w:color w:val="auto"/>
          <w:sz w:val="24"/>
          <w:highlight w:val="none"/>
        </w:rPr>
        <w:t>法定代表人授权书（格式）</w:t>
      </w:r>
      <w:bookmarkEnd w:id="58"/>
    </w:p>
    <w:p w14:paraId="22B13067">
      <w:pPr>
        <w:snapToGrid w:val="0"/>
        <w:spacing w:line="360" w:lineRule="auto"/>
        <w:ind w:firstLine="480" w:firstLineChars="200"/>
        <w:rPr>
          <w:color w:val="auto"/>
          <w:sz w:val="24"/>
          <w:highlight w:val="none"/>
        </w:rPr>
      </w:pPr>
      <w:bookmarkStart w:id="59" w:name="_Toc31857"/>
      <w:r>
        <w:rPr>
          <w:rFonts w:hint="eastAsia"/>
          <w:color w:val="auto"/>
          <w:sz w:val="24"/>
          <w:highlight w:val="none"/>
        </w:rPr>
        <w:t>附件9 证明文件</w:t>
      </w:r>
      <w:bookmarkEnd w:id="59"/>
    </w:p>
    <w:p w14:paraId="0AA3CAC9">
      <w:pPr>
        <w:snapToGrid w:val="0"/>
        <w:spacing w:line="360" w:lineRule="auto"/>
        <w:ind w:firstLine="480" w:firstLineChars="200"/>
        <w:rPr>
          <w:rFonts w:hint="eastAsia"/>
          <w:color w:val="auto"/>
          <w:sz w:val="24"/>
          <w:highlight w:val="none"/>
        </w:rPr>
      </w:pPr>
      <w:bookmarkStart w:id="60" w:name="_Toc23116"/>
      <w:r>
        <w:rPr>
          <w:rFonts w:hint="eastAsia"/>
          <w:color w:val="auto"/>
          <w:sz w:val="24"/>
          <w:highlight w:val="none"/>
        </w:rPr>
        <w:t>附件10 供应商承诺书（格式）</w:t>
      </w:r>
      <w:bookmarkEnd w:id="60"/>
    </w:p>
    <w:p w14:paraId="4809EF6A">
      <w:pPr>
        <w:snapToGrid w:val="0"/>
        <w:spacing w:line="360" w:lineRule="auto"/>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附件11 供应商信用承诺函（格式）</w:t>
      </w:r>
    </w:p>
    <w:p w14:paraId="1E2154BA">
      <w:pPr>
        <w:pStyle w:val="32"/>
        <w:rPr>
          <w:rFonts w:hint="eastAsia"/>
          <w:color w:val="auto"/>
          <w:highlight w:val="none"/>
        </w:rPr>
      </w:pPr>
    </w:p>
    <w:p w14:paraId="292ADCBE">
      <w:pPr>
        <w:widowControl/>
        <w:wordWrap w:val="0"/>
        <w:snapToGrid w:val="0"/>
        <w:spacing w:line="460" w:lineRule="exact"/>
        <w:ind w:firstLine="482" w:firstLineChars="200"/>
        <w:jc w:val="center"/>
        <w:rPr>
          <w:rFonts w:ascii="宋体" w:hAnsi="宋体" w:cs="宋体"/>
          <w:b/>
          <w:bCs/>
          <w:color w:val="auto"/>
          <w:kern w:val="0"/>
          <w:sz w:val="24"/>
          <w:highlight w:val="none"/>
        </w:rPr>
      </w:pPr>
    </w:p>
    <w:p w14:paraId="6F0105BD">
      <w:pPr>
        <w:widowControl/>
        <w:wordWrap w:val="0"/>
        <w:snapToGrid w:val="0"/>
        <w:spacing w:line="460" w:lineRule="exact"/>
        <w:ind w:firstLine="482" w:firstLineChars="200"/>
        <w:jc w:val="center"/>
        <w:rPr>
          <w:rFonts w:ascii="宋体" w:hAnsi="宋体" w:cs="宋体"/>
          <w:b/>
          <w:bCs/>
          <w:color w:val="auto"/>
          <w:kern w:val="0"/>
          <w:sz w:val="24"/>
          <w:highlight w:val="none"/>
        </w:rPr>
      </w:pPr>
    </w:p>
    <w:p w14:paraId="1B6863FA">
      <w:pPr>
        <w:widowControl/>
        <w:wordWrap w:val="0"/>
        <w:snapToGrid w:val="0"/>
        <w:spacing w:line="460" w:lineRule="exact"/>
        <w:ind w:firstLine="482" w:firstLineChars="200"/>
        <w:jc w:val="center"/>
        <w:rPr>
          <w:rFonts w:ascii="宋体" w:hAnsi="宋体" w:cs="宋体"/>
          <w:b/>
          <w:bCs/>
          <w:color w:val="auto"/>
          <w:kern w:val="0"/>
          <w:sz w:val="24"/>
          <w:highlight w:val="none"/>
        </w:rPr>
      </w:pPr>
    </w:p>
    <w:p w14:paraId="6D61D14A">
      <w:pPr>
        <w:pStyle w:val="3"/>
        <w:rPr>
          <w:rFonts w:ascii="宋体" w:hAnsi="宋体" w:cs="宋体"/>
          <w:b/>
          <w:bCs/>
          <w:color w:val="auto"/>
          <w:kern w:val="0"/>
          <w:sz w:val="24"/>
          <w:highlight w:val="none"/>
        </w:rPr>
      </w:pPr>
    </w:p>
    <w:p w14:paraId="1F7181C1">
      <w:pPr>
        <w:pStyle w:val="4"/>
        <w:rPr>
          <w:rFonts w:hAnsi="宋体"/>
          <w:b/>
          <w:bCs/>
          <w:color w:val="auto"/>
          <w:highlight w:val="none"/>
        </w:rPr>
      </w:pPr>
    </w:p>
    <w:p w14:paraId="1AD53157">
      <w:pPr>
        <w:pStyle w:val="4"/>
        <w:rPr>
          <w:rFonts w:hAnsi="宋体"/>
          <w:b/>
          <w:bCs/>
          <w:color w:val="auto"/>
          <w:highlight w:val="none"/>
        </w:rPr>
      </w:pPr>
    </w:p>
    <w:p w14:paraId="4F8244CE">
      <w:pPr>
        <w:rPr>
          <w:color w:val="auto"/>
          <w:highlight w:val="none"/>
        </w:rPr>
      </w:pPr>
      <w:r>
        <w:rPr>
          <w:rFonts w:hint="eastAsia"/>
          <w:color w:val="auto"/>
          <w:highlight w:val="none"/>
        </w:rPr>
        <w:br w:type="page"/>
      </w:r>
    </w:p>
    <w:p w14:paraId="0CE53EE3">
      <w:pPr>
        <w:pStyle w:val="27"/>
        <w:rPr>
          <w:color w:val="auto"/>
          <w:highlight w:val="none"/>
        </w:rPr>
      </w:pPr>
    </w:p>
    <w:p w14:paraId="613289E1">
      <w:pPr>
        <w:pStyle w:val="6"/>
        <w:rPr>
          <w:color w:val="auto"/>
          <w:highlight w:val="none"/>
        </w:rPr>
      </w:pPr>
      <w:bookmarkStart w:id="61" w:name="_Toc24743"/>
      <w:bookmarkStart w:id="62" w:name="_Toc31798"/>
      <w:r>
        <w:rPr>
          <w:rFonts w:hint="eastAsia"/>
          <w:color w:val="auto"/>
          <w:highlight w:val="none"/>
        </w:rPr>
        <w:t>附件1               投标文件封面（格式）</w:t>
      </w:r>
      <w:bookmarkEnd w:id="61"/>
      <w:bookmarkEnd w:id="62"/>
    </w:p>
    <w:p w14:paraId="0036E6F4">
      <w:pPr>
        <w:widowControl/>
        <w:wordWrap w:val="0"/>
        <w:spacing w:line="460" w:lineRule="exact"/>
        <w:ind w:firstLine="482" w:firstLineChars="200"/>
        <w:jc w:val="center"/>
        <w:rPr>
          <w:rFonts w:ascii="宋体" w:hAnsi="宋体" w:cs="宋体"/>
          <w:b/>
          <w:color w:val="auto"/>
          <w:kern w:val="0"/>
          <w:sz w:val="24"/>
          <w:highlight w:val="none"/>
        </w:rPr>
      </w:pPr>
    </w:p>
    <w:p w14:paraId="5F64E4D1">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w:t>
      </w:r>
      <w:r>
        <w:rPr>
          <w:rFonts w:hint="eastAsia" w:ascii="宋体" w:hAnsi="宋体" w:cs="宋体"/>
          <w:b/>
          <w:snapToGrid w:val="0"/>
          <w:color w:val="auto"/>
          <w:spacing w:val="0"/>
          <w:kern w:val="0"/>
          <w:sz w:val="44"/>
          <w:szCs w:val="44"/>
          <w:highlight w:val="none"/>
          <w:u w:val="none"/>
          <w:lang w:val="en-US" w:eastAsia="zh-CN"/>
        </w:rPr>
        <w:t>市</w:t>
      </w:r>
      <w:r>
        <w:rPr>
          <w:rFonts w:hint="eastAsia" w:ascii="宋体" w:hAnsi="宋体" w:eastAsia="宋体" w:cs="宋体"/>
          <w:b/>
          <w:snapToGrid w:val="0"/>
          <w:color w:val="auto"/>
          <w:spacing w:val="0"/>
          <w:kern w:val="0"/>
          <w:sz w:val="44"/>
          <w:szCs w:val="44"/>
          <w:highlight w:val="none"/>
          <w:u w:val="none"/>
          <w:lang w:val="en-US" w:eastAsia="zh-CN"/>
        </w:rPr>
        <w:t>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03FE3C32">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rPr>
        <w:t>投标文件</w:t>
      </w:r>
    </w:p>
    <w:p w14:paraId="34EFCCFA">
      <w:pPr>
        <w:spacing w:line="360" w:lineRule="auto"/>
        <w:rPr>
          <w:rFonts w:hint="eastAsia" w:ascii="宋体" w:hAnsi="宋体" w:eastAsia="宋体" w:cs="宋体"/>
          <w:color w:val="auto"/>
          <w:sz w:val="28"/>
          <w:highlight w:val="none"/>
        </w:rPr>
      </w:pPr>
    </w:p>
    <w:p w14:paraId="4A04B843">
      <w:pPr>
        <w:pStyle w:val="4"/>
        <w:spacing w:line="360" w:lineRule="auto"/>
        <w:rPr>
          <w:rFonts w:hint="eastAsia" w:ascii="宋体" w:hAnsi="宋体" w:eastAsia="宋体" w:cs="宋体"/>
          <w:color w:val="auto"/>
          <w:highlight w:val="none"/>
        </w:rPr>
      </w:pPr>
    </w:p>
    <w:p w14:paraId="53ADEF20">
      <w:pPr>
        <w:pStyle w:val="4"/>
        <w:spacing w:line="360" w:lineRule="auto"/>
        <w:rPr>
          <w:rFonts w:hint="eastAsia" w:ascii="宋体" w:hAnsi="宋体" w:eastAsia="宋体" w:cs="宋体"/>
          <w:color w:val="auto"/>
          <w:highlight w:val="none"/>
        </w:rPr>
      </w:pPr>
    </w:p>
    <w:p w14:paraId="19A955A0">
      <w:pPr>
        <w:spacing w:line="360" w:lineRule="auto"/>
        <w:rPr>
          <w:rFonts w:hint="eastAsia" w:ascii="宋体" w:hAnsi="宋体" w:eastAsia="宋体" w:cs="宋体"/>
          <w:color w:val="auto"/>
          <w:sz w:val="28"/>
          <w:highlight w:val="none"/>
        </w:rPr>
      </w:pPr>
    </w:p>
    <w:p w14:paraId="74876890">
      <w:pPr>
        <w:spacing w:line="360" w:lineRule="auto"/>
        <w:rPr>
          <w:rFonts w:hint="eastAsia" w:ascii="宋体" w:hAnsi="宋体" w:eastAsia="宋体" w:cs="宋体"/>
          <w:color w:val="auto"/>
          <w:sz w:val="28"/>
          <w:highlight w:val="none"/>
        </w:rPr>
      </w:pPr>
    </w:p>
    <w:p w14:paraId="63395141">
      <w:pPr>
        <w:spacing w:line="360" w:lineRule="auto"/>
        <w:rPr>
          <w:rFonts w:hint="eastAsia" w:ascii="宋体" w:hAnsi="宋体" w:eastAsia="宋体" w:cs="宋体"/>
          <w:color w:val="auto"/>
          <w:sz w:val="28"/>
          <w:highlight w:val="none"/>
        </w:rPr>
      </w:pPr>
    </w:p>
    <w:p w14:paraId="62B9A2E3">
      <w:pPr>
        <w:spacing w:line="360" w:lineRule="auto"/>
        <w:rPr>
          <w:rFonts w:hint="eastAsia" w:ascii="宋体" w:hAnsi="宋体" w:eastAsia="宋体" w:cs="宋体"/>
          <w:color w:val="auto"/>
          <w:sz w:val="28"/>
          <w:highlight w:val="none"/>
        </w:rPr>
      </w:pPr>
    </w:p>
    <w:p w14:paraId="738AB022">
      <w:pPr>
        <w:spacing w:line="360" w:lineRule="auto"/>
        <w:rPr>
          <w:rFonts w:hint="eastAsia" w:ascii="宋体" w:hAnsi="宋体" w:eastAsia="宋体" w:cs="宋体"/>
          <w:color w:val="auto"/>
          <w:sz w:val="28"/>
          <w:highlight w:val="none"/>
        </w:rPr>
      </w:pPr>
    </w:p>
    <w:p w14:paraId="0165A055">
      <w:pPr>
        <w:spacing w:line="360" w:lineRule="auto"/>
        <w:rPr>
          <w:rFonts w:hint="eastAsia" w:ascii="宋体" w:hAnsi="宋体" w:eastAsia="宋体" w:cs="宋体"/>
          <w:color w:val="auto"/>
          <w:sz w:val="28"/>
          <w:highlight w:val="none"/>
        </w:rPr>
      </w:pPr>
    </w:p>
    <w:p w14:paraId="3E9BD72A">
      <w:pPr>
        <w:spacing w:line="360" w:lineRule="auto"/>
        <w:jc w:val="center"/>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eastAsia="zh-CN"/>
        </w:rPr>
        <w:t>供应商</w:t>
      </w:r>
      <w:r>
        <w:rPr>
          <w:rFonts w:hint="eastAsia" w:ascii="宋体" w:hAnsi="宋体" w:eastAsia="宋体" w:cs="宋体"/>
          <w:color w:val="auto"/>
          <w:sz w:val="28"/>
          <w:szCs w:val="28"/>
          <w:highlight w:val="none"/>
        </w:rPr>
        <w:t>：（</w:t>
      </w:r>
      <w:r>
        <w:rPr>
          <w:rFonts w:hint="eastAsia" w:ascii="宋体" w:hAnsi="宋体" w:cs="宋体"/>
          <w:color w:val="auto"/>
          <w:sz w:val="28"/>
          <w:szCs w:val="28"/>
          <w:highlight w:val="none"/>
          <w:lang w:eastAsia="zh-CN"/>
        </w:rPr>
        <w:t>全称并</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14:paraId="06687449">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cs="宋体"/>
          <w:color w:val="auto"/>
          <w:sz w:val="28"/>
          <w:szCs w:val="28"/>
          <w:highlight w:val="none"/>
          <w:lang w:val="en-US" w:eastAsia="zh-CN"/>
        </w:rPr>
        <w:t>签字或</w:t>
      </w:r>
      <w:r>
        <w:rPr>
          <w:rFonts w:hint="eastAsia" w:ascii="宋体" w:hAnsi="宋体" w:eastAsia="宋体" w:cs="宋体"/>
          <w:color w:val="auto"/>
          <w:sz w:val="28"/>
          <w:szCs w:val="28"/>
          <w:highlight w:val="none"/>
          <w:lang w:eastAsia="zh-CN"/>
        </w:rPr>
        <w:t>盖</w:t>
      </w:r>
      <w:r>
        <w:rPr>
          <w:rFonts w:hint="eastAsia" w:ascii="宋体" w:hAnsi="宋体" w:cs="宋体"/>
          <w:color w:val="auto"/>
          <w:sz w:val="28"/>
          <w:szCs w:val="28"/>
          <w:highlight w:val="none"/>
          <w:lang w:val="en-US" w:eastAsia="zh-CN"/>
        </w:rPr>
        <w:t>章</w:t>
      </w:r>
      <w:r>
        <w:rPr>
          <w:rFonts w:hint="eastAsia" w:ascii="宋体" w:hAnsi="宋体" w:eastAsia="宋体" w:cs="宋体"/>
          <w:color w:val="auto"/>
          <w:sz w:val="28"/>
          <w:szCs w:val="28"/>
          <w:highlight w:val="none"/>
        </w:rPr>
        <w:t>）</w:t>
      </w:r>
    </w:p>
    <w:p w14:paraId="31A8D727">
      <w:pPr>
        <w:widowControl/>
        <w:wordWrap w:val="0"/>
        <w:spacing w:line="460" w:lineRule="exact"/>
        <w:ind w:left="0" w:leftChars="0" w:firstLine="0" w:firstLineChars="0"/>
        <w:jc w:val="center"/>
        <w:rPr>
          <w:rFonts w:ascii="宋体" w:hAnsi="宋体" w:cs="宋体"/>
          <w:b/>
          <w:color w:val="auto"/>
          <w:kern w:val="0"/>
          <w:sz w:val="24"/>
          <w:highlight w:val="none"/>
        </w:rPr>
      </w:pPr>
      <w:r>
        <w:rPr>
          <w:rFonts w:hint="eastAsia" w:ascii="宋体" w:hAnsi="宋体" w:eastAsia="宋体" w:cs="宋体"/>
          <w:color w:val="auto"/>
          <w:sz w:val="28"/>
          <w:szCs w:val="28"/>
          <w:highlight w:val="none"/>
        </w:rPr>
        <w:t>年   月   日</w:t>
      </w:r>
    </w:p>
    <w:p w14:paraId="3354CB1C">
      <w:pPr>
        <w:widowControl/>
        <w:wordWrap w:val="0"/>
        <w:spacing w:line="460" w:lineRule="exact"/>
        <w:ind w:firstLine="482" w:firstLineChars="200"/>
        <w:jc w:val="left"/>
        <w:rPr>
          <w:rFonts w:ascii="宋体" w:hAnsi="宋体" w:cs="宋体"/>
          <w:b/>
          <w:color w:val="auto"/>
          <w:kern w:val="0"/>
          <w:sz w:val="24"/>
          <w:highlight w:val="none"/>
        </w:rPr>
      </w:pPr>
    </w:p>
    <w:p w14:paraId="7B08B2D5">
      <w:pPr>
        <w:pStyle w:val="3"/>
        <w:rPr>
          <w:rFonts w:ascii="宋体" w:hAnsi="宋体" w:cs="宋体"/>
          <w:b/>
          <w:color w:val="auto"/>
          <w:kern w:val="0"/>
          <w:sz w:val="24"/>
          <w:highlight w:val="none"/>
        </w:rPr>
      </w:pPr>
    </w:p>
    <w:p w14:paraId="0D3625CD">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14:paraId="7EFB85F3">
      <w:pPr>
        <w:rPr>
          <w:color w:val="auto"/>
          <w:highlight w:val="none"/>
        </w:rPr>
      </w:pPr>
    </w:p>
    <w:p w14:paraId="28E7BD4A">
      <w:pPr>
        <w:pStyle w:val="6"/>
        <w:rPr>
          <w:color w:val="auto"/>
          <w:highlight w:val="none"/>
        </w:rPr>
      </w:pPr>
      <w:bookmarkStart w:id="63" w:name="_Toc8818"/>
      <w:bookmarkStart w:id="64" w:name="_Toc14560"/>
      <w:r>
        <w:rPr>
          <w:rFonts w:hint="eastAsia"/>
          <w:color w:val="auto"/>
          <w:highlight w:val="none"/>
        </w:rPr>
        <w:t>附件2               投  标  书（格式）</w:t>
      </w:r>
      <w:bookmarkEnd w:id="63"/>
      <w:bookmarkEnd w:id="64"/>
    </w:p>
    <w:p w14:paraId="758F59BA">
      <w:pPr>
        <w:widowControl/>
        <w:wordWrap w:val="0"/>
        <w:snapToGrid w:val="0"/>
        <w:spacing w:line="4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eastAsia="zh-CN"/>
        </w:rPr>
        <w:t>采购人</w:t>
      </w:r>
      <w:r>
        <w:rPr>
          <w:rFonts w:hint="eastAsia" w:ascii="宋体" w:hAnsi="宋体" w:cs="宋体"/>
          <w:color w:val="auto"/>
          <w:kern w:val="0"/>
          <w:szCs w:val="21"/>
          <w:highlight w:val="none"/>
          <w:u w:val="single"/>
        </w:rPr>
        <w:t>名称）</w:t>
      </w:r>
      <w:r>
        <w:rPr>
          <w:rFonts w:hint="eastAsia" w:ascii="宋体" w:hAnsi="宋体" w:cs="宋体"/>
          <w:color w:val="auto"/>
          <w:kern w:val="0"/>
          <w:szCs w:val="21"/>
          <w:highlight w:val="none"/>
        </w:rPr>
        <w:t>：</w:t>
      </w:r>
    </w:p>
    <w:p w14:paraId="2019A2F5">
      <w:pPr>
        <w:widowControl/>
        <w:wordWrap w:val="0"/>
        <w:spacing w:line="460" w:lineRule="exact"/>
        <w:ind w:firstLine="525" w:firstLineChars="250"/>
        <w:jc w:val="left"/>
        <w:rPr>
          <w:rFonts w:ascii="宋体" w:hAnsi="宋体" w:cs="宋体"/>
          <w:color w:val="auto"/>
          <w:kern w:val="0"/>
          <w:szCs w:val="21"/>
          <w:highlight w:val="none"/>
        </w:rPr>
      </w:pP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w:t>
      </w:r>
      <w:r>
        <w:rPr>
          <w:rFonts w:hint="eastAsia" w:ascii="宋体" w:hAnsi="宋体" w:cs="宋体"/>
          <w:color w:val="auto"/>
          <w:kern w:val="0"/>
          <w:szCs w:val="21"/>
          <w:highlight w:val="none"/>
          <w:u w:val="single"/>
          <w:lang w:eastAsia="zh-CN"/>
        </w:rPr>
        <w:t>供应商</w:t>
      </w:r>
      <w:r>
        <w:rPr>
          <w:rFonts w:hint="eastAsia" w:ascii="宋体" w:hAnsi="宋体" w:cs="宋体"/>
          <w:color w:val="auto"/>
          <w:kern w:val="0"/>
          <w:szCs w:val="21"/>
          <w:highlight w:val="none"/>
          <w:u w:val="single"/>
        </w:rPr>
        <w:t>名称）</w:t>
      </w:r>
      <w:r>
        <w:rPr>
          <w:rFonts w:hint="eastAsia" w:ascii="宋体" w:hAnsi="宋体" w:cs="宋体"/>
          <w:color w:val="auto"/>
          <w:kern w:val="0"/>
          <w:szCs w:val="21"/>
          <w:highlight w:val="none"/>
        </w:rPr>
        <w:t xml:space="preserve">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（姓名）为我方代理人，参加贵方组织的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项目的投标。现正式提交下述文件1份：</w:t>
      </w:r>
    </w:p>
    <w:p w14:paraId="2902664D">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1、开标一览表。</w:t>
      </w:r>
    </w:p>
    <w:p w14:paraId="1C09E9E6">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2、报价明细表。</w:t>
      </w:r>
    </w:p>
    <w:p w14:paraId="3368CFA5">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4、技术响应表。</w:t>
      </w:r>
    </w:p>
    <w:p w14:paraId="2A496E6B">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、商务响应表。</w:t>
      </w:r>
    </w:p>
    <w:p w14:paraId="25BCDFD7">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、证明文件。</w:t>
      </w:r>
    </w:p>
    <w:p w14:paraId="0B97DDAF">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为便于贵方公正、择优地确定中标供应商及其投标产品和服务，我方就本次投标有关事项郑重声明并宣布同意如下：</w:t>
      </w:r>
    </w:p>
    <w:p w14:paraId="1222FD67">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1、我方承诺已经具备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文件中规定的参加政府采购活动的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应当具备的条件。我方愿意向贵方提供任何与本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项目投标有关的数据、情况和技术资料，并根据需要提供一切承诺的证明材料，并保证其真实、合法、有效。</w:t>
      </w:r>
    </w:p>
    <w:p w14:paraId="368D453B">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2、我方承诺在投标活动中提供的各种材料真实有效。</w:t>
      </w:r>
    </w:p>
    <w:p w14:paraId="71A417E8">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3、我方同意在投标文件有效期内遵守本投标文件中的承诺且在此期限期满之前均具有约束力。如果我方中标，投标文件有效期与合同履行期相同。</w:t>
      </w:r>
    </w:p>
    <w:p w14:paraId="3D382080">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4、我方已详细审查全部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文件，包括修改文件（如有的话）和有关附件，将自行承担因对全部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文件理解不正确或误解而产生的相应后果。</w:t>
      </w:r>
    </w:p>
    <w:p w14:paraId="35780BCB">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5、我方保证尊重</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的评标结果，完全理解本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项目最低投标价不作为中标的保证。</w:t>
      </w:r>
    </w:p>
    <w:p w14:paraId="0F776219">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6、我方理解并遵守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文件的全部规定，接受</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文件中政府采购合同的全部条款且无任何异议。</w:t>
      </w:r>
    </w:p>
    <w:p w14:paraId="085F73AF">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7、如果我方代表</w:t>
      </w:r>
      <w:r>
        <w:rPr>
          <w:rFonts w:hint="eastAsia" w:ascii="宋体" w:hAnsi="宋体" w:cs="宋体"/>
          <w:bCs/>
          <w:color w:val="auto"/>
          <w:kern w:val="0"/>
          <w:szCs w:val="21"/>
          <w:highlight w:val="none"/>
        </w:rPr>
        <w:t>未按时参加开标的，视同放弃开标监督权利，认可开标结果。</w:t>
      </w:r>
    </w:p>
    <w:p w14:paraId="12DF88B5">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8、如果我方存在</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须知第9.3项所述情况，同意被认定为在经营活动中有重大违法记录。</w:t>
      </w:r>
    </w:p>
    <w:p w14:paraId="4067A3D9">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9、如果发生</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.4.3项所述情况，同意我方投标被作为无效投标处理。</w:t>
      </w:r>
    </w:p>
    <w:p w14:paraId="6A02316A">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10、如果发生</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.5项所述情况，同意</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认定我方的行为属于串通投标的行为，并自愿接受监管部门的处罚。</w:t>
      </w:r>
    </w:p>
    <w:p w14:paraId="7FA6DFD1">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11、如果现场变更采购方式，我方同意在不改变</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需求、资质条件等情况下，按变更后的采购方式的规定程序进行采购。</w:t>
      </w:r>
    </w:p>
    <w:p w14:paraId="740CCA24">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12、如果被确定为中标供应商，我方同意按</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文件的规定领取</w:t>
      </w:r>
      <w:r>
        <w:rPr>
          <w:rFonts w:hint="eastAsia" w:ascii="宋体" w:hAnsi="宋体" w:cs="宋体"/>
          <w:color w:val="auto"/>
          <w:kern w:val="0"/>
          <w:szCs w:val="21"/>
          <w:highlight w:val="none"/>
          <w:lang w:eastAsia="zh-CN"/>
        </w:rPr>
        <w:t>成交通知书</w:t>
      </w:r>
      <w:r>
        <w:rPr>
          <w:rFonts w:hint="eastAsia" w:ascii="宋体" w:hAnsi="宋体" w:cs="宋体"/>
          <w:color w:val="auto"/>
          <w:kern w:val="0"/>
          <w:szCs w:val="21"/>
          <w:highlight w:val="none"/>
        </w:rPr>
        <w:t>并缴纳服务费。否则，视为我方中标后自动放弃中标资格，承担由此引起的一切后果。</w:t>
      </w:r>
    </w:p>
    <w:p w14:paraId="04B554DE">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13、如果被确定为中标供应商，我方同意在领取</w:t>
      </w:r>
      <w:r>
        <w:rPr>
          <w:rFonts w:hint="eastAsia" w:ascii="宋体" w:hAnsi="宋体" w:cs="宋体"/>
          <w:color w:val="auto"/>
          <w:kern w:val="0"/>
          <w:szCs w:val="21"/>
          <w:highlight w:val="none"/>
          <w:lang w:eastAsia="zh-CN"/>
        </w:rPr>
        <w:t>成交通知书</w:t>
      </w:r>
      <w:r>
        <w:rPr>
          <w:rFonts w:hint="eastAsia" w:ascii="宋体" w:hAnsi="宋体" w:cs="宋体"/>
          <w:color w:val="auto"/>
          <w:kern w:val="0"/>
          <w:szCs w:val="21"/>
          <w:highlight w:val="none"/>
        </w:rPr>
        <w:t>之日起</w:t>
      </w:r>
      <w:r>
        <w:rPr>
          <w:rFonts w:hint="eastAsia" w:ascii="宋体" w:hAnsi="宋体" w:cs="宋体"/>
          <w:color w:val="auto"/>
          <w:kern w:val="0"/>
          <w:szCs w:val="21"/>
          <w:highlight w:val="none"/>
          <w:u w:val="single"/>
          <w:lang w:val="en-US" w:eastAsia="zh-CN"/>
        </w:rPr>
        <w:t xml:space="preserve"> 30  </w:t>
      </w:r>
      <w:r>
        <w:rPr>
          <w:rFonts w:hint="eastAsia" w:ascii="宋体" w:hAnsi="宋体" w:cs="宋体"/>
          <w:color w:val="auto"/>
          <w:kern w:val="0"/>
          <w:szCs w:val="21"/>
          <w:highlight w:val="none"/>
        </w:rPr>
        <w:t>日内，按照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文件的规定与采购人签订采购合同。否则，视为我方中标后无正当理由不与采购人签订合同并承担相应法律责任。</w:t>
      </w:r>
    </w:p>
    <w:p w14:paraId="343C9BF3">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14、我方最近3年内的被公开披露或查处的违法违规行为有：</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w:t>
      </w:r>
    </w:p>
    <w:p w14:paraId="77CCBFE6">
      <w:pPr>
        <w:widowControl/>
        <w:tabs>
          <w:tab w:val="left" w:pos="939"/>
        </w:tabs>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15、以上事项如有虚假或隐瞒，我方愿意承担一切后果和责任。</w:t>
      </w:r>
    </w:p>
    <w:p w14:paraId="38C28D0F">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16、与本投标有关的一切正式往来通讯请寄（地址电话必须为最新并可以联系到）：</w:t>
      </w:r>
    </w:p>
    <w:p w14:paraId="7CA571D9">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地址：  邮编：</w:t>
      </w:r>
    </w:p>
    <w:p w14:paraId="7054EBEF">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电话：  传真： </w:t>
      </w:r>
    </w:p>
    <w:p w14:paraId="6CB953B6">
      <w:pPr>
        <w:widowControl/>
        <w:wordWrap w:val="0"/>
        <w:spacing w:line="460" w:lineRule="exact"/>
        <w:ind w:firstLine="420" w:firstLineChars="200"/>
        <w:jc w:val="left"/>
        <w:rPr>
          <w:rFonts w:ascii="宋体" w:hAnsi="宋体" w:cs="宋体"/>
          <w:color w:val="auto"/>
          <w:kern w:val="0"/>
          <w:szCs w:val="21"/>
          <w:highlight w:val="none"/>
        </w:rPr>
      </w:pPr>
    </w:p>
    <w:p w14:paraId="62A88F52">
      <w:pPr>
        <w:widowControl/>
        <w:wordWrap w:val="0"/>
        <w:spacing w:line="460" w:lineRule="exact"/>
        <w:ind w:firstLine="735" w:firstLineChars="350"/>
        <w:jc w:val="left"/>
        <w:rPr>
          <w:rFonts w:ascii="宋体" w:hAnsi="宋体" w:cs="宋体"/>
          <w:color w:val="auto"/>
          <w:kern w:val="0"/>
          <w:szCs w:val="21"/>
          <w:highlight w:val="none"/>
          <w:u w:val="single"/>
        </w:rPr>
      </w:pP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代表签字</w:t>
      </w:r>
      <w:r>
        <w:rPr>
          <w:rFonts w:hint="eastAsia" w:ascii="宋体" w:hAnsi="宋体" w:cs="宋体"/>
          <w:color w:val="auto"/>
          <w:kern w:val="0"/>
          <w:szCs w:val="21"/>
          <w:highlight w:val="none"/>
          <w:lang w:val="en-US" w:eastAsia="zh-CN"/>
        </w:rPr>
        <w:t>或盖章</w:t>
      </w:r>
      <w:r>
        <w:rPr>
          <w:rFonts w:hint="eastAsia" w:ascii="宋体" w:hAnsi="宋体" w:cs="宋体"/>
          <w:color w:val="auto"/>
          <w:kern w:val="0"/>
          <w:szCs w:val="21"/>
          <w:highlight w:val="none"/>
        </w:rPr>
        <w:t xml:space="preserve">： </w:t>
      </w:r>
    </w:p>
    <w:p w14:paraId="276C9AE4">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：（全称并加盖公章）</w:t>
      </w:r>
    </w:p>
    <w:p w14:paraId="090DC6CF">
      <w:pPr>
        <w:widowControl/>
        <w:wordWrap w:val="0"/>
        <w:spacing w:line="460" w:lineRule="exact"/>
        <w:ind w:firstLine="420" w:firstLineChars="200"/>
        <w:jc w:val="left"/>
        <w:rPr>
          <w:rFonts w:ascii="宋体" w:hAnsi="宋体" w:cs="宋体"/>
          <w:color w:val="auto"/>
          <w:kern w:val="0"/>
          <w:szCs w:val="21"/>
          <w:highlight w:val="none"/>
        </w:rPr>
      </w:pPr>
    </w:p>
    <w:p w14:paraId="37993939">
      <w:pPr>
        <w:widowControl/>
        <w:snapToGrid w:val="0"/>
        <w:spacing w:line="460" w:lineRule="exact"/>
        <w:ind w:firstLine="3360" w:firstLineChars="1600"/>
        <w:rPr>
          <w:rFonts w:ascii="宋体" w:hAnsi="宋体" w:cs="宋体"/>
          <w:color w:val="auto"/>
          <w:kern w:val="0"/>
          <w:sz w:val="24"/>
          <w:highlight w:val="none"/>
        </w:rPr>
      </w:pPr>
      <w:r>
        <w:rPr>
          <w:rFonts w:hint="eastAsia" w:ascii="宋体" w:hAnsi="宋体" w:cs="宋体"/>
          <w:color w:val="auto"/>
          <w:kern w:val="0"/>
          <w:szCs w:val="21"/>
          <w:highlight w:val="none"/>
        </w:rPr>
        <w:t xml:space="preserve">年    月   日 </w:t>
      </w:r>
    </w:p>
    <w:p w14:paraId="38263EFD">
      <w:pPr>
        <w:widowControl/>
        <w:wordWrap w:val="0"/>
        <w:snapToGrid w:val="0"/>
        <w:spacing w:before="50" w:after="50" w:line="480" w:lineRule="auto"/>
        <w:jc w:val="left"/>
        <w:rPr>
          <w:rFonts w:ascii="宋体" w:hAnsi="宋体" w:cs="宋体"/>
          <w:b/>
          <w:color w:val="auto"/>
          <w:kern w:val="0"/>
          <w:sz w:val="24"/>
          <w:highlight w:val="none"/>
        </w:rPr>
      </w:pPr>
    </w:p>
    <w:p w14:paraId="25413E34">
      <w:pPr>
        <w:widowControl/>
        <w:wordWrap w:val="0"/>
        <w:snapToGrid w:val="0"/>
        <w:spacing w:before="50" w:after="50" w:line="480" w:lineRule="auto"/>
        <w:jc w:val="left"/>
        <w:rPr>
          <w:rFonts w:ascii="宋体" w:hAnsi="宋体" w:cs="宋体"/>
          <w:b/>
          <w:color w:val="auto"/>
          <w:kern w:val="0"/>
          <w:sz w:val="24"/>
          <w:highlight w:val="none"/>
        </w:rPr>
      </w:pPr>
    </w:p>
    <w:p w14:paraId="30D556D2">
      <w:pPr>
        <w:spacing w:line="500" w:lineRule="exact"/>
        <w:jc w:val="center"/>
        <w:rPr>
          <w:rFonts w:ascii="宋体" w:hAnsi="宋体"/>
          <w:b/>
          <w:bCs/>
          <w:color w:val="auto"/>
          <w:sz w:val="24"/>
          <w:highlight w:val="none"/>
        </w:rPr>
      </w:pPr>
    </w:p>
    <w:p w14:paraId="5BB7EAF0">
      <w:pPr>
        <w:rPr>
          <w:color w:val="auto"/>
          <w:sz w:val="28"/>
          <w:szCs w:val="28"/>
          <w:highlight w:val="none"/>
        </w:rPr>
      </w:pPr>
      <w:r>
        <w:rPr>
          <w:rFonts w:hint="eastAsia"/>
          <w:color w:val="auto"/>
          <w:sz w:val="28"/>
          <w:szCs w:val="28"/>
          <w:highlight w:val="none"/>
        </w:rPr>
        <w:br w:type="page"/>
      </w:r>
    </w:p>
    <w:p w14:paraId="601614B4">
      <w:pPr>
        <w:rPr>
          <w:color w:val="auto"/>
          <w:highlight w:val="none"/>
        </w:rPr>
      </w:pPr>
    </w:p>
    <w:p w14:paraId="4270D447">
      <w:pPr>
        <w:pStyle w:val="6"/>
        <w:spacing w:before="20" w:after="20"/>
        <w:rPr>
          <w:rFonts w:hint="eastAsia" w:eastAsia="黑体"/>
          <w:color w:val="auto"/>
          <w:highlight w:val="none"/>
          <w:lang w:eastAsia="zh-CN"/>
        </w:rPr>
      </w:pPr>
      <w:bookmarkStart w:id="65" w:name="_Toc7838"/>
      <w:r>
        <w:rPr>
          <w:rFonts w:hint="eastAsia"/>
          <w:color w:val="auto"/>
          <w:highlight w:val="none"/>
        </w:rPr>
        <w:t>附件3               开标一览表</w:t>
      </w:r>
      <w:bookmarkEnd w:id="65"/>
      <w:r>
        <w:rPr>
          <w:rFonts w:hint="eastAsia"/>
          <w:color w:val="auto"/>
          <w:highlight w:val="none"/>
          <w:lang w:eastAsia="zh-CN"/>
        </w:rPr>
        <w:t>（</w:t>
      </w:r>
      <w:r>
        <w:rPr>
          <w:rFonts w:hint="eastAsia"/>
          <w:color w:val="auto"/>
          <w:highlight w:val="none"/>
          <w:lang w:val="en-US" w:eastAsia="zh-CN"/>
        </w:rPr>
        <w:t>格式</w:t>
      </w:r>
      <w:r>
        <w:rPr>
          <w:rFonts w:hint="eastAsia"/>
          <w:color w:val="auto"/>
          <w:highlight w:val="none"/>
          <w:lang w:eastAsia="zh-CN"/>
        </w:rPr>
        <w:t>）</w:t>
      </w:r>
    </w:p>
    <w:p w14:paraId="1CBC6D6E">
      <w:pPr>
        <w:spacing w:line="239" w:lineRule="auto"/>
        <w:jc w:val="right"/>
        <w:rPr>
          <w:rFonts w:hint="default" w:ascii="宋体" w:hAnsi="宋体"/>
          <w:color w:val="auto"/>
          <w:sz w:val="24"/>
          <w:highlight w:val="none"/>
          <w:lang w:val="en-US"/>
        </w:rPr>
      </w:pPr>
      <w:r>
        <w:rPr>
          <w:rFonts w:ascii="宋体" w:hAnsi="宋体"/>
          <w:color w:val="auto"/>
          <w:sz w:val="24"/>
          <w:highlight w:val="none"/>
        </w:rPr>
        <w:t>单位：人民币</w:t>
      </w:r>
      <w:r>
        <w:rPr>
          <w:rFonts w:hint="eastAsia"/>
          <w:color w:val="auto"/>
          <w:sz w:val="24"/>
          <w:highlight w:val="none"/>
          <w:lang w:val="en-US" w:eastAsia="zh-CN"/>
        </w:rPr>
        <w:t>元</w:t>
      </w:r>
    </w:p>
    <w:p w14:paraId="4FA16E00">
      <w:pPr>
        <w:rPr>
          <w:color w:val="auto"/>
          <w:highlight w:val="none"/>
        </w:rPr>
      </w:pPr>
    </w:p>
    <w:tbl>
      <w:tblPr>
        <w:tblStyle w:val="33"/>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15FA5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12C3C9F7">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项目名称</w:t>
            </w:r>
          </w:p>
        </w:tc>
        <w:tc>
          <w:tcPr>
            <w:tcW w:w="7708" w:type="dxa"/>
            <w:noWrap/>
            <w:vAlign w:val="center"/>
          </w:tcPr>
          <w:p w14:paraId="4D2032F5">
            <w:pPr>
              <w:rPr>
                <w:rFonts w:ascii="宋体" w:hAnsi="宋体"/>
                <w:bCs/>
                <w:color w:val="auto"/>
                <w:szCs w:val="21"/>
                <w:highlight w:val="none"/>
              </w:rPr>
            </w:pPr>
          </w:p>
        </w:tc>
      </w:tr>
      <w:tr w14:paraId="425D9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5BA4157F">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名称</w:t>
            </w:r>
          </w:p>
        </w:tc>
        <w:tc>
          <w:tcPr>
            <w:tcW w:w="7708" w:type="dxa"/>
            <w:noWrap/>
            <w:vAlign w:val="center"/>
          </w:tcPr>
          <w:p w14:paraId="7D654327">
            <w:pPr>
              <w:rPr>
                <w:rFonts w:ascii="宋体" w:hAnsi="宋体"/>
                <w:color w:val="auto"/>
                <w:szCs w:val="21"/>
                <w:highlight w:val="none"/>
              </w:rPr>
            </w:pPr>
          </w:p>
        </w:tc>
      </w:tr>
      <w:tr w14:paraId="489F3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14:paraId="281A860A">
            <w:pPr>
              <w:jc w:val="center"/>
              <w:rPr>
                <w:rFonts w:hint="eastAsia" w:ascii="宋体" w:hAnsi="宋体"/>
                <w:color w:val="auto"/>
                <w:szCs w:val="21"/>
                <w:highlight w:val="none"/>
              </w:rPr>
            </w:pPr>
            <w:r>
              <w:rPr>
                <w:rFonts w:hint="eastAsia" w:ascii="宋体" w:hAnsi="宋体"/>
                <w:color w:val="auto"/>
                <w:szCs w:val="21"/>
                <w:highlight w:val="none"/>
              </w:rPr>
              <w:t>投标报价</w:t>
            </w:r>
          </w:p>
          <w:p w14:paraId="1992B018">
            <w:pPr>
              <w:jc w:val="center"/>
              <w:rPr>
                <w:rFonts w:hint="eastAsia" w:ascii="宋体" w:hAnsi="宋体" w:eastAsia="宋体"/>
                <w:color w:val="auto"/>
                <w:spacing w:val="-20"/>
                <w:szCs w:val="21"/>
                <w:highlight w:val="none"/>
                <w:lang w:eastAsia="zh-CN"/>
              </w:rPr>
            </w:pPr>
            <w:r>
              <w:rPr>
                <w:rFonts w:hint="eastAsia" w:ascii="宋体" w:hAnsi="宋体"/>
                <w:color w:val="auto"/>
                <w:spacing w:val="-20"/>
                <w:szCs w:val="21"/>
                <w:highlight w:val="none"/>
                <w:lang w:eastAsia="zh-CN"/>
              </w:rPr>
              <w:t>（</w:t>
            </w:r>
            <w:r>
              <w:rPr>
                <w:rFonts w:hint="eastAsia" w:ascii="宋体" w:hAnsi="宋体"/>
                <w:color w:val="auto"/>
                <w:spacing w:val="-20"/>
                <w:szCs w:val="21"/>
                <w:highlight w:val="none"/>
                <w:lang w:val="en-US" w:eastAsia="zh-CN"/>
              </w:rPr>
              <w:t>合计单价</w:t>
            </w:r>
            <w:r>
              <w:rPr>
                <w:rFonts w:hint="eastAsia" w:ascii="宋体" w:hAnsi="宋体"/>
                <w:color w:val="auto"/>
                <w:spacing w:val="-20"/>
                <w:szCs w:val="21"/>
                <w:highlight w:val="none"/>
                <w:lang w:eastAsia="zh-CN"/>
              </w:rPr>
              <w:t>）</w:t>
            </w:r>
          </w:p>
        </w:tc>
        <w:tc>
          <w:tcPr>
            <w:tcW w:w="7708" w:type="dxa"/>
            <w:noWrap/>
            <w:vAlign w:val="center"/>
          </w:tcPr>
          <w:p w14:paraId="31520240">
            <w:pPr>
              <w:rPr>
                <w:rFonts w:hint="default"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 xml:space="preserve">大写：        </w:t>
            </w:r>
          </w:p>
          <w:p w14:paraId="39800A26">
            <w:pPr>
              <w:rPr>
                <w:rFonts w:hint="default" w:ascii="宋体" w:hAnsi="宋体"/>
                <w:color w:val="auto"/>
                <w:szCs w:val="21"/>
                <w:highlight w:val="none"/>
                <w:lang w:val="en-US" w:eastAsia="zh-CN"/>
              </w:rPr>
            </w:pPr>
            <w:r>
              <w:rPr>
                <w:rFonts w:hint="eastAsia" w:ascii="宋体" w:hAnsi="宋体"/>
                <w:color w:val="000000" w:themeColor="text1"/>
                <w:szCs w:val="21"/>
                <w:highlight w:val="none"/>
                <w:lang w:val="en-US" w:eastAsia="zh-CN"/>
                <w14:textFill>
                  <w14:solidFill>
                    <w14:schemeClr w14:val="tx1"/>
                  </w14:solidFill>
                </w14:textFill>
              </w:rPr>
              <w:t xml:space="preserve">小写：       </w:t>
            </w:r>
            <w:r>
              <w:rPr>
                <w:rFonts w:hint="eastAsia" w:ascii="宋体" w:hAnsi="宋体"/>
                <w:color w:val="000000" w:themeColor="text1"/>
                <w:sz w:val="21"/>
                <w:szCs w:val="21"/>
                <w:highlight w:val="none"/>
                <w:lang w:val="en-US" w:eastAsia="zh-CN"/>
                <w14:textFill>
                  <w14:solidFill>
                    <w14:schemeClr w14:val="tx1"/>
                  </w14:solidFill>
                </w14:textFill>
              </w:rPr>
              <w:t xml:space="preserve"> </w:t>
            </w:r>
            <w:r>
              <w:rPr>
                <w:rFonts w:hint="eastAsia"/>
                <w:color w:val="000000" w:themeColor="text1"/>
                <w:sz w:val="21"/>
                <w:szCs w:val="21"/>
                <w:highlight w:val="none"/>
                <w:lang w:val="en-US" w:eastAsia="zh-CN"/>
                <w14:textFill>
                  <w14:solidFill>
                    <w14:schemeClr w14:val="tx1"/>
                  </w14:solidFill>
                </w14:textFill>
              </w:rPr>
              <w:t>元</w:t>
            </w:r>
            <w:r>
              <w:rPr>
                <w:rFonts w:hint="eastAsia" w:ascii="宋体" w:hAnsi="宋体"/>
                <w:color w:val="000000" w:themeColor="text1"/>
                <w:szCs w:val="21"/>
                <w:highlight w:val="none"/>
                <w:lang w:val="en-US" w:eastAsia="zh-CN"/>
                <w14:textFill>
                  <w14:solidFill>
                    <w14:schemeClr w14:val="tx1"/>
                  </w14:solidFill>
                </w14:textFill>
              </w:rPr>
              <w:t>（详见报价明细表）</w:t>
            </w:r>
          </w:p>
        </w:tc>
      </w:tr>
      <w:tr w14:paraId="370AA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3DD53F69">
            <w:pPr>
              <w:widowControl/>
              <w:snapToGrid w:val="0"/>
              <w:spacing w:before="50" w:after="50"/>
              <w:jc w:val="center"/>
              <w:rPr>
                <w:rFonts w:ascii="宋体" w:hAnsi="宋体"/>
                <w:color w:val="auto"/>
                <w:szCs w:val="21"/>
                <w:highlight w:val="none"/>
              </w:rPr>
            </w:pPr>
            <w:r>
              <w:rPr>
                <w:rFonts w:hint="eastAsia" w:ascii="宋体" w:hAnsi="宋体"/>
                <w:color w:val="auto"/>
                <w:szCs w:val="21"/>
                <w:highlight w:val="none"/>
                <w:lang w:val="en-US" w:eastAsia="zh-CN"/>
              </w:rPr>
              <w:t>交货</w:t>
            </w:r>
            <w:r>
              <w:rPr>
                <w:rFonts w:hint="eastAsia" w:ascii="宋体" w:hAnsi="宋体"/>
                <w:color w:val="auto"/>
                <w:szCs w:val="21"/>
                <w:highlight w:val="none"/>
              </w:rPr>
              <w:t>地点</w:t>
            </w:r>
          </w:p>
        </w:tc>
        <w:tc>
          <w:tcPr>
            <w:tcW w:w="7708" w:type="dxa"/>
            <w:noWrap/>
            <w:vAlign w:val="bottom"/>
          </w:tcPr>
          <w:p w14:paraId="1071B86C">
            <w:pPr>
              <w:spacing w:line="360" w:lineRule="auto"/>
              <w:ind w:firstLine="1155" w:firstLineChars="550"/>
              <w:rPr>
                <w:rFonts w:ascii="宋体" w:hAnsi="宋体"/>
                <w:color w:val="auto"/>
                <w:szCs w:val="21"/>
                <w:highlight w:val="none"/>
              </w:rPr>
            </w:pPr>
          </w:p>
        </w:tc>
      </w:tr>
      <w:tr w14:paraId="2D4FE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5BF7856E">
            <w:pPr>
              <w:widowControl/>
              <w:snapToGrid w:val="0"/>
              <w:spacing w:before="50" w:after="50"/>
              <w:jc w:val="center"/>
              <w:rPr>
                <w:rFonts w:hint="default" w:ascii="宋体" w:hAnsi="宋体"/>
                <w:color w:val="auto"/>
                <w:szCs w:val="21"/>
                <w:highlight w:val="none"/>
                <w:lang w:val="en-US" w:eastAsia="zh-CN"/>
              </w:rPr>
            </w:pPr>
            <w:r>
              <w:rPr>
                <w:rFonts w:hint="eastAsia" w:ascii="宋体" w:hAnsi="宋体" w:cs="宋体"/>
                <w:color w:val="auto"/>
                <w:szCs w:val="21"/>
                <w:highlight w:val="none"/>
                <w:shd w:val="clear" w:color="auto" w:fill="FFFFFF"/>
                <w:lang w:val="en-US" w:eastAsia="zh-CN"/>
              </w:rPr>
              <w:t>合同履行期限</w:t>
            </w:r>
          </w:p>
        </w:tc>
        <w:tc>
          <w:tcPr>
            <w:tcW w:w="7708" w:type="dxa"/>
            <w:noWrap/>
            <w:vAlign w:val="bottom"/>
          </w:tcPr>
          <w:p w14:paraId="7BC3773C">
            <w:pPr>
              <w:spacing w:line="360" w:lineRule="auto"/>
              <w:ind w:firstLine="1155" w:firstLineChars="550"/>
              <w:rPr>
                <w:rFonts w:ascii="宋体" w:hAnsi="宋体"/>
                <w:color w:val="auto"/>
                <w:szCs w:val="21"/>
                <w:highlight w:val="none"/>
              </w:rPr>
            </w:pPr>
          </w:p>
        </w:tc>
      </w:tr>
      <w:tr w14:paraId="6FF9D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5B45AB5C">
            <w:pPr>
              <w:jc w:val="cente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质保期</w:t>
            </w:r>
          </w:p>
        </w:tc>
        <w:tc>
          <w:tcPr>
            <w:tcW w:w="7708" w:type="dxa"/>
            <w:noWrap/>
            <w:vAlign w:val="bottom"/>
          </w:tcPr>
          <w:p w14:paraId="00ED75F0">
            <w:pPr>
              <w:spacing w:line="360" w:lineRule="auto"/>
              <w:ind w:firstLine="1155" w:firstLineChars="550"/>
              <w:rPr>
                <w:rFonts w:ascii="宋体" w:hAnsi="宋体"/>
                <w:color w:val="auto"/>
                <w:szCs w:val="21"/>
                <w:highlight w:val="none"/>
                <w:u w:val="single"/>
              </w:rPr>
            </w:pPr>
          </w:p>
        </w:tc>
      </w:tr>
      <w:tr w14:paraId="46F13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125F8B7B">
            <w:pPr>
              <w:jc w:val="cente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质量</w:t>
            </w:r>
          </w:p>
        </w:tc>
        <w:tc>
          <w:tcPr>
            <w:tcW w:w="7708" w:type="dxa"/>
            <w:noWrap/>
            <w:vAlign w:val="bottom"/>
          </w:tcPr>
          <w:p w14:paraId="6D98E442">
            <w:pPr>
              <w:spacing w:line="360" w:lineRule="auto"/>
              <w:ind w:firstLine="1155" w:firstLineChars="550"/>
              <w:rPr>
                <w:rFonts w:ascii="宋体" w:hAnsi="宋体"/>
                <w:color w:val="auto"/>
                <w:szCs w:val="21"/>
                <w:highlight w:val="none"/>
                <w:u w:val="single"/>
              </w:rPr>
            </w:pPr>
          </w:p>
        </w:tc>
      </w:tr>
      <w:tr w14:paraId="26B64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0F82A5B5">
            <w:pPr>
              <w:jc w:val="center"/>
              <w:rPr>
                <w:rFonts w:ascii="宋体" w:hAnsi="宋体"/>
                <w:color w:val="auto"/>
                <w:szCs w:val="21"/>
                <w:highlight w:val="none"/>
              </w:rPr>
            </w:pPr>
            <w:r>
              <w:rPr>
                <w:rFonts w:hint="eastAsia" w:ascii="宋体" w:hAnsi="宋体"/>
                <w:color w:val="auto"/>
                <w:szCs w:val="21"/>
                <w:highlight w:val="none"/>
              </w:rPr>
              <w:t>备  注</w:t>
            </w:r>
          </w:p>
        </w:tc>
        <w:tc>
          <w:tcPr>
            <w:tcW w:w="7708" w:type="dxa"/>
            <w:noWrap/>
            <w:vAlign w:val="center"/>
          </w:tcPr>
          <w:p w14:paraId="7F56A5C4">
            <w:pPr>
              <w:pStyle w:val="21"/>
              <w:ind w:left="0" w:leftChars="0"/>
              <w:rPr>
                <w:color w:val="auto"/>
                <w:sz w:val="21"/>
                <w:szCs w:val="21"/>
                <w:highlight w:val="none"/>
              </w:rPr>
            </w:pPr>
          </w:p>
        </w:tc>
      </w:tr>
    </w:tbl>
    <w:p w14:paraId="29419262">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注: 1、报价一经涂改，应在涂改处加盖单位公章或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代表签字或盖章，否则其投标作无效标处理。</w:t>
      </w:r>
    </w:p>
    <w:p w14:paraId="0FDC414A">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2、以上报价应与“报价明细表”中的报价相一致。</w:t>
      </w:r>
    </w:p>
    <w:p w14:paraId="0BEF5B4F">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3、凡认为所投产品符合价格折扣条件的，在相应的产品的“备注”栏内注明符合何种折扣条件。</w:t>
      </w:r>
    </w:p>
    <w:p w14:paraId="3A6EB94F">
      <w:pPr>
        <w:spacing w:line="360" w:lineRule="auto"/>
        <w:ind w:firstLine="420" w:firstLineChars="200"/>
        <w:rPr>
          <w:color w:val="auto"/>
          <w:highlight w:val="none"/>
        </w:rPr>
      </w:pPr>
      <w:r>
        <w:rPr>
          <w:rFonts w:hint="eastAsia" w:ascii="宋体" w:hAnsi="宋体" w:cs="宋体"/>
          <w:color w:val="auto"/>
          <w:kern w:val="0"/>
          <w:szCs w:val="21"/>
          <w:highlight w:val="none"/>
        </w:rPr>
        <w:t>4、</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按格式填列，不得自行更改。否则引起的不利后果由</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承担。</w:t>
      </w:r>
    </w:p>
    <w:p w14:paraId="16D92F0B">
      <w:pPr>
        <w:spacing w:line="360" w:lineRule="auto"/>
        <w:ind w:firstLine="420" w:firstLineChars="200"/>
        <w:jc w:val="center"/>
        <w:rPr>
          <w:rFonts w:ascii="宋体" w:hAnsi="宋体"/>
          <w:color w:val="auto"/>
          <w:szCs w:val="21"/>
          <w:highlight w:val="none"/>
        </w:rPr>
      </w:pPr>
      <w:bookmarkStart w:id="66" w:name="_Toc20877"/>
      <w:bookmarkStart w:id="67" w:name="_Toc11620"/>
      <w:r>
        <w:rPr>
          <w:rFonts w:hint="eastAsia" w:ascii="宋体" w:hAnsi="宋体"/>
          <w:color w:val="auto"/>
          <w:szCs w:val="21"/>
          <w:highlight w:val="none"/>
          <w:lang w:eastAsia="zh-CN"/>
        </w:rPr>
        <w:t>供应商</w:t>
      </w:r>
      <w:r>
        <w:rPr>
          <w:rFonts w:hint="eastAsia" w:ascii="宋体" w:hAnsi="宋体"/>
          <w:color w:val="auto"/>
          <w:szCs w:val="21"/>
          <w:highlight w:val="none"/>
        </w:rPr>
        <w:t>（全称并加盖公章）：</w:t>
      </w:r>
      <w:bookmarkEnd w:id="66"/>
      <w:bookmarkEnd w:id="67"/>
    </w:p>
    <w:p w14:paraId="2C3496B7">
      <w:pPr>
        <w:spacing w:line="360" w:lineRule="auto"/>
        <w:ind w:firstLine="420" w:firstLineChars="200"/>
        <w:jc w:val="center"/>
        <w:rPr>
          <w:rFonts w:ascii="宋体" w:hAnsi="宋体"/>
          <w:color w:val="auto"/>
          <w:szCs w:val="21"/>
          <w:highlight w:val="none"/>
          <w:u w:val="single"/>
        </w:rPr>
      </w:pPr>
      <w:bookmarkStart w:id="68" w:name="_Toc12222"/>
      <w:bookmarkStart w:id="69" w:name="_Toc625"/>
      <w:r>
        <w:rPr>
          <w:rFonts w:hint="eastAsia" w:ascii="宋体" w:hAnsi="宋体"/>
          <w:color w:val="auto"/>
          <w:szCs w:val="21"/>
          <w:highlight w:val="none"/>
        </w:rPr>
        <w:t>法定代表人或其委托代理人（签字</w:t>
      </w:r>
      <w:r>
        <w:rPr>
          <w:rFonts w:hint="eastAsia" w:ascii="宋体" w:hAnsi="宋体" w:cs="宋体"/>
          <w:color w:val="auto"/>
          <w:kern w:val="0"/>
          <w:szCs w:val="21"/>
          <w:highlight w:val="none"/>
          <w:lang w:val="en-US" w:eastAsia="zh-CN"/>
        </w:rPr>
        <w:t>或盖章</w:t>
      </w:r>
      <w:r>
        <w:rPr>
          <w:rFonts w:hint="eastAsia" w:ascii="宋体" w:hAnsi="宋体"/>
          <w:color w:val="auto"/>
          <w:szCs w:val="21"/>
          <w:highlight w:val="none"/>
        </w:rPr>
        <w:t>）：</w:t>
      </w:r>
      <w:bookmarkEnd w:id="68"/>
      <w:bookmarkEnd w:id="69"/>
    </w:p>
    <w:p w14:paraId="432E6AEC">
      <w:pPr>
        <w:jc w:val="center"/>
        <w:rPr>
          <w:rFonts w:ascii="宋体" w:hAnsi="宋体"/>
          <w:color w:val="auto"/>
          <w:szCs w:val="21"/>
          <w:highlight w:val="none"/>
        </w:rPr>
      </w:pPr>
    </w:p>
    <w:p w14:paraId="02779A27">
      <w:pPr>
        <w:spacing w:line="360" w:lineRule="auto"/>
        <w:ind w:firstLine="420" w:firstLineChars="200"/>
        <w:jc w:val="center"/>
        <w:rPr>
          <w:color w:val="auto"/>
          <w:highlight w:val="none"/>
        </w:rPr>
      </w:pPr>
      <w:bookmarkStart w:id="70" w:name="_Toc1330"/>
      <w:bookmarkStart w:id="71" w:name="_Toc9950"/>
      <w:r>
        <w:rPr>
          <w:rFonts w:hint="eastAsia" w:ascii="宋体" w:hAnsi="宋体"/>
          <w:color w:val="auto"/>
          <w:szCs w:val="21"/>
          <w:highlight w:val="none"/>
        </w:rPr>
        <w:t>年  月  日</w:t>
      </w:r>
      <w:bookmarkEnd w:id="70"/>
      <w:bookmarkEnd w:id="71"/>
    </w:p>
    <w:p w14:paraId="46D9993F">
      <w:pPr>
        <w:rPr>
          <w:color w:val="auto"/>
          <w:highlight w:val="none"/>
        </w:rPr>
      </w:pPr>
    </w:p>
    <w:bookmarkEnd w:id="46"/>
    <w:bookmarkEnd w:id="47"/>
    <w:p w14:paraId="6313EECB">
      <w:pPr>
        <w:spacing w:before="20" w:after="20"/>
        <w:outlineLvl w:val="9"/>
        <w:rPr>
          <w:rFonts w:hint="eastAsia" w:eastAsia="黑体"/>
          <w:color w:val="auto"/>
          <w:highlight w:val="none"/>
          <w:lang w:eastAsia="zh-CN"/>
        </w:rPr>
      </w:pPr>
      <w:bookmarkStart w:id="72" w:name="_Toc22004"/>
      <w:bookmarkStart w:id="73" w:name="_Toc24984"/>
    </w:p>
    <w:p w14:paraId="7581C4AD">
      <w:pPr>
        <w:outlineLvl w:val="9"/>
        <w:rPr>
          <w:rFonts w:hint="eastAsia"/>
          <w:color w:val="auto"/>
          <w:highlight w:val="none"/>
          <w:lang w:eastAsia="zh-CN"/>
        </w:rPr>
      </w:pPr>
    </w:p>
    <w:p w14:paraId="15B6736D">
      <w:pPr>
        <w:rPr>
          <w:rFonts w:hint="eastAsia"/>
          <w:color w:val="auto"/>
          <w:highlight w:val="none"/>
        </w:rPr>
      </w:pPr>
      <w:r>
        <w:rPr>
          <w:rFonts w:hint="eastAsia"/>
          <w:color w:val="auto"/>
          <w:highlight w:val="none"/>
        </w:rPr>
        <w:br w:type="page"/>
      </w:r>
    </w:p>
    <w:p w14:paraId="326302F8">
      <w:pPr>
        <w:pStyle w:val="6"/>
        <w:spacing w:before="20" w:after="20"/>
        <w:rPr>
          <w:rFonts w:hint="eastAsia" w:eastAsia="黑体"/>
          <w:color w:val="auto"/>
          <w:highlight w:val="none"/>
          <w:lang w:eastAsia="zh-CN"/>
        </w:rPr>
      </w:pPr>
      <w:r>
        <w:rPr>
          <w:rFonts w:hint="eastAsia"/>
          <w:color w:val="auto"/>
          <w:highlight w:val="none"/>
        </w:rPr>
        <w:t xml:space="preserve">附件4               </w:t>
      </w:r>
      <w:bookmarkEnd w:id="72"/>
      <w:bookmarkEnd w:id="73"/>
      <w:r>
        <w:rPr>
          <w:rFonts w:hint="eastAsia"/>
          <w:color w:val="auto"/>
          <w:highlight w:val="none"/>
        </w:rPr>
        <w:t>报价明细表</w:t>
      </w:r>
      <w:r>
        <w:rPr>
          <w:rFonts w:hint="eastAsia"/>
          <w:color w:val="auto"/>
          <w:highlight w:val="none"/>
          <w:lang w:eastAsia="zh-CN"/>
        </w:rPr>
        <w:t>（</w:t>
      </w:r>
      <w:r>
        <w:rPr>
          <w:rFonts w:hint="eastAsia"/>
          <w:color w:val="auto"/>
          <w:highlight w:val="none"/>
          <w:lang w:val="en-US" w:eastAsia="zh-CN"/>
        </w:rPr>
        <w:t>格式</w:t>
      </w:r>
      <w:r>
        <w:rPr>
          <w:rFonts w:hint="eastAsia"/>
          <w:color w:val="auto"/>
          <w:highlight w:val="none"/>
          <w:lang w:eastAsia="zh-CN"/>
        </w:rPr>
        <w:t>）</w:t>
      </w:r>
    </w:p>
    <w:p w14:paraId="7A3EAB01">
      <w:pPr>
        <w:keepNext w:val="0"/>
        <w:keepLines w:val="0"/>
        <w:pageBreakBefore w:val="0"/>
        <w:widowControl/>
        <w:kinsoku/>
        <w:wordWrap w:val="0"/>
        <w:overflowPunct/>
        <w:topLinePunct w:val="0"/>
        <w:autoSpaceDE/>
        <w:autoSpaceDN/>
        <w:bidi w:val="0"/>
        <w:adjustRightInd/>
        <w:snapToGrid w:val="0"/>
        <w:spacing w:before="50" w:after="50" w:line="400" w:lineRule="exact"/>
        <w:ind w:left="88" w:leftChars="42" w:right="-817" w:rightChars="-389" w:firstLine="4161" w:firstLineChars="1734"/>
        <w:jc w:val="center"/>
        <w:textAlignment w:val="auto"/>
        <w:rPr>
          <w:rFonts w:ascii="宋体" w:hAnsi="宋体" w:cs="宋体"/>
          <w:color w:val="auto"/>
          <w:kern w:val="0"/>
          <w:sz w:val="24"/>
          <w:highlight w:val="none"/>
        </w:rPr>
      </w:pPr>
      <w:r>
        <w:rPr>
          <w:rFonts w:hint="eastAsia" w:ascii="宋体" w:hAnsi="宋体" w:cs="宋体"/>
          <w:color w:val="auto"/>
          <w:kern w:val="0"/>
          <w:sz w:val="24"/>
          <w:highlight w:val="none"/>
        </w:rPr>
        <w:t>金额单位：人民币（元）</w:t>
      </w:r>
    </w:p>
    <w:tbl>
      <w:tblPr>
        <w:tblStyle w:val="33"/>
        <w:tblpPr w:leftFromText="180" w:rightFromText="180" w:vertAnchor="text" w:horzAnchor="page" w:tblpX="1095" w:tblpY="449"/>
        <w:tblOverlap w:val="never"/>
        <w:tblW w:w="98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3"/>
        <w:gridCol w:w="1686"/>
        <w:gridCol w:w="1394"/>
        <w:gridCol w:w="1464"/>
        <w:gridCol w:w="1377"/>
        <w:gridCol w:w="796"/>
        <w:gridCol w:w="1145"/>
        <w:gridCol w:w="1375"/>
      </w:tblGrid>
      <w:tr w14:paraId="5F9D82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trPr>
        <w:tc>
          <w:tcPr>
            <w:tcW w:w="643" w:type="dxa"/>
            <w:tcBorders>
              <w:top w:val="single" w:color="auto" w:sz="4" w:space="0"/>
              <w:left w:val="single" w:color="auto" w:sz="4" w:space="0"/>
              <w:bottom w:val="nil"/>
              <w:right w:val="single" w:color="auto" w:sz="4" w:space="0"/>
            </w:tcBorders>
            <w:vAlign w:val="center"/>
          </w:tcPr>
          <w:p w14:paraId="23FB7780">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r>
              <w:rPr>
                <w:rFonts w:hint="eastAsia" w:ascii="宋体" w:hAnsi="宋体" w:cs="宋体"/>
                <w:color w:val="auto"/>
                <w:kern w:val="0"/>
                <w:sz w:val="24"/>
                <w:highlight w:val="none"/>
              </w:rPr>
              <w:t>序号</w:t>
            </w:r>
          </w:p>
        </w:tc>
        <w:tc>
          <w:tcPr>
            <w:tcW w:w="1686" w:type="dxa"/>
            <w:tcBorders>
              <w:top w:val="single" w:color="auto" w:sz="4" w:space="0"/>
              <w:left w:val="single" w:color="auto" w:sz="4" w:space="0"/>
              <w:bottom w:val="nil"/>
              <w:right w:val="single" w:color="auto" w:sz="4" w:space="0"/>
            </w:tcBorders>
            <w:vAlign w:val="center"/>
          </w:tcPr>
          <w:p w14:paraId="43D3CA35">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auto"/>
                <w:spacing w:val="20"/>
                <w:kern w:val="0"/>
                <w:sz w:val="24"/>
                <w:szCs w:val="24"/>
                <w:highlight w:val="none"/>
                <w:lang w:val="en-US" w:eastAsia="zh-CN" w:bidi="ar-SA"/>
              </w:rPr>
              <w:t>名称</w:t>
            </w:r>
          </w:p>
        </w:tc>
        <w:tc>
          <w:tcPr>
            <w:tcW w:w="1394" w:type="dxa"/>
            <w:tcBorders>
              <w:top w:val="single" w:color="auto" w:sz="4" w:space="0"/>
              <w:left w:val="single" w:color="auto" w:sz="4" w:space="0"/>
              <w:bottom w:val="nil"/>
              <w:right w:val="single" w:color="auto" w:sz="4" w:space="0"/>
            </w:tcBorders>
            <w:vAlign w:val="center"/>
          </w:tcPr>
          <w:p w14:paraId="606D53E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品牌</w:t>
            </w:r>
          </w:p>
        </w:tc>
        <w:tc>
          <w:tcPr>
            <w:tcW w:w="1464" w:type="dxa"/>
            <w:tcBorders>
              <w:top w:val="single" w:color="auto" w:sz="4" w:space="0"/>
              <w:left w:val="single" w:color="auto" w:sz="4" w:space="0"/>
              <w:bottom w:val="nil"/>
              <w:right w:val="single" w:color="auto" w:sz="4" w:space="0"/>
            </w:tcBorders>
            <w:vAlign w:val="center"/>
          </w:tcPr>
          <w:p w14:paraId="7440CF6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规格型号</w:t>
            </w:r>
          </w:p>
        </w:tc>
        <w:tc>
          <w:tcPr>
            <w:tcW w:w="1377" w:type="dxa"/>
            <w:tcBorders>
              <w:top w:val="single" w:color="auto" w:sz="4" w:space="0"/>
              <w:left w:val="single" w:color="auto" w:sz="4" w:space="0"/>
              <w:bottom w:val="nil"/>
              <w:right w:val="single" w:color="auto" w:sz="4" w:space="0"/>
            </w:tcBorders>
            <w:vAlign w:val="center"/>
          </w:tcPr>
          <w:p w14:paraId="0497040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产地</w:t>
            </w:r>
          </w:p>
        </w:tc>
        <w:tc>
          <w:tcPr>
            <w:tcW w:w="796" w:type="dxa"/>
            <w:tcBorders>
              <w:top w:val="single" w:color="auto" w:sz="4" w:space="0"/>
              <w:left w:val="single" w:color="auto" w:sz="4" w:space="0"/>
              <w:bottom w:val="nil"/>
              <w:right w:val="single" w:color="auto" w:sz="4" w:space="0"/>
            </w:tcBorders>
            <w:vAlign w:val="center"/>
          </w:tcPr>
          <w:p w14:paraId="1879338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单位</w:t>
            </w:r>
          </w:p>
        </w:tc>
        <w:tc>
          <w:tcPr>
            <w:tcW w:w="1145" w:type="dxa"/>
            <w:tcBorders>
              <w:top w:val="single" w:color="auto" w:sz="4" w:space="0"/>
              <w:left w:val="single" w:color="auto" w:sz="4" w:space="0"/>
              <w:bottom w:val="nil"/>
              <w:right w:val="single" w:color="auto" w:sz="4" w:space="0"/>
            </w:tcBorders>
            <w:vAlign w:val="center"/>
          </w:tcPr>
          <w:p w14:paraId="458121C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val="en-US" w:eastAsia="zh-CN" w:bidi="ar-SA"/>
              </w:rPr>
            </w:pPr>
            <w:r>
              <w:rPr>
                <w:rFonts w:hint="eastAsia" w:ascii="宋体" w:hAnsi="宋体" w:cs="宋体"/>
                <w:color w:val="auto"/>
                <w:kern w:val="0"/>
                <w:sz w:val="24"/>
                <w:highlight w:val="none"/>
                <w:lang w:val="en-US" w:eastAsia="zh-CN"/>
              </w:rPr>
              <w:t>控制价</w:t>
            </w:r>
            <w:r>
              <w:rPr>
                <w:rFonts w:hint="eastAsia" w:ascii="宋体" w:hAnsi="宋体" w:cs="宋体"/>
                <w:color w:val="auto"/>
                <w:spacing w:val="20"/>
                <w:kern w:val="0"/>
                <w:sz w:val="24"/>
                <w:highlight w:val="none"/>
                <w:lang w:val="en-US" w:eastAsia="zh-CN"/>
              </w:rPr>
              <w:t>（元）</w:t>
            </w:r>
          </w:p>
        </w:tc>
        <w:tc>
          <w:tcPr>
            <w:tcW w:w="1375" w:type="dxa"/>
            <w:tcBorders>
              <w:top w:val="single" w:color="auto" w:sz="4" w:space="0"/>
              <w:left w:val="single" w:color="auto" w:sz="4" w:space="0"/>
              <w:bottom w:val="single" w:color="auto" w:sz="4" w:space="0"/>
              <w:right w:val="single" w:color="auto" w:sz="4" w:space="0"/>
            </w:tcBorders>
            <w:vAlign w:val="center"/>
          </w:tcPr>
          <w:p w14:paraId="0379F607">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highlight w:val="none"/>
                <w:lang w:val="en-US" w:eastAsia="zh-CN"/>
              </w:rPr>
              <w:t>报价（元）</w:t>
            </w:r>
          </w:p>
        </w:tc>
      </w:tr>
      <w:tr w14:paraId="7A6C0F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4B9C84C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1</w:t>
            </w:r>
          </w:p>
        </w:tc>
        <w:tc>
          <w:tcPr>
            <w:tcW w:w="1686" w:type="dxa"/>
            <w:tcBorders>
              <w:top w:val="single" w:color="auto" w:sz="4" w:space="0"/>
              <w:left w:val="single" w:color="auto" w:sz="4" w:space="0"/>
              <w:bottom w:val="single" w:color="auto" w:sz="4" w:space="0"/>
              <w:right w:val="single" w:color="auto" w:sz="4" w:space="0"/>
            </w:tcBorders>
            <w:vAlign w:val="center"/>
          </w:tcPr>
          <w:p w14:paraId="0236829E">
            <w:pPr>
              <w:keepNext w:val="0"/>
              <w:keepLines w:val="0"/>
              <w:widowControl/>
              <w:suppressLineNumbers w:val="0"/>
              <w:jc w:val="center"/>
              <w:textAlignment w:val="center"/>
              <w:rPr>
                <w:rFonts w:hint="eastAsia" w:ascii="宋体" w:hAnsi="宋体" w:eastAsia="宋体" w:cs="宋体"/>
                <w:kern w:val="2"/>
                <w:sz w:val="21"/>
                <w:szCs w:val="21"/>
                <w:vertAlign w:val="baseline"/>
                <w:lang w:val="en-US" w:eastAsia="zh-CN" w:bidi="ar-SA"/>
              </w:rPr>
            </w:pPr>
          </w:p>
        </w:tc>
        <w:tc>
          <w:tcPr>
            <w:tcW w:w="1394" w:type="dxa"/>
            <w:tcBorders>
              <w:top w:val="single" w:color="auto" w:sz="4" w:space="0"/>
              <w:left w:val="single" w:color="auto" w:sz="4" w:space="0"/>
              <w:bottom w:val="single" w:color="auto" w:sz="4" w:space="0"/>
              <w:right w:val="single" w:color="auto" w:sz="4" w:space="0"/>
            </w:tcBorders>
            <w:vAlign w:val="center"/>
          </w:tcPr>
          <w:p w14:paraId="330702BD">
            <w:pPr>
              <w:jc w:val="center"/>
              <w:rPr>
                <w:rFonts w:hint="eastAsia" w:ascii="宋体" w:hAnsi="宋体" w:eastAsia="宋体" w:cs="宋体"/>
                <w:kern w:val="2"/>
                <w:sz w:val="21"/>
                <w:szCs w:val="21"/>
                <w:vertAlign w:val="baseline"/>
                <w:lang w:val="en-US" w:eastAsia="zh-CN" w:bidi="ar-SA"/>
              </w:rPr>
            </w:pPr>
          </w:p>
        </w:tc>
        <w:tc>
          <w:tcPr>
            <w:tcW w:w="1464" w:type="dxa"/>
            <w:tcBorders>
              <w:top w:val="single" w:color="auto" w:sz="4" w:space="0"/>
              <w:left w:val="single" w:color="auto" w:sz="4" w:space="0"/>
              <w:bottom w:val="single" w:color="auto" w:sz="4" w:space="0"/>
              <w:right w:val="single" w:color="auto" w:sz="4" w:space="0"/>
            </w:tcBorders>
            <w:vAlign w:val="center"/>
          </w:tcPr>
          <w:p w14:paraId="244C4022">
            <w:pPr>
              <w:jc w:val="center"/>
              <w:rPr>
                <w:rFonts w:hint="eastAsia" w:ascii="宋体" w:hAnsi="宋体" w:eastAsia="宋体" w:cs="宋体"/>
                <w:kern w:val="2"/>
                <w:sz w:val="21"/>
                <w:szCs w:val="21"/>
                <w:vertAlign w:val="baseline"/>
                <w:lang w:val="en-US" w:eastAsia="zh-CN" w:bidi="ar-SA"/>
              </w:rPr>
            </w:pPr>
          </w:p>
        </w:tc>
        <w:tc>
          <w:tcPr>
            <w:tcW w:w="1377" w:type="dxa"/>
            <w:tcBorders>
              <w:top w:val="single" w:color="auto" w:sz="4" w:space="0"/>
              <w:left w:val="single" w:color="auto" w:sz="4" w:space="0"/>
              <w:bottom w:val="single" w:color="auto" w:sz="4" w:space="0"/>
              <w:right w:val="single" w:color="auto" w:sz="4" w:space="0"/>
            </w:tcBorders>
          </w:tcPr>
          <w:p w14:paraId="6D16909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796" w:type="dxa"/>
            <w:tcBorders>
              <w:top w:val="single" w:color="auto" w:sz="4" w:space="0"/>
              <w:left w:val="single" w:color="auto" w:sz="4" w:space="0"/>
              <w:bottom w:val="single" w:color="auto" w:sz="4" w:space="0"/>
              <w:right w:val="single" w:color="auto" w:sz="4" w:space="0"/>
            </w:tcBorders>
            <w:vAlign w:val="center"/>
          </w:tcPr>
          <w:p w14:paraId="035A5467">
            <w:pPr>
              <w:jc w:val="center"/>
              <w:rPr>
                <w:rFonts w:hint="eastAsia" w:ascii="宋体" w:hAnsi="宋体" w:eastAsia="宋体" w:cs="宋体"/>
                <w:sz w:val="21"/>
                <w:szCs w:val="21"/>
                <w:vertAlign w:val="baseline"/>
                <w:lang w:val="en-US" w:eastAsia="zh-CN"/>
              </w:rPr>
            </w:pPr>
          </w:p>
        </w:tc>
        <w:tc>
          <w:tcPr>
            <w:tcW w:w="1145" w:type="dxa"/>
            <w:tcBorders>
              <w:top w:val="single" w:color="auto" w:sz="4" w:space="0"/>
              <w:left w:val="single" w:color="auto" w:sz="4" w:space="0"/>
              <w:bottom w:val="single" w:color="auto" w:sz="4" w:space="0"/>
              <w:right w:val="single" w:color="auto" w:sz="4" w:space="0"/>
            </w:tcBorders>
            <w:vAlign w:val="center"/>
          </w:tcPr>
          <w:p w14:paraId="25AD192E">
            <w:pPr>
              <w:keepNext w:val="0"/>
              <w:keepLines w:val="0"/>
              <w:widowControl/>
              <w:suppressLineNumbers w:val="0"/>
              <w:jc w:val="center"/>
              <w:textAlignment w:val="center"/>
              <w:rPr>
                <w:rFonts w:hint="eastAsia" w:ascii="宋体" w:hAnsi="宋体" w:eastAsia="宋体" w:cs="宋体"/>
                <w:sz w:val="21"/>
                <w:szCs w:val="21"/>
                <w:vertAlign w:val="baseline"/>
                <w:lang w:val="en-US" w:eastAsia="zh-CN"/>
              </w:rPr>
            </w:pPr>
          </w:p>
        </w:tc>
        <w:tc>
          <w:tcPr>
            <w:tcW w:w="1375" w:type="dxa"/>
            <w:tcBorders>
              <w:top w:val="single" w:color="auto" w:sz="4" w:space="0"/>
              <w:left w:val="single" w:color="auto" w:sz="4" w:space="0"/>
              <w:bottom w:val="single" w:color="auto" w:sz="4" w:space="0"/>
              <w:right w:val="single" w:color="auto" w:sz="4" w:space="0"/>
            </w:tcBorders>
          </w:tcPr>
          <w:p w14:paraId="4D21490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01B72B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FF658D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2</w:t>
            </w:r>
          </w:p>
        </w:tc>
        <w:tc>
          <w:tcPr>
            <w:tcW w:w="1686" w:type="dxa"/>
            <w:tcBorders>
              <w:top w:val="single" w:color="auto" w:sz="4" w:space="0"/>
              <w:left w:val="single" w:color="auto" w:sz="4" w:space="0"/>
              <w:bottom w:val="single" w:color="auto" w:sz="4" w:space="0"/>
              <w:right w:val="single" w:color="auto" w:sz="4" w:space="0"/>
            </w:tcBorders>
            <w:vAlign w:val="center"/>
          </w:tcPr>
          <w:p w14:paraId="6B976106">
            <w:pPr>
              <w:keepNext w:val="0"/>
              <w:keepLines w:val="0"/>
              <w:widowControl/>
              <w:suppressLineNumbers w:val="0"/>
              <w:jc w:val="center"/>
              <w:textAlignment w:val="center"/>
              <w:rPr>
                <w:rFonts w:hint="eastAsia" w:ascii="宋体" w:hAnsi="宋体" w:eastAsia="宋体" w:cs="宋体"/>
                <w:kern w:val="2"/>
                <w:sz w:val="21"/>
                <w:szCs w:val="21"/>
                <w:vertAlign w:val="baseline"/>
                <w:lang w:val="en-US" w:eastAsia="zh-CN" w:bidi="ar-SA"/>
              </w:rPr>
            </w:pPr>
          </w:p>
        </w:tc>
        <w:tc>
          <w:tcPr>
            <w:tcW w:w="1394" w:type="dxa"/>
            <w:tcBorders>
              <w:top w:val="single" w:color="auto" w:sz="4" w:space="0"/>
              <w:left w:val="single" w:color="auto" w:sz="4" w:space="0"/>
              <w:bottom w:val="single" w:color="auto" w:sz="4" w:space="0"/>
              <w:right w:val="single" w:color="auto" w:sz="4" w:space="0"/>
            </w:tcBorders>
            <w:vAlign w:val="center"/>
          </w:tcPr>
          <w:p w14:paraId="460FEF7E">
            <w:pPr>
              <w:jc w:val="center"/>
              <w:rPr>
                <w:rFonts w:hint="eastAsia" w:ascii="宋体" w:hAnsi="宋体" w:eastAsia="宋体" w:cs="宋体"/>
                <w:kern w:val="2"/>
                <w:sz w:val="21"/>
                <w:szCs w:val="21"/>
                <w:vertAlign w:val="baseline"/>
                <w:lang w:val="en-US" w:eastAsia="zh-CN" w:bidi="ar-SA"/>
              </w:rPr>
            </w:pPr>
          </w:p>
        </w:tc>
        <w:tc>
          <w:tcPr>
            <w:tcW w:w="1464" w:type="dxa"/>
            <w:tcBorders>
              <w:top w:val="single" w:color="auto" w:sz="4" w:space="0"/>
              <w:left w:val="single" w:color="auto" w:sz="4" w:space="0"/>
              <w:bottom w:val="single" w:color="auto" w:sz="4" w:space="0"/>
              <w:right w:val="single" w:color="auto" w:sz="4" w:space="0"/>
            </w:tcBorders>
            <w:vAlign w:val="center"/>
          </w:tcPr>
          <w:p w14:paraId="1F96362D">
            <w:pPr>
              <w:jc w:val="center"/>
              <w:rPr>
                <w:rFonts w:hint="eastAsia" w:ascii="宋体" w:hAnsi="宋体" w:eastAsia="宋体" w:cs="宋体"/>
                <w:kern w:val="2"/>
                <w:sz w:val="21"/>
                <w:szCs w:val="21"/>
                <w:vertAlign w:val="baseline"/>
                <w:lang w:val="en-US" w:eastAsia="zh-CN" w:bidi="ar-SA"/>
              </w:rPr>
            </w:pPr>
          </w:p>
        </w:tc>
        <w:tc>
          <w:tcPr>
            <w:tcW w:w="1377" w:type="dxa"/>
            <w:tcBorders>
              <w:top w:val="single" w:color="auto" w:sz="4" w:space="0"/>
              <w:left w:val="single" w:color="auto" w:sz="4" w:space="0"/>
              <w:bottom w:val="single" w:color="auto" w:sz="4" w:space="0"/>
              <w:right w:val="single" w:color="auto" w:sz="4" w:space="0"/>
            </w:tcBorders>
          </w:tcPr>
          <w:p w14:paraId="5E1FCC7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796" w:type="dxa"/>
            <w:tcBorders>
              <w:top w:val="single" w:color="auto" w:sz="4" w:space="0"/>
              <w:left w:val="single" w:color="auto" w:sz="4" w:space="0"/>
              <w:bottom w:val="single" w:color="auto" w:sz="4" w:space="0"/>
              <w:right w:val="single" w:color="auto" w:sz="4" w:space="0"/>
            </w:tcBorders>
            <w:vAlign w:val="center"/>
          </w:tcPr>
          <w:p w14:paraId="127E45D7">
            <w:pPr>
              <w:jc w:val="center"/>
              <w:rPr>
                <w:rFonts w:hint="eastAsia" w:ascii="宋体" w:hAnsi="宋体" w:eastAsia="宋体" w:cs="宋体"/>
                <w:sz w:val="21"/>
                <w:szCs w:val="21"/>
                <w:vertAlign w:val="baseline"/>
                <w:lang w:val="en-US" w:eastAsia="zh-CN"/>
              </w:rPr>
            </w:pPr>
          </w:p>
        </w:tc>
        <w:tc>
          <w:tcPr>
            <w:tcW w:w="1145" w:type="dxa"/>
            <w:tcBorders>
              <w:top w:val="single" w:color="auto" w:sz="4" w:space="0"/>
              <w:left w:val="single" w:color="auto" w:sz="4" w:space="0"/>
              <w:bottom w:val="single" w:color="auto" w:sz="4" w:space="0"/>
              <w:right w:val="single" w:color="auto" w:sz="4" w:space="0"/>
            </w:tcBorders>
            <w:vAlign w:val="center"/>
          </w:tcPr>
          <w:p w14:paraId="6BC5ED4C">
            <w:pPr>
              <w:keepNext w:val="0"/>
              <w:keepLines w:val="0"/>
              <w:widowControl/>
              <w:suppressLineNumbers w:val="0"/>
              <w:jc w:val="center"/>
              <w:textAlignment w:val="center"/>
              <w:rPr>
                <w:rFonts w:hint="eastAsia" w:ascii="宋体" w:hAnsi="宋体" w:eastAsia="宋体" w:cs="宋体"/>
                <w:sz w:val="21"/>
                <w:szCs w:val="21"/>
                <w:vertAlign w:val="baseline"/>
                <w:lang w:val="en-US" w:eastAsia="zh-CN"/>
              </w:rPr>
            </w:pPr>
          </w:p>
        </w:tc>
        <w:tc>
          <w:tcPr>
            <w:tcW w:w="1375" w:type="dxa"/>
            <w:tcBorders>
              <w:top w:val="single" w:color="auto" w:sz="4" w:space="0"/>
              <w:left w:val="single" w:color="auto" w:sz="4" w:space="0"/>
              <w:bottom w:val="single" w:color="auto" w:sz="4" w:space="0"/>
              <w:right w:val="single" w:color="auto" w:sz="4" w:space="0"/>
            </w:tcBorders>
          </w:tcPr>
          <w:p w14:paraId="6D62C4A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7540C1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40DAB2A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3</w:t>
            </w:r>
          </w:p>
        </w:tc>
        <w:tc>
          <w:tcPr>
            <w:tcW w:w="1686" w:type="dxa"/>
            <w:tcBorders>
              <w:top w:val="single" w:color="auto" w:sz="4" w:space="0"/>
              <w:left w:val="single" w:color="auto" w:sz="4" w:space="0"/>
              <w:bottom w:val="single" w:color="auto" w:sz="4" w:space="0"/>
              <w:right w:val="single" w:color="auto" w:sz="4" w:space="0"/>
            </w:tcBorders>
            <w:vAlign w:val="center"/>
          </w:tcPr>
          <w:p w14:paraId="78A23A03">
            <w:pPr>
              <w:keepNext w:val="0"/>
              <w:keepLines w:val="0"/>
              <w:widowControl/>
              <w:suppressLineNumbers w:val="0"/>
              <w:jc w:val="center"/>
              <w:textAlignment w:val="center"/>
              <w:rPr>
                <w:rFonts w:hint="eastAsia" w:ascii="宋体" w:hAnsi="宋体" w:eastAsia="宋体" w:cs="宋体"/>
                <w:kern w:val="2"/>
                <w:sz w:val="21"/>
                <w:szCs w:val="21"/>
                <w:vertAlign w:val="baseline"/>
                <w:lang w:val="en-US" w:eastAsia="zh-CN" w:bidi="ar-SA"/>
              </w:rPr>
            </w:pPr>
          </w:p>
        </w:tc>
        <w:tc>
          <w:tcPr>
            <w:tcW w:w="1394" w:type="dxa"/>
            <w:tcBorders>
              <w:top w:val="single" w:color="auto" w:sz="4" w:space="0"/>
              <w:left w:val="single" w:color="auto" w:sz="4" w:space="0"/>
              <w:bottom w:val="single" w:color="auto" w:sz="4" w:space="0"/>
              <w:right w:val="single" w:color="auto" w:sz="4" w:space="0"/>
            </w:tcBorders>
            <w:vAlign w:val="center"/>
          </w:tcPr>
          <w:p w14:paraId="43630BA2">
            <w:pPr>
              <w:jc w:val="center"/>
              <w:rPr>
                <w:rFonts w:hint="eastAsia" w:ascii="宋体" w:hAnsi="宋体" w:eastAsia="宋体" w:cs="宋体"/>
                <w:kern w:val="2"/>
                <w:sz w:val="21"/>
                <w:szCs w:val="21"/>
                <w:vertAlign w:val="baseline"/>
                <w:lang w:val="en-US" w:eastAsia="zh-CN" w:bidi="ar-SA"/>
              </w:rPr>
            </w:pPr>
          </w:p>
        </w:tc>
        <w:tc>
          <w:tcPr>
            <w:tcW w:w="1464" w:type="dxa"/>
            <w:tcBorders>
              <w:top w:val="single" w:color="auto" w:sz="4" w:space="0"/>
              <w:left w:val="single" w:color="auto" w:sz="4" w:space="0"/>
              <w:bottom w:val="single" w:color="auto" w:sz="4" w:space="0"/>
              <w:right w:val="single" w:color="auto" w:sz="4" w:space="0"/>
            </w:tcBorders>
            <w:vAlign w:val="center"/>
          </w:tcPr>
          <w:p w14:paraId="0CE23161">
            <w:pPr>
              <w:jc w:val="center"/>
              <w:rPr>
                <w:rFonts w:hint="eastAsia" w:ascii="宋体" w:hAnsi="宋体" w:eastAsia="宋体" w:cs="宋体"/>
                <w:kern w:val="2"/>
                <w:sz w:val="21"/>
                <w:szCs w:val="21"/>
                <w:vertAlign w:val="baseline"/>
                <w:lang w:val="en-US" w:eastAsia="zh-CN" w:bidi="ar-SA"/>
              </w:rPr>
            </w:pPr>
          </w:p>
        </w:tc>
        <w:tc>
          <w:tcPr>
            <w:tcW w:w="1377" w:type="dxa"/>
            <w:tcBorders>
              <w:top w:val="single" w:color="auto" w:sz="4" w:space="0"/>
              <w:left w:val="single" w:color="auto" w:sz="4" w:space="0"/>
              <w:bottom w:val="single" w:color="auto" w:sz="4" w:space="0"/>
              <w:right w:val="single" w:color="auto" w:sz="4" w:space="0"/>
            </w:tcBorders>
          </w:tcPr>
          <w:p w14:paraId="35BE9707">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796" w:type="dxa"/>
            <w:tcBorders>
              <w:top w:val="single" w:color="auto" w:sz="4" w:space="0"/>
              <w:left w:val="single" w:color="auto" w:sz="4" w:space="0"/>
              <w:bottom w:val="single" w:color="auto" w:sz="4" w:space="0"/>
              <w:right w:val="single" w:color="auto" w:sz="4" w:space="0"/>
            </w:tcBorders>
            <w:vAlign w:val="center"/>
          </w:tcPr>
          <w:p w14:paraId="7338814F">
            <w:pPr>
              <w:jc w:val="center"/>
              <w:rPr>
                <w:rFonts w:hint="eastAsia" w:ascii="宋体" w:hAnsi="宋体" w:eastAsia="宋体" w:cs="宋体"/>
                <w:sz w:val="21"/>
                <w:szCs w:val="21"/>
                <w:vertAlign w:val="baseline"/>
                <w:lang w:val="en-US" w:eastAsia="zh-CN"/>
              </w:rPr>
            </w:pPr>
          </w:p>
        </w:tc>
        <w:tc>
          <w:tcPr>
            <w:tcW w:w="1145" w:type="dxa"/>
            <w:tcBorders>
              <w:top w:val="single" w:color="auto" w:sz="4" w:space="0"/>
              <w:left w:val="single" w:color="auto" w:sz="4" w:space="0"/>
              <w:bottom w:val="single" w:color="auto" w:sz="4" w:space="0"/>
              <w:right w:val="single" w:color="auto" w:sz="4" w:space="0"/>
            </w:tcBorders>
            <w:vAlign w:val="center"/>
          </w:tcPr>
          <w:p w14:paraId="5EC1C144">
            <w:pPr>
              <w:keepNext w:val="0"/>
              <w:keepLines w:val="0"/>
              <w:widowControl/>
              <w:suppressLineNumbers w:val="0"/>
              <w:jc w:val="center"/>
              <w:textAlignment w:val="center"/>
              <w:rPr>
                <w:rFonts w:hint="eastAsia" w:ascii="宋体" w:hAnsi="宋体" w:eastAsia="宋体" w:cs="宋体"/>
                <w:sz w:val="21"/>
                <w:szCs w:val="21"/>
                <w:vertAlign w:val="baseline"/>
                <w:lang w:val="en-US" w:eastAsia="zh-CN"/>
              </w:rPr>
            </w:pPr>
          </w:p>
        </w:tc>
        <w:tc>
          <w:tcPr>
            <w:tcW w:w="1375" w:type="dxa"/>
            <w:tcBorders>
              <w:top w:val="single" w:color="auto" w:sz="4" w:space="0"/>
              <w:left w:val="single" w:color="auto" w:sz="4" w:space="0"/>
              <w:bottom w:val="single" w:color="auto" w:sz="4" w:space="0"/>
              <w:right w:val="single" w:color="auto" w:sz="4" w:space="0"/>
            </w:tcBorders>
          </w:tcPr>
          <w:p w14:paraId="0142FD1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452AE2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4C021D1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both"/>
              <w:textAlignment w:val="auto"/>
              <w:rPr>
                <w:rFonts w:hint="default" w:ascii="宋体" w:hAnsi="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w:t>
            </w:r>
          </w:p>
        </w:tc>
        <w:tc>
          <w:tcPr>
            <w:tcW w:w="1686" w:type="dxa"/>
            <w:tcBorders>
              <w:top w:val="single" w:color="auto" w:sz="4" w:space="0"/>
              <w:left w:val="single" w:color="auto" w:sz="4" w:space="0"/>
              <w:bottom w:val="single" w:color="auto" w:sz="4" w:space="0"/>
              <w:right w:val="single" w:color="auto" w:sz="4" w:space="0"/>
            </w:tcBorders>
            <w:vAlign w:val="center"/>
          </w:tcPr>
          <w:p w14:paraId="1D21C006">
            <w:pPr>
              <w:keepNext w:val="0"/>
              <w:keepLines w:val="0"/>
              <w:widowControl/>
              <w:suppressLineNumbers w:val="0"/>
              <w:jc w:val="center"/>
              <w:textAlignment w:val="center"/>
              <w:rPr>
                <w:rFonts w:hint="eastAsia" w:ascii="宋体" w:hAnsi="宋体" w:eastAsia="宋体" w:cs="宋体"/>
                <w:sz w:val="21"/>
                <w:szCs w:val="21"/>
                <w:vertAlign w:val="baseline"/>
                <w:lang w:val="en-US" w:eastAsia="zh-CN"/>
              </w:rPr>
            </w:pPr>
          </w:p>
        </w:tc>
        <w:tc>
          <w:tcPr>
            <w:tcW w:w="1394" w:type="dxa"/>
            <w:tcBorders>
              <w:top w:val="single" w:color="auto" w:sz="4" w:space="0"/>
              <w:left w:val="single" w:color="auto" w:sz="4" w:space="0"/>
              <w:bottom w:val="single" w:color="auto" w:sz="4" w:space="0"/>
              <w:right w:val="single" w:color="auto" w:sz="4" w:space="0"/>
            </w:tcBorders>
            <w:vAlign w:val="center"/>
          </w:tcPr>
          <w:p w14:paraId="15C3F332">
            <w:pPr>
              <w:jc w:val="center"/>
              <w:rPr>
                <w:rFonts w:hint="eastAsia" w:ascii="宋体" w:hAnsi="宋体" w:eastAsia="宋体" w:cs="宋体"/>
                <w:kern w:val="2"/>
                <w:sz w:val="21"/>
                <w:szCs w:val="21"/>
                <w:vertAlign w:val="baseline"/>
                <w:lang w:val="en-US" w:eastAsia="zh-CN" w:bidi="ar-SA"/>
              </w:rPr>
            </w:pPr>
          </w:p>
        </w:tc>
        <w:tc>
          <w:tcPr>
            <w:tcW w:w="1464" w:type="dxa"/>
            <w:tcBorders>
              <w:top w:val="single" w:color="auto" w:sz="4" w:space="0"/>
              <w:left w:val="single" w:color="auto" w:sz="4" w:space="0"/>
              <w:bottom w:val="single" w:color="auto" w:sz="4" w:space="0"/>
              <w:right w:val="single" w:color="auto" w:sz="4" w:space="0"/>
            </w:tcBorders>
            <w:vAlign w:val="center"/>
          </w:tcPr>
          <w:p w14:paraId="6AEF3E7F">
            <w:pPr>
              <w:jc w:val="center"/>
              <w:rPr>
                <w:rFonts w:hint="eastAsia" w:ascii="宋体" w:hAnsi="宋体" w:eastAsia="宋体" w:cs="宋体"/>
                <w:kern w:val="2"/>
                <w:sz w:val="21"/>
                <w:szCs w:val="21"/>
                <w:vertAlign w:val="baseline"/>
                <w:lang w:val="en-US" w:eastAsia="zh-CN" w:bidi="ar-SA"/>
              </w:rPr>
            </w:pPr>
          </w:p>
        </w:tc>
        <w:tc>
          <w:tcPr>
            <w:tcW w:w="1377" w:type="dxa"/>
            <w:tcBorders>
              <w:top w:val="single" w:color="auto" w:sz="4" w:space="0"/>
              <w:left w:val="single" w:color="auto" w:sz="4" w:space="0"/>
              <w:bottom w:val="single" w:color="auto" w:sz="4" w:space="0"/>
              <w:right w:val="single" w:color="auto" w:sz="4" w:space="0"/>
            </w:tcBorders>
          </w:tcPr>
          <w:p w14:paraId="1C628B7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796" w:type="dxa"/>
            <w:tcBorders>
              <w:top w:val="single" w:color="auto" w:sz="4" w:space="0"/>
              <w:left w:val="single" w:color="auto" w:sz="4" w:space="0"/>
              <w:bottom w:val="single" w:color="auto" w:sz="4" w:space="0"/>
              <w:right w:val="single" w:color="auto" w:sz="4" w:space="0"/>
            </w:tcBorders>
            <w:vAlign w:val="center"/>
          </w:tcPr>
          <w:p w14:paraId="79CD448D">
            <w:pPr>
              <w:jc w:val="center"/>
              <w:rPr>
                <w:rFonts w:hint="eastAsia" w:ascii="宋体" w:hAnsi="宋体" w:eastAsia="宋体" w:cs="宋体"/>
                <w:sz w:val="21"/>
                <w:szCs w:val="21"/>
                <w:vertAlign w:val="baseline"/>
                <w:lang w:val="en-US" w:eastAsia="zh-CN"/>
              </w:rPr>
            </w:pPr>
          </w:p>
        </w:tc>
        <w:tc>
          <w:tcPr>
            <w:tcW w:w="1145" w:type="dxa"/>
            <w:tcBorders>
              <w:top w:val="single" w:color="auto" w:sz="4" w:space="0"/>
              <w:left w:val="single" w:color="auto" w:sz="4" w:space="0"/>
              <w:bottom w:val="single" w:color="auto" w:sz="4" w:space="0"/>
              <w:right w:val="single" w:color="auto" w:sz="4" w:space="0"/>
            </w:tcBorders>
            <w:vAlign w:val="center"/>
          </w:tcPr>
          <w:p w14:paraId="41675ED2">
            <w:pPr>
              <w:keepNext w:val="0"/>
              <w:keepLines w:val="0"/>
              <w:widowControl/>
              <w:suppressLineNumbers w:val="0"/>
              <w:jc w:val="center"/>
              <w:textAlignment w:val="center"/>
              <w:rPr>
                <w:rFonts w:hint="eastAsia" w:ascii="宋体" w:hAnsi="宋体" w:eastAsia="宋体" w:cs="宋体"/>
                <w:sz w:val="21"/>
                <w:szCs w:val="21"/>
                <w:vertAlign w:val="baseline"/>
                <w:lang w:val="en-US" w:eastAsia="zh-CN"/>
              </w:rPr>
            </w:pPr>
          </w:p>
        </w:tc>
        <w:tc>
          <w:tcPr>
            <w:tcW w:w="1375" w:type="dxa"/>
            <w:tcBorders>
              <w:top w:val="single" w:color="auto" w:sz="4" w:space="0"/>
              <w:left w:val="single" w:color="auto" w:sz="4" w:space="0"/>
              <w:bottom w:val="single" w:color="auto" w:sz="4" w:space="0"/>
              <w:right w:val="single" w:color="auto" w:sz="4" w:space="0"/>
            </w:tcBorders>
          </w:tcPr>
          <w:p w14:paraId="737B958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63CB93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38AB6C7D">
            <w:pPr>
              <w:jc w:val="center"/>
              <w:rPr>
                <w:rFonts w:hint="eastAsia" w:ascii="宋体" w:hAnsi="宋体" w:eastAsia="宋体" w:cs="宋体"/>
                <w:sz w:val="21"/>
                <w:szCs w:val="21"/>
                <w:vertAlign w:val="baseline"/>
                <w:lang w:val="en-US" w:eastAsia="zh-CN"/>
              </w:rPr>
            </w:pPr>
          </w:p>
        </w:tc>
        <w:tc>
          <w:tcPr>
            <w:tcW w:w="1686" w:type="dxa"/>
            <w:tcBorders>
              <w:top w:val="single" w:color="auto" w:sz="4" w:space="0"/>
              <w:left w:val="single" w:color="auto" w:sz="4" w:space="0"/>
              <w:bottom w:val="single" w:color="auto" w:sz="4" w:space="0"/>
              <w:right w:val="single" w:color="auto" w:sz="4" w:space="0"/>
            </w:tcBorders>
          </w:tcPr>
          <w:p w14:paraId="3D966433">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合计</w:t>
            </w:r>
          </w:p>
        </w:tc>
        <w:tc>
          <w:tcPr>
            <w:tcW w:w="1394" w:type="dxa"/>
            <w:tcBorders>
              <w:top w:val="single" w:color="auto" w:sz="4" w:space="0"/>
              <w:left w:val="single" w:color="auto" w:sz="4" w:space="0"/>
              <w:bottom w:val="single" w:color="auto" w:sz="4" w:space="0"/>
              <w:right w:val="single" w:color="auto" w:sz="4" w:space="0"/>
            </w:tcBorders>
          </w:tcPr>
          <w:p w14:paraId="56CCDD54">
            <w:pPr>
              <w:jc w:val="center"/>
              <w:rPr>
                <w:rFonts w:hint="eastAsia" w:ascii="宋体" w:hAnsi="宋体" w:eastAsia="宋体" w:cs="宋体"/>
                <w:sz w:val="21"/>
                <w:szCs w:val="21"/>
                <w:vertAlign w:val="baseline"/>
                <w:lang w:val="en-US" w:eastAsia="zh-CN"/>
              </w:rPr>
            </w:pPr>
          </w:p>
        </w:tc>
        <w:tc>
          <w:tcPr>
            <w:tcW w:w="1464" w:type="dxa"/>
            <w:tcBorders>
              <w:top w:val="single" w:color="auto" w:sz="4" w:space="0"/>
              <w:left w:val="single" w:color="auto" w:sz="4" w:space="0"/>
              <w:bottom w:val="single" w:color="auto" w:sz="4" w:space="0"/>
              <w:right w:val="single" w:color="auto" w:sz="4" w:space="0"/>
            </w:tcBorders>
          </w:tcPr>
          <w:p w14:paraId="7F3606E3">
            <w:pPr>
              <w:jc w:val="center"/>
              <w:rPr>
                <w:rFonts w:hint="eastAsia" w:ascii="宋体" w:hAnsi="宋体" w:eastAsia="宋体" w:cs="宋体"/>
                <w:sz w:val="21"/>
                <w:szCs w:val="21"/>
                <w:vertAlign w:val="baseline"/>
                <w:lang w:val="en-US" w:eastAsia="zh-CN"/>
              </w:rPr>
            </w:pPr>
          </w:p>
        </w:tc>
        <w:tc>
          <w:tcPr>
            <w:tcW w:w="1377" w:type="dxa"/>
            <w:tcBorders>
              <w:top w:val="single" w:color="auto" w:sz="4" w:space="0"/>
              <w:left w:val="single" w:color="auto" w:sz="4" w:space="0"/>
              <w:bottom w:val="single" w:color="auto" w:sz="4" w:space="0"/>
              <w:right w:val="single" w:color="auto" w:sz="4" w:space="0"/>
            </w:tcBorders>
          </w:tcPr>
          <w:p w14:paraId="0E39BBC8">
            <w:pPr>
              <w:jc w:val="center"/>
              <w:rPr>
                <w:rFonts w:hint="eastAsia" w:ascii="宋体" w:hAnsi="宋体" w:eastAsia="宋体" w:cs="宋体"/>
                <w:sz w:val="21"/>
                <w:szCs w:val="21"/>
                <w:vertAlign w:val="baseline"/>
                <w:lang w:val="en-US" w:eastAsia="zh-CN"/>
              </w:rPr>
            </w:pPr>
          </w:p>
        </w:tc>
        <w:tc>
          <w:tcPr>
            <w:tcW w:w="796" w:type="dxa"/>
            <w:tcBorders>
              <w:top w:val="single" w:color="auto" w:sz="4" w:space="0"/>
              <w:left w:val="single" w:color="auto" w:sz="4" w:space="0"/>
              <w:bottom w:val="single" w:color="auto" w:sz="4" w:space="0"/>
              <w:right w:val="single" w:color="auto" w:sz="4" w:space="0"/>
            </w:tcBorders>
          </w:tcPr>
          <w:p w14:paraId="63D018A9">
            <w:pPr>
              <w:jc w:val="center"/>
              <w:rPr>
                <w:rFonts w:hint="eastAsia" w:ascii="宋体" w:hAnsi="宋体" w:eastAsia="宋体" w:cs="宋体"/>
                <w:sz w:val="21"/>
                <w:szCs w:val="21"/>
                <w:vertAlign w:val="baseline"/>
                <w:lang w:val="en-US" w:eastAsia="zh-CN"/>
              </w:rPr>
            </w:pPr>
          </w:p>
        </w:tc>
        <w:tc>
          <w:tcPr>
            <w:tcW w:w="1145" w:type="dxa"/>
            <w:tcBorders>
              <w:top w:val="single" w:color="auto" w:sz="4" w:space="0"/>
              <w:left w:val="single" w:color="auto" w:sz="4" w:space="0"/>
              <w:bottom w:val="single" w:color="auto" w:sz="4" w:space="0"/>
              <w:right w:val="single" w:color="auto" w:sz="4" w:space="0"/>
            </w:tcBorders>
          </w:tcPr>
          <w:p w14:paraId="0C356154">
            <w:pPr>
              <w:jc w:val="center"/>
              <w:rPr>
                <w:rFonts w:hint="eastAsia" w:ascii="宋体" w:hAnsi="宋体" w:eastAsia="宋体" w:cs="宋体"/>
                <w:sz w:val="21"/>
                <w:szCs w:val="21"/>
                <w:vertAlign w:val="baseline"/>
                <w:lang w:val="en-US" w:eastAsia="zh-CN"/>
              </w:rPr>
            </w:pPr>
          </w:p>
        </w:tc>
        <w:tc>
          <w:tcPr>
            <w:tcW w:w="1375" w:type="dxa"/>
            <w:tcBorders>
              <w:top w:val="single" w:color="auto" w:sz="4" w:space="0"/>
              <w:left w:val="single" w:color="auto" w:sz="4" w:space="0"/>
              <w:bottom w:val="single" w:color="auto" w:sz="4" w:space="0"/>
              <w:right w:val="single" w:color="auto" w:sz="4" w:space="0"/>
            </w:tcBorders>
          </w:tcPr>
          <w:p w14:paraId="451E6853">
            <w:pPr>
              <w:jc w:val="center"/>
              <w:rPr>
                <w:rFonts w:hint="eastAsia" w:ascii="宋体" w:hAnsi="宋体" w:eastAsia="宋体" w:cs="宋体"/>
                <w:sz w:val="21"/>
                <w:szCs w:val="21"/>
                <w:vertAlign w:val="baseline"/>
                <w:lang w:val="en-US" w:eastAsia="zh-CN"/>
              </w:rPr>
            </w:pPr>
          </w:p>
        </w:tc>
      </w:tr>
      <w:tr w14:paraId="665DCB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4F9A93D1">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w:t>
            </w:r>
          </w:p>
        </w:tc>
        <w:tc>
          <w:tcPr>
            <w:tcW w:w="9237" w:type="dxa"/>
            <w:gridSpan w:val="7"/>
            <w:tcBorders>
              <w:top w:val="single" w:color="auto" w:sz="4" w:space="0"/>
              <w:left w:val="single" w:color="auto" w:sz="4" w:space="0"/>
              <w:bottom w:val="single" w:color="auto" w:sz="4" w:space="0"/>
              <w:right w:val="single" w:color="auto" w:sz="4" w:space="0"/>
            </w:tcBorders>
            <w:vAlign w:val="center"/>
          </w:tcPr>
          <w:p w14:paraId="2D98E34D">
            <w:pPr>
              <w:jc w:val="both"/>
              <w:rPr>
                <w:rFonts w:hint="eastAsia" w:ascii="宋体" w:hAnsi="宋体" w:eastAsia="宋体" w:cs="宋体"/>
                <w:sz w:val="21"/>
                <w:szCs w:val="21"/>
                <w:vertAlign w:val="baseline"/>
                <w:lang w:val="en-US" w:eastAsia="zh-CN"/>
              </w:rPr>
            </w:pPr>
            <w:r>
              <w:rPr>
                <w:rFonts w:hint="eastAsia" w:ascii="宋体" w:hAnsi="宋体" w:cs="宋体"/>
                <w:color w:val="000000" w:themeColor="text1"/>
                <w:spacing w:val="20"/>
                <w:kern w:val="0"/>
                <w:sz w:val="21"/>
                <w:szCs w:val="21"/>
                <w:highlight w:val="none"/>
                <w14:textFill>
                  <w14:solidFill>
                    <w14:schemeClr w14:val="tx1"/>
                  </w14:solidFill>
                </w14:textFill>
              </w:rPr>
              <w:t>投标</w:t>
            </w:r>
            <w:r>
              <w:rPr>
                <w:rFonts w:hint="eastAsia" w:ascii="宋体" w:hAnsi="宋体" w:cs="宋体"/>
                <w:color w:val="000000" w:themeColor="text1"/>
                <w:spacing w:val="20"/>
                <w:kern w:val="0"/>
                <w:sz w:val="21"/>
                <w:szCs w:val="21"/>
                <w:highlight w:val="none"/>
                <w:lang w:val="en-US" w:eastAsia="zh-CN"/>
                <w14:textFill>
                  <w14:solidFill>
                    <w14:schemeClr w14:val="tx1"/>
                  </w14:solidFill>
                </w14:textFill>
              </w:rPr>
              <w:t>总</w:t>
            </w:r>
            <w:r>
              <w:rPr>
                <w:rFonts w:hint="eastAsia" w:ascii="宋体" w:hAnsi="宋体" w:cs="宋体"/>
                <w:color w:val="000000" w:themeColor="text1"/>
                <w:spacing w:val="20"/>
                <w:kern w:val="0"/>
                <w:sz w:val="21"/>
                <w:szCs w:val="21"/>
                <w:highlight w:val="none"/>
                <w14:textFill>
                  <w14:solidFill>
                    <w14:schemeClr w14:val="tx1"/>
                  </w14:solidFill>
                </w14:textFill>
              </w:rPr>
              <w:t>价(</w:t>
            </w:r>
            <w:r>
              <w:rPr>
                <w:rFonts w:hint="eastAsia" w:ascii="宋体" w:hAnsi="宋体" w:cs="宋体"/>
                <w:color w:val="000000" w:themeColor="text1"/>
                <w:kern w:val="0"/>
                <w:sz w:val="21"/>
                <w:szCs w:val="21"/>
                <w:highlight w:val="none"/>
                <w14:textFill>
                  <w14:solidFill>
                    <w14:schemeClr w14:val="tx1"/>
                  </w14:solidFill>
                </w14:textFill>
              </w:rPr>
              <w:t>大写)：</w:t>
            </w:r>
            <w:r>
              <w:rPr>
                <w:rFonts w:hint="eastAsia" w:ascii="宋体" w:hAnsi="宋体" w:cs="宋体"/>
                <w:color w:val="000000" w:themeColor="text1"/>
                <w:kern w:val="0"/>
                <w:sz w:val="21"/>
                <w:szCs w:val="21"/>
                <w:highlight w:val="none"/>
                <w:lang w:val="en-US" w:eastAsia="zh-CN"/>
                <w14:textFill>
                  <w14:solidFill>
                    <w14:schemeClr w14:val="tx1"/>
                  </w14:solidFill>
                </w14:textFill>
              </w:rPr>
              <w:t xml:space="preserve">                 </w:t>
            </w:r>
            <w:r>
              <w:rPr>
                <w:rFonts w:hint="eastAsia" w:ascii="宋体" w:hAnsi="宋体" w:cs="宋体"/>
                <w:color w:val="000000" w:themeColor="text1"/>
                <w:kern w:val="0"/>
                <w:sz w:val="21"/>
                <w:szCs w:val="21"/>
                <w:highlight w:val="none"/>
                <w14:textFill>
                  <w14:solidFill>
                    <w14:schemeClr w14:val="tx1"/>
                  </w14:solidFill>
                </w14:textFill>
              </w:rPr>
              <w:t>￥</w:t>
            </w:r>
            <w:r>
              <w:rPr>
                <w:rFonts w:hint="eastAsia" w:ascii="宋体" w:hAnsi="宋体" w:cs="宋体"/>
                <w:color w:val="000000" w:themeColor="text1"/>
                <w:kern w:val="0"/>
                <w:sz w:val="21"/>
                <w:szCs w:val="21"/>
                <w:highlight w:val="none"/>
                <w:lang w:eastAsia="zh-CN"/>
                <w14:textFill>
                  <w14:solidFill>
                    <w14:schemeClr w14:val="tx1"/>
                  </w14:solidFill>
                </w14:textFill>
              </w:rPr>
              <w:t>：</w:t>
            </w:r>
            <w:r>
              <w:rPr>
                <w:rFonts w:hint="eastAsia" w:ascii="宋体" w:hAnsi="宋体" w:cs="宋体"/>
                <w:color w:val="000000" w:themeColor="text1"/>
                <w:kern w:val="0"/>
                <w:sz w:val="21"/>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kern w:val="0"/>
                <w:sz w:val="21"/>
                <w:szCs w:val="21"/>
                <w:highlight w:val="none"/>
                <w:u w:val="none"/>
                <w:lang w:val="en-US" w:eastAsia="zh-CN"/>
                <w14:textFill>
                  <w14:solidFill>
                    <w14:schemeClr w14:val="tx1"/>
                  </w14:solidFill>
                </w14:textFill>
              </w:rPr>
              <w:t>（小写）</w:t>
            </w:r>
          </w:p>
        </w:tc>
      </w:tr>
    </w:tbl>
    <w:p w14:paraId="5EEDC2BE">
      <w:pPr>
        <w:keepNext w:val="0"/>
        <w:keepLines w:val="0"/>
        <w:pageBreakBefore w:val="0"/>
        <w:widowControl/>
        <w:kinsoku/>
        <w:wordWrap w:val="0"/>
        <w:overflowPunct/>
        <w:topLinePunct w:val="0"/>
        <w:autoSpaceDE/>
        <w:autoSpaceDN/>
        <w:bidi w:val="0"/>
        <w:adjustRightInd/>
        <w:spacing w:line="400" w:lineRule="exact"/>
        <w:jc w:val="left"/>
        <w:textAlignment w:val="auto"/>
        <w:rPr>
          <w:rFonts w:ascii="宋体" w:hAnsi="宋体" w:cs="宋体"/>
          <w:color w:val="auto"/>
          <w:kern w:val="0"/>
          <w:sz w:val="24"/>
          <w:highlight w:val="none"/>
        </w:rPr>
      </w:pPr>
    </w:p>
    <w:p w14:paraId="597F3C67">
      <w:pPr>
        <w:widowControl/>
        <w:shd w:val="clear" w:color="auto" w:fill="FFFFFF"/>
        <w:spacing w:line="360" w:lineRule="auto"/>
        <w:ind w:left="1418" w:hanging="567"/>
        <w:jc w:val="both"/>
        <w:rPr>
          <w:rFonts w:hint="eastAsia" w:ascii="宋体" w:hAnsi="宋体" w:cs="宋体"/>
          <w:color w:val="auto"/>
          <w:kern w:val="0"/>
          <w:sz w:val="24"/>
          <w:highlight w:val="none"/>
        </w:rPr>
      </w:pPr>
    </w:p>
    <w:p w14:paraId="2B8196A9">
      <w:pPr>
        <w:pStyle w:val="32"/>
        <w:rPr>
          <w:rFonts w:hint="eastAsia"/>
          <w:color w:val="auto"/>
          <w:highlight w:val="none"/>
        </w:rPr>
      </w:pPr>
    </w:p>
    <w:p w14:paraId="45B5AB4A">
      <w:pPr>
        <w:widowControl/>
        <w:shd w:val="clear" w:color="auto" w:fill="FFFFFF"/>
        <w:spacing w:line="360" w:lineRule="auto"/>
        <w:ind w:left="1418" w:hanging="567"/>
        <w:jc w:val="both"/>
        <w:rPr>
          <w:rFonts w:hint="eastAsia" w:ascii="宋体" w:hAnsi="宋体" w:cs="宋体"/>
          <w:color w:val="auto"/>
          <w:kern w:val="0"/>
          <w:sz w:val="24"/>
          <w:highlight w:val="none"/>
        </w:rPr>
      </w:pPr>
      <w:r>
        <w:rPr>
          <w:rFonts w:hint="eastAsia" w:ascii="宋体" w:hAnsi="宋体" w:cs="宋体"/>
          <w:color w:val="auto"/>
          <w:kern w:val="0"/>
          <w:sz w:val="24"/>
          <w:highlight w:val="none"/>
        </w:rPr>
        <w:t>供应商法定代表人</w:t>
      </w:r>
      <w:r>
        <w:rPr>
          <w:rFonts w:hint="eastAsia" w:ascii="宋体" w:hAnsi="宋体" w:cs="宋体"/>
          <w:color w:val="auto"/>
          <w:kern w:val="0"/>
          <w:sz w:val="24"/>
          <w:highlight w:val="none"/>
          <w:lang w:eastAsia="zh-CN"/>
        </w:rPr>
        <w:t>或</w:t>
      </w:r>
      <w:r>
        <w:rPr>
          <w:rFonts w:hint="eastAsia" w:ascii="宋体" w:hAnsi="宋体" w:cs="宋体"/>
          <w:color w:val="auto"/>
          <w:kern w:val="0"/>
          <w:sz w:val="24"/>
          <w:highlight w:val="none"/>
        </w:rPr>
        <w:t>其授权代表签字：</w:t>
      </w:r>
      <w:r>
        <w:rPr>
          <w:rFonts w:hint="eastAsia" w:ascii="宋体" w:hAnsi="宋体" w:cs="宋体"/>
          <w:color w:val="auto"/>
          <w:kern w:val="0"/>
          <w:sz w:val="24"/>
          <w:highlight w:val="none"/>
          <w:u w:val="single"/>
        </w:rPr>
        <w:t xml:space="preserve">              </w:t>
      </w:r>
    </w:p>
    <w:p w14:paraId="2AAEC562">
      <w:pPr>
        <w:widowControl/>
        <w:shd w:val="clear" w:color="auto" w:fill="FFFFFF"/>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       供应商名称： </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（全称并加盖公章）</w:t>
      </w:r>
    </w:p>
    <w:p w14:paraId="5A18D184">
      <w:pPr>
        <w:widowControl/>
        <w:wordWrap w:val="0"/>
        <w:spacing w:line="460" w:lineRule="exact"/>
        <w:jc w:val="left"/>
        <w:rPr>
          <w:rFonts w:ascii="宋体" w:hAnsi="宋体" w:cs="宋体"/>
          <w:color w:val="auto"/>
          <w:kern w:val="0"/>
          <w:sz w:val="24"/>
          <w:highlight w:val="none"/>
        </w:rPr>
      </w:pPr>
    </w:p>
    <w:p w14:paraId="2FA0B057">
      <w:pPr>
        <w:widowControl/>
        <w:wordWrap w:val="0"/>
        <w:spacing w:line="460" w:lineRule="exact"/>
        <w:ind w:firstLine="2880" w:firstLineChars="1200"/>
        <w:jc w:val="left"/>
        <w:rPr>
          <w:color w:val="auto"/>
          <w:highlight w:val="none"/>
        </w:rPr>
      </w:pPr>
      <w:r>
        <w:rPr>
          <w:rFonts w:hint="eastAsia" w:ascii="宋体" w:hAnsi="宋体" w:cs="宋体"/>
          <w:color w:val="auto"/>
          <w:kern w:val="0"/>
          <w:sz w:val="24"/>
          <w:highlight w:val="none"/>
        </w:rPr>
        <w:t>年    月    日</w:t>
      </w:r>
    </w:p>
    <w:p w14:paraId="1A787389">
      <w:pPr>
        <w:widowControl/>
        <w:wordWrap w:val="0"/>
        <w:spacing w:line="460" w:lineRule="exact"/>
        <w:ind w:firstLine="4800" w:firstLineChars="20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     </w:t>
      </w:r>
    </w:p>
    <w:p w14:paraId="70B2B040">
      <w:pPr>
        <w:pStyle w:val="15"/>
        <w:rPr>
          <w:rFonts w:hint="eastAsia" w:ascii="宋体" w:hAnsi="宋体" w:cs="宋体"/>
          <w:color w:val="auto"/>
          <w:kern w:val="0"/>
          <w:sz w:val="24"/>
          <w:highlight w:val="none"/>
        </w:rPr>
      </w:pPr>
    </w:p>
    <w:p w14:paraId="1E23D27B">
      <w:pPr>
        <w:pStyle w:val="24"/>
        <w:rPr>
          <w:rFonts w:hint="eastAsia" w:ascii="宋体" w:hAnsi="宋体" w:cs="宋体"/>
          <w:color w:val="auto"/>
          <w:kern w:val="0"/>
          <w:sz w:val="24"/>
          <w:highlight w:val="none"/>
        </w:rPr>
      </w:pPr>
    </w:p>
    <w:p w14:paraId="4E691EA1">
      <w:pPr>
        <w:pStyle w:val="24"/>
        <w:rPr>
          <w:rFonts w:hint="eastAsia" w:ascii="宋体" w:hAnsi="宋体" w:cs="宋体"/>
          <w:color w:val="auto"/>
          <w:kern w:val="0"/>
          <w:sz w:val="24"/>
          <w:highlight w:val="none"/>
        </w:rPr>
      </w:pPr>
    </w:p>
    <w:p w14:paraId="6115F73D">
      <w:pPr>
        <w:pStyle w:val="24"/>
        <w:rPr>
          <w:rFonts w:hint="eastAsia" w:ascii="宋体" w:hAnsi="宋体" w:cs="宋体"/>
          <w:color w:val="auto"/>
          <w:kern w:val="0"/>
          <w:sz w:val="24"/>
          <w:highlight w:val="none"/>
        </w:rPr>
      </w:pPr>
    </w:p>
    <w:p w14:paraId="3776A5D9">
      <w:pPr>
        <w:pStyle w:val="24"/>
        <w:rPr>
          <w:rFonts w:hint="eastAsia" w:ascii="宋体" w:hAnsi="宋体" w:cs="宋体"/>
          <w:color w:val="auto"/>
          <w:kern w:val="0"/>
          <w:sz w:val="24"/>
          <w:highlight w:val="none"/>
        </w:rPr>
      </w:pPr>
    </w:p>
    <w:p w14:paraId="0EF41985">
      <w:pPr>
        <w:pStyle w:val="24"/>
        <w:rPr>
          <w:rFonts w:hint="eastAsia" w:ascii="宋体" w:hAnsi="宋体" w:cs="宋体"/>
          <w:color w:val="auto"/>
          <w:kern w:val="0"/>
          <w:sz w:val="24"/>
          <w:highlight w:val="none"/>
        </w:rPr>
      </w:pPr>
    </w:p>
    <w:p w14:paraId="090E27CB">
      <w:pPr>
        <w:pStyle w:val="24"/>
        <w:rPr>
          <w:rFonts w:hint="eastAsia" w:ascii="宋体" w:hAnsi="宋体" w:cs="宋体"/>
          <w:color w:val="auto"/>
          <w:kern w:val="0"/>
          <w:sz w:val="24"/>
          <w:highlight w:val="none"/>
        </w:rPr>
      </w:pPr>
    </w:p>
    <w:p w14:paraId="74DBBCB6">
      <w:pPr>
        <w:pStyle w:val="24"/>
        <w:rPr>
          <w:rFonts w:hint="eastAsia" w:ascii="宋体" w:hAnsi="宋体" w:cs="宋体"/>
          <w:color w:val="auto"/>
          <w:kern w:val="0"/>
          <w:sz w:val="24"/>
          <w:highlight w:val="none"/>
        </w:rPr>
      </w:pPr>
    </w:p>
    <w:p w14:paraId="70377610">
      <w:pPr>
        <w:pStyle w:val="24"/>
        <w:rPr>
          <w:rFonts w:hint="eastAsia" w:ascii="宋体" w:hAnsi="宋体" w:cs="宋体"/>
          <w:color w:val="auto"/>
          <w:kern w:val="0"/>
          <w:sz w:val="24"/>
          <w:highlight w:val="none"/>
        </w:rPr>
      </w:pPr>
    </w:p>
    <w:p w14:paraId="59919183">
      <w:pPr>
        <w:pStyle w:val="24"/>
        <w:rPr>
          <w:rFonts w:hint="eastAsia" w:ascii="宋体" w:hAnsi="宋体" w:cs="宋体"/>
          <w:color w:val="auto"/>
          <w:kern w:val="0"/>
          <w:sz w:val="24"/>
          <w:highlight w:val="none"/>
        </w:rPr>
      </w:pPr>
    </w:p>
    <w:p w14:paraId="2C08DDB0">
      <w:pPr>
        <w:pStyle w:val="24"/>
        <w:rPr>
          <w:rFonts w:hint="eastAsia" w:ascii="宋体" w:hAnsi="宋体" w:cs="宋体"/>
          <w:color w:val="auto"/>
          <w:kern w:val="0"/>
          <w:sz w:val="24"/>
          <w:highlight w:val="none"/>
        </w:rPr>
        <w:sectPr>
          <w:footerReference r:id="rId5" w:type="default"/>
          <w:pgSz w:w="11906" w:h="16838"/>
          <w:pgMar w:top="1417" w:right="1474" w:bottom="1417" w:left="1474" w:header="851" w:footer="624" w:gutter="0"/>
          <w:pgNumType w:fmt="decimal"/>
          <w:cols w:space="720" w:num="1"/>
          <w:docGrid w:type="lines" w:linePitch="319" w:charSpace="0"/>
        </w:sectPr>
      </w:pPr>
    </w:p>
    <w:p w14:paraId="2D4BDCCC">
      <w:pPr>
        <w:pStyle w:val="6"/>
        <w:rPr>
          <w:rFonts w:hint="eastAsia" w:eastAsia="黑体"/>
          <w:color w:val="auto"/>
          <w:highlight w:val="none"/>
          <w:lang w:val="en-US" w:eastAsia="zh-CN"/>
        </w:rPr>
      </w:pPr>
      <w:bookmarkStart w:id="74" w:name="_Toc15804"/>
      <w:bookmarkStart w:id="75" w:name="_Toc226"/>
      <w:r>
        <w:rPr>
          <w:rFonts w:hint="eastAsia"/>
          <w:color w:val="auto"/>
          <w:highlight w:val="none"/>
        </w:rPr>
        <w:t xml:space="preserve">附件5         </w:t>
      </w:r>
      <w:bookmarkEnd w:id="74"/>
      <w:bookmarkEnd w:id="75"/>
      <w:r>
        <w:rPr>
          <w:rFonts w:hint="eastAsia"/>
          <w:color w:val="auto"/>
          <w:highlight w:val="none"/>
        </w:rPr>
        <w:t xml:space="preserve">     技术响应</w:t>
      </w:r>
      <w:r>
        <w:rPr>
          <w:rFonts w:hint="eastAsia"/>
          <w:color w:val="auto"/>
          <w:highlight w:val="none"/>
          <w:lang w:val="en-US" w:eastAsia="zh-CN"/>
        </w:rPr>
        <w:t>表（格式）</w:t>
      </w:r>
    </w:p>
    <w:tbl>
      <w:tblPr>
        <w:tblStyle w:val="90"/>
        <w:tblW w:w="8831"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1244"/>
        <w:gridCol w:w="2264"/>
        <w:gridCol w:w="3329"/>
        <w:gridCol w:w="1222"/>
      </w:tblGrid>
      <w:tr w14:paraId="55459A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noWrap w:val="0"/>
            <w:vAlign w:val="center"/>
          </w:tcPr>
          <w:p w14:paraId="2FB8D89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244" w:type="dxa"/>
            <w:noWrap w:val="0"/>
            <w:vAlign w:val="center"/>
          </w:tcPr>
          <w:p w14:paraId="66B819F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w:t>
            </w:r>
          </w:p>
        </w:tc>
        <w:tc>
          <w:tcPr>
            <w:tcW w:w="2264" w:type="dxa"/>
            <w:noWrap w:val="0"/>
            <w:vAlign w:val="center"/>
          </w:tcPr>
          <w:p w14:paraId="4D1B930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采购</w:t>
            </w:r>
            <w:r>
              <w:rPr>
                <w:rFonts w:hint="eastAsia" w:ascii="宋体" w:hAnsi="宋体" w:eastAsia="宋体" w:cs="宋体"/>
                <w:color w:val="auto"/>
                <w:sz w:val="24"/>
                <w:szCs w:val="24"/>
                <w:highlight w:val="none"/>
              </w:rPr>
              <w:t>文件要求</w:t>
            </w:r>
          </w:p>
        </w:tc>
        <w:tc>
          <w:tcPr>
            <w:tcW w:w="3329" w:type="dxa"/>
            <w:noWrap w:val="0"/>
            <w:vAlign w:val="center"/>
          </w:tcPr>
          <w:p w14:paraId="038F974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文件响应</w:t>
            </w:r>
          </w:p>
        </w:tc>
        <w:tc>
          <w:tcPr>
            <w:tcW w:w="1222" w:type="dxa"/>
            <w:noWrap w:val="0"/>
            <w:vAlign w:val="center"/>
          </w:tcPr>
          <w:p w14:paraId="6CA2521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偏离情况</w:t>
            </w:r>
          </w:p>
        </w:tc>
      </w:tr>
      <w:tr w14:paraId="5AC63B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noWrap w:val="0"/>
            <w:vAlign w:val="center"/>
          </w:tcPr>
          <w:p w14:paraId="0B2BD60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244" w:type="dxa"/>
            <w:noWrap w:val="0"/>
            <w:vAlign w:val="center"/>
          </w:tcPr>
          <w:p w14:paraId="0B98D7A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2264" w:type="dxa"/>
            <w:noWrap w:val="0"/>
            <w:vAlign w:val="center"/>
          </w:tcPr>
          <w:p w14:paraId="196F094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3329" w:type="dxa"/>
            <w:noWrap w:val="0"/>
            <w:vAlign w:val="center"/>
          </w:tcPr>
          <w:p w14:paraId="4CD9F6F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222" w:type="dxa"/>
            <w:noWrap w:val="0"/>
            <w:vAlign w:val="center"/>
          </w:tcPr>
          <w:p w14:paraId="1F5C799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12A3BA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noWrap w:val="0"/>
            <w:vAlign w:val="center"/>
          </w:tcPr>
          <w:p w14:paraId="54DADF5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244" w:type="dxa"/>
            <w:noWrap w:val="0"/>
            <w:vAlign w:val="center"/>
          </w:tcPr>
          <w:p w14:paraId="2A6666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2264" w:type="dxa"/>
            <w:noWrap w:val="0"/>
            <w:vAlign w:val="center"/>
          </w:tcPr>
          <w:p w14:paraId="1ECAF9B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3329" w:type="dxa"/>
            <w:noWrap w:val="0"/>
            <w:vAlign w:val="center"/>
          </w:tcPr>
          <w:p w14:paraId="34F55DA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222" w:type="dxa"/>
            <w:noWrap w:val="0"/>
            <w:vAlign w:val="center"/>
          </w:tcPr>
          <w:p w14:paraId="6E720E2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31687E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noWrap w:val="0"/>
            <w:vAlign w:val="center"/>
          </w:tcPr>
          <w:p w14:paraId="512D059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244" w:type="dxa"/>
            <w:noWrap w:val="0"/>
            <w:vAlign w:val="center"/>
          </w:tcPr>
          <w:p w14:paraId="0335DBD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2264" w:type="dxa"/>
            <w:noWrap w:val="0"/>
            <w:vAlign w:val="center"/>
          </w:tcPr>
          <w:p w14:paraId="25BDD10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3329" w:type="dxa"/>
            <w:noWrap w:val="0"/>
            <w:vAlign w:val="center"/>
          </w:tcPr>
          <w:p w14:paraId="54E54AA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222" w:type="dxa"/>
            <w:noWrap w:val="0"/>
            <w:vAlign w:val="center"/>
          </w:tcPr>
          <w:p w14:paraId="3D9481B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bl>
    <w:p w14:paraId="381F8CA5">
      <w:pPr>
        <w:widowControl/>
        <w:wordWrap w:val="0"/>
        <w:spacing w:line="460" w:lineRule="exact"/>
        <w:ind w:firstLine="643" w:firstLineChars="200"/>
        <w:jc w:val="left"/>
        <w:rPr>
          <w:rFonts w:hint="eastAsia" w:ascii="宋体" w:hAnsi="宋体" w:cs="宋体"/>
          <w:b/>
          <w:color w:val="auto"/>
          <w:kern w:val="0"/>
          <w:sz w:val="32"/>
          <w:szCs w:val="32"/>
          <w:highlight w:val="none"/>
          <w:lang w:val="en-US" w:eastAsia="zh-CN"/>
        </w:rPr>
      </w:pPr>
    </w:p>
    <w:p w14:paraId="72DF6614">
      <w:pPr>
        <w:pageBreakBefore w:val="0"/>
        <w:widowControl/>
        <w:wordWrap/>
        <w:overflowPunct/>
        <w:topLinePunct w:val="0"/>
        <w:bidi w:val="0"/>
        <w:spacing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注：供应商必须如实完整填写表格，“偏离情况”是指“正偏离”、“负偏离”或“无偏离”。</w:t>
      </w:r>
    </w:p>
    <w:p w14:paraId="4704CFC9">
      <w:pPr>
        <w:pageBreakBefore w:val="0"/>
        <w:widowControl/>
        <w:wordWrap/>
        <w:overflowPunct/>
        <w:topLinePunct w:val="0"/>
        <w:bidi w:val="0"/>
        <w:spacing w:line="360" w:lineRule="auto"/>
        <w:textAlignment w:val="baseline"/>
        <w:rPr>
          <w:rFonts w:hint="eastAsia" w:ascii="宋体" w:hAnsi="宋体" w:eastAsia="宋体" w:cs="宋体"/>
          <w:color w:val="auto"/>
          <w:sz w:val="24"/>
          <w:szCs w:val="24"/>
          <w:highlight w:val="none"/>
        </w:rPr>
      </w:pPr>
    </w:p>
    <w:p w14:paraId="3A7FE9EB">
      <w:pPr>
        <w:pageBreakBefore w:val="0"/>
        <w:widowControl/>
        <w:wordWrap/>
        <w:overflowPunct/>
        <w:topLinePunct w:val="0"/>
        <w:bidi w:val="0"/>
        <w:spacing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3EF1AB41">
      <w:pPr>
        <w:pageBreakBefore w:val="0"/>
        <w:widowControl/>
        <w:wordWrap/>
        <w:overflowPunct/>
        <w:topLinePunct w:val="0"/>
        <w:bidi w:val="0"/>
        <w:spacing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（全称并加盖公章）</w:t>
      </w:r>
    </w:p>
    <w:p w14:paraId="00AF9B31">
      <w:pPr>
        <w:widowControl/>
        <w:wordWrap w:val="0"/>
        <w:spacing w:line="460" w:lineRule="exact"/>
        <w:ind w:firstLine="1920" w:firstLineChars="800"/>
        <w:jc w:val="left"/>
        <w:rPr>
          <w:rFonts w:hint="eastAsia" w:ascii="宋体" w:hAnsi="宋体" w:cs="宋体"/>
          <w:b/>
          <w:color w:val="auto"/>
          <w:kern w:val="0"/>
          <w:sz w:val="32"/>
          <w:szCs w:val="32"/>
          <w:highlight w:val="none"/>
          <w:lang w:val="en-US" w:eastAsia="zh-CN"/>
        </w:rPr>
      </w:pPr>
      <w:r>
        <w:rPr>
          <w:rFonts w:hint="eastAsia" w:ascii="宋体" w:hAnsi="宋体" w:eastAsia="宋体" w:cs="宋体"/>
          <w:color w:val="auto"/>
          <w:sz w:val="24"/>
          <w:szCs w:val="24"/>
          <w:highlight w:val="none"/>
        </w:rPr>
        <w:t>年    月    日</w:t>
      </w:r>
    </w:p>
    <w:p w14:paraId="264192D1">
      <w:pPr>
        <w:widowControl/>
        <w:wordWrap w:val="0"/>
        <w:spacing w:line="460" w:lineRule="exact"/>
        <w:ind w:firstLine="643" w:firstLineChars="200"/>
        <w:jc w:val="left"/>
        <w:rPr>
          <w:rFonts w:hint="eastAsia" w:ascii="宋体" w:hAnsi="宋体" w:cs="宋体"/>
          <w:b/>
          <w:color w:val="auto"/>
          <w:kern w:val="0"/>
          <w:sz w:val="32"/>
          <w:szCs w:val="32"/>
          <w:highlight w:val="none"/>
          <w:lang w:val="en-US" w:eastAsia="zh-CN"/>
        </w:rPr>
      </w:pPr>
    </w:p>
    <w:p w14:paraId="3F9507A9">
      <w:pPr>
        <w:widowControl/>
        <w:wordWrap w:val="0"/>
        <w:spacing w:line="460" w:lineRule="exact"/>
        <w:ind w:firstLine="643" w:firstLineChars="200"/>
        <w:jc w:val="left"/>
        <w:rPr>
          <w:rFonts w:hint="eastAsia" w:ascii="宋体" w:hAnsi="宋体" w:cs="宋体"/>
          <w:b/>
          <w:color w:val="auto"/>
          <w:kern w:val="0"/>
          <w:sz w:val="32"/>
          <w:szCs w:val="32"/>
          <w:highlight w:val="none"/>
          <w:lang w:val="en-US" w:eastAsia="zh-CN"/>
        </w:rPr>
      </w:pPr>
    </w:p>
    <w:p w14:paraId="6E05C30B">
      <w:pPr>
        <w:widowControl/>
        <w:wordWrap w:val="0"/>
        <w:spacing w:line="460" w:lineRule="exact"/>
        <w:ind w:firstLine="643" w:firstLineChars="200"/>
        <w:jc w:val="left"/>
        <w:rPr>
          <w:rFonts w:hint="eastAsia" w:ascii="宋体" w:hAnsi="宋体" w:cs="宋体"/>
          <w:b/>
          <w:color w:val="auto"/>
          <w:kern w:val="0"/>
          <w:sz w:val="32"/>
          <w:szCs w:val="32"/>
          <w:highlight w:val="none"/>
          <w:lang w:val="en-US" w:eastAsia="zh-CN"/>
        </w:rPr>
      </w:pPr>
    </w:p>
    <w:p w14:paraId="285F4CBC">
      <w:pPr>
        <w:widowControl/>
        <w:wordWrap w:val="0"/>
        <w:spacing w:line="460" w:lineRule="exact"/>
        <w:ind w:firstLine="643" w:firstLineChars="200"/>
        <w:jc w:val="left"/>
        <w:rPr>
          <w:rFonts w:hint="eastAsia" w:ascii="宋体" w:hAnsi="宋体" w:cs="宋体"/>
          <w:b/>
          <w:color w:val="auto"/>
          <w:kern w:val="0"/>
          <w:sz w:val="32"/>
          <w:szCs w:val="32"/>
          <w:highlight w:val="none"/>
          <w:lang w:val="en-US" w:eastAsia="zh-CN"/>
        </w:rPr>
      </w:pPr>
    </w:p>
    <w:p w14:paraId="369F931F">
      <w:pPr>
        <w:widowControl/>
        <w:wordWrap w:val="0"/>
        <w:spacing w:line="460" w:lineRule="exact"/>
        <w:ind w:firstLine="643" w:firstLineChars="200"/>
        <w:jc w:val="left"/>
        <w:rPr>
          <w:rFonts w:hint="eastAsia" w:ascii="宋体" w:hAnsi="宋体" w:cs="宋体"/>
          <w:b/>
          <w:color w:val="auto"/>
          <w:kern w:val="0"/>
          <w:sz w:val="32"/>
          <w:szCs w:val="32"/>
          <w:highlight w:val="none"/>
          <w:lang w:val="en-US" w:eastAsia="zh-CN"/>
        </w:rPr>
      </w:pPr>
    </w:p>
    <w:p w14:paraId="7B740A57">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14:paraId="55C955C6">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14:paraId="09F53592">
      <w:pPr>
        <w:pStyle w:val="6"/>
        <w:rPr>
          <w:rFonts w:hint="eastAsia" w:cs="Times New Roman"/>
          <w:color w:val="auto"/>
          <w:highlight w:val="none"/>
          <w:lang w:val="en-US" w:eastAsia="zh-CN"/>
        </w:rPr>
      </w:pPr>
      <w:bookmarkStart w:id="76" w:name="_Toc29960"/>
      <w:bookmarkStart w:id="77" w:name="_Toc20420"/>
      <w:bookmarkStart w:id="78" w:name="_Toc24168"/>
      <w:r>
        <w:rPr>
          <w:rFonts w:hint="eastAsia" w:cs="Times New Roman"/>
          <w:color w:val="auto"/>
          <w:highlight w:val="none"/>
        </w:rPr>
        <w:t>附件6               商务响应</w:t>
      </w:r>
      <w:bookmarkEnd w:id="76"/>
      <w:bookmarkEnd w:id="77"/>
      <w:bookmarkEnd w:id="78"/>
      <w:r>
        <w:rPr>
          <w:rFonts w:hint="eastAsia" w:cs="Times New Roman"/>
          <w:color w:val="auto"/>
          <w:highlight w:val="none"/>
          <w:lang w:val="en-US" w:eastAsia="zh-CN"/>
        </w:rPr>
        <w:t>表（格式）</w:t>
      </w:r>
    </w:p>
    <w:p w14:paraId="3FAEF026">
      <w:pPr>
        <w:widowControl/>
        <w:wordWrap w:val="0"/>
        <w:spacing w:line="460" w:lineRule="exact"/>
        <w:jc w:val="left"/>
        <w:rPr>
          <w:rFonts w:hint="eastAsia" w:ascii="宋体" w:hAnsi="宋体" w:cs="宋体"/>
          <w:b/>
          <w:color w:val="auto"/>
          <w:kern w:val="0"/>
          <w:sz w:val="32"/>
          <w:szCs w:val="32"/>
          <w:highlight w:val="none"/>
          <w:lang w:val="en-US" w:eastAsia="zh-CN"/>
        </w:rPr>
      </w:pPr>
      <w:r>
        <w:rPr>
          <w:rFonts w:hint="eastAsia" w:ascii="宋体" w:hAnsi="宋体" w:cs="宋体"/>
          <w:b/>
          <w:color w:val="auto"/>
          <w:kern w:val="0"/>
          <w:sz w:val="32"/>
          <w:szCs w:val="32"/>
          <w:highlight w:val="none"/>
          <w:lang w:val="en-US" w:eastAsia="zh-CN"/>
        </w:rPr>
        <w:t xml:space="preserve">  </w:t>
      </w:r>
    </w:p>
    <w:tbl>
      <w:tblPr>
        <w:tblStyle w:val="90"/>
        <w:tblW w:w="9340" w:type="dxa"/>
        <w:tblInd w:w="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196"/>
        <w:gridCol w:w="2054"/>
        <w:gridCol w:w="1866"/>
        <w:gridCol w:w="1612"/>
        <w:gridCol w:w="1612"/>
      </w:tblGrid>
      <w:tr w14:paraId="64FA07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1" w:hRule="atLeast"/>
        </w:trPr>
        <w:tc>
          <w:tcPr>
            <w:tcW w:w="2196" w:type="dxa"/>
            <w:noWrap w:val="0"/>
            <w:vAlign w:val="center"/>
          </w:tcPr>
          <w:p w14:paraId="1BEF2AB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w:t>
            </w:r>
          </w:p>
        </w:tc>
        <w:tc>
          <w:tcPr>
            <w:tcW w:w="2054" w:type="dxa"/>
            <w:noWrap w:val="0"/>
            <w:vAlign w:val="center"/>
          </w:tcPr>
          <w:p w14:paraId="3B4581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采购</w:t>
            </w:r>
            <w:r>
              <w:rPr>
                <w:rFonts w:hint="eastAsia" w:ascii="宋体" w:hAnsi="宋体" w:eastAsia="宋体" w:cs="宋体"/>
                <w:color w:val="auto"/>
                <w:sz w:val="24"/>
                <w:szCs w:val="24"/>
                <w:highlight w:val="none"/>
              </w:rPr>
              <w:t>文件要求</w:t>
            </w:r>
          </w:p>
        </w:tc>
        <w:tc>
          <w:tcPr>
            <w:tcW w:w="1866" w:type="dxa"/>
            <w:noWrap w:val="0"/>
            <w:vAlign w:val="center"/>
          </w:tcPr>
          <w:p w14:paraId="0FDB8379">
            <w:pPr>
              <w:pageBreakBefore w:val="0"/>
              <w:widowControl/>
              <w:wordWrap/>
              <w:overflowPunct/>
              <w:topLinePunct w:val="0"/>
              <w:bidi w:val="0"/>
              <w:spacing w:line="360" w:lineRule="auto"/>
              <w:jc w:val="center"/>
              <w:textAlignment w:val="baseline"/>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投标文件</w:t>
            </w:r>
          </w:p>
          <w:p w14:paraId="48D8ED2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响应情况</w:t>
            </w:r>
          </w:p>
        </w:tc>
        <w:tc>
          <w:tcPr>
            <w:tcW w:w="1612" w:type="dxa"/>
            <w:noWrap w:val="0"/>
            <w:vAlign w:val="center"/>
          </w:tcPr>
          <w:p w14:paraId="24C57344">
            <w:pPr>
              <w:pageBreakBefore w:val="0"/>
              <w:widowControl/>
              <w:wordWrap/>
              <w:overflowPunct/>
              <w:topLinePunct w:val="0"/>
              <w:bidi w:val="0"/>
              <w:spacing w:line="360" w:lineRule="auto"/>
              <w:jc w:val="center"/>
              <w:textAlignment w:val="baseline"/>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对采购文件</w:t>
            </w:r>
          </w:p>
          <w:p w14:paraId="0965D939">
            <w:pPr>
              <w:pageBreakBefore w:val="0"/>
              <w:widowControl/>
              <w:wordWrap/>
              <w:overflowPunct/>
              <w:topLinePunct w:val="0"/>
              <w:bidi w:val="0"/>
              <w:spacing w:line="360" w:lineRule="auto"/>
              <w:jc w:val="center"/>
              <w:textAlignment w:val="baseline"/>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偏差</w:t>
            </w:r>
          </w:p>
        </w:tc>
        <w:tc>
          <w:tcPr>
            <w:tcW w:w="1612" w:type="dxa"/>
            <w:noWrap w:val="0"/>
            <w:vAlign w:val="center"/>
          </w:tcPr>
          <w:p w14:paraId="4A37B8D5">
            <w:pPr>
              <w:pageBreakBefore w:val="0"/>
              <w:widowControl/>
              <w:wordWrap/>
              <w:overflowPunct/>
              <w:topLinePunct w:val="0"/>
              <w:bidi w:val="0"/>
              <w:spacing w:line="360" w:lineRule="auto"/>
              <w:jc w:val="center"/>
              <w:textAlignment w:val="baseline"/>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备注</w:t>
            </w:r>
          </w:p>
        </w:tc>
      </w:tr>
      <w:tr w14:paraId="436675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13C66700">
            <w:pPr>
              <w:pStyle w:val="15"/>
              <w:ind w:left="0" w:leftChars="0"/>
              <w:jc w:val="center"/>
              <w:rPr>
                <w:rFonts w:hint="eastAsia" w:ascii="宋体" w:hAnsi="宋体" w:eastAsia="宋体" w:cs="宋体"/>
                <w:color w:val="auto"/>
                <w:sz w:val="24"/>
                <w:szCs w:val="24"/>
                <w:highlight w:val="none"/>
              </w:rPr>
            </w:pPr>
          </w:p>
        </w:tc>
        <w:tc>
          <w:tcPr>
            <w:tcW w:w="2054" w:type="dxa"/>
            <w:noWrap w:val="0"/>
            <w:vAlign w:val="center"/>
          </w:tcPr>
          <w:p w14:paraId="58CB9AC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866" w:type="dxa"/>
            <w:noWrap w:val="0"/>
            <w:vAlign w:val="center"/>
          </w:tcPr>
          <w:p w14:paraId="362FA2B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252F262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5C3D0A5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23FFF7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4B022957">
            <w:pPr>
              <w:pStyle w:val="15"/>
              <w:ind w:left="0" w:leftChars="0"/>
              <w:jc w:val="center"/>
              <w:rPr>
                <w:rFonts w:hint="eastAsia" w:ascii="宋体" w:hAnsi="宋体" w:eastAsia="宋体" w:cs="宋体"/>
                <w:color w:val="auto"/>
                <w:sz w:val="24"/>
                <w:szCs w:val="24"/>
                <w:highlight w:val="none"/>
                <w:lang w:val="en-US" w:eastAsia="zh-CN"/>
              </w:rPr>
            </w:pPr>
          </w:p>
        </w:tc>
        <w:tc>
          <w:tcPr>
            <w:tcW w:w="2054" w:type="dxa"/>
            <w:noWrap w:val="0"/>
            <w:vAlign w:val="center"/>
          </w:tcPr>
          <w:p w14:paraId="7F0FEE5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866" w:type="dxa"/>
            <w:noWrap w:val="0"/>
            <w:vAlign w:val="center"/>
          </w:tcPr>
          <w:p w14:paraId="489D681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4C64028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3E612A4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28963F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0875E2C2">
            <w:pPr>
              <w:pStyle w:val="15"/>
              <w:ind w:left="0" w:leftChars="0"/>
              <w:jc w:val="center"/>
              <w:rPr>
                <w:rFonts w:hint="eastAsia" w:ascii="宋体" w:hAnsi="宋体" w:eastAsia="宋体" w:cs="宋体"/>
                <w:color w:val="auto"/>
                <w:sz w:val="24"/>
                <w:szCs w:val="24"/>
                <w:highlight w:val="none"/>
              </w:rPr>
            </w:pPr>
          </w:p>
        </w:tc>
        <w:tc>
          <w:tcPr>
            <w:tcW w:w="2054" w:type="dxa"/>
            <w:noWrap w:val="0"/>
            <w:vAlign w:val="center"/>
          </w:tcPr>
          <w:p w14:paraId="629FCF8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866" w:type="dxa"/>
            <w:noWrap w:val="0"/>
            <w:vAlign w:val="center"/>
          </w:tcPr>
          <w:p w14:paraId="2B7942D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7D6F9E1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7692D3E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4F78EE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3216760D">
            <w:pPr>
              <w:pStyle w:val="15"/>
              <w:ind w:left="0" w:leftChars="0"/>
              <w:jc w:val="center"/>
              <w:rPr>
                <w:rFonts w:hint="eastAsia" w:ascii="宋体" w:hAnsi="宋体" w:eastAsia="宋体" w:cs="宋体"/>
                <w:color w:val="auto"/>
                <w:sz w:val="24"/>
                <w:szCs w:val="24"/>
                <w:highlight w:val="none"/>
              </w:rPr>
            </w:pPr>
          </w:p>
        </w:tc>
        <w:tc>
          <w:tcPr>
            <w:tcW w:w="2054" w:type="dxa"/>
            <w:noWrap w:val="0"/>
            <w:vAlign w:val="center"/>
          </w:tcPr>
          <w:p w14:paraId="180E45D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866" w:type="dxa"/>
            <w:noWrap w:val="0"/>
            <w:vAlign w:val="center"/>
          </w:tcPr>
          <w:p w14:paraId="20CC50A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664BD56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3C29E96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20C013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4A033F8E">
            <w:pPr>
              <w:pStyle w:val="15"/>
              <w:ind w:left="0" w:leftChars="0"/>
              <w:jc w:val="center"/>
              <w:rPr>
                <w:rFonts w:hint="eastAsia" w:ascii="宋体" w:hAnsi="宋体" w:eastAsia="宋体" w:cs="宋体"/>
                <w:color w:val="auto"/>
                <w:sz w:val="24"/>
                <w:szCs w:val="24"/>
                <w:highlight w:val="none"/>
              </w:rPr>
            </w:pPr>
          </w:p>
        </w:tc>
        <w:tc>
          <w:tcPr>
            <w:tcW w:w="2054" w:type="dxa"/>
            <w:noWrap w:val="0"/>
            <w:vAlign w:val="center"/>
          </w:tcPr>
          <w:p w14:paraId="7057810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866" w:type="dxa"/>
            <w:noWrap w:val="0"/>
            <w:vAlign w:val="center"/>
          </w:tcPr>
          <w:p w14:paraId="7639220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01230A8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6B6FE6C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14AD08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61ECE80C">
            <w:pPr>
              <w:pStyle w:val="15"/>
              <w:ind w:left="0" w:leftChars="0"/>
              <w:jc w:val="center"/>
              <w:rPr>
                <w:rFonts w:hint="eastAsia" w:ascii="宋体" w:hAnsi="宋体" w:eastAsia="宋体" w:cs="宋体"/>
                <w:color w:val="auto"/>
                <w:sz w:val="24"/>
                <w:szCs w:val="24"/>
                <w:highlight w:val="none"/>
              </w:rPr>
            </w:pPr>
          </w:p>
        </w:tc>
        <w:tc>
          <w:tcPr>
            <w:tcW w:w="2054" w:type="dxa"/>
            <w:noWrap w:val="0"/>
            <w:vAlign w:val="center"/>
          </w:tcPr>
          <w:p w14:paraId="1F4D9C4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866" w:type="dxa"/>
            <w:noWrap w:val="0"/>
            <w:vAlign w:val="center"/>
          </w:tcPr>
          <w:p w14:paraId="0D331A5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730653D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52805C2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72E42B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019C3F1F">
            <w:pPr>
              <w:pStyle w:val="15"/>
              <w:ind w:left="0" w:leftChars="0"/>
              <w:jc w:val="center"/>
              <w:rPr>
                <w:rFonts w:hint="eastAsia" w:ascii="宋体" w:hAnsi="宋体" w:eastAsia="宋体" w:cs="宋体"/>
                <w:color w:val="auto"/>
                <w:sz w:val="24"/>
                <w:szCs w:val="24"/>
                <w:highlight w:val="none"/>
              </w:rPr>
            </w:pPr>
          </w:p>
        </w:tc>
        <w:tc>
          <w:tcPr>
            <w:tcW w:w="2054" w:type="dxa"/>
            <w:noWrap w:val="0"/>
            <w:vAlign w:val="center"/>
          </w:tcPr>
          <w:p w14:paraId="3BE23E8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866" w:type="dxa"/>
            <w:noWrap w:val="0"/>
            <w:vAlign w:val="center"/>
          </w:tcPr>
          <w:p w14:paraId="6EABAB7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4C98821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37B9506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bl>
    <w:p w14:paraId="581D5044">
      <w:pPr>
        <w:rPr>
          <w:rFonts w:cs="宋体"/>
          <w:b/>
          <w:color w:val="auto"/>
          <w:kern w:val="0"/>
          <w:sz w:val="24"/>
          <w:highlight w:val="none"/>
        </w:rPr>
      </w:pPr>
    </w:p>
    <w:p w14:paraId="2D9FF58B">
      <w:pPr>
        <w:pStyle w:val="32"/>
        <w:rPr>
          <w:color w:val="auto"/>
          <w:highlight w:val="none"/>
        </w:rPr>
      </w:pPr>
    </w:p>
    <w:p w14:paraId="72D26616">
      <w:pPr>
        <w:pageBreakBefore w:val="0"/>
        <w:widowControl/>
        <w:wordWrap/>
        <w:overflowPunct/>
        <w:topLinePunct w:val="0"/>
        <w:bidi w:val="0"/>
        <w:spacing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（全称并加盖公章）</w:t>
      </w:r>
    </w:p>
    <w:p w14:paraId="72D86CC0">
      <w:pPr>
        <w:pageBreakBefore w:val="0"/>
        <w:widowControl/>
        <w:wordWrap/>
        <w:overflowPunct/>
        <w:topLinePunct w:val="0"/>
        <w:bidi w:val="0"/>
        <w:spacing w:line="360" w:lineRule="auto"/>
        <w:ind w:firstLine="1440" w:firstLineChars="6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p w14:paraId="0DA006A9">
      <w:pPr>
        <w:outlineLvl w:val="9"/>
        <w:rPr>
          <w:color w:val="auto"/>
          <w:highlight w:val="none"/>
        </w:rPr>
      </w:pPr>
    </w:p>
    <w:p w14:paraId="1AF7253C">
      <w:pPr>
        <w:outlineLvl w:val="9"/>
        <w:rPr>
          <w:color w:val="auto"/>
          <w:highlight w:val="none"/>
        </w:rPr>
      </w:pPr>
    </w:p>
    <w:p w14:paraId="6E287D79">
      <w:pPr>
        <w:outlineLvl w:val="9"/>
        <w:rPr>
          <w:color w:val="auto"/>
          <w:highlight w:val="none"/>
        </w:rPr>
      </w:pPr>
    </w:p>
    <w:p w14:paraId="13C04457">
      <w:pPr>
        <w:outlineLvl w:val="9"/>
        <w:rPr>
          <w:color w:val="auto"/>
          <w:highlight w:val="none"/>
        </w:rPr>
      </w:pPr>
    </w:p>
    <w:p w14:paraId="4A2EB078">
      <w:pPr>
        <w:outlineLvl w:val="9"/>
        <w:rPr>
          <w:color w:val="auto"/>
          <w:highlight w:val="none"/>
        </w:rPr>
      </w:pPr>
    </w:p>
    <w:p w14:paraId="43EAD604">
      <w:pPr>
        <w:outlineLvl w:val="9"/>
        <w:rPr>
          <w:color w:val="auto"/>
          <w:highlight w:val="none"/>
        </w:rPr>
      </w:pPr>
    </w:p>
    <w:p w14:paraId="19744BE6">
      <w:pPr>
        <w:outlineLvl w:val="9"/>
        <w:rPr>
          <w:color w:val="auto"/>
          <w:highlight w:val="none"/>
        </w:rPr>
      </w:pPr>
    </w:p>
    <w:p w14:paraId="5F63C006">
      <w:pPr>
        <w:outlineLvl w:val="9"/>
        <w:rPr>
          <w:color w:val="auto"/>
          <w:highlight w:val="none"/>
        </w:rPr>
      </w:pPr>
    </w:p>
    <w:p w14:paraId="12F8A432">
      <w:pPr>
        <w:outlineLvl w:val="9"/>
        <w:rPr>
          <w:color w:val="auto"/>
          <w:highlight w:val="none"/>
        </w:rPr>
      </w:pPr>
    </w:p>
    <w:p w14:paraId="10FEF14A">
      <w:pPr>
        <w:outlineLvl w:val="9"/>
        <w:rPr>
          <w:color w:val="auto"/>
          <w:highlight w:val="none"/>
        </w:rPr>
      </w:pPr>
    </w:p>
    <w:p w14:paraId="633B9497">
      <w:pPr>
        <w:outlineLvl w:val="9"/>
        <w:rPr>
          <w:color w:val="auto"/>
          <w:highlight w:val="none"/>
        </w:rPr>
      </w:pPr>
    </w:p>
    <w:p w14:paraId="4D916BE8">
      <w:pPr>
        <w:outlineLvl w:val="9"/>
        <w:rPr>
          <w:color w:val="auto"/>
          <w:highlight w:val="none"/>
        </w:rPr>
      </w:pPr>
    </w:p>
    <w:p w14:paraId="14DEC6F3">
      <w:pPr>
        <w:outlineLvl w:val="9"/>
        <w:rPr>
          <w:color w:val="auto"/>
          <w:highlight w:val="none"/>
        </w:rPr>
      </w:pPr>
    </w:p>
    <w:p w14:paraId="1E0A2E38">
      <w:pPr>
        <w:outlineLvl w:val="9"/>
        <w:rPr>
          <w:color w:val="auto"/>
          <w:highlight w:val="none"/>
        </w:rPr>
      </w:pPr>
    </w:p>
    <w:p w14:paraId="3FEDDC7F">
      <w:pPr>
        <w:outlineLvl w:val="9"/>
        <w:rPr>
          <w:color w:val="auto"/>
          <w:highlight w:val="none"/>
        </w:rPr>
      </w:pPr>
    </w:p>
    <w:p w14:paraId="3369782D">
      <w:pPr>
        <w:rPr>
          <w:rFonts w:hint="eastAsia" w:ascii="Arial" w:hAnsi="Arial" w:eastAsia="新宋体"/>
          <w:b/>
          <w:color w:val="auto"/>
          <w:sz w:val="28"/>
          <w:highlight w:val="none"/>
        </w:rPr>
      </w:pPr>
      <w:bookmarkStart w:id="79" w:name="_Toc28621"/>
      <w:bookmarkStart w:id="80" w:name="_Toc31526"/>
      <w:r>
        <w:rPr>
          <w:rFonts w:hint="eastAsia" w:ascii="Arial" w:hAnsi="Arial" w:eastAsia="新宋体"/>
          <w:b/>
          <w:color w:val="auto"/>
          <w:sz w:val="28"/>
          <w:highlight w:val="none"/>
        </w:rPr>
        <w:br w:type="page"/>
      </w:r>
    </w:p>
    <w:p w14:paraId="4460D499">
      <w:pPr>
        <w:widowControl/>
        <w:wordWrap w:val="0"/>
        <w:spacing w:line="460" w:lineRule="exact"/>
        <w:jc w:val="left"/>
        <w:outlineLvl w:val="0"/>
        <w:rPr>
          <w:rFonts w:hint="eastAsia" w:ascii="黑体" w:hAnsi="黑体" w:eastAsia="黑体" w:cs="黑体"/>
          <w:b w:val="0"/>
          <w:bCs/>
          <w:color w:val="auto"/>
          <w:sz w:val="32"/>
          <w:szCs w:val="28"/>
          <w:highlight w:val="none"/>
        </w:rPr>
      </w:pPr>
      <w:bookmarkStart w:id="81" w:name="_Toc29406"/>
      <w:r>
        <w:rPr>
          <w:rFonts w:hint="eastAsia" w:ascii="黑体" w:hAnsi="黑体" w:eastAsia="黑体" w:cs="黑体"/>
          <w:b w:val="0"/>
          <w:bCs/>
          <w:color w:val="auto"/>
          <w:sz w:val="32"/>
          <w:szCs w:val="28"/>
          <w:highlight w:val="none"/>
        </w:rPr>
        <w:t xml:space="preserve">附件7     </w:t>
      </w:r>
      <w:r>
        <w:rPr>
          <w:rFonts w:hint="eastAsia" w:ascii="黑体" w:hAnsi="黑体" w:eastAsia="黑体" w:cs="黑体"/>
          <w:b w:val="0"/>
          <w:bCs/>
          <w:color w:val="auto"/>
          <w:sz w:val="32"/>
          <w:szCs w:val="28"/>
          <w:highlight w:val="none"/>
          <w:lang w:val="en-US" w:eastAsia="zh-CN"/>
        </w:rPr>
        <w:t xml:space="preserve">   </w:t>
      </w:r>
      <w:r>
        <w:rPr>
          <w:rFonts w:hint="eastAsia" w:ascii="黑体" w:hAnsi="黑体" w:eastAsia="黑体" w:cs="黑体"/>
          <w:b w:val="0"/>
          <w:bCs/>
          <w:color w:val="auto"/>
          <w:sz w:val="32"/>
          <w:szCs w:val="28"/>
          <w:highlight w:val="none"/>
        </w:rPr>
        <w:t xml:space="preserve">   法定代表人身份证明（格式）</w:t>
      </w:r>
      <w:bookmarkEnd w:id="79"/>
      <w:bookmarkEnd w:id="80"/>
      <w:bookmarkEnd w:id="81"/>
    </w:p>
    <w:p w14:paraId="6A4AE771">
      <w:pPr>
        <w:widowControl/>
        <w:wordWrap w:val="0"/>
        <w:spacing w:line="460" w:lineRule="exact"/>
        <w:jc w:val="left"/>
        <w:rPr>
          <w:rFonts w:ascii="宋体" w:hAnsi="宋体" w:cs="宋体"/>
          <w:color w:val="auto"/>
          <w:kern w:val="0"/>
          <w:sz w:val="24"/>
          <w:highlight w:val="none"/>
        </w:rPr>
      </w:pPr>
    </w:p>
    <w:p w14:paraId="51169636">
      <w:pPr>
        <w:widowControl/>
        <w:wordWrap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名称：</w:t>
      </w:r>
      <w:r>
        <w:rPr>
          <w:rFonts w:hint="eastAsia" w:ascii="宋体" w:hAnsi="宋体" w:cs="宋体"/>
          <w:color w:val="auto"/>
          <w:kern w:val="0"/>
          <w:szCs w:val="21"/>
          <w:highlight w:val="none"/>
          <w:u w:val="single"/>
          <w:lang w:val="en-US" w:eastAsia="zh-CN"/>
        </w:rPr>
        <w:t xml:space="preserve">                                </w:t>
      </w:r>
    </w:p>
    <w:p w14:paraId="7C308D76">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地址：</w:t>
      </w:r>
      <w:r>
        <w:rPr>
          <w:rFonts w:hint="eastAsia" w:ascii="宋体" w:hAnsi="宋体" w:cs="宋体"/>
          <w:color w:val="auto"/>
          <w:kern w:val="0"/>
          <w:szCs w:val="21"/>
          <w:highlight w:val="none"/>
          <w:u w:val="single"/>
          <w:lang w:val="en-US" w:eastAsia="zh-CN"/>
        </w:rPr>
        <w:t xml:space="preserve">                                        </w:t>
      </w:r>
    </w:p>
    <w:p w14:paraId="699047F3">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highlight w:val="none"/>
        </w:rPr>
        <w:t>成立时间：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年</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月</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日</w:t>
      </w:r>
    </w:p>
    <w:p w14:paraId="20F7A253">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szCs w:val="20"/>
          <w:highlight w:val="none"/>
        </w:rPr>
        <w:t>经营期限：</w:t>
      </w:r>
      <w:r>
        <w:rPr>
          <w:rFonts w:hint="eastAsia" w:ascii="宋体" w:hAnsi="宋体" w:cs="宋体"/>
          <w:color w:val="auto"/>
          <w:kern w:val="0"/>
          <w:szCs w:val="21"/>
          <w:highlight w:val="none"/>
          <w:u w:val="single"/>
          <w:lang w:val="en-US" w:eastAsia="zh-CN"/>
        </w:rPr>
        <w:t xml:space="preserve">                        </w:t>
      </w:r>
    </w:p>
    <w:p w14:paraId="14B03AFF">
      <w:pPr>
        <w:widowControl/>
        <w:wordWrap w:val="0"/>
        <w:spacing w:line="460" w:lineRule="exact"/>
        <w:ind w:firstLine="480" w:firstLineChars="200"/>
        <w:jc w:val="left"/>
        <w:rPr>
          <w:rFonts w:ascii="宋体" w:hAnsi="宋体" w:cs="宋体"/>
          <w:color w:val="auto"/>
          <w:kern w:val="0"/>
          <w:szCs w:val="21"/>
          <w:highlight w:val="none"/>
          <w:u w:val="single"/>
        </w:rPr>
      </w:pPr>
      <w:r>
        <w:rPr>
          <w:rFonts w:hint="eastAsia" w:ascii="宋体" w:hAnsi="宋体" w:cs="宋体"/>
          <w:color w:val="auto"/>
          <w:kern w:val="0"/>
          <w:sz w:val="24"/>
          <w:highlight w:val="none"/>
        </w:rPr>
        <w:t>姓名：</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，性别：</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，年龄：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，职务：</w:t>
      </w:r>
      <w:r>
        <w:rPr>
          <w:rFonts w:hint="eastAsia" w:ascii="宋体" w:hAnsi="宋体" w:cs="宋体"/>
          <w:color w:val="auto"/>
          <w:kern w:val="0"/>
          <w:szCs w:val="21"/>
          <w:highlight w:val="none"/>
          <w:u w:val="single"/>
          <w:lang w:val="en-US" w:eastAsia="zh-CN"/>
        </w:rPr>
        <w:t xml:space="preserve">        </w:t>
      </w:r>
    </w:p>
    <w:p w14:paraId="5D7E719E">
      <w:pPr>
        <w:widowControl/>
        <w:wordWrap w:val="0"/>
        <w:spacing w:line="460" w:lineRule="exact"/>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w:t>
      </w:r>
      <w:r>
        <w:rPr>
          <w:rFonts w:hint="eastAsia" w:ascii="宋体" w:hAnsi="宋体" w:cs="宋体"/>
          <w:color w:val="auto"/>
          <w:kern w:val="0"/>
          <w:sz w:val="24"/>
          <w:szCs w:val="20"/>
          <w:highlight w:val="none"/>
          <w:lang w:eastAsia="zh-CN"/>
        </w:rPr>
        <w:t>供应商</w:t>
      </w:r>
      <w:r>
        <w:rPr>
          <w:rFonts w:hint="eastAsia" w:ascii="宋体" w:hAnsi="宋体" w:cs="宋体"/>
          <w:color w:val="auto"/>
          <w:kern w:val="0"/>
          <w:sz w:val="24"/>
          <w:szCs w:val="20"/>
          <w:highlight w:val="none"/>
        </w:rPr>
        <w:t>名称）的法定代表人。</w:t>
      </w:r>
    </w:p>
    <w:p w14:paraId="68F4C3C3">
      <w:pPr>
        <w:widowControl/>
        <w:wordWrap w:val="0"/>
        <w:spacing w:line="460" w:lineRule="exact"/>
        <w:jc w:val="left"/>
        <w:rPr>
          <w:rFonts w:ascii="宋体" w:hAnsi="宋体" w:cs="宋体"/>
          <w:color w:val="auto"/>
          <w:kern w:val="0"/>
          <w:sz w:val="24"/>
          <w:szCs w:val="20"/>
          <w:highlight w:val="none"/>
        </w:rPr>
      </w:pPr>
    </w:p>
    <w:p w14:paraId="7BE6A0EE">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特此证明。</w:t>
      </w:r>
    </w:p>
    <w:p w14:paraId="0D3A4106">
      <w:pPr>
        <w:widowControl/>
        <w:wordWrap w:val="0"/>
        <w:spacing w:line="460" w:lineRule="exact"/>
        <w:jc w:val="left"/>
        <w:rPr>
          <w:rFonts w:ascii="宋体" w:hAnsi="宋体" w:cs="宋体"/>
          <w:color w:val="auto"/>
          <w:kern w:val="0"/>
          <w:sz w:val="24"/>
          <w:szCs w:val="20"/>
          <w:highlight w:val="none"/>
        </w:rPr>
      </w:pPr>
    </w:p>
    <w:p w14:paraId="3C8FDED3">
      <w:pPr>
        <w:widowControl/>
        <w:wordWrap w:val="0"/>
        <w:spacing w:beforeLines="100" w:afterLines="100" w:line="480" w:lineRule="exact"/>
        <w:jc w:val="center"/>
        <w:rPr>
          <w:rFonts w:ascii="宋体" w:hAnsi="宋体" w:cs="Lucida Sans Unicode"/>
          <w:b/>
          <w:color w:val="auto"/>
          <w:kern w:val="0"/>
          <w:sz w:val="36"/>
          <w:szCs w:val="36"/>
          <w:highlight w:val="none"/>
        </w:rPr>
      </w:pPr>
    </w:p>
    <w:tbl>
      <w:tblPr>
        <w:tblStyle w:val="33"/>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14:paraId="7FFDD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Borders>
              <w:top w:val="single" w:color="auto" w:sz="4" w:space="0"/>
              <w:left w:val="single" w:color="auto" w:sz="4" w:space="0"/>
              <w:bottom w:val="single" w:color="auto" w:sz="4" w:space="0"/>
              <w:right w:val="single" w:color="auto" w:sz="4" w:space="0"/>
            </w:tcBorders>
          </w:tcPr>
          <w:p w14:paraId="051B3AC7">
            <w:pPr>
              <w:widowControl/>
              <w:spacing w:line="480" w:lineRule="exact"/>
              <w:jc w:val="left"/>
              <w:rPr>
                <w:rFonts w:ascii="宋体" w:hAnsi="宋体" w:cs="Lucida Sans Unicode"/>
                <w:bCs/>
                <w:color w:val="auto"/>
                <w:kern w:val="0"/>
                <w:sz w:val="24"/>
                <w:highlight w:val="none"/>
              </w:rPr>
            </w:pPr>
            <w:r>
              <w:rPr>
                <w:rFonts w:hint="eastAsia" w:ascii="宋体" w:hAnsi="宋体" w:cs="Lucida Sans Unicode"/>
                <w:bCs/>
                <w:color w:val="auto"/>
                <w:kern w:val="0"/>
                <w:sz w:val="24"/>
                <w:highlight w:val="none"/>
              </w:rPr>
              <w:t>此处请粘贴法定代表人身份证复印件</w:t>
            </w:r>
          </w:p>
          <w:p w14:paraId="74BCE292">
            <w:pPr>
              <w:widowControl/>
              <w:spacing w:line="480" w:lineRule="exact"/>
              <w:jc w:val="left"/>
              <w:rPr>
                <w:rFonts w:ascii="仿宋_GB2312" w:hAnsi="Lucida Sans Unicode" w:eastAsia="仿宋_GB2312" w:cs="Lucida Sans Unicode"/>
                <w:color w:val="auto"/>
                <w:kern w:val="0"/>
                <w:sz w:val="24"/>
                <w:highlight w:val="none"/>
              </w:rPr>
            </w:pPr>
          </w:p>
          <w:p w14:paraId="66F4FDAA">
            <w:pPr>
              <w:widowControl/>
              <w:spacing w:line="480" w:lineRule="exact"/>
              <w:jc w:val="left"/>
              <w:rPr>
                <w:rFonts w:ascii="仿宋_GB2312" w:hAnsi="Lucida Sans Unicode" w:eastAsia="仿宋_GB2312" w:cs="Lucida Sans Unicode"/>
                <w:color w:val="auto"/>
                <w:kern w:val="0"/>
                <w:sz w:val="24"/>
                <w:highlight w:val="none"/>
              </w:rPr>
            </w:pPr>
          </w:p>
        </w:tc>
      </w:tr>
    </w:tbl>
    <w:p w14:paraId="33EBDBD1">
      <w:pPr>
        <w:widowControl/>
        <w:wordWrap w:val="0"/>
        <w:spacing w:beforeLines="100" w:afterLines="100" w:line="480" w:lineRule="exact"/>
        <w:jc w:val="center"/>
        <w:rPr>
          <w:rFonts w:ascii="宋体" w:hAnsi="宋体" w:cs="Lucida Sans Unicode"/>
          <w:b/>
          <w:color w:val="auto"/>
          <w:kern w:val="0"/>
          <w:sz w:val="24"/>
          <w:highlight w:val="none"/>
        </w:rPr>
      </w:pPr>
    </w:p>
    <w:p w14:paraId="3522A1D9">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14:paraId="0CBC4043">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14:paraId="54BC2E63">
      <w:pPr>
        <w:widowControl/>
        <w:wordWrap w:val="0"/>
        <w:spacing w:line="480" w:lineRule="exact"/>
        <w:jc w:val="right"/>
        <w:rPr>
          <w:rFonts w:ascii="仿宋_GB2312" w:hAnsi="仿宋_GB2312" w:eastAsia="仿宋_GB2312" w:cs="Lucida Sans Unicode"/>
          <w:color w:val="auto"/>
          <w:kern w:val="0"/>
          <w:sz w:val="24"/>
          <w:highlight w:val="none"/>
        </w:rPr>
      </w:pPr>
    </w:p>
    <w:p w14:paraId="6A5CA3C8">
      <w:pPr>
        <w:widowControl/>
        <w:wordWrap w:val="0"/>
        <w:spacing w:line="480" w:lineRule="exact"/>
        <w:jc w:val="right"/>
        <w:rPr>
          <w:rFonts w:ascii="仿宋_GB2312" w:hAnsi="仿宋_GB2312" w:eastAsia="仿宋_GB2312" w:cs="Lucida Sans Unicode"/>
          <w:color w:val="auto"/>
          <w:kern w:val="0"/>
          <w:sz w:val="24"/>
          <w:highlight w:val="none"/>
        </w:rPr>
      </w:pPr>
    </w:p>
    <w:p w14:paraId="3FD120BF">
      <w:pPr>
        <w:widowControl/>
        <w:wordWrap w:val="0"/>
        <w:snapToGrid w:val="0"/>
        <w:spacing w:line="460" w:lineRule="exact"/>
        <w:ind w:firstLine="2760" w:firstLineChars="1150"/>
        <w:jc w:val="left"/>
        <w:rPr>
          <w:rFonts w:ascii="宋体" w:hAnsi="宋体" w:cs="宋体"/>
          <w:color w:val="auto"/>
          <w:kern w:val="0"/>
          <w:sz w:val="24"/>
          <w:highlight w:val="none"/>
        </w:rPr>
      </w:pP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14:paraId="4274B410">
      <w:pPr>
        <w:widowControl/>
        <w:wordWrap w:val="0"/>
        <w:spacing w:line="460" w:lineRule="exact"/>
        <w:ind w:left="3780" w:leftChars="1800"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年    月    日</w:t>
      </w:r>
    </w:p>
    <w:p w14:paraId="79A45D6D">
      <w:pPr>
        <w:rPr>
          <w:color w:val="auto"/>
          <w:highlight w:val="none"/>
        </w:rPr>
      </w:pPr>
    </w:p>
    <w:p w14:paraId="57493300">
      <w:pPr>
        <w:rPr>
          <w:color w:val="auto"/>
          <w:highlight w:val="none"/>
        </w:rPr>
      </w:pPr>
      <w:r>
        <w:rPr>
          <w:color w:val="auto"/>
          <w:highlight w:val="none"/>
        </w:rPr>
        <w:br w:type="page"/>
      </w:r>
    </w:p>
    <w:p w14:paraId="1195661F">
      <w:pPr>
        <w:widowControl/>
        <w:wordWrap w:val="0"/>
        <w:spacing w:line="460" w:lineRule="exact"/>
        <w:jc w:val="left"/>
        <w:outlineLvl w:val="0"/>
        <w:rPr>
          <w:rFonts w:hint="eastAsia" w:ascii="黑体" w:hAnsi="黑体" w:eastAsia="黑体" w:cs="黑体"/>
          <w:b/>
          <w:color w:val="auto"/>
          <w:sz w:val="32"/>
          <w:szCs w:val="28"/>
          <w:highlight w:val="none"/>
        </w:rPr>
      </w:pPr>
      <w:bookmarkStart w:id="82" w:name="_Toc30519"/>
      <w:bookmarkStart w:id="83" w:name="_Toc13976"/>
      <w:bookmarkStart w:id="84" w:name="_Toc12939"/>
      <w:r>
        <w:rPr>
          <w:rFonts w:hint="eastAsia" w:ascii="黑体" w:hAnsi="黑体" w:eastAsia="黑体" w:cs="黑体"/>
          <w:b/>
          <w:color w:val="auto"/>
          <w:sz w:val="32"/>
          <w:szCs w:val="28"/>
          <w:highlight w:val="none"/>
        </w:rPr>
        <w:t>附件8             法定代表人授权书（格式）</w:t>
      </w:r>
      <w:bookmarkEnd w:id="82"/>
      <w:bookmarkEnd w:id="83"/>
      <w:bookmarkEnd w:id="84"/>
    </w:p>
    <w:p w14:paraId="4AAFDA24">
      <w:pPr>
        <w:widowControl/>
        <w:tabs>
          <w:tab w:val="left" w:pos="420"/>
          <w:tab w:val="left" w:pos="2160"/>
        </w:tabs>
        <w:wordWrap w:val="0"/>
        <w:spacing w:line="460" w:lineRule="exact"/>
        <w:ind w:firstLine="480" w:firstLineChars="200"/>
        <w:jc w:val="left"/>
        <w:rPr>
          <w:rFonts w:ascii="宋体" w:hAnsi="宋体" w:cs="宋体"/>
          <w:color w:val="auto"/>
          <w:kern w:val="0"/>
          <w:sz w:val="24"/>
          <w:highlight w:val="none"/>
        </w:rPr>
      </w:pPr>
    </w:p>
    <w:p w14:paraId="71EA38A1">
      <w:pPr>
        <w:widowControl/>
        <w:wordWrap w:val="0"/>
        <w:snapToGrid w:val="0"/>
        <w:spacing w:line="460" w:lineRule="exact"/>
        <w:jc w:val="left"/>
        <w:rPr>
          <w:rFonts w:ascii="宋体" w:hAnsi="宋体" w:cs="宋体"/>
          <w:b/>
          <w:bCs/>
          <w:color w:val="auto"/>
          <w:kern w:val="0"/>
          <w:sz w:val="24"/>
          <w:highlight w:val="none"/>
        </w:rPr>
      </w:pPr>
      <w:r>
        <w:rPr>
          <w:rFonts w:hint="eastAsia" w:ascii="宋体" w:hAnsi="宋体" w:cs="宋体"/>
          <w:bCs/>
          <w:color w:val="auto"/>
          <w:kern w:val="0"/>
          <w:sz w:val="24"/>
          <w:highlight w:val="none"/>
        </w:rPr>
        <w:t>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采购人</w:t>
      </w:r>
      <w:r>
        <w:rPr>
          <w:rFonts w:hint="eastAsia" w:ascii="宋体" w:hAnsi="宋体" w:cs="宋体"/>
          <w:color w:val="auto"/>
          <w:kern w:val="0"/>
          <w:sz w:val="24"/>
          <w:highlight w:val="none"/>
        </w:rPr>
        <w:t>名称）：</w:t>
      </w:r>
    </w:p>
    <w:p w14:paraId="52018677">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 xml:space="preserve">名称）的法定代表人，现委托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（姓名）为我方代理人。代理人根据本授权，以我方的名义参加</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项目的投标活动，并代表我方全权办理针对上述项目的投标、开标、评标、签约等具体事务和签署相关文件。</w:t>
      </w:r>
    </w:p>
    <w:p w14:paraId="0BC8F095">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7520C096">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如果本次采购活动现场变更采购方式，本授权书有效。</w:t>
      </w:r>
    </w:p>
    <w:p w14:paraId="6858DA74">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代理人无转委托权。</w:t>
      </w:r>
    </w:p>
    <w:p w14:paraId="2A04091A">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委托期限：</w:t>
      </w:r>
    </w:p>
    <w:p w14:paraId="2ACB0F6B">
      <w:pPr>
        <w:widowControl/>
        <w:wordWrap w:val="0"/>
        <w:snapToGrid w:val="0"/>
        <w:spacing w:line="460" w:lineRule="exact"/>
        <w:ind w:firstLine="480" w:firstLineChars="200"/>
        <w:jc w:val="left"/>
        <w:rPr>
          <w:rFonts w:ascii="宋体" w:hAnsi="宋体" w:cs="宋体"/>
          <w:color w:val="auto"/>
          <w:kern w:val="0"/>
          <w:sz w:val="24"/>
          <w:highlight w:val="none"/>
        </w:rPr>
      </w:pPr>
    </w:p>
    <w:p w14:paraId="79CFE0E6">
      <w:pPr>
        <w:widowControl/>
        <w:wordWrap w:val="0"/>
        <w:snapToGrid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委托代理人签名：             法定代表人签名：</w:t>
      </w:r>
    </w:p>
    <w:p w14:paraId="364528FB">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职务：                      职务：</w:t>
      </w:r>
    </w:p>
    <w:tbl>
      <w:tblPr>
        <w:tblStyle w:val="33"/>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14:paraId="6CC63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Borders>
              <w:top w:val="single" w:color="auto" w:sz="4" w:space="0"/>
              <w:left w:val="single" w:color="auto" w:sz="4" w:space="0"/>
              <w:bottom w:val="single" w:color="auto" w:sz="4" w:space="0"/>
              <w:right w:val="single" w:color="auto" w:sz="4" w:space="0"/>
            </w:tcBorders>
          </w:tcPr>
          <w:p w14:paraId="7808F9A9">
            <w:pPr>
              <w:widowControl/>
              <w:spacing w:line="480" w:lineRule="exact"/>
              <w:jc w:val="left"/>
              <w:rPr>
                <w:rFonts w:ascii="宋体" w:hAnsi="宋体" w:cs="Lucida Sans Unicode"/>
                <w:color w:val="auto"/>
                <w:kern w:val="0"/>
                <w:sz w:val="24"/>
                <w:highlight w:val="none"/>
              </w:rPr>
            </w:pPr>
            <w:r>
              <w:rPr>
                <w:rFonts w:hint="eastAsia" w:ascii="宋体" w:hAnsi="宋体" w:cs="Lucida Sans Unicode"/>
                <w:bCs/>
                <w:color w:val="auto"/>
                <w:kern w:val="0"/>
                <w:sz w:val="24"/>
                <w:highlight w:val="none"/>
              </w:rPr>
              <w:t>此处请粘贴</w:t>
            </w:r>
            <w:r>
              <w:rPr>
                <w:rFonts w:hint="eastAsia" w:ascii="宋体" w:hAnsi="宋体" w:cs="宋体"/>
                <w:color w:val="auto"/>
                <w:kern w:val="0"/>
                <w:sz w:val="24"/>
                <w:highlight w:val="none"/>
              </w:rPr>
              <w:t>委托代理人</w:t>
            </w:r>
            <w:r>
              <w:rPr>
                <w:rFonts w:hint="eastAsia" w:ascii="宋体" w:hAnsi="宋体" w:cs="Lucida Sans Unicode"/>
                <w:bCs/>
                <w:color w:val="auto"/>
                <w:kern w:val="0"/>
                <w:sz w:val="24"/>
                <w:highlight w:val="none"/>
              </w:rPr>
              <w:t>身份证复印件</w:t>
            </w:r>
          </w:p>
        </w:tc>
      </w:tr>
    </w:tbl>
    <w:p w14:paraId="454D6963">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委托代理人身份证号码：</w:t>
      </w:r>
    </w:p>
    <w:p w14:paraId="0F9F10F7">
      <w:pPr>
        <w:widowControl/>
        <w:wordWrap w:val="0"/>
        <w:spacing w:line="460" w:lineRule="exact"/>
        <w:ind w:firstLine="4800" w:firstLineChars="2000"/>
        <w:jc w:val="left"/>
        <w:rPr>
          <w:rFonts w:ascii="仿宋_GB2312" w:hAnsi="Lucida Sans Unicode" w:eastAsia="仿宋_GB2312" w:cs="Lucida Sans Unicode"/>
          <w:color w:val="auto"/>
          <w:kern w:val="0"/>
          <w:sz w:val="24"/>
          <w:highlight w:val="none"/>
        </w:rPr>
      </w:pPr>
    </w:p>
    <w:p w14:paraId="3A5A32D9">
      <w:pPr>
        <w:widowControl/>
        <w:wordWrap w:val="0"/>
        <w:spacing w:line="360" w:lineRule="auto"/>
        <w:jc w:val="center"/>
        <w:rPr>
          <w:rFonts w:ascii="仿宋_GB2312" w:hAnsi="Lucida Sans Unicode" w:eastAsia="仿宋_GB2312" w:cs="Lucida Sans Unicode"/>
          <w:color w:val="auto"/>
          <w:kern w:val="0"/>
          <w:sz w:val="24"/>
          <w:highlight w:val="none"/>
        </w:rPr>
      </w:pPr>
    </w:p>
    <w:p w14:paraId="697765BE">
      <w:pPr>
        <w:widowControl/>
        <w:wordWrap w:val="0"/>
        <w:spacing w:line="360" w:lineRule="auto"/>
        <w:jc w:val="right"/>
        <w:rPr>
          <w:rFonts w:hint="eastAsia" w:ascii="宋体" w:hAnsi="宋体" w:cs="宋体"/>
          <w:color w:val="auto"/>
          <w:kern w:val="0"/>
          <w:sz w:val="24"/>
          <w:highlight w:val="none"/>
        </w:rPr>
      </w:pPr>
    </w:p>
    <w:p w14:paraId="7A1AD361">
      <w:pPr>
        <w:widowControl/>
        <w:wordWrap w:val="0"/>
        <w:spacing w:line="360" w:lineRule="auto"/>
        <w:jc w:val="right"/>
        <w:rPr>
          <w:rFonts w:hint="eastAsia" w:ascii="宋体" w:hAnsi="宋体" w:cs="宋体"/>
          <w:color w:val="auto"/>
          <w:kern w:val="0"/>
          <w:sz w:val="24"/>
          <w:highlight w:val="none"/>
        </w:rPr>
      </w:pPr>
    </w:p>
    <w:p w14:paraId="590A2270">
      <w:pPr>
        <w:widowControl/>
        <w:wordWrap w:val="0"/>
        <w:spacing w:line="360" w:lineRule="auto"/>
        <w:jc w:val="right"/>
        <w:rPr>
          <w:rFonts w:hint="eastAsia" w:ascii="宋体" w:hAnsi="宋体" w:cs="宋体"/>
          <w:color w:val="auto"/>
          <w:kern w:val="0"/>
          <w:sz w:val="24"/>
          <w:highlight w:val="none"/>
        </w:rPr>
      </w:pPr>
    </w:p>
    <w:p w14:paraId="4A36427E">
      <w:pPr>
        <w:widowControl/>
        <w:wordWrap w:val="0"/>
        <w:spacing w:line="360" w:lineRule="auto"/>
        <w:jc w:val="right"/>
        <w:rPr>
          <w:rFonts w:hint="eastAsia" w:ascii="宋体" w:hAnsi="宋体" w:cs="宋体"/>
          <w:color w:val="auto"/>
          <w:kern w:val="0"/>
          <w:sz w:val="24"/>
          <w:highlight w:val="none"/>
        </w:rPr>
      </w:pPr>
    </w:p>
    <w:p w14:paraId="6A42EB52">
      <w:pPr>
        <w:widowControl/>
        <w:wordWrap w:val="0"/>
        <w:spacing w:line="360" w:lineRule="auto"/>
        <w:jc w:val="right"/>
        <w:rPr>
          <w:rFonts w:hint="eastAsia" w:ascii="宋体" w:hAnsi="宋体" w:cs="宋体"/>
          <w:color w:val="auto"/>
          <w:kern w:val="0"/>
          <w:sz w:val="24"/>
          <w:highlight w:val="none"/>
        </w:rPr>
      </w:pPr>
    </w:p>
    <w:p w14:paraId="3CF2C9FA">
      <w:pPr>
        <w:widowControl/>
        <w:wordWrap/>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14:paraId="38A30117">
      <w:pPr>
        <w:widowControl/>
        <w:wordWrap w:val="0"/>
        <w:spacing w:line="460" w:lineRule="exact"/>
        <w:ind w:firstLine="3840" w:firstLineChars="1600"/>
        <w:jc w:val="left"/>
        <w:rPr>
          <w:rFonts w:ascii="宋体" w:hAnsi="宋体" w:cs="宋体"/>
          <w:b/>
          <w:color w:val="auto"/>
          <w:kern w:val="0"/>
          <w:sz w:val="32"/>
          <w:szCs w:val="32"/>
          <w:highlight w:val="none"/>
        </w:rPr>
      </w:pPr>
      <w:r>
        <w:rPr>
          <w:rFonts w:hint="eastAsia" w:ascii="宋体" w:hAnsi="宋体" w:cs="宋体"/>
          <w:color w:val="auto"/>
          <w:kern w:val="0"/>
          <w:sz w:val="24"/>
          <w:highlight w:val="none"/>
        </w:rPr>
        <w:t>年    月    日</w:t>
      </w:r>
    </w:p>
    <w:p w14:paraId="5A1ED69A">
      <w:pPr>
        <w:widowControl/>
        <w:spacing w:line="360" w:lineRule="auto"/>
        <w:ind w:firstLine="7228" w:firstLineChars="2250"/>
        <w:jc w:val="left"/>
        <w:rPr>
          <w:rFonts w:ascii="宋体" w:hAnsi="宋体" w:cs="宋体"/>
          <w:b/>
          <w:color w:val="auto"/>
          <w:kern w:val="0"/>
          <w:sz w:val="32"/>
          <w:szCs w:val="32"/>
          <w:highlight w:val="none"/>
        </w:rPr>
      </w:pPr>
    </w:p>
    <w:p w14:paraId="45F7C72B">
      <w:pPr>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14:paraId="571D897E">
      <w:pPr>
        <w:widowControl/>
        <w:snapToGrid w:val="0"/>
        <w:spacing w:before="156" w:after="156" w:line="360" w:lineRule="auto"/>
        <w:jc w:val="left"/>
        <w:outlineLvl w:val="0"/>
        <w:rPr>
          <w:rFonts w:hint="eastAsia" w:ascii="黑体" w:hAnsi="黑体" w:eastAsia="黑体" w:cs="黑体"/>
          <w:b/>
          <w:bCs w:val="0"/>
          <w:color w:val="auto"/>
          <w:kern w:val="0"/>
          <w:sz w:val="32"/>
          <w:szCs w:val="32"/>
          <w:highlight w:val="none"/>
        </w:rPr>
      </w:pPr>
      <w:bookmarkStart w:id="85" w:name="_Toc18105"/>
      <w:bookmarkStart w:id="86" w:name="_Toc3342"/>
      <w:bookmarkStart w:id="87" w:name="_Toc24693"/>
      <w:r>
        <w:rPr>
          <w:rFonts w:hint="eastAsia" w:ascii="黑体" w:hAnsi="黑体" w:eastAsia="黑体" w:cs="黑体"/>
          <w:b/>
          <w:bCs w:val="0"/>
          <w:color w:val="auto"/>
          <w:sz w:val="32"/>
          <w:szCs w:val="32"/>
          <w:highlight w:val="none"/>
        </w:rPr>
        <w:t>附件9               证明文件</w:t>
      </w:r>
      <w:bookmarkEnd w:id="85"/>
      <w:bookmarkEnd w:id="86"/>
      <w:bookmarkEnd w:id="87"/>
    </w:p>
    <w:p w14:paraId="5DEF24B6">
      <w:pPr>
        <w:pStyle w:val="11"/>
        <w:spacing w:beforeAutospacing="0" w:afterAutospacing="0" w:line="480" w:lineRule="auto"/>
        <w:ind w:firstLine="470" w:firstLineChars="224"/>
        <w:jc w:val="both"/>
        <w:rPr>
          <w:rFonts w:hint="eastAsia"/>
          <w:bCs/>
          <w:color w:val="auto"/>
          <w:sz w:val="21"/>
          <w:szCs w:val="21"/>
          <w:highlight w:val="none"/>
        </w:rPr>
      </w:pPr>
      <w:r>
        <w:rPr>
          <w:rFonts w:hint="eastAsia"/>
          <w:bCs/>
          <w:color w:val="auto"/>
          <w:sz w:val="21"/>
          <w:szCs w:val="21"/>
          <w:highlight w:val="none"/>
        </w:rPr>
        <w:t>9.1</w:t>
      </w:r>
      <w:r>
        <w:rPr>
          <w:rFonts w:hint="eastAsia"/>
          <w:bCs/>
          <w:color w:val="auto"/>
          <w:sz w:val="21"/>
          <w:szCs w:val="21"/>
          <w:highlight w:val="none"/>
          <w:lang w:val="en-US" w:eastAsia="zh-CN"/>
        </w:rPr>
        <w:t xml:space="preserve"> </w:t>
      </w:r>
      <w:r>
        <w:rPr>
          <w:rFonts w:hint="eastAsia"/>
          <w:bCs/>
          <w:color w:val="auto"/>
          <w:sz w:val="21"/>
          <w:szCs w:val="21"/>
          <w:highlight w:val="none"/>
        </w:rPr>
        <w:t>资格审查资料</w:t>
      </w:r>
    </w:p>
    <w:p w14:paraId="4E3F1872">
      <w:pPr>
        <w:pStyle w:val="11"/>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lang w:val="en-US" w:eastAsia="zh-CN"/>
        </w:rPr>
        <w:t>9.2产品技术参数支持资料</w:t>
      </w:r>
    </w:p>
    <w:p w14:paraId="6B43BA91">
      <w:pPr>
        <w:pStyle w:val="11"/>
        <w:spacing w:beforeAutospacing="0" w:afterAutospacing="0" w:line="480" w:lineRule="auto"/>
        <w:ind w:firstLine="470" w:firstLineChars="224"/>
        <w:jc w:val="both"/>
        <w:rPr>
          <w:rFonts w:hint="eastAsia"/>
          <w:bCs/>
          <w:color w:val="auto"/>
          <w:sz w:val="21"/>
          <w:szCs w:val="21"/>
          <w:highlight w:val="none"/>
          <w:lang w:val="en-US" w:eastAsia="zh-CN"/>
        </w:rPr>
      </w:pPr>
      <w:r>
        <w:rPr>
          <w:rFonts w:hint="eastAsia"/>
          <w:bCs/>
          <w:color w:val="auto"/>
          <w:sz w:val="21"/>
          <w:szCs w:val="21"/>
          <w:highlight w:val="none"/>
        </w:rPr>
        <w:t>9.3</w:t>
      </w:r>
      <w:r>
        <w:rPr>
          <w:rFonts w:hint="eastAsia"/>
          <w:bCs/>
          <w:color w:val="auto"/>
          <w:sz w:val="21"/>
          <w:szCs w:val="21"/>
          <w:highlight w:val="none"/>
          <w:lang w:val="en-US" w:eastAsia="zh-CN"/>
        </w:rPr>
        <w:t xml:space="preserve"> </w:t>
      </w:r>
      <w:bookmarkStart w:id="88" w:name="_Toc17966"/>
      <w:r>
        <w:rPr>
          <w:rFonts w:hint="eastAsia"/>
          <w:bCs/>
          <w:color w:val="auto"/>
          <w:sz w:val="21"/>
          <w:szCs w:val="21"/>
          <w:highlight w:val="none"/>
          <w:lang w:val="en-US" w:eastAsia="zh-CN"/>
        </w:rPr>
        <w:t>评分标准中需提供的证明材料</w:t>
      </w:r>
    </w:p>
    <w:p w14:paraId="5014EB1A">
      <w:pPr>
        <w:pStyle w:val="11"/>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w:t>
      </w:r>
      <w:r>
        <w:rPr>
          <w:rFonts w:hint="eastAsia"/>
          <w:bCs/>
          <w:color w:val="auto"/>
          <w:sz w:val="21"/>
          <w:szCs w:val="21"/>
          <w:highlight w:val="none"/>
          <w:lang w:val="en-US" w:eastAsia="zh-CN"/>
        </w:rPr>
        <w:t>4 供应商认为其他需要提供的证明材料</w:t>
      </w:r>
      <w:r>
        <w:rPr>
          <w:rFonts w:hint="eastAsia"/>
          <w:bCs/>
          <w:color w:val="auto"/>
          <w:sz w:val="21"/>
          <w:szCs w:val="21"/>
          <w:highlight w:val="none"/>
        </w:rPr>
        <w:t>。</w:t>
      </w:r>
    </w:p>
    <w:p w14:paraId="4F90A9F2">
      <w:pPr>
        <w:pStyle w:val="11"/>
        <w:spacing w:beforeAutospacing="0" w:afterAutospacing="0" w:line="480" w:lineRule="auto"/>
        <w:ind w:firstLine="540" w:firstLineChars="224"/>
        <w:jc w:val="both"/>
        <w:rPr>
          <w:b/>
          <w:bCs/>
          <w:color w:val="auto"/>
          <w:highlight w:val="none"/>
        </w:rPr>
      </w:pPr>
    </w:p>
    <w:p w14:paraId="61A8AD19">
      <w:pPr>
        <w:pStyle w:val="11"/>
        <w:spacing w:beforeAutospacing="0" w:afterAutospacing="0" w:line="480" w:lineRule="auto"/>
        <w:ind w:firstLine="540" w:firstLineChars="224"/>
        <w:jc w:val="both"/>
        <w:rPr>
          <w:b/>
          <w:bCs/>
          <w:color w:val="auto"/>
          <w:highlight w:val="none"/>
        </w:rPr>
      </w:pPr>
    </w:p>
    <w:p w14:paraId="5686C329">
      <w:pPr>
        <w:pStyle w:val="11"/>
        <w:spacing w:beforeAutospacing="0" w:afterAutospacing="0" w:line="480" w:lineRule="auto"/>
        <w:ind w:firstLine="540" w:firstLineChars="224"/>
        <w:jc w:val="both"/>
        <w:rPr>
          <w:b/>
          <w:bCs/>
          <w:color w:val="auto"/>
          <w:highlight w:val="none"/>
        </w:rPr>
      </w:pPr>
    </w:p>
    <w:p w14:paraId="1E686A0C">
      <w:pPr>
        <w:pStyle w:val="11"/>
        <w:spacing w:beforeAutospacing="0" w:afterAutospacing="0" w:line="480" w:lineRule="auto"/>
        <w:ind w:firstLine="540" w:firstLineChars="224"/>
        <w:jc w:val="both"/>
        <w:rPr>
          <w:b/>
          <w:bCs/>
          <w:color w:val="auto"/>
          <w:highlight w:val="none"/>
        </w:rPr>
      </w:pPr>
    </w:p>
    <w:p w14:paraId="2C05B273">
      <w:pPr>
        <w:pStyle w:val="11"/>
        <w:spacing w:beforeAutospacing="0" w:afterAutospacing="0" w:line="480" w:lineRule="auto"/>
        <w:ind w:firstLine="540" w:firstLineChars="224"/>
        <w:jc w:val="both"/>
        <w:rPr>
          <w:b/>
          <w:bCs/>
          <w:color w:val="auto"/>
          <w:highlight w:val="none"/>
        </w:rPr>
      </w:pPr>
    </w:p>
    <w:p w14:paraId="064716A2">
      <w:pPr>
        <w:pStyle w:val="11"/>
        <w:spacing w:beforeAutospacing="0" w:afterAutospacing="0" w:line="480" w:lineRule="auto"/>
        <w:ind w:firstLine="540" w:firstLineChars="224"/>
        <w:jc w:val="both"/>
        <w:rPr>
          <w:b/>
          <w:bCs/>
          <w:color w:val="auto"/>
          <w:highlight w:val="none"/>
        </w:rPr>
      </w:pPr>
    </w:p>
    <w:p w14:paraId="3654BF87">
      <w:pPr>
        <w:pStyle w:val="11"/>
        <w:spacing w:beforeAutospacing="0" w:afterAutospacing="0" w:line="480" w:lineRule="auto"/>
        <w:ind w:firstLine="540" w:firstLineChars="224"/>
        <w:jc w:val="both"/>
        <w:rPr>
          <w:b/>
          <w:bCs/>
          <w:color w:val="auto"/>
          <w:highlight w:val="none"/>
        </w:rPr>
      </w:pPr>
    </w:p>
    <w:p w14:paraId="174C6E46">
      <w:pPr>
        <w:pStyle w:val="11"/>
        <w:spacing w:beforeAutospacing="0" w:afterAutospacing="0" w:line="480" w:lineRule="auto"/>
        <w:ind w:firstLine="540" w:firstLineChars="224"/>
        <w:jc w:val="both"/>
        <w:rPr>
          <w:b/>
          <w:bCs/>
          <w:color w:val="auto"/>
          <w:highlight w:val="none"/>
        </w:rPr>
      </w:pPr>
    </w:p>
    <w:p w14:paraId="18BBF255">
      <w:pPr>
        <w:pStyle w:val="11"/>
        <w:spacing w:beforeAutospacing="0" w:afterAutospacing="0" w:line="480" w:lineRule="auto"/>
        <w:ind w:firstLine="540" w:firstLineChars="224"/>
        <w:jc w:val="both"/>
        <w:rPr>
          <w:b/>
          <w:bCs/>
          <w:color w:val="auto"/>
          <w:highlight w:val="none"/>
        </w:rPr>
      </w:pPr>
    </w:p>
    <w:p w14:paraId="52641A87">
      <w:pPr>
        <w:pStyle w:val="11"/>
        <w:spacing w:beforeAutospacing="0" w:afterAutospacing="0" w:line="480" w:lineRule="auto"/>
        <w:ind w:firstLine="540" w:firstLineChars="224"/>
        <w:jc w:val="both"/>
        <w:rPr>
          <w:b/>
          <w:bCs/>
          <w:color w:val="auto"/>
          <w:highlight w:val="none"/>
        </w:rPr>
      </w:pPr>
    </w:p>
    <w:p w14:paraId="15C281CF">
      <w:pPr>
        <w:pStyle w:val="11"/>
        <w:spacing w:beforeAutospacing="0" w:afterAutospacing="0" w:line="480" w:lineRule="auto"/>
        <w:ind w:firstLine="540" w:firstLineChars="224"/>
        <w:jc w:val="both"/>
        <w:rPr>
          <w:b/>
          <w:bCs/>
          <w:color w:val="auto"/>
          <w:highlight w:val="none"/>
        </w:rPr>
      </w:pPr>
    </w:p>
    <w:p w14:paraId="58181533">
      <w:pPr>
        <w:pStyle w:val="11"/>
        <w:spacing w:beforeAutospacing="0" w:afterAutospacing="0" w:line="480" w:lineRule="auto"/>
        <w:ind w:firstLine="540" w:firstLineChars="224"/>
        <w:jc w:val="both"/>
        <w:rPr>
          <w:b/>
          <w:bCs/>
          <w:color w:val="auto"/>
          <w:highlight w:val="none"/>
        </w:rPr>
      </w:pPr>
    </w:p>
    <w:p w14:paraId="60FD5EAA">
      <w:pPr>
        <w:pStyle w:val="11"/>
        <w:spacing w:beforeAutospacing="0" w:afterAutospacing="0" w:line="480" w:lineRule="auto"/>
        <w:ind w:firstLine="540" w:firstLineChars="224"/>
        <w:jc w:val="both"/>
        <w:rPr>
          <w:b/>
          <w:bCs/>
          <w:color w:val="auto"/>
          <w:highlight w:val="none"/>
        </w:rPr>
      </w:pPr>
    </w:p>
    <w:p w14:paraId="4768E6C2">
      <w:pPr>
        <w:pStyle w:val="11"/>
        <w:spacing w:beforeAutospacing="0" w:afterAutospacing="0" w:line="480" w:lineRule="auto"/>
        <w:ind w:firstLine="540" w:firstLineChars="224"/>
        <w:jc w:val="both"/>
        <w:rPr>
          <w:b/>
          <w:bCs/>
          <w:color w:val="auto"/>
          <w:highlight w:val="none"/>
        </w:rPr>
      </w:pPr>
    </w:p>
    <w:p w14:paraId="011418CE">
      <w:pPr>
        <w:pStyle w:val="11"/>
        <w:spacing w:beforeAutospacing="0" w:afterAutospacing="0" w:line="480" w:lineRule="auto"/>
        <w:ind w:firstLine="540" w:firstLineChars="224"/>
        <w:jc w:val="both"/>
        <w:rPr>
          <w:b/>
          <w:bCs/>
          <w:color w:val="auto"/>
          <w:highlight w:val="none"/>
        </w:rPr>
      </w:pPr>
    </w:p>
    <w:p w14:paraId="274429D2">
      <w:pPr>
        <w:pStyle w:val="11"/>
        <w:spacing w:beforeAutospacing="0" w:afterAutospacing="0" w:line="480" w:lineRule="auto"/>
        <w:ind w:firstLine="540" w:firstLineChars="224"/>
        <w:jc w:val="both"/>
        <w:rPr>
          <w:b/>
          <w:bCs/>
          <w:color w:val="auto"/>
          <w:highlight w:val="none"/>
        </w:rPr>
      </w:pPr>
    </w:p>
    <w:p w14:paraId="79EE0971">
      <w:pPr>
        <w:rPr>
          <w:rFonts w:hint="eastAsia" w:ascii="黑体" w:hAnsi="黑体" w:eastAsia="黑体" w:cs="黑体"/>
          <w:b/>
          <w:bCs w:val="0"/>
          <w:color w:val="auto"/>
          <w:kern w:val="0"/>
          <w:sz w:val="32"/>
          <w:szCs w:val="32"/>
          <w:highlight w:val="none"/>
        </w:rPr>
      </w:pPr>
      <w:bookmarkStart w:id="89" w:name="_Toc12888"/>
      <w:bookmarkStart w:id="90" w:name="_Toc13726"/>
      <w:bookmarkStart w:id="91" w:name="_Toc16083"/>
      <w:r>
        <w:rPr>
          <w:rFonts w:hint="eastAsia" w:ascii="黑体" w:hAnsi="黑体" w:eastAsia="黑体" w:cs="黑体"/>
          <w:b/>
          <w:bCs w:val="0"/>
          <w:color w:val="auto"/>
          <w:kern w:val="0"/>
          <w:sz w:val="32"/>
          <w:szCs w:val="32"/>
          <w:highlight w:val="none"/>
        </w:rPr>
        <w:t xml:space="preserve">附件10        </w:t>
      </w:r>
      <w:bookmarkEnd w:id="88"/>
      <w:r>
        <w:rPr>
          <w:rFonts w:hint="eastAsia" w:ascii="黑体" w:hAnsi="黑体" w:eastAsia="黑体" w:cs="黑体"/>
          <w:b/>
          <w:bCs w:val="0"/>
          <w:color w:val="auto"/>
          <w:kern w:val="0"/>
          <w:sz w:val="32"/>
          <w:szCs w:val="32"/>
          <w:highlight w:val="none"/>
        </w:rPr>
        <w:t>供 应 商 承 诺 书</w:t>
      </w:r>
      <w:r>
        <w:rPr>
          <w:rFonts w:hint="eastAsia" w:ascii="黑体" w:hAnsi="黑体" w:eastAsia="黑体" w:cs="黑体"/>
          <w:b/>
          <w:bCs w:val="0"/>
          <w:color w:val="auto"/>
          <w:kern w:val="0"/>
          <w:sz w:val="32"/>
          <w:szCs w:val="32"/>
          <w:highlight w:val="none"/>
          <w:lang w:val="en-US" w:eastAsia="zh-CN"/>
        </w:rPr>
        <w:t xml:space="preserve"> </w:t>
      </w:r>
      <w:r>
        <w:rPr>
          <w:rFonts w:hint="eastAsia" w:ascii="黑体" w:hAnsi="黑体" w:eastAsia="黑体" w:cs="黑体"/>
          <w:b/>
          <w:bCs w:val="0"/>
          <w:color w:val="auto"/>
          <w:kern w:val="0"/>
          <w:sz w:val="32"/>
          <w:szCs w:val="32"/>
          <w:highlight w:val="none"/>
        </w:rPr>
        <w:t>（格式）</w:t>
      </w:r>
      <w:bookmarkEnd w:id="89"/>
      <w:bookmarkEnd w:id="90"/>
      <w:bookmarkEnd w:id="91"/>
    </w:p>
    <w:p w14:paraId="09B5D587">
      <w:pPr>
        <w:bidi w:val="0"/>
        <w:rPr>
          <w:color w:val="auto"/>
          <w:highlight w:val="none"/>
        </w:rPr>
      </w:pPr>
    </w:p>
    <w:p w14:paraId="2912CAB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院（以下简称甲方）组织的本次采购，在遵守《招标投标法》、《政府采购法》、《合同法》、《反不正当竞争法》和《关于推进招投标监督领域诚信建设的意见》等法律法规的基础上，要求贵方（以下简称乙方）做出如下承诺：</w:t>
      </w:r>
    </w:p>
    <w:p w14:paraId="3F2E6649">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1、遵循公开、公平、公正和诚实信用的原则自愿参加，所提供的一切材料真实、有效、合法。</w:t>
      </w:r>
    </w:p>
    <w:p w14:paraId="3D3A1CE7">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2、遵守甲方采购纪律，诚实守信地为甲方提供安全可靠的产品、服务及相关技术，保证质量并主动做好售后服务工作。</w:t>
      </w:r>
    </w:p>
    <w:p w14:paraId="311EE284">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3、杜绝利用提供财物或给予其他不正当利益谋取中标的不良行为。</w:t>
      </w:r>
    </w:p>
    <w:p w14:paraId="38A9458F">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4、不发生其他任何可能影响甲方工作人员公正执行公务或者职务廉洁的行为。</w:t>
      </w:r>
    </w:p>
    <w:p w14:paraId="28991A6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5、不参与串标、围标或其他不正当竞争行为；杜绝以虚报资质、业绩或其他弄虚作假等方式骗取中标。</w:t>
      </w:r>
    </w:p>
    <w:p w14:paraId="639E80B3">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6、响应时，杜绝擅自修改采购文件或技术标准（包括差异表）技术配置的行为。</w:t>
      </w:r>
    </w:p>
    <w:p w14:paraId="534D44B5">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7、严格按照采购、投标文件要求签订合同，不违反法律无故拒签合同，不签订背离合同（或技术协议书）实质性内容的协议。</w:t>
      </w:r>
    </w:p>
    <w:p w14:paraId="43684D25">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4"/>
          <w:szCs w:val="24"/>
          <w:highlight w:val="none"/>
        </w:rPr>
      </w:pPr>
    </w:p>
    <w:p w14:paraId="3443BDFC">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公司名称</w:t>
      </w:r>
      <w:r>
        <w:rPr>
          <w:rFonts w:hint="eastAsia" w:ascii="宋体" w:hAnsi="宋体" w:eastAsia="宋体" w:cs="宋体"/>
          <w:color w:val="auto"/>
          <w:sz w:val="24"/>
          <w:szCs w:val="24"/>
          <w:highlight w:val="none"/>
        </w:rPr>
        <w:t xml:space="preserve">）：               </w:t>
      </w:r>
    </w:p>
    <w:p w14:paraId="4CD4F9A4">
      <w:pPr>
        <w:keepNext w:val="0"/>
        <w:keepLines w:val="0"/>
        <w:pageBreakBefore w:val="0"/>
        <w:widowControl w:val="0"/>
        <w:kinsoku/>
        <w:wordWrap/>
        <w:overflowPunct/>
        <w:topLinePunct w:val="0"/>
        <w:autoSpaceDE/>
        <w:autoSpaceDN/>
        <w:bidi w:val="0"/>
        <w:adjustRightInd/>
        <w:snapToGrid w:val="0"/>
        <w:spacing w:line="480" w:lineRule="auto"/>
        <w:textAlignment w:val="auto"/>
        <w:rPr>
          <w:color w:val="auto"/>
          <w:sz w:val="28"/>
          <w:szCs w:val="28"/>
          <w:highlight w:val="none"/>
        </w:rPr>
      </w:pPr>
      <w:r>
        <w:rPr>
          <w:rFonts w:hint="eastAsia" w:ascii="宋体" w:hAnsi="宋体" w:eastAsia="宋体" w:cs="宋体"/>
          <w:color w:val="auto"/>
          <w:sz w:val="24"/>
          <w:szCs w:val="24"/>
          <w:highlight w:val="none"/>
        </w:rPr>
        <w:t>法定代表人或委托人（签字）：                   年   月   日</w:t>
      </w:r>
    </w:p>
    <w:p w14:paraId="2747D3B0">
      <w:pPr>
        <w:widowControl/>
        <w:spacing w:line="360" w:lineRule="auto"/>
        <w:ind w:firstLine="4305" w:firstLineChars="2050"/>
        <w:jc w:val="left"/>
        <w:rPr>
          <w:rFonts w:ascii="宋体" w:hAnsi="宋体" w:cs="宋体"/>
          <w:color w:val="auto"/>
          <w:kern w:val="0"/>
          <w:szCs w:val="21"/>
          <w:highlight w:val="none"/>
        </w:rPr>
      </w:pPr>
    </w:p>
    <w:p w14:paraId="5EB7A25A">
      <w:pPr>
        <w:pStyle w:val="32"/>
        <w:rPr>
          <w:rFonts w:ascii="宋体" w:hAnsi="宋体" w:cs="宋体"/>
          <w:color w:val="auto"/>
          <w:kern w:val="0"/>
          <w:szCs w:val="21"/>
          <w:highlight w:val="none"/>
        </w:rPr>
      </w:pPr>
    </w:p>
    <w:p w14:paraId="7971A06C">
      <w:pPr>
        <w:pStyle w:val="16"/>
        <w:rPr>
          <w:rFonts w:ascii="宋体" w:hAnsi="宋体" w:cs="宋体"/>
          <w:color w:val="auto"/>
          <w:kern w:val="0"/>
          <w:szCs w:val="21"/>
          <w:highlight w:val="none"/>
        </w:rPr>
      </w:pPr>
    </w:p>
    <w:p w14:paraId="25E48AA8">
      <w:pPr>
        <w:pStyle w:val="11"/>
        <w:rPr>
          <w:color w:val="auto"/>
          <w:highlight w:val="none"/>
        </w:rPr>
      </w:pPr>
    </w:p>
    <w:p w14:paraId="768FB4EA">
      <w:pPr>
        <w:jc w:val="center"/>
        <w:rPr>
          <w:rFonts w:hint="eastAsia" w:ascii="黑体" w:hAnsi="黑体" w:eastAsia="黑体" w:cs="黑体"/>
          <w:b/>
          <w:bCs/>
          <w:color w:val="auto"/>
          <w:kern w:val="2"/>
          <w:sz w:val="28"/>
          <w:szCs w:val="18"/>
          <w:highlight w:val="none"/>
          <w:lang w:val="en-US" w:eastAsia="zh-CN" w:bidi="ar-SA"/>
        </w:rPr>
      </w:pPr>
      <w:r>
        <w:rPr>
          <w:rFonts w:hint="eastAsia" w:ascii="黑体" w:hAnsi="黑体" w:eastAsia="黑体" w:cs="黑体"/>
          <w:b/>
          <w:bCs/>
          <w:color w:val="auto"/>
          <w:kern w:val="2"/>
          <w:sz w:val="28"/>
          <w:szCs w:val="18"/>
          <w:highlight w:val="none"/>
          <w:lang w:val="en-US" w:eastAsia="zh-CN" w:bidi="ar-SA"/>
        </w:rPr>
        <w:t>附件11     供应商信用承诺函（格式）</w:t>
      </w:r>
    </w:p>
    <w:p w14:paraId="50C82668">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color w:val="auto"/>
          <w:sz w:val="32"/>
          <w:szCs w:val="32"/>
          <w:highlight w:val="none"/>
          <w:lang w:val="en-US" w:eastAsia="zh-CN"/>
        </w:rPr>
      </w:pPr>
    </w:p>
    <w:p w14:paraId="5A5897C4">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致（采购人或政府采购代理机构）：</w:t>
      </w:r>
    </w:p>
    <w:p w14:paraId="57005D4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单位名称（自然人姓名）：</w:t>
      </w:r>
    </w:p>
    <w:p w14:paraId="13365EC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统一社会信用代码（身份证号码）：</w:t>
      </w:r>
    </w:p>
    <w:p w14:paraId="5DD53E21">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法定代表人（负责人）：</w:t>
      </w:r>
    </w:p>
    <w:p w14:paraId="516048E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联系地址和电话：</w:t>
      </w:r>
    </w:p>
    <w:p w14:paraId="03529F63">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63440721">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（一）具有独立承担民事责任的能力；</w:t>
      </w:r>
    </w:p>
    <w:p w14:paraId="4C7DB537">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（二）具有良好的商业信誉和健全的财务会计制度；</w:t>
      </w:r>
    </w:p>
    <w:p w14:paraId="1EC2BB03">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（三）具有履行合同所必需的设备和专业技术能力；</w:t>
      </w:r>
    </w:p>
    <w:p w14:paraId="16D77BFB">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（四）有依法缴纳税收和社会保障资金的良好记录；</w:t>
      </w:r>
    </w:p>
    <w:p w14:paraId="7D0F51E7">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（五）参加政府采购活动前三年内，在经营活动中没有重大违法记录；</w:t>
      </w:r>
    </w:p>
    <w:p w14:paraId="74EE7E73">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（六）未被列入严重失信主体名单、失信被执行人、税收违法黑名单、政府采购严重违法失信行为记录名单，未曾作出虚假承诺；</w:t>
      </w:r>
    </w:p>
    <w:p w14:paraId="52C9FBCF">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（七）符合法律、行政法规规定的其他条件。</w:t>
      </w:r>
    </w:p>
    <w:p w14:paraId="022622C4">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我单位（本人）保证上述承诺事项的真实性，如有弄虚作假或其他违法违规行为，愿意承担一切法律责任，并承担因此所造成的一切损失。</w:t>
      </w:r>
    </w:p>
    <w:p w14:paraId="7EFD1C54">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7634F83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供应商名称（盖章）：</w:t>
      </w:r>
    </w:p>
    <w:p w14:paraId="4C77CCF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法定代表人、负责人、自然人或授权代表(签字)：</w:t>
      </w:r>
    </w:p>
    <w:p w14:paraId="5F76AEAF">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日期：       年         月          日</w:t>
      </w:r>
    </w:p>
    <w:p w14:paraId="276CB4FC">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59822EAA">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25C82FF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注：1.供应商须在投标（响应性）文件中按此模板提供承诺函，未提供视为未实质性响应招标文件要求，按无效投标（响应）处理。</w:t>
      </w:r>
    </w:p>
    <w:p w14:paraId="60D584EC">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2.供应商的法定代表人或者授权代表的签字或盖章应真实、有效，如由授权代表签字或盖章的，应提供“法定代表人授权书”。</w:t>
      </w:r>
    </w:p>
    <w:p w14:paraId="33E8C628">
      <w:pPr>
        <w:pStyle w:val="11"/>
        <w:spacing w:beforeAutospacing="0" w:afterAutospacing="0" w:line="460" w:lineRule="atLeast"/>
        <w:jc w:val="both"/>
        <w:rPr>
          <w:b/>
          <w:bCs/>
          <w:color w:val="auto"/>
          <w:sz w:val="28"/>
          <w:szCs w:val="28"/>
          <w:highlight w:val="none"/>
        </w:rPr>
        <w:sectPr>
          <w:pgSz w:w="11906" w:h="16838"/>
          <w:pgMar w:top="1417" w:right="1474" w:bottom="1417" w:left="1474" w:header="851" w:footer="624" w:gutter="0"/>
          <w:pgNumType w:fmt="decimal"/>
          <w:cols w:space="720" w:num="1"/>
          <w:docGrid w:type="lines" w:linePitch="319" w:charSpace="0"/>
        </w:sectPr>
      </w:pPr>
    </w:p>
    <w:p w14:paraId="7F9559AA">
      <w:pPr>
        <w:bidi w:val="0"/>
        <w:rPr>
          <w:rFonts w:hint="eastAsia"/>
          <w:color w:val="auto"/>
          <w:highlight w:val="none"/>
          <w:lang w:eastAsia="zh-CN"/>
        </w:rPr>
      </w:pPr>
      <w:bookmarkStart w:id="92" w:name="_Toc25094"/>
      <w:bookmarkStart w:id="93" w:name="_Toc31685"/>
      <w:bookmarkStart w:id="94" w:name="_Toc23394"/>
    </w:p>
    <w:p w14:paraId="243A11D7">
      <w:pPr>
        <w:widowControl/>
        <w:snapToGrid w:val="0"/>
        <w:spacing w:line="360" w:lineRule="auto"/>
        <w:jc w:val="center"/>
        <w:outlineLvl w:val="0"/>
        <w:rPr>
          <w:rFonts w:ascii="宋体" w:hAnsi="宋体" w:cs="Lucida Sans Unicode"/>
          <w:b/>
          <w:color w:val="auto"/>
          <w:kern w:val="0"/>
          <w:sz w:val="24"/>
          <w:highlight w:val="none"/>
        </w:rPr>
      </w:pPr>
      <w:r>
        <w:rPr>
          <w:rFonts w:hint="eastAsia" w:ascii="宋体" w:hAnsi="宋体" w:cs="Lucida Sans Unicode"/>
          <w:b/>
          <w:color w:val="auto"/>
          <w:kern w:val="0"/>
          <w:sz w:val="24"/>
          <w:highlight w:val="none"/>
          <w:lang w:eastAsia="zh-CN"/>
        </w:rPr>
        <w:t>供应商</w:t>
      </w:r>
      <w:r>
        <w:rPr>
          <w:rFonts w:hint="eastAsia" w:ascii="宋体" w:hAnsi="宋体" w:cs="Lucida Sans Unicode"/>
          <w:b/>
          <w:color w:val="auto"/>
          <w:kern w:val="0"/>
          <w:sz w:val="24"/>
          <w:highlight w:val="none"/>
        </w:rPr>
        <w:t>认为有必要的其他资料</w:t>
      </w:r>
      <w:bookmarkEnd w:id="92"/>
      <w:bookmarkEnd w:id="93"/>
      <w:bookmarkEnd w:id="94"/>
    </w:p>
    <w:p w14:paraId="02D08D77">
      <w:pPr>
        <w:widowControl/>
        <w:spacing w:line="360" w:lineRule="auto"/>
        <w:ind w:firstLine="420" w:firstLineChars="200"/>
        <w:jc w:val="left"/>
        <w:rPr>
          <w:rFonts w:ascii="宋体" w:hAnsi="宋体" w:cs="Lucida Sans Unicode"/>
          <w:color w:val="auto"/>
          <w:kern w:val="0"/>
          <w:sz w:val="24"/>
          <w:highlight w:val="none"/>
        </w:rPr>
      </w:pPr>
      <w:r>
        <w:rPr>
          <w:rFonts w:hint="eastAsia" w:ascii="宋体" w:hAnsi="宋体" w:cs="Lucida Sans Unicode"/>
          <w:color w:val="auto"/>
          <w:kern w:val="0"/>
          <w:szCs w:val="21"/>
          <w:highlight w:val="none"/>
        </w:rPr>
        <w:t>备注：</w:t>
      </w:r>
      <w:r>
        <w:rPr>
          <w:rFonts w:hint="eastAsia" w:ascii="宋体" w:hAnsi="宋体" w:cs="Lucida Sans Unicode"/>
          <w:color w:val="auto"/>
          <w:kern w:val="0"/>
          <w:szCs w:val="21"/>
          <w:highlight w:val="none"/>
          <w:lang w:eastAsia="zh-CN"/>
        </w:rPr>
        <w:t>供应商</w:t>
      </w:r>
      <w:r>
        <w:rPr>
          <w:rFonts w:hint="eastAsia" w:ascii="宋体" w:hAnsi="宋体" w:cs="Lucida Sans Unicode"/>
          <w:color w:val="auto"/>
          <w:kern w:val="0"/>
          <w:szCs w:val="21"/>
          <w:highlight w:val="none"/>
        </w:rPr>
        <w:t>应当仔细核对</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文件中有关废标条款和评标标准，提供</w:t>
      </w:r>
      <w:r>
        <w:rPr>
          <w:rFonts w:hint="eastAsia" w:ascii="宋体" w:hAnsi="宋体" w:cs="Lucida Sans Unicode"/>
          <w:color w:val="auto"/>
          <w:kern w:val="0"/>
          <w:szCs w:val="21"/>
          <w:highlight w:val="none"/>
          <w:lang w:eastAsia="zh-CN"/>
        </w:rPr>
        <w:t>供应商</w:t>
      </w:r>
      <w:r>
        <w:rPr>
          <w:rFonts w:hint="eastAsia" w:ascii="宋体" w:hAnsi="宋体" w:cs="Lucida Sans Unicode"/>
          <w:color w:val="auto"/>
          <w:kern w:val="0"/>
          <w:szCs w:val="21"/>
          <w:highlight w:val="none"/>
        </w:rPr>
        <w:t>认为应当附加的其它内容，以充分证明其投标符合</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文件规定，并为评标提供充分依据。如果</w:t>
      </w:r>
      <w:r>
        <w:rPr>
          <w:rFonts w:hint="eastAsia" w:ascii="宋体" w:hAnsi="宋体" w:cs="Lucida Sans Unicode"/>
          <w:color w:val="auto"/>
          <w:kern w:val="0"/>
          <w:szCs w:val="21"/>
          <w:highlight w:val="none"/>
          <w:lang w:eastAsia="zh-CN"/>
        </w:rPr>
        <w:t>供应商</w:t>
      </w:r>
      <w:r>
        <w:rPr>
          <w:rFonts w:hint="eastAsia" w:ascii="宋体" w:hAnsi="宋体" w:cs="Lucida Sans Unicode"/>
          <w:color w:val="auto"/>
          <w:kern w:val="0"/>
          <w:szCs w:val="21"/>
          <w:highlight w:val="none"/>
        </w:rPr>
        <w:t>未能提供相关证明文件，将有可能导致废标或者无法得分。</w:t>
      </w:r>
    </w:p>
    <w:p w14:paraId="37F709B3">
      <w:pPr>
        <w:pStyle w:val="11"/>
        <w:spacing w:beforeAutospacing="0" w:afterAutospacing="0" w:line="460" w:lineRule="atLeast"/>
        <w:jc w:val="both"/>
        <w:rPr>
          <w:b/>
          <w:bCs/>
          <w:color w:val="auto"/>
          <w:sz w:val="28"/>
          <w:szCs w:val="28"/>
          <w:highlight w:val="none"/>
        </w:rPr>
      </w:pPr>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Lucida Sans Unicode">
    <w:panose1 w:val="020B0602030504020204"/>
    <w:charset w:val="00"/>
    <w:family w:val="swiss"/>
    <w:pitch w:val="default"/>
    <w:sig w:usb0="80001AFF" w:usb1="0000396B" w:usb2="00000000" w:usb3="00000000" w:csb0="200000BF" w:csb1="D7F70000"/>
  </w:font>
  <w:font w:name="新宋体">
    <w:panose1 w:val="02010609030101010101"/>
    <w:charset w:val="86"/>
    <w:family w:val="modern"/>
    <w:pitch w:val="default"/>
    <w:sig w:usb0="0000020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ED965C">
    <w:pPr>
      <w:pStyle w:val="23"/>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2CCF53CC">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2CCF53CC">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1B3AE0">
    <w:pPr>
      <w:pStyle w:val="23"/>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684A9A3C">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684A9A3C">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447C14F8">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D23B29">
    <w:pPr>
      <w:pStyle w:val="5"/>
      <w:jc w:val="right"/>
      <w:rPr>
        <w:rFonts w:hint="eastAsia"/>
      </w:rPr>
    </w:pPr>
    <w:r>
      <w:rPr>
        <w:rFonts w:hint="eastAsia" w:ascii="宋体" w:hAnsi="宋体" w:cs="宋体"/>
        <w:color w:val="auto"/>
        <w:szCs w:val="21"/>
        <w:highlight w:val="none"/>
        <w:u w:val="none"/>
        <w:shd w:val="clear" w:color="auto" w:fill="FFFFFF"/>
        <w:lang w:val="en-US" w:eastAsia="zh-CN"/>
      </w:rPr>
      <w:t>驻马店市中心医院无菌光纤及激光保护鞘供货项目</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A954FB"/>
    <w:multiLevelType w:val="singleLevel"/>
    <w:tmpl w:val="E8A954FB"/>
    <w:lvl w:ilvl="0" w:tentative="0">
      <w:start w:val="1"/>
      <w:numFmt w:val="decimal"/>
      <w:suff w:val="nothing"/>
      <w:lvlText w:val="%1、"/>
      <w:lvlJc w:val="left"/>
    </w:lvl>
  </w:abstractNum>
  <w:abstractNum w:abstractNumId="1">
    <w:nsid w:val="59B6410A"/>
    <w:multiLevelType w:val="singleLevel"/>
    <w:tmpl w:val="59B6410A"/>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wMjRmYTY4OTJhZjc1NTA1MGQwNDc0NzZhNTkwMmU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E110B"/>
    <w:rsid w:val="01525212"/>
    <w:rsid w:val="01564054"/>
    <w:rsid w:val="015C0A67"/>
    <w:rsid w:val="017E6D95"/>
    <w:rsid w:val="018D0058"/>
    <w:rsid w:val="01976717"/>
    <w:rsid w:val="01D715BE"/>
    <w:rsid w:val="01EB45BC"/>
    <w:rsid w:val="01F04981"/>
    <w:rsid w:val="01F9035B"/>
    <w:rsid w:val="01FA63A5"/>
    <w:rsid w:val="02011C7D"/>
    <w:rsid w:val="02035523"/>
    <w:rsid w:val="021C6E40"/>
    <w:rsid w:val="02222FF2"/>
    <w:rsid w:val="02384FF4"/>
    <w:rsid w:val="023F67A9"/>
    <w:rsid w:val="0247575A"/>
    <w:rsid w:val="025235B1"/>
    <w:rsid w:val="0262674D"/>
    <w:rsid w:val="02747B01"/>
    <w:rsid w:val="027619AC"/>
    <w:rsid w:val="02890D36"/>
    <w:rsid w:val="02D92EF7"/>
    <w:rsid w:val="02DA4665"/>
    <w:rsid w:val="02F40325"/>
    <w:rsid w:val="02FA082F"/>
    <w:rsid w:val="031126C4"/>
    <w:rsid w:val="034733B8"/>
    <w:rsid w:val="03475E56"/>
    <w:rsid w:val="035E4919"/>
    <w:rsid w:val="036A009A"/>
    <w:rsid w:val="037A734D"/>
    <w:rsid w:val="03844805"/>
    <w:rsid w:val="03845791"/>
    <w:rsid w:val="039447DF"/>
    <w:rsid w:val="03A011E9"/>
    <w:rsid w:val="03AE7F27"/>
    <w:rsid w:val="03BD2BCD"/>
    <w:rsid w:val="03CC058D"/>
    <w:rsid w:val="03E017D2"/>
    <w:rsid w:val="03F447E2"/>
    <w:rsid w:val="03F77068"/>
    <w:rsid w:val="03FB660C"/>
    <w:rsid w:val="042E37DB"/>
    <w:rsid w:val="04416C20"/>
    <w:rsid w:val="046A09DF"/>
    <w:rsid w:val="047968B1"/>
    <w:rsid w:val="04870542"/>
    <w:rsid w:val="04B30F7A"/>
    <w:rsid w:val="050E236F"/>
    <w:rsid w:val="054C0111"/>
    <w:rsid w:val="05545DD3"/>
    <w:rsid w:val="056E2AD6"/>
    <w:rsid w:val="05806815"/>
    <w:rsid w:val="058251D3"/>
    <w:rsid w:val="058C28F1"/>
    <w:rsid w:val="05945CCE"/>
    <w:rsid w:val="059D05A4"/>
    <w:rsid w:val="059D5E17"/>
    <w:rsid w:val="059E1E1A"/>
    <w:rsid w:val="05AB0A28"/>
    <w:rsid w:val="05AB0F81"/>
    <w:rsid w:val="05B93D6B"/>
    <w:rsid w:val="05C23EEE"/>
    <w:rsid w:val="05CA4074"/>
    <w:rsid w:val="05D53002"/>
    <w:rsid w:val="05D75738"/>
    <w:rsid w:val="05EB110D"/>
    <w:rsid w:val="05EB4481"/>
    <w:rsid w:val="05F17CC7"/>
    <w:rsid w:val="061E7D14"/>
    <w:rsid w:val="06446B44"/>
    <w:rsid w:val="06560AED"/>
    <w:rsid w:val="066469C9"/>
    <w:rsid w:val="066646A1"/>
    <w:rsid w:val="068E7B23"/>
    <w:rsid w:val="06983B20"/>
    <w:rsid w:val="069A3B66"/>
    <w:rsid w:val="06A869D6"/>
    <w:rsid w:val="06A9264E"/>
    <w:rsid w:val="06B31420"/>
    <w:rsid w:val="06B91765"/>
    <w:rsid w:val="06CA2AD2"/>
    <w:rsid w:val="06CE3071"/>
    <w:rsid w:val="06D33DBA"/>
    <w:rsid w:val="06E13F9F"/>
    <w:rsid w:val="06E17D3B"/>
    <w:rsid w:val="06FB0AC5"/>
    <w:rsid w:val="070D2D5D"/>
    <w:rsid w:val="07111B8D"/>
    <w:rsid w:val="072C5514"/>
    <w:rsid w:val="0737768A"/>
    <w:rsid w:val="074A5B92"/>
    <w:rsid w:val="075D0147"/>
    <w:rsid w:val="075E3193"/>
    <w:rsid w:val="078E18EB"/>
    <w:rsid w:val="07B10EA5"/>
    <w:rsid w:val="07CD6512"/>
    <w:rsid w:val="07CE3FA1"/>
    <w:rsid w:val="07EC2ECB"/>
    <w:rsid w:val="07FE66CB"/>
    <w:rsid w:val="080B4D47"/>
    <w:rsid w:val="081B727D"/>
    <w:rsid w:val="08321601"/>
    <w:rsid w:val="08326375"/>
    <w:rsid w:val="083D5C91"/>
    <w:rsid w:val="0847191F"/>
    <w:rsid w:val="08591DC3"/>
    <w:rsid w:val="08672793"/>
    <w:rsid w:val="08695E80"/>
    <w:rsid w:val="087C4541"/>
    <w:rsid w:val="087E5595"/>
    <w:rsid w:val="08BC0A60"/>
    <w:rsid w:val="08C52D6F"/>
    <w:rsid w:val="08EF0201"/>
    <w:rsid w:val="08F41DE8"/>
    <w:rsid w:val="094840A2"/>
    <w:rsid w:val="094B7289"/>
    <w:rsid w:val="09737462"/>
    <w:rsid w:val="099156C3"/>
    <w:rsid w:val="09A53F39"/>
    <w:rsid w:val="09A60E13"/>
    <w:rsid w:val="09A82D92"/>
    <w:rsid w:val="09AB2883"/>
    <w:rsid w:val="09CD0A4B"/>
    <w:rsid w:val="09D206F0"/>
    <w:rsid w:val="0A321AC2"/>
    <w:rsid w:val="0A343D4E"/>
    <w:rsid w:val="0A3E6D2E"/>
    <w:rsid w:val="0A4232E4"/>
    <w:rsid w:val="0A4F145F"/>
    <w:rsid w:val="0A8455AD"/>
    <w:rsid w:val="0AD13A85"/>
    <w:rsid w:val="0AE0655C"/>
    <w:rsid w:val="0B091954"/>
    <w:rsid w:val="0B3B7D65"/>
    <w:rsid w:val="0B434C20"/>
    <w:rsid w:val="0B5F0822"/>
    <w:rsid w:val="0B637D77"/>
    <w:rsid w:val="0B7006C4"/>
    <w:rsid w:val="0B726646"/>
    <w:rsid w:val="0B7606E8"/>
    <w:rsid w:val="0B924545"/>
    <w:rsid w:val="0BAC324F"/>
    <w:rsid w:val="0BC11EE9"/>
    <w:rsid w:val="0BF16C73"/>
    <w:rsid w:val="0BF72F1E"/>
    <w:rsid w:val="0C0C04C8"/>
    <w:rsid w:val="0C3152C1"/>
    <w:rsid w:val="0C3957A5"/>
    <w:rsid w:val="0C507E2F"/>
    <w:rsid w:val="0C626DA7"/>
    <w:rsid w:val="0C6876AE"/>
    <w:rsid w:val="0C71390F"/>
    <w:rsid w:val="0C720EC8"/>
    <w:rsid w:val="0C942042"/>
    <w:rsid w:val="0C9D50DC"/>
    <w:rsid w:val="0CA5271D"/>
    <w:rsid w:val="0CAC4D10"/>
    <w:rsid w:val="0CC72121"/>
    <w:rsid w:val="0CEE5A21"/>
    <w:rsid w:val="0D05268E"/>
    <w:rsid w:val="0D0646E7"/>
    <w:rsid w:val="0D0C38CA"/>
    <w:rsid w:val="0D206810"/>
    <w:rsid w:val="0D4861FD"/>
    <w:rsid w:val="0D735465"/>
    <w:rsid w:val="0DC577E0"/>
    <w:rsid w:val="0DDC6319"/>
    <w:rsid w:val="0DFE4F67"/>
    <w:rsid w:val="0E0C0D4C"/>
    <w:rsid w:val="0E115DA1"/>
    <w:rsid w:val="0E162D6D"/>
    <w:rsid w:val="0E541CA2"/>
    <w:rsid w:val="0E594756"/>
    <w:rsid w:val="0E95596D"/>
    <w:rsid w:val="0EAE6205"/>
    <w:rsid w:val="0EAE6579"/>
    <w:rsid w:val="0EAF71BF"/>
    <w:rsid w:val="0ECE6257"/>
    <w:rsid w:val="0EE4129D"/>
    <w:rsid w:val="0F171032"/>
    <w:rsid w:val="0F335E69"/>
    <w:rsid w:val="0F372614"/>
    <w:rsid w:val="0F3D59C9"/>
    <w:rsid w:val="0F4C0664"/>
    <w:rsid w:val="0F516D5A"/>
    <w:rsid w:val="0F565B36"/>
    <w:rsid w:val="0F684933"/>
    <w:rsid w:val="0F821E7D"/>
    <w:rsid w:val="0FC07132"/>
    <w:rsid w:val="0FCA42ED"/>
    <w:rsid w:val="0FE7592C"/>
    <w:rsid w:val="0FFC17A5"/>
    <w:rsid w:val="0FFD20F0"/>
    <w:rsid w:val="10142F30"/>
    <w:rsid w:val="103E6E57"/>
    <w:rsid w:val="1041497B"/>
    <w:rsid w:val="10425FF6"/>
    <w:rsid w:val="106612B1"/>
    <w:rsid w:val="109010E6"/>
    <w:rsid w:val="10B271F4"/>
    <w:rsid w:val="10B537CC"/>
    <w:rsid w:val="10C61D50"/>
    <w:rsid w:val="10C8275C"/>
    <w:rsid w:val="10C86D3B"/>
    <w:rsid w:val="10E03539"/>
    <w:rsid w:val="10E82D1F"/>
    <w:rsid w:val="10EE5C94"/>
    <w:rsid w:val="10F5757C"/>
    <w:rsid w:val="10F93ED3"/>
    <w:rsid w:val="113329E7"/>
    <w:rsid w:val="113F294C"/>
    <w:rsid w:val="11437C85"/>
    <w:rsid w:val="11575085"/>
    <w:rsid w:val="1166372C"/>
    <w:rsid w:val="11700D10"/>
    <w:rsid w:val="1178125A"/>
    <w:rsid w:val="118441E0"/>
    <w:rsid w:val="1196056D"/>
    <w:rsid w:val="11CD20A0"/>
    <w:rsid w:val="11D34654"/>
    <w:rsid w:val="12010480"/>
    <w:rsid w:val="120E707F"/>
    <w:rsid w:val="121D0051"/>
    <w:rsid w:val="12265E46"/>
    <w:rsid w:val="12413D84"/>
    <w:rsid w:val="127A7D1C"/>
    <w:rsid w:val="12836D8B"/>
    <w:rsid w:val="12AB0349"/>
    <w:rsid w:val="12B66520"/>
    <w:rsid w:val="12CD57F1"/>
    <w:rsid w:val="12CE5941"/>
    <w:rsid w:val="12CE7AFA"/>
    <w:rsid w:val="12D67466"/>
    <w:rsid w:val="13036052"/>
    <w:rsid w:val="13272A5D"/>
    <w:rsid w:val="133C40E3"/>
    <w:rsid w:val="13493108"/>
    <w:rsid w:val="134A4EBA"/>
    <w:rsid w:val="13733928"/>
    <w:rsid w:val="13857CA0"/>
    <w:rsid w:val="13920D68"/>
    <w:rsid w:val="139C16C9"/>
    <w:rsid w:val="13A5238E"/>
    <w:rsid w:val="13B63CE1"/>
    <w:rsid w:val="13BC6684"/>
    <w:rsid w:val="13C72B3A"/>
    <w:rsid w:val="13D12EE6"/>
    <w:rsid w:val="13DF575E"/>
    <w:rsid w:val="13E470BD"/>
    <w:rsid w:val="13EE3A98"/>
    <w:rsid w:val="13F3280A"/>
    <w:rsid w:val="142123F7"/>
    <w:rsid w:val="142A11D8"/>
    <w:rsid w:val="144B544C"/>
    <w:rsid w:val="145B7B45"/>
    <w:rsid w:val="14717443"/>
    <w:rsid w:val="14825F8A"/>
    <w:rsid w:val="148C70AD"/>
    <w:rsid w:val="148D52E3"/>
    <w:rsid w:val="14992B90"/>
    <w:rsid w:val="149F10C7"/>
    <w:rsid w:val="14AF1856"/>
    <w:rsid w:val="14AF19A3"/>
    <w:rsid w:val="14B53957"/>
    <w:rsid w:val="14C53ECE"/>
    <w:rsid w:val="14CF6CB0"/>
    <w:rsid w:val="14DC5FE6"/>
    <w:rsid w:val="14E002E6"/>
    <w:rsid w:val="14FC36BD"/>
    <w:rsid w:val="14FF5EA7"/>
    <w:rsid w:val="151E3A0F"/>
    <w:rsid w:val="152534E9"/>
    <w:rsid w:val="153A36AA"/>
    <w:rsid w:val="15477903"/>
    <w:rsid w:val="1557566D"/>
    <w:rsid w:val="15785B3E"/>
    <w:rsid w:val="15811F1B"/>
    <w:rsid w:val="15A30135"/>
    <w:rsid w:val="15A34015"/>
    <w:rsid w:val="15BB487B"/>
    <w:rsid w:val="15CE086D"/>
    <w:rsid w:val="15E2236F"/>
    <w:rsid w:val="15FC2FFC"/>
    <w:rsid w:val="16005D04"/>
    <w:rsid w:val="161D09ED"/>
    <w:rsid w:val="162323A3"/>
    <w:rsid w:val="162F30B1"/>
    <w:rsid w:val="1650762F"/>
    <w:rsid w:val="16510F12"/>
    <w:rsid w:val="166448F9"/>
    <w:rsid w:val="1677211D"/>
    <w:rsid w:val="167954F9"/>
    <w:rsid w:val="169F0A33"/>
    <w:rsid w:val="169F7296"/>
    <w:rsid w:val="16A060BA"/>
    <w:rsid w:val="16A57EAF"/>
    <w:rsid w:val="16AC6E3F"/>
    <w:rsid w:val="16C872D5"/>
    <w:rsid w:val="16D54FA3"/>
    <w:rsid w:val="16D84D9F"/>
    <w:rsid w:val="16E94D3E"/>
    <w:rsid w:val="170D06E0"/>
    <w:rsid w:val="17332185"/>
    <w:rsid w:val="17475951"/>
    <w:rsid w:val="175C542D"/>
    <w:rsid w:val="17793FC0"/>
    <w:rsid w:val="179F2E61"/>
    <w:rsid w:val="17A06264"/>
    <w:rsid w:val="17BE19D3"/>
    <w:rsid w:val="17C227C0"/>
    <w:rsid w:val="17D66D7C"/>
    <w:rsid w:val="17EE5BFF"/>
    <w:rsid w:val="18097740"/>
    <w:rsid w:val="184055B9"/>
    <w:rsid w:val="184A2082"/>
    <w:rsid w:val="185D3C42"/>
    <w:rsid w:val="185F38AF"/>
    <w:rsid w:val="188F0211"/>
    <w:rsid w:val="18AD1BEB"/>
    <w:rsid w:val="18B3004A"/>
    <w:rsid w:val="18B31B6D"/>
    <w:rsid w:val="18B96080"/>
    <w:rsid w:val="18DB2CD8"/>
    <w:rsid w:val="18F67868"/>
    <w:rsid w:val="190B2D88"/>
    <w:rsid w:val="190E6B63"/>
    <w:rsid w:val="19123928"/>
    <w:rsid w:val="19157D18"/>
    <w:rsid w:val="19194264"/>
    <w:rsid w:val="19283048"/>
    <w:rsid w:val="19420786"/>
    <w:rsid w:val="19427EC0"/>
    <w:rsid w:val="195711D7"/>
    <w:rsid w:val="195D2A3F"/>
    <w:rsid w:val="198310E9"/>
    <w:rsid w:val="198D747A"/>
    <w:rsid w:val="19A15638"/>
    <w:rsid w:val="19A74DFE"/>
    <w:rsid w:val="19A753EF"/>
    <w:rsid w:val="1A125525"/>
    <w:rsid w:val="1A5F4342"/>
    <w:rsid w:val="1A616E2C"/>
    <w:rsid w:val="1A7F369B"/>
    <w:rsid w:val="1A8C5D82"/>
    <w:rsid w:val="1A994988"/>
    <w:rsid w:val="1A9B546C"/>
    <w:rsid w:val="1AA3511F"/>
    <w:rsid w:val="1AAE3B54"/>
    <w:rsid w:val="1AC10987"/>
    <w:rsid w:val="1AEB6F83"/>
    <w:rsid w:val="1AF423FA"/>
    <w:rsid w:val="1B0C5B32"/>
    <w:rsid w:val="1B0D3E82"/>
    <w:rsid w:val="1B1652AB"/>
    <w:rsid w:val="1B181CD5"/>
    <w:rsid w:val="1B265306"/>
    <w:rsid w:val="1B4346C9"/>
    <w:rsid w:val="1B4F2450"/>
    <w:rsid w:val="1B530868"/>
    <w:rsid w:val="1B6573E8"/>
    <w:rsid w:val="1B8C18B7"/>
    <w:rsid w:val="1BB73AE1"/>
    <w:rsid w:val="1BDA6D68"/>
    <w:rsid w:val="1BF14125"/>
    <w:rsid w:val="1C002CEE"/>
    <w:rsid w:val="1C555978"/>
    <w:rsid w:val="1C6554A1"/>
    <w:rsid w:val="1C7971B7"/>
    <w:rsid w:val="1C917D91"/>
    <w:rsid w:val="1CAB2820"/>
    <w:rsid w:val="1CD402EC"/>
    <w:rsid w:val="1CED16EF"/>
    <w:rsid w:val="1CF02333"/>
    <w:rsid w:val="1D0C33A2"/>
    <w:rsid w:val="1D113E6E"/>
    <w:rsid w:val="1D114E5E"/>
    <w:rsid w:val="1D1F0050"/>
    <w:rsid w:val="1D214EDE"/>
    <w:rsid w:val="1D2222DC"/>
    <w:rsid w:val="1D5144F7"/>
    <w:rsid w:val="1D5B3CDE"/>
    <w:rsid w:val="1D6E2950"/>
    <w:rsid w:val="1D98209B"/>
    <w:rsid w:val="1DA23746"/>
    <w:rsid w:val="1DAA14B9"/>
    <w:rsid w:val="1DD04513"/>
    <w:rsid w:val="1DDD2BCB"/>
    <w:rsid w:val="1E0345E3"/>
    <w:rsid w:val="1E1B7B7F"/>
    <w:rsid w:val="1E443370"/>
    <w:rsid w:val="1E656063"/>
    <w:rsid w:val="1E6B06A5"/>
    <w:rsid w:val="1E7F7D9E"/>
    <w:rsid w:val="1E840DA4"/>
    <w:rsid w:val="1EA5444C"/>
    <w:rsid w:val="1EB350EF"/>
    <w:rsid w:val="1EC21749"/>
    <w:rsid w:val="1EEB7C4E"/>
    <w:rsid w:val="1F072441"/>
    <w:rsid w:val="1F171B83"/>
    <w:rsid w:val="1F2D491A"/>
    <w:rsid w:val="1F66355F"/>
    <w:rsid w:val="1F7369C7"/>
    <w:rsid w:val="1F9113A9"/>
    <w:rsid w:val="1F94547B"/>
    <w:rsid w:val="1FA47700"/>
    <w:rsid w:val="1FAF308C"/>
    <w:rsid w:val="1FB64FF9"/>
    <w:rsid w:val="1FC11109"/>
    <w:rsid w:val="1FDA3223"/>
    <w:rsid w:val="1FEF08C8"/>
    <w:rsid w:val="1FF72E6A"/>
    <w:rsid w:val="1FFB6F12"/>
    <w:rsid w:val="201B3ED4"/>
    <w:rsid w:val="20230F6D"/>
    <w:rsid w:val="20310B02"/>
    <w:rsid w:val="206F0406"/>
    <w:rsid w:val="20784063"/>
    <w:rsid w:val="207E346A"/>
    <w:rsid w:val="208E12C3"/>
    <w:rsid w:val="209502A3"/>
    <w:rsid w:val="20A8226A"/>
    <w:rsid w:val="2100305C"/>
    <w:rsid w:val="210F579E"/>
    <w:rsid w:val="21163FF0"/>
    <w:rsid w:val="212550B5"/>
    <w:rsid w:val="21592B62"/>
    <w:rsid w:val="2172049B"/>
    <w:rsid w:val="21747CD2"/>
    <w:rsid w:val="219263AA"/>
    <w:rsid w:val="219E5782"/>
    <w:rsid w:val="21D10545"/>
    <w:rsid w:val="21E72B0B"/>
    <w:rsid w:val="21EE607E"/>
    <w:rsid w:val="21F66F4C"/>
    <w:rsid w:val="221F2D96"/>
    <w:rsid w:val="22246DB1"/>
    <w:rsid w:val="22440067"/>
    <w:rsid w:val="225A6017"/>
    <w:rsid w:val="22631AF5"/>
    <w:rsid w:val="227A5532"/>
    <w:rsid w:val="22843A03"/>
    <w:rsid w:val="228E5C2C"/>
    <w:rsid w:val="22A338AB"/>
    <w:rsid w:val="22AD37A2"/>
    <w:rsid w:val="22B31E8A"/>
    <w:rsid w:val="22C05285"/>
    <w:rsid w:val="22C735BD"/>
    <w:rsid w:val="22D729A8"/>
    <w:rsid w:val="22F06957"/>
    <w:rsid w:val="23057681"/>
    <w:rsid w:val="23122833"/>
    <w:rsid w:val="231D4917"/>
    <w:rsid w:val="23223458"/>
    <w:rsid w:val="23225D32"/>
    <w:rsid w:val="23357BE6"/>
    <w:rsid w:val="2342574E"/>
    <w:rsid w:val="2377331D"/>
    <w:rsid w:val="237D43DE"/>
    <w:rsid w:val="23940114"/>
    <w:rsid w:val="23B57016"/>
    <w:rsid w:val="23C4797E"/>
    <w:rsid w:val="23D4764B"/>
    <w:rsid w:val="23EC3718"/>
    <w:rsid w:val="24044EF2"/>
    <w:rsid w:val="2407139D"/>
    <w:rsid w:val="240B04F4"/>
    <w:rsid w:val="240E369A"/>
    <w:rsid w:val="242A0646"/>
    <w:rsid w:val="2435301D"/>
    <w:rsid w:val="243A0633"/>
    <w:rsid w:val="243D6E1A"/>
    <w:rsid w:val="24453D05"/>
    <w:rsid w:val="24607F91"/>
    <w:rsid w:val="246C581B"/>
    <w:rsid w:val="247C52A2"/>
    <w:rsid w:val="24CC106B"/>
    <w:rsid w:val="24D00598"/>
    <w:rsid w:val="24D725E9"/>
    <w:rsid w:val="25045F70"/>
    <w:rsid w:val="250474F1"/>
    <w:rsid w:val="25056E93"/>
    <w:rsid w:val="25092EBA"/>
    <w:rsid w:val="250E5D48"/>
    <w:rsid w:val="25241020"/>
    <w:rsid w:val="25302410"/>
    <w:rsid w:val="257572C3"/>
    <w:rsid w:val="25790E85"/>
    <w:rsid w:val="25972C60"/>
    <w:rsid w:val="25974C6F"/>
    <w:rsid w:val="259D1676"/>
    <w:rsid w:val="25A353EB"/>
    <w:rsid w:val="25B87B65"/>
    <w:rsid w:val="25CB78C3"/>
    <w:rsid w:val="25D54390"/>
    <w:rsid w:val="261879A7"/>
    <w:rsid w:val="261A071C"/>
    <w:rsid w:val="264B0BA4"/>
    <w:rsid w:val="264F4111"/>
    <w:rsid w:val="265E0AEC"/>
    <w:rsid w:val="2661459D"/>
    <w:rsid w:val="268C5256"/>
    <w:rsid w:val="268E455B"/>
    <w:rsid w:val="26912B30"/>
    <w:rsid w:val="269772F0"/>
    <w:rsid w:val="26997893"/>
    <w:rsid w:val="26A30712"/>
    <w:rsid w:val="26AC0C27"/>
    <w:rsid w:val="26C807A6"/>
    <w:rsid w:val="26D1527F"/>
    <w:rsid w:val="26DB67BA"/>
    <w:rsid w:val="26E311CD"/>
    <w:rsid w:val="26EF24ED"/>
    <w:rsid w:val="26F1408A"/>
    <w:rsid w:val="26F96584"/>
    <w:rsid w:val="27015370"/>
    <w:rsid w:val="270B421F"/>
    <w:rsid w:val="27337CE7"/>
    <w:rsid w:val="274E2228"/>
    <w:rsid w:val="27517A93"/>
    <w:rsid w:val="275E53AF"/>
    <w:rsid w:val="276658E8"/>
    <w:rsid w:val="276F6846"/>
    <w:rsid w:val="277E30D2"/>
    <w:rsid w:val="27803F2A"/>
    <w:rsid w:val="27983FEE"/>
    <w:rsid w:val="27A34941"/>
    <w:rsid w:val="27EE3A7B"/>
    <w:rsid w:val="282E4F00"/>
    <w:rsid w:val="283C23DF"/>
    <w:rsid w:val="283D69F1"/>
    <w:rsid w:val="284C16F5"/>
    <w:rsid w:val="28570AB5"/>
    <w:rsid w:val="285F2CDC"/>
    <w:rsid w:val="28622C36"/>
    <w:rsid w:val="288C2D07"/>
    <w:rsid w:val="289E7E22"/>
    <w:rsid w:val="28C2534B"/>
    <w:rsid w:val="28C5525A"/>
    <w:rsid w:val="28D14B96"/>
    <w:rsid w:val="28FB48E2"/>
    <w:rsid w:val="29020C46"/>
    <w:rsid w:val="290240C7"/>
    <w:rsid w:val="291713AF"/>
    <w:rsid w:val="291A2B97"/>
    <w:rsid w:val="29274EE0"/>
    <w:rsid w:val="294F692F"/>
    <w:rsid w:val="295029E3"/>
    <w:rsid w:val="29543A59"/>
    <w:rsid w:val="2969197F"/>
    <w:rsid w:val="29746E87"/>
    <w:rsid w:val="297C03C2"/>
    <w:rsid w:val="299573AB"/>
    <w:rsid w:val="29BE5BD0"/>
    <w:rsid w:val="29C01572"/>
    <w:rsid w:val="29CA4207"/>
    <w:rsid w:val="29E74CE2"/>
    <w:rsid w:val="2A133E00"/>
    <w:rsid w:val="2A241B69"/>
    <w:rsid w:val="2A306A36"/>
    <w:rsid w:val="2A457300"/>
    <w:rsid w:val="2A5372C6"/>
    <w:rsid w:val="2A5B03D8"/>
    <w:rsid w:val="2A6F6D07"/>
    <w:rsid w:val="2A882500"/>
    <w:rsid w:val="2AA35184"/>
    <w:rsid w:val="2AAB4E76"/>
    <w:rsid w:val="2AB63ABC"/>
    <w:rsid w:val="2AB63D0A"/>
    <w:rsid w:val="2AEA74E5"/>
    <w:rsid w:val="2B003D00"/>
    <w:rsid w:val="2B074D5E"/>
    <w:rsid w:val="2B100BA9"/>
    <w:rsid w:val="2B1B5825"/>
    <w:rsid w:val="2B1E3AFC"/>
    <w:rsid w:val="2B8D373E"/>
    <w:rsid w:val="2B9E4F56"/>
    <w:rsid w:val="2BDB5A88"/>
    <w:rsid w:val="2BE91C37"/>
    <w:rsid w:val="2BEC3F72"/>
    <w:rsid w:val="2C083572"/>
    <w:rsid w:val="2C185F94"/>
    <w:rsid w:val="2C1F1AC4"/>
    <w:rsid w:val="2C2945BA"/>
    <w:rsid w:val="2C2E71FC"/>
    <w:rsid w:val="2C3F3A41"/>
    <w:rsid w:val="2C4431C4"/>
    <w:rsid w:val="2C62059F"/>
    <w:rsid w:val="2C6634FA"/>
    <w:rsid w:val="2C7843EE"/>
    <w:rsid w:val="2CA25191"/>
    <w:rsid w:val="2CAC022C"/>
    <w:rsid w:val="2CC11807"/>
    <w:rsid w:val="2CF16074"/>
    <w:rsid w:val="2CF81D1B"/>
    <w:rsid w:val="2D3F2453"/>
    <w:rsid w:val="2D835174"/>
    <w:rsid w:val="2D9331F9"/>
    <w:rsid w:val="2DD90B7B"/>
    <w:rsid w:val="2DDD3FC1"/>
    <w:rsid w:val="2DEA131C"/>
    <w:rsid w:val="2DF701D8"/>
    <w:rsid w:val="2DF970A1"/>
    <w:rsid w:val="2E085834"/>
    <w:rsid w:val="2E0F1CF7"/>
    <w:rsid w:val="2E1034F8"/>
    <w:rsid w:val="2E112405"/>
    <w:rsid w:val="2E120D8E"/>
    <w:rsid w:val="2E443652"/>
    <w:rsid w:val="2E505773"/>
    <w:rsid w:val="2E742F70"/>
    <w:rsid w:val="2E9A689E"/>
    <w:rsid w:val="2ED61D9E"/>
    <w:rsid w:val="2EDC2A13"/>
    <w:rsid w:val="2EFD7DB9"/>
    <w:rsid w:val="2F1A081D"/>
    <w:rsid w:val="2F1C72B3"/>
    <w:rsid w:val="2F1E3DC0"/>
    <w:rsid w:val="2F2D326E"/>
    <w:rsid w:val="2F3112DE"/>
    <w:rsid w:val="2F3B6922"/>
    <w:rsid w:val="2F3D7B25"/>
    <w:rsid w:val="2F506C6D"/>
    <w:rsid w:val="2F512253"/>
    <w:rsid w:val="2F51291F"/>
    <w:rsid w:val="2F55758A"/>
    <w:rsid w:val="2F7F15AE"/>
    <w:rsid w:val="2F912594"/>
    <w:rsid w:val="2FA54796"/>
    <w:rsid w:val="2FA674E2"/>
    <w:rsid w:val="2FFE7D49"/>
    <w:rsid w:val="3002294D"/>
    <w:rsid w:val="3011153D"/>
    <w:rsid w:val="30142680"/>
    <w:rsid w:val="302A11B1"/>
    <w:rsid w:val="302A5C42"/>
    <w:rsid w:val="30662043"/>
    <w:rsid w:val="3083092C"/>
    <w:rsid w:val="30930D2E"/>
    <w:rsid w:val="30B8125D"/>
    <w:rsid w:val="30BF439A"/>
    <w:rsid w:val="30CF6A37"/>
    <w:rsid w:val="30D250CF"/>
    <w:rsid w:val="31002970"/>
    <w:rsid w:val="311016AD"/>
    <w:rsid w:val="3136622A"/>
    <w:rsid w:val="3139422E"/>
    <w:rsid w:val="31496359"/>
    <w:rsid w:val="314D19A6"/>
    <w:rsid w:val="316177A4"/>
    <w:rsid w:val="31700E4B"/>
    <w:rsid w:val="3172683C"/>
    <w:rsid w:val="317C672F"/>
    <w:rsid w:val="319475D5"/>
    <w:rsid w:val="31A359FC"/>
    <w:rsid w:val="31AD0D61"/>
    <w:rsid w:val="31CD297B"/>
    <w:rsid w:val="31CD73BD"/>
    <w:rsid w:val="31D66571"/>
    <w:rsid w:val="31DB4220"/>
    <w:rsid w:val="31DC56CD"/>
    <w:rsid w:val="31E63B94"/>
    <w:rsid w:val="31F27AF7"/>
    <w:rsid w:val="31FA74CA"/>
    <w:rsid w:val="32176602"/>
    <w:rsid w:val="322A7699"/>
    <w:rsid w:val="322B25C6"/>
    <w:rsid w:val="32422E70"/>
    <w:rsid w:val="325E56C6"/>
    <w:rsid w:val="3275698A"/>
    <w:rsid w:val="32943B86"/>
    <w:rsid w:val="32A93829"/>
    <w:rsid w:val="32B943EC"/>
    <w:rsid w:val="32DC63A0"/>
    <w:rsid w:val="32E429C1"/>
    <w:rsid w:val="330503EE"/>
    <w:rsid w:val="334045BE"/>
    <w:rsid w:val="334A3B2A"/>
    <w:rsid w:val="3365592E"/>
    <w:rsid w:val="336A31F3"/>
    <w:rsid w:val="336F6533"/>
    <w:rsid w:val="337E5E2F"/>
    <w:rsid w:val="3384610D"/>
    <w:rsid w:val="33AA5979"/>
    <w:rsid w:val="33C03E90"/>
    <w:rsid w:val="33C96649"/>
    <w:rsid w:val="33CC3D88"/>
    <w:rsid w:val="33D939C5"/>
    <w:rsid w:val="33DD0306"/>
    <w:rsid w:val="33FD722F"/>
    <w:rsid w:val="3400362D"/>
    <w:rsid w:val="340B09C5"/>
    <w:rsid w:val="341E4CAB"/>
    <w:rsid w:val="34584EE2"/>
    <w:rsid w:val="347A1C51"/>
    <w:rsid w:val="347D373F"/>
    <w:rsid w:val="34922A93"/>
    <w:rsid w:val="34956481"/>
    <w:rsid w:val="34A35871"/>
    <w:rsid w:val="34C06C9D"/>
    <w:rsid w:val="34DF24AE"/>
    <w:rsid w:val="351C4931"/>
    <w:rsid w:val="351C4EAC"/>
    <w:rsid w:val="351D4C26"/>
    <w:rsid w:val="352E7D40"/>
    <w:rsid w:val="35361A77"/>
    <w:rsid w:val="35461A22"/>
    <w:rsid w:val="35483CC9"/>
    <w:rsid w:val="356E46AA"/>
    <w:rsid w:val="357235B0"/>
    <w:rsid w:val="3578502D"/>
    <w:rsid w:val="35933C8C"/>
    <w:rsid w:val="35A815CB"/>
    <w:rsid w:val="35A85BD0"/>
    <w:rsid w:val="35AA1B9C"/>
    <w:rsid w:val="35D501BC"/>
    <w:rsid w:val="35DB09A6"/>
    <w:rsid w:val="36080591"/>
    <w:rsid w:val="3609472F"/>
    <w:rsid w:val="36203B2D"/>
    <w:rsid w:val="369B4CF0"/>
    <w:rsid w:val="36D62629"/>
    <w:rsid w:val="36D76172"/>
    <w:rsid w:val="36D84407"/>
    <w:rsid w:val="36E833BB"/>
    <w:rsid w:val="36EB1E1B"/>
    <w:rsid w:val="36F17F0D"/>
    <w:rsid w:val="37224581"/>
    <w:rsid w:val="3735197D"/>
    <w:rsid w:val="373756A2"/>
    <w:rsid w:val="375E0DA6"/>
    <w:rsid w:val="377639AE"/>
    <w:rsid w:val="378B61A6"/>
    <w:rsid w:val="37B90F0B"/>
    <w:rsid w:val="37CD3F98"/>
    <w:rsid w:val="37DF75BA"/>
    <w:rsid w:val="37E148E2"/>
    <w:rsid w:val="37F848EE"/>
    <w:rsid w:val="37F912FC"/>
    <w:rsid w:val="38304889"/>
    <w:rsid w:val="3836588A"/>
    <w:rsid w:val="38382675"/>
    <w:rsid w:val="383B7B0D"/>
    <w:rsid w:val="3848553B"/>
    <w:rsid w:val="3851700B"/>
    <w:rsid w:val="385246B6"/>
    <w:rsid w:val="3876113B"/>
    <w:rsid w:val="38A53DB7"/>
    <w:rsid w:val="38BF3388"/>
    <w:rsid w:val="38CC268D"/>
    <w:rsid w:val="38DF1FDA"/>
    <w:rsid w:val="38EC2960"/>
    <w:rsid w:val="39030CF9"/>
    <w:rsid w:val="39091F35"/>
    <w:rsid w:val="392536E2"/>
    <w:rsid w:val="39465F15"/>
    <w:rsid w:val="39505209"/>
    <w:rsid w:val="396453C5"/>
    <w:rsid w:val="39922CCF"/>
    <w:rsid w:val="39A65327"/>
    <w:rsid w:val="39A65C9B"/>
    <w:rsid w:val="39B12384"/>
    <w:rsid w:val="39BC5ED6"/>
    <w:rsid w:val="39D27231"/>
    <w:rsid w:val="39EB39E0"/>
    <w:rsid w:val="39EF02D4"/>
    <w:rsid w:val="3A11342A"/>
    <w:rsid w:val="3A153110"/>
    <w:rsid w:val="3A2149EA"/>
    <w:rsid w:val="3A2507C0"/>
    <w:rsid w:val="3A285AD8"/>
    <w:rsid w:val="3A393FA7"/>
    <w:rsid w:val="3A3A5A22"/>
    <w:rsid w:val="3A524858"/>
    <w:rsid w:val="3A64203E"/>
    <w:rsid w:val="3A663D00"/>
    <w:rsid w:val="3A7428D0"/>
    <w:rsid w:val="3A923AE4"/>
    <w:rsid w:val="3AA50E25"/>
    <w:rsid w:val="3AC566E3"/>
    <w:rsid w:val="3AD6747A"/>
    <w:rsid w:val="3AD95C48"/>
    <w:rsid w:val="3ADF5D0A"/>
    <w:rsid w:val="3B312338"/>
    <w:rsid w:val="3B3C5B77"/>
    <w:rsid w:val="3B3D0FF2"/>
    <w:rsid w:val="3B521A18"/>
    <w:rsid w:val="3B721899"/>
    <w:rsid w:val="3B8D2B96"/>
    <w:rsid w:val="3B923660"/>
    <w:rsid w:val="3BCA44BE"/>
    <w:rsid w:val="3C061F3A"/>
    <w:rsid w:val="3C0A04F9"/>
    <w:rsid w:val="3C495480"/>
    <w:rsid w:val="3C4C3A42"/>
    <w:rsid w:val="3C6F0167"/>
    <w:rsid w:val="3C71667B"/>
    <w:rsid w:val="3C914F3B"/>
    <w:rsid w:val="3CC17F13"/>
    <w:rsid w:val="3CD50B40"/>
    <w:rsid w:val="3CE320A3"/>
    <w:rsid w:val="3CE9196C"/>
    <w:rsid w:val="3CF15105"/>
    <w:rsid w:val="3D0C04B9"/>
    <w:rsid w:val="3D1414C5"/>
    <w:rsid w:val="3D1C763E"/>
    <w:rsid w:val="3D201AA5"/>
    <w:rsid w:val="3D2B37EA"/>
    <w:rsid w:val="3D2F7FF3"/>
    <w:rsid w:val="3D3D1507"/>
    <w:rsid w:val="3D62085B"/>
    <w:rsid w:val="3D6B12FD"/>
    <w:rsid w:val="3D7B4622"/>
    <w:rsid w:val="3D8E5820"/>
    <w:rsid w:val="3D942E29"/>
    <w:rsid w:val="3DA53531"/>
    <w:rsid w:val="3DB315F8"/>
    <w:rsid w:val="3DB54E0C"/>
    <w:rsid w:val="3DB900C1"/>
    <w:rsid w:val="3DE91725"/>
    <w:rsid w:val="3DF159B1"/>
    <w:rsid w:val="3E135D25"/>
    <w:rsid w:val="3E1A106E"/>
    <w:rsid w:val="3E36303B"/>
    <w:rsid w:val="3E526044"/>
    <w:rsid w:val="3E5C591E"/>
    <w:rsid w:val="3E6C2B3A"/>
    <w:rsid w:val="3E8C5311"/>
    <w:rsid w:val="3E8E7E55"/>
    <w:rsid w:val="3EB61473"/>
    <w:rsid w:val="3EC66011"/>
    <w:rsid w:val="3ED75B7F"/>
    <w:rsid w:val="3F315E6B"/>
    <w:rsid w:val="3F5175E2"/>
    <w:rsid w:val="3F56276A"/>
    <w:rsid w:val="3F6C10E0"/>
    <w:rsid w:val="3F963015"/>
    <w:rsid w:val="3F964D35"/>
    <w:rsid w:val="3FA327ED"/>
    <w:rsid w:val="3FB11738"/>
    <w:rsid w:val="3FB5581B"/>
    <w:rsid w:val="3FC33D05"/>
    <w:rsid w:val="3FF46B18"/>
    <w:rsid w:val="3FF74A2E"/>
    <w:rsid w:val="3FFC36E2"/>
    <w:rsid w:val="4005572D"/>
    <w:rsid w:val="402833BA"/>
    <w:rsid w:val="40283C2B"/>
    <w:rsid w:val="40394FD1"/>
    <w:rsid w:val="403A6E40"/>
    <w:rsid w:val="40425879"/>
    <w:rsid w:val="405C1C05"/>
    <w:rsid w:val="40765D15"/>
    <w:rsid w:val="407B4FC1"/>
    <w:rsid w:val="407F2DE9"/>
    <w:rsid w:val="40920B61"/>
    <w:rsid w:val="40991379"/>
    <w:rsid w:val="409B3C3D"/>
    <w:rsid w:val="40F701DF"/>
    <w:rsid w:val="40FD480A"/>
    <w:rsid w:val="412A32F8"/>
    <w:rsid w:val="415376D6"/>
    <w:rsid w:val="417F433E"/>
    <w:rsid w:val="419C4043"/>
    <w:rsid w:val="41B7239D"/>
    <w:rsid w:val="41D852BC"/>
    <w:rsid w:val="41FF3845"/>
    <w:rsid w:val="421104A9"/>
    <w:rsid w:val="42143B88"/>
    <w:rsid w:val="42164586"/>
    <w:rsid w:val="425B5DD1"/>
    <w:rsid w:val="4260300C"/>
    <w:rsid w:val="42755200"/>
    <w:rsid w:val="42772802"/>
    <w:rsid w:val="427C799E"/>
    <w:rsid w:val="42800B9B"/>
    <w:rsid w:val="4281223D"/>
    <w:rsid w:val="42A06B6C"/>
    <w:rsid w:val="42A27996"/>
    <w:rsid w:val="42AA04E2"/>
    <w:rsid w:val="42EA5650"/>
    <w:rsid w:val="431408DA"/>
    <w:rsid w:val="4331401E"/>
    <w:rsid w:val="43486FC5"/>
    <w:rsid w:val="43591DDA"/>
    <w:rsid w:val="435A0DF2"/>
    <w:rsid w:val="436C42E1"/>
    <w:rsid w:val="437C210F"/>
    <w:rsid w:val="43847F02"/>
    <w:rsid w:val="438F113C"/>
    <w:rsid w:val="439E7EFB"/>
    <w:rsid w:val="43B1568A"/>
    <w:rsid w:val="43B64E08"/>
    <w:rsid w:val="43BD7F58"/>
    <w:rsid w:val="43D43ECA"/>
    <w:rsid w:val="43DD452F"/>
    <w:rsid w:val="43DE6CD4"/>
    <w:rsid w:val="43E51150"/>
    <w:rsid w:val="43EF28BB"/>
    <w:rsid w:val="43EF56D3"/>
    <w:rsid w:val="43F47D80"/>
    <w:rsid w:val="44095C00"/>
    <w:rsid w:val="440A6FD2"/>
    <w:rsid w:val="44366C11"/>
    <w:rsid w:val="444946CA"/>
    <w:rsid w:val="444B3F54"/>
    <w:rsid w:val="4476661F"/>
    <w:rsid w:val="447E3AC5"/>
    <w:rsid w:val="44805ED4"/>
    <w:rsid w:val="448E5DEE"/>
    <w:rsid w:val="44A90BAA"/>
    <w:rsid w:val="44B24A20"/>
    <w:rsid w:val="44BC0BEE"/>
    <w:rsid w:val="44BF6C07"/>
    <w:rsid w:val="44C55A88"/>
    <w:rsid w:val="44FB1C9C"/>
    <w:rsid w:val="45392A13"/>
    <w:rsid w:val="453E3FCF"/>
    <w:rsid w:val="454F1836"/>
    <w:rsid w:val="45887B45"/>
    <w:rsid w:val="458B66DF"/>
    <w:rsid w:val="45940F0E"/>
    <w:rsid w:val="45AC5DBA"/>
    <w:rsid w:val="45C647AF"/>
    <w:rsid w:val="45DD529D"/>
    <w:rsid w:val="45E57886"/>
    <w:rsid w:val="45E945CC"/>
    <w:rsid w:val="46003076"/>
    <w:rsid w:val="46026F63"/>
    <w:rsid w:val="46177E29"/>
    <w:rsid w:val="461F5BAF"/>
    <w:rsid w:val="46205B7F"/>
    <w:rsid w:val="465D501C"/>
    <w:rsid w:val="466367DB"/>
    <w:rsid w:val="46686D18"/>
    <w:rsid w:val="466D15DA"/>
    <w:rsid w:val="46BF7E28"/>
    <w:rsid w:val="46C3037C"/>
    <w:rsid w:val="46FF15E0"/>
    <w:rsid w:val="4700581C"/>
    <w:rsid w:val="4702516A"/>
    <w:rsid w:val="4724600B"/>
    <w:rsid w:val="472C4A6C"/>
    <w:rsid w:val="474A4B33"/>
    <w:rsid w:val="47665A15"/>
    <w:rsid w:val="47677941"/>
    <w:rsid w:val="477F1660"/>
    <w:rsid w:val="4788232A"/>
    <w:rsid w:val="478B0398"/>
    <w:rsid w:val="478F5D0B"/>
    <w:rsid w:val="479D5A47"/>
    <w:rsid w:val="47A31F5F"/>
    <w:rsid w:val="47A84BA6"/>
    <w:rsid w:val="47B52444"/>
    <w:rsid w:val="47B8724E"/>
    <w:rsid w:val="47ED7BCA"/>
    <w:rsid w:val="48016F34"/>
    <w:rsid w:val="480556DB"/>
    <w:rsid w:val="48185C56"/>
    <w:rsid w:val="48450F81"/>
    <w:rsid w:val="484E729D"/>
    <w:rsid w:val="48566773"/>
    <w:rsid w:val="485A23C2"/>
    <w:rsid w:val="48A16B62"/>
    <w:rsid w:val="48BC6222"/>
    <w:rsid w:val="48C245E9"/>
    <w:rsid w:val="48DB312A"/>
    <w:rsid w:val="48DF49D9"/>
    <w:rsid w:val="492108CC"/>
    <w:rsid w:val="49413F52"/>
    <w:rsid w:val="494F6304"/>
    <w:rsid w:val="4A05334F"/>
    <w:rsid w:val="4A244932"/>
    <w:rsid w:val="4A2922C8"/>
    <w:rsid w:val="4A4117B2"/>
    <w:rsid w:val="4A4A6F73"/>
    <w:rsid w:val="4A7A4350"/>
    <w:rsid w:val="4A7E2497"/>
    <w:rsid w:val="4A896826"/>
    <w:rsid w:val="4ABF5E17"/>
    <w:rsid w:val="4ACF7478"/>
    <w:rsid w:val="4AD52CE0"/>
    <w:rsid w:val="4AE01A66"/>
    <w:rsid w:val="4AE104D6"/>
    <w:rsid w:val="4AE724D1"/>
    <w:rsid w:val="4AE77140"/>
    <w:rsid w:val="4AEA4061"/>
    <w:rsid w:val="4AED707B"/>
    <w:rsid w:val="4AFA2F07"/>
    <w:rsid w:val="4B015D61"/>
    <w:rsid w:val="4B0B7979"/>
    <w:rsid w:val="4B1530DD"/>
    <w:rsid w:val="4B520DF4"/>
    <w:rsid w:val="4B603107"/>
    <w:rsid w:val="4B7110F8"/>
    <w:rsid w:val="4B7A5635"/>
    <w:rsid w:val="4B8E10E1"/>
    <w:rsid w:val="4B9802B0"/>
    <w:rsid w:val="4B9E65BE"/>
    <w:rsid w:val="4B9F33A8"/>
    <w:rsid w:val="4BA80AFD"/>
    <w:rsid w:val="4BB033BA"/>
    <w:rsid w:val="4BB469AD"/>
    <w:rsid w:val="4BC06040"/>
    <w:rsid w:val="4BF441D2"/>
    <w:rsid w:val="4C1C2A09"/>
    <w:rsid w:val="4C284AD9"/>
    <w:rsid w:val="4C423098"/>
    <w:rsid w:val="4C694192"/>
    <w:rsid w:val="4C7964D9"/>
    <w:rsid w:val="4C9269F6"/>
    <w:rsid w:val="4CB75F07"/>
    <w:rsid w:val="4CC84335"/>
    <w:rsid w:val="4CE9350A"/>
    <w:rsid w:val="4D222C2C"/>
    <w:rsid w:val="4D225F85"/>
    <w:rsid w:val="4D297BF3"/>
    <w:rsid w:val="4D2D0EAF"/>
    <w:rsid w:val="4D6777C6"/>
    <w:rsid w:val="4D795A49"/>
    <w:rsid w:val="4D7F0082"/>
    <w:rsid w:val="4D952FD9"/>
    <w:rsid w:val="4D970662"/>
    <w:rsid w:val="4D9A1FBF"/>
    <w:rsid w:val="4DB33393"/>
    <w:rsid w:val="4DBC3CE3"/>
    <w:rsid w:val="4DCB51C5"/>
    <w:rsid w:val="4DCF1E0D"/>
    <w:rsid w:val="4DD632D9"/>
    <w:rsid w:val="4DE05D9E"/>
    <w:rsid w:val="4DE05DF9"/>
    <w:rsid w:val="4DE44800"/>
    <w:rsid w:val="4DEE0709"/>
    <w:rsid w:val="4DFC14EA"/>
    <w:rsid w:val="4DFF6815"/>
    <w:rsid w:val="4E0A3427"/>
    <w:rsid w:val="4E2423AC"/>
    <w:rsid w:val="4E287F63"/>
    <w:rsid w:val="4E304B5D"/>
    <w:rsid w:val="4E611B8B"/>
    <w:rsid w:val="4E6279D7"/>
    <w:rsid w:val="4E682F8C"/>
    <w:rsid w:val="4E6A7BB7"/>
    <w:rsid w:val="4E7D4D65"/>
    <w:rsid w:val="4E9133C2"/>
    <w:rsid w:val="4EB23220"/>
    <w:rsid w:val="4EE71C25"/>
    <w:rsid w:val="4F0773B4"/>
    <w:rsid w:val="4F241019"/>
    <w:rsid w:val="4F307BB1"/>
    <w:rsid w:val="4F336227"/>
    <w:rsid w:val="4F3D562D"/>
    <w:rsid w:val="4F5C4EE0"/>
    <w:rsid w:val="4F6E1972"/>
    <w:rsid w:val="4F943166"/>
    <w:rsid w:val="4F9C19A5"/>
    <w:rsid w:val="4FBA02A1"/>
    <w:rsid w:val="4FE7106E"/>
    <w:rsid w:val="4FF82FCD"/>
    <w:rsid w:val="50053943"/>
    <w:rsid w:val="50374A3C"/>
    <w:rsid w:val="50550E55"/>
    <w:rsid w:val="50901457"/>
    <w:rsid w:val="509F43E4"/>
    <w:rsid w:val="50A54D3E"/>
    <w:rsid w:val="50B82E88"/>
    <w:rsid w:val="50BB32A7"/>
    <w:rsid w:val="50F1402B"/>
    <w:rsid w:val="50FD2AD9"/>
    <w:rsid w:val="51081E85"/>
    <w:rsid w:val="51097D9A"/>
    <w:rsid w:val="51237D2E"/>
    <w:rsid w:val="515B06D0"/>
    <w:rsid w:val="51764AF1"/>
    <w:rsid w:val="51996737"/>
    <w:rsid w:val="51B408B8"/>
    <w:rsid w:val="51B80848"/>
    <w:rsid w:val="51CC0868"/>
    <w:rsid w:val="51D5340F"/>
    <w:rsid w:val="52382F2A"/>
    <w:rsid w:val="52386E3D"/>
    <w:rsid w:val="523A7DD1"/>
    <w:rsid w:val="523B7711"/>
    <w:rsid w:val="5271774C"/>
    <w:rsid w:val="528D7B65"/>
    <w:rsid w:val="52DE008D"/>
    <w:rsid w:val="52EE341E"/>
    <w:rsid w:val="52F37FE6"/>
    <w:rsid w:val="52FC1CAF"/>
    <w:rsid w:val="52FE08FA"/>
    <w:rsid w:val="530B071F"/>
    <w:rsid w:val="531A330F"/>
    <w:rsid w:val="532B6CAF"/>
    <w:rsid w:val="53350D91"/>
    <w:rsid w:val="53412644"/>
    <w:rsid w:val="53433903"/>
    <w:rsid w:val="53517A72"/>
    <w:rsid w:val="5361549D"/>
    <w:rsid w:val="536220DA"/>
    <w:rsid w:val="53650637"/>
    <w:rsid w:val="537155BE"/>
    <w:rsid w:val="53757C6B"/>
    <w:rsid w:val="537E1075"/>
    <w:rsid w:val="53A44D07"/>
    <w:rsid w:val="53A46AC8"/>
    <w:rsid w:val="53AB7F1F"/>
    <w:rsid w:val="53AC6F7B"/>
    <w:rsid w:val="53EB297B"/>
    <w:rsid w:val="53EC4BF7"/>
    <w:rsid w:val="53F758A1"/>
    <w:rsid w:val="540D5A7F"/>
    <w:rsid w:val="542E2BC2"/>
    <w:rsid w:val="54352A96"/>
    <w:rsid w:val="54447390"/>
    <w:rsid w:val="544B514D"/>
    <w:rsid w:val="545E1D01"/>
    <w:rsid w:val="54674051"/>
    <w:rsid w:val="54935B8F"/>
    <w:rsid w:val="54CC6227"/>
    <w:rsid w:val="54D10F9B"/>
    <w:rsid w:val="54D97871"/>
    <w:rsid w:val="551D586C"/>
    <w:rsid w:val="55200298"/>
    <w:rsid w:val="55335E1B"/>
    <w:rsid w:val="554B7EF0"/>
    <w:rsid w:val="556F3D99"/>
    <w:rsid w:val="55720837"/>
    <w:rsid w:val="55860894"/>
    <w:rsid w:val="558F6181"/>
    <w:rsid w:val="55B02DF1"/>
    <w:rsid w:val="55DC290C"/>
    <w:rsid w:val="55E71B19"/>
    <w:rsid w:val="55EA5D64"/>
    <w:rsid w:val="55F01FA1"/>
    <w:rsid w:val="55FC19B9"/>
    <w:rsid w:val="56130B60"/>
    <w:rsid w:val="562A703E"/>
    <w:rsid w:val="56990B7C"/>
    <w:rsid w:val="569E1126"/>
    <w:rsid w:val="56A8690E"/>
    <w:rsid w:val="56B679AB"/>
    <w:rsid w:val="56B80DEB"/>
    <w:rsid w:val="56E0560F"/>
    <w:rsid w:val="56E06E61"/>
    <w:rsid w:val="56F653FE"/>
    <w:rsid w:val="574448FC"/>
    <w:rsid w:val="57561D39"/>
    <w:rsid w:val="575B7AFD"/>
    <w:rsid w:val="57660D3F"/>
    <w:rsid w:val="5785783C"/>
    <w:rsid w:val="57AD28EF"/>
    <w:rsid w:val="57D10760"/>
    <w:rsid w:val="57D1153D"/>
    <w:rsid w:val="57D77297"/>
    <w:rsid w:val="57FA3774"/>
    <w:rsid w:val="58084A3C"/>
    <w:rsid w:val="582772A7"/>
    <w:rsid w:val="58531B77"/>
    <w:rsid w:val="585D2975"/>
    <w:rsid w:val="585E3492"/>
    <w:rsid w:val="585F64F9"/>
    <w:rsid w:val="587E3341"/>
    <w:rsid w:val="587F428B"/>
    <w:rsid w:val="58B31855"/>
    <w:rsid w:val="58CF56D8"/>
    <w:rsid w:val="58D31010"/>
    <w:rsid w:val="58D6741E"/>
    <w:rsid w:val="58DB0535"/>
    <w:rsid w:val="58E62E0E"/>
    <w:rsid w:val="58EA3D0E"/>
    <w:rsid w:val="58F24A5D"/>
    <w:rsid w:val="58F71269"/>
    <w:rsid w:val="58FE045E"/>
    <w:rsid w:val="59014CEF"/>
    <w:rsid w:val="59561946"/>
    <w:rsid w:val="59670F51"/>
    <w:rsid w:val="596A44F9"/>
    <w:rsid w:val="596C19BB"/>
    <w:rsid w:val="59790BDB"/>
    <w:rsid w:val="597E3F42"/>
    <w:rsid w:val="598653AC"/>
    <w:rsid w:val="59AC3C86"/>
    <w:rsid w:val="59B817D3"/>
    <w:rsid w:val="59C11856"/>
    <w:rsid w:val="59C153AB"/>
    <w:rsid w:val="59D42FDA"/>
    <w:rsid w:val="59D503FC"/>
    <w:rsid w:val="59DA4E01"/>
    <w:rsid w:val="59F64E82"/>
    <w:rsid w:val="5A0A5DD6"/>
    <w:rsid w:val="5A10435C"/>
    <w:rsid w:val="5A2654CC"/>
    <w:rsid w:val="5A323A44"/>
    <w:rsid w:val="5A395E66"/>
    <w:rsid w:val="5A476FBE"/>
    <w:rsid w:val="5A484352"/>
    <w:rsid w:val="5A5321A5"/>
    <w:rsid w:val="5A8734AF"/>
    <w:rsid w:val="5A9D3E45"/>
    <w:rsid w:val="5AA4101D"/>
    <w:rsid w:val="5AB17576"/>
    <w:rsid w:val="5ABD68E6"/>
    <w:rsid w:val="5ABF73D2"/>
    <w:rsid w:val="5ACB3D8A"/>
    <w:rsid w:val="5AE1508F"/>
    <w:rsid w:val="5AF80256"/>
    <w:rsid w:val="5B110CC9"/>
    <w:rsid w:val="5B1F7B5D"/>
    <w:rsid w:val="5B585171"/>
    <w:rsid w:val="5B585B78"/>
    <w:rsid w:val="5B6D62B9"/>
    <w:rsid w:val="5B746CFA"/>
    <w:rsid w:val="5B9A2B59"/>
    <w:rsid w:val="5BC0085A"/>
    <w:rsid w:val="5BE03293"/>
    <w:rsid w:val="5BF03D58"/>
    <w:rsid w:val="5BF20AFB"/>
    <w:rsid w:val="5C1A6BB2"/>
    <w:rsid w:val="5C37233A"/>
    <w:rsid w:val="5C5355FE"/>
    <w:rsid w:val="5C5A49A5"/>
    <w:rsid w:val="5C6715FE"/>
    <w:rsid w:val="5C6F4105"/>
    <w:rsid w:val="5C7025CA"/>
    <w:rsid w:val="5CBB7F6F"/>
    <w:rsid w:val="5CC248CE"/>
    <w:rsid w:val="5D042FB1"/>
    <w:rsid w:val="5D442CB4"/>
    <w:rsid w:val="5D4D4B30"/>
    <w:rsid w:val="5D7C3F11"/>
    <w:rsid w:val="5D971C5A"/>
    <w:rsid w:val="5D9D49E0"/>
    <w:rsid w:val="5DDF1821"/>
    <w:rsid w:val="5DE2656A"/>
    <w:rsid w:val="5DEA2F91"/>
    <w:rsid w:val="5DF94AE0"/>
    <w:rsid w:val="5DFA5883"/>
    <w:rsid w:val="5E3146A3"/>
    <w:rsid w:val="5E442F62"/>
    <w:rsid w:val="5E6C2C5B"/>
    <w:rsid w:val="5E6E2DD8"/>
    <w:rsid w:val="5E7251A2"/>
    <w:rsid w:val="5E7C3591"/>
    <w:rsid w:val="5E9D0E18"/>
    <w:rsid w:val="5EA26F25"/>
    <w:rsid w:val="5EA341D7"/>
    <w:rsid w:val="5EA755DE"/>
    <w:rsid w:val="5ED35F0E"/>
    <w:rsid w:val="5EDF7832"/>
    <w:rsid w:val="5EFC1390"/>
    <w:rsid w:val="5EFC3EB6"/>
    <w:rsid w:val="5F03335D"/>
    <w:rsid w:val="5F0368C7"/>
    <w:rsid w:val="5F1544E7"/>
    <w:rsid w:val="5F197EE8"/>
    <w:rsid w:val="5F312D8D"/>
    <w:rsid w:val="5F3C4923"/>
    <w:rsid w:val="5F4160B0"/>
    <w:rsid w:val="5F5A7800"/>
    <w:rsid w:val="5F6368E9"/>
    <w:rsid w:val="5F7811D3"/>
    <w:rsid w:val="5F9A65E6"/>
    <w:rsid w:val="5F9B2627"/>
    <w:rsid w:val="5FAC7B1F"/>
    <w:rsid w:val="5FB80E3D"/>
    <w:rsid w:val="5FB831B4"/>
    <w:rsid w:val="5FD40999"/>
    <w:rsid w:val="5FE5522B"/>
    <w:rsid w:val="5FF03F08"/>
    <w:rsid w:val="5FF2548E"/>
    <w:rsid w:val="5FF313D3"/>
    <w:rsid w:val="602610FD"/>
    <w:rsid w:val="602808B2"/>
    <w:rsid w:val="602C2F4B"/>
    <w:rsid w:val="603814FF"/>
    <w:rsid w:val="604109A8"/>
    <w:rsid w:val="605D2617"/>
    <w:rsid w:val="60616CDC"/>
    <w:rsid w:val="60624E53"/>
    <w:rsid w:val="606319E5"/>
    <w:rsid w:val="607A77D8"/>
    <w:rsid w:val="607B3C50"/>
    <w:rsid w:val="608B6567"/>
    <w:rsid w:val="60902A4E"/>
    <w:rsid w:val="60AA3E6F"/>
    <w:rsid w:val="60FF21D9"/>
    <w:rsid w:val="611E37D0"/>
    <w:rsid w:val="613021B3"/>
    <w:rsid w:val="61306A6A"/>
    <w:rsid w:val="613253FD"/>
    <w:rsid w:val="61421F29"/>
    <w:rsid w:val="61712185"/>
    <w:rsid w:val="618B7207"/>
    <w:rsid w:val="61907E69"/>
    <w:rsid w:val="61A90D68"/>
    <w:rsid w:val="61B43A15"/>
    <w:rsid w:val="62065A1D"/>
    <w:rsid w:val="6213792C"/>
    <w:rsid w:val="621775E2"/>
    <w:rsid w:val="621C0D9D"/>
    <w:rsid w:val="622F7552"/>
    <w:rsid w:val="6250406E"/>
    <w:rsid w:val="627D6831"/>
    <w:rsid w:val="62811B1C"/>
    <w:rsid w:val="62A20409"/>
    <w:rsid w:val="62B54B44"/>
    <w:rsid w:val="62E045DA"/>
    <w:rsid w:val="62E454A1"/>
    <w:rsid w:val="62F36E4C"/>
    <w:rsid w:val="62F47F8F"/>
    <w:rsid w:val="62F7233F"/>
    <w:rsid w:val="631F3FB4"/>
    <w:rsid w:val="63364F75"/>
    <w:rsid w:val="6340438B"/>
    <w:rsid w:val="6353238E"/>
    <w:rsid w:val="63612AB8"/>
    <w:rsid w:val="636801FF"/>
    <w:rsid w:val="6379289B"/>
    <w:rsid w:val="637D0978"/>
    <w:rsid w:val="638906B4"/>
    <w:rsid w:val="638968B0"/>
    <w:rsid w:val="638A282C"/>
    <w:rsid w:val="63A75341"/>
    <w:rsid w:val="63A85E90"/>
    <w:rsid w:val="63A962DB"/>
    <w:rsid w:val="63AB1A91"/>
    <w:rsid w:val="63B75221"/>
    <w:rsid w:val="63B82D47"/>
    <w:rsid w:val="63C74D38"/>
    <w:rsid w:val="63CA2F0F"/>
    <w:rsid w:val="63EE4692"/>
    <w:rsid w:val="63FD622D"/>
    <w:rsid w:val="64177A6E"/>
    <w:rsid w:val="643F32F9"/>
    <w:rsid w:val="64582686"/>
    <w:rsid w:val="64673C87"/>
    <w:rsid w:val="64877733"/>
    <w:rsid w:val="64A170D2"/>
    <w:rsid w:val="64A251DD"/>
    <w:rsid w:val="64BC182A"/>
    <w:rsid w:val="650242F0"/>
    <w:rsid w:val="65365B2B"/>
    <w:rsid w:val="653F447E"/>
    <w:rsid w:val="65542778"/>
    <w:rsid w:val="655829AF"/>
    <w:rsid w:val="656B70C3"/>
    <w:rsid w:val="658F4798"/>
    <w:rsid w:val="659B1EBA"/>
    <w:rsid w:val="65A83379"/>
    <w:rsid w:val="65B461E9"/>
    <w:rsid w:val="65BE39A8"/>
    <w:rsid w:val="65CA1F57"/>
    <w:rsid w:val="65FB3FBE"/>
    <w:rsid w:val="66247D11"/>
    <w:rsid w:val="66736112"/>
    <w:rsid w:val="667F5B5B"/>
    <w:rsid w:val="6694262A"/>
    <w:rsid w:val="66990381"/>
    <w:rsid w:val="66B31B01"/>
    <w:rsid w:val="66CE1E80"/>
    <w:rsid w:val="66E362F9"/>
    <w:rsid w:val="66E47FD9"/>
    <w:rsid w:val="66F127F8"/>
    <w:rsid w:val="67071922"/>
    <w:rsid w:val="672A5D0A"/>
    <w:rsid w:val="673B73C0"/>
    <w:rsid w:val="674743C8"/>
    <w:rsid w:val="675608B6"/>
    <w:rsid w:val="67754402"/>
    <w:rsid w:val="677D54ED"/>
    <w:rsid w:val="678B726C"/>
    <w:rsid w:val="67B25E27"/>
    <w:rsid w:val="67B4646D"/>
    <w:rsid w:val="67B464CA"/>
    <w:rsid w:val="67C4383B"/>
    <w:rsid w:val="67D35E1A"/>
    <w:rsid w:val="67D839B8"/>
    <w:rsid w:val="67F35317"/>
    <w:rsid w:val="680201B7"/>
    <w:rsid w:val="68362BFB"/>
    <w:rsid w:val="683D085A"/>
    <w:rsid w:val="683F1130"/>
    <w:rsid w:val="684456A1"/>
    <w:rsid w:val="685E1363"/>
    <w:rsid w:val="687731D1"/>
    <w:rsid w:val="6878475E"/>
    <w:rsid w:val="688E1089"/>
    <w:rsid w:val="68993219"/>
    <w:rsid w:val="68A026F3"/>
    <w:rsid w:val="68AF6C13"/>
    <w:rsid w:val="68F25680"/>
    <w:rsid w:val="69074555"/>
    <w:rsid w:val="690E07C7"/>
    <w:rsid w:val="69236A65"/>
    <w:rsid w:val="692E469B"/>
    <w:rsid w:val="69315C48"/>
    <w:rsid w:val="694019EC"/>
    <w:rsid w:val="694841AF"/>
    <w:rsid w:val="69584DB4"/>
    <w:rsid w:val="696C3D80"/>
    <w:rsid w:val="698A5EE4"/>
    <w:rsid w:val="69C811ED"/>
    <w:rsid w:val="69D33070"/>
    <w:rsid w:val="69E97E75"/>
    <w:rsid w:val="69FB5D9E"/>
    <w:rsid w:val="69FF6FDA"/>
    <w:rsid w:val="6A1A3007"/>
    <w:rsid w:val="6A1E645E"/>
    <w:rsid w:val="6A417049"/>
    <w:rsid w:val="6A7903E5"/>
    <w:rsid w:val="6A8219B9"/>
    <w:rsid w:val="6AA03032"/>
    <w:rsid w:val="6AA86FEC"/>
    <w:rsid w:val="6ACB20F7"/>
    <w:rsid w:val="6ADA6AC4"/>
    <w:rsid w:val="6ADB11D6"/>
    <w:rsid w:val="6B1A2C3C"/>
    <w:rsid w:val="6B221F4E"/>
    <w:rsid w:val="6B31644D"/>
    <w:rsid w:val="6B486C86"/>
    <w:rsid w:val="6B554C72"/>
    <w:rsid w:val="6B774DF2"/>
    <w:rsid w:val="6B847AD7"/>
    <w:rsid w:val="6B961F07"/>
    <w:rsid w:val="6B9A2DF9"/>
    <w:rsid w:val="6BA56BC7"/>
    <w:rsid w:val="6BAC4619"/>
    <w:rsid w:val="6BC60150"/>
    <w:rsid w:val="6BCD2823"/>
    <w:rsid w:val="6BDD15DD"/>
    <w:rsid w:val="6BDF2966"/>
    <w:rsid w:val="6BE86A5F"/>
    <w:rsid w:val="6C234DED"/>
    <w:rsid w:val="6C29198B"/>
    <w:rsid w:val="6C3A67D1"/>
    <w:rsid w:val="6C3D2D5C"/>
    <w:rsid w:val="6C4800AA"/>
    <w:rsid w:val="6C4D28F8"/>
    <w:rsid w:val="6C573E9C"/>
    <w:rsid w:val="6C5C23DC"/>
    <w:rsid w:val="6C6D1126"/>
    <w:rsid w:val="6C986334"/>
    <w:rsid w:val="6CA35B3A"/>
    <w:rsid w:val="6CA41A5D"/>
    <w:rsid w:val="6CA479DF"/>
    <w:rsid w:val="6CA60B56"/>
    <w:rsid w:val="6CAF588C"/>
    <w:rsid w:val="6CB4638E"/>
    <w:rsid w:val="6CBF3C6A"/>
    <w:rsid w:val="6CBF5306"/>
    <w:rsid w:val="6CD930DF"/>
    <w:rsid w:val="6CDC1854"/>
    <w:rsid w:val="6CE70FA1"/>
    <w:rsid w:val="6CF05300"/>
    <w:rsid w:val="6CFA6351"/>
    <w:rsid w:val="6CFC3C40"/>
    <w:rsid w:val="6D2F6F7D"/>
    <w:rsid w:val="6D480984"/>
    <w:rsid w:val="6D6830E8"/>
    <w:rsid w:val="6DB13E57"/>
    <w:rsid w:val="6DC245A2"/>
    <w:rsid w:val="6DC71662"/>
    <w:rsid w:val="6DCD5126"/>
    <w:rsid w:val="6DDB6CB0"/>
    <w:rsid w:val="6DE21877"/>
    <w:rsid w:val="6DE52ACD"/>
    <w:rsid w:val="6DFC0B44"/>
    <w:rsid w:val="6E0458E7"/>
    <w:rsid w:val="6E212037"/>
    <w:rsid w:val="6E3B221B"/>
    <w:rsid w:val="6E475779"/>
    <w:rsid w:val="6E51424D"/>
    <w:rsid w:val="6E5E0F7F"/>
    <w:rsid w:val="6E663C68"/>
    <w:rsid w:val="6E7764EF"/>
    <w:rsid w:val="6EAD447C"/>
    <w:rsid w:val="6EAE5472"/>
    <w:rsid w:val="6EBC069A"/>
    <w:rsid w:val="6ECD7F59"/>
    <w:rsid w:val="6ECF449B"/>
    <w:rsid w:val="6EED7C80"/>
    <w:rsid w:val="6EF773A4"/>
    <w:rsid w:val="6F1E2E65"/>
    <w:rsid w:val="6F2F2D9E"/>
    <w:rsid w:val="6F4147D9"/>
    <w:rsid w:val="6F581F47"/>
    <w:rsid w:val="6F5B0D5A"/>
    <w:rsid w:val="6F5C35EA"/>
    <w:rsid w:val="6F6B6A15"/>
    <w:rsid w:val="6F947E4B"/>
    <w:rsid w:val="6FA30BDA"/>
    <w:rsid w:val="6FB21D4C"/>
    <w:rsid w:val="6FB80698"/>
    <w:rsid w:val="701021F4"/>
    <w:rsid w:val="701C29A6"/>
    <w:rsid w:val="7024611F"/>
    <w:rsid w:val="70637B96"/>
    <w:rsid w:val="70797317"/>
    <w:rsid w:val="7099044B"/>
    <w:rsid w:val="709D518F"/>
    <w:rsid w:val="70C759D3"/>
    <w:rsid w:val="70CD7E32"/>
    <w:rsid w:val="70CF2B23"/>
    <w:rsid w:val="70D70CB1"/>
    <w:rsid w:val="710952C1"/>
    <w:rsid w:val="713F70AB"/>
    <w:rsid w:val="71452CD8"/>
    <w:rsid w:val="71583F2D"/>
    <w:rsid w:val="7158683A"/>
    <w:rsid w:val="715B2F52"/>
    <w:rsid w:val="7167680B"/>
    <w:rsid w:val="71764F23"/>
    <w:rsid w:val="71946576"/>
    <w:rsid w:val="71967E84"/>
    <w:rsid w:val="7197629F"/>
    <w:rsid w:val="71A61873"/>
    <w:rsid w:val="71AF4936"/>
    <w:rsid w:val="71B12351"/>
    <w:rsid w:val="71D07496"/>
    <w:rsid w:val="71D75D0F"/>
    <w:rsid w:val="721919B3"/>
    <w:rsid w:val="721A6098"/>
    <w:rsid w:val="721D18D3"/>
    <w:rsid w:val="72310D1A"/>
    <w:rsid w:val="725D6B54"/>
    <w:rsid w:val="72986FA0"/>
    <w:rsid w:val="72A17C99"/>
    <w:rsid w:val="72A5093A"/>
    <w:rsid w:val="72AD7197"/>
    <w:rsid w:val="72AF6F7E"/>
    <w:rsid w:val="72CD226C"/>
    <w:rsid w:val="73047904"/>
    <w:rsid w:val="731A30D6"/>
    <w:rsid w:val="73253EFA"/>
    <w:rsid w:val="734C1A6A"/>
    <w:rsid w:val="735663B7"/>
    <w:rsid w:val="735C5949"/>
    <w:rsid w:val="73671287"/>
    <w:rsid w:val="73737DA5"/>
    <w:rsid w:val="73740A39"/>
    <w:rsid w:val="73783823"/>
    <w:rsid w:val="73887B3E"/>
    <w:rsid w:val="73892412"/>
    <w:rsid w:val="73AF2114"/>
    <w:rsid w:val="73E96BCA"/>
    <w:rsid w:val="73EE4A6E"/>
    <w:rsid w:val="741048BC"/>
    <w:rsid w:val="742E78D4"/>
    <w:rsid w:val="74317498"/>
    <w:rsid w:val="74335A84"/>
    <w:rsid w:val="743A6A13"/>
    <w:rsid w:val="74573C49"/>
    <w:rsid w:val="74676A28"/>
    <w:rsid w:val="747E40B6"/>
    <w:rsid w:val="74AC3224"/>
    <w:rsid w:val="74B07CC7"/>
    <w:rsid w:val="74B21065"/>
    <w:rsid w:val="74BB2C83"/>
    <w:rsid w:val="74C33758"/>
    <w:rsid w:val="74DE4E5F"/>
    <w:rsid w:val="74EB54AB"/>
    <w:rsid w:val="74F0689A"/>
    <w:rsid w:val="74FF6D43"/>
    <w:rsid w:val="750201A2"/>
    <w:rsid w:val="751A76AF"/>
    <w:rsid w:val="75241FEA"/>
    <w:rsid w:val="75250574"/>
    <w:rsid w:val="754459E0"/>
    <w:rsid w:val="7550443E"/>
    <w:rsid w:val="755F0BCC"/>
    <w:rsid w:val="7561323F"/>
    <w:rsid w:val="756F17F9"/>
    <w:rsid w:val="757E5B9F"/>
    <w:rsid w:val="75825461"/>
    <w:rsid w:val="75916599"/>
    <w:rsid w:val="759926FC"/>
    <w:rsid w:val="75A24276"/>
    <w:rsid w:val="75AA231D"/>
    <w:rsid w:val="75AD6340"/>
    <w:rsid w:val="75B46EB2"/>
    <w:rsid w:val="75DF5F11"/>
    <w:rsid w:val="75E8633A"/>
    <w:rsid w:val="76393874"/>
    <w:rsid w:val="763F09AA"/>
    <w:rsid w:val="764F3FCC"/>
    <w:rsid w:val="7650339F"/>
    <w:rsid w:val="76603C9A"/>
    <w:rsid w:val="766B00E5"/>
    <w:rsid w:val="76832D41"/>
    <w:rsid w:val="768B2C28"/>
    <w:rsid w:val="76BB1CAB"/>
    <w:rsid w:val="76C04050"/>
    <w:rsid w:val="76D67314"/>
    <w:rsid w:val="76E00193"/>
    <w:rsid w:val="76E65049"/>
    <w:rsid w:val="77076007"/>
    <w:rsid w:val="77413F7E"/>
    <w:rsid w:val="77464076"/>
    <w:rsid w:val="7758241F"/>
    <w:rsid w:val="777A7D22"/>
    <w:rsid w:val="777E28EC"/>
    <w:rsid w:val="77835654"/>
    <w:rsid w:val="7797109C"/>
    <w:rsid w:val="779A2A38"/>
    <w:rsid w:val="77AC5D3F"/>
    <w:rsid w:val="77B4450A"/>
    <w:rsid w:val="77B46E73"/>
    <w:rsid w:val="77E37A12"/>
    <w:rsid w:val="77FE3468"/>
    <w:rsid w:val="78250553"/>
    <w:rsid w:val="784E2046"/>
    <w:rsid w:val="78546F0C"/>
    <w:rsid w:val="786778FE"/>
    <w:rsid w:val="78B65E3A"/>
    <w:rsid w:val="78EE1C79"/>
    <w:rsid w:val="78F85605"/>
    <w:rsid w:val="78FA66FA"/>
    <w:rsid w:val="79424F6E"/>
    <w:rsid w:val="797239CC"/>
    <w:rsid w:val="797D616D"/>
    <w:rsid w:val="797F54AB"/>
    <w:rsid w:val="79831473"/>
    <w:rsid w:val="79983E9C"/>
    <w:rsid w:val="7999527A"/>
    <w:rsid w:val="79AF76C5"/>
    <w:rsid w:val="79C25EE1"/>
    <w:rsid w:val="79CE2967"/>
    <w:rsid w:val="79E34934"/>
    <w:rsid w:val="79EA664C"/>
    <w:rsid w:val="79F9627A"/>
    <w:rsid w:val="79FF6948"/>
    <w:rsid w:val="7A2F3BBF"/>
    <w:rsid w:val="7A2F459A"/>
    <w:rsid w:val="7A322A39"/>
    <w:rsid w:val="7A517022"/>
    <w:rsid w:val="7A6F5001"/>
    <w:rsid w:val="7A9635B3"/>
    <w:rsid w:val="7AA2343E"/>
    <w:rsid w:val="7AD60EB8"/>
    <w:rsid w:val="7ADA73A4"/>
    <w:rsid w:val="7AE66B99"/>
    <w:rsid w:val="7AF34646"/>
    <w:rsid w:val="7AFE508C"/>
    <w:rsid w:val="7B0A3BCA"/>
    <w:rsid w:val="7B0D354C"/>
    <w:rsid w:val="7B345AA9"/>
    <w:rsid w:val="7B4048C1"/>
    <w:rsid w:val="7B4C5DF7"/>
    <w:rsid w:val="7B73082F"/>
    <w:rsid w:val="7B7B492E"/>
    <w:rsid w:val="7B9A3D1D"/>
    <w:rsid w:val="7BB46FBD"/>
    <w:rsid w:val="7BC62E00"/>
    <w:rsid w:val="7BC73B55"/>
    <w:rsid w:val="7BDD2045"/>
    <w:rsid w:val="7BE35E2A"/>
    <w:rsid w:val="7BF538C2"/>
    <w:rsid w:val="7BF66C24"/>
    <w:rsid w:val="7BFA1CC7"/>
    <w:rsid w:val="7BFB70B3"/>
    <w:rsid w:val="7C0251DA"/>
    <w:rsid w:val="7C0E41D1"/>
    <w:rsid w:val="7C1052F2"/>
    <w:rsid w:val="7C21292C"/>
    <w:rsid w:val="7C2668D9"/>
    <w:rsid w:val="7C32497F"/>
    <w:rsid w:val="7C3C69AE"/>
    <w:rsid w:val="7C691974"/>
    <w:rsid w:val="7C8A6570"/>
    <w:rsid w:val="7C8B7390"/>
    <w:rsid w:val="7C9B0D0E"/>
    <w:rsid w:val="7CA42B03"/>
    <w:rsid w:val="7CCC5441"/>
    <w:rsid w:val="7CD2318A"/>
    <w:rsid w:val="7CD2702A"/>
    <w:rsid w:val="7CD34C42"/>
    <w:rsid w:val="7CD46B29"/>
    <w:rsid w:val="7CDE3FF9"/>
    <w:rsid w:val="7CE26EBF"/>
    <w:rsid w:val="7CEE3130"/>
    <w:rsid w:val="7CFC08E8"/>
    <w:rsid w:val="7D1F6674"/>
    <w:rsid w:val="7D480B34"/>
    <w:rsid w:val="7D777A3E"/>
    <w:rsid w:val="7D9005BC"/>
    <w:rsid w:val="7D9F0AD0"/>
    <w:rsid w:val="7DCC1471"/>
    <w:rsid w:val="7DD12BB7"/>
    <w:rsid w:val="7DF223A2"/>
    <w:rsid w:val="7DFF0955"/>
    <w:rsid w:val="7E0B750E"/>
    <w:rsid w:val="7E1939E8"/>
    <w:rsid w:val="7E2400E7"/>
    <w:rsid w:val="7E2822EA"/>
    <w:rsid w:val="7E2A20CE"/>
    <w:rsid w:val="7E355A7B"/>
    <w:rsid w:val="7E455322"/>
    <w:rsid w:val="7E6E3E85"/>
    <w:rsid w:val="7E9C184B"/>
    <w:rsid w:val="7EA72948"/>
    <w:rsid w:val="7EB31EDB"/>
    <w:rsid w:val="7ED1179F"/>
    <w:rsid w:val="7EE70CC0"/>
    <w:rsid w:val="7EEB48DB"/>
    <w:rsid w:val="7EF27444"/>
    <w:rsid w:val="7F185A04"/>
    <w:rsid w:val="7F265C58"/>
    <w:rsid w:val="7F4C4618"/>
    <w:rsid w:val="7F4D13A6"/>
    <w:rsid w:val="7F582CF2"/>
    <w:rsid w:val="7F942FB5"/>
    <w:rsid w:val="7F951B40"/>
    <w:rsid w:val="7FA501CC"/>
    <w:rsid w:val="7FA820A8"/>
    <w:rsid w:val="7FB90D50"/>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autoRedefine/>
    <w:qFormat/>
    <w:uiPriority w:val="0"/>
    <w:pPr>
      <w:keepNext/>
      <w:keepLines/>
      <w:spacing w:before="340" w:after="330" w:line="576" w:lineRule="auto"/>
      <w:outlineLvl w:val="0"/>
    </w:pPr>
    <w:rPr>
      <w:b/>
      <w:bCs/>
      <w:kern w:val="44"/>
      <w:sz w:val="44"/>
      <w:szCs w:val="44"/>
    </w:rPr>
  </w:style>
  <w:style w:type="paragraph" w:styleId="6">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7">
    <w:name w:val="heading 3"/>
    <w:basedOn w:val="1"/>
    <w:next w:val="1"/>
    <w:autoRedefine/>
    <w:qFormat/>
    <w:uiPriority w:val="0"/>
    <w:pPr>
      <w:keepNext/>
      <w:keepLines/>
      <w:spacing w:before="260" w:after="260" w:line="416" w:lineRule="auto"/>
      <w:outlineLvl w:val="2"/>
    </w:pPr>
    <w:rPr>
      <w:b/>
      <w:bCs/>
      <w:sz w:val="32"/>
      <w:szCs w:val="32"/>
    </w:rPr>
  </w:style>
  <w:style w:type="paragraph" w:styleId="8">
    <w:name w:val="heading 4"/>
    <w:basedOn w:val="1"/>
    <w:next w:val="1"/>
    <w:autoRedefine/>
    <w:qFormat/>
    <w:uiPriority w:val="0"/>
    <w:pPr>
      <w:keepNext/>
      <w:keepLines/>
      <w:spacing w:line="360" w:lineRule="auto"/>
      <w:outlineLvl w:val="3"/>
    </w:pPr>
    <w:rPr>
      <w:rFonts w:ascii="Arial" w:hAnsi="Arial"/>
      <w:b/>
      <w:bCs/>
      <w:szCs w:val="28"/>
    </w:rPr>
  </w:style>
  <w:style w:type="paragraph" w:styleId="9">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5">
    <w:name w:val="Default Paragraph Font"/>
    <w:autoRedefine/>
    <w:semiHidden/>
    <w:unhideWhenUsed/>
    <w:qFormat/>
    <w:uiPriority w:val="1"/>
  </w:style>
  <w:style w:type="table" w:default="1" w:styleId="33">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next w:val="4"/>
    <w:link w:val="74"/>
    <w:autoRedefine/>
    <w:qFormat/>
    <w:uiPriority w:val="0"/>
  </w:style>
  <w:style w:type="paragraph" w:customStyle="1" w:styleId="4">
    <w:name w:val="Default"/>
    <w:next w:val="5"/>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List Number"/>
    <w:basedOn w:val="1"/>
    <w:autoRedefine/>
    <w:qFormat/>
    <w:uiPriority w:val="0"/>
    <w:pPr>
      <w:widowControl/>
      <w:spacing w:beforeAutospacing="1" w:afterAutospacing="1"/>
      <w:jc w:val="left"/>
    </w:pPr>
    <w:rPr>
      <w:rFonts w:ascii="宋体" w:hAnsi="宋体" w:cs="宋体"/>
      <w:kern w:val="0"/>
      <w:sz w:val="24"/>
    </w:rPr>
  </w:style>
  <w:style w:type="paragraph" w:styleId="11">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2">
    <w:name w:val="Document Map"/>
    <w:basedOn w:val="1"/>
    <w:link w:val="76"/>
    <w:autoRedefine/>
    <w:qFormat/>
    <w:uiPriority w:val="0"/>
    <w:rPr>
      <w:rFonts w:ascii="宋体" w:hAnsi="Calibri"/>
      <w:sz w:val="18"/>
      <w:szCs w:val="18"/>
    </w:rPr>
  </w:style>
  <w:style w:type="paragraph" w:styleId="13">
    <w:name w:val="annotation text"/>
    <w:basedOn w:val="1"/>
    <w:autoRedefine/>
    <w:qFormat/>
    <w:uiPriority w:val="0"/>
    <w:pPr>
      <w:jc w:val="left"/>
    </w:pPr>
  </w:style>
  <w:style w:type="paragraph" w:styleId="14">
    <w:name w:val="Body Text 3"/>
    <w:basedOn w:val="1"/>
    <w:autoRedefine/>
    <w:qFormat/>
    <w:uiPriority w:val="0"/>
    <w:rPr>
      <w:sz w:val="16"/>
      <w:szCs w:val="16"/>
    </w:rPr>
  </w:style>
  <w:style w:type="paragraph" w:styleId="15">
    <w:name w:val="Body Text Indent"/>
    <w:basedOn w:val="1"/>
    <w:next w:val="16"/>
    <w:autoRedefine/>
    <w:qFormat/>
    <w:uiPriority w:val="0"/>
    <w:pPr>
      <w:widowControl/>
      <w:spacing w:beforeAutospacing="1" w:afterAutospacing="1"/>
      <w:jc w:val="left"/>
    </w:pPr>
    <w:rPr>
      <w:rFonts w:ascii="宋体" w:hAnsi="宋体" w:cs="宋体"/>
      <w:kern w:val="0"/>
      <w:sz w:val="24"/>
    </w:rPr>
  </w:style>
  <w:style w:type="paragraph" w:styleId="16">
    <w:name w:val="Body Text First Indent 2"/>
    <w:basedOn w:val="15"/>
    <w:autoRedefine/>
    <w:qFormat/>
    <w:uiPriority w:val="0"/>
    <w:pPr>
      <w:ind w:firstLine="420" w:firstLineChars="200"/>
    </w:pPr>
  </w:style>
  <w:style w:type="paragraph" w:styleId="17">
    <w:name w:val="List 2"/>
    <w:basedOn w:val="1"/>
    <w:autoRedefine/>
    <w:qFormat/>
    <w:uiPriority w:val="0"/>
    <w:pPr>
      <w:ind w:left="100" w:leftChars="200" w:hanging="200" w:hangingChars="200"/>
    </w:pPr>
  </w:style>
  <w:style w:type="paragraph" w:styleId="18">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9">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0">
    <w:name w:val="Plain Text"/>
    <w:basedOn w:val="1"/>
    <w:autoRedefine/>
    <w:qFormat/>
    <w:uiPriority w:val="0"/>
    <w:pPr>
      <w:widowControl/>
      <w:spacing w:beforeAutospacing="1" w:afterAutospacing="1"/>
      <w:jc w:val="left"/>
    </w:pPr>
    <w:rPr>
      <w:rFonts w:ascii="宋体" w:hAnsi="宋体" w:cs="宋体"/>
      <w:kern w:val="0"/>
      <w:sz w:val="24"/>
    </w:rPr>
  </w:style>
  <w:style w:type="paragraph" w:styleId="21">
    <w:name w:val="Date"/>
    <w:basedOn w:val="1"/>
    <w:next w:val="1"/>
    <w:autoRedefine/>
    <w:qFormat/>
    <w:uiPriority w:val="0"/>
    <w:pPr>
      <w:ind w:left="100" w:leftChars="2500"/>
    </w:pPr>
    <w:rPr>
      <w:rFonts w:ascii="宋体" w:hAnsi="宋体"/>
      <w:sz w:val="28"/>
    </w:rPr>
  </w:style>
  <w:style w:type="paragraph" w:styleId="22">
    <w:name w:val="Body Text Indent 2"/>
    <w:basedOn w:val="1"/>
    <w:autoRedefine/>
    <w:qFormat/>
    <w:uiPriority w:val="0"/>
    <w:pPr>
      <w:spacing w:line="480" w:lineRule="auto"/>
      <w:ind w:left="420" w:leftChars="200"/>
    </w:pPr>
  </w:style>
  <w:style w:type="paragraph" w:styleId="23">
    <w:name w:val="footer"/>
    <w:basedOn w:val="1"/>
    <w:autoRedefine/>
    <w:qFormat/>
    <w:uiPriority w:val="0"/>
    <w:pPr>
      <w:tabs>
        <w:tab w:val="center" w:pos="4153"/>
        <w:tab w:val="right" w:pos="8306"/>
      </w:tabs>
      <w:snapToGrid w:val="0"/>
      <w:jc w:val="left"/>
    </w:pPr>
    <w:rPr>
      <w:sz w:val="18"/>
      <w:szCs w:val="18"/>
    </w:rPr>
  </w:style>
  <w:style w:type="paragraph" w:styleId="24">
    <w:name w:val="envelope return"/>
    <w:basedOn w:val="1"/>
    <w:autoRedefine/>
    <w:unhideWhenUsed/>
    <w:qFormat/>
    <w:uiPriority w:val="99"/>
    <w:pPr>
      <w:snapToGrid w:val="0"/>
    </w:pPr>
    <w:rPr>
      <w:rFonts w:ascii="Arial" w:hAnsi="Arial"/>
    </w:rPr>
  </w:style>
  <w:style w:type="paragraph" w:styleId="25">
    <w:name w:val="toc 1"/>
    <w:basedOn w:val="1"/>
    <w:next w:val="1"/>
    <w:autoRedefine/>
    <w:qFormat/>
    <w:uiPriority w:val="0"/>
  </w:style>
  <w:style w:type="paragraph" w:styleId="26">
    <w:name w:val="List"/>
    <w:basedOn w:val="1"/>
    <w:autoRedefine/>
    <w:qFormat/>
    <w:uiPriority w:val="0"/>
    <w:pPr>
      <w:ind w:left="200" w:hanging="200" w:hangingChars="200"/>
    </w:pPr>
  </w:style>
  <w:style w:type="paragraph" w:styleId="27">
    <w:name w:val="Body Text 2"/>
    <w:basedOn w:val="1"/>
    <w:next w:val="3"/>
    <w:autoRedefine/>
    <w:qFormat/>
    <w:uiPriority w:val="0"/>
    <w:pPr>
      <w:spacing w:line="480" w:lineRule="auto"/>
    </w:pPr>
  </w:style>
  <w:style w:type="paragraph" w:styleId="28">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9">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0">
    <w:name w:val="Normal (Web)"/>
    <w:basedOn w:val="1"/>
    <w:autoRedefine/>
    <w:qFormat/>
    <w:uiPriority w:val="99"/>
    <w:pPr>
      <w:spacing w:before="100" w:beforeAutospacing="1" w:after="100" w:afterAutospacing="1"/>
      <w:jc w:val="left"/>
    </w:pPr>
    <w:rPr>
      <w:kern w:val="0"/>
      <w:sz w:val="24"/>
    </w:rPr>
  </w:style>
  <w:style w:type="paragraph" w:styleId="31">
    <w:name w:val="Title"/>
    <w:basedOn w:val="1"/>
    <w:autoRedefine/>
    <w:qFormat/>
    <w:uiPriority w:val="0"/>
    <w:pPr>
      <w:jc w:val="center"/>
      <w:outlineLvl w:val="0"/>
    </w:pPr>
    <w:rPr>
      <w:rFonts w:ascii="Arial" w:hAnsi="Arial" w:cs="Arial"/>
      <w:b/>
      <w:bCs/>
      <w:sz w:val="32"/>
      <w:szCs w:val="32"/>
    </w:rPr>
  </w:style>
  <w:style w:type="paragraph" w:styleId="32">
    <w:name w:val="Body Text First Indent"/>
    <w:basedOn w:val="3"/>
    <w:next w:val="16"/>
    <w:autoRedefine/>
    <w:qFormat/>
    <w:uiPriority w:val="0"/>
    <w:pPr>
      <w:spacing w:line="360" w:lineRule="auto"/>
      <w:ind w:firstLine="420" w:firstLineChars="100"/>
    </w:pPr>
    <w:rPr>
      <w:szCs w:val="21"/>
    </w:rPr>
  </w:style>
  <w:style w:type="table" w:styleId="34">
    <w:name w:val="Table Grid"/>
    <w:basedOn w:val="33"/>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autoRedefine/>
    <w:qFormat/>
    <w:uiPriority w:val="0"/>
    <w:rPr>
      <w:b/>
      <w:bCs/>
      <w:szCs w:val="24"/>
    </w:rPr>
  </w:style>
  <w:style w:type="character" w:styleId="37">
    <w:name w:val="page number"/>
    <w:basedOn w:val="35"/>
    <w:autoRedefine/>
    <w:qFormat/>
    <w:uiPriority w:val="0"/>
  </w:style>
  <w:style w:type="character" w:styleId="38">
    <w:name w:val="FollowedHyperlink"/>
    <w:autoRedefine/>
    <w:qFormat/>
    <w:uiPriority w:val="0"/>
    <w:rPr>
      <w:color w:val="333333"/>
      <w:szCs w:val="24"/>
      <w:u w:val="none"/>
    </w:rPr>
  </w:style>
  <w:style w:type="character" w:styleId="39">
    <w:name w:val="Emphasis"/>
    <w:basedOn w:val="35"/>
    <w:autoRedefine/>
    <w:qFormat/>
    <w:uiPriority w:val="0"/>
  </w:style>
  <w:style w:type="character" w:styleId="40">
    <w:name w:val="HTML Definition"/>
    <w:basedOn w:val="35"/>
    <w:autoRedefine/>
    <w:qFormat/>
    <w:uiPriority w:val="0"/>
  </w:style>
  <w:style w:type="character" w:styleId="41">
    <w:name w:val="HTML Typewriter"/>
    <w:basedOn w:val="35"/>
    <w:autoRedefine/>
    <w:qFormat/>
    <w:uiPriority w:val="0"/>
    <w:rPr>
      <w:rFonts w:hint="default" w:ascii="monospace" w:hAnsi="monospace" w:eastAsia="monospace" w:cs="monospace"/>
      <w:sz w:val="20"/>
    </w:rPr>
  </w:style>
  <w:style w:type="character" w:styleId="42">
    <w:name w:val="HTML Acronym"/>
    <w:basedOn w:val="35"/>
    <w:autoRedefine/>
    <w:qFormat/>
    <w:uiPriority w:val="0"/>
  </w:style>
  <w:style w:type="character" w:styleId="43">
    <w:name w:val="HTML Variable"/>
    <w:basedOn w:val="35"/>
    <w:autoRedefine/>
    <w:qFormat/>
    <w:uiPriority w:val="0"/>
  </w:style>
  <w:style w:type="character" w:styleId="44">
    <w:name w:val="Hyperlink"/>
    <w:basedOn w:val="35"/>
    <w:autoRedefine/>
    <w:qFormat/>
    <w:uiPriority w:val="0"/>
    <w:rPr>
      <w:color w:val="333333"/>
      <w:szCs w:val="24"/>
      <w:u w:val="none"/>
    </w:rPr>
  </w:style>
  <w:style w:type="character" w:styleId="45">
    <w:name w:val="HTML Code"/>
    <w:basedOn w:val="35"/>
    <w:autoRedefine/>
    <w:qFormat/>
    <w:uiPriority w:val="0"/>
    <w:rPr>
      <w:rFonts w:ascii="monospace" w:hAnsi="monospace" w:eastAsia="monospace" w:cs="monospace"/>
      <w:sz w:val="20"/>
    </w:rPr>
  </w:style>
  <w:style w:type="character" w:styleId="46">
    <w:name w:val="HTML Cite"/>
    <w:basedOn w:val="35"/>
    <w:autoRedefine/>
    <w:qFormat/>
    <w:uiPriority w:val="0"/>
  </w:style>
  <w:style w:type="character" w:styleId="47">
    <w:name w:val="HTML Keyboard"/>
    <w:basedOn w:val="35"/>
    <w:autoRedefine/>
    <w:qFormat/>
    <w:uiPriority w:val="0"/>
    <w:rPr>
      <w:rFonts w:hint="default" w:ascii="monospace" w:hAnsi="monospace" w:eastAsia="monospace" w:cs="monospace"/>
      <w:sz w:val="20"/>
    </w:rPr>
  </w:style>
  <w:style w:type="character" w:styleId="48">
    <w:name w:val="HTML Sample"/>
    <w:basedOn w:val="35"/>
    <w:autoRedefine/>
    <w:qFormat/>
    <w:uiPriority w:val="0"/>
    <w:rPr>
      <w:rFonts w:hint="default" w:ascii="monospace" w:hAnsi="monospace" w:eastAsia="monospace" w:cs="monospace"/>
    </w:rPr>
  </w:style>
  <w:style w:type="paragraph" w:customStyle="1" w:styleId="49">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0">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1">
    <w:name w:val="No Spacing1"/>
    <w:basedOn w:val="1"/>
    <w:autoRedefine/>
    <w:qFormat/>
    <w:uiPriority w:val="0"/>
    <w:pPr>
      <w:spacing w:line="400" w:lineRule="exact"/>
    </w:pPr>
    <w:rPr>
      <w:sz w:val="24"/>
    </w:rPr>
  </w:style>
  <w:style w:type="paragraph" w:customStyle="1" w:styleId="52">
    <w:name w:val="大标题"/>
    <w:basedOn w:val="1"/>
    <w:next w:val="16"/>
    <w:autoRedefine/>
    <w:qFormat/>
    <w:uiPriority w:val="0"/>
    <w:pPr>
      <w:jc w:val="center"/>
    </w:pPr>
    <w:rPr>
      <w:rFonts w:ascii="Arial" w:hAnsi="Arial"/>
      <w:b/>
      <w:sz w:val="28"/>
    </w:rPr>
  </w:style>
  <w:style w:type="paragraph" w:customStyle="1" w:styleId="53">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4">
    <w:name w:val="Char"/>
    <w:basedOn w:val="1"/>
    <w:autoRedefine/>
    <w:qFormat/>
    <w:uiPriority w:val="0"/>
  </w:style>
  <w:style w:type="paragraph" w:customStyle="1" w:styleId="55">
    <w:name w:val="正文缩进1"/>
    <w:basedOn w:val="1"/>
    <w:autoRedefine/>
    <w:qFormat/>
    <w:uiPriority w:val="0"/>
    <w:pPr>
      <w:widowControl/>
      <w:ind w:firstLine="420"/>
      <w:jc w:val="left"/>
    </w:pPr>
    <w:rPr>
      <w:kern w:val="0"/>
      <w:szCs w:val="20"/>
    </w:rPr>
  </w:style>
  <w:style w:type="paragraph" w:customStyle="1" w:styleId="56">
    <w:name w:val="列出段落2"/>
    <w:basedOn w:val="1"/>
    <w:autoRedefine/>
    <w:qFormat/>
    <w:uiPriority w:val="34"/>
    <w:pPr>
      <w:ind w:firstLine="420" w:firstLineChars="200"/>
    </w:pPr>
  </w:style>
  <w:style w:type="paragraph" w:customStyle="1" w:styleId="57">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8">
    <w:name w:val="1"/>
    <w:basedOn w:val="1"/>
    <w:autoRedefine/>
    <w:qFormat/>
    <w:uiPriority w:val="0"/>
    <w:pPr>
      <w:widowControl/>
      <w:spacing w:beforeAutospacing="1" w:afterAutospacing="1"/>
      <w:jc w:val="left"/>
    </w:pPr>
    <w:rPr>
      <w:rFonts w:ascii="宋体" w:hAnsi="宋体" w:cs="宋体"/>
      <w:kern w:val="0"/>
      <w:sz w:val="24"/>
    </w:rPr>
  </w:style>
  <w:style w:type="paragraph" w:styleId="59">
    <w:name w:val="No Spacing"/>
    <w:autoRedefine/>
    <w:qFormat/>
    <w:uiPriority w:val="1"/>
    <w:rPr>
      <w:rFonts w:ascii="Calibri" w:hAnsi="Calibri" w:eastAsia="宋体" w:cs="Times New Roman"/>
      <w:sz w:val="22"/>
      <w:szCs w:val="22"/>
      <w:lang w:val="en-US" w:eastAsia="zh-CN" w:bidi="ar-SA"/>
    </w:rPr>
  </w:style>
  <w:style w:type="paragraph" w:customStyle="1" w:styleId="60">
    <w:name w:val="_Style 2"/>
    <w:basedOn w:val="1"/>
    <w:autoRedefine/>
    <w:qFormat/>
    <w:uiPriority w:val="34"/>
    <w:pPr>
      <w:ind w:firstLine="420" w:firstLineChars="200"/>
    </w:pPr>
    <w:rPr>
      <w:rFonts w:ascii="Calibri" w:hAnsi="Calibri"/>
    </w:rPr>
  </w:style>
  <w:style w:type="paragraph" w:customStyle="1" w:styleId="61">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2">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3">
    <w:name w:val="Char1"/>
    <w:basedOn w:val="1"/>
    <w:autoRedefine/>
    <w:qFormat/>
    <w:uiPriority w:val="0"/>
  </w:style>
  <w:style w:type="paragraph" w:customStyle="1" w:styleId="64">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5">
    <w:name w:val="Table Paragraph"/>
    <w:basedOn w:val="1"/>
    <w:autoRedefine/>
    <w:qFormat/>
    <w:uiPriority w:val="1"/>
    <w:pPr>
      <w:jc w:val="left"/>
    </w:pPr>
    <w:rPr>
      <w:rFonts w:ascii="宋体" w:hAnsi="宋体" w:cs="宋体"/>
      <w:kern w:val="0"/>
      <w:sz w:val="22"/>
      <w:szCs w:val="22"/>
      <w:lang w:eastAsia="en-US"/>
    </w:rPr>
  </w:style>
  <w:style w:type="paragraph" w:customStyle="1" w:styleId="66">
    <w:name w:val="无间隔1"/>
    <w:basedOn w:val="1"/>
    <w:autoRedefine/>
    <w:qFormat/>
    <w:uiPriority w:val="1"/>
    <w:pPr>
      <w:spacing w:line="400" w:lineRule="exact"/>
    </w:pPr>
    <w:rPr>
      <w:sz w:val="24"/>
    </w:rPr>
  </w:style>
  <w:style w:type="paragraph" w:customStyle="1" w:styleId="67">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8">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69">
    <w:name w:val="列出段落1"/>
    <w:basedOn w:val="1"/>
    <w:autoRedefine/>
    <w:qFormat/>
    <w:uiPriority w:val="34"/>
    <w:pPr>
      <w:ind w:firstLine="420" w:firstLineChars="200"/>
    </w:pPr>
  </w:style>
  <w:style w:type="paragraph" w:customStyle="1" w:styleId="70">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1">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2">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列出段落11"/>
    <w:basedOn w:val="1"/>
    <w:autoRedefine/>
    <w:qFormat/>
    <w:uiPriority w:val="0"/>
    <w:pPr>
      <w:ind w:firstLine="420" w:firstLineChars="200"/>
    </w:pPr>
    <w:rPr>
      <w:rFonts w:ascii="Calibri" w:hAnsi="Calibri"/>
      <w:szCs w:val="22"/>
    </w:rPr>
  </w:style>
  <w:style w:type="character" w:customStyle="1" w:styleId="74">
    <w:name w:val="正文文本 Char"/>
    <w:basedOn w:val="35"/>
    <w:link w:val="3"/>
    <w:autoRedefine/>
    <w:qFormat/>
    <w:uiPriority w:val="0"/>
  </w:style>
  <w:style w:type="character" w:customStyle="1" w:styleId="75">
    <w:name w:val="apple-converted-space"/>
    <w:basedOn w:val="35"/>
    <w:autoRedefine/>
    <w:qFormat/>
    <w:uiPriority w:val="0"/>
  </w:style>
  <w:style w:type="character" w:customStyle="1" w:styleId="76">
    <w:name w:val="文档结构图 Char"/>
    <w:link w:val="12"/>
    <w:autoRedefine/>
    <w:qFormat/>
    <w:uiPriority w:val="0"/>
    <w:rPr>
      <w:rFonts w:ascii="宋体"/>
      <w:kern w:val="2"/>
      <w:sz w:val="18"/>
      <w:szCs w:val="18"/>
    </w:rPr>
  </w:style>
  <w:style w:type="character" w:customStyle="1" w:styleId="77">
    <w:name w:val="不明显强调1"/>
    <w:autoRedefine/>
    <w:qFormat/>
    <w:uiPriority w:val="19"/>
    <w:rPr>
      <w:i/>
      <w:iCs/>
      <w:color w:val="7F7F7F"/>
      <w:szCs w:val="24"/>
    </w:rPr>
  </w:style>
  <w:style w:type="character" w:customStyle="1" w:styleId="78">
    <w:name w:val="font71"/>
    <w:autoRedefine/>
    <w:qFormat/>
    <w:uiPriority w:val="0"/>
    <w:rPr>
      <w:rFonts w:hint="eastAsia" w:ascii="宋体" w:hAnsi="宋体" w:eastAsia="宋体" w:cs="宋体"/>
      <w:color w:val="000000"/>
      <w:sz w:val="28"/>
      <w:szCs w:val="28"/>
      <w:u w:val="none"/>
    </w:rPr>
  </w:style>
  <w:style w:type="character" w:customStyle="1" w:styleId="79">
    <w:name w:val="font21"/>
    <w:basedOn w:val="35"/>
    <w:autoRedefine/>
    <w:qFormat/>
    <w:uiPriority w:val="0"/>
    <w:rPr>
      <w:rFonts w:hint="default" w:ascii="Calibri" w:hAnsi="Calibri" w:cs="Calibri"/>
      <w:color w:val="000000"/>
      <w:sz w:val="28"/>
      <w:szCs w:val="28"/>
      <w:u w:val="none"/>
    </w:rPr>
  </w:style>
  <w:style w:type="character" w:customStyle="1" w:styleId="80">
    <w:name w:val="17"/>
    <w:autoRedefine/>
    <w:qFormat/>
    <w:uiPriority w:val="0"/>
    <w:rPr>
      <w:rFonts w:hint="eastAsia" w:ascii="宋体" w:hAnsi="宋体" w:eastAsia="宋体"/>
      <w:color w:val="000000"/>
    </w:rPr>
  </w:style>
  <w:style w:type="character" w:customStyle="1" w:styleId="81">
    <w:name w:val="font91"/>
    <w:autoRedefine/>
    <w:qFormat/>
    <w:uiPriority w:val="0"/>
    <w:rPr>
      <w:rFonts w:hint="eastAsia" w:ascii="宋体" w:hAnsi="宋体" w:eastAsia="宋体" w:cs="宋体"/>
      <w:color w:val="FF0000"/>
      <w:sz w:val="28"/>
      <w:szCs w:val="28"/>
      <w:u w:val="none"/>
    </w:rPr>
  </w:style>
  <w:style w:type="paragraph" w:customStyle="1" w:styleId="82">
    <w:name w:val="p"/>
    <w:basedOn w:val="1"/>
    <w:autoRedefine/>
    <w:qFormat/>
    <w:uiPriority w:val="0"/>
    <w:pPr>
      <w:widowControl/>
      <w:spacing w:line="432" w:lineRule="auto"/>
      <w:jc w:val="left"/>
    </w:pPr>
    <w:rPr>
      <w:rFonts w:ascii="宋体" w:hAnsi="宋体" w:cs="宋体"/>
      <w:kern w:val="0"/>
      <w:sz w:val="24"/>
    </w:rPr>
  </w:style>
  <w:style w:type="paragraph" w:customStyle="1" w:styleId="83">
    <w:name w:val="WPSOffice手动目录 1"/>
    <w:autoRedefine/>
    <w:qFormat/>
    <w:uiPriority w:val="0"/>
    <w:rPr>
      <w:rFonts w:ascii="Times New Roman" w:hAnsi="Times New Roman" w:eastAsia="宋体" w:cs="Times New Roman"/>
      <w:lang w:val="en-US" w:eastAsia="zh-CN" w:bidi="ar-SA"/>
    </w:rPr>
  </w:style>
  <w:style w:type="paragraph" w:customStyle="1" w:styleId="84">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5">
    <w:name w:val="表格文字"/>
    <w:basedOn w:val="1"/>
    <w:next w:val="3"/>
    <w:autoRedefine/>
    <w:qFormat/>
    <w:uiPriority w:val="0"/>
    <w:pPr>
      <w:adjustRightInd w:val="0"/>
      <w:spacing w:line="420" w:lineRule="atLeast"/>
      <w:jc w:val="left"/>
      <w:textAlignment w:val="baseline"/>
    </w:pPr>
    <w:rPr>
      <w:kern w:val="0"/>
      <w:szCs w:val="20"/>
    </w:rPr>
  </w:style>
  <w:style w:type="character" w:customStyle="1" w:styleId="86">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7">
    <w:name w:val="列表段落1"/>
    <w:basedOn w:val="1"/>
    <w:autoRedefine/>
    <w:qFormat/>
    <w:uiPriority w:val="34"/>
    <w:pPr>
      <w:widowControl/>
      <w:ind w:firstLine="420"/>
      <w:jc w:val="left"/>
    </w:pPr>
    <w:rPr>
      <w:kern w:val="0"/>
    </w:rPr>
  </w:style>
  <w:style w:type="paragraph" w:styleId="88">
    <w:name w:val="List Paragraph"/>
    <w:basedOn w:val="1"/>
    <w:autoRedefine/>
    <w:qFormat/>
    <w:uiPriority w:val="34"/>
    <w:pPr>
      <w:ind w:firstLine="420" w:firstLineChars="200"/>
    </w:pPr>
  </w:style>
  <w:style w:type="character" w:customStyle="1" w:styleId="89">
    <w:name w:val="hover18"/>
    <w:basedOn w:val="35"/>
    <w:autoRedefine/>
    <w:qFormat/>
    <w:uiPriority w:val="0"/>
  </w:style>
  <w:style w:type="table" w:customStyle="1" w:styleId="90">
    <w:name w:val="Table Normal"/>
    <w:autoRedefine/>
    <w:qFormat/>
    <w:uiPriority w:val="0"/>
    <w:tblPr>
      <w:tblCellMar>
        <w:top w:w="0" w:type="dxa"/>
        <w:left w:w="0" w:type="dxa"/>
        <w:bottom w:w="0" w:type="dxa"/>
        <w:right w:w="0" w:type="dxa"/>
      </w:tblCellMar>
    </w:tblPr>
  </w:style>
  <w:style w:type="paragraph" w:customStyle="1" w:styleId="91">
    <w:name w:val="Table Text"/>
    <w:basedOn w:val="1"/>
    <w:autoRedefine/>
    <w:semiHidden/>
    <w:qFormat/>
    <w:uiPriority w:val="0"/>
    <w:rPr>
      <w:rFonts w:ascii="宋体" w:hAnsi="宋体" w:eastAsia="宋体" w:cs="宋体"/>
      <w:sz w:val="45"/>
      <w:szCs w:val="45"/>
      <w:lang w:val="en-US" w:eastAsia="en-US" w:bidi="ar-SA"/>
    </w:rPr>
  </w:style>
  <w:style w:type="character" w:customStyle="1" w:styleId="92">
    <w:name w:val="font11"/>
    <w:basedOn w:val="35"/>
    <w:autoRedefine/>
    <w:qFormat/>
    <w:uiPriority w:val="0"/>
    <w:rPr>
      <w:rFonts w:ascii="Calibri" w:hAnsi="Calibri" w:cs="Calibri"/>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C39694-E2D4-4EC7-B4CE-52C55243A65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34</Pages>
  <Words>16125</Words>
  <Characters>16881</Characters>
  <Lines>50</Lines>
  <Paragraphs>68</Paragraphs>
  <TotalTime>1</TotalTime>
  <ScaleCrop>false</ScaleCrop>
  <LinksUpToDate>false</LinksUpToDate>
  <CharactersWithSpaces>17882</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陈壹</cp:lastModifiedBy>
  <cp:lastPrinted>2021-09-30T00:46:00Z</cp:lastPrinted>
  <dcterms:modified xsi:type="dcterms:W3CDTF">2024-09-03T01:27:49Z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349DB2D8CBBD480489EC82A99F48190F_13</vt:lpwstr>
  </property>
</Properties>
</file>