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驻马店市中心医院移液器采购项目（二次）</w:t>
      </w: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 w:val="48"/>
          <w:szCs w:val="48"/>
        </w:rPr>
      </w:pPr>
    </w:p>
    <w:p>
      <w:pPr>
        <w:pStyle w:val="18"/>
        <w:bidi w:val="0"/>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9"/>
        <w:rPr>
          <w:rFonts w:hint="eastAsia"/>
        </w:rPr>
      </w:pPr>
    </w:p>
    <w:p>
      <w:pPr>
        <w:pStyle w:val="58"/>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5</w:t>
      </w:r>
      <w:r>
        <w:rPr>
          <w:rFonts w:hint="eastAsia" w:ascii="宋体" w:hAnsi="宋体" w:eastAsia="宋体" w:cs="宋体"/>
          <w:b/>
          <w:bCs/>
          <w:color w:val="000000" w:themeColor="text1"/>
          <w:spacing w:val="40"/>
          <w:sz w:val="34"/>
          <w:szCs w:val="34"/>
          <w14:textFill>
            <w14:solidFill>
              <w14:schemeClr w14:val="tx1"/>
            </w14:solidFill>
          </w14:textFill>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_Toc22821 </w:instrText>
      </w:r>
      <w:r>
        <w:rPr>
          <w:rFonts w:hint="eastAsia" w:ascii="宋体" w:hAnsi="宋体" w:cs="宋体"/>
          <w:bCs/>
          <w:szCs w:val="32"/>
          <w:highlight w:val="none"/>
        </w:rPr>
        <w:fldChar w:fldCharType="separate"/>
      </w:r>
      <w:r>
        <w:rPr>
          <w:rFonts w:hint="eastAsia" w:ascii="宋体" w:hAnsi="宋体"/>
          <w:szCs w:val="32"/>
          <w:highlight w:val="none"/>
        </w:rPr>
        <w:t xml:space="preserve">第一章  </w:t>
      </w:r>
      <w:r>
        <w:rPr>
          <w:rFonts w:hint="eastAsia" w:ascii="宋体" w:hAnsi="宋体"/>
          <w:szCs w:val="32"/>
          <w:highlight w:val="none"/>
          <w:lang w:val="en-US" w:eastAsia="zh-CN"/>
        </w:rPr>
        <w:t>竞争性磋商采购</w:t>
      </w:r>
      <w:r>
        <w:rPr>
          <w:rFonts w:hint="eastAsia" w:ascii="宋体" w:hAnsi="宋体"/>
          <w:szCs w:val="32"/>
          <w:highlight w:val="none"/>
        </w:rPr>
        <w:t>公告</w:t>
      </w:r>
      <w:r>
        <w:tab/>
      </w:r>
      <w:r>
        <w:fldChar w:fldCharType="begin"/>
      </w:r>
      <w:r>
        <w:instrText xml:space="preserve"> PAGEREF _Toc22821 \h </w:instrText>
      </w:r>
      <w:r>
        <w:fldChar w:fldCharType="separate"/>
      </w:r>
      <w:r>
        <w:t>2</w:t>
      </w:r>
      <w:r>
        <w:fldChar w:fldCharType="end"/>
      </w:r>
      <w:r>
        <w:rPr>
          <w:rFonts w:hint="eastAsia" w:ascii="宋体" w:hAnsi="宋体" w:cs="宋体"/>
          <w:bCs/>
          <w:color w:val="auto"/>
          <w:szCs w:val="32"/>
          <w:highlight w:val="none"/>
        </w:rPr>
        <w:fldChar w:fldCharType="end"/>
      </w:r>
    </w:p>
    <w:p>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_Toc17552 </w:instrText>
      </w:r>
      <w:r>
        <w:rPr>
          <w:rFonts w:hint="eastAsia" w:ascii="宋体" w:hAnsi="宋体" w:cs="宋体"/>
          <w:bCs/>
          <w:szCs w:val="32"/>
          <w:highlight w:val="none"/>
        </w:rPr>
        <w:fldChar w:fldCharType="separate"/>
      </w:r>
      <w:r>
        <w:rPr>
          <w:rFonts w:hint="eastAsia" w:ascii="宋体" w:hAnsi="宋体"/>
          <w:szCs w:val="32"/>
          <w:highlight w:val="none"/>
        </w:rPr>
        <w:t xml:space="preserve">第二章  </w:t>
      </w:r>
      <w:r>
        <w:rPr>
          <w:rFonts w:hint="eastAsia" w:ascii="宋体" w:hAnsi="宋体"/>
          <w:szCs w:val="32"/>
          <w:highlight w:val="none"/>
          <w:lang w:eastAsia="zh-CN"/>
        </w:rPr>
        <w:t>采购</w:t>
      </w:r>
      <w:r>
        <w:rPr>
          <w:rFonts w:hint="eastAsia" w:ascii="宋体" w:hAnsi="宋体"/>
          <w:szCs w:val="32"/>
          <w:highlight w:val="none"/>
        </w:rPr>
        <w:t>需求</w:t>
      </w:r>
      <w:r>
        <w:tab/>
      </w:r>
      <w:r>
        <w:fldChar w:fldCharType="begin"/>
      </w:r>
      <w:r>
        <w:instrText xml:space="preserve"> PAGEREF _Toc17552 \h </w:instrText>
      </w:r>
      <w:r>
        <w:fldChar w:fldCharType="separate"/>
      </w:r>
      <w:r>
        <w:t>4</w:t>
      </w:r>
      <w:r>
        <w:fldChar w:fldCharType="end"/>
      </w:r>
      <w:r>
        <w:rPr>
          <w:rFonts w:hint="eastAsia" w:ascii="宋体" w:hAnsi="宋体" w:cs="宋体"/>
          <w:bCs/>
          <w:color w:val="auto"/>
          <w:szCs w:val="32"/>
          <w:highlight w:val="none"/>
        </w:rPr>
        <w:fldChar w:fldCharType="end"/>
      </w:r>
    </w:p>
    <w:p>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_Toc16791 </w:instrText>
      </w:r>
      <w:r>
        <w:rPr>
          <w:rFonts w:hint="eastAsia" w:ascii="宋体" w:hAnsi="宋体" w:cs="宋体"/>
          <w:bCs/>
          <w:szCs w:val="32"/>
          <w:highlight w:val="none"/>
        </w:rPr>
        <w:fldChar w:fldCharType="separate"/>
      </w:r>
      <w:r>
        <w:rPr>
          <w:rFonts w:hint="eastAsia"/>
          <w:bCs/>
          <w:szCs w:val="32"/>
          <w:highlight w:val="none"/>
        </w:rPr>
        <w:t xml:space="preserve">第三章  </w:t>
      </w:r>
      <w:r>
        <w:rPr>
          <w:rFonts w:hint="eastAsia"/>
          <w:bCs/>
          <w:szCs w:val="32"/>
          <w:highlight w:val="none"/>
          <w:lang w:eastAsia="zh-CN"/>
        </w:rPr>
        <w:t>供应商</w:t>
      </w:r>
      <w:r>
        <w:rPr>
          <w:rFonts w:hint="eastAsia"/>
          <w:bCs/>
          <w:szCs w:val="32"/>
          <w:highlight w:val="none"/>
        </w:rPr>
        <w:t>须知</w:t>
      </w:r>
      <w:r>
        <w:tab/>
      </w:r>
      <w:r>
        <w:fldChar w:fldCharType="begin"/>
      </w:r>
      <w:r>
        <w:instrText xml:space="preserve"> PAGEREF _Toc16791 \h </w:instrText>
      </w:r>
      <w:r>
        <w:fldChar w:fldCharType="separate"/>
      </w:r>
      <w:r>
        <w:t>6</w:t>
      </w:r>
      <w:r>
        <w:fldChar w:fldCharType="end"/>
      </w:r>
      <w:r>
        <w:rPr>
          <w:rFonts w:hint="eastAsia" w:ascii="宋体" w:hAnsi="宋体" w:cs="宋体"/>
          <w:bCs/>
          <w:color w:val="auto"/>
          <w:szCs w:val="32"/>
          <w:highlight w:val="none"/>
        </w:rPr>
        <w:fldChar w:fldCharType="end"/>
      </w:r>
    </w:p>
    <w:p>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_Toc16473 </w:instrText>
      </w:r>
      <w:r>
        <w:rPr>
          <w:rFonts w:hint="eastAsia" w:ascii="宋体" w:hAnsi="宋体" w:cs="宋体"/>
          <w:bCs/>
          <w:szCs w:val="32"/>
          <w:highlight w:val="none"/>
        </w:rPr>
        <w:fldChar w:fldCharType="separate"/>
      </w:r>
      <w:r>
        <w:rPr>
          <w:rFonts w:hint="eastAsia" w:ascii="宋体" w:hAnsi="宋体" w:eastAsia="宋体" w:cs="宋体"/>
          <w:bCs/>
          <w:kern w:val="0"/>
          <w:szCs w:val="32"/>
          <w:highlight w:val="none"/>
        </w:rPr>
        <w:t>第四章  评标办法及评分标准</w:t>
      </w:r>
      <w:r>
        <w:tab/>
      </w:r>
      <w:r>
        <w:fldChar w:fldCharType="begin"/>
      </w:r>
      <w:r>
        <w:instrText xml:space="preserve"> PAGEREF _Toc16473 \h </w:instrText>
      </w:r>
      <w:r>
        <w:fldChar w:fldCharType="separate"/>
      </w:r>
      <w:r>
        <w:t>15</w:t>
      </w:r>
      <w:r>
        <w:fldChar w:fldCharType="end"/>
      </w:r>
      <w:r>
        <w:rPr>
          <w:rFonts w:hint="eastAsia" w:ascii="宋体" w:hAnsi="宋体" w:cs="宋体"/>
          <w:bCs/>
          <w:color w:val="auto"/>
          <w:szCs w:val="32"/>
          <w:highlight w:val="none"/>
        </w:rPr>
        <w:fldChar w:fldCharType="end"/>
      </w:r>
    </w:p>
    <w:p>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_Toc1638 </w:instrText>
      </w:r>
      <w:r>
        <w:rPr>
          <w:rFonts w:hint="eastAsia" w:ascii="宋体" w:hAnsi="宋体" w:cs="宋体"/>
          <w:bCs/>
          <w:szCs w:val="32"/>
          <w:highlight w:val="none"/>
        </w:rPr>
        <w:fldChar w:fldCharType="separate"/>
      </w:r>
      <w:r>
        <w:rPr>
          <w:rFonts w:hint="eastAsia"/>
          <w:szCs w:val="28"/>
          <w:highlight w:val="none"/>
        </w:rPr>
        <w:t>第五章  采购合同</w:t>
      </w:r>
      <w:r>
        <w:tab/>
      </w:r>
      <w:r>
        <w:fldChar w:fldCharType="begin"/>
      </w:r>
      <w:r>
        <w:instrText xml:space="preserve"> PAGEREF _Toc1638 \h </w:instrText>
      </w:r>
      <w:r>
        <w:fldChar w:fldCharType="separate"/>
      </w:r>
      <w:r>
        <w:t>17</w:t>
      </w:r>
      <w:r>
        <w:fldChar w:fldCharType="end"/>
      </w:r>
      <w:r>
        <w:rPr>
          <w:rFonts w:hint="eastAsia" w:ascii="宋体" w:hAnsi="宋体" w:cs="宋体"/>
          <w:bCs/>
          <w:color w:val="auto"/>
          <w:szCs w:val="32"/>
          <w:highlight w:val="none"/>
        </w:rPr>
        <w:fldChar w:fldCharType="end"/>
      </w:r>
    </w:p>
    <w:p>
      <w:pPr>
        <w:pStyle w:val="23"/>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_Toc5963 </w:instrText>
      </w:r>
      <w:r>
        <w:rPr>
          <w:rFonts w:hint="eastAsia" w:ascii="宋体" w:hAnsi="宋体" w:cs="宋体"/>
          <w:bCs/>
          <w:szCs w:val="32"/>
          <w:highlight w:val="none"/>
        </w:rPr>
        <w:fldChar w:fldCharType="separate"/>
      </w:r>
      <w:r>
        <w:rPr>
          <w:rFonts w:hint="eastAsia"/>
          <w:szCs w:val="32"/>
          <w:highlight w:val="none"/>
        </w:rPr>
        <w:t>第六章  投标文件格式</w:t>
      </w:r>
      <w:r>
        <w:tab/>
      </w:r>
      <w:r>
        <w:fldChar w:fldCharType="begin"/>
      </w:r>
      <w:r>
        <w:instrText xml:space="preserve"> PAGEREF _Toc5963 \h </w:instrText>
      </w:r>
      <w:r>
        <w:fldChar w:fldCharType="separate"/>
      </w:r>
      <w:r>
        <w:t>18</w:t>
      </w:r>
      <w:r>
        <w:fldChar w:fldCharType="end"/>
      </w:r>
      <w:r>
        <w:rPr>
          <w:rFonts w:hint="eastAsia" w:ascii="宋体" w:hAnsi="宋体" w:cs="宋体"/>
          <w:bCs/>
          <w:color w:val="auto"/>
          <w:szCs w:val="32"/>
          <w:highlight w:val="none"/>
        </w:rPr>
        <w:fldChar w:fldCharType="end"/>
      </w:r>
    </w:p>
    <w:p>
      <w:pPr>
        <w:pStyle w:val="82"/>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lang w:eastAsia="zh-CN"/>
        </w:rPr>
      </w:pPr>
      <w:r>
        <w:rPr>
          <w:rFonts w:hint="eastAsia" w:ascii="宋体" w:hAnsi="宋体" w:cs="宋体"/>
          <w:b/>
          <w:bCs w:val="0"/>
          <w:color w:val="auto"/>
          <w:kern w:val="0"/>
          <w:sz w:val="28"/>
          <w:szCs w:val="28"/>
          <w:u w:val="none"/>
          <w:lang w:val="en-US" w:eastAsia="zh-CN"/>
        </w:rPr>
        <w:t>驻马店市中心医院移液器采购项目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r>
        <w:rPr>
          <w:rFonts w:hint="eastAsia" w:ascii="宋体" w:hAnsi="宋体" w:cs="宋体"/>
          <w:b/>
          <w:bCs w:val="0"/>
          <w:color w:val="auto"/>
          <w:kern w:val="0"/>
          <w:sz w:val="28"/>
          <w:szCs w:val="28"/>
          <w:lang w:eastAsia="zh-CN"/>
        </w:rPr>
        <w:t>（</w:t>
      </w:r>
      <w:r>
        <w:rPr>
          <w:rFonts w:hint="eastAsia" w:ascii="宋体" w:hAnsi="宋体" w:cs="宋体"/>
          <w:b/>
          <w:bCs w:val="0"/>
          <w:color w:val="auto"/>
          <w:kern w:val="0"/>
          <w:sz w:val="28"/>
          <w:szCs w:val="28"/>
          <w:lang w:val="en-US" w:eastAsia="zh-CN"/>
        </w:rPr>
        <w:t>二次</w:t>
      </w:r>
      <w:r>
        <w:rPr>
          <w:rFonts w:hint="eastAsia" w:ascii="宋体" w:hAnsi="宋体" w:cs="宋体"/>
          <w:b/>
          <w:bCs w:val="0"/>
          <w:color w:val="auto"/>
          <w:kern w:val="0"/>
          <w:sz w:val="28"/>
          <w:szCs w:val="28"/>
          <w:lang w:eastAsia="zh-CN"/>
        </w:rPr>
        <w:t>）</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cs="宋体"/>
          <w:color w:val="auto"/>
          <w:u w:val="single"/>
          <w:lang w:val="en-US" w:eastAsia="zh-CN"/>
        </w:rPr>
        <w:t xml:space="preserve"> 移液器采购项目（二次）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驻马店市中心医院移液器采购项目（二次）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7.5万元</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合同签订后60日内交货，最终以合同约定内容为准。</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、质量要求：符合国家现行标准要求</w:t>
      </w:r>
      <w:r>
        <w:rPr>
          <w:rFonts w:hint="eastAsia" w:ascii="宋体" w:hAnsi="宋体" w:eastAsia="宋体" w:cs="宋体"/>
          <w:color w:val="auto"/>
          <w:szCs w:val="21"/>
          <w:highlight w:val="none"/>
          <w:shd w:val="clear" w:color="auto" w:fill="FFFFFF"/>
          <w:lang w:eastAsia="zh-CN"/>
        </w:rPr>
        <w:t>。</w:t>
      </w:r>
    </w:p>
    <w:p>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8607"/>
      <w:bookmarkStart w:id="5" w:name="_Toc16639"/>
      <w:bookmarkStart w:id="6" w:name="_Toc23626"/>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bookmarkStart w:id="8" w:name="_Toc23395"/>
      <w:bookmarkStart w:id="9" w:name="_Toc30971"/>
      <w:bookmarkStart w:id="10" w:name="_Toc7823"/>
      <w:bookmarkStart w:id="11" w:name="_Toc30643"/>
      <w:bookmarkStart w:id="12" w:name="_Toc9562"/>
      <w:r>
        <w:rPr>
          <w:rFonts w:hint="eastAsia" w:ascii="宋体" w:hAnsi="宋体" w:eastAsia="宋体" w:cs="宋体"/>
          <w:color w:val="000000" w:themeColor="text1"/>
          <w:kern w:val="2"/>
          <w:sz w:val="21"/>
          <w:szCs w:val="24"/>
          <w:lang w:val="en-US" w:eastAsia="zh-CN" w:bidi="ar-SA"/>
          <w14:textFill>
            <w14:solidFill>
              <w14:schemeClr w14:val="tx1"/>
            </w14:solidFill>
          </w14:textFill>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3、具有履行合同所必需的设备和专业技术能力（提供书面声明函）；</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4、参加本采购活动前三年内，在经营活动中没有重大违法记录（提供书面声明函）；</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5、符合法律、行政法规规定的其他条件；</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6、特定资格要求：供应商如为代理商的并所投产品如为进口产品的，需提供拟投产品制造商或中国境内办事处或中国总代理经销商针对本项目的授权书。</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w:t>
      </w:r>
      <w:r>
        <w:rPr>
          <w:rFonts w:hint="eastAsia" w:cs="宋体"/>
          <w:color w:val="000000" w:themeColor="text1"/>
          <w:kern w:val="2"/>
          <w:sz w:val="21"/>
          <w:szCs w:val="24"/>
          <w:lang w:val="en-US" w:eastAsia="zh-CN" w:bidi="ar-SA"/>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eastAsia="宋体" w:cs="宋体"/>
          <w:color w:val="000000" w:themeColor="text1"/>
          <w:kern w:val="2"/>
          <w:sz w:val="21"/>
          <w:szCs w:val="24"/>
          <w:lang w:val="en-US" w:eastAsia="zh-CN" w:bidi="ar-SA"/>
          <w14:textFill>
            <w14:solidFill>
              <w14:schemeClr w14:val="tx1"/>
            </w14:solidFill>
          </w14:textFill>
        </w:rPr>
        <w:t>；</w:t>
      </w:r>
    </w:p>
    <w:p>
      <w:pPr>
        <w:pStyle w:val="13"/>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cs="宋体"/>
          <w:color w:val="000000" w:themeColor="text1"/>
          <w:kern w:val="2"/>
          <w:sz w:val="21"/>
          <w:szCs w:val="24"/>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lang w:val="en-US" w:eastAsia="zh-CN" w:bidi="ar-SA"/>
          <w14:textFill>
            <w14:solidFill>
              <w14:schemeClr w14:val="tx1"/>
            </w14:solidFill>
          </w14:textFill>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w:t>
      </w:r>
      <w:r>
        <w:rPr>
          <w:rFonts w:hint="eastAsia" w:ascii="宋体" w:hAnsi="宋体" w:eastAsia="宋体" w:cs="宋体"/>
          <w:color w:val="auto"/>
          <w:szCs w:val="21"/>
          <w:shd w:val="clear" w:color="auto" w:fill="FFFFFF"/>
        </w:rPr>
        <w:t>间：</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auto"/>
          <w:szCs w:val="21"/>
          <w:shd w:val="clear" w:color="auto" w:fill="FFFFFF"/>
        </w:rPr>
        <w:t>，上午8：30</w:t>
      </w:r>
      <w:r>
        <w:rPr>
          <w:rFonts w:hint="eastAsia" w:ascii="宋体" w:hAnsi="宋体" w:eastAsia="宋体" w:cs="宋体"/>
          <w:color w:val="000000" w:themeColor="text1"/>
          <w:szCs w:val="21"/>
          <w:shd w:val="clear" w:color="auto" w:fill="FFFFFF"/>
          <w14:textFill>
            <w14:solidFill>
              <w14:schemeClr w14:val="tx1"/>
            </w14:solidFill>
          </w14:textFill>
        </w:rPr>
        <w:t>-11:30，下午14:30-17:30（北京时间，法定节假日除外）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934027204@qq.com并标明XX公司XX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27480"/>
      <w:bookmarkStart w:id="14" w:name="_Toc15135"/>
      <w:bookmarkStart w:id="15" w:name="_Toc10738"/>
      <w:bookmarkStart w:id="16" w:name="_Toc25869"/>
      <w:bookmarkStart w:id="17" w:name="_Toc15111"/>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30918"/>
      <w:bookmarkStart w:id="19" w:name="_Toc29784"/>
      <w:bookmarkStart w:id="20" w:name="_Toc6523"/>
      <w:bookmarkStart w:id="21" w:name="_Toc20287"/>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16291"/>
      <w:bookmarkStart w:id="25" w:name="_Toc3604"/>
      <w:bookmarkStart w:id="26" w:name="_Toc31928"/>
      <w:bookmarkStart w:id="27" w:name="_Toc27370"/>
      <w:bookmarkStart w:id="28" w:name="_Toc2427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1.采购人：驻马店市中心医院 </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地址：驻马店市中华大道747号 </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联系人：陈先生 </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电话：0396-2726379 </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2.采购代理机构：河南省伟信招标管理咨询有限公司 </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地址：郑州市郑东新区东风南路与创业路交叉口绿地中心北塔16楼</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联系方式：18838148020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3.监督部门：驻马店市中心医院纪检监察室 </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监督电话：0396-2726678 </w:t>
      </w:r>
    </w:p>
    <w:p>
      <w:pPr>
        <w:pStyle w:val="29"/>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pPr>
        <w:pStyle w:val="27"/>
        <w:widowControl/>
        <w:snapToGrid w:val="0"/>
        <w:spacing w:before="0" w:beforeAutospacing="0" w:after="0" w:afterAutospacing="0" w:line="360" w:lineRule="auto"/>
        <w:ind w:firstLine="420" w:firstLineChars="200"/>
        <w:jc w:val="center"/>
        <w:rPr>
          <w:rFonts w:ascii="宋体" w:hAnsi="宋体" w:cs="宋体"/>
          <w:color w:val="auto"/>
          <w:sz w:val="21"/>
          <w:szCs w:val="21"/>
          <w:highlight w:val="none"/>
          <w:shd w:val="clear" w:color="auto" w:fill="FFFFFF"/>
        </w:rPr>
      </w:pP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cs="宋体"/>
          <w:color w:val="auto"/>
          <w:kern w:val="0"/>
          <w:sz w:val="21"/>
          <w:szCs w:val="21"/>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5</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7</w:t>
      </w:r>
      <w:r>
        <w:rPr>
          <w:rFonts w:hint="eastAsia" w:ascii="宋体" w:hAnsi="宋体" w:eastAsia="宋体" w:cs="宋体"/>
          <w:color w:val="auto"/>
          <w:kern w:val="0"/>
          <w:sz w:val="21"/>
          <w:szCs w:val="21"/>
          <w:highlight w:val="none"/>
          <w:shd w:val="clear" w:color="auto" w:fill="FFFFFF"/>
          <w:lang w:val="en-US" w:eastAsia="zh-CN" w:bidi="ar-SA"/>
        </w:rPr>
        <w:t>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rPr>
          <w:rFonts w:hint="eastAsia" w:ascii="宋体" w:hAnsi="宋体"/>
          <w:b/>
          <w:color w:val="auto"/>
          <w:sz w:val="32"/>
          <w:szCs w:val="32"/>
          <w:highlight w:val="none"/>
        </w:rPr>
      </w:pPr>
      <w:bookmarkStart w:id="29" w:name="_Toc29890"/>
      <w:bookmarkStart w:id="30" w:name="_Toc23793"/>
      <w:r>
        <w:rPr>
          <w:rFonts w:hint="eastAsia" w:ascii="宋体" w:hAnsi="宋体"/>
          <w:b/>
          <w:color w:val="auto"/>
          <w:sz w:val="32"/>
          <w:szCs w:val="32"/>
          <w:highlight w:val="none"/>
        </w:rPr>
        <w:br w:type="page"/>
      </w:r>
    </w:p>
    <w:p>
      <w:pPr>
        <w:widowControl/>
        <w:spacing w:line="360" w:lineRule="auto"/>
        <w:ind w:firstLine="643" w:firstLineChars="200"/>
        <w:jc w:val="center"/>
        <w:outlineLvl w:val="0"/>
        <w:rPr>
          <w:rFonts w:ascii="宋体" w:hAnsi="宋体"/>
          <w:b/>
          <w:color w:val="auto"/>
          <w:sz w:val="32"/>
          <w:szCs w:val="32"/>
          <w:highlight w:val="none"/>
        </w:rPr>
      </w:pPr>
      <w:bookmarkStart w:id="31" w:name="_Toc17552"/>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1"/>
      <w:bookmarkStart w:id="32" w:name="_Toc31536"/>
      <w:bookmarkStart w:id="33" w:name="_Toc23610"/>
      <w:bookmarkStart w:id="34" w:name="_Toc9989"/>
    </w:p>
    <w:bookmarkEnd w:id="29"/>
    <w:bookmarkEnd w:id="30"/>
    <w:bookmarkEnd w:id="32"/>
    <w:bookmarkEnd w:id="33"/>
    <w:bookmarkEnd w:id="34"/>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i w:val="0"/>
          <w:iCs/>
          <w:sz w:val="21"/>
          <w:szCs w:val="21"/>
          <w:highlight w:val="none"/>
          <w:u w:val="none"/>
          <w:lang w:val="en-US" w:eastAsia="zh-CN"/>
        </w:rPr>
      </w:pPr>
      <w:r>
        <w:rPr>
          <w:rFonts w:hint="eastAsia" w:ascii="宋体" w:hAnsi="宋体" w:eastAsia="宋体" w:cs="宋体"/>
          <w:b/>
          <w:bCs/>
          <w:i w:val="0"/>
          <w:iCs/>
          <w:sz w:val="21"/>
          <w:szCs w:val="21"/>
          <w:highlight w:val="none"/>
          <w:u w:val="none"/>
          <w:lang w:val="en-US" w:eastAsia="zh-CN"/>
        </w:rPr>
        <w:t>一、项目名称：</w:t>
      </w:r>
      <w:r>
        <w:rPr>
          <w:rFonts w:hint="eastAsia" w:ascii="宋体" w:hAnsi="宋体" w:eastAsia="宋体" w:cs="宋体"/>
          <w:i w:val="0"/>
          <w:iCs/>
          <w:sz w:val="21"/>
          <w:szCs w:val="21"/>
          <w:highlight w:val="none"/>
          <w:u w:val="none"/>
          <w:lang w:val="en-US" w:eastAsia="zh-CN"/>
        </w:rPr>
        <w:t>驻马店市中心医院</w:t>
      </w:r>
      <w:r>
        <w:rPr>
          <w:rFonts w:hint="eastAsia" w:ascii="宋体" w:hAnsi="宋体" w:cs="宋体"/>
          <w:i w:val="0"/>
          <w:iCs/>
          <w:sz w:val="21"/>
          <w:szCs w:val="21"/>
          <w:highlight w:val="none"/>
          <w:u w:val="none"/>
          <w:lang w:val="en-US" w:eastAsia="zh-CN"/>
        </w:rPr>
        <w:t>移液器采购项目（二次）</w:t>
      </w:r>
    </w:p>
    <w:p>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bookmarkStart w:id="92" w:name="_GoBack"/>
      <w:bookmarkEnd w:id="92"/>
    </w:p>
    <w:tbl>
      <w:tblPr>
        <w:tblStyle w:val="32"/>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652"/>
        <w:gridCol w:w="2207"/>
        <w:gridCol w:w="5"/>
        <w:gridCol w:w="966"/>
        <w:gridCol w:w="725"/>
        <w:gridCol w:w="1377"/>
        <w:gridCol w:w="923"/>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Align w:val="center"/>
          </w:tcPr>
          <w:p>
            <w:pPr>
              <w:pStyle w:val="14"/>
              <w:numPr>
                <w:ilvl w:val="0"/>
                <w:numId w:val="0"/>
              </w:numPr>
              <w:jc w:val="center"/>
              <w:rPr>
                <w:rFonts w:hint="eastAsia"/>
                <w:b/>
                <w:bCs/>
                <w:lang w:val="en-US" w:eastAsia="zh-CN"/>
              </w:rPr>
            </w:pPr>
            <w:r>
              <w:rPr>
                <w:rFonts w:hint="eastAsia"/>
                <w:b/>
                <w:bCs/>
                <w:lang w:val="en-US" w:eastAsia="zh-CN"/>
              </w:rPr>
              <w:t>包号</w:t>
            </w:r>
          </w:p>
        </w:tc>
        <w:tc>
          <w:tcPr>
            <w:tcW w:w="652" w:type="dxa"/>
            <w:vAlign w:val="center"/>
          </w:tcPr>
          <w:p>
            <w:pPr>
              <w:pStyle w:val="14"/>
              <w:numPr>
                <w:ilvl w:val="0"/>
                <w:numId w:val="0"/>
              </w:numPr>
              <w:jc w:val="center"/>
              <w:rPr>
                <w:rFonts w:hint="eastAsia"/>
                <w:b/>
                <w:bCs/>
                <w:lang w:val="en-US" w:eastAsia="zh-CN"/>
              </w:rPr>
            </w:pPr>
            <w:r>
              <w:rPr>
                <w:rFonts w:hint="eastAsia"/>
                <w:b/>
                <w:bCs/>
                <w:lang w:val="en-US" w:eastAsia="zh-CN"/>
              </w:rPr>
              <w:t>序号</w:t>
            </w:r>
          </w:p>
        </w:tc>
        <w:tc>
          <w:tcPr>
            <w:tcW w:w="2207" w:type="dxa"/>
            <w:vAlign w:val="center"/>
          </w:tcPr>
          <w:p>
            <w:pPr>
              <w:pStyle w:val="14"/>
              <w:numPr>
                <w:ilvl w:val="0"/>
                <w:numId w:val="0"/>
              </w:numPr>
              <w:jc w:val="center"/>
              <w:rPr>
                <w:rFonts w:hint="eastAsia"/>
                <w:b/>
                <w:bCs/>
                <w:lang w:val="en-US" w:eastAsia="zh-CN"/>
              </w:rPr>
            </w:pPr>
            <w:r>
              <w:rPr>
                <w:rFonts w:hint="eastAsia"/>
                <w:b/>
                <w:bCs/>
                <w:lang w:val="en-US" w:eastAsia="zh-CN"/>
              </w:rPr>
              <w:t>标的名称</w:t>
            </w:r>
          </w:p>
        </w:tc>
        <w:tc>
          <w:tcPr>
            <w:tcW w:w="971" w:type="dxa"/>
            <w:gridSpan w:val="2"/>
            <w:vAlign w:val="center"/>
          </w:tcPr>
          <w:p>
            <w:pPr>
              <w:pStyle w:val="14"/>
              <w:numPr>
                <w:ilvl w:val="0"/>
                <w:numId w:val="0"/>
              </w:numPr>
              <w:jc w:val="center"/>
              <w:rPr>
                <w:rFonts w:hint="eastAsia"/>
                <w:b/>
                <w:bCs/>
                <w:lang w:val="en-US" w:eastAsia="zh-CN"/>
              </w:rPr>
            </w:pPr>
            <w:r>
              <w:rPr>
                <w:rFonts w:hint="eastAsia"/>
                <w:b/>
                <w:bCs/>
                <w:lang w:val="en-US" w:eastAsia="zh-CN"/>
              </w:rPr>
              <w:t>单位</w:t>
            </w:r>
          </w:p>
        </w:tc>
        <w:tc>
          <w:tcPr>
            <w:tcW w:w="725" w:type="dxa"/>
            <w:vAlign w:val="center"/>
          </w:tcPr>
          <w:p>
            <w:pPr>
              <w:pStyle w:val="14"/>
              <w:numPr>
                <w:ilvl w:val="0"/>
                <w:numId w:val="0"/>
              </w:numPr>
              <w:jc w:val="center"/>
              <w:rPr>
                <w:rFonts w:hint="eastAsia"/>
                <w:b/>
                <w:bCs/>
                <w:lang w:val="en-US" w:eastAsia="zh-CN"/>
              </w:rPr>
            </w:pPr>
            <w:r>
              <w:rPr>
                <w:rFonts w:hint="eastAsia"/>
                <w:b/>
                <w:bCs/>
                <w:lang w:val="en-US" w:eastAsia="zh-CN"/>
              </w:rPr>
              <w:t>数量</w:t>
            </w:r>
          </w:p>
        </w:tc>
        <w:tc>
          <w:tcPr>
            <w:tcW w:w="1377" w:type="dxa"/>
            <w:vAlign w:val="center"/>
          </w:tcPr>
          <w:p>
            <w:pPr>
              <w:pStyle w:val="14"/>
              <w:numPr>
                <w:ilvl w:val="0"/>
                <w:numId w:val="0"/>
              </w:numPr>
              <w:jc w:val="center"/>
              <w:rPr>
                <w:rFonts w:hint="eastAsia"/>
                <w:b/>
                <w:bCs/>
                <w:lang w:val="en-US" w:eastAsia="zh-CN"/>
              </w:rPr>
            </w:pPr>
            <w:r>
              <w:rPr>
                <w:rFonts w:hint="eastAsia"/>
                <w:b/>
                <w:bCs/>
                <w:lang w:val="en-US" w:eastAsia="zh-CN"/>
              </w:rPr>
              <w:t>资金</w:t>
            </w:r>
          </w:p>
          <w:p>
            <w:pPr>
              <w:pStyle w:val="14"/>
              <w:numPr>
                <w:ilvl w:val="0"/>
                <w:numId w:val="0"/>
              </w:numPr>
              <w:jc w:val="center"/>
              <w:rPr>
                <w:rFonts w:hint="eastAsia"/>
                <w:b/>
                <w:bCs/>
                <w:lang w:val="en-US" w:eastAsia="zh-CN"/>
              </w:rPr>
            </w:pPr>
            <w:r>
              <w:rPr>
                <w:rFonts w:hint="eastAsia"/>
                <w:b/>
                <w:bCs/>
                <w:lang w:val="en-US" w:eastAsia="zh-CN"/>
              </w:rPr>
              <w:t>预算</w:t>
            </w:r>
          </w:p>
        </w:tc>
        <w:tc>
          <w:tcPr>
            <w:tcW w:w="923" w:type="dxa"/>
            <w:vAlign w:val="center"/>
          </w:tcPr>
          <w:p>
            <w:pPr>
              <w:pStyle w:val="14"/>
              <w:numPr>
                <w:ilvl w:val="0"/>
                <w:numId w:val="0"/>
              </w:numPr>
              <w:jc w:val="center"/>
              <w:rPr>
                <w:rFonts w:hint="eastAsia"/>
                <w:b/>
                <w:bCs/>
                <w:lang w:val="en-US" w:eastAsia="zh-CN"/>
              </w:rPr>
            </w:pPr>
            <w:r>
              <w:rPr>
                <w:rFonts w:hint="eastAsia"/>
                <w:b/>
                <w:bCs/>
                <w:lang w:val="en-US" w:eastAsia="zh-CN"/>
              </w:rPr>
              <w:t>资金</w:t>
            </w:r>
          </w:p>
          <w:p>
            <w:pPr>
              <w:pStyle w:val="14"/>
              <w:numPr>
                <w:ilvl w:val="0"/>
                <w:numId w:val="0"/>
              </w:numPr>
              <w:jc w:val="center"/>
              <w:rPr>
                <w:rFonts w:hint="eastAsia"/>
                <w:b/>
                <w:bCs/>
                <w:lang w:val="en-US" w:eastAsia="zh-CN"/>
              </w:rPr>
            </w:pPr>
            <w:r>
              <w:rPr>
                <w:rFonts w:hint="eastAsia"/>
                <w:b/>
                <w:bCs/>
                <w:lang w:val="en-US" w:eastAsia="zh-CN"/>
              </w:rPr>
              <w:t>性质</w:t>
            </w:r>
          </w:p>
        </w:tc>
        <w:tc>
          <w:tcPr>
            <w:tcW w:w="1202" w:type="dxa"/>
            <w:vAlign w:val="center"/>
          </w:tcPr>
          <w:p>
            <w:pPr>
              <w:pStyle w:val="14"/>
              <w:numPr>
                <w:ilvl w:val="0"/>
                <w:numId w:val="0"/>
              </w:numPr>
              <w:jc w:val="center"/>
              <w:rPr>
                <w:rFonts w:hint="eastAsia"/>
                <w:b/>
                <w:bCs/>
                <w:lang w:val="en-US" w:eastAsia="zh-CN"/>
              </w:rPr>
            </w:pPr>
            <w:r>
              <w:rPr>
                <w:rFonts w:hint="eastAsia"/>
                <w:b/>
                <w:bCs/>
                <w:lang w:val="en-US" w:eastAsia="zh-CN"/>
              </w:rPr>
              <w:t>国产/</w:t>
            </w:r>
          </w:p>
          <w:p>
            <w:pPr>
              <w:pStyle w:val="14"/>
              <w:numPr>
                <w:ilvl w:val="0"/>
                <w:numId w:val="0"/>
              </w:numPr>
              <w:jc w:val="center"/>
              <w:rPr>
                <w:rFonts w:hint="eastAsia"/>
                <w:b/>
                <w:bCs/>
                <w:lang w:val="en-US" w:eastAsia="zh-CN"/>
              </w:rPr>
            </w:pPr>
            <w:r>
              <w:rPr>
                <w:rFonts w:hint="eastAsia"/>
                <w:b/>
                <w:bCs/>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1</w:t>
            </w:r>
          </w:p>
        </w:tc>
        <w:tc>
          <w:tcPr>
            <w:tcW w:w="65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220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移液器</w:t>
            </w:r>
          </w:p>
        </w:tc>
        <w:tc>
          <w:tcPr>
            <w:tcW w:w="97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个</w:t>
            </w:r>
          </w:p>
        </w:tc>
        <w:tc>
          <w:tcPr>
            <w:tcW w:w="7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w:t>
            </w:r>
          </w:p>
        </w:tc>
        <w:tc>
          <w:tcPr>
            <w:tcW w:w="13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1500元</w:t>
            </w:r>
          </w:p>
        </w:tc>
        <w:tc>
          <w:tcPr>
            <w:tcW w:w="92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自筹</w:t>
            </w:r>
          </w:p>
        </w:tc>
        <w:tc>
          <w:tcPr>
            <w:tcW w:w="12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kern w:val="2"/>
                <w:sz w:val="21"/>
                <w:szCs w:val="21"/>
                <w:vertAlign w:val="baseline"/>
                <w:lang w:val="en-US" w:eastAsia="zh-CN" w:bidi="ar-SA"/>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4"/>
              <w:numPr>
                <w:ilvl w:val="0"/>
                <w:numId w:val="0"/>
              </w:numPr>
              <w:jc w:val="center"/>
              <w:rPr>
                <w:rFonts w:hint="eastAsia"/>
                <w:lang w:val="en-US" w:eastAsia="zh-CN"/>
              </w:rPr>
            </w:pPr>
            <w:r>
              <w:rPr>
                <w:rFonts w:hint="eastAsia"/>
                <w:lang w:val="en-US" w:eastAsia="zh-CN"/>
              </w:rPr>
              <w:t>合计</w:t>
            </w:r>
          </w:p>
        </w:tc>
        <w:tc>
          <w:tcPr>
            <w:tcW w:w="2212" w:type="dxa"/>
            <w:gridSpan w:val="2"/>
            <w:vAlign w:val="center"/>
          </w:tcPr>
          <w:p>
            <w:pPr>
              <w:pStyle w:val="14"/>
              <w:numPr>
                <w:ilvl w:val="0"/>
                <w:numId w:val="0"/>
              </w:numPr>
              <w:jc w:val="center"/>
              <w:rPr>
                <w:rFonts w:hint="eastAsia"/>
                <w:lang w:val="en-US" w:eastAsia="zh-CN"/>
              </w:rPr>
            </w:pPr>
          </w:p>
        </w:tc>
        <w:tc>
          <w:tcPr>
            <w:tcW w:w="9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Arial" w:hAnsi="Arial" w:eastAsia="宋体" w:cs="Times New Roman"/>
                <w:kern w:val="2"/>
                <w:sz w:val="21"/>
                <w:szCs w:val="24"/>
                <w:lang w:val="en-US" w:eastAsia="zh-CN" w:bidi="ar-SA"/>
              </w:rPr>
            </w:pPr>
          </w:p>
        </w:tc>
        <w:tc>
          <w:tcPr>
            <w:tcW w:w="7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Arial" w:hAnsi="Arial" w:eastAsia="宋体" w:cs="Times New Roman"/>
                <w:kern w:val="2"/>
                <w:sz w:val="21"/>
                <w:szCs w:val="24"/>
                <w:lang w:val="en-US" w:eastAsia="zh-CN" w:bidi="ar-SA"/>
              </w:rPr>
            </w:pPr>
          </w:p>
        </w:tc>
        <w:tc>
          <w:tcPr>
            <w:tcW w:w="1377" w:type="dxa"/>
            <w:vAlign w:val="center"/>
          </w:tcPr>
          <w:p>
            <w:pPr>
              <w:pStyle w:val="14"/>
              <w:numPr>
                <w:ilvl w:val="0"/>
                <w:numId w:val="0"/>
              </w:numPr>
              <w:ind w:left="0" w:leftChars="0" w:firstLine="0" w:firstLineChars="0"/>
              <w:jc w:val="center"/>
              <w:rPr>
                <w:rFonts w:hint="eastAsia" w:ascii="Arial" w:hAnsi="Arial" w:eastAsia="宋体" w:cs="Times New Roman"/>
                <w:kern w:val="2"/>
                <w:sz w:val="21"/>
                <w:szCs w:val="24"/>
                <w:lang w:val="en-US" w:eastAsia="zh-CN" w:bidi="ar-SA"/>
              </w:rPr>
            </w:pPr>
          </w:p>
        </w:tc>
        <w:tc>
          <w:tcPr>
            <w:tcW w:w="923" w:type="dxa"/>
            <w:vAlign w:val="center"/>
          </w:tcPr>
          <w:p>
            <w:pPr>
              <w:pStyle w:val="14"/>
              <w:numPr>
                <w:ilvl w:val="0"/>
                <w:numId w:val="0"/>
              </w:numPr>
              <w:jc w:val="center"/>
              <w:rPr>
                <w:rFonts w:hint="eastAsia"/>
                <w:lang w:val="en-US" w:eastAsia="zh-CN"/>
              </w:rPr>
            </w:pPr>
          </w:p>
        </w:tc>
        <w:tc>
          <w:tcPr>
            <w:tcW w:w="1202" w:type="dxa"/>
            <w:vAlign w:val="center"/>
          </w:tcPr>
          <w:p>
            <w:pPr>
              <w:pStyle w:val="14"/>
              <w:numPr>
                <w:ilvl w:val="0"/>
                <w:numId w:val="0"/>
              </w:num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pPr>
              <w:pStyle w:val="14"/>
              <w:numPr>
                <w:ilvl w:val="0"/>
                <w:numId w:val="0"/>
              </w:numPr>
              <w:jc w:val="center"/>
              <w:rPr>
                <w:rFonts w:hint="eastAsia"/>
                <w:lang w:val="en-US" w:eastAsia="zh-CN"/>
              </w:rPr>
            </w:pPr>
            <w:r>
              <w:rPr>
                <w:rFonts w:hint="eastAsia"/>
                <w:lang w:val="en-US" w:eastAsia="zh-CN"/>
              </w:rPr>
              <w:t>备注</w:t>
            </w:r>
          </w:p>
        </w:tc>
        <w:tc>
          <w:tcPr>
            <w:tcW w:w="7405" w:type="dxa"/>
            <w:gridSpan w:val="7"/>
            <w:vAlign w:val="center"/>
          </w:tcPr>
          <w:p>
            <w:pPr>
              <w:pStyle w:val="14"/>
              <w:tabs>
                <w:tab w:val="left" w:pos="568"/>
              </w:tabs>
              <w:spacing w:line="240" w:lineRule="auto"/>
              <w:ind w:firstLine="420" w:firstLineChars="200"/>
              <w:jc w:val="center"/>
              <w:rPr>
                <w:rFonts w:hint="eastAsia"/>
                <w:lang w:val="en-US" w:eastAsia="zh-CN"/>
              </w:rPr>
            </w:pPr>
            <w:r>
              <w:rPr>
                <w:rFonts w:hint="eastAsia"/>
                <w:highlight w:val="none"/>
                <w:lang w:val="en-US" w:eastAsia="zh-CN"/>
              </w:rPr>
              <w:t>招供应商，服务期一</w:t>
            </w:r>
            <w:r>
              <w:rPr>
                <w:rFonts w:hint="eastAsia"/>
                <w:lang w:val="en-US" w:eastAsia="zh-CN"/>
              </w:rPr>
              <w:t>年，全年实际用量据实结算</w:t>
            </w:r>
          </w:p>
        </w:tc>
      </w:tr>
    </w:tbl>
    <w:p>
      <w:pPr>
        <w:pStyle w:val="14"/>
        <w:tabs>
          <w:tab w:val="left" w:pos="568"/>
        </w:tabs>
        <w:spacing w:line="240" w:lineRule="auto"/>
        <w:ind w:firstLine="534" w:firstLineChars="200"/>
        <w:jc w:val="center"/>
        <w:rPr>
          <w:rFonts w:hint="eastAsia" w:ascii="宋体" w:hAnsi="宋体" w:eastAsia="宋体" w:cs="宋体"/>
          <w:b/>
          <w:bCs/>
          <w:spacing w:val="28"/>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174" w:type="dxa"/>
            <w:vAlign w:val="center"/>
          </w:tcPr>
          <w:p>
            <w:pPr>
              <w:pStyle w:val="14"/>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lang w:val="en-US" w:eastAsia="zh-CN"/>
              </w:rPr>
              <w:t>移液器技术参数要求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vAlign w:val="center"/>
          </w:tcPr>
          <w:p>
            <w:pPr>
              <w:pStyle w:val="14"/>
              <w:numPr>
                <w:ilvl w:val="0"/>
                <w:numId w:val="1"/>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可整支高温高压灭菌和紫外线灭菌。</w:t>
            </w:r>
          </w:p>
          <w:p>
            <w:pPr>
              <w:pStyle w:val="14"/>
              <w:numPr>
                <w:ilvl w:val="0"/>
                <w:numId w:val="1"/>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下半支可徒手拆卸。</w:t>
            </w:r>
          </w:p>
          <w:p>
            <w:pPr>
              <w:pStyle w:val="14"/>
              <w:numPr>
                <w:ilvl w:val="0"/>
                <w:numId w:val="1"/>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伸缩式弹性吸嘴设计。</w:t>
            </w:r>
          </w:p>
          <w:p>
            <w:pPr>
              <w:pStyle w:val="14"/>
              <w:numPr>
                <w:ilvl w:val="0"/>
                <w:numId w:val="1"/>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数字放大体积。</w:t>
            </w:r>
          </w:p>
          <w:p>
            <w:pPr>
              <w:pStyle w:val="14"/>
              <w:numPr>
                <w:ilvl w:val="0"/>
                <w:numId w:val="1"/>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具有体积视窗。</w:t>
            </w:r>
          </w:p>
          <w:p>
            <w:pPr>
              <w:pStyle w:val="14"/>
              <w:numPr>
                <w:ilvl w:val="0"/>
                <w:numId w:val="1"/>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具体密度调节窗口，适用于不同密度的液体。</w:t>
            </w:r>
          </w:p>
          <w:p>
            <w:pPr>
              <w:pStyle w:val="14"/>
              <w:numPr>
                <w:ilvl w:val="0"/>
                <w:numId w:val="1"/>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颜色标识移液器量程。</w:t>
            </w:r>
          </w:p>
          <w:p>
            <w:pPr>
              <w:pStyle w:val="14"/>
              <w:numPr>
                <w:ilvl w:val="0"/>
                <w:numId w:val="1"/>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数据芯片读取功能，可读取数据进行追踪。</w:t>
            </w:r>
          </w:p>
          <w:p>
            <w:pPr>
              <w:pStyle w:val="14"/>
              <w:numPr>
                <w:ilvl w:val="0"/>
                <w:numId w:val="1"/>
              </w:numPr>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移液器规格型号2-20µL、5-50µL、10-100µL、20-200µL、100-1000µL等。</w:t>
            </w:r>
          </w:p>
          <w:p>
            <w:pPr>
              <w:pStyle w:val="14"/>
              <w:jc w:val="both"/>
              <w:rPr>
                <w:rFonts w:hint="eastAsia" w:ascii="宋体" w:hAnsi="宋体" w:eastAsia="宋体" w:cs="宋体"/>
                <w:b/>
                <w:bCs/>
                <w:color w:val="auto"/>
                <w:sz w:val="21"/>
                <w:szCs w:val="21"/>
                <w:vertAlign w:val="baseline"/>
                <w:lang w:val="en-US" w:eastAsia="zh-CN"/>
              </w:rPr>
            </w:pPr>
          </w:p>
        </w:tc>
      </w:tr>
    </w:tbl>
    <w:p>
      <w:pPr>
        <w:pStyle w:val="14"/>
        <w:jc w:val="center"/>
        <w:rPr>
          <w:rFonts w:hint="eastAsia" w:ascii="宋体" w:hAnsi="宋体" w:eastAsia="宋体" w:cs="宋体"/>
          <w:b/>
          <w:bCs/>
          <w:color w:val="auto"/>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 xml:space="preserve">1、质量要求：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 xml:space="preserve">2、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0"/>
          <w:sz w:val="21"/>
          <w:szCs w:val="21"/>
          <w:highlight w:val="none"/>
          <w:shd w:val="clear" w:color="auto" w:fill="FFFFFF"/>
          <w:lang w:val="en-US" w:eastAsia="zh-CN" w:bidi="ar-SA"/>
        </w:rPr>
      </w:pPr>
      <w:r>
        <w:rPr>
          <w:rFonts w:hint="eastAsia" w:ascii="宋体" w:hAnsi="宋体" w:cs="宋体"/>
          <w:b w:val="0"/>
          <w:bCs w:val="0"/>
          <w:color w:val="auto"/>
          <w:kern w:val="0"/>
          <w:sz w:val="21"/>
          <w:szCs w:val="21"/>
          <w:highlight w:val="none"/>
          <w:shd w:val="clear" w:color="auto" w:fill="FFFFFF"/>
          <w:lang w:val="en-US" w:eastAsia="zh-CN" w:bidi="ar-SA"/>
        </w:rPr>
        <w:t>3、附技术偏离表，需提供产品注册检验报告（完整版）及响应技术参数条款的技术白皮书和彩页等相关文件，并对响应技术参数部分做出明显标注。</w:t>
      </w:r>
    </w:p>
    <w:p>
      <w:pPr>
        <w:pStyle w:val="13"/>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both"/>
        <w:textAlignment w:val="auto"/>
        <w:rPr>
          <w:rFonts w:hint="eastAsia"/>
          <w:b/>
          <w:bCs/>
          <w:color w:val="auto"/>
          <w:sz w:val="30"/>
          <w:szCs w:val="30"/>
          <w:highlight w:val="none"/>
        </w:rPr>
      </w:pPr>
    </w:p>
    <w:p>
      <w:pPr>
        <w:pStyle w:val="13"/>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rFonts w:hint="eastAsia"/>
          <w:b/>
          <w:bCs/>
          <w:color w:val="auto"/>
          <w:sz w:val="30"/>
          <w:szCs w:val="30"/>
          <w:highlight w:val="none"/>
        </w:rPr>
      </w:pPr>
    </w:p>
    <w:p>
      <w:pPr>
        <w:pStyle w:val="13"/>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1"/>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w:t>
            </w:r>
            <w:r>
              <w:rPr>
                <w:rFonts w:hint="eastAsia" w:cs="宋体"/>
                <w:sz w:val="21"/>
                <w:szCs w:val="21"/>
                <w:lang w:val="en-US" w:eastAsia="zh-CN"/>
              </w:rPr>
              <w:t>成交通知书</w:t>
            </w:r>
            <w:r>
              <w:rPr>
                <w:rFonts w:hint="eastAsia" w:ascii="宋体" w:hAnsi="宋体" w:eastAsia="宋体" w:cs="宋体"/>
                <w:sz w:val="21"/>
                <w:szCs w:val="21"/>
                <w:lang w:val="en-US" w:eastAsia="zh-CN"/>
              </w:rPr>
              <w:t>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合同签订后60日内交货，最终以合同约定内容为准。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符合国家现行标准要求</w:t>
            </w:r>
            <w:r>
              <w:rPr>
                <w:rFonts w:hint="eastAsia"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cs="宋体"/>
                <w:kern w:val="2"/>
                <w:sz w:val="21"/>
                <w:szCs w:val="24"/>
                <w:lang w:val="en-US" w:eastAsia="zh-CN" w:bidi="ar-SA"/>
              </w:rPr>
              <w:t>2</w:t>
            </w:r>
            <w:r>
              <w:rPr>
                <w:rFonts w:hint="default" w:ascii="宋体" w:hAnsi="宋体" w:cs="宋体"/>
                <w:kern w:val="2"/>
                <w:sz w:val="21"/>
                <w:szCs w:val="24"/>
                <w:lang w:val="en-US" w:eastAsia="zh-CN" w:bidi="ar-SA"/>
              </w:rPr>
              <w:t>年</w:t>
            </w:r>
            <w:r>
              <w:rPr>
                <w:rFonts w:hint="eastAsia" w:cs="宋体"/>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sz w:val="21"/>
                <w:szCs w:val="21"/>
                <w:lang w:eastAsia="zh-CN"/>
              </w:rPr>
            </w:pPr>
            <w:r>
              <w:rPr>
                <w:rFonts w:hint="eastAsia" w:cs="宋体"/>
                <w:sz w:val="21"/>
                <w:szCs w:val="21"/>
                <w:lang w:eastAsia="zh-CN"/>
              </w:rPr>
              <w:t>包装要求</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spacing w:line="360" w:lineRule="auto"/>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商品包装和快递包装应符合《商品包装政府采购需求标准（试行）》和《快递包装政府采购需求标准（试行）》规定。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pPr>
              <w:pStyle w:val="13"/>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pPr>
              <w:pStyle w:val="13"/>
              <w:spacing w:line="360" w:lineRule="auto"/>
              <w:ind w:left="0" w:leftChars="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以合同签订为准。</w:t>
            </w:r>
          </w:p>
        </w:tc>
      </w:tr>
    </w:tbl>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b/>
          <w:bCs/>
          <w:color w:val="auto"/>
          <w:sz w:val="30"/>
          <w:szCs w:val="30"/>
          <w:highlight w:val="none"/>
        </w:rPr>
      </w:pPr>
    </w:p>
    <w:p>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1"/>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pPr>
              <w:widowControl/>
              <w:numPr>
                <w:ilvl w:val="0"/>
                <w:numId w:val="2"/>
              </w:numPr>
              <w:snapToGrid w:val="0"/>
              <w:spacing w:line="360" w:lineRule="auto"/>
            </w:pPr>
            <w:r>
              <w:rPr>
                <w:rFonts w:hint="eastAsia"/>
              </w:rPr>
              <w:t>不接受联合体投标，不允许转包和分包。</w:t>
            </w:r>
          </w:p>
          <w:p>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w:t>
            </w:r>
            <w:r>
              <w:rPr>
                <w:rFonts w:hint="eastAsia" w:cs="Times New Roman"/>
                <w:lang w:val="en-US" w:eastAsia="zh-CN"/>
              </w:rPr>
              <w:t>磋商小组</w:t>
            </w:r>
            <w:r>
              <w:rPr>
                <w:rFonts w:hint="eastAsia" w:ascii="Times New Roman" w:hAnsi="Times New Roman" w:eastAsia="宋体" w:cs="Times New Roman"/>
                <w:lang w:val="en-US" w:eastAsia="zh-CN"/>
              </w:rPr>
              <w:t>确定一名</w:t>
            </w:r>
            <w:r>
              <w:rPr>
                <w:rFonts w:hint="eastAsia" w:cs="Times New Roman"/>
                <w:lang w:val="en-US" w:eastAsia="zh-CN"/>
              </w:rPr>
              <w:t>成交人</w:t>
            </w:r>
            <w:r>
              <w:rPr>
                <w:rFonts w:hint="eastAsia" w:ascii="Times New Roman" w:hAnsi="Times New Roman" w:eastAsia="宋体" w:cs="Times New Roman"/>
                <w:lang w:val="en-US" w:eastAsia="zh-CN"/>
              </w:rPr>
              <w:t>并推荐</w:t>
            </w:r>
            <w:r>
              <w:rPr>
                <w:rFonts w:hint="eastAsia" w:cs="Times New Roman"/>
                <w:lang w:val="en-US" w:eastAsia="zh-CN"/>
              </w:rPr>
              <w:t>一</w:t>
            </w:r>
            <w:r>
              <w:rPr>
                <w:rFonts w:hint="eastAsia" w:ascii="Times New Roman" w:hAnsi="Times New Roman" w:eastAsia="宋体" w:cs="Times New Roman"/>
                <w:lang w:val="en-US" w:eastAsia="zh-CN"/>
              </w:rPr>
              <w:t>名</w:t>
            </w:r>
            <w:r>
              <w:rPr>
                <w:rFonts w:hint="eastAsia" w:cs="Times New Roman"/>
                <w:lang w:val="en-US" w:eastAsia="zh-CN"/>
              </w:rPr>
              <w:t>成交候选人</w:t>
            </w:r>
            <w:r>
              <w:rPr>
                <w:rFonts w:hint="eastAsia" w:ascii="Times New Roman" w:hAnsi="Times New Roman" w:eastAsia="宋体" w:cs="Times New Roman"/>
                <w:lang w:val="en-US" w:eastAsia="zh-CN"/>
              </w:rPr>
              <w:t>。</w:t>
            </w:r>
          </w:p>
          <w:p>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pPr>
        <w:rPr>
          <w:color w:val="auto"/>
          <w:highlight w:val="none"/>
        </w:rPr>
      </w:pPr>
    </w:p>
    <w:p>
      <w:pPr>
        <w:jc w:val="center"/>
        <w:rPr>
          <w:rFonts w:hint="eastAsia"/>
          <w:b/>
          <w:bCs/>
          <w:color w:val="auto"/>
          <w:sz w:val="32"/>
          <w:szCs w:val="32"/>
          <w:highlight w:val="none"/>
        </w:rPr>
      </w:pPr>
    </w:p>
    <w:p>
      <w:pPr>
        <w:rPr>
          <w:rFonts w:hint="eastAsia"/>
          <w:b/>
          <w:bCs/>
          <w:color w:val="auto"/>
          <w:sz w:val="32"/>
          <w:szCs w:val="32"/>
          <w:highlight w:val="none"/>
        </w:rPr>
      </w:pPr>
      <w:r>
        <w:rPr>
          <w:rFonts w:hint="eastAsia"/>
          <w:b/>
          <w:bCs/>
          <w:color w:val="auto"/>
          <w:sz w:val="32"/>
          <w:szCs w:val="32"/>
          <w:highlight w:val="none"/>
        </w:rPr>
        <w:br w:type="page"/>
      </w:r>
    </w:p>
    <w:p>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rPr>
            </w:pPr>
            <w:bookmarkStart w:id="36" w:name="_Toc30169"/>
            <w:r>
              <w:rPr>
                <w:rFonts w:hint="eastAsia"/>
                <w:color w:val="auto"/>
                <w:highlight w:val="none"/>
              </w:rPr>
              <w:t>1.1 项目名称：</w:t>
            </w:r>
            <w:r>
              <w:rPr>
                <w:rFonts w:hint="eastAsia" w:ascii="宋体" w:hAnsi="宋体" w:cs="宋体"/>
                <w:color w:val="auto"/>
                <w:szCs w:val="21"/>
                <w:highlight w:val="none"/>
                <w:shd w:val="clear" w:color="auto" w:fill="FFFFFF"/>
                <w:lang w:val="en-US" w:eastAsia="zh-CN"/>
              </w:rPr>
              <w:t>驻马店市中心医院</w:t>
            </w:r>
            <w:bookmarkEnd w:id="36"/>
            <w:r>
              <w:rPr>
                <w:rFonts w:hint="eastAsia" w:ascii="宋体" w:hAnsi="宋体" w:cs="宋体"/>
                <w:color w:val="auto"/>
                <w:szCs w:val="21"/>
                <w:highlight w:val="none"/>
                <w:shd w:val="clear" w:color="auto" w:fill="FFFFFF"/>
                <w:lang w:val="en-US" w:eastAsia="zh-CN"/>
              </w:rPr>
              <w:t>移液器采购项目</w:t>
            </w:r>
          </w:p>
          <w:p>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szCs w:val="21"/>
                <w:highlight w:val="none"/>
                <w:shd w:val="clear" w:color="auto" w:fill="FFFFFF"/>
                <w:lang w:val="en-US" w:eastAsia="zh-CN"/>
              </w:rPr>
              <w:t>1500元/个</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kern w:val="0"/>
                <w:szCs w:val="21"/>
                <w:lang w:eastAsia="zh-CN"/>
              </w:rPr>
              <w:t>成交</w:t>
            </w:r>
            <w:r>
              <w:rPr>
                <w:rFonts w:hint="eastAsia" w:ascii="宋体" w:hAnsi="宋体" w:eastAsia="宋体" w:cs="宋体"/>
                <w:kern w:val="0"/>
                <w:szCs w:val="21"/>
              </w:rPr>
              <w:t>公告及</w:t>
            </w:r>
            <w:r>
              <w:rPr>
                <w:rFonts w:hint="eastAsia" w:ascii="宋体" w:hAnsi="宋体" w:cs="宋体"/>
                <w:kern w:val="0"/>
                <w:szCs w:val="21"/>
                <w:lang w:eastAsia="zh-CN"/>
              </w:rPr>
              <w:t>成交</w:t>
            </w:r>
            <w:r>
              <w:rPr>
                <w:rFonts w:hint="eastAsia" w:ascii="宋体" w:hAnsi="宋体" w:eastAsia="宋体" w:cs="宋体"/>
                <w:kern w:val="0"/>
                <w:szCs w:val="21"/>
              </w:rPr>
              <w:t>通知书：由采购人授权磋商小组确定一名成交人并推荐一名成交候选人。评审结束后在《驻马店市中心医院》官网上发布成交公告，公示期结束后向成交人发出成交通知书。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kern w:val="0"/>
                <w:szCs w:val="21"/>
                <w:lang w:val="en-US" w:eastAsia="zh-CN"/>
              </w:rPr>
              <w:t>医院纪检</w:t>
            </w:r>
            <w:r>
              <w:rPr>
                <w:rFonts w:hint="eastAsia" w:ascii="宋体" w:hAnsi="宋体" w:cs="宋体"/>
                <w:color w:val="auto"/>
                <w:kern w:val="0"/>
                <w:szCs w:val="21"/>
                <w:highlight w:val="none"/>
              </w:rPr>
              <w:t>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“货物”系指投标人按采购文件规定向采购人提供的一切设备、机械、仪器仪表、备品备件、工具、手册及其它有关技术资料和材料。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2.5 “相关服务”系指采购文件规定投标人须承担的与本次采购货物相关的安装、调试、技术协助、校准、培训以及其他类似的义务。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1500元/个</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:1500元/个</w:t>
      </w:r>
      <w:r>
        <w:rPr>
          <w:rFonts w:hint="eastAsia" w:ascii="宋体" w:hAnsi="宋体" w:cs="宋体"/>
          <w:b/>
          <w:bCs/>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4.1 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4.2 </w:t>
      </w:r>
      <w:r>
        <w:rPr>
          <w:rFonts w:hint="eastAsia" w:ascii="宋体" w:hAnsi="宋体" w:eastAsia="宋体" w:cs="宋体"/>
        </w:rPr>
        <w:t>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eastAsia="宋体" w:cs="宋体"/>
          <w:color w:val="auto"/>
          <w:lang w:val="en-US" w:eastAsia="zh-CN"/>
        </w:rPr>
        <w:t>；</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 xml:space="preserve">4.5 </w:t>
      </w:r>
      <w:r>
        <w:rPr>
          <w:rFonts w:hint="eastAsia" w:ascii="宋体" w:hAnsi="宋体" w:eastAsia="宋体" w:cs="宋体"/>
          <w:color w:val="auto"/>
          <w:lang w:val="en-US" w:eastAsia="zh-CN"/>
        </w:rPr>
        <w:t>特定资格要求：供应商如为代理商的并所投产品如为进口产品的，需提供拟投产品制造商或中国境内办事处或中国总代理经销商针对本项目的授权书。</w:t>
      </w:r>
    </w:p>
    <w:p>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w:t>
      </w:r>
      <w:r>
        <w:rPr>
          <w:rFonts w:hint="eastAsia" w:ascii="宋体" w:hAnsi="宋体" w:cs="宋体"/>
          <w:color w:val="auto"/>
          <w:lang w:val="en-US" w:eastAsia="zh-CN"/>
        </w:rPr>
        <w:t>6</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eastAsia="宋体" w:cs="宋体"/>
          <w:color w:val="auto"/>
          <w:lang w:val="en-US" w:eastAsia="zh-CN"/>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0"/>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交货期</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w:t>
      </w:r>
      <w:r>
        <w:rPr>
          <w:rFonts w:hint="eastAsia"/>
          <w:highlight w:val="none"/>
          <w:lang w:val="en-US" w:eastAsia="zh-CN"/>
        </w:rPr>
        <w:t>2</w:t>
      </w:r>
      <w:r>
        <w:rPr>
          <w:rFonts w:hint="eastAsia"/>
          <w:highlight w:val="none"/>
          <w:lang w:eastAsia="zh-CN"/>
        </w:rPr>
        <w:t xml:space="preserve"> 未按本章第2</w:t>
      </w:r>
      <w:r>
        <w:rPr>
          <w:rFonts w:hint="eastAsia"/>
          <w:highlight w:val="none"/>
          <w:lang w:val="en-US" w:eastAsia="zh-CN"/>
        </w:rPr>
        <w:t>1</w:t>
      </w:r>
      <w:r>
        <w:rPr>
          <w:rFonts w:hint="eastAsia"/>
          <w:highlight w:val="none"/>
          <w:lang w:eastAsia="zh-CN"/>
        </w:rPr>
        <w:t>.1项要求密封的投标文件，采购人不予受理。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1" w:name="_Toc16473"/>
      <w:bookmarkStart w:id="42" w:name="_Toc4700"/>
      <w:bookmarkStart w:id="43" w:name="_Toc16669"/>
      <w:r>
        <w:rPr>
          <w:rFonts w:hint="eastAsia" w:ascii="黑体" w:hAnsi="宋体" w:eastAsia="黑体" w:cs="宋体"/>
          <w:b/>
          <w:bCs/>
          <w:color w:val="auto"/>
          <w:kern w:val="0"/>
          <w:sz w:val="32"/>
          <w:szCs w:val="32"/>
          <w:highlight w:val="none"/>
        </w:rPr>
        <w:t>第四章  评标办法及评分标准</w:t>
      </w:r>
      <w:bookmarkEnd w:id="41"/>
      <w:bookmarkEnd w:id="42"/>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1.产品技术参数（25分）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采购需求”技术参数、性能及产品功能等的响应，所投内容全部满足磋商文件要求得</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分，一项不满足扣</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如得分为0，则投标无效。</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由评委根据项目特性结合各响应产品制造工艺、稳定性、性能及技术先进性等进行打分。</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响应产品制造工艺、稳定性好，性能好、技术先进的得8-10分；响应产品制造工艺、稳定性较好，性能较好、技术较先进的得4-7分；响应产品制造工艺、稳定性、性能一般，技术保守的得1-3分。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.实施方案（10分）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供应商对项目实施方案的整体规划，包括</w:t>
            </w:r>
            <w:r>
              <w:rPr>
                <w:rFonts w:hint="eastAsia" w:ascii="宋体" w:hAnsi="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val="en-US" w:eastAsia="zh-CN"/>
              </w:rPr>
              <w:t>货物密封方式、人员安排计划、</w:t>
            </w:r>
            <w:r>
              <w:rPr>
                <w:rFonts w:hint="eastAsia" w:ascii="宋体" w:hAnsi="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方案、交货期保证措施。</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yellow"/>
                <w:lang w:val="en-US" w:eastAsia="zh-CN"/>
              </w:rPr>
            </w:pPr>
            <w:r>
              <w:rPr>
                <w:rFonts w:hint="eastAsia" w:ascii="宋体" w:hAnsi="宋体" w:eastAsia="宋体" w:cs="宋体"/>
                <w:b w:val="0"/>
                <w:bCs w:val="0"/>
                <w:color w:val="auto"/>
                <w:sz w:val="21"/>
                <w:szCs w:val="21"/>
                <w:highlight w:val="none"/>
              </w:rPr>
              <w:t>以上措施详细、合理、可行的7-10分；基本详细、基本合理、基本可行的4-6分；基本详细度、合理性差、可行性差的1-3分；缺项得0分。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1、质保期（6分）</w:t>
            </w:r>
          </w:p>
        </w:tc>
        <w:tc>
          <w:tcPr>
            <w:tcW w:w="6770" w:type="dxa"/>
            <w:noWrap w:val="0"/>
            <w:vAlign w:val="top"/>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3.售后服务体系（15分）</w:t>
            </w:r>
          </w:p>
        </w:tc>
        <w:tc>
          <w:tcPr>
            <w:tcW w:w="677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供应商提供合理、完整、可行的售后服务方案，明确售后响应流程、问题反馈、答疑时效、服务方式、服务地点、企业提供本地化服务的措施、售后人员数量、经验、紧急故障解决方式等。</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rPr>
            </w:pPr>
            <w:r>
              <w:rPr>
                <w:rFonts w:hint="eastAsia" w:ascii="宋体" w:hAnsi="宋体" w:eastAsia="宋体" w:cs="宋体"/>
                <w:b w:val="0"/>
                <w:bCs w:val="0"/>
                <w:color w:val="auto"/>
                <w:kern w:val="2"/>
                <w:sz w:val="21"/>
                <w:szCs w:val="21"/>
                <w:highlight w:val="none"/>
              </w:rPr>
              <w:t>售后服务承诺内容具体、完善、合理性程度强得11-15分，具体、完善、合理性程度一般得6-10分，具体、完善、合理性程度差得1-5分，缺项得0分。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bookmarkEnd w:id="43"/>
    </w:tbl>
    <w:p>
      <w:pPr>
        <w:rPr>
          <w:color w:val="auto"/>
          <w:highlight w:val="none"/>
        </w:rPr>
      </w:pPr>
      <w:bookmarkStart w:id="44" w:name="_Toc1947"/>
      <w:bookmarkStart w:id="45" w:name="_Toc1482"/>
      <w:bookmarkStart w:id="46" w:name="_Toc326786897"/>
      <w:bookmarkStart w:id="47" w:name="_Toc256519703"/>
    </w:p>
    <w:p>
      <w:pPr>
        <w:rPr>
          <w:rFonts w:hint="eastAsia"/>
          <w:color w:val="auto"/>
          <w:sz w:val="28"/>
          <w:szCs w:val="28"/>
          <w:highlight w:val="none"/>
        </w:rPr>
      </w:pPr>
      <w:bookmarkStart w:id="48" w:name="_Toc1638"/>
      <w:r>
        <w:rPr>
          <w:rFonts w:hint="eastAsia"/>
          <w:color w:val="auto"/>
          <w:sz w:val="28"/>
          <w:szCs w:val="28"/>
          <w:highlight w:val="none"/>
        </w:rPr>
        <w:br w:type="page"/>
      </w:r>
    </w:p>
    <w:p>
      <w:pPr>
        <w:pStyle w:val="2"/>
        <w:snapToGrid w:val="0"/>
        <w:spacing w:before="0" w:after="0" w:line="480" w:lineRule="auto"/>
        <w:jc w:val="center"/>
        <w:rPr>
          <w:color w:val="auto"/>
          <w:sz w:val="28"/>
          <w:szCs w:val="28"/>
          <w:highlight w:val="yellow"/>
        </w:rPr>
      </w:pPr>
      <w:r>
        <w:rPr>
          <w:rFonts w:hint="eastAsia"/>
          <w:color w:val="auto"/>
          <w:sz w:val="28"/>
          <w:szCs w:val="28"/>
          <w:highlight w:val="none"/>
        </w:rPr>
        <w:t>第五章  采购合同</w:t>
      </w:r>
      <w:bookmarkEnd w:id="48"/>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9"/>
      </w:pPr>
    </w:p>
    <w:p>
      <w:pPr>
        <w:pStyle w:val="2"/>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pPr>
        <w:spacing w:line="440" w:lineRule="exact"/>
        <w:rPr>
          <w:color w:val="auto"/>
          <w:sz w:val="24"/>
          <w:highlight w:val="none"/>
        </w:rPr>
      </w:pPr>
    </w:p>
    <w:p>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w:t>
      </w:r>
      <w:r>
        <w:rPr>
          <w:rFonts w:hint="eastAsia"/>
          <w:color w:val="auto"/>
          <w:sz w:val="24"/>
          <w:highlight w:val="none"/>
        </w:rPr>
        <w:t>（格式）</w:t>
      </w:r>
    </w:p>
    <w:p>
      <w:pPr>
        <w:snapToGrid w:val="0"/>
        <w:spacing w:line="360" w:lineRule="auto"/>
        <w:ind w:firstLine="480" w:firstLineChars="200"/>
        <w:rPr>
          <w:color w:val="auto"/>
          <w:sz w:val="24"/>
          <w:highlight w:val="none"/>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bookmarkEnd w:id="55"/>
      <w:r>
        <w:rPr>
          <w:rFonts w:hint="eastAsia"/>
          <w:color w:val="auto"/>
          <w:sz w:val="24"/>
          <w:highlight w:val="none"/>
          <w:lang w:val="en-US" w:eastAsia="zh-CN"/>
        </w:rPr>
        <w:t>响应表</w:t>
      </w:r>
      <w:r>
        <w:rPr>
          <w:rFonts w:hint="eastAsia"/>
          <w:color w:val="auto"/>
          <w:sz w:val="24"/>
          <w:highlight w:val="none"/>
        </w:rPr>
        <w:t>（格式）</w:t>
      </w:r>
    </w:p>
    <w:p>
      <w:pPr>
        <w:snapToGrid w:val="0"/>
        <w:spacing w:line="360" w:lineRule="auto"/>
        <w:ind w:firstLine="480" w:firstLineChars="200"/>
        <w:rPr>
          <w:rFonts w:hint="eastAsia"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响应表</w:t>
      </w:r>
      <w:r>
        <w:rPr>
          <w:rFonts w:hint="eastAsia"/>
          <w:color w:val="auto"/>
          <w:sz w:val="24"/>
          <w:highlight w:val="none"/>
        </w:rPr>
        <w:t>（格式）</w:t>
      </w:r>
    </w:p>
    <w:p>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pPr>
        <w:pStyle w:val="29"/>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47"/>
        <w:rPr>
          <w:rFonts w:hAnsi="宋体"/>
          <w:b/>
          <w:bCs/>
          <w:color w:val="auto"/>
          <w:highlight w:val="none"/>
        </w:rPr>
      </w:pPr>
    </w:p>
    <w:p>
      <w:pPr>
        <w:pStyle w:val="47"/>
        <w:rPr>
          <w:rFonts w:hAnsi="宋体"/>
          <w:b/>
          <w:bCs/>
          <w:color w:val="auto"/>
          <w:highlight w:val="none"/>
        </w:rPr>
      </w:pPr>
    </w:p>
    <w:p>
      <w:pPr>
        <w:rPr>
          <w:color w:val="auto"/>
          <w:highlight w:val="none"/>
        </w:rPr>
      </w:pPr>
      <w:r>
        <w:rPr>
          <w:rFonts w:hint="eastAsia"/>
          <w:color w:val="auto"/>
          <w:highlight w:val="none"/>
        </w:rPr>
        <w:br w:type="page"/>
      </w:r>
    </w:p>
    <w:p>
      <w:pPr>
        <w:pStyle w:val="4"/>
        <w:rPr>
          <w:color w:val="auto"/>
          <w:highlight w:val="none"/>
        </w:rPr>
      </w:pPr>
    </w:p>
    <w:p>
      <w:pPr>
        <w:pStyle w:val="5"/>
        <w:rPr>
          <w:color w:val="auto"/>
          <w:highlight w:val="none"/>
        </w:rPr>
      </w:pPr>
      <w:bookmarkStart w:id="61" w:name="_Toc24743"/>
      <w:bookmarkStart w:id="62" w:name="_Toc31798"/>
      <w:r>
        <w:rPr>
          <w:rFonts w:hint="eastAsia"/>
          <w:color w:val="auto"/>
          <w:highlight w:val="none"/>
        </w:rPr>
        <w:t>附件1               投标文件封面（格式）</w:t>
      </w:r>
      <w:bookmarkEnd w:id="61"/>
      <w:bookmarkEnd w:id="62"/>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7"/>
        <w:spacing w:line="360" w:lineRule="auto"/>
        <w:rPr>
          <w:rFonts w:hint="eastAsia" w:ascii="宋体" w:hAnsi="宋体" w:eastAsia="宋体" w:cs="宋体"/>
          <w:color w:val="auto"/>
          <w:highlight w:val="none"/>
        </w:rPr>
      </w:pPr>
    </w:p>
    <w:p>
      <w:pPr>
        <w:pStyle w:val="47"/>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3" w:name="_Toc8818"/>
      <w:bookmarkStart w:id="64" w:name="_Toc14560"/>
      <w:r>
        <w:rPr>
          <w:rFonts w:hint="eastAsia"/>
          <w:color w:val="auto"/>
          <w:highlight w:val="none"/>
        </w:rPr>
        <w:t>附件2               投  标  书（格式）</w:t>
      </w:r>
      <w:bookmarkEnd w:id="63"/>
      <w:bookmarkEnd w:id="64"/>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color w:val="auto"/>
          <w:highlight w:val="none"/>
        </w:rPr>
      </w:pPr>
      <w:bookmarkStart w:id="65" w:name="_Toc7838"/>
      <w:r>
        <w:rPr>
          <w:rFonts w:hint="eastAsia"/>
          <w:color w:val="auto"/>
          <w:highlight w:val="none"/>
        </w:rPr>
        <w:t>附件3               开标一览表</w:t>
      </w:r>
      <w:bookmarkEnd w:id="65"/>
      <w:r>
        <w:rPr>
          <w:rFonts w:hint="eastAsia"/>
          <w:color w:val="auto"/>
          <w:highlight w:val="none"/>
        </w:rPr>
        <w:t>（格式）</w:t>
      </w:r>
    </w:p>
    <w:p>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大写：每个</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 xml:space="preserve">        </w:t>
            </w:r>
          </w:p>
          <w:p>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小写：</w:t>
            </w:r>
            <w:r>
              <w:rPr>
                <w:rFonts w:hint="eastAsia" w:ascii="宋体" w:hAnsi="宋体"/>
                <w:color w:val="auto"/>
                <w:szCs w:val="21"/>
                <w:highlight w:val="none"/>
                <w:u w:val="single"/>
                <w:lang w:val="en-US" w:eastAsia="zh-CN"/>
              </w:rPr>
              <w:t xml:space="preserve">       </w:t>
            </w:r>
            <w:r>
              <w:rPr>
                <w:rFonts w:hint="eastAsia" w:ascii="宋体" w:hAnsi="宋体"/>
                <w:color w:val="auto"/>
                <w:sz w:val="21"/>
                <w:szCs w:val="21"/>
                <w:highlight w:val="none"/>
                <w:u w:val="single"/>
                <w:lang w:val="en-US" w:eastAsia="zh-CN"/>
              </w:rPr>
              <w:t xml:space="preserve"> </w:t>
            </w:r>
            <w:r>
              <w:rPr>
                <w:rFonts w:hint="eastAsia"/>
                <w:sz w:val="21"/>
                <w:szCs w:val="21"/>
                <w:lang w:val="en-US" w:eastAsia="zh-CN"/>
              </w:rPr>
              <w:t>元/个</w:t>
            </w:r>
            <w:r>
              <w:rPr>
                <w:rFonts w:hint="eastAsia" w:ascii="宋体" w:hAnsi="宋体"/>
                <w:color w:val="auto"/>
                <w:szCs w:val="21"/>
                <w:highlight w:val="none"/>
                <w:lang w:val="en-US" w:eastAsia="zh-CN"/>
              </w:rPr>
              <w:t>（详见报价明细表）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cs="宋体"/>
                <w:color w:val="auto"/>
                <w:kern w:val="0"/>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交货期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zCs w:val="21"/>
                <w:highlight w:val="none"/>
                <w:lang w:eastAsia="zh-CN"/>
              </w:rPr>
            </w:pPr>
            <w:r>
              <w:rPr>
                <w:rFonts w:hint="eastAsia" w:ascii="宋体" w:hAnsi="宋体"/>
                <w:color w:val="000000" w:themeColor="text1"/>
                <w:szCs w:val="21"/>
                <w:highlight w:val="none"/>
                <w:lang w:val="en-US" w:eastAsia="zh-CN"/>
                <w14:textFill>
                  <w14:solidFill>
                    <w14:schemeClr w14:val="tx1"/>
                  </w14:solidFill>
                </w14:textFill>
              </w:rPr>
              <w:t>质量</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质保期</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pPr>
        <w:spacing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pPr>
        <w:spacing w:line="360" w:lineRule="auto"/>
        <w:ind w:firstLine="420" w:firstLineChars="200"/>
        <w:jc w:val="center"/>
        <w:rPr>
          <w:rFonts w:ascii="宋体" w:hAnsi="宋体"/>
          <w:color w:val="auto"/>
          <w:szCs w:val="21"/>
          <w:highlight w:val="none"/>
          <w:u w:val="single"/>
        </w:rPr>
      </w:pPr>
      <w:bookmarkStart w:id="68" w:name="_Toc12222"/>
      <w:bookmarkStart w:id="69"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pPr>
        <w:jc w:val="center"/>
        <w:rPr>
          <w:rFonts w:ascii="宋体" w:hAnsi="宋体"/>
          <w:color w:val="auto"/>
          <w:szCs w:val="21"/>
          <w:highlight w:val="none"/>
        </w:rPr>
      </w:pPr>
    </w:p>
    <w:p>
      <w:pPr>
        <w:spacing w:line="360" w:lineRule="auto"/>
        <w:ind w:firstLine="420" w:firstLineChars="200"/>
        <w:jc w:val="center"/>
        <w:rPr>
          <w:color w:val="auto"/>
          <w:highlight w:val="none"/>
        </w:rPr>
      </w:pPr>
      <w:bookmarkStart w:id="70" w:name="_Toc9950"/>
      <w:bookmarkStart w:id="71" w:name="_Toc1330"/>
      <w:r>
        <w:rPr>
          <w:rFonts w:hint="eastAsia" w:ascii="宋体" w:hAnsi="宋体"/>
          <w:color w:val="auto"/>
          <w:szCs w:val="21"/>
          <w:highlight w:val="none"/>
        </w:rPr>
        <w:t>年  月  日</w:t>
      </w:r>
      <w:bookmarkEnd w:id="70"/>
      <w:bookmarkEnd w:id="71"/>
    </w:p>
    <w:p>
      <w:pPr>
        <w:rPr>
          <w:color w:val="auto"/>
          <w:highlight w:val="none"/>
        </w:rPr>
      </w:pPr>
    </w:p>
    <w:bookmarkEnd w:id="46"/>
    <w:bookmarkEnd w:id="47"/>
    <w:p>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2004"/>
      <w:bookmarkStart w:id="73" w:name="_Toc24984"/>
    </w:p>
    <w:p>
      <w:pPr>
        <w:outlineLvl w:val="9"/>
        <w:rPr>
          <w:rFonts w:hint="eastAsia"/>
          <w:lang w:eastAsia="zh-CN"/>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5"/>
        <w:spacing w:before="20" w:after="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2"/>
      <w:bookmarkEnd w:id="73"/>
      <w:r>
        <w:rPr>
          <w:rFonts w:hint="eastAsia"/>
          <w:color w:val="000000" w:themeColor="text1"/>
          <w:highlight w:val="none"/>
          <w14:textFill>
            <w14:solidFill>
              <w14:schemeClr w14:val="tx1"/>
            </w14:solidFill>
          </w14:textFill>
        </w:rPr>
        <w:t>报价明细表</w:t>
      </w:r>
      <w:r>
        <w:rPr>
          <w:rFonts w:hint="eastAsia"/>
          <w:color w:val="auto"/>
          <w:highlight w:val="none"/>
        </w:rPr>
        <w:t>（格式）</w:t>
      </w:r>
    </w:p>
    <w:p>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right"/>
        <w:textAlignment w:val="auto"/>
        <w:rPr>
          <w:rFonts w:ascii="宋体" w:hAnsi="宋体" w:cs="宋体"/>
          <w:color w:val="000000" w:themeColor="text1"/>
          <w:kern w:val="0"/>
          <w:sz w:val="24"/>
          <w:highlight w:val="none"/>
          <w14:textFill>
            <w14:solidFill>
              <w14:schemeClr w14:val="tx1"/>
            </w14:solidFill>
          </w14:textFill>
        </w:rPr>
      </w:pPr>
      <w:r>
        <w:rPr>
          <w:rFonts w:hint="eastAsia"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 xml:space="preserve">                    金额单位：人民币（元）</w:t>
      </w:r>
    </w:p>
    <w:tbl>
      <w:tblPr>
        <w:tblStyle w:val="31"/>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1个</w:t>
            </w:r>
          </w:p>
        </w:tc>
        <w:tc>
          <w:tcPr>
            <w:tcW w:w="88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default" w:ascii="宋体" w:hAnsi="宋体" w:eastAsia="宋体" w:cs="宋体"/>
                <w:color w:val="000000" w:themeColor="text1"/>
                <w:spacing w:val="20"/>
                <w:kern w:val="0"/>
                <w:sz w:val="24"/>
                <w:highlight w:val="none"/>
                <w:u w:val="singl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单</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r>
              <w:rPr>
                <w:rFonts w:hint="eastAsia" w:ascii="宋体" w:hAnsi="宋体" w:cs="宋体"/>
                <w:color w:val="000000" w:themeColor="text1"/>
                <w:kern w:val="0"/>
                <w:sz w:val="24"/>
                <w:szCs w:val="21"/>
                <w:highlight w:val="none"/>
                <w:lang w:eastAsia="zh-CN"/>
                <w14:textFill>
                  <w14:solidFill>
                    <w14:schemeClr w14:val="tx1"/>
                  </w14:solidFill>
                </w14:textFill>
              </w:rPr>
              <w:t>每个</w:t>
            </w:r>
            <w:r>
              <w:rPr>
                <w:rFonts w:hint="eastAsia" w:ascii="宋体" w:hAnsi="宋体" w:cs="宋体"/>
                <w:color w:val="000000" w:themeColor="text1"/>
                <w:kern w:val="0"/>
                <w:sz w:val="24"/>
                <w:szCs w:val="21"/>
                <w:highlight w:val="none"/>
                <w:u w:val="single"/>
                <w:lang w:val="en-US" w:eastAsia="zh-CN"/>
                <w14:textFill>
                  <w14:solidFill>
                    <w14:schemeClr w14:val="tx1"/>
                  </w14:solidFill>
                </w14:textFill>
              </w:rPr>
              <w:t xml:space="preserve">            </w:t>
            </w:r>
          </w:p>
        </w:tc>
      </w:tr>
    </w:tbl>
    <w:p>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auto"/>
          <w:kern w:val="0"/>
          <w:sz w:val="24"/>
          <w:highlight w:val="none"/>
        </w:rPr>
      </w:pPr>
    </w:p>
    <w:p>
      <w:pPr>
        <w:widowControl/>
        <w:shd w:val="clear" w:color="auto" w:fill="FFFFFF"/>
        <w:spacing w:line="360" w:lineRule="auto"/>
        <w:ind w:left="1418" w:hanging="567"/>
        <w:jc w:val="both"/>
        <w:rPr>
          <w:rFonts w:hint="eastAsia" w:ascii="宋体" w:hAnsi="宋体" w:cs="宋体"/>
          <w:color w:val="auto"/>
          <w:kern w:val="0"/>
          <w:sz w:val="24"/>
        </w:rPr>
      </w:pPr>
    </w:p>
    <w:p>
      <w:pPr>
        <w:widowControl/>
        <w:shd w:val="clear" w:color="auto" w:fill="FFFFFF"/>
        <w:spacing w:line="360" w:lineRule="auto"/>
        <w:ind w:left="1418" w:hanging="567"/>
        <w:jc w:val="both"/>
        <w:rPr>
          <w:rFonts w:hint="eastAsia" w:ascii="宋体" w:hAnsi="宋体" w:cs="宋体"/>
          <w:color w:val="auto"/>
          <w:kern w:val="0"/>
          <w:sz w:val="24"/>
        </w:rPr>
      </w:pPr>
    </w:p>
    <w:p>
      <w:pPr>
        <w:pStyle w:val="29"/>
        <w:rPr>
          <w:rFonts w:hint="eastAsia"/>
        </w:rPr>
      </w:pPr>
    </w:p>
    <w:p>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pPr>
        <w:widowControl/>
        <w:wordWrap w:val="0"/>
        <w:spacing w:line="460" w:lineRule="exact"/>
        <w:ind w:firstLine="4800" w:firstLineChars="2000"/>
        <w:jc w:val="left"/>
        <w:rPr>
          <w:color w:val="auto"/>
          <w:highlight w:val="none"/>
        </w:rPr>
      </w:pPr>
      <w:r>
        <w:rPr>
          <w:rFonts w:hint="eastAsia" w:ascii="宋体" w:hAnsi="宋体" w:cs="宋体"/>
          <w:color w:val="000000" w:themeColor="text1"/>
          <w:kern w:val="0"/>
          <w:sz w:val="24"/>
          <w:highlight w:val="none"/>
          <w14:textFill>
            <w14:solidFill>
              <w14:schemeClr w14:val="tx1"/>
            </w14:solidFill>
          </w14:textFill>
        </w:rPr>
        <w:t xml:space="preserve">     </w:t>
      </w:r>
    </w:p>
    <w:p>
      <w:pPr>
        <w:pStyle w:val="5"/>
        <w:rPr>
          <w:rFonts w:hint="eastAsia" w:eastAsia="黑体"/>
          <w:color w:val="auto"/>
          <w:highlight w:val="none"/>
          <w:lang w:val="en-US" w:eastAsia="zh-CN"/>
        </w:rPr>
      </w:pPr>
      <w:r>
        <w:rPr>
          <w:rFonts w:hint="eastAsia"/>
          <w:color w:val="auto"/>
          <w:highlight w:val="none"/>
        </w:rPr>
        <w:br w:type="page"/>
      </w:r>
      <w:bookmarkStart w:id="74" w:name="_Toc15804"/>
      <w:bookmarkStart w:id="75" w:name="_Toc226"/>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表（格式）</w:t>
      </w: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tbl>
      <w:tblPr>
        <w:tblStyle w:val="32"/>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2"/>
        <w:rPr>
          <w:bCs/>
          <w:color w:val="auto"/>
          <w:kern w:val="0"/>
          <w:highlight w:val="none"/>
        </w:rPr>
      </w:pPr>
    </w:p>
    <w:p>
      <w:pPr>
        <w:pStyle w:val="52"/>
        <w:rPr>
          <w:bCs/>
          <w:color w:val="auto"/>
          <w:kern w:val="0"/>
          <w:highlight w:val="none"/>
        </w:rPr>
      </w:pP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pPr>
        <w:rPr>
          <w:rFonts w:hint="eastAsia" w:ascii="宋体" w:hAnsi="宋体" w:eastAsia="宋体" w:cs="宋体"/>
          <w:color w:val="auto"/>
          <w:kern w:val="0"/>
          <w:sz w:val="24"/>
          <w:highlight w:val="none"/>
          <w:u w:val="single"/>
          <w:lang w:eastAsia="zh-CN"/>
        </w:rPr>
      </w:pPr>
      <w:r>
        <w:rPr>
          <w:rFonts w:hint="eastAsia" w:ascii="宋体" w:hAnsi="宋体" w:cs="宋体"/>
          <w:b/>
          <w:color w:val="auto"/>
          <w:kern w:val="0"/>
          <w:sz w:val="24"/>
          <w:highlight w:val="none"/>
        </w:rPr>
        <w:br w:type="page"/>
      </w:r>
    </w:p>
    <w:p>
      <w:pPr>
        <w:widowControl/>
        <w:wordWrap w:val="0"/>
        <w:snapToGrid w:val="0"/>
        <w:spacing w:line="460" w:lineRule="exact"/>
        <w:jc w:val="left"/>
        <w:outlineLvl w:val="0"/>
        <w:rPr>
          <w:rFonts w:hint="eastAsia" w:ascii="Arial" w:hAnsi="Arial" w:eastAsia="黑体" w:cs="Times New Roman"/>
          <w:b/>
          <w:bCs/>
          <w:color w:val="auto"/>
          <w:kern w:val="2"/>
          <w:sz w:val="32"/>
          <w:szCs w:val="32"/>
          <w:highlight w:val="none"/>
          <w:lang w:val="en-US" w:eastAsia="zh-CN" w:bidi="ar-SA"/>
        </w:rPr>
      </w:pPr>
      <w:bookmarkStart w:id="76" w:name="_Toc24168"/>
      <w:bookmarkStart w:id="77" w:name="_Toc20420"/>
      <w:bookmarkStart w:id="78" w:name="_Toc29960"/>
      <w:r>
        <w:rPr>
          <w:rFonts w:hint="eastAsia" w:ascii="Arial" w:hAnsi="Arial" w:eastAsia="黑体" w:cs="Times New Roman"/>
          <w:b/>
          <w:bCs/>
          <w:color w:val="auto"/>
          <w:kern w:val="2"/>
          <w:sz w:val="32"/>
          <w:szCs w:val="32"/>
          <w:highlight w:val="none"/>
          <w:lang w:val="en-US" w:eastAsia="zh-CN" w:bidi="ar-SA"/>
        </w:rPr>
        <w:t xml:space="preserve">附件6               </w:t>
      </w:r>
      <w:bookmarkEnd w:id="76"/>
      <w:bookmarkEnd w:id="77"/>
      <w:bookmarkEnd w:id="78"/>
      <w:r>
        <w:rPr>
          <w:rFonts w:hint="eastAsia" w:ascii="Arial" w:hAnsi="Arial" w:eastAsia="黑体" w:cs="Times New Roman"/>
          <w:b/>
          <w:bCs/>
          <w:color w:val="auto"/>
          <w:kern w:val="2"/>
          <w:sz w:val="32"/>
          <w:szCs w:val="32"/>
          <w:highlight w:val="none"/>
          <w:lang w:val="en-US" w:eastAsia="zh-CN" w:bidi="ar-SA"/>
        </w:rPr>
        <w:t xml:space="preserve"> 商务响应表（格式）</w:t>
      </w:r>
    </w:p>
    <w:p>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89"/>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w:t>
            </w:r>
          </w:p>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3"/>
              <w:ind w:left="0" w:leftChars="0"/>
              <w:jc w:val="center"/>
              <w:rPr>
                <w:rFonts w:hint="eastAsia" w:ascii="宋体" w:hAnsi="宋体" w:eastAsia="宋体" w:cs="宋体"/>
                <w:kern w:val="0"/>
                <w:sz w:val="21"/>
                <w:szCs w:val="21"/>
                <w:highlight w:val="yellow"/>
                <w:lang w:val="en-US" w:eastAsia="zh-CN" w:bidi="ar-SA"/>
              </w:rPr>
            </w:pPr>
            <w:r>
              <w:rPr>
                <w:rFonts w:hint="eastAsia" w:ascii="宋体" w:hAnsi="宋体" w:eastAsia="宋体" w:cs="宋体"/>
                <w:sz w:val="21"/>
                <w:szCs w:val="21"/>
                <w:highlight w:val="yellow"/>
                <w:lang w:val="en-US" w:eastAsia="zh-CN"/>
              </w:rPr>
              <w:t>合同签订时间</w:t>
            </w: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3"/>
              <w:ind w:left="0" w:leftChars="0"/>
              <w:jc w:val="center"/>
              <w:rPr>
                <w:rFonts w:hint="eastAsia" w:ascii="宋体" w:hAnsi="宋体" w:eastAsia="宋体" w:cs="宋体"/>
                <w:color w:val="000000" w:themeColor="text1"/>
                <w:kern w:val="0"/>
                <w:sz w:val="21"/>
                <w:szCs w:val="21"/>
                <w:highlight w:val="yellow"/>
                <w:lang w:val="en-US" w:eastAsia="zh-CN" w:bidi="ar-SA"/>
                <w14:textFill>
                  <w14:solidFill>
                    <w14:schemeClr w14:val="tx1"/>
                  </w14:solidFill>
                </w14:textFill>
              </w:rPr>
            </w:pPr>
            <w:r>
              <w:rPr>
                <w:rFonts w:hint="eastAsia" w:cs="宋体"/>
                <w:color w:val="000000" w:themeColor="text1"/>
                <w:sz w:val="21"/>
                <w:szCs w:val="21"/>
                <w:highlight w:val="yellow"/>
                <w:lang w:val="en-US" w:eastAsia="zh-CN"/>
                <w14:textFill>
                  <w14:solidFill>
                    <w14:schemeClr w14:val="tx1"/>
                  </w14:solidFill>
                </w14:textFill>
              </w:rPr>
              <w:t>交货期</w:t>
            </w: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3"/>
              <w:ind w:left="0" w:leftChars="0"/>
              <w:jc w:val="center"/>
              <w:rPr>
                <w:rFonts w:hint="eastAsia" w:ascii="宋体" w:hAnsi="宋体" w:eastAsia="宋体" w:cs="宋体"/>
                <w:color w:val="000000" w:themeColor="text1"/>
                <w:kern w:val="0"/>
                <w:sz w:val="21"/>
                <w:szCs w:val="21"/>
                <w:highlight w:val="yellow"/>
                <w:lang w:val="en-US" w:eastAsia="zh-CN" w:bidi="ar-SA"/>
                <w14:textFill>
                  <w14:solidFill>
                    <w14:schemeClr w14:val="tx1"/>
                  </w14:solidFill>
                </w14:textFill>
              </w:rPr>
            </w:pPr>
            <w:r>
              <w:rPr>
                <w:rFonts w:hint="eastAsia" w:cs="宋体"/>
                <w:color w:val="000000" w:themeColor="text1"/>
                <w:sz w:val="21"/>
                <w:szCs w:val="21"/>
                <w:highlight w:val="yellow"/>
                <w:lang w:val="en-US" w:eastAsia="zh-CN"/>
                <w14:textFill>
                  <w14:solidFill>
                    <w14:schemeClr w14:val="tx1"/>
                  </w14:solidFill>
                </w14:textFill>
              </w:rPr>
              <w:t>交货地点</w:t>
            </w: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3"/>
              <w:ind w:left="0" w:leftChars="0"/>
              <w:jc w:val="center"/>
              <w:rPr>
                <w:rFonts w:hint="eastAsia" w:ascii="宋体" w:hAnsi="宋体" w:eastAsia="宋体" w:cs="宋体"/>
                <w:color w:val="000000" w:themeColor="text1"/>
                <w:kern w:val="0"/>
                <w:sz w:val="21"/>
                <w:szCs w:val="21"/>
                <w:highlight w:val="yellow"/>
                <w:lang w:val="en-US" w:eastAsia="zh-CN" w:bidi="ar-SA"/>
                <w14:textFill>
                  <w14:solidFill>
                    <w14:schemeClr w14:val="tx1"/>
                  </w14:solidFill>
                </w14:textFill>
              </w:rPr>
            </w:pPr>
            <w:r>
              <w:rPr>
                <w:rFonts w:hint="eastAsia" w:ascii="宋体" w:hAnsi="宋体" w:eastAsia="宋体" w:cs="宋体"/>
                <w:color w:val="000000" w:themeColor="text1"/>
                <w:sz w:val="21"/>
                <w:szCs w:val="21"/>
                <w:highlight w:val="yellow"/>
                <w:lang w:val="en-US" w:eastAsia="zh-CN"/>
                <w14:textFill>
                  <w14:solidFill>
                    <w14:schemeClr w14:val="tx1"/>
                  </w14:solidFill>
                </w14:textFill>
              </w:rPr>
              <w:t>质量要求</w:t>
            </w: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3"/>
              <w:ind w:left="0" w:leftChars="0"/>
              <w:jc w:val="center"/>
              <w:rPr>
                <w:rFonts w:hint="eastAsia" w:ascii="宋体" w:hAnsi="宋体" w:eastAsia="宋体" w:cs="宋体"/>
                <w:color w:val="000000" w:themeColor="text1"/>
                <w:kern w:val="0"/>
                <w:sz w:val="21"/>
                <w:szCs w:val="21"/>
                <w:highlight w:val="yellow"/>
                <w:lang w:val="en-US" w:eastAsia="zh-CN" w:bidi="ar-SA"/>
                <w14:textFill>
                  <w14:solidFill>
                    <w14:schemeClr w14:val="tx1"/>
                  </w14:solidFill>
                </w14:textFill>
              </w:rPr>
            </w:pPr>
            <w:r>
              <w:rPr>
                <w:rFonts w:hint="eastAsia" w:ascii="宋体" w:hAnsi="宋体" w:eastAsia="宋体" w:cs="宋体"/>
                <w:color w:val="000000" w:themeColor="text1"/>
                <w:sz w:val="21"/>
                <w:szCs w:val="21"/>
                <w:highlight w:val="yellow"/>
                <w:lang w:val="en-US" w:eastAsia="zh-CN"/>
                <w14:textFill>
                  <w14:solidFill>
                    <w14:schemeClr w14:val="tx1"/>
                  </w14:solidFill>
                </w14:textFill>
              </w:rPr>
              <w:t>质保期</w:t>
            </w: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3"/>
              <w:ind w:left="0" w:leftChars="0"/>
              <w:jc w:val="center"/>
              <w:rPr>
                <w:rFonts w:hint="eastAsia" w:ascii="宋体" w:hAnsi="宋体" w:eastAsia="宋体" w:cs="宋体"/>
                <w:sz w:val="21"/>
                <w:szCs w:val="21"/>
                <w:highlight w:val="yellow"/>
              </w:rPr>
            </w:pPr>
            <w:r>
              <w:rPr>
                <w:rFonts w:hint="eastAsia" w:ascii="宋体" w:hAnsi="宋体" w:eastAsia="宋体" w:cs="宋体"/>
                <w:sz w:val="21"/>
                <w:szCs w:val="21"/>
                <w:highlight w:val="yellow"/>
                <w:lang w:eastAsia="zh-CN"/>
              </w:rPr>
              <w:t>包装要求</w:t>
            </w: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pPr>
              <w:pStyle w:val="13"/>
              <w:ind w:left="0" w:leftChars="0"/>
              <w:jc w:val="center"/>
              <w:rPr>
                <w:rFonts w:hint="eastAsia" w:ascii="宋体" w:hAnsi="宋体" w:eastAsia="宋体" w:cs="宋体"/>
                <w:color w:val="000000" w:themeColor="text1"/>
                <w:kern w:val="0"/>
                <w:sz w:val="21"/>
                <w:szCs w:val="21"/>
                <w:highlight w:val="yellow"/>
                <w:lang w:val="en-US" w:eastAsia="zh-CN" w:bidi="ar-SA"/>
                <w14:textFill>
                  <w14:solidFill>
                    <w14:schemeClr w14:val="tx1"/>
                  </w14:solidFill>
                </w14:textFill>
              </w:rPr>
            </w:pPr>
            <w:r>
              <w:rPr>
                <w:rFonts w:hint="eastAsia" w:ascii="宋体" w:hAnsi="宋体" w:eastAsia="宋体" w:cs="宋体"/>
                <w:sz w:val="21"/>
                <w:szCs w:val="21"/>
                <w:highlight w:val="yellow"/>
              </w:rPr>
              <w:t>付款方式</w:t>
            </w:r>
          </w:p>
        </w:tc>
        <w:tc>
          <w:tcPr>
            <w:tcW w:w="2054"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pPr>
        <w:rPr>
          <w:rFonts w:cs="宋体"/>
          <w:b/>
          <w:color w:val="auto"/>
          <w:kern w:val="0"/>
          <w:sz w:val="24"/>
          <w:highlight w:val="none"/>
        </w:rPr>
      </w:pP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outlineLvl w:val="9"/>
      </w:pPr>
    </w:p>
    <w:p>
      <w:pPr>
        <w:outlineLvl w:val="9"/>
      </w:pPr>
    </w:p>
    <w:p>
      <w:pPr>
        <w:pStyle w:val="2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outlineLvl w:val="9"/>
      </w:pPr>
    </w:p>
    <w:p>
      <w:pPr>
        <w:rPr>
          <w:rFonts w:hint="eastAsia" w:ascii="Arial" w:hAnsi="Arial" w:eastAsia="新宋体"/>
          <w:b/>
          <w:color w:val="auto"/>
          <w:sz w:val="28"/>
          <w:highlight w:val="none"/>
        </w:rPr>
      </w:pPr>
      <w:bookmarkStart w:id="79" w:name="_Toc31526"/>
      <w:bookmarkStart w:id="80" w:name="_Toc28621"/>
      <w:r>
        <w:rPr>
          <w:rFonts w:hint="eastAsia" w:ascii="Arial" w:hAnsi="Arial" w:eastAsia="新宋体"/>
          <w:b/>
          <w:color w:val="auto"/>
          <w:sz w:val="28"/>
          <w:highlight w:val="none"/>
        </w:rPr>
        <w:br w:type="page"/>
      </w:r>
    </w:p>
    <w:p>
      <w:pPr>
        <w:widowControl/>
        <w:wordWrap w:val="0"/>
        <w:snapToGrid w:val="0"/>
        <w:spacing w:line="460" w:lineRule="exact"/>
        <w:jc w:val="left"/>
        <w:outlineLvl w:val="0"/>
        <w:rPr>
          <w:rFonts w:hint="eastAsia" w:ascii="Arial" w:hAnsi="Arial" w:eastAsia="黑体" w:cs="Times New Roman"/>
          <w:b/>
          <w:bCs/>
          <w:color w:val="auto"/>
          <w:kern w:val="2"/>
          <w:sz w:val="32"/>
          <w:szCs w:val="32"/>
          <w:highlight w:val="none"/>
          <w:lang w:val="en-US" w:eastAsia="zh-CN" w:bidi="ar-SA"/>
        </w:rPr>
      </w:pPr>
      <w:bookmarkStart w:id="81" w:name="_Toc29406"/>
      <w:r>
        <w:rPr>
          <w:rFonts w:hint="eastAsia" w:ascii="Arial" w:hAnsi="Arial" w:eastAsia="黑体" w:cs="Times New Roman"/>
          <w:b/>
          <w:bCs/>
          <w:color w:val="auto"/>
          <w:kern w:val="2"/>
          <w:sz w:val="32"/>
          <w:szCs w:val="32"/>
          <w:highlight w:val="none"/>
          <w:lang w:val="en-US" w:eastAsia="zh-CN" w:bidi="ar-SA"/>
        </w:rPr>
        <w:t>附件7               法定代表人身份证明（格式）</w:t>
      </w:r>
      <w:bookmarkEnd w:id="79"/>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napToGrid w:val="0"/>
        <w:spacing w:line="460" w:lineRule="exact"/>
        <w:jc w:val="left"/>
        <w:outlineLvl w:val="0"/>
        <w:rPr>
          <w:rFonts w:hint="eastAsia" w:ascii="Arial" w:hAnsi="Arial" w:eastAsia="黑体" w:cs="Times New Roman"/>
          <w:b/>
          <w:bCs/>
          <w:color w:val="auto"/>
          <w:kern w:val="2"/>
          <w:sz w:val="32"/>
          <w:szCs w:val="32"/>
          <w:highlight w:val="none"/>
          <w:lang w:val="en-US" w:eastAsia="zh-CN" w:bidi="ar-SA"/>
        </w:rPr>
      </w:pPr>
      <w:bookmarkStart w:id="82" w:name="_Toc12939"/>
      <w:bookmarkStart w:id="83" w:name="_Toc13976"/>
      <w:bookmarkStart w:id="84" w:name="_Toc30519"/>
      <w:r>
        <w:rPr>
          <w:rFonts w:hint="eastAsia" w:ascii="Arial" w:hAnsi="Arial" w:eastAsia="黑体" w:cs="Times New Roman"/>
          <w:b/>
          <w:bCs/>
          <w:color w:val="auto"/>
          <w:kern w:val="2"/>
          <w:sz w:val="32"/>
          <w:szCs w:val="32"/>
          <w:highlight w:val="none"/>
          <w:lang w:val="en-US" w:eastAsia="zh-CN" w:bidi="ar-SA"/>
        </w:rPr>
        <w:t>附件8               法定代表人授权书（格式）</w:t>
      </w:r>
      <w:bookmarkEnd w:id="82"/>
      <w:bookmarkEnd w:id="83"/>
      <w:bookmarkEnd w:id="84"/>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wordWrap w:val="0"/>
        <w:snapToGrid w:val="0"/>
        <w:spacing w:line="460" w:lineRule="exact"/>
        <w:jc w:val="left"/>
        <w:outlineLvl w:val="0"/>
        <w:rPr>
          <w:rFonts w:hint="eastAsia" w:ascii="Arial" w:hAnsi="Arial" w:eastAsia="黑体" w:cs="Times New Roman"/>
          <w:b/>
          <w:bCs/>
          <w:color w:val="auto"/>
          <w:kern w:val="2"/>
          <w:sz w:val="32"/>
          <w:szCs w:val="32"/>
          <w:highlight w:val="none"/>
          <w:lang w:val="en-US" w:eastAsia="zh-CN" w:bidi="ar-SA"/>
        </w:rPr>
      </w:pPr>
      <w:bookmarkStart w:id="85" w:name="_Toc18105"/>
      <w:bookmarkStart w:id="86" w:name="_Toc24693"/>
      <w:bookmarkStart w:id="87" w:name="_Toc3342"/>
      <w:r>
        <w:rPr>
          <w:rFonts w:hint="eastAsia" w:ascii="Arial" w:hAnsi="Arial" w:eastAsia="黑体" w:cs="Times New Roman"/>
          <w:b/>
          <w:bCs/>
          <w:color w:val="auto"/>
          <w:kern w:val="2"/>
          <w:sz w:val="32"/>
          <w:szCs w:val="32"/>
          <w:highlight w:val="none"/>
          <w:lang w:val="en-US" w:eastAsia="zh-CN" w:bidi="ar-SA"/>
        </w:rPr>
        <w:t>附件9               证明文件</w:t>
      </w:r>
      <w:bookmarkEnd w:id="85"/>
      <w:bookmarkEnd w:id="86"/>
      <w:bookmarkEnd w:id="87"/>
    </w:p>
    <w:p>
      <w:pPr>
        <w:pStyle w:val="9"/>
        <w:spacing w:beforeAutospacing="0" w:afterAutospacing="0" w:line="480" w:lineRule="auto"/>
        <w:ind w:firstLine="470" w:firstLineChars="224"/>
        <w:jc w:val="both"/>
        <w:rPr>
          <w:rFonts w:hint="eastAsia"/>
          <w:bCs/>
          <w:color w:val="auto"/>
          <w:sz w:val="21"/>
          <w:szCs w:val="21"/>
          <w:highlight w:val="yellow"/>
        </w:rPr>
      </w:pPr>
      <w:r>
        <w:rPr>
          <w:rFonts w:hint="eastAsia"/>
          <w:bCs/>
          <w:color w:val="auto"/>
          <w:sz w:val="21"/>
          <w:szCs w:val="21"/>
          <w:highlight w:val="yellow"/>
        </w:rPr>
        <w:t>9.1</w:t>
      </w:r>
      <w:r>
        <w:rPr>
          <w:rFonts w:hint="eastAsia"/>
          <w:bCs/>
          <w:color w:val="auto"/>
          <w:sz w:val="21"/>
          <w:szCs w:val="21"/>
          <w:highlight w:val="yellow"/>
          <w:lang w:val="en-US" w:eastAsia="zh-CN"/>
        </w:rPr>
        <w:t xml:space="preserve"> </w:t>
      </w:r>
      <w:r>
        <w:rPr>
          <w:rFonts w:hint="eastAsia"/>
          <w:bCs/>
          <w:color w:val="auto"/>
          <w:sz w:val="21"/>
          <w:szCs w:val="21"/>
          <w:highlight w:val="yellow"/>
        </w:rPr>
        <w:t>资格审查资料</w:t>
      </w:r>
    </w:p>
    <w:p>
      <w:pPr>
        <w:pStyle w:val="9"/>
        <w:spacing w:beforeAutospacing="0" w:afterAutospacing="0" w:line="480" w:lineRule="auto"/>
        <w:ind w:firstLine="470" w:firstLineChars="224"/>
        <w:jc w:val="both"/>
        <w:rPr>
          <w:bCs/>
          <w:color w:val="auto"/>
          <w:sz w:val="21"/>
          <w:szCs w:val="21"/>
          <w:highlight w:val="yellow"/>
        </w:rPr>
      </w:pPr>
      <w:r>
        <w:rPr>
          <w:rFonts w:hint="eastAsia"/>
          <w:bCs/>
          <w:color w:val="auto"/>
          <w:sz w:val="21"/>
          <w:szCs w:val="21"/>
          <w:highlight w:val="yellow"/>
          <w:lang w:val="en-US" w:eastAsia="zh-CN"/>
        </w:rPr>
        <w:t>9.2产品技术参数支持资料</w:t>
      </w:r>
    </w:p>
    <w:p>
      <w:pPr>
        <w:pStyle w:val="9"/>
        <w:spacing w:beforeAutospacing="0" w:afterAutospacing="0" w:line="480" w:lineRule="auto"/>
        <w:ind w:firstLine="470" w:firstLineChars="224"/>
        <w:jc w:val="both"/>
        <w:rPr>
          <w:rFonts w:hint="eastAsia"/>
          <w:bCs/>
          <w:color w:val="auto"/>
          <w:sz w:val="21"/>
          <w:szCs w:val="21"/>
          <w:highlight w:val="yellow"/>
          <w:lang w:val="en-US" w:eastAsia="zh-CN"/>
        </w:rPr>
      </w:pPr>
      <w:r>
        <w:rPr>
          <w:rFonts w:hint="eastAsia"/>
          <w:bCs/>
          <w:color w:val="auto"/>
          <w:sz w:val="21"/>
          <w:szCs w:val="21"/>
          <w:highlight w:val="yellow"/>
        </w:rPr>
        <w:t>9.3</w:t>
      </w:r>
      <w:r>
        <w:rPr>
          <w:rFonts w:hint="eastAsia"/>
          <w:bCs/>
          <w:color w:val="auto"/>
          <w:sz w:val="21"/>
          <w:szCs w:val="21"/>
          <w:highlight w:val="yellow"/>
          <w:lang w:val="en-US" w:eastAsia="zh-CN"/>
        </w:rPr>
        <w:t xml:space="preserve"> 评分标准中需提供的证明材料</w:t>
      </w:r>
    </w:p>
    <w:p>
      <w:pPr>
        <w:pStyle w:val="9"/>
        <w:spacing w:beforeAutospacing="0" w:afterAutospacing="0" w:line="480" w:lineRule="auto"/>
        <w:ind w:firstLine="470" w:firstLineChars="224"/>
        <w:jc w:val="both"/>
        <w:rPr>
          <w:bCs/>
          <w:color w:val="auto"/>
          <w:sz w:val="21"/>
          <w:szCs w:val="21"/>
          <w:highlight w:val="yellow"/>
        </w:rPr>
      </w:pPr>
      <w:r>
        <w:rPr>
          <w:rFonts w:hint="eastAsia"/>
          <w:bCs/>
          <w:color w:val="auto"/>
          <w:sz w:val="21"/>
          <w:szCs w:val="21"/>
          <w:highlight w:val="yellow"/>
        </w:rPr>
        <w:t>9.</w:t>
      </w:r>
      <w:r>
        <w:rPr>
          <w:rFonts w:hint="eastAsia"/>
          <w:bCs/>
          <w:color w:val="auto"/>
          <w:sz w:val="21"/>
          <w:szCs w:val="21"/>
          <w:highlight w:val="yellow"/>
          <w:lang w:val="en-US" w:eastAsia="zh-CN"/>
        </w:rPr>
        <w:t>4 供应商认为其他需要提供的证明材料</w:t>
      </w:r>
      <w:r>
        <w:rPr>
          <w:rFonts w:hint="eastAsia"/>
          <w:bCs/>
          <w:color w:val="auto"/>
          <w:sz w:val="21"/>
          <w:szCs w:val="21"/>
          <w:highlight w:val="yellow"/>
        </w:rPr>
        <w:t>。</w:t>
      </w:r>
    </w:p>
    <w:p>
      <w:pPr>
        <w:pStyle w:val="9"/>
        <w:spacing w:beforeAutospacing="0" w:afterAutospacing="0" w:line="480" w:lineRule="auto"/>
        <w:ind w:firstLine="540" w:firstLineChars="224"/>
        <w:jc w:val="both"/>
        <w:rPr>
          <w:b/>
          <w:bCs/>
          <w:color w:val="auto"/>
          <w:highlight w:val="none"/>
        </w:rPr>
      </w:pPr>
      <w:bookmarkStart w:id="88" w:name="_Toc17966"/>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wordWrap w:val="0"/>
        <w:snapToGrid w:val="0"/>
        <w:spacing w:line="460" w:lineRule="exact"/>
        <w:jc w:val="left"/>
        <w:outlineLvl w:val="0"/>
        <w:rPr>
          <w:rFonts w:hint="eastAsia" w:ascii="Arial" w:hAnsi="Arial" w:eastAsia="黑体" w:cs="Times New Roman"/>
          <w:b/>
          <w:bCs/>
          <w:color w:val="auto"/>
          <w:kern w:val="2"/>
          <w:sz w:val="32"/>
          <w:szCs w:val="32"/>
          <w:highlight w:val="none"/>
          <w:lang w:val="en-US" w:eastAsia="zh-CN" w:bidi="ar-SA"/>
        </w:rPr>
      </w:pPr>
      <w:bookmarkStart w:id="89" w:name="_Toc16083"/>
      <w:bookmarkStart w:id="90" w:name="_Toc13726"/>
      <w:bookmarkStart w:id="91" w:name="_Toc12888"/>
      <w:r>
        <w:rPr>
          <w:rFonts w:hint="eastAsia" w:ascii="Arial" w:hAnsi="Arial" w:eastAsia="黑体" w:cs="Times New Roman"/>
          <w:b/>
          <w:bCs/>
          <w:color w:val="auto"/>
          <w:kern w:val="2"/>
          <w:sz w:val="32"/>
          <w:szCs w:val="32"/>
          <w:highlight w:val="none"/>
          <w:lang w:val="en-US" w:eastAsia="zh-CN" w:bidi="ar-SA"/>
        </w:rPr>
        <w:t xml:space="preserve">附件10        </w:t>
      </w:r>
      <w:bookmarkEnd w:id="88"/>
      <w:r>
        <w:rPr>
          <w:rFonts w:hint="eastAsia" w:ascii="Arial" w:hAnsi="Arial" w:eastAsia="黑体" w:cs="Times New Roman"/>
          <w:b/>
          <w:bCs/>
          <w:color w:val="auto"/>
          <w:kern w:val="2"/>
          <w:sz w:val="32"/>
          <w:szCs w:val="32"/>
          <w:highlight w:val="none"/>
          <w:lang w:val="en-US" w:eastAsia="zh-CN" w:bidi="ar-SA"/>
        </w:rPr>
        <w:t>供 应 商 承 诺 书 （格式）</w:t>
      </w:r>
      <w:bookmarkEnd w:id="89"/>
      <w:bookmarkEnd w:id="90"/>
      <w:bookmarkEnd w:id="91"/>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pStyle w:val="29"/>
        <w:rPr>
          <w:rFonts w:ascii="宋体" w:hAnsi="宋体" w:cs="宋体"/>
          <w:color w:val="auto"/>
          <w:kern w:val="0"/>
          <w:szCs w:val="21"/>
          <w:highlight w:val="none"/>
        </w:rPr>
      </w:pPr>
    </w:p>
    <w:p>
      <w:pPr>
        <w:pStyle w:val="30"/>
        <w:rPr>
          <w:rFonts w:ascii="宋体" w:hAnsi="宋体" w:cs="宋体"/>
          <w:color w:val="auto"/>
          <w:kern w:val="0"/>
          <w:szCs w:val="21"/>
          <w:highlight w:val="none"/>
        </w:rPr>
      </w:pPr>
    </w:p>
    <w:p>
      <w:pPr>
        <w:widowControl/>
        <w:wordWrap w:val="0"/>
        <w:snapToGrid w:val="0"/>
        <w:spacing w:line="460" w:lineRule="exact"/>
        <w:jc w:val="left"/>
        <w:outlineLvl w:val="0"/>
        <w:rPr>
          <w:rFonts w:hint="eastAsia" w:ascii="Arial" w:hAnsi="Arial" w:eastAsia="黑体" w:cs="Times New Roman"/>
          <w:b/>
          <w:bCs/>
          <w:color w:val="auto"/>
          <w:kern w:val="2"/>
          <w:sz w:val="32"/>
          <w:szCs w:val="32"/>
          <w:highlight w:val="none"/>
          <w:lang w:val="en-US" w:eastAsia="zh-CN" w:bidi="ar-SA"/>
        </w:rPr>
      </w:pPr>
      <w:r>
        <w:rPr>
          <w:rFonts w:hint="eastAsia" w:ascii="Arial" w:hAnsi="Arial" w:eastAsia="黑体" w:cs="Times New Roman"/>
          <w:b/>
          <w:bCs/>
          <w:color w:val="auto"/>
          <w:kern w:val="2"/>
          <w:sz w:val="32"/>
          <w:szCs w:val="32"/>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（四）有依法缴纳税收和社会保障资金的良好</w:t>
      </w:r>
      <w:r>
        <w:rPr>
          <w:rFonts w:hint="eastAsia" w:ascii="宋体" w:hAnsi="宋体" w:eastAsia="宋体" w:cs="宋体"/>
          <w:sz w:val="21"/>
          <w:szCs w:val="21"/>
          <w:lang w:val="en-US" w:eastAsia="zh-CN"/>
        </w:rPr>
        <w:t>记录；</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2.供应商的法定代表人或者授权代表的签字或盖章应真实、有效，如由授权代表签字或盖章的，应提供“法定代表人授权书”。</w:t>
      </w:r>
    </w:p>
    <w:p>
      <w:pPr>
        <w:pStyle w:val="9"/>
        <w:spacing w:beforeAutospacing="0" w:afterAutospacing="0" w:line="460" w:lineRule="atLeast"/>
        <w:jc w:val="both"/>
        <w:rPr>
          <w:b/>
          <w:bCs/>
          <w:color w:val="auto"/>
          <w:sz w:val="28"/>
          <w:szCs w:val="28"/>
          <w:highlight w:val="none"/>
        </w:rPr>
      </w:pPr>
    </w:p>
    <w:sectPr>
      <w:footerReference r:id="rId5"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rPr>
        <w:rFonts w:hint="eastAsia" w:ascii="宋体" w:hAnsi="宋体" w:cs="宋体"/>
        <w:color w:val="auto"/>
        <w:szCs w:val="21"/>
        <w:highlight w:val="none"/>
        <w:shd w:val="clear" w:color="auto" w:fill="FFFFFF"/>
        <w:lang w:val="en-US" w:eastAsia="zh-CN"/>
      </w:rPr>
      <w:t>驻马店市中心医院移液器采购项目（二次）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0BD37CD5"/>
    <w:multiLevelType w:val="singleLevel"/>
    <w:tmpl w:val="0BD37CD5"/>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D715BE"/>
    <w:rsid w:val="01EB45BC"/>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844805"/>
    <w:rsid w:val="03845791"/>
    <w:rsid w:val="03A011E9"/>
    <w:rsid w:val="03AE7F27"/>
    <w:rsid w:val="03BD2BCD"/>
    <w:rsid w:val="03CC058D"/>
    <w:rsid w:val="03E017D2"/>
    <w:rsid w:val="03F447E2"/>
    <w:rsid w:val="03F77068"/>
    <w:rsid w:val="03FB660C"/>
    <w:rsid w:val="04416C20"/>
    <w:rsid w:val="047968B1"/>
    <w:rsid w:val="04870542"/>
    <w:rsid w:val="04B30F7A"/>
    <w:rsid w:val="050E236F"/>
    <w:rsid w:val="054C0111"/>
    <w:rsid w:val="05545DD3"/>
    <w:rsid w:val="056E2AD6"/>
    <w:rsid w:val="05806815"/>
    <w:rsid w:val="058251D3"/>
    <w:rsid w:val="058C28F1"/>
    <w:rsid w:val="05945CCE"/>
    <w:rsid w:val="059D05A4"/>
    <w:rsid w:val="059D5E17"/>
    <w:rsid w:val="05AB0A28"/>
    <w:rsid w:val="05AB0F81"/>
    <w:rsid w:val="05B93D6B"/>
    <w:rsid w:val="05C23EEE"/>
    <w:rsid w:val="05D53002"/>
    <w:rsid w:val="05D75738"/>
    <w:rsid w:val="05EB110D"/>
    <w:rsid w:val="05F17CC7"/>
    <w:rsid w:val="061E7D14"/>
    <w:rsid w:val="06446B44"/>
    <w:rsid w:val="06560AED"/>
    <w:rsid w:val="066469C9"/>
    <w:rsid w:val="066646A1"/>
    <w:rsid w:val="068106E1"/>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8E18EB"/>
    <w:rsid w:val="07B10EA5"/>
    <w:rsid w:val="07CE3FA1"/>
    <w:rsid w:val="07EC2ECB"/>
    <w:rsid w:val="07FE66CB"/>
    <w:rsid w:val="080B4D47"/>
    <w:rsid w:val="08321601"/>
    <w:rsid w:val="08326375"/>
    <w:rsid w:val="083D5C91"/>
    <w:rsid w:val="0847191F"/>
    <w:rsid w:val="08591DC3"/>
    <w:rsid w:val="08672793"/>
    <w:rsid w:val="08695E80"/>
    <w:rsid w:val="087C4541"/>
    <w:rsid w:val="087E5595"/>
    <w:rsid w:val="08BA15F2"/>
    <w:rsid w:val="08BC0A60"/>
    <w:rsid w:val="08C52D6F"/>
    <w:rsid w:val="08EF0201"/>
    <w:rsid w:val="08F41DE8"/>
    <w:rsid w:val="094840A2"/>
    <w:rsid w:val="09737462"/>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3B7D65"/>
    <w:rsid w:val="0B434C20"/>
    <w:rsid w:val="0B5F0822"/>
    <w:rsid w:val="0B637D77"/>
    <w:rsid w:val="0B7006C4"/>
    <w:rsid w:val="0B726646"/>
    <w:rsid w:val="0B7606E8"/>
    <w:rsid w:val="0B891562"/>
    <w:rsid w:val="0BAC324F"/>
    <w:rsid w:val="0BC11EE9"/>
    <w:rsid w:val="0BE72E0F"/>
    <w:rsid w:val="0BF16C73"/>
    <w:rsid w:val="0BF72F1E"/>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735465"/>
    <w:rsid w:val="0DC577E0"/>
    <w:rsid w:val="0DDC6319"/>
    <w:rsid w:val="0DFE4F67"/>
    <w:rsid w:val="0E0C0D4C"/>
    <w:rsid w:val="0E115DA1"/>
    <w:rsid w:val="0E162D6D"/>
    <w:rsid w:val="0E541CA2"/>
    <w:rsid w:val="0E594756"/>
    <w:rsid w:val="0E904057"/>
    <w:rsid w:val="0E95596D"/>
    <w:rsid w:val="0EAE6205"/>
    <w:rsid w:val="0EAE6579"/>
    <w:rsid w:val="0EAF71BF"/>
    <w:rsid w:val="0ECE6257"/>
    <w:rsid w:val="0EE4129D"/>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209AC"/>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493108"/>
    <w:rsid w:val="134A4EBA"/>
    <w:rsid w:val="13733928"/>
    <w:rsid w:val="13857CA0"/>
    <w:rsid w:val="13920D68"/>
    <w:rsid w:val="139C16C9"/>
    <w:rsid w:val="13A5238E"/>
    <w:rsid w:val="13B63CE1"/>
    <w:rsid w:val="13BC6684"/>
    <w:rsid w:val="13C72B3A"/>
    <w:rsid w:val="13DF575E"/>
    <w:rsid w:val="13E470BD"/>
    <w:rsid w:val="13EE3A98"/>
    <w:rsid w:val="13F3280A"/>
    <w:rsid w:val="142123F7"/>
    <w:rsid w:val="142A11D8"/>
    <w:rsid w:val="144B544C"/>
    <w:rsid w:val="145B7B45"/>
    <w:rsid w:val="14717443"/>
    <w:rsid w:val="148D52E3"/>
    <w:rsid w:val="14992B90"/>
    <w:rsid w:val="14AF1856"/>
    <w:rsid w:val="14AF19A3"/>
    <w:rsid w:val="14B53957"/>
    <w:rsid w:val="14C53ECE"/>
    <w:rsid w:val="14CF6CB0"/>
    <w:rsid w:val="14DC5FE6"/>
    <w:rsid w:val="14E002E6"/>
    <w:rsid w:val="14FA5832"/>
    <w:rsid w:val="14FC36BD"/>
    <w:rsid w:val="14FF5EA7"/>
    <w:rsid w:val="151E3A0F"/>
    <w:rsid w:val="152534E9"/>
    <w:rsid w:val="153A36AA"/>
    <w:rsid w:val="15477903"/>
    <w:rsid w:val="1557566D"/>
    <w:rsid w:val="15811F1B"/>
    <w:rsid w:val="15A30135"/>
    <w:rsid w:val="15A34015"/>
    <w:rsid w:val="15BB487B"/>
    <w:rsid w:val="15CE086D"/>
    <w:rsid w:val="15E2236F"/>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793FC0"/>
    <w:rsid w:val="179F2E61"/>
    <w:rsid w:val="17BE19D3"/>
    <w:rsid w:val="17C227C0"/>
    <w:rsid w:val="17D66D7C"/>
    <w:rsid w:val="17EE5BFF"/>
    <w:rsid w:val="18097740"/>
    <w:rsid w:val="180B1639"/>
    <w:rsid w:val="184055B9"/>
    <w:rsid w:val="184A2082"/>
    <w:rsid w:val="185D3C42"/>
    <w:rsid w:val="185F38AF"/>
    <w:rsid w:val="188F0211"/>
    <w:rsid w:val="18AD1BEB"/>
    <w:rsid w:val="18B3004A"/>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8C18B7"/>
    <w:rsid w:val="1BB73AE1"/>
    <w:rsid w:val="1BDA6D68"/>
    <w:rsid w:val="1BF14125"/>
    <w:rsid w:val="1C555978"/>
    <w:rsid w:val="1C6554A1"/>
    <w:rsid w:val="1C7971B7"/>
    <w:rsid w:val="1C917D91"/>
    <w:rsid w:val="1CAB2820"/>
    <w:rsid w:val="1CD402EC"/>
    <w:rsid w:val="1CED16EF"/>
    <w:rsid w:val="1CF02333"/>
    <w:rsid w:val="1D0C33A2"/>
    <w:rsid w:val="1D113E6E"/>
    <w:rsid w:val="1D114E5E"/>
    <w:rsid w:val="1D1F0050"/>
    <w:rsid w:val="1D2222DC"/>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7369C7"/>
    <w:rsid w:val="1F94547B"/>
    <w:rsid w:val="1FAF308C"/>
    <w:rsid w:val="1FB64FF9"/>
    <w:rsid w:val="1FC11109"/>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9263AA"/>
    <w:rsid w:val="219E5782"/>
    <w:rsid w:val="21D10545"/>
    <w:rsid w:val="21E72B0B"/>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D4764B"/>
    <w:rsid w:val="23EC3718"/>
    <w:rsid w:val="24044EF2"/>
    <w:rsid w:val="2407139D"/>
    <w:rsid w:val="240B04F4"/>
    <w:rsid w:val="24252B59"/>
    <w:rsid w:val="242A0646"/>
    <w:rsid w:val="2435301D"/>
    <w:rsid w:val="243A0633"/>
    <w:rsid w:val="243D6E1A"/>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61879A7"/>
    <w:rsid w:val="261A071C"/>
    <w:rsid w:val="264B0BA4"/>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3C23DF"/>
    <w:rsid w:val="283D69F1"/>
    <w:rsid w:val="284C16F5"/>
    <w:rsid w:val="28570AB5"/>
    <w:rsid w:val="285F2CDC"/>
    <w:rsid w:val="28622C36"/>
    <w:rsid w:val="289E7E22"/>
    <w:rsid w:val="28C2534B"/>
    <w:rsid w:val="28C5525A"/>
    <w:rsid w:val="28D14B96"/>
    <w:rsid w:val="29020C46"/>
    <w:rsid w:val="290240C7"/>
    <w:rsid w:val="291713AF"/>
    <w:rsid w:val="291A2B97"/>
    <w:rsid w:val="29272553"/>
    <w:rsid w:val="29274EE0"/>
    <w:rsid w:val="295029E3"/>
    <w:rsid w:val="29543A59"/>
    <w:rsid w:val="2969197F"/>
    <w:rsid w:val="29746E87"/>
    <w:rsid w:val="297C03C2"/>
    <w:rsid w:val="299573AB"/>
    <w:rsid w:val="29BE5BD0"/>
    <w:rsid w:val="29C01572"/>
    <w:rsid w:val="29CA4207"/>
    <w:rsid w:val="29E74CE2"/>
    <w:rsid w:val="2A241B69"/>
    <w:rsid w:val="2A306A36"/>
    <w:rsid w:val="2A5372C6"/>
    <w:rsid w:val="2A5B03D8"/>
    <w:rsid w:val="2A6F6D07"/>
    <w:rsid w:val="2A882500"/>
    <w:rsid w:val="2AA35184"/>
    <w:rsid w:val="2AAB4E76"/>
    <w:rsid w:val="2AB63ABC"/>
    <w:rsid w:val="2AB63D0A"/>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F16074"/>
    <w:rsid w:val="2CF81D1B"/>
    <w:rsid w:val="2D3F2453"/>
    <w:rsid w:val="2D835174"/>
    <w:rsid w:val="2D9331F9"/>
    <w:rsid w:val="2DD90B7B"/>
    <w:rsid w:val="2DDD3FC1"/>
    <w:rsid w:val="2DF701D8"/>
    <w:rsid w:val="2DF970A1"/>
    <w:rsid w:val="2E085834"/>
    <w:rsid w:val="2E1034F8"/>
    <w:rsid w:val="2E120D8E"/>
    <w:rsid w:val="2E271F44"/>
    <w:rsid w:val="2E443652"/>
    <w:rsid w:val="2E505773"/>
    <w:rsid w:val="2E742F70"/>
    <w:rsid w:val="2E9A689E"/>
    <w:rsid w:val="2EBA4ACA"/>
    <w:rsid w:val="2EDC2A13"/>
    <w:rsid w:val="2EFD7DB9"/>
    <w:rsid w:val="2F1A081D"/>
    <w:rsid w:val="2F1C72B3"/>
    <w:rsid w:val="2F1E3DC0"/>
    <w:rsid w:val="2F2D326E"/>
    <w:rsid w:val="2F3112DE"/>
    <w:rsid w:val="2F3B6922"/>
    <w:rsid w:val="2F3D7B25"/>
    <w:rsid w:val="2F506C6D"/>
    <w:rsid w:val="2F512253"/>
    <w:rsid w:val="2F51291F"/>
    <w:rsid w:val="2F55758A"/>
    <w:rsid w:val="2F7F15AE"/>
    <w:rsid w:val="2FA54796"/>
    <w:rsid w:val="2FA674E2"/>
    <w:rsid w:val="2FFE7D49"/>
    <w:rsid w:val="3002294D"/>
    <w:rsid w:val="3011153D"/>
    <w:rsid w:val="30142680"/>
    <w:rsid w:val="302A11B1"/>
    <w:rsid w:val="302A5C42"/>
    <w:rsid w:val="30662043"/>
    <w:rsid w:val="307A26B9"/>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2176602"/>
    <w:rsid w:val="322A7699"/>
    <w:rsid w:val="322B25C6"/>
    <w:rsid w:val="32422E70"/>
    <w:rsid w:val="325E56C6"/>
    <w:rsid w:val="3275698A"/>
    <w:rsid w:val="32A93829"/>
    <w:rsid w:val="32B943EC"/>
    <w:rsid w:val="32DC63A0"/>
    <w:rsid w:val="32E429C1"/>
    <w:rsid w:val="32F31695"/>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D373F"/>
    <w:rsid w:val="34922A93"/>
    <w:rsid w:val="34956481"/>
    <w:rsid w:val="34A35871"/>
    <w:rsid w:val="34C06C9D"/>
    <w:rsid w:val="34DF24AE"/>
    <w:rsid w:val="351C4931"/>
    <w:rsid w:val="351C4EAC"/>
    <w:rsid w:val="351D4C26"/>
    <w:rsid w:val="352E7D40"/>
    <w:rsid w:val="35361A77"/>
    <w:rsid w:val="35461A22"/>
    <w:rsid w:val="35483CC9"/>
    <w:rsid w:val="35A815CB"/>
    <w:rsid w:val="35A85BD0"/>
    <w:rsid w:val="35AA1B9C"/>
    <w:rsid w:val="35DB09A6"/>
    <w:rsid w:val="35F806FF"/>
    <w:rsid w:val="36080591"/>
    <w:rsid w:val="3609472F"/>
    <w:rsid w:val="369B4CF0"/>
    <w:rsid w:val="36D62629"/>
    <w:rsid w:val="36D76172"/>
    <w:rsid w:val="36D84407"/>
    <w:rsid w:val="36E833BB"/>
    <w:rsid w:val="36EB1E1B"/>
    <w:rsid w:val="36F17F0D"/>
    <w:rsid w:val="37224581"/>
    <w:rsid w:val="3735197D"/>
    <w:rsid w:val="373756A2"/>
    <w:rsid w:val="375E0DA6"/>
    <w:rsid w:val="378B61A6"/>
    <w:rsid w:val="37B90F0B"/>
    <w:rsid w:val="37CD3F98"/>
    <w:rsid w:val="37DF75BA"/>
    <w:rsid w:val="37E148E2"/>
    <w:rsid w:val="37F848EE"/>
    <w:rsid w:val="37F912FC"/>
    <w:rsid w:val="37FE6129"/>
    <w:rsid w:val="38304889"/>
    <w:rsid w:val="38382675"/>
    <w:rsid w:val="383B7B0D"/>
    <w:rsid w:val="3848553B"/>
    <w:rsid w:val="3851700B"/>
    <w:rsid w:val="385246B6"/>
    <w:rsid w:val="3876113B"/>
    <w:rsid w:val="38A53DB7"/>
    <w:rsid w:val="38BF3388"/>
    <w:rsid w:val="38CC268D"/>
    <w:rsid w:val="38DF1FDA"/>
    <w:rsid w:val="38EC2960"/>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C5B77"/>
    <w:rsid w:val="3B3D0FF2"/>
    <w:rsid w:val="3B521A18"/>
    <w:rsid w:val="3B8D2B96"/>
    <w:rsid w:val="3B923660"/>
    <w:rsid w:val="3BCA44BE"/>
    <w:rsid w:val="3C061F3A"/>
    <w:rsid w:val="3C0A04F9"/>
    <w:rsid w:val="3C495480"/>
    <w:rsid w:val="3C4C3A42"/>
    <w:rsid w:val="3C6F0167"/>
    <w:rsid w:val="3C71667B"/>
    <w:rsid w:val="3C914F3B"/>
    <w:rsid w:val="3CA91955"/>
    <w:rsid w:val="3CC17F13"/>
    <w:rsid w:val="3CD50B40"/>
    <w:rsid w:val="3CE320A3"/>
    <w:rsid w:val="3CE9196C"/>
    <w:rsid w:val="3CF15105"/>
    <w:rsid w:val="3D0C04B9"/>
    <w:rsid w:val="3D1414C5"/>
    <w:rsid w:val="3D1C763E"/>
    <w:rsid w:val="3D201AA5"/>
    <w:rsid w:val="3D2B37EA"/>
    <w:rsid w:val="3D2F7FF3"/>
    <w:rsid w:val="3D3D1507"/>
    <w:rsid w:val="3D62085B"/>
    <w:rsid w:val="3D7B4622"/>
    <w:rsid w:val="3D8E5820"/>
    <w:rsid w:val="3D942E29"/>
    <w:rsid w:val="3DA53531"/>
    <w:rsid w:val="3DB54E0C"/>
    <w:rsid w:val="3DB900C1"/>
    <w:rsid w:val="3DE91725"/>
    <w:rsid w:val="3DF159B1"/>
    <w:rsid w:val="3E1A106E"/>
    <w:rsid w:val="3E36303B"/>
    <w:rsid w:val="3E526044"/>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91379"/>
    <w:rsid w:val="409B3C3D"/>
    <w:rsid w:val="40F701DF"/>
    <w:rsid w:val="40FD480A"/>
    <w:rsid w:val="412A32F8"/>
    <w:rsid w:val="417F433E"/>
    <w:rsid w:val="419C4043"/>
    <w:rsid w:val="41B7239D"/>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591DDA"/>
    <w:rsid w:val="435A0DF2"/>
    <w:rsid w:val="436C42E1"/>
    <w:rsid w:val="437C210F"/>
    <w:rsid w:val="43841EFF"/>
    <w:rsid w:val="43847F02"/>
    <w:rsid w:val="438F113C"/>
    <w:rsid w:val="439E7EFB"/>
    <w:rsid w:val="43B1568A"/>
    <w:rsid w:val="43B64E08"/>
    <w:rsid w:val="43BD7F58"/>
    <w:rsid w:val="43D43ECA"/>
    <w:rsid w:val="43DD452F"/>
    <w:rsid w:val="43DE6CD4"/>
    <w:rsid w:val="43E51150"/>
    <w:rsid w:val="43EF28BB"/>
    <w:rsid w:val="43EF56D3"/>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4F1836"/>
    <w:rsid w:val="45701CAF"/>
    <w:rsid w:val="45887B45"/>
    <w:rsid w:val="458B66DF"/>
    <w:rsid w:val="45940F0E"/>
    <w:rsid w:val="45AC5DBA"/>
    <w:rsid w:val="45C02C36"/>
    <w:rsid w:val="45C647AF"/>
    <w:rsid w:val="45DD529D"/>
    <w:rsid w:val="45E57886"/>
    <w:rsid w:val="45E945CC"/>
    <w:rsid w:val="46003076"/>
    <w:rsid w:val="46026F63"/>
    <w:rsid w:val="46177E29"/>
    <w:rsid w:val="46205B7F"/>
    <w:rsid w:val="465D501C"/>
    <w:rsid w:val="466367DB"/>
    <w:rsid w:val="46686D18"/>
    <w:rsid w:val="46BF7E28"/>
    <w:rsid w:val="46C3037C"/>
    <w:rsid w:val="46FF15E0"/>
    <w:rsid w:val="4700581C"/>
    <w:rsid w:val="4702516A"/>
    <w:rsid w:val="474A4B33"/>
    <w:rsid w:val="47665A15"/>
    <w:rsid w:val="47677941"/>
    <w:rsid w:val="477F1660"/>
    <w:rsid w:val="4788232A"/>
    <w:rsid w:val="478B0398"/>
    <w:rsid w:val="478F5D0B"/>
    <w:rsid w:val="47A31F5F"/>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6733D"/>
    <w:rsid w:val="4B0B7979"/>
    <w:rsid w:val="4B1530DD"/>
    <w:rsid w:val="4B520DF4"/>
    <w:rsid w:val="4B603107"/>
    <w:rsid w:val="4B9802B0"/>
    <w:rsid w:val="4B9E65BE"/>
    <w:rsid w:val="4B9F33A8"/>
    <w:rsid w:val="4BA80AFD"/>
    <w:rsid w:val="4BB033BA"/>
    <w:rsid w:val="4BB469AD"/>
    <w:rsid w:val="4BC06040"/>
    <w:rsid w:val="4BF441D2"/>
    <w:rsid w:val="4C15535E"/>
    <w:rsid w:val="4C1C2A09"/>
    <w:rsid w:val="4C423098"/>
    <w:rsid w:val="4C694192"/>
    <w:rsid w:val="4C7964D9"/>
    <w:rsid w:val="4C9269F6"/>
    <w:rsid w:val="4CC84335"/>
    <w:rsid w:val="4CDF1BF4"/>
    <w:rsid w:val="4CE9350A"/>
    <w:rsid w:val="4D225F85"/>
    <w:rsid w:val="4D297BF3"/>
    <w:rsid w:val="4D2D0EAF"/>
    <w:rsid w:val="4D7F0082"/>
    <w:rsid w:val="4D952FD9"/>
    <w:rsid w:val="4D970662"/>
    <w:rsid w:val="4DB33393"/>
    <w:rsid w:val="4DBC3CE3"/>
    <w:rsid w:val="4DCF1E0D"/>
    <w:rsid w:val="4DD632D9"/>
    <w:rsid w:val="4DE05D9E"/>
    <w:rsid w:val="4DE05DF9"/>
    <w:rsid w:val="4DE44800"/>
    <w:rsid w:val="4DEE0709"/>
    <w:rsid w:val="4DFC14EA"/>
    <w:rsid w:val="4DFF6815"/>
    <w:rsid w:val="4E0A3427"/>
    <w:rsid w:val="4E287F63"/>
    <w:rsid w:val="4E304B5D"/>
    <w:rsid w:val="4E611B8B"/>
    <w:rsid w:val="4E6279D7"/>
    <w:rsid w:val="4E682F8C"/>
    <w:rsid w:val="4E6A7BB7"/>
    <w:rsid w:val="4EB23220"/>
    <w:rsid w:val="4F0773B4"/>
    <w:rsid w:val="4F307BB1"/>
    <w:rsid w:val="4F3D562D"/>
    <w:rsid w:val="4F5C4EE0"/>
    <w:rsid w:val="4F6E1972"/>
    <w:rsid w:val="4F943166"/>
    <w:rsid w:val="4FBA02A1"/>
    <w:rsid w:val="4FE7106E"/>
    <w:rsid w:val="50053943"/>
    <w:rsid w:val="50374A3C"/>
    <w:rsid w:val="50550E55"/>
    <w:rsid w:val="50901457"/>
    <w:rsid w:val="509F43E4"/>
    <w:rsid w:val="50A54D3E"/>
    <w:rsid w:val="50AA7B60"/>
    <w:rsid w:val="50B82E88"/>
    <w:rsid w:val="50BB32A7"/>
    <w:rsid w:val="50C210CB"/>
    <w:rsid w:val="50F1402B"/>
    <w:rsid w:val="50FD2AD9"/>
    <w:rsid w:val="51081E85"/>
    <w:rsid w:val="51097D9A"/>
    <w:rsid w:val="51237D2E"/>
    <w:rsid w:val="515B06D0"/>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30B071F"/>
    <w:rsid w:val="531A330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D578AD"/>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377AC0"/>
    <w:rsid w:val="59561946"/>
    <w:rsid w:val="59670F51"/>
    <w:rsid w:val="596A44F9"/>
    <w:rsid w:val="596C19BB"/>
    <w:rsid w:val="59790BDB"/>
    <w:rsid w:val="597E3F42"/>
    <w:rsid w:val="598653AC"/>
    <w:rsid w:val="59AC3C8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9A2B59"/>
    <w:rsid w:val="5BAB12BF"/>
    <w:rsid w:val="5BC0085A"/>
    <w:rsid w:val="5BE03293"/>
    <w:rsid w:val="5BF03D58"/>
    <w:rsid w:val="5BF20AFB"/>
    <w:rsid w:val="5C1A6BB2"/>
    <w:rsid w:val="5C37233A"/>
    <w:rsid w:val="5C5355FE"/>
    <w:rsid w:val="5C6F4105"/>
    <w:rsid w:val="5CBB7F6F"/>
    <w:rsid w:val="5CC248CE"/>
    <w:rsid w:val="5D042FB1"/>
    <w:rsid w:val="5D442CB4"/>
    <w:rsid w:val="5D7C3F11"/>
    <w:rsid w:val="5D9D49E0"/>
    <w:rsid w:val="5DDF1821"/>
    <w:rsid w:val="5DE2656A"/>
    <w:rsid w:val="5DEA2F91"/>
    <w:rsid w:val="5DF94AE0"/>
    <w:rsid w:val="5DFA5883"/>
    <w:rsid w:val="5E3146A3"/>
    <w:rsid w:val="5E442F62"/>
    <w:rsid w:val="5E6C2C5B"/>
    <w:rsid w:val="5E6E2DD8"/>
    <w:rsid w:val="5E7251A2"/>
    <w:rsid w:val="5E7C3591"/>
    <w:rsid w:val="5E9D0E18"/>
    <w:rsid w:val="5EA341D7"/>
    <w:rsid w:val="5EA755DE"/>
    <w:rsid w:val="5ED35F0E"/>
    <w:rsid w:val="5EDF7832"/>
    <w:rsid w:val="5EFC1390"/>
    <w:rsid w:val="5EFC3EB6"/>
    <w:rsid w:val="5F03335D"/>
    <w:rsid w:val="5F0368C7"/>
    <w:rsid w:val="5F1544E7"/>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3021B3"/>
    <w:rsid w:val="61306A6A"/>
    <w:rsid w:val="613253FD"/>
    <w:rsid w:val="61421F29"/>
    <w:rsid w:val="61712185"/>
    <w:rsid w:val="618B7207"/>
    <w:rsid w:val="61A90D68"/>
    <w:rsid w:val="62065A1D"/>
    <w:rsid w:val="621775E2"/>
    <w:rsid w:val="622F7552"/>
    <w:rsid w:val="6250406E"/>
    <w:rsid w:val="627D6831"/>
    <w:rsid w:val="62811B1C"/>
    <w:rsid w:val="62A20409"/>
    <w:rsid w:val="62B54B44"/>
    <w:rsid w:val="62E045DA"/>
    <w:rsid w:val="62E454A1"/>
    <w:rsid w:val="62F36E4C"/>
    <w:rsid w:val="62F47F8F"/>
    <w:rsid w:val="62F7233F"/>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DB53E7"/>
    <w:rsid w:val="68F25680"/>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514CB6"/>
    <w:rsid w:val="6A7903E5"/>
    <w:rsid w:val="6A8219B9"/>
    <w:rsid w:val="6AA03032"/>
    <w:rsid w:val="6AA86FEC"/>
    <w:rsid w:val="6ACB20F7"/>
    <w:rsid w:val="6ADA6AC4"/>
    <w:rsid w:val="6ADB11D6"/>
    <w:rsid w:val="6B1A2C3C"/>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E70FA1"/>
    <w:rsid w:val="6CFA6351"/>
    <w:rsid w:val="6CFC3C40"/>
    <w:rsid w:val="6D480984"/>
    <w:rsid w:val="6DB13E57"/>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F2B23"/>
    <w:rsid w:val="70D70CB1"/>
    <w:rsid w:val="70FC2E9F"/>
    <w:rsid w:val="710952C1"/>
    <w:rsid w:val="71452CD8"/>
    <w:rsid w:val="7158683A"/>
    <w:rsid w:val="715B2F52"/>
    <w:rsid w:val="7167680B"/>
    <w:rsid w:val="71764F23"/>
    <w:rsid w:val="71946576"/>
    <w:rsid w:val="71967E84"/>
    <w:rsid w:val="71A61873"/>
    <w:rsid w:val="71AF4936"/>
    <w:rsid w:val="71B12351"/>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41FEA"/>
    <w:rsid w:val="75250574"/>
    <w:rsid w:val="7550443E"/>
    <w:rsid w:val="755F0BCC"/>
    <w:rsid w:val="756F17F9"/>
    <w:rsid w:val="75825461"/>
    <w:rsid w:val="759926FC"/>
    <w:rsid w:val="75A24276"/>
    <w:rsid w:val="75AA231D"/>
    <w:rsid w:val="75AD6340"/>
    <w:rsid w:val="75DF5F11"/>
    <w:rsid w:val="75E8633A"/>
    <w:rsid w:val="76393874"/>
    <w:rsid w:val="763F09AA"/>
    <w:rsid w:val="764F3FCC"/>
    <w:rsid w:val="7650339F"/>
    <w:rsid w:val="76603C9A"/>
    <w:rsid w:val="76832D41"/>
    <w:rsid w:val="76BB1CAB"/>
    <w:rsid w:val="76C04050"/>
    <w:rsid w:val="76D67314"/>
    <w:rsid w:val="76E65049"/>
    <w:rsid w:val="77076007"/>
    <w:rsid w:val="77413F7E"/>
    <w:rsid w:val="77464076"/>
    <w:rsid w:val="7758241F"/>
    <w:rsid w:val="777A7D22"/>
    <w:rsid w:val="77835654"/>
    <w:rsid w:val="7797109C"/>
    <w:rsid w:val="779A2A38"/>
    <w:rsid w:val="77B4450A"/>
    <w:rsid w:val="77B46E73"/>
    <w:rsid w:val="77E37A12"/>
    <w:rsid w:val="77FE3468"/>
    <w:rsid w:val="78250553"/>
    <w:rsid w:val="78546F0C"/>
    <w:rsid w:val="786778FE"/>
    <w:rsid w:val="78EE1C79"/>
    <w:rsid w:val="78F85605"/>
    <w:rsid w:val="78FA66FA"/>
    <w:rsid w:val="79424F6E"/>
    <w:rsid w:val="797239CC"/>
    <w:rsid w:val="79831473"/>
    <w:rsid w:val="79983E9C"/>
    <w:rsid w:val="7999527A"/>
    <w:rsid w:val="79AF76C5"/>
    <w:rsid w:val="79C25EE1"/>
    <w:rsid w:val="79CE2967"/>
    <w:rsid w:val="79E34934"/>
    <w:rsid w:val="79EA664C"/>
    <w:rsid w:val="79ED78AD"/>
    <w:rsid w:val="79F9627A"/>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B46FBD"/>
    <w:rsid w:val="7BC62E00"/>
    <w:rsid w:val="7BE35E2A"/>
    <w:rsid w:val="7BF66C24"/>
    <w:rsid w:val="7BFA1CC7"/>
    <w:rsid w:val="7BFB70B3"/>
    <w:rsid w:val="7C0251DA"/>
    <w:rsid w:val="7C0E41D1"/>
    <w:rsid w:val="7C1052F2"/>
    <w:rsid w:val="7C2668D9"/>
    <w:rsid w:val="7C32497F"/>
    <w:rsid w:val="7C3C69AE"/>
    <w:rsid w:val="7C691974"/>
    <w:rsid w:val="7C8A6570"/>
    <w:rsid w:val="7C8B7390"/>
    <w:rsid w:val="7C9B0D0E"/>
    <w:rsid w:val="7CA42B03"/>
    <w:rsid w:val="7CD2318A"/>
    <w:rsid w:val="7CD2702A"/>
    <w:rsid w:val="7CD34C42"/>
    <w:rsid w:val="7CD46B29"/>
    <w:rsid w:val="7CDE3FF9"/>
    <w:rsid w:val="7CE26EBF"/>
    <w:rsid w:val="7CEE3130"/>
    <w:rsid w:val="7D1F6674"/>
    <w:rsid w:val="7D480B34"/>
    <w:rsid w:val="7D4D150C"/>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514DB"/>
    <w:rsid w:val="7F4C4618"/>
    <w:rsid w:val="7F582CF2"/>
    <w:rsid w:val="7F951B40"/>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3"/>
    <w:autoRedefine/>
    <w:qFormat/>
    <w:uiPriority w:val="0"/>
  </w:style>
  <w:style w:type="paragraph" w:styleId="4">
    <w:name w:val="Body Text 2"/>
    <w:basedOn w:val="1"/>
    <w:next w:val="3"/>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5"/>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envelope return"/>
    <w:basedOn w:val="1"/>
    <w:autoRedefine/>
    <w:unhideWhenUsed/>
    <w:qFormat/>
    <w:uiPriority w:val="99"/>
    <w:pPr>
      <w:snapToGrid w:val="0"/>
    </w:pPr>
    <w:rPr>
      <w:rFonts w:ascii="Arial" w:hAnsi="Arial"/>
    </w:r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style>
  <w:style w:type="paragraph" w:styleId="24">
    <w:name w:val="List"/>
    <w:basedOn w:val="1"/>
    <w:autoRedefine/>
    <w:qFormat/>
    <w:uiPriority w:val="0"/>
    <w:pPr>
      <w:ind w:left="200" w:hanging="200" w:hangingChars="200"/>
    </w:pPr>
  </w:style>
  <w:style w:type="paragraph" w:styleId="2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autoRedefine/>
    <w:qFormat/>
    <w:uiPriority w:val="99"/>
    <w:pPr>
      <w:spacing w:before="100" w:beforeAutospacing="1" w:after="100" w:afterAutospacing="1"/>
      <w:jc w:val="left"/>
    </w:pPr>
    <w:rPr>
      <w:kern w:val="0"/>
      <w:sz w:val="24"/>
    </w:rPr>
  </w:style>
  <w:style w:type="paragraph" w:styleId="28">
    <w:name w:val="Title"/>
    <w:basedOn w:val="1"/>
    <w:autoRedefine/>
    <w:qFormat/>
    <w:uiPriority w:val="0"/>
    <w:pPr>
      <w:jc w:val="center"/>
      <w:outlineLvl w:val="0"/>
    </w:pPr>
    <w:rPr>
      <w:rFonts w:ascii="Arial" w:hAnsi="Arial" w:cs="Arial"/>
      <w:b/>
      <w:bCs/>
      <w:sz w:val="32"/>
      <w:szCs w:val="32"/>
    </w:rPr>
  </w:style>
  <w:style w:type="paragraph" w:styleId="29">
    <w:name w:val="Body Text First Indent"/>
    <w:basedOn w:val="3"/>
    <w:next w:val="30"/>
    <w:autoRedefine/>
    <w:qFormat/>
    <w:uiPriority w:val="0"/>
    <w:pPr>
      <w:spacing w:line="360" w:lineRule="auto"/>
      <w:ind w:firstLine="420" w:firstLineChars="100"/>
    </w:pPr>
    <w:rPr>
      <w:szCs w:val="21"/>
    </w:rPr>
  </w:style>
  <w:style w:type="paragraph" w:styleId="30">
    <w:name w:val="Body Text First Indent 2"/>
    <w:basedOn w:val="13"/>
    <w:next w:val="9"/>
    <w:autoRedefine/>
    <w:qFormat/>
    <w:uiPriority w:val="0"/>
    <w:pPr>
      <w:ind w:firstLine="420" w:firstLineChars="200"/>
    </w:pPr>
  </w:style>
  <w:style w:type="table" w:styleId="32">
    <w:name w:val="Table Grid"/>
    <w:basedOn w:val="31"/>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0"/>
    <w:rPr>
      <w:b/>
      <w:bCs/>
      <w:szCs w:val="24"/>
    </w:rPr>
  </w:style>
  <w:style w:type="character" w:styleId="35">
    <w:name w:val="page number"/>
    <w:basedOn w:val="33"/>
    <w:autoRedefine/>
    <w:qFormat/>
    <w:uiPriority w:val="0"/>
  </w:style>
  <w:style w:type="character" w:styleId="36">
    <w:name w:val="FollowedHyperlink"/>
    <w:autoRedefine/>
    <w:qFormat/>
    <w:uiPriority w:val="0"/>
    <w:rPr>
      <w:color w:val="333333"/>
      <w:szCs w:val="24"/>
      <w:u w:val="none"/>
    </w:rPr>
  </w:style>
  <w:style w:type="character" w:styleId="37">
    <w:name w:val="Emphasis"/>
    <w:basedOn w:val="33"/>
    <w:autoRedefine/>
    <w:qFormat/>
    <w:uiPriority w:val="0"/>
  </w:style>
  <w:style w:type="character" w:styleId="38">
    <w:name w:val="HTML Definition"/>
    <w:basedOn w:val="33"/>
    <w:autoRedefine/>
    <w:qFormat/>
    <w:uiPriority w:val="0"/>
  </w:style>
  <w:style w:type="character" w:styleId="39">
    <w:name w:val="HTML Typewriter"/>
    <w:basedOn w:val="33"/>
    <w:autoRedefine/>
    <w:qFormat/>
    <w:uiPriority w:val="0"/>
    <w:rPr>
      <w:rFonts w:hint="default" w:ascii="monospace" w:hAnsi="monospace" w:eastAsia="monospace" w:cs="monospace"/>
      <w:sz w:val="20"/>
    </w:rPr>
  </w:style>
  <w:style w:type="character" w:styleId="40">
    <w:name w:val="HTML Acronym"/>
    <w:basedOn w:val="33"/>
    <w:autoRedefine/>
    <w:qFormat/>
    <w:uiPriority w:val="0"/>
  </w:style>
  <w:style w:type="character" w:styleId="41">
    <w:name w:val="HTML Variable"/>
    <w:basedOn w:val="33"/>
    <w:autoRedefine/>
    <w:qFormat/>
    <w:uiPriority w:val="0"/>
  </w:style>
  <w:style w:type="character" w:styleId="42">
    <w:name w:val="Hyperlink"/>
    <w:basedOn w:val="33"/>
    <w:autoRedefine/>
    <w:qFormat/>
    <w:uiPriority w:val="0"/>
    <w:rPr>
      <w:color w:val="333333"/>
      <w:szCs w:val="24"/>
      <w:u w:val="none"/>
    </w:rPr>
  </w:style>
  <w:style w:type="character" w:styleId="43">
    <w:name w:val="HTML Code"/>
    <w:basedOn w:val="33"/>
    <w:autoRedefine/>
    <w:qFormat/>
    <w:uiPriority w:val="0"/>
    <w:rPr>
      <w:rFonts w:ascii="monospace" w:hAnsi="monospace" w:eastAsia="monospace" w:cs="monospace"/>
      <w:sz w:val="20"/>
    </w:rPr>
  </w:style>
  <w:style w:type="character" w:styleId="44">
    <w:name w:val="HTML Cite"/>
    <w:basedOn w:val="33"/>
    <w:autoRedefine/>
    <w:qFormat/>
    <w:uiPriority w:val="0"/>
  </w:style>
  <w:style w:type="character" w:styleId="45">
    <w:name w:val="HTML Keyboard"/>
    <w:basedOn w:val="33"/>
    <w:autoRedefine/>
    <w:qFormat/>
    <w:uiPriority w:val="0"/>
    <w:rPr>
      <w:rFonts w:hint="default" w:ascii="monospace" w:hAnsi="monospace" w:eastAsia="monospace" w:cs="monospace"/>
      <w:sz w:val="20"/>
    </w:rPr>
  </w:style>
  <w:style w:type="character" w:styleId="46">
    <w:name w:val="HTML Sample"/>
    <w:basedOn w:val="33"/>
    <w:autoRedefine/>
    <w:qFormat/>
    <w:uiPriority w:val="0"/>
    <w:rPr>
      <w:rFonts w:hint="default" w:ascii="monospace" w:hAnsi="monospace" w:eastAsia="monospace" w:cs="monospace"/>
    </w:rPr>
  </w:style>
  <w:style w:type="paragraph" w:customStyle="1" w:styleId="47">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8">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49">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0">
    <w:name w:val="No Spacing1"/>
    <w:basedOn w:val="1"/>
    <w:autoRedefine/>
    <w:qFormat/>
    <w:uiPriority w:val="0"/>
    <w:pPr>
      <w:spacing w:line="400" w:lineRule="exact"/>
    </w:pPr>
    <w:rPr>
      <w:sz w:val="24"/>
    </w:rPr>
  </w:style>
  <w:style w:type="paragraph" w:customStyle="1" w:styleId="51">
    <w:name w:val="大标题"/>
    <w:basedOn w:val="1"/>
    <w:next w:val="30"/>
    <w:autoRedefine/>
    <w:qFormat/>
    <w:uiPriority w:val="0"/>
    <w:pPr>
      <w:jc w:val="center"/>
    </w:pPr>
    <w:rPr>
      <w:rFonts w:ascii="Arial" w:hAnsi="Arial"/>
      <w:b/>
      <w:sz w:val="28"/>
    </w:rPr>
  </w:style>
  <w:style w:type="paragraph" w:customStyle="1" w:styleId="52">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autoRedefine/>
    <w:qFormat/>
    <w:uiPriority w:val="0"/>
  </w:style>
  <w:style w:type="paragraph" w:customStyle="1" w:styleId="54">
    <w:name w:val="正文缩进1"/>
    <w:basedOn w:val="1"/>
    <w:autoRedefine/>
    <w:qFormat/>
    <w:uiPriority w:val="0"/>
    <w:pPr>
      <w:widowControl/>
      <w:ind w:firstLine="420"/>
      <w:jc w:val="left"/>
    </w:pPr>
    <w:rPr>
      <w:kern w:val="0"/>
      <w:szCs w:val="20"/>
    </w:rPr>
  </w:style>
  <w:style w:type="paragraph" w:customStyle="1" w:styleId="55">
    <w:name w:val="列出段落2"/>
    <w:basedOn w:val="1"/>
    <w:autoRedefine/>
    <w:qFormat/>
    <w:uiPriority w:val="34"/>
    <w:pPr>
      <w:ind w:firstLine="420" w:firstLineChars="200"/>
    </w:pPr>
  </w:style>
  <w:style w:type="paragraph" w:customStyle="1" w:styleId="56">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7">
    <w:name w:val="1"/>
    <w:basedOn w:val="1"/>
    <w:autoRedefine/>
    <w:qFormat/>
    <w:uiPriority w:val="0"/>
    <w:pPr>
      <w:widowControl/>
      <w:spacing w:beforeAutospacing="1" w:afterAutospacing="1"/>
      <w:jc w:val="left"/>
    </w:pPr>
    <w:rPr>
      <w:rFonts w:ascii="宋体" w:hAnsi="宋体" w:cs="宋体"/>
      <w:kern w:val="0"/>
      <w:sz w:val="24"/>
    </w:rPr>
  </w:style>
  <w:style w:type="paragraph" w:styleId="58">
    <w:name w:val="No Spacing"/>
    <w:autoRedefine/>
    <w:qFormat/>
    <w:uiPriority w:val="1"/>
    <w:rPr>
      <w:rFonts w:ascii="Calibri" w:hAnsi="Calibri" w:eastAsia="宋体" w:cs="Times New Roman"/>
      <w:sz w:val="22"/>
      <w:szCs w:val="22"/>
      <w:lang w:val="en-US" w:eastAsia="zh-CN" w:bidi="ar-SA"/>
    </w:rPr>
  </w:style>
  <w:style w:type="paragraph" w:customStyle="1" w:styleId="59">
    <w:name w:val="_Style 2"/>
    <w:basedOn w:val="1"/>
    <w:autoRedefine/>
    <w:qFormat/>
    <w:uiPriority w:val="34"/>
    <w:pPr>
      <w:ind w:firstLine="420" w:firstLineChars="200"/>
    </w:pPr>
    <w:rPr>
      <w:rFonts w:ascii="Calibri" w:hAnsi="Calibri"/>
    </w:rPr>
  </w:style>
  <w:style w:type="paragraph" w:customStyle="1" w:styleId="60">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autoRedefine/>
    <w:qFormat/>
    <w:uiPriority w:val="0"/>
  </w:style>
  <w:style w:type="paragraph" w:customStyle="1" w:styleId="63">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无间隔1"/>
    <w:basedOn w:val="1"/>
    <w:autoRedefine/>
    <w:qFormat/>
    <w:uiPriority w:val="1"/>
    <w:pPr>
      <w:spacing w:line="400" w:lineRule="exact"/>
    </w:pPr>
    <w:rPr>
      <w:sz w:val="24"/>
    </w:rPr>
  </w:style>
  <w:style w:type="paragraph" w:customStyle="1" w:styleId="66">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autoRedefine/>
    <w:qFormat/>
    <w:uiPriority w:val="34"/>
    <w:pPr>
      <w:ind w:firstLine="420" w:firstLineChars="200"/>
    </w:pPr>
  </w:style>
  <w:style w:type="paragraph" w:customStyle="1" w:styleId="69">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autoRedefine/>
    <w:qFormat/>
    <w:uiPriority w:val="0"/>
    <w:pPr>
      <w:ind w:firstLine="420" w:firstLineChars="200"/>
    </w:pPr>
    <w:rPr>
      <w:rFonts w:ascii="Calibri" w:hAnsi="Calibri"/>
      <w:szCs w:val="22"/>
    </w:rPr>
  </w:style>
  <w:style w:type="character" w:customStyle="1" w:styleId="73">
    <w:name w:val="正文文本 Char"/>
    <w:basedOn w:val="33"/>
    <w:link w:val="3"/>
    <w:autoRedefine/>
    <w:qFormat/>
    <w:uiPriority w:val="0"/>
  </w:style>
  <w:style w:type="character" w:customStyle="1" w:styleId="74">
    <w:name w:val="apple-converted-space"/>
    <w:basedOn w:val="33"/>
    <w:autoRedefine/>
    <w:qFormat/>
    <w:uiPriority w:val="0"/>
  </w:style>
  <w:style w:type="character" w:customStyle="1" w:styleId="75">
    <w:name w:val="文档结构图 Char"/>
    <w:link w:val="10"/>
    <w:autoRedefine/>
    <w:qFormat/>
    <w:uiPriority w:val="0"/>
    <w:rPr>
      <w:rFonts w:ascii="宋体"/>
      <w:kern w:val="2"/>
      <w:sz w:val="18"/>
      <w:szCs w:val="18"/>
    </w:rPr>
  </w:style>
  <w:style w:type="character" w:customStyle="1" w:styleId="76">
    <w:name w:val="不明显强调1"/>
    <w:autoRedefine/>
    <w:qFormat/>
    <w:uiPriority w:val="19"/>
    <w:rPr>
      <w:i/>
      <w:iCs/>
      <w:color w:val="7F7F7F"/>
      <w:szCs w:val="24"/>
    </w:rPr>
  </w:style>
  <w:style w:type="character" w:customStyle="1" w:styleId="77">
    <w:name w:val="font71"/>
    <w:autoRedefine/>
    <w:qFormat/>
    <w:uiPriority w:val="0"/>
    <w:rPr>
      <w:rFonts w:hint="eastAsia" w:ascii="宋体" w:hAnsi="宋体" w:eastAsia="宋体" w:cs="宋体"/>
      <w:color w:val="000000"/>
      <w:sz w:val="28"/>
      <w:szCs w:val="28"/>
      <w:u w:val="none"/>
    </w:rPr>
  </w:style>
  <w:style w:type="character" w:customStyle="1" w:styleId="78">
    <w:name w:val="font21"/>
    <w:basedOn w:val="33"/>
    <w:autoRedefine/>
    <w:qFormat/>
    <w:uiPriority w:val="0"/>
    <w:rPr>
      <w:rFonts w:hint="default" w:ascii="Calibri" w:hAnsi="Calibri" w:cs="Calibri"/>
      <w:color w:val="000000"/>
      <w:sz w:val="28"/>
      <w:szCs w:val="28"/>
      <w:u w:val="none"/>
    </w:rPr>
  </w:style>
  <w:style w:type="character" w:customStyle="1" w:styleId="79">
    <w:name w:val="17"/>
    <w:autoRedefine/>
    <w:qFormat/>
    <w:uiPriority w:val="0"/>
    <w:rPr>
      <w:rFonts w:hint="eastAsia" w:ascii="宋体" w:hAnsi="宋体" w:eastAsia="宋体"/>
      <w:color w:val="000000"/>
    </w:rPr>
  </w:style>
  <w:style w:type="character" w:customStyle="1" w:styleId="80">
    <w:name w:val="font91"/>
    <w:autoRedefine/>
    <w:qFormat/>
    <w:uiPriority w:val="0"/>
    <w:rPr>
      <w:rFonts w:hint="eastAsia" w:ascii="宋体" w:hAnsi="宋体" w:eastAsia="宋体" w:cs="宋体"/>
      <w:color w:val="FF0000"/>
      <w:sz w:val="28"/>
      <w:szCs w:val="28"/>
      <w:u w:val="none"/>
    </w:rPr>
  </w:style>
  <w:style w:type="paragraph" w:customStyle="1" w:styleId="81">
    <w:name w:val="p"/>
    <w:basedOn w:val="1"/>
    <w:autoRedefine/>
    <w:qFormat/>
    <w:uiPriority w:val="0"/>
    <w:pPr>
      <w:widowControl/>
      <w:spacing w:line="432" w:lineRule="auto"/>
      <w:jc w:val="left"/>
    </w:pPr>
    <w:rPr>
      <w:rFonts w:ascii="宋体" w:hAnsi="宋体" w:cs="宋体"/>
      <w:kern w:val="0"/>
      <w:sz w:val="24"/>
    </w:rPr>
  </w:style>
  <w:style w:type="paragraph" w:customStyle="1" w:styleId="82">
    <w:name w:val="WPSOffice手动目录 1"/>
    <w:autoRedefine/>
    <w:qFormat/>
    <w:uiPriority w:val="0"/>
    <w:rPr>
      <w:rFonts w:ascii="Times New Roman" w:hAnsi="Times New Roman" w:eastAsia="宋体" w:cs="Times New Roman"/>
      <w:lang w:val="en-US" w:eastAsia="zh-CN" w:bidi="ar-SA"/>
    </w:rPr>
  </w:style>
  <w:style w:type="paragraph" w:customStyle="1" w:styleId="83">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4">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5">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autoRedefine/>
    <w:qFormat/>
    <w:uiPriority w:val="34"/>
    <w:pPr>
      <w:widowControl/>
      <w:ind w:firstLine="420"/>
      <w:jc w:val="left"/>
    </w:pPr>
    <w:rPr>
      <w:kern w:val="0"/>
    </w:rPr>
  </w:style>
  <w:style w:type="paragraph" w:styleId="87">
    <w:name w:val="List Paragraph"/>
    <w:basedOn w:val="1"/>
    <w:autoRedefine/>
    <w:qFormat/>
    <w:uiPriority w:val="34"/>
    <w:pPr>
      <w:ind w:firstLine="420" w:firstLineChars="200"/>
    </w:pPr>
  </w:style>
  <w:style w:type="character" w:customStyle="1" w:styleId="88">
    <w:name w:val="hover18"/>
    <w:basedOn w:val="33"/>
    <w:autoRedefine/>
    <w:qFormat/>
    <w:uiPriority w:val="0"/>
  </w:style>
  <w:style w:type="table" w:customStyle="1" w:styleId="89">
    <w:name w:val="Table Normal"/>
    <w:autoRedefine/>
    <w:qFormat/>
    <w:uiPriority w:val="0"/>
    <w:tblPr>
      <w:tblCellMar>
        <w:top w:w="0" w:type="dxa"/>
        <w:left w:w="0" w:type="dxa"/>
        <w:bottom w:w="0" w:type="dxa"/>
        <w:right w:w="0" w:type="dxa"/>
      </w:tblCellMar>
    </w:tblPr>
  </w:style>
  <w:style w:type="paragraph" w:customStyle="1" w:styleId="90">
    <w:name w:val="Table Text"/>
    <w:basedOn w:val="1"/>
    <w:autoRedefine/>
    <w:semiHidden/>
    <w:qFormat/>
    <w:uiPriority w:val="0"/>
    <w:rPr>
      <w:rFonts w:ascii="宋体" w:hAnsi="宋体" w:eastAsia="宋体" w:cs="宋体"/>
      <w:sz w:val="45"/>
      <w:szCs w:val="45"/>
      <w:lang w:val="en-US" w:eastAsia="en-US" w:bidi="ar-SA"/>
    </w:rPr>
  </w:style>
  <w:style w:type="table" w:customStyle="1" w:styleId="91">
    <w:name w:val="网格型1"/>
    <w:basedOn w:val="92"/>
    <w:autoRedefine/>
    <w:qFormat/>
    <w:uiPriority w:val="0"/>
    <w:pPr>
      <w:widowControl w:val="0"/>
      <w:jc w:val="both"/>
    </w:pPr>
  </w:style>
  <w:style w:type="table" w:customStyle="1" w:styleId="92">
    <w:name w:val="普通表格1"/>
    <w:autoRedefine/>
    <w:semiHidden/>
    <w:qFormat/>
    <w:uiPriority w:val="0"/>
  </w:style>
  <w:style w:type="character" w:customStyle="1" w:styleId="93">
    <w:name w:val="font11"/>
    <w:basedOn w:val="33"/>
    <w:autoRedefine/>
    <w:qFormat/>
    <w:uiPriority w:val="0"/>
    <w:rPr>
      <w:rFonts w:hint="eastAsia" w:ascii="宋体" w:hAnsi="宋体" w:eastAsia="宋体" w:cs="宋体"/>
      <w:color w:val="000000"/>
      <w:sz w:val="24"/>
      <w:szCs w:val="24"/>
      <w:u w:val="none"/>
    </w:rPr>
  </w:style>
  <w:style w:type="character" w:customStyle="1" w:styleId="94">
    <w:name w:val="font31"/>
    <w:basedOn w:val="33"/>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31</Pages>
  <Words>17175</Words>
  <Characters>18074</Characters>
  <Lines>50</Lines>
  <Paragraphs>68</Paragraphs>
  <TotalTime>4</TotalTime>
  <ScaleCrop>false</ScaleCrop>
  <LinksUpToDate>false</LinksUpToDate>
  <CharactersWithSpaces>19206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2024-05-07T08:24:20Z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6B4FDCA957CB4E82998C2E32247B97ED_13</vt:lpwstr>
  </property>
</Properties>
</file>