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9"/>
        <w:bidi w:val="0"/>
        <w:jc w:val="center"/>
        <w:rPr>
          <w:rStyle w:val="42"/>
          <w:rFonts w:hint="eastAsia" w:ascii="宋体" w:hAnsi="宋体" w:eastAsia="宋体" w:cs="宋体"/>
          <w:b/>
          <w:bCs/>
          <w:color w:val="auto"/>
          <w:sz w:val="48"/>
          <w:szCs w:val="48"/>
          <w:lang w:eastAsia="zh-CN"/>
        </w:rPr>
      </w:pPr>
      <w:r>
        <w:rPr>
          <w:rStyle w:val="42"/>
          <w:rFonts w:hint="eastAsia" w:ascii="宋体" w:hAnsi="宋体" w:eastAsia="宋体" w:cs="宋体"/>
          <w:b/>
          <w:bCs/>
          <w:color w:val="auto"/>
          <w:sz w:val="48"/>
          <w:szCs w:val="48"/>
          <w:lang w:eastAsia="zh-CN"/>
        </w:rPr>
        <w:t>驻马店市中心医院五号楼加建钢结构楼梯工程</w:t>
      </w:r>
    </w:p>
    <w:p>
      <w:pPr>
        <w:pStyle w:val="19"/>
        <w:bidi w:val="0"/>
        <w:jc w:val="center"/>
        <w:rPr>
          <w:rStyle w:val="42"/>
          <w:rFonts w:hint="eastAsia" w:ascii="宋体" w:hAnsi="宋体" w:eastAsia="宋体" w:cs="宋体"/>
          <w:b/>
          <w:bCs/>
          <w:color w:val="auto"/>
          <w:sz w:val="48"/>
          <w:szCs w:val="48"/>
        </w:rPr>
      </w:pPr>
    </w:p>
    <w:p>
      <w:pPr>
        <w:pStyle w:val="19"/>
        <w:bidi w:val="0"/>
        <w:jc w:val="center"/>
        <w:rPr>
          <w:rStyle w:val="42"/>
          <w:rFonts w:hint="eastAsia" w:ascii="宋体" w:hAnsi="宋体" w:eastAsia="宋体" w:cs="宋体"/>
          <w:b/>
          <w:bCs/>
          <w:color w:val="auto"/>
          <w:sz w:val="48"/>
          <w:szCs w:val="48"/>
        </w:rPr>
      </w:pPr>
    </w:p>
    <w:p>
      <w:pPr>
        <w:pStyle w:val="19"/>
        <w:bidi w:val="0"/>
        <w:jc w:val="center"/>
        <w:rPr>
          <w:rStyle w:val="42"/>
          <w:rFonts w:hint="eastAsia" w:ascii="宋体" w:hAnsi="宋体" w:eastAsia="宋体" w:cs="宋体"/>
          <w:b/>
          <w:bCs/>
          <w:color w:val="auto"/>
          <w:szCs w:val="44"/>
        </w:rPr>
      </w:pPr>
      <w:r>
        <w:rPr>
          <w:rStyle w:val="42"/>
          <w:rFonts w:hint="eastAsia" w:ascii="宋体" w:hAnsi="宋体" w:eastAsia="宋体"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ascii="宋体" w:hAnsi="宋体" w:eastAsia="宋体" w:cs="宋体"/>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2024</w:t>
      </w:r>
      <w:r>
        <w:rPr>
          <w:rFonts w:hint="eastAsia" w:ascii="宋体" w:hAnsi="宋体" w:eastAsia="宋体" w:cs="宋体"/>
          <w:b/>
          <w:bCs/>
          <w:color w:val="auto"/>
          <w:spacing w:val="40"/>
          <w:sz w:val="34"/>
          <w:szCs w:val="34"/>
        </w:rPr>
        <w:t>年</w:t>
      </w:r>
      <w:r>
        <w:rPr>
          <w:rFonts w:hint="eastAsia" w:ascii="宋体" w:hAnsi="宋体" w:eastAsia="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1"/>
        <w:rPr>
          <w:rFonts w:hint="eastAsia" w:ascii="宋体" w:hAnsi="宋体" w:eastAsia="宋体" w:cs="宋体"/>
          <w:color w:val="auto"/>
          <w:highlight w:val="none"/>
        </w:rPr>
      </w:pP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_Toc7385 </w:instrText>
      </w:r>
      <w:r>
        <w:rPr>
          <w:rFonts w:hint="eastAsia" w:ascii="宋体" w:hAnsi="宋体" w:eastAsia="宋体" w:cs="宋体"/>
          <w:bCs/>
          <w:szCs w:val="32"/>
          <w:highlight w:val="none"/>
        </w:rPr>
        <w:fldChar w:fldCharType="separate"/>
      </w:r>
      <w:r>
        <w:rPr>
          <w:rFonts w:hint="eastAsia" w:ascii="宋体" w:hAnsi="宋体" w:eastAsia="宋体" w:cs="宋体"/>
          <w:szCs w:val="32"/>
          <w:highlight w:val="none"/>
        </w:rPr>
        <w:t xml:space="preserve">第一章  </w:t>
      </w:r>
      <w:r>
        <w:rPr>
          <w:rFonts w:hint="eastAsia" w:ascii="宋体" w:hAnsi="宋体" w:eastAsia="宋体" w:cs="宋体"/>
          <w:szCs w:val="32"/>
          <w:highlight w:val="none"/>
          <w:lang w:val="en-US" w:eastAsia="zh-CN"/>
        </w:rPr>
        <w:t>竞争性磋商采购</w:t>
      </w:r>
      <w:r>
        <w:rPr>
          <w:rFonts w:hint="eastAsia" w:ascii="宋体" w:hAnsi="宋体" w:eastAsia="宋体" w:cs="宋体"/>
          <w:szCs w:val="32"/>
          <w:highlight w:val="none"/>
        </w:rPr>
        <w:t>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_Toc7385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_Toc10050 </w:instrText>
      </w:r>
      <w:r>
        <w:rPr>
          <w:rFonts w:hint="eastAsia" w:ascii="宋体" w:hAnsi="宋体" w:eastAsia="宋体" w:cs="宋体"/>
          <w:bCs/>
          <w:szCs w:val="32"/>
          <w:highlight w:val="none"/>
        </w:rPr>
        <w:fldChar w:fldCharType="separate"/>
      </w:r>
      <w:r>
        <w:rPr>
          <w:rFonts w:hint="eastAsia" w:ascii="宋体" w:hAnsi="宋体" w:eastAsia="宋体" w:cs="宋体"/>
          <w:szCs w:val="32"/>
          <w:highlight w:val="none"/>
        </w:rPr>
        <w:t xml:space="preserve">第二章  </w:t>
      </w:r>
      <w:r>
        <w:rPr>
          <w:rFonts w:hint="eastAsia" w:ascii="宋体" w:hAnsi="宋体" w:eastAsia="宋体" w:cs="宋体"/>
          <w:szCs w:val="32"/>
          <w:highlight w:val="none"/>
          <w:lang w:eastAsia="zh-CN"/>
        </w:rPr>
        <w:t>采购</w:t>
      </w:r>
      <w:r>
        <w:rPr>
          <w:rFonts w:hint="eastAsia" w:ascii="宋体" w:hAnsi="宋体" w:eastAsia="宋体" w:cs="宋体"/>
          <w:szCs w:val="32"/>
          <w:highlight w:val="none"/>
        </w:rPr>
        <w:t>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_Toc10050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_Toc28448 </w:instrText>
      </w:r>
      <w:r>
        <w:rPr>
          <w:rFonts w:hint="eastAsia" w:ascii="宋体" w:hAnsi="宋体" w:eastAsia="宋体" w:cs="宋体"/>
          <w:bCs/>
          <w:szCs w:val="32"/>
          <w:highlight w:val="none"/>
        </w:rPr>
        <w:fldChar w:fldCharType="separate"/>
      </w:r>
      <w:r>
        <w:rPr>
          <w:rFonts w:hint="eastAsia" w:ascii="宋体" w:hAnsi="宋体" w:eastAsia="宋体" w:cs="宋体"/>
          <w:szCs w:val="32"/>
          <w:highlight w:val="none"/>
        </w:rPr>
        <w:t>第三章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_Toc28448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_Toc25863 </w:instrText>
      </w:r>
      <w:r>
        <w:rPr>
          <w:rFonts w:hint="eastAsia" w:ascii="宋体" w:hAnsi="宋体" w:eastAsia="宋体" w:cs="宋体"/>
          <w:bCs/>
          <w:szCs w:val="32"/>
          <w:highlight w:val="none"/>
        </w:rPr>
        <w:fldChar w:fldCharType="separate"/>
      </w:r>
      <w:r>
        <w:rPr>
          <w:rFonts w:hint="eastAsia" w:ascii="宋体" w:hAnsi="宋体" w:eastAsia="宋体" w:cs="宋体"/>
          <w:bCs/>
          <w:kern w:val="0"/>
          <w:szCs w:val="32"/>
          <w:highlight w:val="none"/>
        </w:rPr>
        <w:t>第四章  评标办法及评分标准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_Toc25863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_Toc4444 </w:instrText>
      </w:r>
      <w:r>
        <w:rPr>
          <w:rFonts w:hint="eastAsia" w:ascii="宋体" w:hAnsi="宋体" w:eastAsia="宋体" w:cs="宋体"/>
          <w:bCs/>
          <w:szCs w:val="32"/>
          <w:highlight w:val="none"/>
        </w:rPr>
        <w:fldChar w:fldCharType="separate"/>
      </w:r>
      <w:r>
        <w:rPr>
          <w:rFonts w:hint="eastAsia" w:ascii="宋体" w:hAnsi="宋体" w:eastAsia="宋体" w:cs="宋体"/>
          <w:bCs/>
          <w:kern w:val="0"/>
          <w:szCs w:val="32"/>
          <w:highlight w:val="none"/>
        </w:rPr>
        <w:t>第五章  采购合同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_Toc4444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spacing w:line="480" w:lineRule="auto"/>
        <w:rPr>
          <w:rFonts w:hint="eastAsia" w:ascii="宋体" w:hAnsi="宋体" w:eastAsia="宋体" w:cs="宋体"/>
        </w:rPr>
      </w:pPr>
      <w:r>
        <w:rPr>
          <w:rFonts w:hint="eastAsia" w:ascii="宋体" w:hAnsi="宋体" w:eastAsia="宋体" w:cs="宋体"/>
          <w:bCs/>
          <w:color w:val="auto"/>
          <w:szCs w:val="32"/>
          <w:highlight w:val="none"/>
        </w:rPr>
        <w:fldChar w:fldCharType="begin"/>
      </w:r>
      <w:r>
        <w:rPr>
          <w:rFonts w:hint="eastAsia" w:ascii="宋体" w:hAnsi="宋体" w:eastAsia="宋体" w:cs="宋体"/>
          <w:bCs/>
          <w:szCs w:val="32"/>
          <w:highlight w:val="none"/>
        </w:rPr>
        <w:instrText xml:space="preserve"> HYPERLINK \l _Toc2238 </w:instrText>
      </w:r>
      <w:r>
        <w:rPr>
          <w:rFonts w:hint="eastAsia" w:ascii="宋体" w:hAnsi="宋体" w:eastAsia="宋体" w:cs="宋体"/>
          <w:bCs/>
          <w:szCs w:val="32"/>
          <w:highlight w:val="none"/>
        </w:rPr>
        <w:fldChar w:fldCharType="separate"/>
      </w:r>
      <w:r>
        <w:rPr>
          <w:rFonts w:hint="eastAsia" w:ascii="宋体" w:hAnsi="宋体" w:eastAsia="宋体" w:cs="宋体"/>
          <w:bCs/>
          <w:kern w:val="0"/>
          <w:szCs w:val="32"/>
          <w:highlight w:val="none"/>
        </w:rPr>
        <w:t>第六章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_Toc2238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bCs/>
          <w:color w:val="auto"/>
          <w:szCs w:val="32"/>
          <w:highlight w:val="none"/>
        </w:rPr>
        <w:fldChar w:fldCharType="end"/>
      </w:r>
    </w:p>
    <w:p>
      <w:pPr>
        <w:pStyle w:val="24"/>
        <w:tabs>
          <w:tab w:val="right" w:leader="dot" w:pos="8958"/>
        </w:tabs>
        <w:rPr>
          <w:rFonts w:hint="eastAsia" w:ascii="宋体" w:hAnsi="宋体" w:eastAsia="宋体" w:cs="宋体"/>
        </w:rPr>
      </w:pPr>
    </w:p>
    <w:p>
      <w:pPr>
        <w:pStyle w:val="81"/>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Cs/>
          <w:color w:val="auto"/>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738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440" w:lineRule="exact"/>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eastAsia="宋体" w:cs="宋体"/>
          <w:b/>
          <w:bCs w:val="0"/>
          <w:color w:val="auto"/>
          <w:kern w:val="0"/>
          <w:sz w:val="28"/>
          <w:szCs w:val="28"/>
          <w:u w:val="none"/>
          <w:lang w:val="en-US" w:eastAsia="zh-CN"/>
        </w:rPr>
        <w:t>驻马店市中心医院五号楼加建钢结构楼梯工程</w:t>
      </w:r>
    </w:p>
    <w:p>
      <w:pPr>
        <w:keepNext w:val="0"/>
        <w:keepLines w:val="0"/>
        <w:pageBreakBefore w:val="0"/>
        <w:widowControl/>
        <w:kinsoku/>
        <w:wordWrap/>
        <w:overflowPunct/>
        <w:topLinePunct w:val="0"/>
        <w:autoSpaceDE/>
        <w:autoSpaceDN/>
        <w:bidi w:val="0"/>
        <w:adjustRightInd w:val="0"/>
        <w:snapToGrid w:val="0"/>
        <w:spacing w:after="157" w:afterLines="50" w:line="440" w:lineRule="exact"/>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keepNext w:val="0"/>
        <w:keepLines w:val="0"/>
        <w:pageBreakBefore w:val="0"/>
        <w:kinsoku/>
        <w:overflowPunct/>
        <w:topLinePunct w:val="0"/>
        <w:bidi w:val="0"/>
        <w:snapToGrid w:val="0"/>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lang w:val="en-US" w:eastAsia="zh-CN"/>
        </w:rPr>
        <w:t>五号楼加建钢结构楼梯工程</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00" w:lineRule="exact"/>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eastAsia="zh-CN"/>
        </w:rPr>
        <w:t>驻马店市中心医院五号楼加建钢结构楼梯工程；</w:t>
      </w:r>
    </w:p>
    <w:p>
      <w:pPr>
        <w:keepNext w:val="0"/>
        <w:keepLines w:val="0"/>
        <w:pageBreakBefore w:val="0"/>
        <w:widowControl/>
        <w:tabs>
          <w:tab w:val="left" w:pos="840"/>
        </w:tabs>
        <w:kinsoku/>
        <w:overflowPunct/>
        <w:topLinePunct w:val="0"/>
        <w:bidi w:val="0"/>
        <w:snapToGrid w:val="0"/>
        <w:spacing w:line="400" w:lineRule="exact"/>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kern w:val="0"/>
          <w:szCs w:val="21"/>
          <w:highlight w:val="none"/>
          <w:u w:val="none"/>
          <w:lang w:val="en-US" w:eastAsia="zh-CN"/>
        </w:rPr>
        <w:t>49.9万元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keepNext w:val="0"/>
        <w:keepLines w:val="0"/>
        <w:pageBreakBefore w:val="0"/>
        <w:widowControl/>
        <w:tabs>
          <w:tab w:val="left" w:pos="840"/>
        </w:tabs>
        <w:kinsoku/>
        <w:overflowPunct/>
        <w:topLinePunct w:val="0"/>
        <w:bidi w:val="0"/>
        <w:snapToGrid w:val="0"/>
        <w:spacing w:line="40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eastAsia="宋体" w:cs="宋体"/>
          <w:bCs/>
          <w:color w:val="auto"/>
          <w:szCs w:val="21"/>
          <w:highlight w:val="none"/>
          <w:shd w:val="clear" w:color="auto" w:fill="FFFFFF"/>
          <w:lang w:val="en-US" w:eastAsia="zh-CN"/>
        </w:rPr>
        <w:t>100天</w:t>
      </w:r>
      <w:r>
        <w:rPr>
          <w:rFonts w:hint="eastAsia" w:ascii="宋体" w:hAnsi="宋体" w:eastAsia="宋体" w:cs="宋体"/>
          <w:color w:val="auto"/>
          <w:szCs w:val="21"/>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40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bookmarkStart w:id="4" w:name="_Toc16639"/>
      <w:bookmarkStart w:id="5" w:name="_Toc23626"/>
      <w:bookmarkStart w:id="6" w:name="_Toc27704"/>
      <w:bookmarkStart w:id="7"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须须具有建设行政主管部门颁发的建筑工程施工总承包叁级及以上资质（含叁级）（且符合资质证书承揽范围）资质，具有合格有效的企业安全生产许可证；拟派项目经理须具有贰级或贰级以上建筑工程专业注册建造师资格，且具备有效的安全生产考核合格证书，且未担任其他在建工程。</w:t>
      </w:r>
    </w:p>
    <w:p>
      <w:pPr>
        <w:keepNext w:val="0"/>
        <w:keepLines w:val="0"/>
        <w:pageBreakBefore w:val="0"/>
        <w:widowControl w:val="0"/>
        <w:kinsoku/>
        <w:overflowPunct/>
        <w:topLinePunct w:val="0"/>
        <w:autoSpaceDE w:val="0"/>
        <w:autoSpaceDN w:val="0"/>
        <w:bidi w:val="0"/>
        <w:adjustRightInd w:val="0"/>
        <w:snapToGrid w:val="0"/>
        <w:spacing w:afterAutospacing="0"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供应商应提供2022年度经审计的财务报告或者其基本开户银行出具的资信证明；采购活动前近三个月内或上个季度任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beforeAutospacing="0"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4"/>
          <w:lang w:val="en-US" w:eastAsia="zh-CN" w:bidi="ar-SA"/>
        </w:rPr>
      </w:pPr>
      <w:bookmarkStart w:id="8" w:name="_Toc30643"/>
      <w:bookmarkStart w:id="9" w:name="_Toc30971"/>
      <w:bookmarkStart w:id="10" w:name="_Toc9562"/>
      <w:bookmarkStart w:id="11" w:name="_Toc23395"/>
      <w:bookmarkStart w:id="12" w:name="_Toc7823"/>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keepNext w:val="0"/>
        <w:keepLines w:val="0"/>
        <w:pageBreakBefore w:val="0"/>
        <w:widowControl/>
        <w:kinsoku/>
        <w:overflowPunct/>
        <w:topLinePunct w:val="0"/>
        <w:bidi w:val="0"/>
        <w:adjustRightInd w:val="0"/>
        <w:snapToGrid w:val="0"/>
        <w:spacing w:line="400" w:lineRule="exact"/>
        <w:ind w:firstLine="420" w:firstLineChars="200"/>
        <w:jc w:val="left"/>
        <w:textAlignment w:val="auto"/>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w:t>
      </w:r>
      <w:r>
        <w:rPr>
          <w:rFonts w:hint="eastAsia" w:ascii="宋体" w:hAnsi="宋体" w:eastAsia="宋体" w:cs="宋体"/>
          <w:color w:val="auto"/>
          <w:szCs w:val="21"/>
          <w:highlight w:val="none"/>
          <w:shd w:val="clear" w:color="auto" w:fill="FFFFFF"/>
          <w:lang w:eastAsia="zh-CN"/>
        </w:rPr>
        <w:t>2024年</w:t>
      </w:r>
      <w:r>
        <w:rPr>
          <w:rFonts w:hint="eastAsia" w:ascii="宋体" w:hAnsi="宋体" w:cs="宋体"/>
          <w:color w:val="auto"/>
          <w:szCs w:val="21"/>
          <w:highlight w:val="none"/>
          <w:shd w:val="clear" w:color="auto" w:fill="FFFFFF"/>
          <w:lang w:val="en-US" w:eastAsia="zh-CN"/>
        </w:rPr>
        <w:t>4</w:t>
      </w:r>
      <w:r>
        <w:rPr>
          <w:rFonts w:hint="eastAsia" w:ascii="宋体" w:hAnsi="宋体" w:eastAsia="宋体" w:cs="宋体"/>
          <w:color w:val="auto"/>
          <w:szCs w:val="21"/>
          <w:highlight w:val="none"/>
          <w:shd w:val="clear" w:color="auto" w:fill="FFFFFF"/>
          <w:lang w:val="en-US" w:eastAsia="zh-CN"/>
        </w:rPr>
        <w:t>月</w:t>
      </w:r>
      <w:r>
        <w:rPr>
          <w:rFonts w:hint="eastAsia" w:ascii="宋体" w:hAnsi="宋体" w:cs="宋体"/>
          <w:color w:val="auto"/>
          <w:szCs w:val="21"/>
          <w:highlight w:val="none"/>
          <w:shd w:val="clear" w:color="auto" w:fill="FFFFFF"/>
          <w:lang w:val="en-US" w:eastAsia="zh-CN"/>
        </w:rPr>
        <w:t>1</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highlight w:val="none"/>
          <w:shd w:val="clear" w:color="auto" w:fill="FFFFFF"/>
          <w:lang w:eastAsia="zh-CN"/>
        </w:rPr>
        <w:t>2024年</w:t>
      </w:r>
      <w:r>
        <w:rPr>
          <w:rFonts w:hint="eastAsia" w:ascii="宋体" w:hAnsi="宋体" w:cs="宋体"/>
          <w:color w:val="auto"/>
          <w:szCs w:val="21"/>
          <w:highlight w:val="none"/>
          <w:shd w:val="clear" w:color="auto" w:fill="FFFFFF"/>
          <w:lang w:val="en-US" w:eastAsia="zh-CN"/>
        </w:rPr>
        <w:t>4</w:t>
      </w:r>
      <w:r>
        <w:rPr>
          <w:rFonts w:hint="eastAsia" w:ascii="宋体" w:hAnsi="宋体" w:eastAsia="宋体" w:cs="宋体"/>
          <w:color w:val="auto"/>
          <w:szCs w:val="21"/>
          <w:highlight w:val="none"/>
          <w:shd w:val="clear" w:color="auto" w:fill="FFFFFF"/>
          <w:lang w:val="en-US" w:eastAsia="zh-CN"/>
        </w:rPr>
        <w:t>月</w:t>
      </w:r>
      <w:r>
        <w:rPr>
          <w:rFonts w:hint="eastAsia" w:ascii="宋体" w:hAnsi="宋体" w:cs="宋体"/>
          <w:color w:val="auto"/>
          <w:szCs w:val="21"/>
          <w:highlight w:val="none"/>
          <w:shd w:val="clear" w:color="auto" w:fill="FFFFFF"/>
          <w:lang w:val="en-US" w:eastAsia="zh-CN"/>
        </w:rPr>
        <w:t>3</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val="en-US" w:eastAsia="zh-CN"/>
        </w:rPr>
        <w:t>。</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kern w:val="0"/>
          <w:sz w:val="21"/>
          <w:szCs w:val="21"/>
          <w:highlight w:val="none"/>
          <w:lang w:val="en-US" w:eastAsia="zh-CN" w:bidi="ar-SA"/>
        </w:rPr>
      </w:pPr>
      <w:bookmarkStart w:id="13" w:name="_Toc15135"/>
      <w:bookmarkStart w:id="14" w:name="_Toc10738"/>
      <w:bookmarkStart w:id="15" w:name="_Toc25869"/>
      <w:bookmarkStart w:id="16" w:name="_Toc15111"/>
      <w:bookmarkStart w:id="17" w:name="_Toc27480"/>
      <w:r>
        <w:rPr>
          <w:rFonts w:hint="eastAsia" w:ascii="宋体" w:hAnsi="宋体" w:eastAsia="宋体" w:cs="宋体"/>
          <w:color w:val="auto"/>
          <w:kern w:val="0"/>
          <w:sz w:val="21"/>
          <w:szCs w:val="21"/>
          <w:highlight w:val="none"/>
          <w:shd w:val="clear" w:color="auto" w:fill="FFFFFF"/>
          <w:lang w:val="en-US" w:eastAsia="zh-CN" w:bidi="ar-SA"/>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400" w:lineRule="exact"/>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3269714460@qq.com并标明XX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公司XX项目报名资料。</w:t>
      </w:r>
    </w:p>
    <w:p>
      <w:pPr>
        <w:keepNext w:val="0"/>
        <w:keepLines w:val="0"/>
        <w:pageBreakBefore w:val="0"/>
        <w:widowControl/>
        <w:kinsoku/>
        <w:wordWrap w:val="0"/>
        <w:overflowPunct/>
        <w:topLinePunct w:val="0"/>
        <w:bidi w:val="0"/>
        <w:snapToGrid w:val="0"/>
        <w:spacing w:before="0" w:beforeAutospacing="0" w:after="0" w:afterAutospacing="0" w:line="400" w:lineRule="exact"/>
        <w:ind w:left="420" w:left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bookmarkEnd w:id="13"/>
    <w:bookmarkEnd w:id="14"/>
    <w:bookmarkEnd w:id="15"/>
    <w:bookmarkEnd w:id="16"/>
    <w:bookmarkEnd w:id="17"/>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四、投标截止时间及地点</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highlight w:val="none"/>
          <w:shd w:val="clear" w:color="auto" w:fill="FFFFFF"/>
          <w:lang w:val="en-US" w:eastAsia="zh-CN" w:bidi="ar-SA"/>
        </w:rPr>
      </w:pPr>
      <w:bookmarkStart w:id="18" w:name="_Toc29784"/>
      <w:bookmarkStart w:id="19" w:name="_Toc30918"/>
      <w:bookmarkStart w:id="20" w:name="_Toc20287"/>
      <w:bookmarkStart w:id="21" w:name="_Toc6523"/>
      <w:r>
        <w:rPr>
          <w:rFonts w:hint="eastAsia" w:ascii="宋体" w:hAnsi="宋体" w:eastAsia="宋体" w:cs="宋体"/>
          <w:b w:val="0"/>
          <w:bCs w:val="0"/>
          <w:color w:val="auto"/>
          <w:kern w:val="2"/>
          <w:sz w:val="21"/>
          <w:szCs w:val="21"/>
          <w:highlight w:val="none"/>
          <w:shd w:val="clear" w:color="auto" w:fill="FFFFFF"/>
          <w:lang w:val="en-US" w:eastAsia="zh-CN" w:bidi="ar-SA"/>
        </w:rPr>
        <w:t>1.时间：另行通知。</w:t>
      </w:r>
    </w:p>
    <w:p>
      <w:pPr>
        <w:keepNext w:val="0"/>
        <w:keepLines w:val="0"/>
        <w:pageBreakBefore w:val="0"/>
        <w:widowControl/>
        <w:kinsoku/>
        <w:overflowPunct/>
        <w:topLinePunct w:val="0"/>
        <w:bidi w:val="0"/>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highlight w:val="none"/>
          <w:shd w:val="clear" w:color="auto" w:fill="FFFFFF"/>
          <w:lang w:val="en-US" w:eastAsia="zh-CN" w:bidi="ar-SA"/>
        </w:rPr>
      </w:pPr>
      <w:r>
        <w:rPr>
          <w:rFonts w:hint="eastAsia" w:ascii="宋体" w:hAnsi="宋体" w:eastAsia="宋体" w:cs="宋体"/>
          <w:b w:val="0"/>
          <w:bCs w:val="0"/>
          <w:color w:val="auto"/>
          <w:kern w:val="2"/>
          <w:sz w:val="21"/>
          <w:szCs w:val="21"/>
          <w:highlight w:val="none"/>
          <w:shd w:val="clear" w:color="auto" w:fill="FFFFFF"/>
          <w:lang w:val="en-US" w:eastAsia="zh-CN" w:bidi="ar-SA"/>
        </w:rPr>
        <w:t>2.地点：另行通知。</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b/>
          <w:bCs/>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8"/>
      <w:bookmarkEnd w:id="19"/>
      <w:bookmarkEnd w:id="20"/>
      <w:bookmarkEnd w:id="21"/>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公告在《驻马店市中心医院》院内网</w:t>
      </w:r>
      <w:r>
        <w:rPr>
          <w:rFonts w:hint="eastAsia" w:ascii="宋体" w:hAnsi="宋体" w:eastAsia="宋体" w:cs="宋体"/>
          <w:color w:val="auto"/>
          <w:sz w:val="21"/>
          <w:szCs w:val="21"/>
          <w:highlight w:val="none"/>
          <w:shd w:val="clear" w:color="auto" w:fill="auto"/>
        </w:rPr>
        <w:t>上发布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626"/>
      <w:bookmarkStart w:id="23" w:name="_Toc35393795"/>
    </w:p>
    <w:bookmarkEnd w:id="22"/>
    <w:bookmarkEnd w:id="23"/>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bookmarkStart w:id="24" w:name="_Toc3604"/>
      <w:bookmarkStart w:id="25" w:name="_Toc24274"/>
      <w:bookmarkStart w:id="26" w:name="_Toc16291"/>
      <w:bookmarkStart w:id="27" w:name="_Toc27370"/>
      <w:bookmarkStart w:id="28" w:name="_Toc31928"/>
      <w:r>
        <w:rPr>
          <w:rFonts w:hint="eastAsia" w:ascii="宋体" w:hAnsi="宋体" w:eastAsia="宋体" w:cs="宋体"/>
          <w:b/>
          <w:bCs/>
          <w:color w:val="auto"/>
          <w:kern w:val="2"/>
          <w:sz w:val="21"/>
          <w:szCs w:val="21"/>
          <w:highlight w:val="none"/>
          <w:shd w:val="clear" w:color="auto" w:fill="FFFFFF"/>
          <w:lang w:val="en-US" w:eastAsia="zh-CN" w:bidi="ar-SA"/>
        </w:rPr>
        <w:t>七、</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1.采购人：驻马店市中心医院 </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地址：驻马店市中华大道747号 </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联系人：陈先生 </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电话：0396-2726379 </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2.采购代理机构：大成工程咨询有限公司</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地址：驻马店市骏马路与泰山路交叉口广泰大厦22层</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联系人：张先生</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联系方式：15518321111</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3.监督部门：驻马店市中心医院纪检监察室 </w:t>
      </w:r>
    </w:p>
    <w:p>
      <w:pPr>
        <w:keepNext w:val="0"/>
        <w:keepLines w:val="0"/>
        <w:pageBreakBefore w:val="0"/>
        <w:widowControl/>
        <w:kinsoku/>
        <w:overflowPunct/>
        <w:topLinePunct w:val="0"/>
        <w:bidi w:val="0"/>
        <w:snapToGrid w:val="0"/>
        <w:spacing w:before="0" w:beforeAutospacing="0" w:after="0" w:afterAutospacing="0" w:line="400" w:lineRule="exact"/>
        <w:ind w:firstLine="420"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 xml:space="preserve">监督电话：0396-2726678 </w:t>
      </w:r>
    </w:p>
    <w:p>
      <w:pPr>
        <w:pageBreakBefore w:val="0"/>
        <w:widowControl/>
        <w:kinsoku/>
        <w:overflowPunct/>
        <w:topLinePunct w:val="0"/>
        <w:bidi w:val="0"/>
        <w:snapToGrid w:val="0"/>
        <w:spacing w:before="0" w:beforeAutospacing="0" w:after="0" w:afterAutospacing="0" w:line="500" w:lineRule="exact"/>
        <w:ind w:firstLine="420" w:firstLineChars="200"/>
        <w:jc w:val="right"/>
        <w:textAlignment w:val="auto"/>
        <w:rPr>
          <w:rFonts w:hint="eastAsia" w:ascii="宋体" w:hAnsi="宋体" w:eastAsia="宋体" w:cs="宋体"/>
          <w:kern w:val="0"/>
          <w:sz w:val="21"/>
          <w:szCs w:val="21"/>
          <w:highlight w:val="none"/>
          <w:shd w:val="clear" w:color="auto" w:fill="FFFFFF"/>
          <w:lang w:val="en-US" w:eastAsia="zh-CN" w:bidi="ar-SA"/>
        </w:rPr>
      </w:pPr>
      <w:r>
        <w:rPr>
          <w:rFonts w:hint="eastAsia" w:ascii="宋体" w:hAnsi="宋体" w:eastAsia="宋体" w:cs="宋体"/>
          <w:kern w:val="0"/>
          <w:sz w:val="21"/>
          <w:szCs w:val="21"/>
          <w:highlight w:val="none"/>
          <w:shd w:val="clear" w:color="auto" w:fill="FFFFFF"/>
          <w:lang w:val="en-US" w:eastAsia="zh-CN" w:bidi="ar-SA"/>
        </w:rPr>
        <w:t>驻马店市中心医院采购科</w:t>
      </w:r>
    </w:p>
    <w:p>
      <w:pPr>
        <w:pStyle w:val="28"/>
        <w:pageBreakBefore w:val="0"/>
        <w:widowControl/>
        <w:kinsoku/>
        <w:overflowPunct/>
        <w:topLinePunct w:val="0"/>
        <w:bidi w:val="0"/>
        <w:snapToGrid w:val="0"/>
        <w:spacing w:before="0" w:beforeAutospacing="0" w:after="0" w:afterAutospacing="0" w:line="500" w:lineRule="exact"/>
        <w:ind w:firstLine="420" w:firstLineChars="200"/>
        <w:jc w:val="center"/>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FF0000"/>
          <w:kern w:val="0"/>
          <w:sz w:val="21"/>
          <w:szCs w:val="21"/>
          <w:highlight w:val="none"/>
          <w:shd w:val="clear" w:color="auto" w:fill="FFFFFF"/>
          <w:lang w:val="en-US" w:eastAsia="zh-CN" w:bidi="ar-SA"/>
        </w:rPr>
        <w:t xml:space="preserve">                                                 </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 xml:space="preserve">           2024年03月</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29</w:t>
      </w:r>
      <w:bookmarkStart w:id="88" w:name="_GoBack"/>
      <w:bookmarkEnd w:id="88"/>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p>
    <w:p>
      <w:pPr>
        <w:rPr>
          <w:rFonts w:hint="eastAsia" w:ascii="宋体" w:hAnsi="宋体" w:eastAsia="宋体" w:cs="宋体"/>
          <w:b/>
          <w:color w:val="auto"/>
          <w:sz w:val="32"/>
          <w:szCs w:val="32"/>
          <w:highlight w:val="none"/>
        </w:rPr>
      </w:pPr>
      <w:bookmarkStart w:id="29" w:name="_Toc29890"/>
      <w:bookmarkStart w:id="30" w:name="_Toc23793"/>
      <w:r>
        <w:rPr>
          <w:rFonts w:hint="eastAsia" w:ascii="宋体" w:hAnsi="宋体" w:eastAsia="宋体" w:cs="宋体"/>
          <w:b/>
          <w:color w:val="auto"/>
          <w:sz w:val="32"/>
          <w:szCs w:val="32"/>
          <w:highlight w:val="none"/>
        </w:rPr>
        <w:br w:type="page"/>
      </w:r>
    </w:p>
    <w:p>
      <w:pPr>
        <w:spacing w:line="360" w:lineRule="auto"/>
        <w:jc w:val="center"/>
        <w:outlineLvl w:val="0"/>
        <w:rPr>
          <w:rFonts w:hint="eastAsia" w:ascii="宋体" w:hAnsi="宋体" w:eastAsia="宋体" w:cs="宋体"/>
          <w:b/>
          <w:color w:val="auto"/>
          <w:sz w:val="32"/>
          <w:szCs w:val="32"/>
          <w:highlight w:val="none"/>
        </w:rPr>
      </w:pPr>
      <w:bookmarkStart w:id="31" w:name="_Toc10050"/>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1"/>
      <w:bookmarkStart w:id="32" w:name="_Toc31536"/>
      <w:bookmarkStart w:id="33" w:name="_Toc23610"/>
      <w:bookmarkStart w:id="34" w:name="_Toc9989"/>
    </w:p>
    <w:bookmarkEnd w:id="32"/>
    <w:bookmarkEnd w:id="33"/>
    <w:bookmarkEnd w:id="34"/>
    <w:p>
      <w:pPr>
        <w:pageBreakBefore w:val="0"/>
        <w:widowControl/>
        <w:shd w:val="clear" w:color="auto"/>
        <w:kinsoku/>
        <w:wordWrap/>
        <w:overflowPunct/>
        <w:topLinePunct w:val="0"/>
        <w:bidi w:val="0"/>
        <w:spacing w:beforeAutospacing="0" w:afterAutospacing="0" w:line="500" w:lineRule="exact"/>
        <w:jc w:val="left"/>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一、项目名称、数量：</w:t>
      </w:r>
      <w:r>
        <w:rPr>
          <w:rFonts w:hint="eastAsia" w:ascii="宋体" w:hAnsi="宋体" w:eastAsia="宋体" w:cs="宋体"/>
          <w:b w:val="0"/>
          <w:bCs w:val="0"/>
          <w:color w:val="000000"/>
          <w:kern w:val="0"/>
          <w:sz w:val="21"/>
          <w:szCs w:val="21"/>
          <w:highlight w:val="none"/>
          <w:lang w:val="en-US" w:eastAsia="zh-CN"/>
        </w:rPr>
        <w:t>驻马店市中心医院五号楼加建钢结构楼梯工程；</w:t>
      </w:r>
    </w:p>
    <w:p>
      <w:pPr>
        <w:numPr>
          <w:ilvl w:val="0"/>
          <w:numId w:val="0"/>
        </w:numPr>
        <w:autoSpaceDE w:val="0"/>
        <w:autoSpaceDN w:val="0"/>
        <w:adjustRightInd w:val="0"/>
        <w:snapToGrid w:val="0"/>
        <w:spacing w:line="500" w:lineRule="exact"/>
        <w:ind w:firstLine="420" w:firstLineChars="200"/>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highlight w:val="none"/>
          <w:lang w:val="en-US" w:eastAsia="zh-CN" w:bidi="ar-SA"/>
        </w:rPr>
        <w:t>采购内容：</w:t>
      </w:r>
      <w:r>
        <w:rPr>
          <w:rFonts w:hint="eastAsia" w:ascii="宋体" w:hAnsi="宋体" w:eastAsia="宋体" w:cs="宋体"/>
          <w:b w:val="0"/>
          <w:bCs w:val="0"/>
          <w:color w:val="000000"/>
          <w:kern w:val="0"/>
          <w:sz w:val="21"/>
          <w:szCs w:val="21"/>
          <w:lang w:val="en-US" w:eastAsia="zh-CN" w:bidi="ar-SA"/>
        </w:rPr>
        <w:t>本工程施工图纸、采购文件（含工程量清单）等包含的全部内容。</w:t>
      </w:r>
    </w:p>
    <w:p>
      <w:pPr>
        <w:numPr>
          <w:ilvl w:val="0"/>
          <w:numId w:val="0"/>
        </w:numPr>
        <w:autoSpaceDE w:val="0"/>
        <w:autoSpaceDN w:val="0"/>
        <w:adjustRightInd w:val="0"/>
        <w:snapToGrid w:val="0"/>
        <w:spacing w:line="5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采购项目清单</w:t>
      </w:r>
      <w:r>
        <w:rPr>
          <w:rFonts w:hint="eastAsia" w:ascii="宋体" w:hAnsi="宋体" w:eastAsia="宋体" w:cs="宋体"/>
          <w:b/>
          <w:bCs/>
          <w:color w:val="auto"/>
          <w:sz w:val="21"/>
          <w:szCs w:val="21"/>
        </w:rPr>
        <w:t>：</w:t>
      </w:r>
    </w:p>
    <w:tbl>
      <w:tblPr>
        <w:tblStyle w:val="31"/>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57"/>
        <w:gridCol w:w="1875"/>
        <w:gridCol w:w="171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tcBorders>
              <w:bottom w:val="single" w:color="auto" w:sz="4" w:space="0"/>
              <w:right w:val="single" w:color="auto" w:sz="4" w:space="0"/>
            </w:tcBorders>
            <w:vAlign w:val="center"/>
          </w:tcPr>
          <w:p>
            <w:pPr>
              <w:pStyle w:val="9"/>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3357" w:type="dxa"/>
            <w:tcBorders>
              <w:left w:val="nil"/>
              <w:bottom w:val="single" w:color="auto" w:sz="4" w:space="0"/>
              <w:right w:val="single" w:color="auto" w:sz="4" w:space="0"/>
            </w:tcBorders>
            <w:vAlign w:val="center"/>
          </w:tcPr>
          <w:p>
            <w:pPr>
              <w:pStyle w:val="9"/>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标的名称</w:t>
            </w:r>
          </w:p>
        </w:tc>
        <w:tc>
          <w:tcPr>
            <w:tcW w:w="1875" w:type="dxa"/>
            <w:tcBorders>
              <w:left w:val="nil"/>
              <w:bottom w:val="single" w:color="auto" w:sz="4" w:space="0"/>
              <w:right w:val="single" w:color="auto" w:sz="4" w:space="0"/>
            </w:tcBorders>
            <w:vAlign w:val="center"/>
          </w:tcPr>
          <w:p>
            <w:pPr>
              <w:pStyle w:val="9"/>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710" w:type="dxa"/>
            <w:tcBorders>
              <w:left w:val="nil"/>
              <w:bottom w:val="single" w:color="auto" w:sz="4" w:space="0"/>
            </w:tcBorders>
            <w:vAlign w:val="center"/>
          </w:tcPr>
          <w:p>
            <w:pPr>
              <w:pStyle w:val="9"/>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资金预算</w:t>
            </w:r>
          </w:p>
        </w:tc>
        <w:tc>
          <w:tcPr>
            <w:tcW w:w="1664" w:type="dxa"/>
            <w:tcBorders>
              <w:left w:val="nil"/>
              <w:bottom w:val="single" w:color="auto" w:sz="4" w:space="0"/>
            </w:tcBorders>
            <w:vAlign w:val="center"/>
          </w:tcPr>
          <w:p>
            <w:pPr>
              <w:pStyle w:val="9"/>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3" w:type="dxa"/>
            <w:tcBorders>
              <w:top w:val="single" w:color="auto" w:sz="4" w:space="0"/>
              <w:right w:val="single" w:color="auto" w:sz="4" w:space="0"/>
            </w:tcBorders>
            <w:vAlign w:val="center"/>
          </w:tcPr>
          <w:p>
            <w:pPr>
              <w:pStyle w:val="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4"/>
                <w:szCs w:val="24"/>
                <w:lang w:val="en-US" w:eastAsia="zh-CN"/>
              </w:rPr>
              <w:t>1</w:t>
            </w:r>
          </w:p>
        </w:tc>
        <w:tc>
          <w:tcPr>
            <w:tcW w:w="3357" w:type="dxa"/>
            <w:tcBorders>
              <w:top w:val="single" w:color="auto" w:sz="4" w:space="0"/>
              <w:left w:val="nil"/>
              <w:right w:val="single" w:color="auto" w:sz="4" w:space="0"/>
            </w:tcBorders>
            <w:vAlign w:val="center"/>
          </w:tcPr>
          <w:p>
            <w:pPr>
              <w:pStyle w:val="9"/>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五号楼加建钢结构楼梯工程</w:t>
            </w:r>
          </w:p>
        </w:tc>
        <w:tc>
          <w:tcPr>
            <w:tcW w:w="1875" w:type="dxa"/>
            <w:tcBorders>
              <w:top w:val="single" w:color="auto" w:sz="4" w:space="0"/>
              <w:left w:val="nil"/>
              <w:right w:val="single" w:color="auto" w:sz="4" w:space="0"/>
            </w:tcBorders>
            <w:vAlign w:val="center"/>
          </w:tcPr>
          <w:p>
            <w:pPr>
              <w:pStyle w:val="9"/>
              <w:jc w:val="center"/>
              <w:rPr>
                <w:rFonts w:hint="eastAsia" w:ascii="宋体" w:hAnsi="宋体" w:eastAsia="宋体" w:cs="宋体"/>
                <w:bCs/>
                <w:color w:val="auto"/>
                <w:sz w:val="21"/>
                <w:szCs w:val="21"/>
                <w:lang w:val="en-US" w:eastAsia="zh-CN"/>
              </w:rPr>
            </w:pPr>
            <w:r>
              <w:rPr>
                <w:rFonts w:hint="eastAsia" w:ascii="宋体" w:hAnsi="宋体" w:eastAsia="宋体" w:cs="宋体"/>
                <w:color w:val="auto"/>
                <w:sz w:val="24"/>
                <w:szCs w:val="24"/>
                <w:lang w:val="en-US" w:eastAsia="zh-CN"/>
              </w:rPr>
              <w:t>详见清单</w:t>
            </w:r>
          </w:p>
        </w:tc>
        <w:tc>
          <w:tcPr>
            <w:tcW w:w="1710" w:type="dxa"/>
            <w:tcBorders>
              <w:top w:val="single" w:color="auto" w:sz="4" w:space="0"/>
              <w:left w:val="nil"/>
            </w:tcBorders>
            <w:vAlign w:val="center"/>
          </w:tcPr>
          <w:p>
            <w:pPr>
              <w:pStyle w:val="9"/>
              <w:ind w:left="0" w:leftChars="0" w:firstLine="0" w:firstLineChars="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49.9万元</w:t>
            </w:r>
          </w:p>
        </w:tc>
        <w:tc>
          <w:tcPr>
            <w:tcW w:w="1664" w:type="dxa"/>
            <w:tcBorders>
              <w:top w:val="single" w:color="auto" w:sz="4" w:space="0"/>
              <w:left w:val="nil"/>
            </w:tcBorders>
            <w:vAlign w:val="center"/>
          </w:tcPr>
          <w:p>
            <w:pPr>
              <w:pStyle w:val="9"/>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自筹</w:t>
            </w:r>
          </w:p>
        </w:tc>
      </w:tr>
    </w:tbl>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三、配置规格、附件及零配件（包括专用工具）：</w:t>
      </w:r>
      <w:r>
        <w:rPr>
          <w:rFonts w:hint="eastAsia" w:ascii="宋体" w:hAnsi="宋体" w:eastAsia="宋体" w:cs="宋体"/>
          <w:b w:val="0"/>
          <w:bCs w:val="0"/>
          <w:color w:val="auto"/>
          <w:kern w:val="0"/>
          <w:sz w:val="21"/>
          <w:szCs w:val="21"/>
          <w:highlight w:val="none"/>
          <w:lang w:val="en-US" w:eastAsia="zh-CN" w:bidi="ar-SA"/>
        </w:rPr>
        <w:t xml:space="preserve"> </w:t>
      </w:r>
    </w:p>
    <w:p>
      <w:pPr>
        <w:pStyle w:val="9"/>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①、详情见工程量清单。</w:t>
      </w:r>
    </w:p>
    <w:p>
      <w:pPr>
        <w:pStyle w:val="9"/>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 xml:space="preserve">②、工期为100天。                                                                        </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四、售后服务条件及交货日期（或工期）：</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①、质量承诺（包括质保期）；</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②、响应院方工期要求，若承诺的工期不能按时完成，按合同约定进行处罚；</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③、施工中做好施工组织，保证安全生产，防止人为的对场区管网的损坏。如有安全事故或对场区管网损坏，其造成的伤害事故及一切经济损失，由施工方承担全责；</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④、招标控制价及工程量清单的编制费用由中标方支付。</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center"/>
        <w:textAlignment w:val="auto"/>
        <w:rPr>
          <w:rFonts w:hint="eastAsia" w:ascii="宋体" w:hAnsi="宋体" w:eastAsia="宋体" w:cs="宋体"/>
          <w:b/>
          <w:bCs/>
          <w:kern w:val="0"/>
          <w:sz w:val="30"/>
          <w:szCs w:val="30"/>
          <w:highlight w:val="none"/>
        </w:rPr>
      </w:pPr>
      <w:r>
        <w:rPr>
          <w:rFonts w:hint="eastAsia" w:ascii="宋体" w:hAnsi="宋体" w:eastAsia="宋体" w:cs="宋体"/>
          <w:b/>
          <w:bCs/>
          <w:kern w:val="0"/>
          <w:sz w:val="30"/>
          <w:szCs w:val="30"/>
          <w:highlight w:val="none"/>
          <w:lang w:val="en-US" w:eastAsia="zh-CN"/>
        </w:rPr>
        <w:t>商务</w:t>
      </w:r>
      <w:r>
        <w:rPr>
          <w:rFonts w:hint="eastAsia" w:ascii="宋体" w:hAnsi="宋体" w:eastAsia="宋体" w:cs="宋体"/>
          <w:b/>
          <w:bCs/>
          <w:kern w:val="0"/>
          <w:sz w:val="30"/>
          <w:szCs w:val="30"/>
          <w:highlight w:val="none"/>
        </w:rPr>
        <w:t>要求</w:t>
      </w:r>
    </w:p>
    <w:tbl>
      <w:tblPr>
        <w:tblStyle w:val="31"/>
        <w:tblW w:w="9196" w:type="dxa"/>
        <w:jc w:val="center"/>
        <w:shd w:val="clear" w:color="auto" w:fill="FFFFFF"/>
        <w:tblLayout w:type="fixed"/>
        <w:tblCellMar>
          <w:top w:w="0" w:type="dxa"/>
          <w:left w:w="0" w:type="dxa"/>
          <w:bottom w:w="0" w:type="dxa"/>
          <w:right w:w="0" w:type="dxa"/>
        </w:tblCellMar>
      </w:tblPr>
      <w:tblGrid>
        <w:gridCol w:w="1760"/>
        <w:gridCol w:w="7436"/>
      </w:tblGrid>
      <w:tr>
        <w:tblPrEx>
          <w:shd w:val="clear" w:color="auto" w:fill="FFFFFF"/>
          <w:tblCellMar>
            <w:top w:w="0" w:type="dxa"/>
            <w:left w:w="0" w:type="dxa"/>
            <w:bottom w:w="0" w:type="dxa"/>
            <w:right w:w="0" w:type="dxa"/>
          </w:tblCellMar>
        </w:tblPrEx>
        <w:trPr>
          <w:trHeight w:val="549"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项目验收</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rPr>
              <w:t>由采购人按照有关规定组织验收。</w:t>
            </w:r>
          </w:p>
        </w:tc>
      </w:tr>
      <w:tr>
        <w:tblPrEx>
          <w:tblCellMar>
            <w:top w:w="0" w:type="dxa"/>
            <w:left w:w="0" w:type="dxa"/>
            <w:bottom w:w="0" w:type="dxa"/>
            <w:right w:w="0" w:type="dxa"/>
          </w:tblCellMar>
        </w:tblPrEx>
        <w:trPr>
          <w:trHeight w:val="813"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服务要求</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供应商必须提供详尽的服务，配备工作人员不得变动，严格按本章所列采购要求进行服务和工作，否则采购人有权解除合同、并要求赔偿损失。</w:t>
            </w:r>
          </w:p>
        </w:tc>
      </w:tr>
      <w:tr>
        <w:tblPrEx>
          <w:tblCellMar>
            <w:top w:w="0" w:type="dxa"/>
            <w:left w:w="0" w:type="dxa"/>
            <w:bottom w:w="0" w:type="dxa"/>
            <w:right w:w="0" w:type="dxa"/>
          </w:tblCellMar>
        </w:tblPrEx>
        <w:trPr>
          <w:trHeight w:val="578"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工期</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60天。</w:t>
            </w:r>
          </w:p>
        </w:tc>
      </w:tr>
      <w:tr>
        <w:tblPrEx>
          <w:tblCellMar>
            <w:top w:w="0" w:type="dxa"/>
            <w:left w:w="0" w:type="dxa"/>
            <w:bottom w:w="0" w:type="dxa"/>
            <w:right w:w="0" w:type="dxa"/>
          </w:tblCellMar>
        </w:tblPrEx>
        <w:trPr>
          <w:trHeight w:val="578"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CellMar>
            <w:top w:w="0" w:type="dxa"/>
            <w:left w:w="0" w:type="dxa"/>
            <w:bottom w:w="0" w:type="dxa"/>
            <w:right w:w="0" w:type="dxa"/>
          </w:tblCellMar>
        </w:tblPrEx>
        <w:trPr>
          <w:trHeight w:val="491"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付款方式</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CellMar>
            <w:top w:w="0" w:type="dxa"/>
            <w:left w:w="0" w:type="dxa"/>
            <w:bottom w:w="0" w:type="dxa"/>
            <w:right w:w="0" w:type="dxa"/>
          </w:tblCellMar>
        </w:tblPrEx>
        <w:trPr>
          <w:trHeight w:val="562"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质量要求</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合格。</w:t>
            </w:r>
          </w:p>
        </w:tc>
      </w:tr>
      <w:tr>
        <w:tblPrEx>
          <w:tblCellMar>
            <w:top w:w="0" w:type="dxa"/>
            <w:left w:w="0" w:type="dxa"/>
            <w:bottom w:w="0" w:type="dxa"/>
            <w:right w:w="0" w:type="dxa"/>
          </w:tblCellMar>
        </w:tblPrEx>
        <w:trPr>
          <w:trHeight w:val="562"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质保期为自验收合格后12个月，在质保期内工程发生缺陷或质量问题时，乙方在接到甲方故障通知后4小时内应委派专业技术人员到现场免费提供咨询、维修等服务，并与48小时内修复。</w:t>
            </w:r>
          </w:p>
        </w:tc>
      </w:tr>
      <w:bookmarkEnd w:id="29"/>
      <w:bookmarkEnd w:id="30"/>
    </w:tbl>
    <w:p>
      <w:pPr>
        <w:keepNext w:val="0"/>
        <w:keepLines w:val="0"/>
        <w:pageBreakBefore w:val="0"/>
        <w:kinsoku/>
        <w:wordWrap/>
        <w:overflowPunct/>
        <w:topLinePunct w:val="0"/>
        <w:autoSpaceDE/>
        <w:autoSpaceDN/>
        <w:bidi w:val="0"/>
        <w:adjustRightInd/>
        <w:snapToGrid w:val="0"/>
        <w:spacing w:afterAutospacing="0" w:line="500" w:lineRule="exact"/>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4"/>
        <w:gridCol w:w="7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7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val="0"/>
              <w:spacing w:afterAutospacing="0" w:line="500"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不接受联合体投标，不允许转包和分包。</w:t>
            </w:r>
          </w:p>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、授权评标委员会确定一名中标人并推荐两名中标候选人。</w:t>
            </w:r>
          </w:p>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hint="eastAsia" w:ascii="宋体" w:hAnsi="宋体" w:eastAsia="宋体" w:cs="宋体"/>
                <w:color w:val="auto"/>
                <w:spacing w:val="14"/>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pacing w:val="14"/>
                <w:szCs w:val="21"/>
                <w:highlight w:val="none"/>
              </w:rPr>
              <w:t>供应商应根据</w:t>
            </w:r>
            <w:r>
              <w:rPr>
                <w:rFonts w:hint="eastAsia" w:ascii="宋体" w:hAnsi="宋体" w:eastAsia="宋体" w:cs="宋体"/>
                <w:color w:val="auto"/>
                <w:spacing w:val="14"/>
                <w:szCs w:val="21"/>
                <w:highlight w:val="none"/>
                <w:lang w:eastAsia="zh-CN"/>
              </w:rPr>
              <w:t>采购</w:t>
            </w:r>
            <w:r>
              <w:rPr>
                <w:rFonts w:hint="eastAsia" w:ascii="宋体" w:hAnsi="宋体" w:eastAsia="宋体" w:cs="宋体"/>
                <w:color w:val="auto"/>
                <w:spacing w:val="14"/>
                <w:szCs w:val="21"/>
                <w:highlight w:val="none"/>
              </w:rPr>
              <w:t>文件的要求提供技术响应表、商务响应表等内容以对</w:t>
            </w:r>
            <w:r>
              <w:rPr>
                <w:rFonts w:hint="eastAsia" w:ascii="宋体" w:hAnsi="宋体" w:eastAsia="宋体" w:cs="宋体"/>
                <w:color w:val="auto"/>
                <w:spacing w:val="14"/>
                <w:szCs w:val="21"/>
                <w:highlight w:val="none"/>
                <w:lang w:eastAsia="zh-CN"/>
              </w:rPr>
              <w:t>采购</w:t>
            </w:r>
            <w:r>
              <w:rPr>
                <w:rFonts w:hint="eastAsia" w:ascii="宋体" w:hAnsi="宋体" w:eastAsia="宋体" w:cs="宋体"/>
                <w:color w:val="auto"/>
                <w:spacing w:val="14"/>
                <w:szCs w:val="21"/>
                <w:highlight w:val="none"/>
              </w:rPr>
              <w:t>文件作出响应。</w:t>
            </w:r>
          </w:p>
        </w:tc>
      </w:tr>
    </w:tbl>
    <w:p>
      <w:pPr>
        <w:pStyle w:val="9"/>
        <w:numPr>
          <w:ilvl w:val="0"/>
          <w:numId w:val="0"/>
        </w:numPr>
        <w:spacing w:after="0"/>
        <w:jc w:val="left"/>
        <w:rPr>
          <w:rFonts w:hint="eastAsia" w:ascii="宋体" w:hAnsi="宋体" w:eastAsia="宋体" w:cs="宋体"/>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35" w:name="_Toc28448"/>
      <w:r>
        <w:rPr>
          <w:rFonts w:hint="eastAsia" w:ascii="宋体" w:hAnsi="宋体" w:eastAsia="宋体" w:cs="宋体"/>
          <w:b/>
          <w:color w:val="auto"/>
          <w:sz w:val="32"/>
          <w:szCs w:val="32"/>
          <w:highlight w:val="none"/>
        </w:rPr>
        <w:t>第三章  投标人须知</w:t>
      </w:r>
      <w:bookmarkEnd w:id="35"/>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sz w:val="24"/>
                <w:szCs w:val="24"/>
                <w:highlight w:val="none"/>
              </w:rPr>
            </w:pPr>
            <w:bookmarkStart w:id="36" w:name="_Toc20328"/>
            <w:r>
              <w:rPr>
                <w:rFonts w:hint="eastAsia" w:ascii="宋体" w:hAnsi="宋体" w:eastAsia="宋体" w:cs="宋体"/>
                <w:color w:val="auto"/>
                <w:sz w:val="24"/>
                <w:szCs w:val="24"/>
                <w:highlight w:val="none"/>
              </w:rPr>
              <w:t>1.1 项目名称：</w:t>
            </w:r>
            <w:r>
              <w:rPr>
                <w:rFonts w:hint="eastAsia" w:ascii="宋体" w:hAnsi="宋体" w:eastAsia="宋体" w:cs="宋体"/>
                <w:color w:val="auto"/>
                <w:sz w:val="24"/>
                <w:szCs w:val="24"/>
                <w:highlight w:val="none"/>
                <w:lang w:val="en-US" w:eastAsia="zh-CN"/>
              </w:rPr>
              <w:t>驻马店市中心医院五号楼加建钢结构楼梯工程。</w:t>
            </w:r>
            <w:bookmarkEnd w:id="36"/>
          </w:p>
          <w:p>
            <w:pPr>
              <w:widowControl/>
              <w:snapToGrid w:val="0"/>
              <w:spacing w:line="440" w:lineRule="exact"/>
              <w:jc w:val="left"/>
              <w:outlineLvl w:val="0"/>
              <w:rPr>
                <w:rFonts w:hint="eastAsia" w:ascii="宋体" w:hAnsi="宋体" w:eastAsia="宋体" w:cs="宋体"/>
                <w:color w:val="auto"/>
                <w:sz w:val="24"/>
                <w:szCs w:val="24"/>
                <w:highlight w:val="none"/>
                <w:lang w:eastAsia="zh-CN"/>
              </w:rPr>
            </w:pPr>
            <w:bookmarkStart w:id="37" w:name="_Toc32599"/>
            <w:r>
              <w:rPr>
                <w:rFonts w:hint="eastAsia" w:ascii="宋体" w:hAnsi="宋体" w:eastAsia="宋体" w:cs="宋体"/>
                <w:color w:val="auto"/>
                <w:sz w:val="24"/>
                <w:szCs w:val="24"/>
                <w:highlight w:val="none"/>
              </w:rPr>
              <w:t>1.2 采购人名称：</w:t>
            </w:r>
            <w:r>
              <w:rPr>
                <w:rFonts w:hint="eastAsia" w:ascii="宋体" w:hAnsi="宋体" w:eastAsia="宋体" w:cs="宋体"/>
                <w:sz w:val="24"/>
                <w:szCs w:val="24"/>
              </w:rPr>
              <w:t>驻马店市中心医院</w:t>
            </w:r>
            <w:r>
              <w:rPr>
                <w:rFonts w:hint="eastAsia" w:ascii="宋体" w:hAnsi="宋体" w:eastAsia="宋体" w:cs="宋体"/>
                <w:sz w:val="24"/>
                <w:szCs w:val="24"/>
                <w:lang w:eastAsia="zh-CN"/>
              </w:rPr>
              <w:t>。</w:t>
            </w:r>
            <w:bookmarkEnd w:id="37"/>
          </w:p>
          <w:p>
            <w:pPr>
              <w:widowControl/>
              <w:snapToGrid w:val="0"/>
              <w:spacing w:line="440" w:lineRule="exact"/>
              <w:jc w:val="left"/>
              <w:outlineLvl w:val="0"/>
              <w:rPr>
                <w:rFonts w:hint="eastAsia" w:ascii="宋体" w:hAnsi="宋体" w:eastAsia="宋体" w:cs="宋体"/>
                <w:color w:val="auto"/>
                <w:kern w:val="2"/>
                <w:sz w:val="24"/>
                <w:szCs w:val="24"/>
                <w:highlight w:val="none"/>
                <w:lang w:val="en-US" w:eastAsia="zh-CN" w:bidi="ar-SA"/>
              </w:rPr>
            </w:pPr>
            <w:bookmarkStart w:id="38" w:name="_Toc21481"/>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r>
              <w:rPr>
                <w:rFonts w:hint="eastAsia" w:ascii="宋体" w:hAnsi="宋体" w:eastAsia="宋体" w:cs="宋体"/>
                <w:color w:val="auto"/>
                <w:sz w:val="24"/>
                <w:szCs w:val="24"/>
                <w:highlight w:val="none"/>
                <w:lang w:eastAsia="zh-CN"/>
              </w:rPr>
              <w:t>。</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49.9万元</w:t>
            </w:r>
            <w:r>
              <w:rPr>
                <w:rFonts w:hint="eastAsia" w:ascii="宋体" w:hAnsi="宋体" w:eastAsia="宋体" w:cs="宋体"/>
                <w:color w:val="auto"/>
                <w:kern w:val="0"/>
                <w:sz w:val="24"/>
                <w:szCs w:val="24"/>
                <w:highlight w:val="none"/>
                <w:lang w:eastAsia="zh-CN"/>
              </w:rPr>
              <w:t>。</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投标文件组成：纸质投标文件正本1份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官网</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val="en-US"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keepNext w:val="0"/>
        <w:keepLines w:val="0"/>
        <w:pageBreakBefore w:val="0"/>
        <w:widowControl/>
        <w:kinsoku/>
        <w:wordWrap/>
        <w:overflowPunct/>
        <w:topLinePunct w:val="0"/>
        <w:bidi w:val="0"/>
        <w:snapToGrid w:val="0"/>
        <w:spacing w:line="360" w:lineRule="auto"/>
        <w:jc w:val="left"/>
        <w:rPr>
          <w:rFonts w:hint="eastAsia" w:ascii="宋体" w:hAnsi="宋体" w:eastAsia="宋体" w:cs="宋体"/>
          <w:b/>
          <w:bCs/>
          <w:color w:val="auto"/>
          <w:kern w:val="0"/>
          <w:sz w:val="28"/>
          <w:szCs w:val="28"/>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“工程”系指供应商按竞争性</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49.9万元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lang w:val="en-US" w:eastAsia="zh-CN"/>
        </w:rPr>
        <w:t>、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供应商须须具有建设行政主管部门颁发的建筑工程施工总承包叁级及以上资质（含叁级）（且符合资质证书承揽范围）资质，具有合格有效的企业安全生产许可证；拟派项目经理须具有贰级或贰级以上建筑工程专业注册建造师资格，且具备有效的安全生产考核合格证书，且未担任其他在建工程。</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供应商应提供2022年度经审计的财务报告或者其基本开户银行出具的资信证明；采购活动前近三个月内或上个季度任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val="en-US"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质疑、投诉应当采用书面形式，质疑书、投诉书均应明确阐述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9 供应商信用承诺函（格式）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18.2 </w:t>
      </w:r>
      <w:r>
        <w:rPr>
          <w:rFonts w:hint="eastAsia" w:ascii="宋体" w:hAnsi="宋体" w:eastAsia="宋体" w:cs="宋体"/>
          <w:color w:val="000000"/>
          <w:kern w:val="0"/>
          <w:sz w:val="24"/>
          <w:szCs w:val="24"/>
        </w:rPr>
        <w:t>供应商要按初次报价一览表、工程量清单的内容填写</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18.4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w:t>
      </w:r>
      <w:r>
        <w:rPr>
          <w:rFonts w:hint="eastAsia" w:ascii="宋体" w:hAnsi="宋体" w:eastAsia="宋体" w:cs="宋体"/>
          <w:color w:val="auto"/>
          <w:kern w:val="0"/>
          <w:sz w:val="24"/>
          <w:szCs w:val="24"/>
          <w:highlight w:val="none"/>
          <w:lang w:val="en-US" w:eastAsia="zh-CN"/>
        </w:rPr>
        <w:t>工</w:t>
      </w:r>
      <w:r>
        <w:rPr>
          <w:rFonts w:hint="eastAsia" w:ascii="宋体" w:hAnsi="宋体" w:eastAsia="宋体" w:cs="宋体"/>
          <w:color w:val="auto"/>
          <w:kern w:val="0"/>
          <w:sz w:val="24"/>
          <w:szCs w:val="24"/>
          <w:highlight w:val="none"/>
        </w:rPr>
        <w:t>期、投标有效期、质量要求、技术标准和要求、</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.3 未按本章第2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.1项或第2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shd w:val="clear"/>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39"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39"/>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0"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0"/>
    <w:p>
      <w:pPr>
        <w:rPr>
          <w:rFonts w:hint="eastAsia" w:ascii="宋体" w:hAnsi="宋体" w:eastAsia="宋体" w:cs="宋体"/>
          <w:color w:val="auto"/>
          <w:highlight w:val="none"/>
        </w:rPr>
      </w:pPr>
      <w:bookmarkStart w:id="41" w:name="_Toc4700"/>
      <w:bookmarkStart w:id="42"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3" w:name="_Toc25863"/>
      <w:r>
        <w:rPr>
          <w:rFonts w:hint="eastAsia" w:ascii="宋体" w:hAnsi="宋体" w:eastAsia="宋体" w:cs="宋体"/>
          <w:b/>
          <w:bCs/>
          <w:color w:val="auto"/>
          <w:kern w:val="0"/>
          <w:sz w:val="32"/>
          <w:szCs w:val="32"/>
          <w:highlight w:val="none"/>
        </w:rPr>
        <w:t>第四章  评标办法及评分标准</w:t>
      </w:r>
      <w:bookmarkEnd w:id="41"/>
      <w:bookmarkEnd w:id="43"/>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3"/>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rPr>
              <w:t>分)</w:t>
            </w:r>
          </w:p>
        </w:tc>
        <w:tc>
          <w:tcPr>
            <w:tcW w:w="8243" w:type="dxa"/>
            <w:gridSpan w:val="2"/>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投标报价得分=（评标基准价/有效投标报价）×</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39" w:type="dxa"/>
            <w:vMerge w:val="restart"/>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工程质量</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（44分）</w:t>
            </w:r>
          </w:p>
        </w:tc>
        <w:tc>
          <w:tcPr>
            <w:tcW w:w="2140" w:type="dxa"/>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1.施工方案与技术措施（10分）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施工方案（含工程特点、施工重点与难点及绿色施工）总体安排合理，运用先进、合理的施工工艺、施工机械；对施工难点有先进、合理的建议。</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完全符合以上要求的得</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-10分；基本满足的得4-</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分；施工方案一般的得1-3分，缺项得0分。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39" w:type="dxa"/>
            <w:vMerge w:val="continue"/>
            <w:noWrap w:val="0"/>
            <w:vAlign w:val="center"/>
          </w:tcPr>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p>
        </w:tc>
        <w:tc>
          <w:tcPr>
            <w:tcW w:w="2140" w:type="dxa"/>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2.质量管理体系与措施（10分）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组织结构形式合理，有完善的质量监控系统，主体结构质量保障措施切实可行；按照工程建设强制性标准和其他技术标准施工，不存在偷工减料。</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完全满足以上要求的得</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-10分；基本满足以上要求的得4-</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分；措施一般的得1-3分；缺项得0分。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39" w:type="dxa"/>
            <w:vMerge w:val="continue"/>
            <w:noWrap w:val="0"/>
            <w:vAlign w:val="center"/>
          </w:tcPr>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p>
        </w:tc>
        <w:tc>
          <w:tcPr>
            <w:tcW w:w="2140" w:type="dxa"/>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3.安全管理体系与措施、文明施工措施、工期保证措施（1</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1）施工安全生产保障体系健全，全员安全责任制明确，现场安全管理组织机构、人员配备满足国家规定要求；</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2）文明施工措施符合有关文明施工、健康卫生的规定。</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3）工期承诺满足要求，工期保证措施合理且有针对性。</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完全满足以上要求的得11-1</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分；基本满足以上要求的得6-10分；措施一般的得1-5分；缺项得0分。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39" w:type="dxa"/>
            <w:vMerge w:val="continue"/>
            <w:noWrap w:val="0"/>
            <w:vAlign w:val="center"/>
          </w:tcPr>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p>
        </w:tc>
        <w:tc>
          <w:tcPr>
            <w:tcW w:w="2140" w:type="dxa"/>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4.拟投入资源配备计划（10分）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根据投标人拟投入的人员、机械设备、物资投入计划综合对比。</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配备合理、完全满足施工需要的得</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-10</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color w:val="auto"/>
                <w:sz w:val="24"/>
                <w:szCs w:val="24"/>
                <w:highlight w:val="none"/>
              </w:rPr>
              <w:t>；配备基本合理，基本满足施工需要的得4-</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分；一般满足采购需求的得1-3分，缺项得0分。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39" w:type="dxa"/>
            <w:vMerge w:val="restart"/>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16</w:t>
            </w:r>
            <w:r>
              <w:rPr>
                <w:rFonts w:hint="eastAsia" w:ascii="宋体" w:hAnsi="宋体" w:eastAsia="宋体" w:cs="宋体"/>
                <w:b w:val="0"/>
                <w:bCs w:val="0"/>
                <w:color w:val="auto"/>
                <w:sz w:val="24"/>
                <w:szCs w:val="24"/>
                <w:highlight w:val="none"/>
              </w:rPr>
              <w:t>分）</w:t>
            </w:r>
          </w:p>
        </w:tc>
        <w:tc>
          <w:tcPr>
            <w:tcW w:w="2140" w:type="dxa"/>
            <w:tcBorders>
              <w:top w:val="single" w:color="auto" w:sz="4" w:space="0"/>
            </w:tcBorders>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1.类似业绩（</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企业2021年1月1日以来具有类似工程业绩，每份得2分，最多得4分。（以合同为准）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39" w:type="dxa"/>
            <w:vMerge w:val="continue"/>
            <w:noWrap w:val="0"/>
            <w:vAlign w:val="center"/>
          </w:tcPr>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p>
        </w:tc>
        <w:tc>
          <w:tcPr>
            <w:tcW w:w="2140" w:type="dxa"/>
            <w:tcBorders>
              <w:top w:val="single" w:color="auto" w:sz="4" w:space="0"/>
            </w:tcBorders>
            <w:noWrap w:val="0"/>
            <w:vAlign w:val="center"/>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2.售后服务(12分)</w:t>
            </w:r>
          </w:p>
        </w:tc>
        <w:tc>
          <w:tcPr>
            <w:tcW w:w="6103" w:type="dxa"/>
            <w:noWrap w:val="0"/>
            <w:vAlign w:val="center"/>
          </w:tcPr>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根据投标人工程保修期内、外的优惠及服务承诺综合对比。</w:t>
            </w:r>
          </w:p>
          <w:p>
            <w:pPr>
              <w:keepNext w:val="0"/>
              <w:keepLines w:val="0"/>
              <w:pageBreakBefore w:val="0"/>
              <w:tabs>
                <w:tab w:val="left" w:pos="1620"/>
              </w:tabs>
              <w:kinsoku/>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服务内容科学、合理、针对性强、完善程度高的得9-12分；以上内容比较全面的得5-8分；完善程度一般的得1-4分；缺项的0分。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2"/>
    <w:p>
      <w:pPr>
        <w:rPr>
          <w:rFonts w:hint="eastAsia" w:ascii="宋体" w:hAnsi="宋体" w:eastAsia="宋体" w:cs="宋体"/>
          <w:color w:val="auto"/>
          <w:highlight w:val="none"/>
        </w:rPr>
      </w:pPr>
      <w:bookmarkStart w:id="44" w:name="_Toc1947"/>
      <w:bookmarkStart w:id="45" w:name="_Toc1482"/>
      <w:bookmarkStart w:id="46" w:name="_Toc256519703"/>
      <w:bookmarkStart w:id="47" w:name="_Toc326786897"/>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b/>
          <w:bCs/>
          <w:color w:val="auto"/>
          <w:kern w:val="0"/>
          <w:sz w:val="32"/>
          <w:szCs w:val="32"/>
          <w:highlight w:val="none"/>
        </w:rPr>
      </w:pPr>
      <w:bookmarkStart w:id="48" w:name="_Toc4444"/>
      <w:r>
        <w:rPr>
          <w:rFonts w:hint="eastAsia" w:ascii="宋体" w:hAnsi="宋体" w:eastAsia="宋体" w:cs="宋体"/>
          <w:b/>
          <w:bCs/>
          <w:color w:val="auto"/>
          <w:kern w:val="0"/>
          <w:sz w:val="32"/>
          <w:szCs w:val="32"/>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以实际合同为准</w:t>
      </w:r>
      <w:r>
        <w:rPr>
          <w:rFonts w:hint="eastAsia" w:ascii="宋体" w:hAnsi="宋体" w:eastAsia="宋体" w:cs="宋体"/>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b/>
          <w:bCs/>
          <w:color w:val="auto"/>
          <w:kern w:val="0"/>
          <w:sz w:val="32"/>
          <w:szCs w:val="32"/>
          <w:highlight w:val="none"/>
        </w:rPr>
      </w:pPr>
      <w:bookmarkStart w:id="49" w:name="_Toc2238"/>
      <w:r>
        <w:rPr>
          <w:rFonts w:hint="eastAsia" w:ascii="宋体" w:hAnsi="宋体" w:eastAsia="宋体" w:cs="宋体"/>
          <w:b/>
          <w:bCs/>
          <w:color w:val="auto"/>
          <w:kern w:val="0"/>
          <w:sz w:val="32"/>
          <w:szCs w:val="32"/>
          <w:highlight w:val="none"/>
        </w:rPr>
        <w:t>第六章  投标文件格式</w:t>
      </w:r>
      <w:bookmarkEnd w:id="44"/>
      <w:bookmarkEnd w:id="45"/>
      <w:bookmarkEnd w:id="49"/>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0" w:name="_Toc13604"/>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bookmarkEnd w:id="50"/>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1" w:name="_Toc11308"/>
      <w:r>
        <w:rPr>
          <w:rFonts w:hint="eastAsia" w:ascii="宋体" w:hAnsi="宋体" w:eastAsia="宋体" w:cs="宋体"/>
          <w:color w:val="auto"/>
          <w:sz w:val="24"/>
          <w:highlight w:val="none"/>
        </w:rPr>
        <w:t>附件1投标文件封面（格式）</w:t>
      </w:r>
      <w:bookmarkEnd w:id="51"/>
    </w:p>
    <w:p>
      <w:pPr>
        <w:snapToGrid w:val="0"/>
        <w:spacing w:line="360" w:lineRule="auto"/>
        <w:ind w:firstLine="480" w:firstLineChars="200"/>
        <w:rPr>
          <w:rFonts w:hint="eastAsia" w:ascii="宋体" w:hAnsi="宋体" w:eastAsia="宋体" w:cs="宋体"/>
          <w:color w:val="auto"/>
          <w:sz w:val="24"/>
          <w:highlight w:val="none"/>
        </w:rPr>
      </w:pPr>
      <w:bookmarkStart w:id="52" w:name="_Toc25345"/>
      <w:r>
        <w:rPr>
          <w:rFonts w:hint="eastAsia" w:ascii="宋体" w:hAnsi="宋体" w:eastAsia="宋体" w:cs="宋体"/>
          <w:color w:val="auto"/>
          <w:sz w:val="24"/>
          <w:highlight w:val="none"/>
        </w:rPr>
        <w:t>附件2 投标书（格式）</w:t>
      </w:r>
      <w:bookmarkEnd w:id="52"/>
    </w:p>
    <w:p>
      <w:pPr>
        <w:snapToGrid w:val="0"/>
        <w:spacing w:line="360" w:lineRule="auto"/>
        <w:ind w:firstLine="480" w:firstLineChars="200"/>
        <w:rPr>
          <w:rFonts w:hint="eastAsia" w:ascii="宋体" w:hAnsi="宋体" w:eastAsia="宋体" w:cs="宋体"/>
          <w:color w:val="auto"/>
          <w:sz w:val="24"/>
          <w:highlight w:val="none"/>
        </w:rPr>
      </w:pPr>
      <w:bookmarkStart w:id="53" w:name="_Toc10217"/>
      <w:r>
        <w:rPr>
          <w:rFonts w:hint="eastAsia" w:ascii="宋体" w:hAnsi="宋体" w:eastAsia="宋体" w:cs="宋体"/>
          <w:color w:val="auto"/>
          <w:sz w:val="24"/>
          <w:highlight w:val="none"/>
        </w:rPr>
        <w:t>附件3 开标一览表（格式）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9579"/>
      <w:r>
        <w:rPr>
          <w:rFonts w:hint="eastAsia" w:ascii="宋体" w:hAnsi="宋体" w:eastAsia="宋体" w:cs="宋体"/>
          <w:color w:val="auto"/>
          <w:sz w:val="24"/>
          <w:highlight w:val="none"/>
        </w:rPr>
        <w:t xml:space="preserve">附件4 </w:t>
      </w:r>
      <w:bookmarkEnd w:id="54"/>
      <w:r>
        <w:rPr>
          <w:rFonts w:hint="eastAsia" w:ascii="宋体" w:hAnsi="宋体" w:eastAsia="宋体" w:cs="宋体"/>
          <w:color w:val="auto"/>
          <w:sz w:val="24"/>
          <w:highlight w:val="none"/>
        </w:rPr>
        <w:t>法定代表人身份证明（格式）</w:t>
      </w:r>
    </w:p>
    <w:p>
      <w:pPr>
        <w:snapToGrid w:val="0"/>
        <w:spacing w:line="360" w:lineRule="auto"/>
        <w:ind w:firstLine="480" w:firstLineChars="200"/>
        <w:rPr>
          <w:rFonts w:hint="eastAsia" w:ascii="宋体" w:hAnsi="宋体" w:eastAsia="宋体" w:cs="宋体"/>
          <w:color w:val="auto"/>
          <w:sz w:val="24"/>
          <w:highlight w:val="none"/>
        </w:rPr>
      </w:pPr>
      <w:bookmarkStart w:id="55" w:name="_Toc28392"/>
      <w:r>
        <w:rPr>
          <w:rFonts w:hint="eastAsia" w:ascii="宋体" w:hAnsi="宋体" w:eastAsia="宋体" w:cs="宋体"/>
          <w:color w:val="auto"/>
          <w:sz w:val="24"/>
          <w:highlight w:val="none"/>
        </w:rPr>
        <w:t>附件5</w:t>
      </w:r>
      <w:bookmarkEnd w:id="55"/>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p>
    <w:p>
      <w:pPr>
        <w:snapToGrid w:val="0"/>
        <w:spacing w:line="360" w:lineRule="auto"/>
        <w:ind w:firstLine="480" w:firstLineChars="200"/>
        <w:rPr>
          <w:rFonts w:hint="eastAsia" w:ascii="宋体" w:hAnsi="宋体" w:eastAsia="宋体" w:cs="宋体"/>
          <w:color w:val="auto"/>
          <w:sz w:val="24"/>
          <w:highlight w:val="none"/>
        </w:rPr>
      </w:pPr>
      <w:bookmarkStart w:id="56" w:name="_Toc6234"/>
      <w:r>
        <w:rPr>
          <w:rFonts w:hint="eastAsia" w:ascii="宋体" w:hAnsi="宋体" w:eastAsia="宋体" w:cs="宋体"/>
          <w:color w:val="auto"/>
          <w:sz w:val="24"/>
          <w:highlight w:val="none"/>
        </w:rPr>
        <w:t xml:space="preserve">附件6 </w:t>
      </w:r>
      <w:bookmarkEnd w:id="56"/>
      <w:r>
        <w:rPr>
          <w:rFonts w:hint="eastAsia" w:ascii="宋体" w:hAnsi="宋体" w:eastAsia="宋体" w:cs="宋体"/>
          <w:color w:val="auto"/>
          <w:sz w:val="24"/>
          <w:highlight w:val="none"/>
        </w:rPr>
        <w:t>已标价的工程量清单</w:t>
      </w:r>
    </w:p>
    <w:p>
      <w:pPr>
        <w:snapToGrid w:val="0"/>
        <w:spacing w:line="360" w:lineRule="auto"/>
        <w:ind w:firstLine="480" w:firstLineChars="200"/>
        <w:rPr>
          <w:rFonts w:hint="eastAsia" w:ascii="宋体" w:hAnsi="宋体" w:eastAsia="宋体" w:cs="宋体"/>
          <w:color w:val="auto"/>
          <w:sz w:val="24"/>
          <w:highlight w:val="none"/>
        </w:rPr>
      </w:pPr>
      <w:bookmarkStart w:id="57"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bookmarkEnd w:id="57"/>
      <w:r>
        <w:rPr>
          <w:rFonts w:hint="eastAsia" w:ascii="宋体" w:hAnsi="宋体" w:eastAsia="宋体" w:cs="宋体"/>
          <w:color w:val="auto"/>
          <w:sz w:val="24"/>
          <w:highlight w:val="none"/>
        </w:rPr>
        <w:t>证明文件</w:t>
      </w:r>
    </w:p>
    <w:p>
      <w:pPr>
        <w:snapToGrid w:val="0"/>
        <w:spacing w:line="360" w:lineRule="auto"/>
        <w:ind w:firstLine="480" w:firstLineChars="200"/>
        <w:rPr>
          <w:rFonts w:hint="eastAsia" w:ascii="宋体" w:hAnsi="宋体" w:eastAsia="宋体" w:cs="宋体"/>
          <w:color w:val="auto"/>
          <w:sz w:val="24"/>
          <w:highlight w:val="none"/>
        </w:rPr>
      </w:pPr>
      <w:bookmarkStart w:id="58"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bookmarkEnd w:id="58"/>
      <w:r>
        <w:rPr>
          <w:rFonts w:hint="eastAsia" w:ascii="宋体" w:hAnsi="宋体" w:eastAsia="宋体" w:cs="宋体"/>
          <w:color w:val="auto"/>
          <w:sz w:val="24"/>
          <w:highlight w:val="none"/>
        </w:rPr>
        <w:t>供应商承诺书（格式）</w:t>
      </w:r>
    </w:p>
    <w:p>
      <w:pPr>
        <w:snapToGrid w:val="0"/>
        <w:spacing w:line="360" w:lineRule="auto"/>
        <w:ind w:firstLine="480" w:firstLineChars="200"/>
        <w:rPr>
          <w:rFonts w:hint="eastAsia" w:ascii="宋体" w:hAnsi="宋体" w:eastAsia="宋体" w:cs="宋体"/>
          <w:b/>
          <w:bCs/>
          <w:color w:val="auto"/>
          <w:kern w:val="0"/>
          <w:sz w:val="24"/>
          <w:highlight w:val="none"/>
        </w:rPr>
      </w:pPr>
      <w:bookmarkStart w:id="59" w:name="_Toc31857"/>
      <w:r>
        <w:rPr>
          <w:rFonts w:hint="eastAsia" w:ascii="宋体" w:hAnsi="宋体" w:eastAsia="宋体" w:cs="宋体"/>
          <w:color w:val="auto"/>
          <w:sz w:val="24"/>
          <w:highlight w:val="none"/>
        </w:rPr>
        <w:t xml:space="preserve">附件9 </w:t>
      </w:r>
      <w:bookmarkEnd w:id="59"/>
      <w:r>
        <w:rPr>
          <w:rFonts w:hint="eastAsia" w:ascii="宋体" w:hAnsi="宋体" w:eastAsia="宋体" w:cs="宋体"/>
          <w:color w:val="auto"/>
          <w:sz w:val="24"/>
          <w:highlight w:val="none"/>
        </w:rPr>
        <w:t xml:space="preserve"> 供应商信用承诺函（格式）</w:t>
      </w: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14"/>
        <w:rPr>
          <w:rFonts w:hint="eastAsia" w:ascii="宋体" w:hAnsi="宋体" w:eastAsia="宋体" w:cs="宋体"/>
          <w:b/>
          <w:bCs/>
          <w:color w:val="auto"/>
          <w:kern w:val="0"/>
          <w:sz w:val="24"/>
          <w:highlight w:val="none"/>
        </w:rPr>
      </w:pPr>
    </w:p>
    <w:p>
      <w:pPr>
        <w:pStyle w:val="48"/>
        <w:rPr>
          <w:rFonts w:hint="eastAsia" w:ascii="宋体" w:hAnsi="宋体" w:eastAsia="宋体" w:cs="宋体"/>
          <w:b/>
          <w:bCs/>
          <w:color w:val="auto"/>
          <w:highlight w:val="none"/>
        </w:rPr>
      </w:pPr>
    </w:p>
    <w:p>
      <w:pPr>
        <w:pStyle w:val="48"/>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5"/>
        <w:rPr>
          <w:rFonts w:hint="eastAsia" w:ascii="宋体" w:hAnsi="宋体" w:eastAsia="宋体" w:cs="宋体"/>
          <w:color w:val="auto"/>
          <w:highlight w:val="none"/>
        </w:rPr>
      </w:pPr>
    </w:p>
    <w:p>
      <w:pPr>
        <w:pStyle w:val="3"/>
        <w:rPr>
          <w:rFonts w:hint="eastAsia" w:ascii="宋体" w:hAnsi="宋体" w:eastAsia="宋体" w:cs="宋体"/>
          <w:color w:val="auto"/>
          <w:highlight w:val="none"/>
        </w:rPr>
      </w:pPr>
      <w:bookmarkStart w:id="60" w:name="_Toc31798"/>
      <w:bookmarkStart w:id="61" w:name="_Toc24743"/>
      <w:r>
        <w:rPr>
          <w:rFonts w:hint="eastAsia" w:ascii="宋体" w:hAnsi="宋体" w:eastAsia="宋体" w:cs="宋体"/>
          <w:color w:val="auto"/>
          <w:highlight w:val="none"/>
        </w:rPr>
        <w:t>附件1               投标文件封面（格式）</w:t>
      </w:r>
      <w:bookmarkEnd w:id="60"/>
      <w:bookmarkEnd w:id="61"/>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14"/>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bookmarkStart w:id="62" w:name="_Toc14560"/>
      <w:bookmarkStart w:id="63" w:name="_Toc8818"/>
      <w:r>
        <w:rPr>
          <w:rFonts w:hint="eastAsia" w:ascii="宋体" w:hAnsi="宋体" w:eastAsia="宋体" w:cs="宋体"/>
          <w:color w:val="auto"/>
          <w:highlight w:val="none"/>
        </w:rPr>
        <w:t>附件2               投  标  书（格式）</w:t>
      </w:r>
      <w:bookmarkEnd w:id="62"/>
      <w:bookmarkEnd w:id="63"/>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eastAsia="宋体" w:cs="宋体"/>
          <w:color w:val="auto"/>
          <w:kern w:val="0"/>
          <w:szCs w:val="21"/>
          <w:highlight w:val="none"/>
        </w:rPr>
        <w:t>。</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文件中规定的参加政府采购活动的投标人应当具备的条件。我方愿意向贵方提供任何与本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5、我方保证尊重评标委员会的评标结果，完全理解本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项目最低投标价不作为中标的保证。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12、如果被确定为中标供应商，我方同意按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13、如果被确定为中标供应商，我方同意在领取中标通知书之日起</w:t>
      </w:r>
      <w:r>
        <w:rPr>
          <w:rFonts w:hint="eastAsia" w:ascii="宋体" w:hAnsi="宋体" w:eastAsia="宋体" w:cs="宋体"/>
          <w:color w:val="auto"/>
          <w:kern w:val="0"/>
          <w:szCs w:val="21"/>
          <w:highlight w:val="none"/>
          <w:u w:val="single"/>
          <w:lang w:val="en-US" w:eastAsia="zh-CN"/>
        </w:rPr>
        <w:t xml:space="preserve"> 30 </w:t>
      </w:r>
      <w:r>
        <w:rPr>
          <w:rFonts w:hint="eastAsia" w:ascii="宋体" w:hAnsi="宋体" w:eastAsia="宋体" w:cs="宋体"/>
          <w:color w:val="auto"/>
          <w:kern w:val="0"/>
          <w:szCs w:val="21"/>
          <w:highlight w:val="none"/>
        </w:rPr>
        <w:t>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投标人代表签字</w:t>
      </w:r>
      <w:r>
        <w:rPr>
          <w:rFonts w:hint="eastAsia" w:ascii="宋体" w:hAnsi="宋体" w:eastAsia="宋体" w:cs="宋体"/>
          <w:color w:val="auto"/>
          <w:kern w:val="0"/>
          <w:szCs w:val="21"/>
          <w:highlight w:val="none"/>
          <w:lang w:val="en-US" w:eastAsia="zh-CN"/>
        </w:rPr>
        <w:t>或盖章</w:t>
      </w:r>
      <w:r>
        <w:rPr>
          <w:rFonts w:hint="eastAsia" w:ascii="宋体" w:hAnsi="宋体" w:eastAsia="宋体" w:cs="宋体"/>
          <w:color w:val="auto"/>
          <w:kern w:val="0"/>
          <w:szCs w:val="21"/>
          <w:highlight w:val="none"/>
        </w:rPr>
        <w:t xml:space="preserve">：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投标人：（全称并加盖公章）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3"/>
        <w:spacing w:before="20" w:after="20"/>
        <w:rPr>
          <w:rFonts w:hint="eastAsia" w:ascii="宋体" w:hAnsi="宋体" w:eastAsia="宋体" w:cs="宋体"/>
          <w:color w:val="auto"/>
          <w:highlight w:val="none"/>
        </w:rPr>
      </w:pPr>
      <w:bookmarkStart w:id="64" w:name="_Toc7838"/>
      <w:r>
        <w:rPr>
          <w:rFonts w:hint="eastAsia" w:ascii="宋体" w:hAnsi="宋体" w:eastAsia="宋体" w:cs="宋体"/>
          <w:color w:val="auto"/>
          <w:highlight w:val="none"/>
        </w:rPr>
        <w:t>附件3               开标一览表</w:t>
      </w:r>
      <w:bookmarkEnd w:id="64"/>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投标报价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eastAsia" w:ascii="宋体" w:hAnsi="宋体" w:eastAsia="宋体" w:cs="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eastAsia" w:ascii="宋体" w:hAnsi="宋体" w:eastAsia="宋体" w:cs="宋体"/>
                <w:color w:val="auto"/>
                <w:szCs w:val="21"/>
                <w:highlight w:val="none"/>
                <w:lang w:val="en-US" w:eastAsia="zh-CN"/>
              </w:rPr>
            </w:pPr>
            <w:r>
              <w:rPr>
                <w:rFonts w:hint="eastAsia" w:ascii="宋体" w:hAnsi="宋体" w:eastAsia="宋体" w:cs="宋体"/>
                <w:sz w:val="21"/>
                <w:szCs w:val="21"/>
              </w:rPr>
              <w:t>质量</w:t>
            </w:r>
          </w:p>
        </w:tc>
        <w:tc>
          <w:tcPr>
            <w:tcW w:w="7708" w:type="dxa"/>
            <w:noWrap/>
            <w:vAlign w:val="top"/>
          </w:tcPr>
          <w:p>
            <w:pPr>
              <w:autoSpaceDE w:val="0"/>
              <w:autoSpaceDN w:val="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投标有效期</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20"/>
              <w:ind w:left="0" w:leftChars="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2、以上报价应与“投标报价明细表”中的报价相一致。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4、投标人按格式填列，不得自行更改。否则引起的不利后果由投标人承担。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5" w:name="_Toc20877"/>
      <w:bookmarkStart w:id="66" w:name="_Toc11620"/>
      <w:r>
        <w:rPr>
          <w:rFonts w:hint="eastAsia" w:ascii="宋体" w:hAnsi="宋体" w:eastAsia="宋体" w:cs="宋体"/>
          <w:color w:val="auto"/>
          <w:szCs w:val="21"/>
          <w:highlight w:val="none"/>
        </w:rPr>
        <w:t>投标人（全称并加盖公章）：</w:t>
      </w:r>
      <w:bookmarkEnd w:id="65"/>
      <w:bookmarkEnd w:id="66"/>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67" w:name="_Toc12222"/>
      <w:bookmarkStart w:id="68" w:name="_Toc625"/>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kern w:val="0"/>
          <w:szCs w:val="21"/>
          <w:highlight w:val="none"/>
          <w:lang w:val="en-US" w:eastAsia="zh-CN"/>
        </w:rPr>
        <w:t>或盖章</w:t>
      </w:r>
      <w:r>
        <w:rPr>
          <w:rFonts w:hint="eastAsia" w:ascii="宋体" w:hAnsi="宋体" w:eastAsia="宋体" w:cs="宋体"/>
          <w:color w:val="auto"/>
          <w:szCs w:val="21"/>
          <w:highlight w:val="none"/>
        </w:rPr>
        <w:t>）：</w:t>
      </w:r>
      <w:bookmarkEnd w:id="67"/>
      <w:bookmarkEnd w:id="68"/>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9" w:name="_Toc9950"/>
      <w:bookmarkStart w:id="70" w:name="_Toc1330"/>
      <w:r>
        <w:rPr>
          <w:rFonts w:hint="eastAsia" w:ascii="宋体" w:hAnsi="宋体" w:eastAsia="宋体" w:cs="宋体"/>
          <w:color w:val="auto"/>
          <w:szCs w:val="21"/>
          <w:highlight w:val="none"/>
        </w:rPr>
        <w:t>年  月  日</w:t>
      </w:r>
      <w:bookmarkEnd w:id="69"/>
      <w:bookmarkEnd w:id="70"/>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6"/>
    <w:bookmarkEnd w:id="47"/>
    <w:p>
      <w:pPr>
        <w:pStyle w:val="30"/>
        <w:ind w:left="0" w:leftChars="0" w:firstLine="0" w:firstLineChars="0"/>
        <w:rPr>
          <w:rFonts w:hint="eastAsia" w:ascii="宋体" w:hAnsi="宋体" w:eastAsia="宋体" w:cs="宋体"/>
        </w:rPr>
      </w:pPr>
    </w:p>
    <w:p>
      <w:pPr>
        <w:widowControl/>
        <w:wordWrap w:val="0"/>
        <w:spacing w:line="460" w:lineRule="exact"/>
        <w:jc w:val="left"/>
        <w:outlineLvl w:val="0"/>
        <w:rPr>
          <w:rFonts w:hint="eastAsia" w:ascii="宋体" w:hAnsi="宋体" w:eastAsia="宋体" w:cs="宋体"/>
          <w:b/>
          <w:color w:val="auto"/>
          <w:sz w:val="28"/>
          <w:highlight w:val="none"/>
        </w:rPr>
      </w:pPr>
      <w:bookmarkStart w:id="71" w:name="_Toc31526"/>
      <w:bookmarkStart w:id="72" w:name="_Toc6952"/>
      <w:bookmarkStart w:id="73" w:name="_Toc28621"/>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4</w:t>
      </w:r>
      <w:r>
        <w:rPr>
          <w:rFonts w:hint="eastAsia" w:ascii="宋体" w:hAnsi="宋体" w:eastAsia="宋体" w:cs="宋体"/>
          <w:b/>
          <w:color w:val="auto"/>
          <w:sz w:val="28"/>
          <w:highlight w:val="none"/>
        </w:rPr>
        <w:t xml:space="preserve">               法定代表人身份证明（格式）</w:t>
      </w:r>
      <w:bookmarkEnd w:id="71"/>
      <w:bookmarkEnd w:id="72"/>
      <w:bookmarkEnd w:id="73"/>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（投标人名称）的法定代表人。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1"/>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74" w:name="_Toc13976"/>
      <w:bookmarkStart w:id="75" w:name="_Toc28969"/>
      <w:bookmarkStart w:id="76" w:name="_Toc30519"/>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r>
        <w:rPr>
          <w:rFonts w:hint="eastAsia" w:ascii="宋体" w:hAnsi="宋体" w:eastAsia="宋体" w:cs="宋体"/>
          <w:b/>
          <w:color w:val="auto"/>
          <w:sz w:val="28"/>
          <w:highlight w:val="none"/>
        </w:rPr>
        <w:t xml:space="preserve">               法定代表人授权书（格式）</w:t>
      </w:r>
      <w:bookmarkEnd w:id="74"/>
      <w:bookmarkEnd w:id="75"/>
      <w:bookmarkEnd w:id="76"/>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 xml:space="preserve">（投标人名称）的法定代表人，现委托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lang w:val="en-US" w:eastAsia="zh-CN"/>
        </w:rPr>
      </w:pPr>
      <w:bookmarkStart w:id="77" w:name="_Toc8862"/>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lang w:val="en-US" w:eastAsia="zh-CN"/>
        </w:rPr>
        <w:t xml:space="preserve">  </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lang w:val="en-US" w:eastAsia="zh-CN"/>
        </w:rPr>
        <w:t>已标价的工程量清单</w:t>
      </w:r>
      <w:bookmarkEnd w:id="77"/>
    </w:p>
    <w:p>
      <w:pPr>
        <w:pStyle w:val="48"/>
        <w:rPr>
          <w:rFonts w:hint="eastAsia" w:ascii="宋体" w:hAnsi="宋体" w:eastAsia="宋体" w:cs="宋体"/>
          <w:b/>
          <w:color w:val="auto"/>
          <w:kern w:val="0"/>
          <w:sz w:val="24"/>
          <w:highlight w:val="none"/>
        </w:rPr>
      </w:pPr>
    </w:p>
    <w:p>
      <w:pPr>
        <w:pStyle w:val="49"/>
        <w:rPr>
          <w:rFonts w:hint="eastAsia" w:ascii="宋体" w:hAnsi="宋体" w:eastAsia="宋体" w:cs="宋体"/>
          <w:b/>
          <w:color w:val="auto"/>
          <w:kern w:val="0"/>
          <w:sz w:val="24"/>
          <w:highlight w:val="none"/>
        </w:rPr>
      </w:pPr>
    </w:p>
    <w:p>
      <w:pPr>
        <w:pStyle w:val="8"/>
        <w:rPr>
          <w:rFonts w:hint="eastAsia" w:ascii="宋体" w:hAnsi="宋体" w:eastAsia="宋体" w:cs="宋体"/>
          <w:b/>
          <w:color w:val="auto"/>
          <w:kern w:val="0"/>
          <w:sz w:val="24"/>
          <w:highlight w:val="none"/>
        </w:rPr>
      </w:pPr>
    </w:p>
    <w:p>
      <w:pPr>
        <w:pStyle w:val="48"/>
        <w:rPr>
          <w:rFonts w:hint="eastAsia" w:ascii="宋体" w:hAnsi="宋体" w:eastAsia="宋体" w:cs="宋体"/>
          <w:b/>
          <w:color w:val="auto"/>
          <w:kern w:val="0"/>
          <w:sz w:val="24"/>
          <w:highlight w:val="none"/>
        </w:rPr>
      </w:pPr>
    </w:p>
    <w:p>
      <w:pPr>
        <w:pStyle w:val="49"/>
        <w:rPr>
          <w:rFonts w:hint="eastAsia" w:ascii="宋体" w:hAnsi="宋体" w:eastAsia="宋体" w:cs="宋体"/>
          <w:b/>
          <w:color w:val="auto"/>
          <w:kern w:val="0"/>
          <w:sz w:val="24"/>
          <w:highlight w:val="none"/>
        </w:rPr>
      </w:pPr>
    </w:p>
    <w:p>
      <w:pPr>
        <w:pStyle w:val="8"/>
        <w:rPr>
          <w:rFonts w:hint="eastAsia" w:ascii="宋体" w:hAnsi="宋体" w:eastAsia="宋体" w:cs="宋体"/>
          <w:b/>
          <w:color w:val="auto"/>
          <w:kern w:val="0"/>
          <w:sz w:val="24"/>
          <w:highlight w:val="none"/>
        </w:rPr>
      </w:pPr>
    </w:p>
    <w:p>
      <w:pPr>
        <w:pStyle w:val="47"/>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p>
    <w:p>
      <w:pPr>
        <w:pStyle w:val="48"/>
        <w:rPr>
          <w:rFonts w:hint="eastAsia" w:ascii="宋体" w:hAnsi="宋体" w:eastAsia="宋体" w:cs="宋体"/>
        </w:rPr>
      </w:pPr>
    </w:p>
    <w:p>
      <w:pPr>
        <w:widowControl/>
        <w:snapToGrid w:val="0"/>
        <w:spacing w:before="156" w:after="156" w:line="360" w:lineRule="auto"/>
        <w:jc w:val="left"/>
        <w:outlineLvl w:val="0"/>
        <w:rPr>
          <w:rFonts w:hint="eastAsia" w:ascii="宋体" w:hAnsi="宋体" w:eastAsia="宋体" w:cs="宋体"/>
          <w:b/>
          <w:color w:val="auto"/>
          <w:sz w:val="28"/>
          <w:highlight w:val="none"/>
        </w:rPr>
        <w:sectPr>
          <w:pgSz w:w="11906" w:h="16838"/>
          <w:pgMar w:top="1417" w:right="1474" w:bottom="1417" w:left="1474" w:header="851" w:footer="624" w:gutter="0"/>
          <w:pgNumType w:fmt="decimal"/>
          <w:cols w:space="720" w:num="1"/>
          <w:docGrid w:type="lines" w:linePitch="319" w:charSpace="0"/>
        </w:sectPr>
      </w:pPr>
      <w:bookmarkStart w:id="78" w:name="_Toc24693"/>
      <w:bookmarkStart w:id="79" w:name="_Toc18105"/>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0" w:name="_Toc8773"/>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r>
        <w:rPr>
          <w:rFonts w:hint="eastAsia" w:ascii="宋体" w:hAnsi="宋体" w:eastAsia="宋体" w:cs="宋体"/>
          <w:b/>
          <w:color w:val="auto"/>
          <w:sz w:val="28"/>
          <w:highlight w:val="none"/>
        </w:rPr>
        <w:t xml:space="preserve">               证明文件</w:t>
      </w:r>
      <w:bookmarkEnd w:id="78"/>
      <w:bookmarkEnd w:id="79"/>
      <w:bookmarkEnd w:id="80"/>
    </w:p>
    <w:p>
      <w:pPr>
        <w:pStyle w:val="7"/>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7"/>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7"/>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1" w:name="_Toc17966"/>
    </w:p>
    <w:p>
      <w:pPr>
        <w:pStyle w:val="7"/>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7"/>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7"/>
        <w:spacing w:beforeAutospacing="0" w:afterAutospacing="0" w:line="480" w:lineRule="auto"/>
        <w:ind w:firstLine="540" w:firstLineChars="224"/>
        <w:jc w:val="both"/>
        <w:rPr>
          <w:rFonts w:hint="eastAsia" w:ascii="宋体" w:hAnsi="宋体" w:eastAsia="宋体" w:cs="宋体"/>
          <w:b/>
          <w:bCs/>
          <w:color w:val="auto"/>
          <w:highlight w:val="none"/>
        </w:rPr>
      </w:pPr>
    </w:p>
    <w:p>
      <w:pPr>
        <w:widowControl/>
        <w:snapToGrid w:val="0"/>
        <w:spacing w:line="360" w:lineRule="auto"/>
        <w:jc w:val="left"/>
        <w:outlineLvl w:val="0"/>
        <w:rPr>
          <w:rFonts w:hint="eastAsia" w:ascii="宋体" w:hAnsi="宋体" w:eastAsia="宋体" w:cs="宋体"/>
          <w:b/>
          <w:color w:val="auto"/>
          <w:kern w:val="0"/>
          <w:sz w:val="28"/>
          <w:szCs w:val="28"/>
          <w:highlight w:val="none"/>
        </w:rPr>
      </w:pPr>
      <w:bookmarkStart w:id="82" w:name="_Toc7150"/>
      <w:bookmarkStart w:id="83" w:name="_Toc12888"/>
      <w:bookmarkStart w:id="84" w:name="_Toc13726"/>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8</w:t>
      </w:r>
      <w:r>
        <w:rPr>
          <w:rFonts w:hint="eastAsia" w:ascii="宋体" w:hAnsi="宋体" w:eastAsia="宋体" w:cs="宋体"/>
          <w:b/>
          <w:color w:val="auto"/>
          <w:kern w:val="0"/>
          <w:sz w:val="28"/>
          <w:szCs w:val="28"/>
          <w:highlight w:val="none"/>
        </w:rPr>
        <w:t xml:space="preserve">      </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b/>
          <w:color w:val="auto"/>
          <w:kern w:val="0"/>
          <w:sz w:val="28"/>
          <w:szCs w:val="28"/>
          <w:highlight w:val="none"/>
        </w:rPr>
        <w:t xml:space="preserve"> </w:t>
      </w:r>
      <w:bookmarkEnd w:id="81"/>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2"/>
      <w:bookmarkEnd w:id="83"/>
      <w:bookmarkEnd w:id="84"/>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法定代表人或委托人（签字</w:t>
      </w:r>
      <w:r>
        <w:rPr>
          <w:rFonts w:hint="eastAsia" w:ascii="宋体" w:hAnsi="宋体" w:eastAsia="宋体" w:cs="宋体"/>
          <w:sz w:val="24"/>
          <w:szCs w:val="24"/>
          <w:lang w:val="en-US" w:eastAsia="zh-CN"/>
        </w:rPr>
        <w:t>或盖章</w:t>
      </w:r>
      <w:r>
        <w:rPr>
          <w:rFonts w:hint="eastAsia" w:ascii="宋体" w:hAnsi="宋体" w:eastAsia="宋体" w:cs="宋体"/>
          <w:sz w:val="24"/>
          <w:szCs w:val="24"/>
        </w:rPr>
        <w:t>）：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bidi w:val="0"/>
        <w:rPr>
          <w:rFonts w:hint="eastAsia" w:ascii="宋体" w:hAnsi="宋体" w:eastAsia="宋体" w:cs="宋体"/>
          <w:lang w:val="en-US" w:eastAsia="zh-CN"/>
        </w:rPr>
      </w:pPr>
    </w:p>
    <w:p>
      <w:pPr>
        <w:jc w:val="left"/>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color w:val="auto"/>
          <w:kern w:val="0"/>
          <w:sz w:val="28"/>
          <w:szCs w:val="28"/>
          <w:highlight w:val="none"/>
          <w:lang w:val="en-US" w:eastAsia="zh-CN"/>
        </w:rPr>
        <w:t xml:space="preserve">附件9 </w:t>
      </w:r>
      <w:r>
        <w:rPr>
          <w:rFonts w:hint="eastAsia" w:ascii="宋体" w:hAnsi="宋体" w:eastAsia="宋体" w:cs="宋体"/>
          <w:b/>
          <w:color w:val="auto"/>
          <w:kern w:val="0"/>
          <w:sz w:val="24"/>
          <w:highlight w:val="none"/>
          <w:lang w:val="en-US" w:eastAsia="zh-CN"/>
        </w:rPr>
        <w:t xml:space="preserve">                  </w:t>
      </w:r>
      <w:r>
        <w:rPr>
          <w:rFonts w:hint="eastAsia" w:ascii="宋体" w:hAnsi="宋体" w:eastAsia="宋体" w:cs="宋体"/>
          <w:b/>
          <w:bCs/>
          <w:color w:val="auto"/>
          <w:kern w:val="2"/>
          <w:sz w:val="28"/>
          <w:szCs w:val="18"/>
          <w:highlight w:val="none"/>
          <w:lang w:val="en-US" w:eastAsia="zh-CN" w:bidi="ar-SA"/>
        </w:rPr>
        <w:t>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highlight w:val="none"/>
        </w:rPr>
      </w:pPr>
      <w:r>
        <w:rPr>
          <w:rFonts w:hint="eastAsia" w:ascii="宋体" w:hAnsi="宋体" w:eastAsia="宋体" w:cs="宋体"/>
          <w:color w:val="auto"/>
          <w:sz w:val="24"/>
          <w:szCs w:val="24"/>
          <w:highlight w:val="none"/>
          <w:lang w:val="en-US" w:eastAsia="zh-CN"/>
        </w:rPr>
        <w:t>（四）有依法缴纳税收和社会保障资金的良好</w:t>
      </w:r>
      <w:r>
        <w:rPr>
          <w:rFonts w:hint="eastAsia" w:ascii="宋体" w:hAnsi="宋体" w:eastAsia="宋体" w:cs="宋体"/>
          <w:sz w:val="32"/>
          <w:szCs w:val="32"/>
          <w:highlight w:val="none"/>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2.供应商的法定代表人或者授权代表的签字或盖章应真实、有效，如由授权代表签字或盖章的，应提供“法定代表人授权书”。</w:t>
      </w:r>
    </w:p>
    <w:p>
      <w:pPr>
        <w:spacing w:line="360" w:lineRule="auto"/>
        <w:ind w:left="370" w:leftChars="176"/>
        <w:rPr>
          <w:rFonts w:hint="eastAsia" w:ascii="宋体" w:hAnsi="宋体" w:eastAsia="宋体" w:cs="宋体"/>
          <w:b/>
          <w:color w:val="auto"/>
          <w:szCs w:val="21"/>
          <w:highlight w:val="none"/>
        </w:rPr>
      </w:pPr>
    </w:p>
    <w:p>
      <w:pPr>
        <w:rPr>
          <w:rFonts w:hint="eastAsia" w:ascii="宋体" w:hAnsi="宋体" w:eastAsia="宋体" w:cs="宋体"/>
          <w:color w:val="auto"/>
          <w:highlight w:val="none"/>
        </w:rPr>
      </w:pPr>
    </w:p>
    <w:p>
      <w:pPr>
        <w:pStyle w:val="47"/>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5" w:name="_Toc23394"/>
      <w:bookmarkStart w:id="86" w:name="_Toc25094"/>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7" w:name="_Toc26373"/>
      <w:r>
        <w:rPr>
          <w:rFonts w:hint="eastAsia" w:ascii="宋体" w:hAnsi="宋体" w:eastAsia="宋体" w:cs="宋体"/>
          <w:b/>
          <w:color w:val="auto"/>
          <w:kern w:val="0"/>
          <w:sz w:val="24"/>
          <w:highlight w:val="none"/>
        </w:rPr>
        <w:t>投标人认为有必要的其他资料</w:t>
      </w:r>
      <w:bookmarkEnd w:id="85"/>
      <w:bookmarkEnd w:id="86"/>
      <w:bookmarkEnd w:id="87"/>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备注：投标人应当仔细核对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文件中有关废标条款和评标标准，提供投标人认为应当附加的其它内容，以充分证明其投标符合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default"/>
        <w:lang w:val="en-US" w:eastAsia="zh-CN"/>
      </w:rPr>
    </w:pPr>
    <w:r>
      <w:rPr>
        <w:rFonts w:hint="eastAsia"/>
        <w:lang w:val="en-US" w:eastAsia="zh-CN"/>
      </w:rPr>
      <w:t>驻马店市中心医院五号楼加建钢结构楼梯工程采购文件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default"/>
        <w:lang w:val="en-US"/>
      </w:rPr>
    </w:pPr>
    <w:r>
      <w:rPr>
        <w:rFonts w:hint="eastAsia"/>
        <w:lang w:val="en-US" w:eastAsia="zh-CN"/>
      </w:rPr>
      <w:t>驻马店市中心医院五号楼加建钢结构楼梯工程采购文件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3712F7"/>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243B71"/>
    <w:rsid w:val="036A009A"/>
    <w:rsid w:val="03844805"/>
    <w:rsid w:val="03845791"/>
    <w:rsid w:val="03A011E9"/>
    <w:rsid w:val="03AE7F27"/>
    <w:rsid w:val="03BD2BCD"/>
    <w:rsid w:val="03FD2384"/>
    <w:rsid w:val="04416C20"/>
    <w:rsid w:val="047968B1"/>
    <w:rsid w:val="047F5667"/>
    <w:rsid w:val="04870542"/>
    <w:rsid w:val="052A7E2A"/>
    <w:rsid w:val="05545DD3"/>
    <w:rsid w:val="055A081C"/>
    <w:rsid w:val="05613BBA"/>
    <w:rsid w:val="056E2AD6"/>
    <w:rsid w:val="05806815"/>
    <w:rsid w:val="058251D3"/>
    <w:rsid w:val="05945CCE"/>
    <w:rsid w:val="059943D9"/>
    <w:rsid w:val="059D05A4"/>
    <w:rsid w:val="059D5E17"/>
    <w:rsid w:val="05AB0A28"/>
    <w:rsid w:val="05AB0F81"/>
    <w:rsid w:val="05B93D6B"/>
    <w:rsid w:val="05D53002"/>
    <w:rsid w:val="05D75738"/>
    <w:rsid w:val="061E7D14"/>
    <w:rsid w:val="06560AED"/>
    <w:rsid w:val="066469C9"/>
    <w:rsid w:val="066646A1"/>
    <w:rsid w:val="066761DB"/>
    <w:rsid w:val="06983B20"/>
    <w:rsid w:val="069A3B66"/>
    <w:rsid w:val="06B91765"/>
    <w:rsid w:val="06CA2AD2"/>
    <w:rsid w:val="06CE3071"/>
    <w:rsid w:val="06D33DBA"/>
    <w:rsid w:val="06E13F9F"/>
    <w:rsid w:val="06FB0AC5"/>
    <w:rsid w:val="070659F4"/>
    <w:rsid w:val="070D2D5D"/>
    <w:rsid w:val="07111B8D"/>
    <w:rsid w:val="074A5B92"/>
    <w:rsid w:val="075E3193"/>
    <w:rsid w:val="078E18EB"/>
    <w:rsid w:val="07B10EA5"/>
    <w:rsid w:val="07CE3FA1"/>
    <w:rsid w:val="07EC2ECB"/>
    <w:rsid w:val="07F641EF"/>
    <w:rsid w:val="07FE66CB"/>
    <w:rsid w:val="080B4D47"/>
    <w:rsid w:val="08321601"/>
    <w:rsid w:val="083622CC"/>
    <w:rsid w:val="083D5C91"/>
    <w:rsid w:val="0847191F"/>
    <w:rsid w:val="08591DC3"/>
    <w:rsid w:val="086D4B57"/>
    <w:rsid w:val="087C4541"/>
    <w:rsid w:val="087E5595"/>
    <w:rsid w:val="08C52D6F"/>
    <w:rsid w:val="08EF0201"/>
    <w:rsid w:val="08F41DE8"/>
    <w:rsid w:val="090D3FBD"/>
    <w:rsid w:val="09737462"/>
    <w:rsid w:val="099156C3"/>
    <w:rsid w:val="09A53F39"/>
    <w:rsid w:val="09A60E13"/>
    <w:rsid w:val="09D206F0"/>
    <w:rsid w:val="0A321AC2"/>
    <w:rsid w:val="0A343D4E"/>
    <w:rsid w:val="0A36039E"/>
    <w:rsid w:val="0A3E6D2E"/>
    <w:rsid w:val="0AD13A85"/>
    <w:rsid w:val="0B091954"/>
    <w:rsid w:val="0B637D77"/>
    <w:rsid w:val="0BAB6B6A"/>
    <w:rsid w:val="0BAC324F"/>
    <w:rsid w:val="0BC65752"/>
    <w:rsid w:val="0BF72F1E"/>
    <w:rsid w:val="0C3957A5"/>
    <w:rsid w:val="0C626DA7"/>
    <w:rsid w:val="0C6876AE"/>
    <w:rsid w:val="0C720EC8"/>
    <w:rsid w:val="0C942042"/>
    <w:rsid w:val="0C943AA2"/>
    <w:rsid w:val="0C9D50DC"/>
    <w:rsid w:val="0CA13776"/>
    <w:rsid w:val="0CA5271D"/>
    <w:rsid w:val="0CAC4D10"/>
    <w:rsid w:val="0CC72121"/>
    <w:rsid w:val="0CE61730"/>
    <w:rsid w:val="0CEE5A21"/>
    <w:rsid w:val="0D0646E7"/>
    <w:rsid w:val="0D0C38CA"/>
    <w:rsid w:val="0D0E45B2"/>
    <w:rsid w:val="0D103128"/>
    <w:rsid w:val="0D224C0A"/>
    <w:rsid w:val="0DAB2E51"/>
    <w:rsid w:val="0DC577E0"/>
    <w:rsid w:val="0DCC452A"/>
    <w:rsid w:val="0DDC6319"/>
    <w:rsid w:val="0E0C0D4C"/>
    <w:rsid w:val="0E115DA1"/>
    <w:rsid w:val="0E162D6D"/>
    <w:rsid w:val="0E541CA2"/>
    <w:rsid w:val="0E594756"/>
    <w:rsid w:val="0E7D5A1E"/>
    <w:rsid w:val="0E95596D"/>
    <w:rsid w:val="0EAE6205"/>
    <w:rsid w:val="0EAE6579"/>
    <w:rsid w:val="0EAF71BF"/>
    <w:rsid w:val="0ECE6257"/>
    <w:rsid w:val="0EE4129D"/>
    <w:rsid w:val="0F171032"/>
    <w:rsid w:val="0F335E69"/>
    <w:rsid w:val="0F3D59C9"/>
    <w:rsid w:val="0F423341"/>
    <w:rsid w:val="0F516D5A"/>
    <w:rsid w:val="0F565B36"/>
    <w:rsid w:val="0F76123D"/>
    <w:rsid w:val="0F821E7D"/>
    <w:rsid w:val="0F841840"/>
    <w:rsid w:val="0FA933C0"/>
    <w:rsid w:val="0FE7592C"/>
    <w:rsid w:val="0FFD20F0"/>
    <w:rsid w:val="103340EE"/>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415F0"/>
    <w:rsid w:val="1196056D"/>
    <w:rsid w:val="11AD38A1"/>
    <w:rsid w:val="11D34654"/>
    <w:rsid w:val="12010480"/>
    <w:rsid w:val="120E707F"/>
    <w:rsid w:val="127A7D1C"/>
    <w:rsid w:val="12836D8B"/>
    <w:rsid w:val="12891287"/>
    <w:rsid w:val="12984039"/>
    <w:rsid w:val="12AB0349"/>
    <w:rsid w:val="12B05686"/>
    <w:rsid w:val="12CB18A0"/>
    <w:rsid w:val="12CD57F1"/>
    <w:rsid w:val="12CE7AFA"/>
    <w:rsid w:val="12D67466"/>
    <w:rsid w:val="132316DC"/>
    <w:rsid w:val="13272A5D"/>
    <w:rsid w:val="13493108"/>
    <w:rsid w:val="13733928"/>
    <w:rsid w:val="13925C0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DF17B7"/>
    <w:rsid w:val="14E002E6"/>
    <w:rsid w:val="14FC36BD"/>
    <w:rsid w:val="151E3A0F"/>
    <w:rsid w:val="1557566D"/>
    <w:rsid w:val="15811F1B"/>
    <w:rsid w:val="15A30135"/>
    <w:rsid w:val="15A34015"/>
    <w:rsid w:val="15D66ED9"/>
    <w:rsid w:val="15E2236F"/>
    <w:rsid w:val="16197B6B"/>
    <w:rsid w:val="161A5018"/>
    <w:rsid w:val="161D09ED"/>
    <w:rsid w:val="162323A3"/>
    <w:rsid w:val="162F30B1"/>
    <w:rsid w:val="16510F12"/>
    <w:rsid w:val="166448F9"/>
    <w:rsid w:val="1677211D"/>
    <w:rsid w:val="167954F9"/>
    <w:rsid w:val="169F376F"/>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7A31AA"/>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A30E80"/>
    <w:rsid w:val="1A125525"/>
    <w:rsid w:val="1A562AB7"/>
    <w:rsid w:val="1A5F4342"/>
    <w:rsid w:val="1A8C57B1"/>
    <w:rsid w:val="1A8C5D82"/>
    <w:rsid w:val="1A994988"/>
    <w:rsid w:val="1A9B546C"/>
    <w:rsid w:val="1AA3511F"/>
    <w:rsid w:val="1AA66729"/>
    <w:rsid w:val="1AAE3B54"/>
    <w:rsid w:val="1AC10987"/>
    <w:rsid w:val="1AEE5218"/>
    <w:rsid w:val="1B0C5B32"/>
    <w:rsid w:val="1B0D3E82"/>
    <w:rsid w:val="1B1652AB"/>
    <w:rsid w:val="1B181CD5"/>
    <w:rsid w:val="1B265306"/>
    <w:rsid w:val="1B4F2450"/>
    <w:rsid w:val="1B8847D2"/>
    <w:rsid w:val="1B8C18B7"/>
    <w:rsid w:val="1BB73AE1"/>
    <w:rsid w:val="1BDA6D68"/>
    <w:rsid w:val="1C555978"/>
    <w:rsid w:val="1C6554A1"/>
    <w:rsid w:val="1C7971B7"/>
    <w:rsid w:val="1C9E598F"/>
    <w:rsid w:val="1CD402EC"/>
    <w:rsid w:val="1CD625CB"/>
    <w:rsid w:val="1CF02333"/>
    <w:rsid w:val="1D0C33A2"/>
    <w:rsid w:val="1D113E6E"/>
    <w:rsid w:val="1D114E5E"/>
    <w:rsid w:val="1D1A7DC4"/>
    <w:rsid w:val="1D1F0050"/>
    <w:rsid w:val="1D2222DC"/>
    <w:rsid w:val="1D2D3938"/>
    <w:rsid w:val="1D3650CA"/>
    <w:rsid w:val="1D584EA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275CE4"/>
    <w:rsid w:val="20310B02"/>
    <w:rsid w:val="206F0406"/>
    <w:rsid w:val="20784063"/>
    <w:rsid w:val="207E346A"/>
    <w:rsid w:val="208E12C3"/>
    <w:rsid w:val="209502A3"/>
    <w:rsid w:val="20A025BE"/>
    <w:rsid w:val="210F579E"/>
    <w:rsid w:val="21126445"/>
    <w:rsid w:val="212550B5"/>
    <w:rsid w:val="21592B62"/>
    <w:rsid w:val="21673B6E"/>
    <w:rsid w:val="21747CD2"/>
    <w:rsid w:val="219E5782"/>
    <w:rsid w:val="21E72B0B"/>
    <w:rsid w:val="221F2D96"/>
    <w:rsid w:val="22246DB1"/>
    <w:rsid w:val="22440067"/>
    <w:rsid w:val="225A6017"/>
    <w:rsid w:val="226144D8"/>
    <w:rsid w:val="227A5532"/>
    <w:rsid w:val="22843A03"/>
    <w:rsid w:val="22A338AB"/>
    <w:rsid w:val="22AD37A2"/>
    <w:rsid w:val="22B31E8A"/>
    <w:rsid w:val="22C735BD"/>
    <w:rsid w:val="23122833"/>
    <w:rsid w:val="23157720"/>
    <w:rsid w:val="231A2B8A"/>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92FB1"/>
    <w:rsid w:val="243D6E1A"/>
    <w:rsid w:val="24607F91"/>
    <w:rsid w:val="246C581B"/>
    <w:rsid w:val="247C52A2"/>
    <w:rsid w:val="24CC106B"/>
    <w:rsid w:val="24D00598"/>
    <w:rsid w:val="24D725E9"/>
    <w:rsid w:val="24EA11A8"/>
    <w:rsid w:val="25045F70"/>
    <w:rsid w:val="25056E93"/>
    <w:rsid w:val="25092EBA"/>
    <w:rsid w:val="25241020"/>
    <w:rsid w:val="253B28B5"/>
    <w:rsid w:val="257572C3"/>
    <w:rsid w:val="25790E85"/>
    <w:rsid w:val="25972C60"/>
    <w:rsid w:val="259D1676"/>
    <w:rsid w:val="25A353EB"/>
    <w:rsid w:val="25B85CB3"/>
    <w:rsid w:val="25B87B65"/>
    <w:rsid w:val="25CB78C3"/>
    <w:rsid w:val="25D54390"/>
    <w:rsid w:val="2610166C"/>
    <w:rsid w:val="261866FC"/>
    <w:rsid w:val="261879A7"/>
    <w:rsid w:val="263E265D"/>
    <w:rsid w:val="264B0BA4"/>
    <w:rsid w:val="268C5256"/>
    <w:rsid w:val="268E455B"/>
    <w:rsid w:val="26912B30"/>
    <w:rsid w:val="269772F0"/>
    <w:rsid w:val="26A30712"/>
    <w:rsid w:val="26A338B2"/>
    <w:rsid w:val="26AC0C27"/>
    <w:rsid w:val="26C807A6"/>
    <w:rsid w:val="26DB67BA"/>
    <w:rsid w:val="26E311CD"/>
    <w:rsid w:val="26EF24ED"/>
    <w:rsid w:val="26F1408A"/>
    <w:rsid w:val="26FD6520"/>
    <w:rsid w:val="27015370"/>
    <w:rsid w:val="270B421F"/>
    <w:rsid w:val="271F080D"/>
    <w:rsid w:val="274E2228"/>
    <w:rsid w:val="27517A93"/>
    <w:rsid w:val="276658E8"/>
    <w:rsid w:val="277E30D2"/>
    <w:rsid w:val="27803F2A"/>
    <w:rsid w:val="27A34941"/>
    <w:rsid w:val="27EF5E2F"/>
    <w:rsid w:val="283C23DF"/>
    <w:rsid w:val="284C16F5"/>
    <w:rsid w:val="28570AB5"/>
    <w:rsid w:val="28C2534B"/>
    <w:rsid w:val="28C5525A"/>
    <w:rsid w:val="28D14B96"/>
    <w:rsid w:val="29020C46"/>
    <w:rsid w:val="290240C7"/>
    <w:rsid w:val="29274EE0"/>
    <w:rsid w:val="293D53F0"/>
    <w:rsid w:val="2969197F"/>
    <w:rsid w:val="297445E7"/>
    <w:rsid w:val="29746E87"/>
    <w:rsid w:val="297C03C2"/>
    <w:rsid w:val="299573AB"/>
    <w:rsid w:val="29BE5BD0"/>
    <w:rsid w:val="29C01572"/>
    <w:rsid w:val="29E74CE2"/>
    <w:rsid w:val="2A306A36"/>
    <w:rsid w:val="2A5372C6"/>
    <w:rsid w:val="2A566E5D"/>
    <w:rsid w:val="2A5B03D8"/>
    <w:rsid w:val="2A6F6D07"/>
    <w:rsid w:val="2A882500"/>
    <w:rsid w:val="2AB63ABC"/>
    <w:rsid w:val="2B003D00"/>
    <w:rsid w:val="2B074D5E"/>
    <w:rsid w:val="2B100BA9"/>
    <w:rsid w:val="2B1E3AFC"/>
    <w:rsid w:val="2B5B30D9"/>
    <w:rsid w:val="2B6C5576"/>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10EAE"/>
    <w:rsid w:val="2E742F70"/>
    <w:rsid w:val="2E7806D6"/>
    <w:rsid w:val="2EB2173C"/>
    <w:rsid w:val="2EC35DF5"/>
    <w:rsid w:val="2EDB313E"/>
    <w:rsid w:val="2EDC2A13"/>
    <w:rsid w:val="2EE1094C"/>
    <w:rsid w:val="2EFD7DB9"/>
    <w:rsid w:val="2F1A081D"/>
    <w:rsid w:val="2F1E3DC0"/>
    <w:rsid w:val="2F3112DE"/>
    <w:rsid w:val="2F3B6922"/>
    <w:rsid w:val="2F506C6D"/>
    <w:rsid w:val="2F51291F"/>
    <w:rsid w:val="2F55758A"/>
    <w:rsid w:val="2F7F15AE"/>
    <w:rsid w:val="2F8F17B7"/>
    <w:rsid w:val="2FA54796"/>
    <w:rsid w:val="2FA674E2"/>
    <w:rsid w:val="2FE6700E"/>
    <w:rsid w:val="2FFE7D49"/>
    <w:rsid w:val="302613A0"/>
    <w:rsid w:val="302A5C42"/>
    <w:rsid w:val="304A60A2"/>
    <w:rsid w:val="305F1B4D"/>
    <w:rsid w:val="30731155"/>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75698A"/>
    <w:rsid w:val="32B943EC"/>
    <w:rsid w:val="32C901CA"/>
    <w:rsid w:val="32D83E39"/>
    <w:rsid w:val="32DC63A0"/>
    <w:rsid w:val="32E429C1"/>
    <w:rsid w:val="330933B0"/>
    <w:rsid w:val="334A3B2A"/>
    <w:rsid w:val="3365592E"/>
    <w:rsid w:val="336F6533"/>
    <w:rsid w:val="337E5E2F"/>
    <w:rsid w:val="3384610D"/>
    <w:rsid w:val="339A10EE"/>
    <w:rsid w:val="33A67265"/>
    <w:rsid w:val="33AA5979"/>
    <w:rsid w:val="33C03E90"/>
    <w:rsid w:val="33C96649"/>
    <w:rsid w:val="33CC3D88"/>
    <w:rsid w:val="33FD722F"/>
    <w:rsid w:val="3400362D"/>
    <w:rsid w:val="340B09C5"/>
    <w:rsid w:val="341E4CAB"/>
    <w:rsid w:val="34584EE2"/>
    <w:rsid w:val="347D373F"/>
    <w:rsid w:val="34956481"/>
    <w:rsid w:val="34A35871"/>
    <w:rsid w:val="34C06C9D"/>
    <w:rsid w:val="34C17716"/>
    <w:rsid w:val="34DF24AE"/>
    <w:rsid w:val="351C4931"/>
    <w:rsid w:val="351D4C26"/>
    <w:rsid w:val="35361A77"/>
    <w:rsid w:val="35461A22"/>
    <w:rsid w:val="35483CC9"/>
    <w:rsid w:val="35A815CB"/>
    <w:rsid w:val="35AA1B9C"/>
    <w:rsid w:val="35DB09A6"/>
    <w:rsid w:val="369B4CF0"/>
    <w:rsid w:val="36AF5885"/>
    <w:rsid w:val="36D62629"/>
    <w:rsid w:val="36D76172"/>
    <w:rsid w:val="36E833BB"/>
    <w:rsid w:val="36EB1E1B"/>
    <w:rsid w:val="36F17F0D"/>
    <w:rsid w:val="370C5E5F"/>
    <w:rsid w:val="3735197D"/>
    <w:rsid w:val="373756A2"/>
    <w:rsid w:val="374B6474"/>
    <w:rsid w:val="37515FE7"/>
    <w:rsid w:val="375E0DA6"/>
    <w:rsid w:val="378B61A6"/>
    <w:rsid w:val="37CD3F98"/>
    <w:rsid w:val="37DF75BA"/>
    <w:rsid w:val="37E148E2"/>
    <w:rsid w:val="37E42938"/>
    <w:rsid w:val="38174ABC"/>
    <w:rsid w:val="38304889"/>
    <w:rsid w:val="3837515E"/>
    <w:rsid w:val="38382675"/>
    <w:rsid w:val="3851700B"/>
    <w:rsid w:val="385246B6"/>
    <w:rsid w:val="38A53DB7"/>
    <w:rsid w:val="38BF3388"/>
    <w:rsid w:val="38CC268D"/>
    <w:rsid w:val="38EC2960"/>
    <w:rsid w:val="39243C05"/>
    <w:rsid w:val="392536E2"/>
    <w:rsid w:val="392E0984"/>
    <w:rsid w:val="39465F15"/>
    <w:rsid w:val="395111E8"/>
    <w:rsid w:val="396453C5"/>
    <w:rsid w:val="39922CCF"/>
    <w:rsid w:val="39A65327"/>
    <w:rsid w:val="39A65C9B"/>
    <w:rsid w:val="39BC5ED6"/>
    <w:rsid w:val="39EB39E0"/>
    <w:rsid w:val="39EF02D4"/>
    <w:rsid w:val="3A11342A"/>
    <w:rsid w:val="3A153110"/>
    <w:rsid w:val="3A2507C0"/>
    <w:rsid w:val="3A64203E"/>
    <w:rsid w:val="3A663D00"/>
    <w:rsid w:val="3A7428D0"/>
    <w:rsid w:val="3A923AE4"/>
    <w:rsid w:val="3AA50E25"/>
    <w:rsid w:val="3AC566E3"/>
    <w:rsid w:val="3AD6747A"/>
    <w:rsid w:val="3AF04BFF"/>
    <w:rsid w:val="3B3D0FF2"/>
    <w:rsid w:val="3B521A18"/>
    <w:rsid w:val="3B8036A0"/>
    <w:rsid w:val="3B923660"/>
    <w:rsid w:val="3BAB1BCF"/>
    <w:rsid w:val="3BCA44BE"/>
    <w:rsid w:val="3C061F3A"/>
    <w:rsid w:val="3C495480"/>
    <w:rsid w:val="3C4D6CFE"/>
    <w:rsid w:val="3C6F0167"/>
    <w:rsid w:val="3C71667B"/>
    <w:rsid w:val="3C86449E"/>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AE1A1E"/>
    <w:rsid w:val="3DB54E0C"/>
    <w:rsid w:val="3DB900C1"/>
    <w:rsid w:val="3DE91725"/>
    <w:rsid w:val="3DF159B1"/>
    <w:rsid w:val="3E1A106E"/>
    <w:rsid w:val="3E36303B"/>
    <w:rsid w:val="3E456B72"/>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DD0920"/>
    <w:rsid w:val="40F701DF"/>
    <w:rsid w:val="40FD480A"/>
    <w:rsid w:val="412A32F8"/>
    <w:rsid w:val="417F433E"/>
    <w:rsid w:val="41B7239D"/>
    <w:rsid w:val="41FF3845"/>
    <w:rsid w:val="42091D7F"/>
    <w:rsid w:val="421104A9"/>
    <w:rsid w:val="42143B88"/>
    <w:rsid w:val="42164586"/>
    <w:rsid w:val="421C4F09"/>
    <w:rsid w:val="42340354"/>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74E11"/>
    <w:rsid w:val="43DD452F"/>
    <w:rsid w:val="43DE6CD4"/>
    <w:rsid w:val="43E51150"/>
    <w:rsid w:val="43EF28BB"/>
    <w:rsid w:val="43EF56D3"/>
    <w:rsid w:val="440A6FD2"/>
    <w:rsid w:val="4413670C"/>
    <w:rsid w:val="444946CA"/>
    <w:rsid w:val="444B3F54"/>
    <w:rsid w:val="4476661F"/>
    <w:rsid w:val="447E3AC5"/>
    <w:rsid w:val="448C05DF"/>
    <w:rsid w:val="44A90BAA"/>
    <w:rsid w:val="44B24A20"/>
    <w:rsid w:val="44BC0BEE"/>
    <w:rsid w:val="44EF53A8"/>
    <w:rsid w:val="44FB1C9C"/>
    <w:rsid w:val="454F1836"/>
    <w:rsid w:val="45887B45"/>
    <w:rsid w:val="458B66DF"/>
    <w:rsid w:val="45940F0E"/>
    <w:rsid w:val="45B341C7"/>
    <w:rsid w:val="45C647AF"/>
    <w:rsid w:val="45D86AB4"/>
    <w:rsid w:val="45DD529D"/>
    <w:rsid w:val="45E57886"/>
    <w:rsid w:val="45E710B1"/>
    <w:rsid w:val="46003076"/>
    <w:rsid w:val="46177E29"/>
    <w:rsid w:val="46205B7F"/>
    <w:rsid w:val="465D501C"/>
    <w:rsid w:val="466367DB"/>
    <w:rsid w:val="46686D18"/>
    <w:rsid w:val="46C3037C"/>
    <w:rsid w:val="46FF15E0"/>
    <w:rsid w:val="4700581C"/>
    <w:rsid w:val="4702516A"/>
    <w:rsid w:val="47097F65"/>
    <w:rsid w:val="471843AC"/>
    <w:rsid w:val="47347438"/>
    <w:rsid w:val="473E61A6"/>
    <w:rsid w:val="474A4B33"/>
    <w:rsid w:val="47665A15"/>
    <w:rsid w:val="47677941"/>
    <w:rsid w:val="47737865"/>
    <w:rsid w:val="47782257"/>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C61162"/>
    <w:rsid w:val="48DB312A"/>
    <w:rsid w:val="48DF49D9"/>
    <w:rsid w:val="49093E01"/>
    <w:rsid w:val="492108CC"/>
    <w:rsid w:val="494A4BBD"/>
    <w:rsid w:val="498D1239"/>
    <w:rsid w:val="4A05334F"/>
    <w:rsid w:val="4A244932"/>
    <w:rsid w:val="4A2922C8"/>
    <w:rsid w:val="4A4117B2"/>
    <w:rsid w:val="4A713409"/>
    <w:rsid w:val="4A7A4350"/>
    <w:rsid w:val="4A7E2497"/>
    <w:rsid w:val="4A896826"/>
    <w:rsid w:val="4ABF5E17"/>
    <w:rsid w:val="4AE01A66"/>
    <w:rsid w:val="4AED707B"/>
    <w:rsid w:val="4B0B7979"/>
    <w:rsid w:val="4B520DF4"/>
    <w:rsid w:val="4B603107"/>
    <w:rsid w:val="4B661B8A"/>
    <w:rsid w:val="4B9802B0"/>
    <w:rsid w:val="4B9E65BE"/>
    <w:rsid w:val="4B9F33A8"/>
    <w:rsid w:val="4BA80AFD"/>
    <w:rsid w:val="4BB033BA"/>
    <w:rsid w:val="4BB469AD"/>
    <w:rsid w:val="4BC06040"/>
    <w:rsid w:val="4BF441D2"/>
    <w:rsid w:val="4C033F52"/>
    <w:rsid w:val="4C194E4E"/>
    <w:rsid w:val="4C1C2A09"/>
    <w:rsid w:val="4C694192"/>
    <w:rsid w:val="4C7964D9"/>
    <w:rsid w:val="4C9B4627"/>
    <w:rsid w:val="4CC84335"/>
    <w:rsid w:val="4CE9350A"/>
    <w:rsid w:val="4CF82CB6"/>
    <w:rsid w:val="4D297BF3"/>
    <w:rsid w:val="4D2D0EAF"/>
    <w:rsid w:val="4D783DF7"/>
    <w:rsid w:val="4D7F0082"/>
    <w:rsid w:val="4D915DA7"/>
    <w:rsid w:val="4D952FD9"/>
    <w:rsid w:val="4D970662"/>
    <w:rsid w:val="4DB33393"/>
    <w:rsid w:val="4DB43081"/>
    <w:rsid w:val="4DCF1E0D"/>
    <w:rsid w:val="4DD632D9"/>
    <w:rsid w:val="4DE05DF9"/>
    <w:rsid w:val="4DE44800"/>
    <w:rsid w:val="4DEE0709"/>
    <w:rsid w:val="4DFC14EA"/>
    <w:rsid w:val="4DFF6815"/>
    <w:rsid w:val="4E0A3427"/>
    <w:rsid w:val="4E304B5D"/>
    <w:rsid w:val="4E682F8C"/>
    <w:rsid w:val="4E6A7BB7"/>
    <w:rsid w:val="4EFD239B"/>
    <w:rsid w:val="4F0773B4"/>
    <w:rsid w:val="4F307BB1"/>
    <w:rsid w:val="4F3D562D"/>
    <w:rsid w:val="4F5C4EE0"/>
    <w:rsid w:val="4F6E1972"/>
    <w:rsid w:val="4F943166"/>
    <w:rsid w:val="4FB858C2"/>
    <w:rsid w:val="4FBA02A1"/>
    <w:rsid w:val="4FE7106E"/>
    <w:rsid w:val="50053943"/>
    <w:rsid w:val="502F4C40"/>
    <w:rsid w:val="50550E55"/>
    <w:rsid w:val="509F43E4"/>
    <w:rsid w:val="50A41913"/>
    <w:rsid w:val="50A54D3E"/>
    <w:rsid w:val="50F1402B"/>
    <w:rsid w:val="50F43794"/>
    <w:rsid w:val="50FD2AD9"/>
    <w:rsid w:val="51077819"/>
    <w:rsid w:val="51097D9A"/>
    <w:rsid w:val="51237D2E"/>
    <w:rsid w:val="51996737"/>
    <w:rsid w:val="51A263D9"/>
    <w:rsid w:val="51B408B8"/>
    <w:rsid w:val="51B710C6"/>
    <w:rsid w:val="51CC0868"/>
    <w:rsid w:val="51D5340F"/>
    <w:rsid w:val="52382F2A"/>
    <w:rsid w:val="52386E3D"/>
    <w:rsid w:val="523A7DD1"/>
    <w:rsid w:val="5271774C"/>
    <w:rsid w:val="529945F3"/>
    <w:rsid w:val="52A82A88"/>
    <w:rsid w:val="52BB0A0D"/>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BE053A"/>
    <w:rsid w:val="53EB297B"/>
    <w:rsid w:val="542E2BC2"/>
    <w:rsid w:val="54352A96"/>
    <w:rsid w:val="54447390"/>
    <w:rsid w:val="54455968"/>
    <w:rsid w:val="545E1D01"/>
    <w:rsid w:val="54935B8F"/>
    <w:rsid w:val="549B2068"/>
    <w:rsid w:val="54CC6227"/>
    <w:rsid w:val="54D10F9B"/>
    <w:rsid w:val="54E729E6"/>
    <w:rsid w:val="551D586C"/>
    <w:rsid w:val="55200298"/>
    <w:rsid w:val="55335E1B"/>
    <w:rsid w:val="554B7EF0"/>
    <w:rsid w:val="55582215"/>
    <w:rsid w:val="556F3D99"/>
    <w:rsid w:val="55860894"/>
    <w:rsid w:val="55B02DF1"/>
    <w:rsid w:val="55DC290C"/>
    <w:rsid w:val="55DD513F"/>
    <w:rsid w:val="55F01FA1"/>
    <w:rsid w:val="56080F61"/>
    <w:rsid w:val="565C42B5"/>
    <w:rsid w:val="56990B7C"/>
    <w:rsid w:val="569E1126"/>
    <w:rsid w:val="56B80DEB"/>
    <w:rsid w:val="56E06E61"/>
    <w:rsid w:val="56F653FE"/>
    <w:rsid w:val="56FE00DA"/>
    <w:rsid w:val="575B7AFD"/>
    <w:rsid w:val="57660D3F"/>
    <w:rsid w:val="578401B6"/>
    <w:rsid w:val="57D1153D"/>
    <w:rsid w:val="57FA3774"/>
    <w:rsid w:val="58084A3C"/>
    <w:rsid w:val="585D2975"/>
    <w:rsid w:val="5866122A"/>
    <w:rsid w:val="587E3341"/>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3B2434"/>
    <w:rsid w:val="5A484352"/>
    <w:rsid w:val="5A5321A5"/>
    <w:rsid w:val="5A8734AF"/>
    <w:rsid w:val="5A9D3E45"/>
    <w:rsid w:val="5AA4101D"/>
    <w:rsid w:val="5AB17576"/>
    <w:rsid w:val="5ABD68E6"/>
    <w:rsid w:val="5ABF73D2"/>
    <w:rsid w:val="5AC70F4B"/>
    <w:rsid w:val="5ACB3D8A"/>
    <w:rsid w:val="5AE1508F"/>
    <w:rsid w:val="5AF80256"/>
    <w:rsid w:val="5B110CC9"/>
    <w:rsid w:val="5B1F7B5D"/>
    <w:rsid w:val="5B585171"/>
    <w:rsid w:val="5B585B78"/>
    <w:rsid w:val="5B797C0D"/>
    <w:rsid w:val="5B995664"/>
    <w:rsid w:val="5B9A2B59"/>
    <w:rsid w:val="5BAF4E87"/>
    <w:rsid w:val="5BC0085A"/>
    <w:rsid w:val="5BCE2C90"/>
    <w:rsid w:val="5BF03D58"/>
    <w:rsid w:val="5C1A6BB2"/>
    <w:rsid w:val="5C5355FE"/>
    <w:rsid w:val="5C6F4105"/>
    <w:rsid w:val="5CBB7F6F"/>
    <w:rsid w:val="5D7C3F11"/>
    <w:rsid w:val="5D845384"/>
    <w:rsid w:val="5D9D49E0"/>
    <w:rsid w:val="5DC26282"/>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1D29CD"/>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6C1599"/>
    <w:rsid w:val="607B3C50"/>
    <w:rsid w:val="608B6567"/>
    <w:rsid w:val="60F344DB"/>
    <w:rsid w:val="60FF21D9"/>
    <w:rsid w:val="613253FD"/>
    <w:rsid w:val="61421F29"/>
    <w:rsid w:val="61712185"/>
    <w:rsid w:val="61A90D68"/>
    <w:rsid w:val="61D92C5E"/>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D01E3F"/>
    <w:rsid w:val="63EE4692"/>
    <w:rsid w:val="63FD622D"/>
    <w:rsid w:val="643E27B6"/>
    <w:rsid w:val="643F32F9"/>
    <w:rsid w:val="64582686"/>
    <w:rsid w:val="64673C87"/>
    <w:rsid w:val="64A251DD"/>
    <w:rsid w:val="650242F0"/>
    <w:rsid w:val="65542778"/>
    <w:rsid w:val="655829AF"/>
    <w:rsid w:val="655B1BDC"/>
    <w:rsid w:val="656B70C3"/>
    <w:rsid w:val="658F4798"/>
    <w:rsid w:val="659B1EBA"/>
    <w:rsid w:val="65A46961"/>
    <w:rsid w:val="65B461E9"/>
    <w:rsid w:val="65BE39A8"/>
    <w:rsid w:val="65FB3FBE"/>
    <w:rsid w:val="66247D11"/>
    <w:rsid w:val="66736112"/>
    <w:rsid w:val="667F5B5B"/>
    <w:rsid w:val="6694262A"/>
    <w:rsid w:val="66990381"/>
    <w:rsid w:val="66B31B01"/>
    <w:rsid w:val="66CE1E80"/>
    <w:rsid w:val="66E362F9"/>
    <w:rsid w:val="66E47FD9"/>
    <w:rsid w:val="66E63767"/>
    <w:rsid w:val="67070FD0"/>
    <w:rsid w:val="67071922"/>
    <w:rsid w:val="673B73C0"/>
    <w:rsid w:val="675608B6"/>
    <w:rsid w:val="67754402"/>
    <w:rsid w:val="677D54ED"/>
    <w:rsid w:val="67B25E27"/>
    <w:rsid w:val="67B80565"/>
    <w:rsid w:val="67C4383B"/>
    <w:rsid w:val="67D35E1A"/>
    <w:rsid w:val="67F35317"/>
    <w:rsid w:val="680201B7"/>
    <w:rsid w:val="68362BFB"/>
    <w:rsid w:val="683F1130"/>
    <w:rsid w:val="684456A1"/>
    <w:rsid w:val="685E1363"/>
    <w:rsid w:val="688E1089"/>
    <w:rsid w:val="68A026F3"/>
    <w:rsid w:val="68AF6C13"/>
    <w:rsid w:val="68E65C61"/>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0A37"/>
    <w:rsid w:val="6AA86FEC"/>
    <w:rsid w:val="6AD0590A"/>
    <w:rsid w:val="6ADA6AC4"/>
    <w:rsid w:val="6ADB11D6"/>
    <w:rsid w:val="6B13622E"/>
    <w:rsid w:val="6B1A2C3C"/>
    <w:rsid w:val="6B31644D"/>
    <w:rsid w:val="6B486C86"/>
    <w:rsid w:val="6B554C72"/>
    <w:rsid w:val="6B847AD7"/>
    <w:rsid w:val="6B9A2DF9"/>
    <w:rsid w:val="6BAC4619"/>
    <w:rsid w:val="6BCD2823"/>
    <w:rsid w:val="6BDD15DD"/>
    <w:rsid w:val="6BDF2966"/>
    <w:rsid w:val="6BE86A5F"/>
    <w:rsid w:val="6C234DED"/>
    <w:rsid w:val="6C29198B"/>
    <w:rsid w:val="6C30278D"/>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8343C6"/>
    <w:rsid w:val="6DB13E57"/>
    <w:rsid w:val="6DC71662"/>
    <w:rsid w:val="6DCD5126"/>
    <w:rsid w:val="6DDB6CB0"/>
    <w:rsid w:val="6DE52ACD"/>
    <w:rsid w:val="6DFC0B44"/>
    <w:rsid w:val="6E020A65"/>
    <w:rsid w:val="6E0458E7"/>
    <w:rsid w:val="6E212037"/>
    <w:rsid w:val="6E2D1BCD"/>
    <w:rsid w:val="6E3B221B"/>
    <w:rsid w:val="6E475779"/>
    <w:rsid w:val="6E662E55"/>
    <w:rsid w:val="6E7764EF"/>
    <w:rsid w:val="6EAD447C"/>
    <w:rsid w:val="6EBC0C12"/>
    <w:rsid w:val="6ECD7F59"/>
    <w:rsid w:val="6EED7C80"/>
    <w:rsid w:val="6EF773A4"/>
    <w:rsid w:val="6EFC3450"/>
    <w:rsid w:val="6F2F2D9E"/>
    <w:rsid w:val="6F4147D9"/>
    <w:rsid w:val="6F600A38"/>
    <w:rsid w:val="6F947E4B"/>
    <w:rsid w:val="6FA30BDA"/>
    <w:rsid w:val="6FB80698"/>
    <w:rsid w:val="7024611F"/>
    <w:rsid w:val="703F78C8"/>
    <w:rsid w:val="70637B96"/>
    <w:rsid w:val="70797317"/>
    <w:rsid w:val="708D1DAA"/>
    <w:rsid w:val="7099044B"/>
    <w:rsid w:val="709D518F"/>
    <w:rsid w:val="70C759D3"/>
    <w:rsid w:val="70CF2B23"/>
    <w:rsid w:val="70D11D3D"/>
    <w:rsid w:val="710952C1"/>
    <w:rsid w:val="71431EA2"/>
    <w:rsid w:val="71452CD8"/>
    <w:rsid w:val="7158683A"/>
    <w:rsid w:val="715B2F52"/>
    <w:rsid w:val="71764F23"/>
    <w:rsid w:val="71946576"/>
    <w:rsid w:val="71967E84"/>
    <w:rsid w:val="71A61873"/>
    <w:rsid w:val="71AF4936"/>
    <w:rsid w:val="71C70B66"/>
    <w:rsid w:val="71D75D0F"/>
    <w:rsid w:val="72031631"/>
    <w:rsid w:val="721919B3"/>
    <w:rsid w:val="721A6098"/>
    <w:rsid w:val="72310D1A"/>
    <w:rsid w:val="725D6B54"/>
    <w:rsid w:val="72A17C99"/>
    <w:rsid w:val="72A23511"/>
    <w:rsid w:val="72AC074C"/>
    <w:rsid w:val="72AF6F7E"/>
    <w:rsid w:val="73047904"/>
    <w:rsid w:val="73480DBC"/>
    <w:rsid w:val="734C1A6A"/>
    <w:rsid w:val="735C5949"/>
    <w:rsid w:val="73737DA5"/>
    <w:rsid w:val="7381515F"/>
    <w:rsid w:val="73887B3E"/>
    <w:rsid w:val="73892412"/>
    <w:rsid w:val="73EE4A6E"/>
    <w:rsid w:val="741048BC"/>
    <w:rsid w:val="742E78D4"/>
    <w:rsid w:val="74676A28"/>
    <w:rsid w:val="747E40B6"/>
    <w:rsid w:val="74AC3224"/>
    <w:rsid w:val="74BB2C83"/>
    <w:rsid w:val="74C55995"/>
    <w:rsid w:val="74D62228"/>
    <w:rsid w:val="74DE4E5F"/>
    <w:rsid w:val="74EB54AB"/>
    <w:rsid w:val="74FF6D43"/>
    <w:rsid w:val="750201A2"/>
    <w:rsid w:val="751A76AF"/>
    <w:rsid w:val="75250574"/>
    <w:rsid w:val="7550443E"/>
    <w:rsid w:val="755F0BCC"/>
    <w:rsid w:val="756F17F9"/>
    <w:rsid w:val="75825461"/>
    <w:rsid w:val="758B74C3"/>
    <w:rsid w:val="759926FC"/>
    <w:rsid w:val="75A24276"/>
    <w:rsid w:val="75AA231D"/>
    <w:rsid w:val="75DF12AE"/>
    <w:rsid w:val="75E8633A"/>
    <w:rsid w:val="76280D2A"/>
    <w:rsid w:val="763F09AA"/>
    <w:rsid w:val="764F3FCC"/>
    <w:rsid w:val="7650339F"/>
    <w:rsid w:val="76603C9A"/>
    <w:rsid w:val="76BB1CAB"/>
    <w:rsid w:val="76C04050"/>
    <w:rsid w:val="76E65049"/>
    <w:rsid w:val="76E934EC"/>
    <w:rsid w:val="77076007"/>
    <w:rsid w:val="77413F7E"/>
    <w:rsid w:val="774F5E51"/>
    <w:rsid w:val="77835654"/>
    <w:rsid w:val="7797109C"/>
    <w:rsid w:val="779A2A38"/>
    <w:rsid w:val="77A358D1"/>
    <w:rsid w:val="77B4450A"/>
    <w:rsid w:val="77B46E73"/>
    <w:rsid w:val="77E37A12"/>
    <w:rsid w:val="77FE3468"/>
    <w:rsid w:val="780B7564"/>
    <w:rsid w:val="784D6897"/>
    <w:rsid w:val="78546F0C"/>
    <w:rsid w:val="78730464"/>
    <w:rsid w:val="78EE1C79"/>
    <w:rsid w:val="79017442"/>
    <w:rsid w:val="79323EB7"/>
    <w:rsid w:val="797239CC"/>
    <w:rsid w:val="79725CA3"/>
    <w:rsid w:val="797852CE"/>
    <w:rsid w:val="79831473"/>
    <w:rsid w:val="7999527A"/>
    <w:rsid w:val="79AF76C5"/>
    <w:rsid w:val="79BC5D3D"/>
    <w:rsid w:val="79C25EE1"/>
    <w:rsid w:val="79CE2967"/>
    <w:rsid w:val="79EA664C"/>
    <w:rsid w:val="7A2F459A"/>
    <w:rsid w:val="7A517022"/>
    <w:rsid w:val="7A6F5001"/>
    <w:rsid w:val="7A820575"/>
    <w:rsid w:val="7A986540"/>
    <w:rsid w:val="7AA2343E"/>
    <w:rsid w:val="7ADA73A4"/>
    <w:rsid w:val="7AE66B99"/>
    <w:rsid w:val="7B0A3BCA"/>
    <w:rsid w:val="7B4048C1"/>
    <w:rsid w:val="7B4202DC"/>
    <w:rsid w:val="7B73082F"/>
    <w:rsid w:val="7BC62E00"/>
    <w:rsid w:val="7BE35E2A"/>
    <w:rsid w:val="7BFA1CC7"/>
    <w:rsid w:val="7BFA1CF7"/>
    <w:rsid w:val="7BFB70B3"/>
    <w:rsid w:val="7C0251DA"/>
    <w:rsid w:val="7C1052F2"/>
    <w:rsid w:val="7C2668D9"/>
    <w:rsid w:val="7C32497F"/>
    <w:rsid w:val="7C3C69AE"/>
    <w:rsid w:val="7C417CE1"/>
    <w:rsid w:val="7C691974"/>
    <w:rsid w:val="7C8A6570"/>
    <w:rsid w:val="7C8B7390"/>
    <w:rsid w:val="7C9B0D0E"/>
    <w:rsid w:val="7CA42B03"/>
    <w:rsid w:val="7CC55E61"/>
    <w:rsid w:val="7CD2318A"/>
    <w:rsid w:val="7CD2702A"/>
    <w:rsid w:val="7CD34C42"/>
    <w:rsid w:val="7CDE3FF9"/>
    <w:rsid w:val="7CE26EBF"/>
    <w:rsid w:val="7CEB2A4A"/>
    <w:rsid w:val="7CEE3130"/>
    <w:rsid w:val="7D1F6674"/>
    <w:rsid w:val="7D214C09"/>
    <w:rsid w:val="7D480B34"/>
    <w:rsid w:val="7D494CE4"/>
    <w:rsid w:val="7D9005BC"/>
    <w:rsid w:val="7D9F0AD0"/>
    <w:rsid w:val="7DAC0DCF"/>
    <w:rsid w:val="7DD12BB7"/>
    <w:rsid w:val="7DFB53BB"/>
    <w:rsid w:val="7DFF0955"/>
    <w:rsid w:val="7E0B750E"/>
    <w:rsid w:val="7E0D4B6E"/>
    <w:rsid w:val="7E2822EA"/>
    <w:rsid w:val="7E355A7B"/>
    <w:rsid w:val="7E6E3E85"/>
    <w:rsid w:val="7E9C184B"/>
    <w:rsid w:val="7EA72948"/>
    <w:rsid w:val="7EB31EDB"/>
    <w:rsid w:val="7EE70CC0"/>
    <w:rsid w:val="7EEB48DB"/>
    <w:rsid w:val="7EF27444"/>
    <w:rsid w:val="7F1B0003"/>
    <w:rsid w:val="7F265C58"/>
    <w:rsid w:val="7F582CF2"/>
    <w:rsid w:val="7F951B40"/>
    <w:rsid w:val="7FAC3558"/>
    <w:rsid w:val="7FBF10B0"/>
    <w:rsid w:val="7FCB55CD"/>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6">
    <w:name w:val="List Number"/>
    <w:basedOn w:val="1"/>
    <w:autoRedefine/>
    <w:qFormat/>
    <w:uiPriority w:val="0"/>
    <w:pPr>
      <w:widowControl/>
      <w:spacing w:beforeAutospacing="1" w:afterAutospacing="1"/>
      <w:jc w:val="left"/>
    </w:pPr>
    <w:rPr>
      <w:rFonts w:ascii="宋体" w:hAnsi="宋体" w:cs="宋体"/>
      <w:kern w:val="0"/>
      <w:sz w:val="24"/>
    </w:rPr>
  </w:style>
  <w:style w:type="paragraph" w:styleId="7">
    <w:name w:val="Normal Indent"/>
    <w:basedOn w:val="1"/>
    <w:next w:val="8"/>
    <w:autoRedefine/>
    <w:qFormat/>
    <w:uiPriority w:val="0"/>
    <w:pPr>
      <w:widowControl/>
      <w:spacing w:beforeAutospacing="1" w:afterAutospacing="1"/>
      <w:jc w:val="left"/>
    </w:pPr>
    <w:rPr>
      <w:rFonts w:ascii="宋体" w:hAnsi="宋体" w:cs="宋体"/>
      <w:kern w:val="0"/>
      <w:sz w:val="24"/>
    </w:rPr>
  </w:style>
  <w:style w:type="paragraph" w:styleId="8">
    <w:name w:val="Body Text First Indent 2"/>
    <w:basedOn w:val="9"/>
    <w:next w:val="7"/>
    <w:autoRedefine/>
    <w:qFormat/>
    <w:uiPriority w:val="0"/>
    <w:pPr>
      <w:ind w:firstLine="420" w:firstLineChars="200"/>
    </w:pPr>
  </w:style>
  <w:style w:type="paragraph" w:styleId="9">
    <w:name w:val="Body Text Indent"/>
    <w:basedOn w:val="1"/>
    <w:next w:val="10"/>
    <w:autoRedefine/>
    <w:qFormat/>
    <w:uiPriority w:val="0"/>
    <w:pPr>
      <w:widowControl/>
      <w:spacing w:beforeAutospacing="1" w:afterAutospacing="1"/>
      <w:jc w:val="left"/>
    </w:pPr>
    <w:rPr>
      <w:rFonts w:ascii="宋体" w:hAnsi="宋体" w:cs="宋体"/>
      <w:kern w:val="0"/>
      <w:sz w:val="24"/>
    </w:rPr>
  </w:style>
  <w:style w:type="paragraph" w:styleId="10">
    <w:name w:val="envelope return"/>
    <w:basedOn w:val="1"/>
    <w:autoRedefine/>
    <w:unhideWhenUsed/>
    <w:qFormat/>
    <w:uiPriority w:val="99"/>
    <w:pPr>
      <w:snapToGrid w:val="0"/>
    </w:pPr>
    <w:rPr>
      <w:rFonts w:ascii="Arial" w:hAnsi="Arial"/>
    </w:rPr>
  </w:style>
  <w:style w:type="paragraph" w:styleId="11">
    <w:name w:val="Document Map"/>
    <w:basedOn w:val="1"/>
    <w:link w:val="74"/>
    <w:autoRedefine/>
    <w:qFormat/>
    <w:uiPriority w:val="0"/>
    <w:rPr>
      <w:rFonts w:ascii="宋体" w:hAnsi="Calibri"/>
      <w:sz w:val="18"/>
      <w:szCs w:val="18"/>
    </w:rPr>
  </w:style>
  <w:style w:type="paragraph" w:styleId="12">
    <w:name w:val="annotation text"/>
    <w:basedOn w:val="1"/>
    <w:autoRedefine/>
    <w:qFormat/>
    <w:uiPriority w:val="0"/>
    <w:pPr>
      <w:jc w:val="left"/>
    </w:pPr>
  </w:style>
  <w:style w:type="paragraph" w:styleId="13">
    <w:name w:val="Body Text 3"/>
    <w:basedOn w:val="1"/>
    <w:autoRedefine/>
    <w:qFormat/>
    <w:uiPriority w:val="0"/>
    <w:rPr>
      <w:sz w:val="16"/>
      <w:szCs w:val="16"/>
    </w:rPr>
  </w:style>
  <w:style w:type="paragraph" w:styleId="14">
    <w:name w:val="Body Text"/>
    <w:basedOn w:val="1"/>
    <w:next w:val="15"/>
    <w:link w:val="72"/>
    <w:autoRedefine/>
    <w:qFormat/>
    <w:uiPriority w:val="0"/>
  </w:style>
  <w:style w:type="paragraph" w:styleId="15">
    <w:name w:val="Body Text 2"/>
    <w:basedOn w:val="1"/>
    <w:next w:val="14"/>
    <w:autoRedefine/>
    <w:qFormat/>
    <w:uiPriority w:val="0"/>
    <w:pPr>
      <w:spacing w:line="480" w:lineRule="auto"/>
    </w:pPr>
  </w:style>
  <w:style w:type="paragraph" w:styleId="16">
    <w:name w:val="List 2"/>
    <w:basedOn w:val="1"/>
    <w:autoRedefine/>
    <w:qFormat/>
    <w:uiPriority w:val="0"/>
    <w:pPr>
      <w:ind w:left="100" w:leftChars="200" w:hanging="200" w:hangingChars="200"/>
    </w:pPr>
  </w:style>
  <w:style w:type="paragraph" w:styleId="17">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9">
    <w:name w:val="Plain Text"/>
    <w:basedOn w:val="1"/>
    <w:autoRedefine/>
    <w:qFormat/>
    <w:uiPriority w:val="0"/>
    <w:pPr>
      <w:widowControl/>
      <w:spacing w:beforeAutospacing="1" w:afterAutospacing="1"/>
      <w:jc w:val="left"/>
    </w:pPr>
    <w:rPr>
      <w:rFonts w:ascii="宋体" w:hAnsi="宋体" w:cs="宋体"/>
      <w:kern w:val="0"/>
      <w:sz w:val="24"/>
    </w:rPr>
  </w:style>
  <w:style w:type="paragraph" w:styleId="20">
    <w:name w:val="Date"/>
    <w:basedOn w:val="1"/>
    <w:next w:val="1"/>
    <w:autoRedefine/>
    <w:qFormat/>
    <w:uiPriority w:val="0"/>
    <w:pPr>
      <w:ind w:left="100" w:leftChars="2500"/>
    </w:pPr>
    <w:rPr>
      <w:rFonts w:ascii="宋体" w:hAnsi="宋体"/>
      <w:sz w:val="28"/>
    </w:rPr>
  </w:style>
  <w:style w:type="paragraph" w:styleId="21">
    <w:name w:val="Body Text Indent 2"/>
    <w:basedOn w:val="1"/>
    <w:autoRedefine/>
    <w:qFormat/>
    <w:uiPriority w:val="0"/>
    <w:pPr>
      <w:spacing w:line="480" w:lineRule="auto"/>
      <w:ind w:left="420" w:leftChars="200"/>
    </w:pPr>
  </w:style>
  <w:style w:type="paragraph" w:styleId="22">
    <w:name w:val="footer"/>
    <w:basedOn w:val="1"/>
    <w:autoRedefine/>
    <w:qFormat/>
    <w:uiPriority w:val="0"/>
    <w:pPr>
      <w:tabs>
        <w:tab w:val="center" w:pos="4153"/>
        <w:tab w:val="right" w:pos="8306"/>
      </w:tabs>
      <w:snapToGrid w:val="0"/>
      <w:jc w:val="left"/>
    </w:pPr>
    <w:rPr>
      <w:sz w:val="18"/>
      <w:szCs w:val="18"/>
    </w:rPr>
  </w:style>
  <w:style w:type="paragraph" w:styleId="2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List"/>
    <w:basedOn w:val="1"/>
    <w:autoRedefine/>
    <w:qFormat/>
    <w:uiPriority w:val="0"/>
    <w:pPr>
      <w:ind w:left="200" w:hanging="200" w:hangingChars="200"/>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14"/>
    <w:next w:val="1"/>
    <w:autoRedefine/>
    <w:qFormat/>
    <w:uiPriority w:val="0"/>
    <w:pPr>
      <w:spacing w:line="360" w:lineRule="auto"/>
      <w:ind w:firstLine="420" w:firstLineChars="100"/>
    </w:pPr>
    <w:rPr>
      <w:szCs w:val="21"/>
    </w:rPr>
  </w:style>
  <w:style w:type="table" w:styleId="32">
    <w:name w:val="Table Grid"/>
    <w:basedOn w:val="3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autoRedefine/>
    <w:qFormat/>
    <w:uiPriority w:val="0"/>
    <w:rPr>
      <w:b/>
      <w:bCs/>
      <w:szCs w:val="24"/>
    </w:rPr>
  </w:style>
  <w:style w:type="character" w:styleId="35">
    <w:name w:val="page number"/>
    <w:basedOn w:val="33"/>
    <w:autoRedefine/>
    <w:qFormat/>
    <w:uiPriority w:val="0"/>
  </w:style>
  <w:style w:type="character" w:styleId="36">
    <w:name w:val="FollowedHyperlink"/>
    <w:autoRedefine/>
    <w:qFormat/>
    <w:uiPriority w:val="0"/>
    <w:rPr>
      <w:color w:val="333333"/>
      <w:szCs w:val="24"/>
      <w:u w:val="none"/>
    </w:rPr>
  </w:style>
  <w:style w:type="character" w:styleId="37">
    <w:name w:val="Emphasis"/>
    <w:basedOn w:val="33"/>
    <w:autoRedefine/>
    <w:qFormat/>
    <w:uiPriority w:val="0"/>
  </w:style>
  <w:style w:type="character" w:styleId="38">
    <w:name w:val="HTML Definition"/>
    <w:basedOn w:val="33"/>
    <w:autoRedefine/>
    <w:qFormat/>
    <w:uiPriority w:val="0"/>
  </w:style>
  <w:style w:type="character" w:styleId="39">
    <w:name w:val="HTML Typewriter"/>
    <w:basedOn w:val="33"/>
    <w:autoRedefine/>
    <w:qFormat/>
    <w:uiPriority w:val="0"/>
    <w:rPr>
      <w:rFonts w:hint="default" w:ascii="monospace" w:hAnsi="monospace" w:eastAsia="monospace" w:cs="monospace"/>
      <w:sz w:val="20"/>
    </w:rPr>
  </w:style>
  <w:style w:type="character" w:styleId="40">
    <w:name w:val="HTML Acronym"/>
    <w:basedOn w:val="33"/>
    <w:autoRedefine/>
    <w:qFormat/>
    <w:uiPriority w:val="0"/>
  </w:style>
  <w:style w:type="character" w:styleId="41">
    <w:name w:val="HTML Variable"/>
    <w:basedOn w:val="33"/>
    <w:autoRedefine/>
    <w:qFormat/>
    <w:uiPriority w:val="0"/>
  </w:style>
  <w:style w:type="character" w:styleId="42">
    <w:name w:val="Hyperlink"/>
    <w:basedOn w:val="33"/>
    <w:autoRedefine/>
    <w:qFormat/>
    <w:uiPriority w:val="0"/>
    <w:rPr>
      <w:color w:val="333333"/>
      <w:szCs w:val="24"/>
      <w:u w:val="none"/>
    </w:rPr>
  </w:style>
  <w:style w:type="character" w:styleId="43">
    <w:name w:val="HTML Code"/>
    <w:basedOn w:val="33"/>
    <w:autoRedefine/>
    <w:qFormat/>
    <w:uiPriority w:val="0"/>
    <w:rPr>
      <w:rFonts w:ascii="monospace" w:hAnsi="monospace" w:eastAsia="monospace" w:cs="monospace"/>
      <w:sz w:val="20"/>
    </w:rPr>
  </w:style>
  <w:style w:type="character" w:styleId="44">
    <w:name w:val="HTML Cite"/>
    <w:basedOn w:val="33"/>
    <w:autoRedefine/>
    <w:qFormat/>
    <w:uiPriority w:val="0"/>
  </w:style>
  <w:style w:type="character" w:styleId="45">
    <w:name w:val="HTML Keyboard"/>
    <w:basedOn w:val="33"/>
    <w:autoRedefine/>
    <w:qFormat/>
    <w:uiPriority w:val="0"/>
    <w:rPr>
      <w:rFonts w:hint="default" w:ascii="monospace" w:hAnsi="monospace" w:eastAsia="monospace" w:cs="monospace"/>
      <w:sz w:val="20"/>
    </w:rPr>
  </w:style>
  <w:style w:type="character" w:styleId="46">
    <w:name w:val="HTML Sample"/>
    <w:basedOn w:val="33"/>
    <w:autoRedefine/>
    <w:qFormat/>
    <w:uiPriority w:val="0"/>
    <w:rPr>
      <w:rFonts w:hint="default" w:ascii="monospace" w:hAnsi="monospace" w:eastAsia="monospace" w:cs="monospace"/>
    </w:rPr>
  </w:style>
  <w:style w:type="paragraph" w:customStyle="1" w:styleId="47">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48">
    <w:name w:val="Default"/>
    <w:next w:val="49"/>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8"/>
    <w:autoRedefine/>
    <w:qFormat/>
    <w:uiPriority w:val="0"/>
    <w:pPr>
      <w:jc w:val="center"/>
    </w:pPr>
    <w:rPr>
      <w:rFonts w:ascii="Arial" w:hAnsi="Arial"/>
      <w:b/>
      <w:sz w:val="28"/>
    </w:rPr>
  </w:style>
  <w:style w:type="paragraph" w:customStyle="1" w:styleId="50">
    <w:name w:val="No Spacing1"/>
    <w:basedOn w:val="1"/>
    <w:autoRedefine/>
    <w:qFormat/>
    <w:uiPriority w:val="0"/>
    <w:pPr>
      <w:spacing w:line="400" w:lineRule="exact"/>
    </w:pPr>
    <w:rPr>
      <w:sz w:val="24"/>
    </w:rPr>
  </w:style>
  <w:style w:type="paragraph" w:customStyle="1" w:styleId="51">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autoRedefine/>
    <w:qFormat/>
    <w:uiPriority w:val="0"/>
  </w:style>
  <w:style w:type="paragraph" w:customStyle="1" w:styleId="53">
    <w:name w:val="正文缩进1"/>
    <w:basedOn w:val="1"/>
    <w:autoRedefine/>
    <w:qFormat/>
    <w:uiPriority w:val="0"/>
    <w:pPr>
      <w:widowControl/>
      <w:ind w:firstLine="420"/>
      <w:jc w:val="left"/>
    </w:pPr>
    <w:rPr>
      <w:kern w:val="0"/>
      <w:szCs w:val="20"/>
    </w:rPr>
  </w:style>
  <w:style w:type="paragraph" w:customStyle="1" w:styleId="54">
    <w:name w:val="列出段落2"/>
    <w:basedOn w:val="1"/>
    <w:autoRedefine/>
    <w:qFormat/>
    <w:uiPriority w:val="34"/>
    <w:pPr>
      <w:ind w:firstLine="420" w:firstLineChars="200"/>
    </w:pPr>
  </w:style>
  <w:style w:type="paragraph" w:customStyle="1" w:styleId="55">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6">
    <w:name w:val="1"/>
    <w:basedOn w:val="1"/>
    <w:autoRedefine/>
    <w:qFormat/>
    <w:uiPriority w:val="0"/>
    <w:pPr>
      <w:widowControl/>
      <w:spacing w:beforeAutospacing="1" w:afterAutospacing="1"/>
      <w:jc w:val="left"/>
    </w:pPr>
    <w:rPr>
      <w:rFonts w:ascii="宋体" w:hAnsi="宋体" w:cs="宋体"/>
      <w:kern w:val="0"/>
      <w:sz w:val="24"/>
    </w:rPr>
  </w:style>
  <w:style w:type="paragraph" w:styleId="57">
    <w:name w:val="No Spacing"/>
    <w:autoRedefine/>
    <w:qFormat/>
    <w:uiPriority w:val="1"/>
    <w:rPr>
      <w:rFonts w:ascii="Calibri" w:hAnsi="Calibri" w:eastAsia="宋体" w:cs="Times New Roman"/>
      <w:sz w:val="22"/>
      <w:szCs w:val="22"/>
      <w:lang w:val="en-US" w:eastAsia="zh-CN" w:bidi="ar-SA"/>
    </w:rPr>
  </w:style>
  <w:style w:type="paragraph" w:customStyle="1" w:styleId="58">
    <w:name w:val="_Style 2"/>
    <w:basedOn w:val="1"/>
    <w:autoRedefine/>
    <w:qFormat/>
    <w:uiPriority w:val="34"/>
    <w:pPr>
      <w:ind w:firstLine="420" w:firstLineChars="200"/>
    </w:pPr>
    <w:rPr>
      <w:rFonts w:ascii="Calibri" w:hAnsi="Calibri"/>
    </w:rPr>
  </w:style>
  <w:style w:type="paragraph" w:customStyle="1" w:styleId="59">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autoRedefine/>
    <w:qFormat/>
    <w:uiPriority w:val="0"/>
  </w:style>
  <w:style w:type="paragraph" w:customStyle="1" w:styleId="62">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autoRedefine/>
    <w:qFormat/>
    <w:uiPriority w:val="1"/>
    <w:pPr>
      <w:jc w:val="left"/>
    </w:pPr>
    <w:rPr>
      <w:rFonts w:ascii="宋体" w:hAnsi="宋体" w:cs="宋体"/>
      <w:kern w:val="0"/>
      <w:sz w:val="22"/>
      <w:szCs w:val="22"/>
      <w:lang w:eastAsia="en-US"/>
    </w:rPr>
  </w:style>
  <w:style w:type="paragraph" w:customStyle="1" w:styleId="64">
    <w:name w:val="无间隔1"/>
    <w:basedOn w:val="1"/>
    <w:autoRedefine/>
    <w:qFormat/>
    <w:uiPriority w:val="1"/>
    <w:pPr>
      <w:spacing w:line="400" w:lineRule="exact"/>
    </w:pPr>
    <w:rPr>
      <w:sz w:val="24"/>
    </w:rPr>
  </w:style>
  <w:style w:type="paragraph" w:customStyle="1" w:styleId="65">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autoRedefine/>
    <w:qFormat/>
    <w:uiPriority w:val="34"/>
    <w:pPr>
      <w:ind w:firstLine="420" w:firstLineChars="200"/>
    </w:pPr>
  </w:style>
  <w:style w:type="paragraph" w:customStyle="1" w:styleId="68">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0">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autoRedefine/>
    <w:qFormat/>
    <w:uiPriority w:val="0"/>
    <w:pPr>
      <w:ind w:firstLine="420" w:firstLineChars="200"/>
    </w:pPr>
    <w:rPr>
      <w:rFonts w:ascii="Calibri" w:hAnsi="Calibri"/>
      <w:szCs w:val="22"/>
    </w:rPr>
  </w:style>
  <w:style w:type="character" w:customStyle="1" w:styleId="72">
    <w:name w:val="正文文本 Char"/>
    <w:basedOn w:val="33"/>
    <w:link w:val="14"/>
    <w:autoRedefine/>
    <w:qFormat/>
    <w:uiPriority w:val="0"/>
  </w:style>
  <w:style w:type="character" w:customStyle="1" w:styleId="73">
    <w:name w:val="apple-converted-space"/>
    <w:basedOn w:val="33"/>
    <w:autoRedefine/>
    <w:qFormat/>
    <w:uiPriority w:val="0"/>
  </w:style>
  <w:style w:type="character" w:customStyle="1" w:styleId="74">
    <w:name w:val="文档结构图 Char"/>
    <w:link w:val="11"/>
    <w:autoRedefine/>
    <w:qFormat/>
    <w:uiPriority w:val="0"/>
    <w:rPr>
      <w:rFonts w:ascii="宋体"/>
      <w:kern w:val="2"/>
      <w:sz w:val="18"/>
      <w:szCs w:val="18"/>
    </w:rPr>
  </w:style>
  <w:style w:type="character" w:customStyle="1" w:styleId="75">
    <w:name w:val="不明显强调1"/>
    <w:autoRedefine/>
    <w:qFormat/>
    <w:uiPriority w:val="19"/>
    <w:rPr>
      <w:i/>
      <w:iCs/>
      <w:color w:val="7F7F7F"/>
      <w:szCs w:val="24"/>
    </w:rPr>
  </w:style>
  <w:style w:type="character" w:customStyle="1" w:styleId="76">
    <w:name w:val="font71"/>
    <w:autoRedefine/>
    <w:qFormat/>
    <w:uiPriority w:val="0"/>
    <w:rPr>
      <w:rFonts w:hint="eastAsia" w:ascii="宋体" w:hAnsi="宋体" w:eastAsia="宋体" w:cs="宋体"/>
      <w:color w:val="000000"/>
      <w:sz w:val="28"/>
      <w:szCs w:val="28"/>
      <w:u w:val="none"/>
    </w:rPr>
  </w:style>
  <w:style w:type="character" w:customStyle="1" w:styleId="77">
    <w:name w:val="font21"/>
    <w:autoRedefine/>
    <w:qFormat/>
    <w:uiPriority w:val="0"/>
    <w:rPr>
      <w:rFonts w:hint="default" w:ascii="Calibri" w:hAnsi="Calibri" w:cs="Calibri"/>
      <w:color w:val="000000"/>
      <w:sz w:val="28"/>
      <w:szCs w:val="28"/>
      <w:u w:val="none"/>
    </w:rPr>
  </w:style>
  <w:style w:type="character" w:customStyle="1" w:styleId="78">
    <w:name w:val="17"/>
    <w:autoRedefine/>
    <w:qFormat/>
    <w:uiPriority w:val="0"/>
    <w:rPr>
      <w:rFonts w:hint="eastAsia" w:ascii="宋体" w:hAnsi="宋体" w:eastAsia="宋体"/>
      <w:color w:val="000000"/>
    </w:rPr>
  </w:style>
  <w:style w:type="character" w:customStyle="1" w:styleId="79">
    <w:name w:val="font91"/>
    <w:autoRedefine/>
    <w:qFormat/>
    <w:uiPriority w:val="0"/>
    <w:rPr>
      <w:rFonts w:hint="eastAsia" w:ascii="宋体" w:hAnsi="宋体" w:eastAsia="宋体" w:cs="宋体"/>
      <w:color w:val="FF0000"/>
      <w:sz w:val="28"/>
      <w:szCs w:val="28"/>
      <w:u w:val="none"/>
    </w:rPr>
  </w:style>
  <w:style w:type="paragraph" w:customStyle="1" w:styleId="80">
    <w:name w:val="p"/>
    <w:basedOn w:val="1"/>
    <w:autoRedefine/>
    <w:qFormat/>
    <w:uiPriority w:val="0"/>
    <w:pPr>
      <w:widowControl/>
      <w:spacing w:line="432" w:lineRule="auto"/>
      <w:jc w:val="left"/>
    </w:pPr>
    <w:rPr>
      <w:rFonts w:ascii="宋体" w:hAnsi="宋体" w:cs="宋体"/>
      <w:kern w:val="0"/>
      <w:sz w:val="24"/>
    </w:rPr>
  </w:style>
  <w:style w:type="paragraph" w:customStyle="1" w:styleId="81">
    <w:name w:val="WPSOffice手动目录 1"/>
    <w:autoRedefine/>
    <w:qFormat/>
    <w:uiPriority w:val="0"/>
    <w:rPr>
      <w:rFonts w:ascii="Times New Roman" w:hAnsi="Times New Roman" w:eastAsia="宋体" w:cs="Times New Roman"/>
      <w:lang w:val="en-US" w:eastAsia="zh-CN" w:bidi="ar-SA"/>
    </w:rPr>
  </w:style>
  <w:style w:type="paragraph" w:customStyle="1" w:styleId="82">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3">
    <w:name w:val="表格文字"/>
    <w:basedOn w:val="1"/>
    <w:next w:val="14"/>
    <w:autoRedefine/>
    <w:qFormat/>
    <w:uiPriority w:val="0"/>
    <w:pPr>
      <w:adjustRightInd w:val="0"/>
      <w:spacing w:line="420" w:lineRule="atLeast"/>
      <w:jc w:val="left"/>
      <w:textAlignment w:val="baseline"/>
    </w:pPr>
    <w:rPr>
      <w:kern w:val="0"/>
      <w:szCs w:val="20"/>
    </w:rPr>
  </w:style>
  <w:style w:type="character" w:customStyle="1" w:styleId="84">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autoRedefine/>
    <w:qFormat/>
    <w:uiPriority w:val="34"/>
    <w:pPr>
      <w:widowControl/>
      <w:ind w:firstLine="420"/>
      <w:jc w:val="left"/>
    </w:pPr>
    <w:rPr>
      <w:kern w:val="0"/>
    </w:rPr>
  </w:style>
  <w:style w:type="paragraph" w:styleId="86">
    <w:name w:val="List Paragraph"/>
    <w:basedOn w:val="1"/>
    <w:autoRedefine/>
    <w:qFormat/>
    <w:uiPriority w:val="34"/>
    <w:pPr>
      <w:ind w:firstLine="420" w:firstLineChars="200"/>
    </w:pPr>
  </w:style>
  <w:style w:type="character" w:customStyle="1" w:styleId="87">
    <w:name w:val="hover18"/>
    <w:basedOn w:val="33"/>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14755</Words>
  <Characters>15466</Characters>
  <Lines>50</Lines>
  <Paragraphs>68</Paragraphs>
  <TotalTime>3</TotalTime>
  <ScaleCrop>false</ScaleCrop>
  <LinksUpToDate>false</LinksUpToDate>
  <CharactersWithSpaces>16382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2024-03-29T00:13:45Z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DA23CE725ABE4265B71B96C27A00DFE6_13</vt:lpwstr>
  </property>
  <property fmtid="{D5CDD505-2E9C-101B-9397-08002B2CF9AE}" pid="4" name="commondata">
    <vt:lpwstr>eyJoZGlkIjoiYzIwMjRmYTY4OTJhZjc1NTA1MGQwNDc0NzZhNTkwMmUifQ==</vt:lpwstr>
  </property>
</Properties>
</file>