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48"/>
          <w:szCs w:val="48"/>
          <w:highlight w:val="none"/>
          <w:lang w:val="en-US" w:eastAsia="zh-CN"/>
        </w:rPr>
      </w:pPr>
      <w:bookmarkStart w:id="0" w:name="_Toc22953395"/>
      <w:bookmarkEnd w:id="0"/>
      <w:bookmarkStart w:id="1" w:name="_Toc22804073"/>
      <w:bookmarkEnd w:id="1"/>
    </w:p>
    <w:p>
      <w:pPr>
        <w:pStyle w:val="19"/>
        <w:keepNext w:val="0"/>
        <w:keepLines w:val="0"/>
        <w:pageBreakBefore w:val="0"/>
        <w:widowControl w:val="0"/>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48"/>
          <w:szCs w:val="48"/>
          <w:highlight w:val="none"/>
        </w:rPr>
      </w:pPr>
      <w:r>
        <w:rPr>
          <w:rFonts w:hint="eastAsia" w:cs="宋体"/>
          <w:b/>
          <w:bCs/>
          <w:sz w:val="48"/>
          <w:szCs w:val="48"/>
          <w:highlight w:val="none"/>
          <w:lang w:val="en-US" w:eastAsia="zh-CN"/>
        </w:rPr>
        <w:t>驻马店市中心医院档案室供电线路等采购及安装项目</w:t>
      </w:r>
    </w:p>
    <w:p>
      <w:pPr>
        <w:pStyle w:val="19"/>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 w:val="48"/>
          <w:szCs w:val="48"/>
          <w:highlight w:val="none"/>
        </w:rPr>
      </w:pPr>
    </w:p>
    <w:p>
      <w:pPr>
        <w:pStyle w:val="19"/>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 w:val="48"/>
          <w:szCs w:val="48"/>
          <w:highlight w:val="none"/>
        </w:rPr>
      </w:pPr>
    </w:p>
    <w:p>
      <w:pPr>
        <w:pStyle w:val="19"/>
        <w:pageBreakBefore w:val="0"/>
        <w:kinsoku/>
        <w:overflowPunct/>
        <w:topLinePunct w:val="0"/>
        <w:bidi w:val="0"/>
        <w:spacing w:beforeAutospacing="0" w:afterAutospacing="0" w:line="360" w:lineRule="auto"/>
        <w:jc w:val="center"/>
        <w:rPr>
          <w:rStyle w:val="43"/>
          <w:rFonts w:hint="eastAsia" w:ascii="宋体" w:hAnsi="宋体" w:eastAsia="宋体" w:cs="宋体"/>
          <w:b/>
          <w:bCs/>
          <w:color w:val="auto"/>
          <w:szCs w:val="44"/>
          <w:highlight w:val="none"/>
        </w:rPr>
      </w:pPr>
      <w:r>
        <w:rPr>
          <w:rStyle w:val="43"/>
          <w:rFonts w:hint="eastAsia" w:ascii="宋体" w:hAnsi="宋体" w:eastAsia="宋体" w:cs="宋体"/>
          <w:b/>
          <w:bCs/>
          <w:color w:val="auto"/>
          <w:sz w:val="72"/>
          <w:szCs w:val="72"/>
          <w:highlight w:val="none"/>
          <w:lang w:val="en-US" w:eastAsia="zh-CN"/>
        </w:rPr>
        <w:t>采购</w:t>
      </w:r>
      <w:r>
        <w:rPr>
          <w:rStyle w:val="43"/>
          <w:rFonts w:hint="eastAsia" w:ascii="宋体" w:hAnsi="宋体" w:eastAsia="宋体" w:cs="宋体"/>
          <w:b/>
          <w:bCs/>
          <w:color w:val="auto"/>
          <w:sz w:val="72"/>
          <w:szCs w:val="72"/>
          <w:highlight w:val="none"/>
        </w:rPr>
        <w:t>文件</w:t>
      </w: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jc w:val="both"/>
        <w:rPr>
          <w:rFonts w:hint="eastAsia" w:ascii="宋体" w:hAnsi="宋体" w:eastAsia="宋体" w:cs="宋体"/>
          <w:b/>
          <w:bCs/>
          <w:spacing w:val="-10"/>
          <w:sz w:val="34"/>
          <w:szCs w:val="34"/>
          <w:highlight w:val="none"/>
          <w:lang w:val="en-US" w:eastAsia="zh-CN"/>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sz w:val="32"/>
          <w:szCs w:val="32"/>
          <w:highlight w:val="none"/>
        </w:rPr>
      </w:pPr>
    </w:p>
    <w:p>
      <w:pPr>
        <w:pStyle w:val="31"/>
        <w:pageBreakBefore w:val="0"/>
        <w:kinsoku/>
        <w:overflowPunct/>
        <w:topLinePunct w:val="0"/>
        <w:bidi w:val="0"/>
        <w:spacing w:beforeAutospacing="0" w:afterAutospacing="0" w:line="360" w:lineRule="auto"/>
        <w:rPr>
          <w:rFonts w:hint="eastAsia" w:ascii="宋体" w:hAnsi="宋体" w:eastAsia="宋体" w:cs="宋体"/>
          <w:highlight w:val="none"/>
        </w:rPr>
      </w:pPr>
    </w:p>
    <w:p>
      <w:pPr>
        <w:pStyle w:val="59"/>
        <w:pageBreakBefore w:val="0"/>
        <w:kinsoku/>
        <w:overflowPunct/>
        <w:topLinePunct w:val="0"/>
        <w:bidi w:val="0"/>
        <w:spacing w:beforeAutospacing="0" w:afterAutospacing="0" w:line="360" w:lineRule="auto"/>
        <w:rPr>
          <w:rFonts w:hint="eastAsia" w:ascii="宋体" w:hAnsi="宋体" w:eastAsia="宋体" w:cs="宋体"/>
          <w:bCs/>
          <w:sz w:val="2"/>
          <w:szCs w:val="2"/>
          <w:highlight w:val="none"/>
        </w:rPr>
      </w:pPr>
    </w:p>
    <w:p>
      <w:pPr>
        <w:pageBreakBefore w:val="0"/>
        <w:kinsoku/>
        <w:overflowPunct/>
        <w:topLinePunct w:val="0"/>
        <w:bidi w:val="0"/>
        <w:spacing w:beforeAutospacing="0" w:afterAutospacing="0" w:line="360" w:lineRule="auto"/>
        <w:rPr>
          <w:rFonts w:hint="eastAsia" w:ascii="宋体" w:hAnsi="宋体" w:eastAsia="宋体" w:cs="宋体"/>
          <w:bCs/>
          <w:sz w:val="2"/>
          <w:szCs w:val="2"/>
          <w:highlight w:val="none"/>
        </w:rPr>
      </w:pPr>
    </w:p>
    <w:p>
      <w:pPr>
        <w:pageBreakBefore w:val="0"/>
        <w:kinsoku/>
        <w:overflowPunct/>
        <w:topLinePunct w:val="0"/>
        <w:bidi w:val="0"/>
        <w:spacing w:beforeAutospacing="0" w:afterAutospacing="0" w:line="360" w:lineRule="auto"/>
        <w:rPr>
          <w:rFonts w:hint="eastAsia" w:ascii="宋体" w:hAnsi="宋体" w:eastAsia="宋体" w:cs="宋体"/>
          <w:bCs/>
          <w:sz w:val="2"/>
          <w:szCs w:val="2"/>
          <w:highlight w:val="none"/>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rPr>
          <w:rFonts w:hint="eastAsia" w:ascii="宋体" w:hAnsi="宋体" w:eastAsia="宋体" w:cs="宋体"/>
          <w:b/>
          <w:bCs/>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firstLine="1928" w:firstLineChars="600"/>
        <w:rPr>
          <w:rFonts w:hint="eastAsia" w:ascii="宋体" w:hAnsi="宋体" w:eastAsia="宋体" w:cs="宋体"/>
          <w:b/>
          <w:bCs/>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left="0" w:leftChars="0" w:firstLine="0" w:firstLineChars="0"/>
        <w:jc w:val="center"/>
        <w:rPr>
          <w:rFonts w:hint="eastAsia" w:ascii="宋体" w:hAnsi="宋体" w:eastAsia="宋体" w:cs="宋体"/>
          <w:b/>
          <w:bCs/>
          <w:spacing w:val="-10"/>
          <w:sz w:val="34"/>
          <w:szCs w:val="34"/>
          <w:highlight w:val="none"/>
          <w:lang w:val="en-US" w:eastAsia="zh-CN"/>
        </w:rPr>
      </w:pPr>
    </w:p>
    <w:p>
      <w:pPr>
        <w:pageBreakBefore w:val="0"/>
        <w:tabs>
          <w:tab w:val="left" w:pos="2700"/>
          <w:tab w:val="left" w:pos="2880"/>
          <w:tab w:val="left" w:pos="3060"/>
          <w:tab w:val="left" w:pos="7560"/>
        </w:tabs>
        <w:kinsoku/>
        <w:overflowPunct/>
        <w:topLinePunct w:val="0"/>
        <w:bidi w:val="0"/>
        <w:snapToGrid w:val="0"/>
        <w:spacing w:beforeAutospacing="0" w:afterAutospacing="0" w:line="360" w:lineRule="auto"/>
        <w:ind w:left="0" w:leftChars="0" w:firstLine="0" w:firstLineChars="0"/>
        <w:jc w:val="center"/>
        <w:rPr>
          <w:rFonts w:hint="eastAsia" w:ascii="宋体" w:hAnsi="宋体" w:eastAsia="宋体" w:cs="宋体"/>
          <w:b/>
          <w:bCs/>
          <w:spacing w:val="80"/>
          <w:sz w:val="34"/>
          <w:szCs w:val="34"/>
          <w:highlight w:val="none"/>
        </w:rPr>
      </w:pPr>
      <w:r>
        <w:rPr>
          <w:rFonts w:hint="eastAsia" w:ascii="宋体" w:hAnsi="宋体" w:eastAsia="宋体" w:cs="宋体"/>
          <w:b/>
          <w:bCs/>
          <w:spacing w:val="-10"/>
          <w:sz w:val="34"/>
          <w:szCs w:val="34"/>
          <w:highlight w:val="none"/>
          <w:lang w:val="en-US" w:eastAsia="zh-CN"/>
        </w:rPr>
        <w:t>采 购</w:t>
      </w:r>
      <w:r>
        <w:rPr>
          <w:rFonts w:hint="eastAsia" w:ascii="宋体" w:hAnsi="宋体" w:eastAsia="宋体" w:cs="宋体"/>
          <w:b/>
          <w:bCs/>
          <w:spacing w:val="-10"/>
          <w:sz w:val="34"/>
          <w:szCs w:val="34"/>
          <w:highlight w:val="none"/>
        </w:rPr>
        <w:t xml:space="preserve"> 人：驻马店市中心医院</w:t>
      </w:r>
    </w:p>
    <w:p>
      <w:pPr>
        <w:pageBreakBefore w:val="0"/>
        <w:tabs>
          <w:tab w:val="left" w:pos="2505"/>
          <w:tab w:val="center" w:pos="4535"/>
        </w:tabs>
        <w:kinsoku/>
        <w:overflowPunct/>
        <w:topLinePunct w:val="0"/>
        <w:bidi w:val="0"/>
        <w:snapToGrid w:val="0"/>
        <w:spacing w:beforeAutospacing="0" w:afterAutospacing="0" w:line="360" w:lineRule="auto"/>
        <w:jc w:val="center"/>
        <w:rPr>
          <w:rFonts w:hint="eastAsia" w:ascii="宋体" w:hAnsi="宋体" w:eastAsia="宋体" w:cs="宋体"/>
          <w:b/>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highlight w:val="none"/>
          <w:lang w:val="en-US" w:eastAsia="zh-CN"/>
        </w:rPr>
        <w:t>2024年3月</w:t>
      </w:r>
    </w:p>
    <w:p>
      <w:pPr>
        <w:pageBreakBefore w:val="0"/>
        <w:kinsoku/>
        <w:overflowPunct/>
        <w:topLinePunct w:val="0"/>
        <w:bidi w:val="0"/>
        <w:spacing w:beforeAutospacing="0" w:afterAutospacing="0" w:line="360" w:lineRule="auto"/>
        <w:rPr>
          <w:rFonts w:hint="eastAsia" w:ascii="宋体" w:hAnsi="宋体" w:eastAsia="宋体" w:cs="宋体"/>
          <w:bCs/>
          <w:color w:val="auto"/>
          <w:sz w:val="24"/>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pPr>
        <w:pStyle w:val="53"/>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"_Toc9075"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第一章  招 标 公 告</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_Toc9075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"_Toc25063"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第二章  </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_Toc25063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"_Toc14504"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第三章  投标人须知</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_Toc14504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"_Toc9022"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Cs w:val="21"/>
          <w:highlight w:val="none"/>
        </w:rPr>
        <w:t>第四章  评标办法及评分标准</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_Toc9022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"_Toc28988"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第五章  采购合同（主要条款）</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_Toc28988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26</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pageBreakBefore w:val="0"/>
        <w:tabs>
          <w:tab w:val="right" w:leader="dot" w:pos="8958"/>
        </w:tabs>
        <w:kinsoku/>
        <w:overflowPunct/>
        <w:topLinePunct w:val="0"/>
        <w:bidi w:val="0"/>
        <w:snapToGrid w:val="0"/>
        <w:spacing w:before="0" w:beforeAutospacing="0" w:afterAutospacing="0" w:line="360" w:lineRule="auto"/>
        <w:rPr>
          <w:rFonts w:hint="eastAsia" w:ascii="宋体" w:hAnsi="宋体" w:eastAsia="宋体" w:cs="宋体"/>
          <w:b/>
          <w:bCs/>
          <w:color w:val="auto"/>
          <w:sz w:val="32"/>
          <w:szCs w:val="32"/>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"_Toc2638"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第六章  投标文件格式</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_Toc2638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27</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83"/>
        <w:pageBreakBefore w:val="0"/>
        <w:tabs>
          <w:tab w:val="right" w:leader="dot" w:pos="8300"/>
        </w:tabs>
        <w:kinsoku/>
        <w:overflowPunct/>
        <w:topLinePunct w:val="0"/>
        <w:bidi w:val="0"/>
        <w:snapToGrid w:val="0"/>
        <w:spacing w:beforeAutospacing="0" w:afterAutospacing="0" w:line="360" w:lineRule="auto"/>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fldChar w:fldCharType="end"/>
      </w:r>
    </w:p>
    <w:p>
      <w:pPr>
        <w:pageBreakBefore w:val="0"/>
        <w:kinsoku/>
        <w:overflowPunct/>
        <w:topLinePunct w:val="0"/>
        <w:bidi w:val="0"/>
        <w:spacing w:beforeAutospacing="0" w:afterAutospacing="0" w:line="360" w:lineRule="auto"/>
        <w:rPr>
          <w:rFonts w:hint="eastAsia" w:ascii="宋体" w:hAnsi="宋体" w:eastAsia="宋体" w:cs="宋体"/>
          <w:b/>
          <w:color w:val="auto"/>
          <w:sz w:val="32"/>
          <w:szCs w:val="32"/>
          <w:highlight w:val="none"/>
        </w:rPr>
      </w:pPr>
    </w:p>
    <w:p>
      <w:pPr>
        <w:pageBreakBefore w:val="0"/>
        <w:kinsoku/>
        <w:overflowPunct/>
        <w:topLinePunct w:val="0"/>
        <w:bidi w:val="0"/>
        <w:spacing w:beforeAutospacing="0" w:afterAutospacing="0"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pageBreakBefore w:val="0"/>
        <w:kinsoku/>
        <w:overflowPunct/>
        <w:topLinePunct w:val="0"/>
        <w:bidi w:val="0"/>
        <w:spacing w:beforeAutospacing="0" w:afterAutospacing="0" w:line="360" w:lineRule="auto"/>
        <w:jc w:val="center"/>
        <w:outlineLvl w:val="0"/>
        <w:rPr>
          <w:rFonts w:hint="eastAsia" w:ascii="宋体" w:hAnsi="宋体" w:eastAsia="宋体" w:cs="宋体"/>
          <w:b/>
          <w:color w:val="auto"/>
          <w:sz w:val="32"/>
          <w:szCs w:val="32"/>
          <w:highlight w:val="none"/>
        </w:rPr>
      </w:pPr>
      <w:bookmarkStart w:id="2" w:name="_Toc9075"/>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bCs/>
          <w:color w:val="auto"/>
          <w:kern w:val="0"/>
          <w:sz w:val="28"/>
          <w:szCs w:val="28"/>
          <w:highlight w:val="none"/>
          <w:u w:val="none"/>
          <w:lang w:val="en-US" w:eastAsia="zh-CN"/>
        </w:rPr>
      </w:pPr>
      <w:r>
        <w:rPr>
          <w:rFonts w:hint="eastAsia" w:ascii="宋体" w:hAnsi="宋体" w:cs="宋体"/>
          <w:bCs/>
          <w:color w:val="auto"/>
          <w:kern w:val="0"/>
          <w:sz w:val="28"/>
          <w:szCs w:val="28"/>
          <w:highlight w:val="none"/>
          <w:u w:val="none"/>
          <w:lang w:val="en-US" w:eastAsia="zh-CN"/>
        </w:rPr>
        <w:t>驻马店市中心医院档案室供电线路等采购及安装项目</w:t>
      </w:r>
    </w:p>
    <w:p>
      <w:pPr>
        <w:keepNext w:val="0"/>
        <w:keepLines w:val="0"/>
        <w:pageBreakBefore w:val="0"/>
        <w:widowControl/>
        <w:kinsoku/>
        <w:wordWrap/>
        <w:overflowPunct/>
        <w:topLinePunct w:val="0"/>
        <w:autoSpaceDE/>
        <w:autoSpaceDN/>
        <w:bidi w:val="0"/>
        <w:adjustRightInd w:val="0"/>
        <w:snapToGrid w:val="0"/>
        <w:spacing w:beforeAutospacing="0" w:afterAutospacing="0" w:line="360" w:lineRule="auto"/>
        <w:jc w:val="center"/>
        <w:textAlignment w:val="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u w:val="none"/>
          <w:lang w:val="en-US" w:eastAsia="zh-CN"/>
        </w:rPr>
        <w:t>竞争性磋商</w:t>
      </w:r>
      <w:r>
        <w:rPr>
          <w:rFonts w:hint="eastAsia" w:ascii="宋体" w:hAnsi="宋体" w:eastAsia="宋体" w:cs="宋体"/>
          <w:bCs/>
          <w:color w:val="auto"/>
          <w:kern w:val="0"/>
          <w:sz w:val="28"/>
          <w:szCs w:val="28"/>
          <w:highlight w:val="none"/>
        </w:rPr>
        <w:t>公告</w:t>
      </w:r>
    </w:p>
    <w:p>
      <w:pPr>
        <w:keepNext w:val="0"/>
        <w:keepLines w:val="0"/>
        <w:pageBreakBefore w:val="0"/>
        <w:kinsoku/>
        <w:overflowPunct/>
        <w:topLinePunct w:val="0"/>
        <w:bidi w:val="0"/>
        <w:snapToGrid w:val="0"/>
        <w:spacing w:beforeAutospacing="0" w:afterAutospacing="0" w:line="440" w:lineRule="exact"/>
        <w:ind w:firstLine="480" w:firstLineChars="200"/>
        <w:textAlignment w:val="auto"/>
        <w:rPr>
          <w:rFonts w:hint="eastAsia" w:ascii="宋体" w:hAnsi="宋体" w:eastAsia="宋体" w:cs="宋体"/>
          <w:color w:val="auto"/>
          <w:sz w:val="24"/>
          <w:szCs w:val="24"/>
        </w:rPr>
      </w:pPr>
      <w:bookmarkStart w:id="3" w:name="_Toc35393626"/>
      <w:bookmarkStart w:id="4" w:name="_Toc35393795"/>
      <w:bookmarkStart w:id="5" w:name="_Toc25063"/>
      <w:bookmarkStart w:id="6" w:name="_Toc29890"/>
      <w:bookmarkStart w:id="7" w:name="_Toc23793"/>
      <w:r>
        <w:rPr>
          <w:rFonts w:hint="eastAsia" w:ascii="宋体" w:hAnsi="宋体" w:eastAsia="宋体" w:cs="宋体"/>
          <w:color w:val="auto"/>
          <w:sz w:val="24"/>
          <w:szCs w:val="28"/>
        </w:rPr>
        <w:t>驻马店市中心医院现对</w:t>
      </w:r>
      <w:r>
        <w:rPr>
          <w:rFonts w:hint="eastAsia" w:ascii="宋体" w:hAnsi="宋体" w:eastAsia="宋体" w:cs="宋体"/>
          <w:color w:val="auto"/>
          <w:sz w:val="24"/>
          <w:szCs w:val="28"/>
          <w:u w:val="single"/>
          <w:lang w:val="en-US" w:eastAsia="zh-CN"/>
        </w:rPr>
        <w:t>档案室供电线路等采购及安装项目</w:t>
      </w:r>
      <w:r>
        <w:rPr>
          <w:rFonts w:hint="eastAsia" w:ascii="宋体" w:hAnsi="宋体" w:eastAsia="宋体" w:cs="宋体"/>
          <w:color w:val="auto"/>
          <w:sz w:val="24"/>
          <w:szCs w:val="28"/>
        </w:rPr>
        <w:t>进行院内</w:t>
      </w:r>
      <w:r>
        <w:rPr>
          <w:rFonts w:hint="eastAsia" w:ascii="宋体" w:hAnsi="宋体" w:eastAsia="宋体" w:cs="宋体"/>
          <w:color w:val="auto"/>
          <w:sz w:val="24"/>
          <w:szCs w:val="28"/>
          <w:lang w:val="en-US" w:eastAsia="zh-CN"/>
        </w:rPr>
        <w:t>竞争性磋商</w:t>
      </w:r>
      <w:r>
        <w:rPr>
          <w:rFonts w:hint="eastAsia" w:ascii="宋体" w:hAnsi="宋体" w:eastAsia="宋体" w:cs="宋体"/>
          <w:color w:val="auto"/>
          <w:sz w:val="24"/>
          <w:szCs w:val="28"/>
        </w:rPr>
        <w:t>采购，欢迎符合资格条件的供应商前来</w:t>
      </w:r>
      <w:r>
        <w:rPr>
          <w:rFonts w:hint="eastAsia" w:ascii="宋体" w:hAnsi="宋体" w:eastAsia="宋体" w:cs="宋体"/>
          <w:color w:val="auto"/>
          <w:sz w:val="24"/>
          <w:szCs w:val="28"/>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cs="宋体"/>
          <w:color w:val="auto"/>
          <w:sz w:val="24"/>
          <w:szCs w:val="24"/>
          <w:highlight w:val="none"/>
          <w:shd w:val="clear" w:color="auto" w:fill="FFFFFF"/>
          <w:lang w:val="en-US" w:eastAsia="zh-CN"/>
        </w:rPr>
        <w:t>驻马店市中心医院档案室供电线路等采购及安装项目</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8"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81940.75</w:t>
      </w:r>
      <w:r>
        <w:rPr>
          <w:rFonts w:hint="eastAsia" w:ascii="宋体" w:hAnsi="宋体" w:eastAsia="宋体" w:cs="宋体"/>
          <w:color w:val="auto"/>
          <w:kern w:val="0"/>
          <w:sz w:val="24"/>
          <w:szCs w:val="24"/>
          <w:highlight w:val="none"/>
        </w:rPr>
        <w:t>元</w:t>
      </w:r>
      <w:r>
        <w:rPr>
          <w:rFonts w:hint="eastAsia" w:ascii="宋体" w:hAnsi="宋体" w:eastAsia="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lang w:val="en-US" w:eastAsia="zh-CN"/>
        </w:rPr>
        <w:t>自筹资金；</w:t>
      </w:r>
    </w:p>
    <w:p>
      <w:pPr>
        <w:keepNext w:val="0"/>
        <w:keepLines w:val="0"/>
        <w:pageBreakBefore w:val="0"/>
        <w:kinsoku/>
        <w:overflowPunct/>
        <w:topLinePunct w:val="0"/>
        <w:bidi w:val="0"/>
        <w:snapToGrid w:val="0"/>
        <w:spacing w:beforeAutospacing="0" w:afterAutospacing="0" w:line="44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交货期：合同签订后20日内；</w:t>
      </w:r>
    </w:p>
    <w:p>
      <w:pPr>
        <w:keepNext w:val="0"/>
        <w:keepLines w:val="0"/>
        <w:pageBreakBefore w:val="0"/>
        <w:kinsoku/>
        <w:overflowPunct/>
        <w:topLinePunct w:val="0"/>
        <w:bidi w:val="0"/>
        <w:snapToGrid w:val="0"/>
        <w:spacing w:beforeAutospacing="0" w:afterAutospacing="0" w:line="44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5、地点：采购人指定地点；</w:t>
      </w:r>
    </w:p>
    <w:p>
      <w:pPr>
        <w:keepNext w:val="0"/>
        <w:keepLines w:val="0"/>
        <w:pageBreakBefore w:val="0"/>
        <w:widowControl/>
        <w:tabs>
          <w:tab w:val="left" w:pos="840"/>
        </w:tabs>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bookmarkStart w:id="9" w:name="_Toc19521"/>
      <w:bookmarkStart w:id="10" w:name="_Toc26079"/>
      <w:bookmarkStart w:id="11" w:name="_Toc21071"/>
      <w:bookmarkStart w:id="12" w:name="_Toc27913"/>
      <w:bookmarkStart w:id="13" w:name="_Toc24040"/>
      <w:r>
        <w:rPr>
          <w:rFonts w:hint="eastAsia" w:ascii="宋体" w:hAnsi="宋体" w:eastAsia="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w:t>
      </w:r>
      <w:bookmarkEnd w:id="9"/>
      <w:bookmarkEnd w:id="10"/>
      <w:bookmarkEnd w:id="11"/>
      <w:bookmarkEnd w:id="12"/>
      <w:bookmarkEnd w:id="13"/>
      <w:r>
        <w:rPr>
          <w:rFonts w:hint="eastAsia" w:ascii="宋体" w:hAnsi="宋体" w:eastAsia="宋体" w:cs="宋体"/>
          <w:color w:val="auto"/>
          <w:sz w:val="24"/>
          <w:szCs w:val="24"/>
          <w:highlight w:val="none"/>
          <w:shd w:val="clear" w:color="auto" w:fill="FFFFFF"/>
          <w:lang w:val="en-US" w:eastAsia="zh-CN"/>
        </w:rPr>
        <w:t>质量要求：符合国家现行标准要求</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bookmarkStart w:id="14" w:name="_Toc18607"/>
      <w:bookmarkStart w:id="15" w:name="_Toc27704"/>
      <w:bookmarkStart w:id="16" w:name="_Toc16639"/>
      <w:bookmarkStart w:id="17" w:name="_Toc23626"/>
      <w:r>
        <w:rPr>
          <w:rFonts w:hint="eastAsia" w:ascii="宋体" w:hAnsi="宋体" w:eastAsia="宋体" w:cs="宋体"/>
          <w:b/>
          <w:bCs/>
          <w:color w:val="auto"/>
          <w:kern w:val="2"/>
          <w:sz w:val="24"/>
          <w:szCs w:val="24"/>
          <w:shd w:val="clear" w:color="auto" w:fill="FFFFFF"/>
          <w:lang w:val="en-US" w:eastAsia="zh-CN" w:bidi="ar-SA"/>
        </w:rPr>
        <w:t>二、</w:t>
      </w:r>
      <w:bookmarkEnd w:id="8"/>
      <w:bookmarkEnd w:id="14"/>
      <w:bookmarkEnd w:id="15"/>
      <w:bookmarkEnd w:id="16"/>
      <w:bookmarkEnd w:id="17"/>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2、供应商应提供2022年度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3、具有履行合同所必需的设备和专业技术能力（提供书面声明函）。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4、参加本采购活动前三年内，在经营活动中没有重大违法记录（提供书面声明函）。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lang w:val="en-US" w:eastAsia="zh-CN" w:bidi="ar-SA"/>
        </w:rPr>
        <w:t>5、符合法律、行政法规规定的其他条件。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beforeAutospacing="0" w:afterAutospacing="0" w:line="440" w:lineRule="exact"/>
        <w:ind w:firstLine="480" w:firstLineChars="200"/>
        <w:textAlignment w:val="auto"/>
        <w:rPr>
          <w:rFonts w:hint="eastAsia" w:ascii="宋体" w:hAnsi="宋体" w:eastAsia="宋体" w:cs="宋体"/>
          <w:color w:val="auto"/>
          <w:kern w:val="2"/>
          <w:sz w:val="24"/>
          <w:szCs w:val="32"/>
          <w:lang w:val="en-US" w:eastAsia="zh-CN" w:bidi="ar-SA"/>
        </w:rPr>
      </w:pPr>
      <w:r>
        <w:rPr>
          <w:rFonts w:hint="eastAsia" w:ascii="宋体" w:hAnsi="宋体" w:eastAsia="宋体" w:cs="宋体"/>
          <w:color w:val="auto"/>
          <w:kern w:val="2"/>
          <w:sz w:val="24"/>
          <w:szCs w:val="32"/>
          <w:highlight w:val="none"/>
          <w:lang w:val="en-US" w:eastAsia="zh-CN" w:bidi="ar-SA"/>
        </w:rPr>
        <w:t>7、</w:t>
      </w:r>
      <w:r>
        <w:rPr>
          <w:rFonts w:hint="eastAsia" w:ascii="宋体" w:hAnsi="宋体" w:eastAsia="宋体" w:cs="宋体"/>
          <w:color w:val="auto"/>
          <w:kern w:val="2"/>
          <w:sz w:val="24"/>
          <w:szCs w:val="32"/>
          <w:lang w:val="en-US" w:eastAsia="zh-CN" w:bidi="ar-SA"/>
        </w:rPr>
        <w:t>不接受联合体投标。</w:t>
      </w:r>
    </w:p>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auto"/>
          <w:kern w:val="2"/>
          <w:sz w:val="24"/>
          <w:szCs w:val="32"/>
          <w:lang w:val="en-US" w:eastAsia="zh-CN" w:bidi="ar-SA"/>
        </w:rPr>
      </w:pPr>
      <w:bookmarkStart w:id="18" w:name="_Toc30971"/>
      <w:bookmarkStart w:id="19" w:name="_Toc9562"/>
      <w:bookmarkStart w:id="20" w:name="_Toc23395"/>
      <w:bookmarkStart w:id="21" w:name="_Toc7823"/>
      <w:bookmarkStart w:id="22" w:name="_Toc30643"/>
      <w:r>
        <w:rPr>
          <w:rFonts w:hint="eastAsia" w:ascii="宋体" w:hAnsi="宋体" w:eastAsia="宋体" w:cs="宋体"/>
          <w:b/>
          <w:bCs/>
          <w:color w:val="auto"/>
          <w:kern w:val="2"/>
          <w:sz w:val="24"/>
          <w:szCs w:val="32"/>
          <w:lang w:val="en-US" w:eastAsia="zh-CN" w:bidi="ar-SA"/>
        </w:rPr>
        <w:t>三、获取采购文件</w:t>
      </w:r>
      <w:bookmarkEnd w:id="18"/>
      <w:bookmarkEnd w:id="19"/>
      <w:bookmarkEnd w:id="20"/>
      <w:bookmarkEnd w:id="21"/>
      <w:bookmarkEnd w:id="22"/>
    </w:p>
    <w:p>
      <w:pPr>
        <w:keepNext w:val="0"/>
        <w:keepLines w:val="0"/>
        <w:pageBreakBefore w:val="0"/>
        <w:widowControl/>
        <w:kinsoku/>
        <w:overflowPunct/>
        <w:topLinePunct w:val="0"/>
        <w:bidi w:val="0"/>
        <w:adjustRightInd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sz w:val="24"/>
          <w:szCs w:val="24"/>
          <w:shd w:val="clear" w:color="auto" w:fill="FFFFFF"/>
          <w14:textFill>
            <w14:solidFill>
              <w14:schemeClr w14:val="tx1"/>
            </w14:solidFill>
          </w14:textFill>
        </w:rPr>
      </w:pPr>
      <w:r>
        <w:rPr>
          <w:rFonts w:hint="eastAsia" w:ascii="宋体" w:hAnsi="宋体" w:eastAsia="宋体" w:cs="宋体"/>
          <w:color w:val="auto"/>
          <w:sz w:val="24"/>
          <w:szCs w:val="24"/>
          <w:shd w:val="clear" w:color="auto" w:fill="FFFFFF"/>
        </w:rPr>
        <w:t>1</w:t>
      </w:r>
      <w:r>
        <w:rPr>
          <w:rFonts w:hint="eastAsia" w:ascii="宋体" w:hAnsi="宋体" w:eastAsia="宋体" w:cs="宋体"/>
          <w:color w:val="auto"/>
          <w:sz w:val="24"/>
          <w:szCs w:val="24"/>
          <w:shd w:val="clear" w:color="auto" w:fill="FFFFFF"/>
          <w:lang w:val="en-US" w:eastAsia="zh-CN"/>
        </w:rPr>
        <w:t>.报</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名</w:t>
      </w:r>
      <w:r>
        <w:rPr>
          <w:rFonts w:hint="eastAsia" w:ascii="宋体" w:hAnsi="宋体" w:eastAsia="宋体" w:cs="宋体"/>
          <w:color w:val="000000" w:themeColor="text1"/>
          <w:sz w:val="24"/>
          <w:szCs w:val="24"/>
          <w:shd w:val="clear" w:color="auto" w:fill="FFFFFF"/>
          <w14:textFill>
            <w14:solidFill>
              <w14:schemeClr w14:val="tx1"/>
            </w14:solidFill>
          </w14:textFill>
        </w:rPr>
        <w:t>时间：</w:t>
      </w:r>
      <w:r>
        <w:rPr>
          <w:rFonts w:hint="eastAsia" w:ascii="宋体" w:hAnsi="宋体" w:eastAsia="宋体" w:cs="宋体"/>
          <w:color w:val="auto"/>
          <w:sz w:val="24"/>
          <w:szCs w:val="24"/>
          <w:highlight w:val="none"/>
          <w:shd w:val="clear" w:color="auto" w:fill="FFFFFF"/>
          <w:lang w:eastAsia="zh-CN"/>
        </w:rPr>
        <w:t>2024</w:t>
      </w:r>
      <w:r>
        <w:rPr>
          <w:rFonts w:hint="eastAsia" w:ascii="宋体" w:hAnsi="宋体" w:eastAsia="宋体" w:cs="宋体"/>
          <w:color w:val="auto"/>
          <w:sz w:val="24"/>
          <w:szCs w:val="24"/>
          <w:highlight w:val="none"/>
          <w:shd w:val="clear" w:color="auto" w:fill="FFFFFF"/>
        </w:rPr>
        <w:t>年</w:t>
      </w: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21</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highlight w:val="none"/>
          <w:shd w:val="clear" w:color="auto" w:fill="FFFFFF"/>
          <w:lang w:eastAsia="zh-CN"/>
        </w:rPr>
        <w:t>2024</w:t>
      </w:r>
      <w:r>
        <w:rPr>
          <w:rFonts w:hint="eastAsia" w:ascii="宋体" w:hAnsi="宋体" w:eastAsia="宋体" w:cs="宋体"/>
          <w:color w:val="auto"/>
          <w:sz w:val="24"/>
          <w:szCs w:val="24"/>
          <w:highlight w:val="none"/>
          <w:shd w:val="clear" w:color="auto" w:fill="FFFFFF"/>
        </w:rPr>
        <w:t>年</w:t>
      </w: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25</w:t>
      </w:r>
      <w:r>
        <w:rPr>
          <w:rFonts w:hint="eastAsia" w:ascii="宋体" w:hAnsi="宋体" w:eastAsia="宋体" w:cs="宋体"/>
          <w:color w:val="auto"/>
          <w:sz w:val="24"/>
          <w:szCs w:val="24"/>
          <w:highlight w:val="none"/>
          <w:shd w:val="clear" w:color="auto" w:fill="FFFFFF"/>
        </w:rPr>
        <w:t>日，上</w:t>
      </w:r>
      <w:r>
        <w:rPr>
          <w:rFonts w:hint="eastAsia" w:ascii="宋体" w:hAnsi="宋体" w:eastAsia="宋体" w:cs="宋体"/>
          <w:color w:val="auto"/>
          <w:sz w:val="24"/>
          <w:szCs w:val="24"/>
          <w:shd w:val="clear" w:color="auto" w:fill="FFFFFF"/>
        </w:rPr>
        <w:t>午8：30-11:30，下午14:30-17:30</w:t>
      </w:r>
      <w:r>
        <w:rPr>
          <w:rFonts w:hint="eastAsia" w:ascii="宋体" w:hAnsi="宋体" w:eastAsia="宋体" w:cs="宋体"/>
          <w:color w:val="000000" w:themeColor="text1"/>
          <w:sz w:val="24"/>
          <w:szCs w:val="24"/>
          <w:shd w:val="clear" w:color="auto" w:fill="FFFFFF"/>
          <w14:textFill>
            <w14:solidFill>
              <w14:schemeClr w14:val="tx1"/>
            </w14:solidFill>
          </w14:textFill>
        </w:rPr>
        <w:t>（北京时间，法定节假日除外）</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2.凡报名成功的供应商无故不来参与投标的列入我院黑名单，一年内不得参与我院任何采购活动。中标供应商缴纳相应服务费。 </w:t>
      </w:r>
    </w:p>
    <w:p>
      <w:pPr>
        <w:keepNext w:val="0"/>
        <w:keepLines w:val="0"/>
        <w:pageBreakBefore w:val="0"/>
        <w:widowControl/>
        <w:kinsoku/>
        <w:wordWrap w:val="0"/>
        <w:overflowPunct/>
        <w:topLinePunct w:val="0"/>
        <w:bidi w:val="0"/>
        <w:snapToGrid w:val="0"/>
        <w:spacing w:beforeAutospacing="0" w:afterAutospacing="0" w:line="440" w:lineRule="exact"/>
        <w:ind w:left="0" w:leftChars="0" w:firstLine="480" w:firstLineChars="200"/>
        <w:jc w:val="left"/>
        <w:textAlignment w:val="auto"/>
        <w:rPr>
          <w:rFonts w:hint="eastAsia" w:ascii="宋体" w:hAnsi="宋体" w:eastAsia="宋体" w:cs="宋体"/>
          <w:color w:val="000000" w:themeColor="text1"/>
          <w:kern w:val="0"/>
          <w:sz w:val="24"/>
          <w:szCs w:val="24"/>
          <w:u w:val="single"/>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begin"/>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instrText xml:space="preserve"> HYPERLINK "mailto:hnwxzb2@163.com并标明XX" </w:instrTex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separate"/>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3269714460@qq.com</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并标明XX公司XX</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fldChar w:fldCharType="end"/>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项目报名资料。</w:t>
      </w:r>
    </w:p>
    <w:p>
      <w:pPr>
        <w:keepNext w:val="0"/>
        <w:keepLines w:val="0"/>
        <w:pageBreakBefore w:val="0"/>
        <w:widowControl/>
        <w:kinsoku/>
        <w:wordWrap w:val="0"/>
        <w:overflowPunct/>
        <w:topLinePunct w:val="0"/>
        <w:bidi w:val="0"/>
        <w:snapToGrid w:val="0"/>
        <w:spacing w:beforeAutospacing="0" w:afterAutospacing="0" w:line="440" w:lineRule="exact"/>
        <w:ind w:left="420" w:left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4.报名登记表：请从附件中下载。</w:t>
      </w:r>
    </w:p>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3" w:name="_Toc15135"/>
      <w:bookmarkStart w:id="24" w:name="_Toc25869"/>
      <w:bookmarkStart w:id="25" w:name="_Toc15111"/>
      <w:bookmarkStart w:id="26" w:name="_Toc27480"/>
      <w:bookmarkStart w:id="27" w:name="_Toc10738"/>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四、投标截止时间及地点</w:t>
      </w:r>
      <w:bookmarkEnd w:id="23"/>
      <w:bookmarkEnd w:id="24"/>
      <w:bookmarkEnd w:id="25"/>
      <w:bookmarkEnd w:id="26"/>
      <w:bookmarkEnd w:id="27"/>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五、开标时间及地点</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1.时间：</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2.地点：</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另行通知</w:t>
      </w:r>
      <w:r>
        <w:rPr>
          <w:rFonts w:hint="eastAsia" w:ascii="宋体" w:hAnsi="宋体" w:eastAsia="宋体" w:cs="宋体"/>
          <w:color w:val="000000" w:themeColor="text1"/>
          <w:kern w:val="0"/>
          <w:sz w:val="24"/>
          <w:szCs w:val="24"/>
          <w:u w:val="none"/>
          <w:shd w:val="clear" w:color="auto" w:fill="FFFFFF"/>
          <w:lang w:val="en-US" w:eastAsia="zh-CN" w:bidi="ar-SA"/>
          <w14:textFill>
            <w14:solidFill>
              <w14:schemeClr w14:val="tx1"/>
            </w14:solidFill>
          </w14:textFill>
        </w:rPr>
        <w:t>。</w:t>
      </w:r>
    </w:p>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bookmarkStart w:id="28" w:name="_Toc6523"/>
      <w:bookmarkStart w:id="29" w:name="_Toc29784"/>
      <w:bookmarkStart w:id="30" w:name="_Toc30918"/>
      <w:bookmarkStart w:id="31" w:name="_Toc20287"/>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六、发布公告的媒介及</w:t>
      </w:r>
      <w:r>
        <w:rPr>
          <w:rFonts w:hint="eastAsia" w:ascii="宋体" w:hAnsi="宋体" w:eastAsia="宋体" w:cs="宋体"/>
          <w:b/>
          <w:bCs/>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公告期限</w:t>
      </w:r>
      <w:bookmarkEnd w:id="28"/>
      <w:bookmarkEnd w:id="29"/>
      <w:bookmarkEnd w:id="30"/>
      <w:bookmarkEnd w:id="31"/>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本次</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公告在《驻马店市中心医院》院内网</w:t>
      </w:r>
      <w:r>
        <w:rPr>
          <w:rFonts w:hint="eastAsia" w:ascii="宋体" w:hAnsi="宋体" w:eastAsia="宋体" w:cs="宋体"/>
          <w:color w:val="000000" w:themeColor="text1"/>
          <w:sz w:val="24"/>
          <w:szCs w:val="24"/>
          <w:shd w:val="clear" w:color="auto" w:fill="auto"/>
          <w14:textFill>
            <w14:solidFill>
              <w14:schemeClr w14:val="tx1"/>
            </w14:solidFill>
          </w14:textFill>
        </w:rPr>
        <w:t>上发布</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shd w:val="clear" w:color="auto" w:fill="auto"/>
          <w:lang w:val="en-US" w:eastAsia="zh-CN"/>
          <w14:textFill>
            <w14:solidFill>
              <w14:schemeClr w14:val="tx1"/>
            </w14:solidFill>
          </w14:textFill>
        </w:rPr>
        <w:t>采购</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公告期限为</w:t>
      </w:r>
      <w:r>
        <w:rPr>
          <w:rFonts w:hint="eastAsia" w:ascii="宋体" w:hAnsi="宋体" w:eastAsia="宋体" w:cs="宋体"/>
          <w:color w:val="000000" w:themeColor="text1"/>
          <w:sz w:val="24"/>
          <w:szCs w:val="24"/>
          <w:highlight w:val="none"/>
          <w:shd w:val="clear" w:color="auto" w:fill="auto"/>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shd w:val="clear" w:color="auto" w:fill="auto"/>
          <w:lang w:eastAsia="zh-CN"/>
          <w14:textFill>
            <w14:solidFill>
              <w14:schemeClr w14:val="tx1"/>
            </w14:solidFill>
          </w14:textFill>
        </w:rPr>
        <w:t>个工作日</w:t>
      </w:r>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w:t>
      </w:r>
    </w:p>
    <w:bookmarkEnd w:id="3"/>
    <w:bookmarkEnd w:id="4"/>
    <w:p>
      <w:pPr>
        <w:keepNext w:val="0"/>
        <w:keepLines w:val="0"/>
        <w:pageBreakBefore w:val="0"/>
        <w:widowControl/>
        <w:kinsoku/>
        <w:overflowPunct/>
        <w:topLinePunct w:val="0"/>
        <w:bidi w:val="0"/>
        <w:snapToGrid w:val="0"/>
        <w:spacing w:beforeAutospacing="0" w:afterAutospacing="0" w:line="440" w:lineRule="exact"/>
        <w:jc w:val="left"/>
        <w:textAlignment w:val="auto"/>
        <w:outlineLvl w:val="1"/>
        <w:rPr>
          <w:rFonts w:hint="eastAsia" w:ascii="宋体" w:hAnsi="宋体" w:eastAsia="宋体" w:cs="宋体"/>
          <w:b/>
          <w:bCs/>
          <w:color w:val="000000" w:themeColor="text1"/>
          <w:kern w:val="2"/>
          <w:sz w:val="24"/>
          <w:szCs w:val="24"/>
          <w:highlight w:val="none"/>
          <w:lang w:val="en-US" w:eastAsia="zh-CN" w:bidi="ar-SA"/>
          <w14:textFill>
            <w14:solidFill>
              <w14:schemeClr w14:val="tx1"/>
            </w14:solidFill>
          </w14:textFill>
        </w:rPr>
      </w:pPr>
      <w:bookmarkStart w:id="32" w:name="_Toc3604"/>
      <w:bookmarkStart w:id="33" w:name="_Toc24274"/>
      <w:bookmarkStart w:id="34" w:name="_Toc31928"/>
      <w:bookmarkStart w:id="35" w:name="_Toc16291"/>
      <w:bookmarkStart w:id="36" w:name="_Toc27370"/>
      <w:r>
        <w:rPr>
          <w:rFonts w:hint="eastAsia" w:ascii="宋体" w:hAnsi="宋体" w:eastAsia="宋体" w:cs="宋体"/>
          <w:b/>
          <w:bCs/>
          <w:color w:val="000000" w:themeColor="text1"/>
          <w:kern w:val="2"/>
          <w:sz w:val="24"/>
          <w:szCs w:val="24"/>
          <w:shd w:val="clear" w:color="auto" w:fill="FFFFFF"/>
          <w:lang w:val="en-US" w:eastAsia="zh-CN" w:bidi="ar-SA"/>
          <w14:textFill>
            <w14:solidFill>
              <w14:schemeClr w14:val="tx1"/>
            </w14:solidFill>
          </w14:textFill>
        </w:rPr>
        <w:t>七、</w:t>
      </w:r>
      <w:bookmarkEnd w:id="32"/>
      <w:bookmarkEnd w:id="33"/>
      <w:bookmarkEnd w:id="34"/>
      <w:bookmarkEnd w:id="35"/>
      <w:bookmarkEnd w:id="36"/>
      <w:r>
        <w:rPr>
          <w:rFonts w:hint="eastAsia" w:ascii="宋体" w:hAnsi="宋体" w:eastAsia="宋体" w:cs="宋体"/>
          <w:b/>
          <w:bCs/>
          <w:color w:val="000000" w:themeColor="text1"/>
          <w:kern w:val="2"/>
          <w:sz w:val="24"/>
          <w:szCs w:val="24"/>
          <w:highlight w:val="none"/>
          <w:shd w:val="clear" w:color="auto" w:fill="FFFFFF"/>
          <w:lang w:val="en-US" w:eastAsia="zh-CN" w:bidi="ar-SA"/>
          <w14:textFill>
            <w14:solidFill>
              <w14:schemeClr w14:val="tx1"/>
            </w14:solidFill>
          </w14:textFill>
        </w:rPr>
        <w:t>凡对本次招标提出询问，请按照以下方式联系</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报名联系人1：张先生</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联系电话：15518321111</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报名联系人2：庞先生</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联系电话：18272909999</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联系人：陈先生</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联系电话：0396-2726379</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联系邮箱：zxyyjzcgbgs@163.com</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监督部门：驻马店市中心医院纪检监察室 </w:t>
      </w:r>
    </w:p>
    <w:p>
      <w:pPr>
        <w:keepNext w:val="0"/>
        <w:keepLines w:val="0"/>
        <w:pageBreakBefore w:val="0"/>
        <w:widowControl/>
        <w:kinsoku/>
        <w:overflowPunct/>
        <w:topLinePunct w:val="0"/>
        <w:bidi w:val="0"/>
        <w:snapToGrid w:val="0"/>
        <w:spacing w:beforeAutospacing="0" w:afterAutospacing="0" w:line="440" w:lineRule="exact"/>
        <w:ind w:firstLine="480" w:firstLineChars="200"/>
        <w:jc w:val="lef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 xml:space="preserve">监督电话：0396-2726678 </w:t>
      </w:r>
    </w:p>
    <w:p>
      <w:pPr>
        <w:keepNext w:val="0"/>
        <w:keepLines w:val="0"/>
        <w:pageBreakBefore w:val="0"/>
        <w:widowControl/>
        <w:kinsoku/>
        <w:overflowPunct/>
        <w:topLinePunct w:val="0"/>
        <w:bidi w:val="0"/>
        <w:snapToGrid w:val="0"/>
        <w:spacing w:beforeAutospacing="0" w:afterAutospacing="0" w:line="360" w:lineRule="auto"/>
        <w:ind w:firstLine="480" w:firstLineChars="200"/>
        <w:jc w:val="right"/>
        <w:textAlignment w:val="auto"/>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驻马店市中心医院采购科</w:t>
      </w:r>
    </w:p>
    <w:p>
      <w:pPr>
        <w:keepNext w:val="0"/>
        <w:keepLines w:val="0"/>
        <w:pageBreakBefore w:val="0"/>
        <w:kinsoku/>
        <w:overflowPunct/>
        <w:topLinePunct w:val="0"/>
        <w:bidi w:val="0"/>
        <w:spacing w:beforeAutospacing="0" w:afterAutospacing="0" w:line="360" w:lineRule="auto"/>
        <w:ind w:right="420" w:rightChars="0"/>
        <w:jc w:val="right"/>
        <w:textAlignment w:val="auto"/>
        <w:rPr>
          <w:rFonts w:hint="eastAsia" w:ascii="宋体" w:hAnsi="宋体" w:eastAsia="宋体" w:cs="宋体"/>
          <w:color w:val="auto"/>
        </w:rPr>
      </w:pPr>
      <w:r>
        <w:rPr>
          <w:rFonts w:hint="eastAsia" w:ascii="宋体" w:hAnsi="宋体" w:eastAsia="宋体" w:cs="宋体"/>
          <w:color w:val="auto"/>
          <w:kern w:val="0"/>
          <w:sz w:val="24"/>
          <w:szCs w:val="24"/>
          <w:shd w:val="clear" w:color="auto" w:fill="FFFFFF"/>
          <w:lang w:val="en-US" w:eastAsia="zh-CN" w:bidi="ar-SA"/>
        </w:rPr>
        <w:t>2024年3</w:t>
      </w:r>
      <w:r>
        <w:rPr>
          <w:rFonts w:hint="eastAsia" w:ascii="宋体" w:hAnsi="宋体" w:eastAsia="宋体" w:cs="宋体"/>
          <w:color w:val="auto"/>
          <w:kern w:val="0"/>
          <w:sz w:val="24"/>
          <w:szCs w:val="24"/>
          <w:highlight w:val="none"/>
          <w:shd w:val="clear" w:color="auto" w:fill="FFFFFF"/>
          <w:lang w:val="en-US" w:eastAsia="zh-CN" w:bidi="ar-SA"/>
        </w:rPr>
        <w:t>月</w:t>
      </w:r>
      <w:r>
        <w:rPr>
          <w:rFonts w:hint="eastAsia" w:ascii="宋体" w:hAnsi="宋体" w:cs="宋体"/>
          <w:color w:val="auto"/>
          <w:kern w:val="0"/>
          <w:sz w:val="24"/>
          <w:szCs w:val="24"/>
          <w:highlight w:val="none"/>
          <w:shd w:val="clear" w:color="auto" w:fill="FFFFFF"/>
          <w:lang w:val="en-US" w:eastAsia="zh-CN" w:bidi="ar-SA"/>
        </w:rPr>
        <w:t>20</w:t>
      </w:r>
      <w:r>
        <w:rPr>
          <w:rFonts w:hint="eastAsia" w:ascii="宋体" w:hAnsi="宋体" w:eastAsia="宋体" w:cs="宋体"/>
          <w:color w:val="auto"/>
          <w:kern w:val="0"/>
          <w:sz w:val="24"/>
          <w:szCs w:val="24"/>
          <w:highlight w:val="none"/>
          <w:shd w:val="clear" w:color="auto" w:fill="FFFFFF"/>
          <w:lang w:val="en-US" w:eastAsia="zh-CN" w:bidi="ar-SA"/>
        </w:rPr>
        <w:t>日</w:t>
      </w:r>
    </w:p>
    <w:p>
      <w:pPr>
        <w:pageBreakBefore w:val="0"/>
        <w:kinsoku/>
        <w:overflowPunct/>
        <w:topLinePunct w:val="0"/>
        <w:bidi w:val="0"/>
        <w:spacing w:beforeAutospacing="0" w:afterAutospacing="0" w:line="360" w:lineRule="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pPr>
        <w:pageBreakBefore w:val="0"/>
        <w:kinsoku/>
        <w:overflowPunct/>
        <w:topLinePunct w:val="0"/>
        <w:bidi w:val="0"/>
        <w:spacing w:beforeAutospacing="0" w:afterAutospacing="0"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5"/>
      <w:bookmarkStart w:id="37" w:name="_Toc23610"/>
      <w:bookmarkStart w:id="38" w:name="_Toc31536"/>
      <w:bookmarkStart w:id="39" w:name="_Toc9989"/>
    </w:p>
    <w:bookmarkEnd w:id="37"/>
    <w:bookmarkEnd w:id="38"/>
    <w:bookmarkEnd w:id="39"/>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left"/>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color w:val="auto"/>
          <w:kern w:val="0"/>
          <w:sz w:val="24"/>
          <w:szCs w:val="24"/>
          <w:highlight w:val="none"/>
          <w:shd w:val="clear" w:color="auto" w:fill="FFFFFF"/>
          <w:lang w:val="en-US" w:eastAsia="zh-CN" w:bidi="ar-SA"/>
        </w:rPr>
        <w:t>一、项目名称、数量：</w:t>
      </w:r>
      <w:r>
        <w:rPr>
          <w:rFonts w:hint="eastAsia" w:ascii="宋体" w:hAnsi="宋体" w:cs="宋体"/>
          <w:b w:val="0"/>
          <w:bCs w:val="0"/>
          <w:color w:val="auto"/>
          <w:kern w:val="0"/>
          <w:sz w:val="24"/>
          <w:szCs w:val="24"/>
          <w:highlight w:val="none"/>
          <w:u w:val="single"/>
          <w:shd w:val="clear" w:color="auto" w:fill="FFFFFF"/>
          <w:lang w:val="en-US" w:eastAsia="zh-CN" w:bidi="ar-SA"/>
        </w:rPr>
        <w:t>驻马店市中心医院档案室供电线路等采购及安装项目</w:t>
      </w:r>
      <w:r>
        <w:rPr>
          <w:rFonts w:hint="eastAsia" w:ascii="宋体" w:hAnsi="宋体" w:eastAsia="宋体" w:cs="宋体"/>
          <w:b/>
          <w:bCs/>
          <w:color w:val="auto"/>
          <w:kern w:val="0"/>
          <w:sz w:val="24"/>
          <w:szCs w:val="24"/>
          <w:highlight w:val="none"/>
          <w:shd w:val="clear" w:color="auto" w:fill="FFFFFF"/>
          <w:lang w:val="en-US" w:eastAsia="zh-CN" w:bidi="ar-SA"/>
        </w:rPr>
        <w:t xml:space="preserve"> </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0" w:leftChars="0" w:firstLine="0" w:firstLineChars="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b/>
          <w:bCs/>
          <w:kern w:val="2"/>
          <w:sz w:val="24"/>
          <w:szCs w:val="24"/>
          <w:lang w:val="en-US" w:eastAsia="zh-CN" w:bidi="ar-SA"/>
        </w:rPr>
        <w:t>二、项目用途说明：</w:t>
      </w:r>
      <w:r>
        <w:rPr>
          <w:rFonts w:hint="eastAsia" w:ascii="宋体" w:hAnsi="宋体" w:eastAsia="宋体" w:cs="宋体"/>
          <w:b w:val="0"/>
          <w:bCs w:val="0"/>
          <w:kern w:val="2"/>
          <w:sz w:val="24"/>
          <w:szCs w:val="24"/>
          <w:u w:val="single"/>
          <w:lang w:val="en-US" w:eastAsia="zh-CN" w:bidi="ar-SA"/>
        </w:rPr>
        <w:t>原卫校三层楼线路需要进行改造：一楼档案室防爆灯和线路改造及加装配电柜，二楼、三楼加装空调线路改造及加装配电柜。</w:t>
      </w:r>
      <w:r>
        <w:rPr>
          <w:rFonts w:hint="eastAsia" w:ascii="宋体" w:hAnsi="宋体" w:eastAsia="宋体" w:cs="宋体"/>
          <w:kern w:val="2"/>
          <w:sz w:val="24"/>
          <w:szCs w:val="24"/>
          <w:lang w:val="en-US" w:eastAsia="zh-CN" w:bidi="ar-SA"/>
        </w:rPr>
        <w:t xml:space="preserve">               </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left="420" w:hanging="482" w:hangingChars="200"/>
        <w:jc w:val="left"/>
        <w:textAlignment w:val="auto"/>
        <w:rPr>
          <w:rFonts w:hint="eastAsia" w:ascii="宋体" w:hAnsi="宋体" w:eastAsia="宋体" w:cs="宋体"/>
          <w:b/>
          <w:bCs/>
          <w:color w:val="auto"/>
          <w:kern w:val="0"/>
          <w:sz w:val="24"/>
          <w:szCs w:val="24"/>
          <w:shd w:val="clear" w:color="auto" w:fill="FFFFFF"/>
          <w:lang w:val="en-US" w:eastAsia="zh-CN" w:bidi="ar-SA"/>
        </w:rPr>
      </w:pPr>
      <w:r>
        <w:rPr>
          <w:rFonts w:hint="eastAsia" w:ascii="宋体" w:hAnsi="宋体" w:eastAsia="宋体" w:cs="宋体"/>
          <w:b/>
          <w:bCs/>
          <w:color w:val="auto"/>
          <w:kern w:val="0"/>
          <w:sz w:val="24"/>
          <w:szCs w:val="24"/>
          <w:shd w:val="clear" w:color="auto" w:fill="FFFFFF"/>
          <w:lang w:val="en-US" w:eastAsia="zh-CN" w:bidi="ar-SA"/>
        </w:rPr>
        <w:t>三、配置规格、附件及零配件（包括专用工具）：</w:t>
      </w:r>
    </w:p>
    <w:tbl>
      <w:tblPr>
        <w:tblStyle w:val="33"/>
        <w:tblW w:w="9113" w:type="dxa"/>
        <w:tblInd w:w="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4"/>
        <w:gridCol w:w="730"/>
        <w:gridCol w:w="2267"/>
        <w:gridCol w:w="1000"/>
        <w:gridCol w:w="1027"/>
        <w:gridCol w:w="193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744"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lang w:val="en-US" w:eastAsia="zh-CN"/>
              </w:rPr>
              <w:t>包号</w:t>
            </w:r>
          </w:p>
        </w:tc>
        <w:tc>
          <w:tcPr>
            <w:tcW w:w="73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序号</w:t>
            </w:r>
          </w:p>
        </w:tc>
        <w:tc>
          <w:tcPr>
            <w:tcW w:w="2267"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标的名称</w:t>
            </w:r>
          </w:p>
        </w:tc>
        <w:tc>
          <w:tcPr>
            <w:tcW w:w="1000"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lang w:val="en-US" w:eastAsia="zh-CN"/>
              </w:rPr>
              <w:t>单位</w:t>
            </w:r>
          </w:p>
        </w:tc>
        <w:tc>
          <w:tcPr>
            <w:tcW w:w="1027"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数量</w:t>
            </w:r>
          </w:p>
        </w:tc>
        <w:tc>
          <w:tcPr>
            <w:tcW w:w="1933"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资金预算</w:t>
            </w:r>
          </w:p>
        </w:tc>
        <w:tc>
          <w:tcPr>
            <w:tcW w:w="1412" w:type="dxa"/>
            <w:vAlign w:val="center"/>
          </w:tcPr>
          <w:p>
            <w:pPr>
              <w:pStyle w:val="11"/>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资金性质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cs="宋体"/>
                <w:sz w:val="24"/>
                <w:szCs w:val="24"/>
                <w:vertAlign w:val="baseline"/>
                <w:lang w:val="en-US" w:eastAsia="zh-CN"/>
              </w:rPr>
              <w:t>1</w:t>
            </w: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2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档案室供电线路等采购及安装</w:t>
            </w:r>
          </w:p>
        </w:tc>
        <w:tc>
          <w:tcPr>
            <w:tcW w:w="10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p>
        </w:tc>
        <w:tc>
          <w:tcPr>
            <w:tcW w:w="10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p>
        </w:tc>
        <w:tc>
          <w:tcPr>
            <w:tcW w:w="19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81940.75元</w:t>
            </w:r>
          </w:p>
        </w:tc>
        <w:tc>
          <w:tcPr>
            <w:tcW w:w="14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合计</w:t>
            </w:r>
          </w:p>
        </w:tc>
        <w:tc>
          <w:tcPr>
            <w:tcW w:w="7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226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100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102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1933"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sz w:val="24"/>
                <w:szCs w:val="24"/>
                <w:vertAlign w:val="baseline"/>
                <w:lang w:val="en-US" w:eastAsia="zh-CN"/>
              </w:rPr>
              <w:t>81940.75元</w:t>
            </w:r>
          </w:p>
        </w:tc>
        <w:tc>
          <w:tcPr>
            <w:tcW w:w="14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备注</w:t>
            </w:r>
          </w:p>
        </w:tc>
        <w:tc>
          <w:tcPr>
            <w:tcW w:w="6957" w:type="dxa"/>
            <w:gridSpan w:val="5"/>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c>
          <w:tcPr>
            <w:tcW w:w="141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jc w:val="center"/>
              <w:textAlignment w:val="auto"/>
              <w:rPr>
                <w:rFonts w:hint="eastAsia" w:ascii="宋体" w:hAnsi="宋体" w:eastAsia="宋体" w:cs="宋体"/>
                <w:b/>
                <w:bCs/>
                <w:sz w:val="24"/>
                <w:szCs w:val="24"/>
                <w:vertAlign w:val="baseline"/>
                <w:lang w:val="en-US" w:eastAsia="zh-CN"/>
              </w:rPr>
            </w:pPr>
          </w:p>
        </w:tc>
      </w:tr>
    </w:tbl>
    <w:p>
      <w:pPr>
        <w:keepNext w:val="0"/>
        <w:keepLines w:val="0"/>
        <w:pageBreakBefore w:val="0"/>
        <w:numPr>
          <w:ilvl w:val="0"/>
          <w:numId w:val="0"/>
        </w:numPr>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bCs/>
          <w:color w:val="auto"/>
          <w:kern w:val="0"/>
          <w:sz w:val="24"/>
          <w:szCs w:val="24"/>
          <w:highlight w:val="none"/>
          <w:shd w:val="clear" w:color="auto" w:fill="FFFFFF"/>
          <w:lang w:val="en-US" w:eastAsia="zh-CN" w:bidi="ar-SA"/>
        </w:rPr>
      </w:pPr>
      <w:r>
        <w:rPr>
          <w:rFonts w:hint="eastAsia" w:ascii="宋体" w:hAnsi="宋体" w:eastAsia="宋体" w:cs="宋体"/>
          <w:b/>
          <w:bCs/>
          <w:kern w:val="2"/>
          <w:sz w:val="24"/>
          <w:szCs w:val="24"/>
          <w:highlight w:val="none"/>
          <w:lang w:val="en-US" w:eastAsia="zh-CN" w:bidi="ar-SA"/>
        </w:rPr>
        <w:t>四、技术参数要求</w:t>
      </w:r>
      <w:r>
        <w:rPr>
          <w:rFonts w:hint="eastAsia" w:ascii="宋体" w:hAnsi="宋体" w:eastAsia="宋体" w:cs="宋体"/>
          <w:b/>
          <w:bCs/>
          <w:color w:val="auto"/>
          <w:kern w:val="0"/>
          <w:sz w:val="24"/>
          <w:szCs w:val="24"/>
          <w:highlight w:val="none"/>
          <w:shd w:val="clear" w:color="auto" w:fill="FFFFFF"/>
          <w:lang w:val="en-US" w:eastAsia="zh-CN" w:bidi="ar-SA"/>
        </w:rPr>
        <w:t>：</w:t>
      </w:r>
      <w:bookmarkEnd w:id="6"/>
      <w:bookmarkEnd w:id="7"/>
    </w:p>
    <w:tbl>
      <w:tblPr>
        <w:tblStyle w:val="32"/>
        <w:tblpPr w:leftFromText="180" w:rightFromText="180" w:vertAnchor="text" w:horzAnchor="page" w:tblpX="1570" w:tblpY="23"/>
        <w:tblOverlap w:val="never"/>
        <w:tblW w:w="89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784"/>
        <w:gridCol w:w="2073"/>
        <w:gridCol w:w="926"/>
        <w:gridCol w:w="852"/>
        <w:gridCol w:w="999"/>
        <w:gridCol w:w="1234"/>
        <w:gridCol w:w="13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color w:val="000000"/>
                <w:sz w:val="24"/>
                <w:szCs w:val="24"/>
              </w:rPr>
            </w:pPr>
            <w:r>
              <w:rPr>
                <w:rFonts w:hint="eastAsia" w:ascii="宋体" w:hAnsi="宋体"/>
                <w:b/>
                <w:color w:val="000000"/>
                <w:sz w:val="24"/>
                <w:szCs w:val="24"/>
              </w:rPr>
              <w:t>序号</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color w:val="000000"/>
                <w:sz w:val="24"/>
                <w:szCs w:val="24"/>
              </w:rPr>
            </w:pPr>
            <w:r>
              <w:rPr>
                <w:rFonts w:hint="eastAsia" w:ascii="宋体" w:hAnsi="宋体"/>
                <w:b/>
                <w:color w:val="000000"/>
                <w:sz w:val="24"/>
                <w:szCs w:val="24"/>
              </w:rPr>
              <w:t>名称</w:t>
            </w:r>
          </w:p>
        </w:tc>
        <w:tc>
          <w:tcPr>
            <w:tcW w:w="20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color w:val="000000"/>
                <w:sz w:val="24"/>
                <w:szCs w:val="24"/>
              </w:rPr>
            </w:pPr>
            <w:r>
              <w:rPr>
                <w:rFonts w:hint="eastAsia" w:ascii="宋体" w:hAnsi="宋体"/>
                <w:b/>
                <w:color w:val="000000"/>
                <w:sz w:val="24"/>
                <w:szCs w:val="24"/>
              </w:rPr>
              <w:t>型号</w:t>
            </w:r>
          </w:p>
        </w:tc>
        <w:tc>
          <w:tcPr>
            <w:tcW w:w="9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color w:val="000000"/>
                <w:sz w:val="24"/>
                <w:szCs w:val="24"/>
              </w:rPr>
            </w:pPr>
            <w:r>
              <w:rPr>
                <w:rFonts w:hint="eastAsia" w:ascii="宋体" w:hAnsi="宋体"/>
                <w:b/>
                <w:color w:val="000000"/>
                <w:sz w:val="24"/>
                <w:szCs w:val="24"/>
              </w:rPr>
              <w:t>单位</w:t>
            </w:r>
          </w:p>
        </w:tc>
        <w:tc>
          <w:tcPr>
            <w:tcW w:w="8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color w:val="000000"/>
                <w:sz w:val="24"/>
                <w:szCs w:val="24"/>
              </w:rPr>
            </w:pPr>
            <w:r>
              <w:rPr>
                <w:rFonts w:hint="eastAsia" w:ascii="宋体" w:hAnsi="宋体"/>
                <w:b/>
                <w:color w:val="000000"/>
                <w:sz w:val="24"/>
                <w:szCs w:val="24"/>
              </w:rPr>
              <w:t>数量</w:t>
            </w:r>
          </w:p>
        </w:tc>
        <w:tc>
          <w:tcPr>
            <w:tcW w:w="9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color w:val="000000"/>
                <w:sz w:val="24"/>
                <w:szCs w:val="24"/>
              </w:rPr>
            </w:pPr>
            <w:r>
              <w:rPr>
                <w:rFonts w:hint="eastAsia" w:ascii="宋体" w:hAnsi="宋体"/>
                <w:b/>
                <w:color w:val="000000"/>
                <w:sz w:val="24"/>
                <w:szCs w:val="24"/>
              </w:rPr>
              <w:t>单价</w:t>
            </w:r>
          </w:p>
        </w:tc>
        <w:tc>
          <w:tcPr>
            <w:tcW w:w="123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color w:val="000000"/>
                <w:sz w:val="24"/>
                <w:szCs w:val="24"/>
              </w:rPr>
            </w:pPr>
            <w:r>
              <w:rPr>
                <w:rFonts w:hint="eastAsia" w:ascii="宋体" w:hAnsi="宋体"/>
                <w:b/>
                <w:color w:val="000000"/>
                <w:sz w:val="24"/>
                <w:szCs w:val="24"/>
              </w:rPr>
              <w:t>总价</w:t>
            </w:r>
          </w:p>
        </w:tc>
        <w:tc>
          <w:tcPr>
            <w:tcW w:w="13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color w:val="000000"/>
                <w:sz w:val="24"/>
                <w:szCs w:val="24"/>
              </w:rPr>
            </w:pPr>
            <w:r>
              <w:rPr>
                <w:rFonts w:hint="eastAsia" w:ascii="宋体" w:hAnsi="宋体"/>
                <w:b/>
                <w:color w:val="000000"/>
                <w:sz w:val="24"/>
                <w:szCs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color w:val="000000"/>
                <w:sz w:val="24"/>
                <w:szCs w:val="24"/>
              </w:rPr>
            </w:pPr>
            <w:r>
              <w:rPr>
                <w:rFonts w:hint="eastAsia" w:ascii="宋体" w:hAnsi="宋体"/>
                <w:b/>
                <w:color w:val="000000"/>
                <w:sz w:val="24"/>
                <w:szCs w:val="24"/>
              </w:rPr>
              <w:t>1</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低分箱</w:t>
            </w:r>
          </w:p>
        </w:tc>
        <w:tc>
          <w:tcPr>
            <w:tcW w:w="20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1进30出</w:t>
            </w:r>
          </w:p>
        </w:tc>
        <w:tc>
          <w:tcPr>
            <w:tcW w:w="9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台</w:t>
            </w:r>
          </w:p>
        </w:tc>
        <w:tc>
          <w:tcPr>
            <w:tcW w:w="8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2</w:t>
            </w:r>
          </w:p>
        </w:tc>
        <w:tc>
          <w:tcPr>
            <w:tcW w:w="9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3650</w:t>
            </w:r>
          </w:p>
        </w:tc>
        <w:tc>
          <w:tcPr>
            <w:tcW w:w="123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7300</w:t>
            </w:r>
          </w:p>
        </w:tc>
        <w:tc>
          <w:tcPr>
            <w:tcW w:w="13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二楼、三楼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color w:val="000000"/>
                <w:sz w:val="24"/>
                <w:szCs w:val="24"/>
              </w:rPr>
            </w:pPr>
            <w:r>
              <w:rPr>
                <w:rFonts w:hint="eastAsia" w:ascii="宋体" w:hAnsi="宋体"/>
                <w:b/>
                <w:color w:val="000000"/>
                <w:sz w:val="24"/>
                <w:szCs w:val="24"/>
              </w:rPr>
              <w:t>2</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空调插座</w:t>
            </w:r>
          </w:p>
        </w:tc>
        <w:tc>
          <w:tcPr>
            <w:tcW w:w="20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16A</w:t>
            </w:r>
          </w:p>
        </w:tc>
        <w:tc>
          <w:tcPr>
            <w:tcW w:w="9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块</w:t>
            </w:r>
          </w:p>
        </w:tc>
        <w:tc>
          <w:tcPr>
            <w:tcW w:w="8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56</w:t>
            </w:r>
          </w:p>
        </w:tc>
        <w:tc>
          <w:tcPr>
            <w:tcW w:w="9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9.5</w:t>
            </w:r>
          </w:p>
        </w:tc>
        <w:tc>
          <w:tcPr>
            <w:tcW w:w="123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532</w:t>
            </w:r>
          </w:p>
        </w:tc>
        <w:tc>
          <w:tcPr>
            <w:tcW w:w="13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color w:val="000000"/>
                <w:sz w:val="24"/>
                <w:szCs w:val="24"/>
              </w:rPr>
            </w:pPr>
            <w:r>
              <w:rPr>
                <w:rFonts w:hint="eastAsia" w:ascii="宋体" w:hAnsi="宋体"/>
                <w:b/>
                <w:color w:val="000000"/>
                <w:sz w:val="24"/>
                <w:szCs w:val="24"/>
              </w:rPr>
              <w:t>3</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BV线</w:t>
            </w:r>
          </w:p>
        </w:tc>
        <w:tc>
          <w:tcPr>
            <w:tcW w:w="20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2.5mm²</w:t>
            </w:r>
          </w:p>
        </w:tc>
        <w:tc>
          <w:tcPr>
            <w:tcW w:w="9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米</w:t>
            </w:r>
          </w:p>
        </w:tc>
        <w:tc>
          <w:tcPr>
            <w:tcW w:w="8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7860</w:t>
            </w:r>
          </w:p>
        </w:tc>
        <w:tc>
          <w:tcPr>
            <w:tcW w:w="9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3.1</w:t>
            </w:r>
          </w:p>
        </w:tc>
        <w:tc>
          <w:tcPr>
            <w:tcW w:w="123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24366</w:t>
            </w:r>
          </w:p>
        </w:tc>
        <w:tc>
          <w:tcPr>
            <w:tcW w:w="13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color w:val="000000"/>
                <w:sz w:val="24"/>
                <w:szCs w:val="24"/>
              </w:rPr>
            </w:pPr>
            <w:r>
              <w:rPr>
                <w:rFonts w:hint="eastAsia" w:ascii="宋体" w:hAnsi="宋体"/>
                <w:b/>
                <w:color w:val="000000"/>
                <w:sz w:val="24"/>
                <w:szCs w:val="24"/>
              </w:rPr>
              <w:t>4</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低压电缆</w:t>
            </w:r>
          </w:p>
        </w:tc>
        <w:tc>
          <w:tcPr>
            <w:tcW w:w="20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ZR-YJV-4*50+1*25</w:t>
            </w:r>
          </w:p>
        </w:tc>
        <w:tc>
          <w:tcPr>
            <w:tcW w:w="9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米</w:t>
            </w:r>
          </w:p>
        </w:tc>
        <w:tc>
          <w:tcPr>
            <w:tcW w:w="8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20</w:t>
            </w:r>
          </w:p>
        </w:tc>
        <w:tc>
          <w:tcPr>
            <w:tcW w:w="9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247.6</w:t>
            </w:r>
          </w:p>
        </w:tc>
        <w:tc>
          <w:tcPr>
            <w:tcW w:w="123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4952</w:t>
            </w:r>
          </w:p>
        </w:tc>
        <w:tc>
          <w:tcPr>
            <w:tcW w:w="13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color w:val="000000"/>
                <w:sz w:val="24"/>
                <w:szCs w:val="24"/>
              </w:rPr>
            </w:pPr>
            <w:r>
              <w:rPr>
                <w:rFonts w:hint="eastAsia" w:ascii="宋体" w:hAnsi="宋体"/>
                <w:b/>
                <w:color w:val="000000"/>
                <w:sz w:val="24"/>
                <w:szCs w:val="24"/>
              </w:rPr>
              <w:t>5</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槽式桥架</w:t>
            </w:r>
          </w:p>
        </w:tc>
        <w:tc>
          <w:tcPr>
            <w:tcW w:w="20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200*100</w:t>
            </w:r>
          </w:p>
        </w:tc>
        <w:tc>
          <w:tcPr>
            <w:tcW w:w="9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米</w:t>
            </w:r>
          </w:p>
        </w:tc>
        <w:tc>
          <w:tcPr>
            <w:tcW w:w="8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120</w:t>
            </w:r>
          </w:p>
        </w:tc>
        <w:tc>
          <w:tcPr>
            <w:tcW w:w="9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85</w:t>
            </w:r>
          </w:p>
        </w:tc>
        <w:tc>
          <w:tcPr>
            <w:tcW w:w="123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10200</w:t>
            </w:r>
          </w:p>
        </w:tc>
        <w:tc>
          <w:tcPr>
            <w:tcW w:w="13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color w:val="000000"/>
                <w:sz w:val="24"/>
                <w:szCs w:val="24"/>
              </w:rPr>
            </w:pPr>
            <w:r>
              <w:rPr>
                <w:rFonts w:hint="eastAsia" w:ascii="宋体" w:hAnsi="宋体"/>
                <w:b/>
                <w:color w:val="000000"/>
                <w:sz w:val="24"/>
                <w:szCs w:val="24"/>
              </w:rPr>
              <w:t>6</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低分箱</w:t>
            </w:r>
          </w:p>
        </w:tc>
        <w:tc>
          <w:tcPr>
            <w:tcW w:w="20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1进6出</w:t>
            </w:r>
          </w:p>
        </w:tc>
        <w:tc>
          <w:tcPr>
            <w:tcW w:w="9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台</w:t>
            </w:r>
          </w:p>
        </w:tc>
        <w:tc>
          <w:tcPr>
            <w:tcW w:w="8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1</w:t>
            </w:r>
          </w:p>
        </w:tc>
        <w:tc>
          <w:tcPr>
            <w:tcW w:w="9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3560</w:t>
            </w:r>
          </w:p>
        </w:tc>
        <w:tc>
          <w:tcPr>
            <w:tcW w:w="123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3560</w:t>
            </w:r>
          </w:p>
        </w:tc>
        <w:tc>
          <w:tcPr>
            <w:tcW w:w="13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一楼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color w:val="000000"/>
                <w:sz w:val="24"/>
                <w:szCs w:val="24"/>
              </w:rPr>
            </w:pPr>
            <w:r>
              <w:rPr>
                <w:rFonts w:hint="eastAsia" w:ascii="宋体" w:hAnsi="宋体"/>
                <w:b/>
                <w:color w:val="000000"/>
                <w:sz w:val="24"/>
                <w:szCs w:val="24"/>
              </w:rPr>
              <w:t>7</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防爆灯具</w:t>
            </w:r>
          </w:p>
        </w:tc>
        <w:tc>
          <w:tcPr>
            <w:tcW w:w="20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p>
        </w:tc>
        <w:tc>
          <w:tcPr>
            <w:tcW w:w="9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个</w:t>
            </w:r>
          </w:p>
        </w:tc>
        <w:tc>
          <w:tcPr>
            <w:tcW w:w="8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28</w:t>
            </w:r>
          </w:p>
        </w:tc>
        <w:tc>
          <w:tcPr>
            <w:tcW w:w="9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85</w:t>
            </w:r>
          </w:p>
        </w:tc>
        <w:tc>
          <w:tcPr>
            <w:tcW w:w="123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2380</w:t>
            </w:r>
          </w:p>
        </w:tc>
        <w:tc>
          <w:tcPr>
            <w:tcW w:w="13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color w:val="000000"/>
                <w:sz w:val="24"/>
                <w:szCs w:val="24"/>
              </w:rPr>
            </w:pPr>
            <w:r>
              <w:rPr>
                <w:rFonts w:hint="eastAsia" w:ascii="宋体" w:hAnsi="宋体"/>
                <w:b/>
                <w:color w:val="000000"/>
                <w:sz w:val="24"/>
                <w:szCs w:val="24"/>
              </w:rPr>
              <w:t>8</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防爆开关</w:t>
            </w:r>
          </w:p>
        </w:tc>
        <w:tc>
          <w:tcPr>
            <w:tcW w:w="20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p>
        </w:tc>
        <w:tc>
          <w:tcPr>
            <w:tcW w:w="9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个</w:t>
            </w:r>
          </w:p>
        </w:tc>
        <w:tc>
          <w:tcPr>
            <w:tcW w:w="8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28</w:t>
            </w:r>
          </w:p>
        </w:tc>
        <w:tc>
          <w:tcPr>
            <w:tcW w:w="9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65</w:t>
            </w:r>
          </w:p>
        </w:tc>
        <w:tc>
          <w:tcPr>
            <w:tcW w:w="123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1820</w:t>
            </w:r>
          </w:p>
        </w:tc>
        <w:tc>
          <w:tcPr>
            <w:tcW w:w="13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color w:val="000000"/>
                <w:sz w:val="24"/>
                <w:szCs w:val="24"/>
              </w:rPr>
            </w:pPr>
            <w:r>
              <w:rPr>
                <w:rFonts w:hint="eastAsia" w:ascii="宋体" w:hAnsi="宋体"/>
                <w:b/>
                <w:color w:val="000000"/>
                <w:sz w:val="24"/>
                <w:szCs w:val="24"/>
              </w:rPr>
              <w:t>9</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镀锌钢管</w:t>
            </w:r>
          </w:p>
        </w:tc>
        <w:tc>
          <w:tcPr>
            <w:tcW w:w="20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∅16</w:t>
            </w:r>
          </w:p>
        </w:tc>
        <w:tc>
          <w:tcPr>
            <w:tcW w:w="9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米</w:t>
            </w:r>
          </w:p>
        </w:tc>
        <w:tc>
          <w:tcPr>
            <w:tcW w:w="8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320</w:t>
            </w:r>
          </w:p>
        </w:tc>
        <w:tc>
          <w:tcPr>
            <w:tcW w:w="9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12.5</w:t>
            </w:r>
          </w:p>
        </w:tc>
        <w:tc>
          <w:tcPr>
            <w:tcW w:w="123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4000</w:t>
            </w:r>
          </w:p>
        </w:tc>
        <w:tc>
          <w:tcPr>
            <w:tcW w:w="13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color w:val="000000"/>
                <w:sz w:val="24"/>
                <w:szCs w:val="24"/>
              </w:rPr>
            </w:pPr>
            <w:r>
              <w:rPr>
                <w:rFonts w:hint="eastAsia" w:ascii="宋体" w:hAnsi="宋体"/>
                <w:b/>
                <w:color w:val="000000"/>
                <w:sz w:val="24"/>
                <w:szCs w:val="24"/>
              </w:rPr>
              <w:t>10</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普通开关</w:t>
            </w:r>
          </w:p>
        </w:tc>
        <w:tc>
          <w:tcPr>
            <w:tcW w:w="20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p>
        </w:tc>
        <w:tc>
          <w:tcPr>
            <w:tcW w:w="9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个</w:t>
            </w:r>
          </w:p>
        </w:tc>
        <w:tc>
          <w:tcPr>
            <w:tcW w:w="8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6</w:t>
            </w:r>
          </w:p>
        </w:tc>
        <w:tc>
          <w:tcPr>
            <w:tcW w:w="9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8.5</w:t>
            </w:r>
          </w:p>
        </w:tc>
        <w:tc>
          <w:tcPr>
            <w:tcW w:w="123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51</w:t>
            </w:r>
          </w:p>
        </w:tc>
        <w:tc>
          <w:tcPr>
            <w:tcW w:w="13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1" w:hRule="atLeast"/>
        </w:trPr>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color w:val="000000"/>
                <w:sz w:val="24"/>
                <w:szCs w:val="24"/>
              </w:rPr>
            </w:pPr>
            <w:r>
              <w:rPr>
                <w:rFonts w:hint="eastAsia" w:ascii="宋体" w:hAnsi="宋体"/>
                <w:b/>
                <w:color w:val="000000"/>
                <w:sz w:val="24"/>
                <w:szCs w:val="24"/>
              </w:rPr>
              <w:t>11</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防爆插座</w:t>
            </w:r>
          </w:p>
        </w:tc>
        <w:tc>
          <w:tcPr>
            <w:tcW w:w="20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10A</w:t>
            </w:r>
          </w:p>
        </w:tc>
        <w:tc>
          <w:tcPr>
            <w:tcW w:w="9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块</w:t>
            </w:r>
          </w:p>
        </w:tc>
        <w:tc>
          <w:tcPr>
            <w:tcW w:w="8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26</w:t>
            </w:r>
          </w:p>
        </w:tc>
        <w:tc>
          <w:tcPr>
            <w:tcW w:w="9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39</w:t>
            </w:r>
          </w:p>
        </w:tc>
        <w:tc>
          <w:tcPr>
            <w:tcW w:w="123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1014</w:t>
            </w:r>
          </w:p>
        </w:tc>
        <w:tc>
          <w:tcPr>
            <w:tcW w:w="13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05"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b/>
                <w:color w:val="000000"/>
                <w:sz w:val="24"/>
                <w:szCs w:val="24"/>
              </w:rPr>
            </w:pPr>
            <w:r>
              <w:rPr>
                <w:rFonts w:hint="eastAsia" w:ascii="宋体" w:hAnsi="宋体"/>
                <w:b/>
                <w:color w:val="000000"/>
                <w:sz w:val="24"/>
                <w:szCs w:val="24"/>
              </w:rPr>
              <w:t>12</w:t>
            </w:r>
          </w:p>
        </w:tc>
        <w:tc>
          <w:tcPr>
            <w:tcW w:w="78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施工费</w:t>
            </w:r>
          </w:p>
        </w:tc>
        <w:tc>
          <w:tcPr>
            <w:tcW w:w="2073"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p>
        </w:tc>
        <w:tc>
          <w:tcPr>
            <w:tcW w:w="926"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项</w:t>
            </w:r>
          </w:p>
        </w:tc>
        <w:tc>
          <w:tcPr>
            <w:tcW w:w="852"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1</w:t>
            </w:r>
          </w:p>
        </w:tc>
        <w:tc>
          <w:tcPr>
            <w:tcW w:w="999"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15000</w:t>
            </w:r>
          </w:p>
        </w:tc>
        <w:tc>
          <w:tcPr>
            <w:tcW w:w="1234"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r>
              <w:rPr>
                <w:rFonts w:hint="eastAsia" w:ascii="宋体" w:hAnsi="宋体"/>
                <w:color w:val="000000"/>
                <w:sz w:val="24"/>
                <w:szCs w:val="24"/>
              </w:rPr>
              <w:t>15000</w:t>
            </w:r>
          </w:p>
        </w:tc>
        <w:tc>
          <w:tcPr>
            <w:tcW w:w="1397" w:type="dxa"/>
            <w:tcBorders>
              <w:top w:val="single" w:color="auto" w:sz="6" w:space="0"/>
              <w:left w:val="single" w:color="auto" w:sz="6" w:space="0"/>
              <w:bottom w:val="single" w:color="auto" w:sz="6" w:space="0"/>
              <w:right w:val="single" w:color="auto" w:sz="6" w:space="0"/>
              <w:tl2br w:val="nil"/>
              <w:tr2bl w:val="nil"/>
            </w:tcBorders>
            <w:noWrap w:val="0"/>
            <w:vAlign w:val="center"/>
          </w:tcPr>
          <w:p>
            <w:pPr>
              <w:spacing w:beforeLines="0" w:afterLines="0"/>
              <w:jc w:val="center"/>
              <w:rPr>
                <w:rFonts w:hint="eastAsia" w:ascii="宋体" w:hAnsi="宋体"/>
                <w:color w:val="000000"/>
                <w:sz w:val="24"/>
                <w:szCs w:val="24"/>
              </w:rPr>
            </w:pPr>
          </w:p>
        </w:tc>
      </w:tr>
    </w:tbl>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rPr>
      </w:pPr>
      <w:r>
        <w:rPr>
          <w:rFonts w:hint="eastAsia" w:ascii="宋体" w:hAnsi="宋体" w:eastAsia="宋体" w:cs="宋体"/>
          <w:b/>
          <w:bCs/>
          <w:color w:val="auto"/>
          <w:sz w:val="24"/>
          <w:szCs w:val="24"/>
          <w:highlight w:val="none"/>
        </w:rPr>
        <w:t>商务要求</w:t>
      </w:r>
    </w:p>
    <w:tbl>
      <w:tblPr>
        <w:tblStyle w:val="32"/>
        <w:tblpPr w:leftFromText="180" w:rightFromText="180" w:vertAnchor="text" w:tblpXSpec="center" w:tblpY="1"/>
        <w:tblOverlap w:val="never"/>
        <w:tblW w:w="90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476"/>
        <w:gridCol w:w="65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合同签订时间</w:t>
            </w:r>
          </w:p>
        </w:tc>
        <w:tc>
          <w:tcPr>
            <w:tcW w:w="65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日历日</w:t>
            </w:r>
            <w:r>
              <w:rPr>
                <w:rFonts w:hint="eastAsia" w:ascii="宋体" w:hAnsi="宋体" w:eastAsia="宋体" w:cs="宋体"/>
                <w:color w:val="auto"/>
                <w:kern w:val="0"/>
                <w:sz w:val="24"/>
                <w:szCs w:val="24"/>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交货地点</w:t>
            </w:r>
          </w:p>
        </w:tc>
        <w:tc>
          <w:tcPr>
            <w:tcW w:w="65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交货期</w:t>
            </w:r>
          </w:p>
        </w:tc>
        <w:tc>
          <w:tcPr>
            <w:tcW w:w="65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合同签订后20日内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质保期</w:t>
            </w:r>
          </w:p>
        </w:tc>
        <w:tc>
          <w:tcPr>
            <w:tcW w:w="65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32"/>
                <w:lang w:val="en-US" w:eastAsia="zh-CN"/>
              </w:rPr>
              <w:t>不少于1年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验  收</w:t>
            </w:r>
          </w:p>
        </w:tc>
        <w:tc>
          <w:tcPr>
            <w:tcW w:w="65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质量要求</w:t>
            </w:r>
          </w:p>
        </w:tc>
        <w:tc>
          <w:tcPr>
            <w:tcW w:w="65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符合国家现行标准要求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47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w:t>
            </w:r>
          </w:p>
        </w:tc>
        <w:tc>
          <w:tcPr>
            <w:tcW w:w="65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经医院验收合格后支付</w:t>
            </w:r>
          </w:p>
        </w:tc>
      </w:tr>
    </w:tbl>
    <w:p>
      <w:pPr>
        <w:keepNext w:val="0"/>
        <w:keepLines w:val="0"/>
        <w:pageBreakBefore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采购人对项目的特殊要求及说明</w:t>
      </w:r>
    </w:p>
    <w:tbl>
      <w:tblPr>
        <w:tblStyle w:val="32"/>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numPr>
                <w:ilvl w:val="0"/>
                <w:numId w:val="1"/>
              </w:numPr>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rPr>
              <w:t>不接受联合体投标，不允许转包和分包。</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kern w:val="0"/>
                <w:sz w:val="24"/>
                <w:szCs w:val="24"/>
                <w:highlight w:val="none"/>
              </w:rPr>
            </w:pPr>
            <w:r>
              <w:rPr>
                <w:rFonts w:hint="eastAsia" w:ascii="宋体" w:hAnsi="宋体" w:eastAsia="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rPr>
              <w:t>、授权评标委员会确定一名中标人并推荐</w:t>
            </w:r>
            <w:r>
              <w:rPr>
                <w:rFonts w:hint="eastAsia" w:ascii="宋体" w:hAnsi="宋体" w:eastAsia="宋体" w:cs="宋体"/>
                <w:color w:val="auto"/>
                <w:spacing w:val="0"/>
                <w:kern w:val="0"/>
                <w:sz w:val="24"/>
                <w:szCs w:val="24"/>
                <w:highlight w:val="none"/>
                <w:lang w:eastAsia="zh-CN"/>
              </w:rPr>
              <w:t>一名中标候选人</w:t>
            </w:r>
            <w:r>
              <w:rPr>
                <w:rFonts w:hint="eastAsia" w:ascii="宋体" w:hAnsi="宋体" w:eastAsia="宋体" w:cs="宋体"/>
                <w:color w:val="auto"/>
                <w:spacing w:val="0"/>
                <w:kern w:val="0"/>
                <w:sz w:val="24"/>
                <w:szCs w:val="24"/>
                <w:highlight w:val="none"/>
              </w:rPr>
              <w:t>。</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、供应商应根据</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文件的要求提供技术响应表、商务响应表等内容以对</w:t>
            </w:r>
            <w:r>
              <w:rPr>
                <w:rFonts w:hint="eastAsia" w:ascii="宋体" w:hAnsi="宋体" w:eastAsia="宋体" w:cs="宋体"/>
                <w:color w:val="auto"/>
                <w:spacing w:val="0"/>
                <w:sz w:val="24"/>
                <w:szCs w:val="24"/>
                <w:highlight w:val="none"/>
                <w:lang w:eastAsia="zh-CN"/>
              </w:rPr>
              <w:t>采购</w:t>
            </w:r>
            <w:r>
              <w:rPr>
                <w:rFonts w:hint="eastAsia" w:ascii="宋体" w:hAnsi="宋体" w:eastAsia="宋体" w:cs="宋体"/>
                <w:color w:val="auto"/>
                <w:spacing w:val="0"/>
                <w:sz w:val="24"/>
                <w:szCs w:val="24"/>
                <w:highlight w:val="none"/>
              </w:rPr>
              <w:t>文件作出响应。</w:t>
            </w:r>
          </w:p>
        </w:tc>
      </w:tr>
    </w:tbl>
    <w:p>
      <w:pPr>
        <w:pageBreakBefore w:val="0"/>
        <w:kinsoku/>
        <w:overflowPunct/>
        <w:topLinePunct w:val="0"/>
        <w:bidi w:val="0"/>
        <w:spacing w:beforeAutospacing="0" w:afterAutospacing="0" w:line="360" w:lineRule="auto"/>
        <w:rPr>
          <w:rFonts w:hint="eastAsia" w:ascii="宋体" w:hAnsi="宋体" w:eastAsia="宋体" w:cs="宋体"/>
          <w:b/>
          <w:bCs/>
          <w:color w:val="auto"/>
          <w:sz w:val="32"/>
          <w:szCs w:val="32"/>
          <w:highlight w:val="none"/>
        </w:rPr>
      </w:pPr>
      <w:bookmarkStart w:id="40" w:name="_Toc14504"/>
      <w:r>
        <w:rPr>
          <w:rFonts w:hint="eastAsia" w:ascii="宋体" w:hAnsi="宋体" w:eastAsia="宋体" w:cs="宋体"/>
          <w:b/>
          <w:bCs/>
          <w:color w:val="auto"/>
          <w:sz w:val="32"/>
          <w:szCs w:val="32"/>
          <w:highlight w:val="none"/>
        </w:rPr>
        <w:br w:type="page"/>
      </w: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第三章  投标人须知</w:t>
      </w:r>
      <w:bookmarkEnd w:id="40"/>
    </w:p>
    <w:p>
      <w:pPr>
        <w:pageBreakBefore w:val="0"/>
        <w:kinsoku/>
        <w:overflowPunct/>
        <w:topLinePunct w:val="0"/>
        <w:bidi w:val="0"/>
        <w:snapToGrid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投标人须知前附表</w:t>
      </w:r>
    </w:p>
    <w:tbl>
      <w:tblPr>
        <w:tblStyle w:val="32"/>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487" w:type="dxa"/>
            <w:tcBorders>
              <w:top w:val="single" w:color="auto" w:sz="8"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驻马店市中心医院档案室供电线路等采购及安装项目</w:t>
            </w:r>
            <w:r>
              <w:rPr>
                <w:rFonts w:hint="eastAsia" w:ascii="宋体" w:hAnsi="宋体" w:eastAsia="宋体" w:cs="宋体"/>
                <w:color w:val="auto"/>
                <w:sz w:val="24"/>
                <w:szCs w:val="24"/>
                <w:highlight w:val="none"/>
                <w:lang w:val="en-US" w:eastAsia="zh-CN"/>
              </w:rPr>
              <w:t>。</w:t>
            </w:r>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采购人名称：</w:t>
            </w:r>
            <w:r>
              <w:rPr>
                <w:rFonts w:hint="eastAsia" w:ascii="宋体" w:hAnsi="宋体" w:eastAsia="宋体" w:cs="宋体"/>
                <w:sz w:val="24"/>
                <w:szCs w:val="24"/>
                <w:highlight w:val="none"/>
              </w:rPr>
              <w:t>驻马店市中心医院</w:t>
            </w:r>
            <w:r>
              <w:rPr>
                <w:rFonts w:hint="eastAsia" w:ascii="宋体" w:hAnsi="宋体" w:eastAsia="宋体" w:cs="宋体"/>
                <w:sz w:val="24"/>
                <w:szCs w:val="24"/>
                <w:highlight w:val="none"/>
                <w:lang w:eastAsia="zh-CN"/>
              </w:rPr>
              <w:t>。</w:t>
            </w:r>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采购范围：详</w:t>
            </w:r>
            <w:r>
              <w:rPr>
                <w:rFonts w:hint="eastAsia" w:ascii="宋体" w:hAnsi="宋体" w:eastAsia="宋体" w:cs="宋体"/>
                <w:color w:val="auto"/>
                <w:sz w:val="24"/>
                <w:szCs w:val="24"/>
                <w:highlight w:val="none"/>
                <w:lang w:val="en-US" w:eastAsia="zh-CN"/>
              </w:rPr>
              <w:t>见第二章采购</w:t>
            </w:r>
            <w:r>
              <w:rPr>
                <w:rFonts w:hint="eastAsia" w:ascii="宋体" w:hAnsi="宋体" w:eastAsia="宋体" w:cs="宋体"/>
                <w:color w:val="auto"/>
                <w:sz w:val="24"/>
                <w:szCs w:val="24"/>
                <w:highlight w:val="none"/>
              </w:rPr>
              <w:t>需求</w:t>
            </w:r>
            <w:r>
              <w:rPr>
                <w:rFonts w:hint="eastAsia" w:ascii="宋体" w:hAnsi="宋体" w:eastAsia="宋体" w:cs="宋体"/>
                <w:color w:val="auto"/>
                <w:sz w:val="24"/>
                <w:szCs w:val="24"/>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合格投标人：具备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采购预算（最高投标限价）：</w:t>
            </w:r>
            <w:r>
              <w:rPr>
                <w:rFonts w:hint="eastAsia" w:ascii="宋体" w:hAnsi="宋体" w:eastAsia="宋体" w:cs="宋体"/>
                <w:color w:val="auto"/>
                <w:kern w:val="0"/>
                <w:sz w:val="24"/>
                <w:szCs w:val="24"/>
                <w:highlight w:val="none"/>
                <w:lang w:val="en-US" w:eastAsia="zh-CN"/>
              </w:rPr>
              <w:t>81940.75元</w:t>
            </w:r>
            <w:r>
              <w:rPr>
                <w:rFonts w:hint="eastAsia" w:ascii="宋体" w:hAnsi="宋体" w:eastAsia="宋体" w:cs="宋体"/>
                <w:color w:val="auto"/>
                <w:kern w:val="0"/>
                <w:sz w:val="24"/>
                <w:szCs w:val="24"/>
                <w:highlight w:val="none"/>
                <w:lang w:eastAsia="zh-CN"/>
              </w:rPr>
              <w:t>。</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 本项目投标以人民币报价。</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 供应商的报价超过采购预算，采购人不能支付的，按废标处理。</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 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投标文件组成：纸质投标文件正本1份</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副本2份</w:t>
            </w:r>
            <w:r>
              <w:rPr>
                <w:rFonts w:hint="eastAsia" w:ascii="宋体" w:hAnsi="宋体" w:eastAsia="宋体" w:cs="宋体"/>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投标截止时间</w:t>
            </w:r>
            <w:r>
              <w:rPr>
                <w:rFonts w:hint="eastAsia" w:ascii="宋体" w:hAnsi="宋体" w:eastAsia="宋体" w:cs="宋体"/>
                <w:color w:val="auto"/>
                <w:kern w:val="0"/>
                <w:sz w:val="24"/>
                <w:szCs w:val="24"/>
                <w:highlight w:val="none"/>
                <w:lang w:val="en-US" w:eastAsia="zh-CN"/>
              </w:rPr>
              <w:t>及开标时间</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投标文件递交地点</w:t>
            </w:r>
            <w:r>
              <w:rPr>
                <w:rFonts w:hint="eastAsia" w:ascii="宋体" w:hAnsi="宋体" w:eastAsia="宋体" w:cs="宋体"/>
                <w:color w:val="auto"/>
                <w:kern w:val="0"/>
                <w:sz w:val="24"/>
                <w:szCs w:val="24"/>
                <w:highlight w:val="none"/>
                <w:lang w:val="en-US" w:eastAsia="zh-CN"/>
              </w:rPr>
              <w:t>及开标地点</w:t>
            </w:r>
            <w:r>
              <w:rPr>
                <w:rFonts w:hint="eastAsia" w:ascii="宋体" w:hAnsi="宋体" w:eastAsia="宋体" w:cs="宋体"/>
                <w:color w:val="auto"/>
                <w:kern w:val="0"/>
                <w:sz w:val="24"/>
                <w:szCs w:val="24"/>
                <w:highlight w:val="none"/>
              </w:rPr>
              <w:t>：</w:t>
            </w:r>
            <w:r>
              <w:rPr>
                <w:rFonts w:hint="eastAsia" w:ascii="宋体" w:hAnsi="宋体" w:eastAsia="宋体" w:cs="宋体"/>
                <w:color w:val="000000"/>
                <w:sz w:val="24"/>
                <w:szCs w:val="24"/>
                <w:highlight w:val="none"/>
                <w:lang w:val="en-US" w:eastAsia="zh-CN"/>
              </w:rPr>
              <w:t>另行通知</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val="en-US" w:eastAsia="zh-CN"/>
              </w:rPr>
              <w:t>及以上单数</w:t>
            </w:r>
            <w:r>
              <w:rPr>
                <w:rFonts w:hint="eastAsia" w:ascii="宋体" w:hAnsi="宋体" w:eastAsia="宋体" w:cs="宋体"/>
                <w:color w:val="auto"/>
                <w:kern w:val="0"/>
                <w:sz w:val="24"/>
                <w:szCs w:val="24"/>
                <w:highlight w:val="none"/>
              </w:rPr>
              <w:t>。</w:t>
            </w:r>
          </w:p>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由采购人</w:t>
            </w:r>
            <w:r>
              <w:rPr>
                <w:rFonts w:hint="eastAsia" w:ascii="宋体" w:hAnsi="宋体" w:eastAsia="宋体" w:cs="宋体"/>
                <w:color w:val="auto"/>
                <w:kern w:val="0"/>
                <w:sz w:val="24"/>
                <w:szCs w:val="24"/>
                <w:highlight w:val="none"/>
                <w:lang w:val="en-US" w:eastAsia="zh-CN"/>
              </w:rPr>
              <w:t>抽取相关的技术人员组成</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及</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：由采购人授权评标委员会确定一名中标人并推荐</w:t>
            </w:r>
            <w:r>
              <w:rPr>
                <w:rFonts w:hint="eastAsia" w:ascii="宋体" w:hAnsi="宋体" w:eastAsia="宋体" w:cs="宋体"/>
                <w:color w:val="auto"/>
                <w:kern w:val="0"/>
                <w:sz w:val="24"/>
                <w:szCs w:val="24"/>
                <w:highlight w:val="none"/>
                <w:lang w:eastAsia="zh-CN"/>
              </w:rPr>
              <w:t>一名中标候选人</w:t>
            </w:r>
            <w:r>
              <w:rPr>
                <w:rFonts w:hint="eastAsia" w:ascii="宋体" w:hAnsi="宋体" w:eastAsia="宋体" w:cs="宋体"/>
                <w:color w:val="auto"/>
                <w:kern w:val="0"/>
                <w:sz w:val="24"/>
                <w:szCs w:val="24"/>
                <w:highlight w:val="none"/>
              </w:rPr>
              <w:t>。评审结束后</w:t>
            </w:r>
            <w:r>
              <w:rPr>
                <w:rFonts w:hint="eastAsia" w:ascii="宋体" w:hAnsi="宋体" w:eastAsia="宋体" w:cs="宋体"/>
                <w:color w:val="auto"/>
                <w:kern w:val="0"/>
                <w:sz w:val="24"/>
                <w:szCs w:val="24"/>
                <w:highlight w:val="none"/>
                <w:lang w:val="en-US" w:eastAsia="zh-CN"/>
              </w:rPr>
              <w:t>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驻马店市中心医院网</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上发布</w:t>
            </w:r>
            <w:r>
              <w:rPr>
                <w:rFonts w:hint="eastAsia" w:ascii="宋体" w:hAnsi="宋体" w:eastAsia="宋体" w:cs="宋体"/>
                <w:color w:val="auto"/>
                <w:kern w:val="0"/>
                <w:sz w:val="24"/>
                <w:szCs w:val="24"/>
                <w:highlight w:val="none"/>
                <w:lang w:eastAsia="zh-CN"/>
              </w:rPr>
              <w:t>成交公告</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签订合同：自</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w:t>
            </w:r>
            <w:r>
              <w:rPr>
                <w:rFonts w:hint="eastAsia" w:ascii="宋体" w:hAnsi="宋体" w:eastAsia="宋体" w:cs="宋体"/>
                <w:color w:val="auto"/>
                <w:kern w:val="0"/>
                <w:sz w:val="24"/>
                <w:szCs w:val="24"/>
                <w:highlight w:val="none"/>
                <w:lang w:val="en-US" w:eastAsia="zh-CN"/>
              </w:rPr>
              <w:t>三十</w:t>
            </w:r>
            <w:r>
              <w:rPr>
                <w:rFonts w:hint="eastAsia" w:ascii="宋体" w:hAnsi="宋体" w:eastAsia="宋体" w:cs="宋体"/>
                <w:color w:val="auto"/>
                <w:kern w:val="0"/>
                <w:sz w:val="24"/>
                <w:szCs w:val="24"/>
                <w:highlight w:val="none"/>
              </w:rPr>
              <w:t>个</w:t>
            </w:r>
            <w:r>
              <w:rPr>
                <w:rFonts w:hint="eastAsia" w:ascii="宋体" w:hAnsi="宋体" w:eastAsia="宋体" w:cs="宋体"/>
                <w:color w:val="auto"/>
                <w:kern w:val="0"/>
                <w:sz w:val="24"/>
                <w:szCs w:val="24"/>
                <w:highlight w:val="none"/>
                <w:lang w:val="en-US" w:eastAsia="zh-CN"/>
              </w:rPr>
              <w:t>日历</w:t>
            </w:r>
            <w:r>
              <w:rPr>
                <w:rFonts w:hint="eastAsia" w:ascii="宋体" w:hAnsi="宋体" w:eastAsia="宋体" w:cs="宋体"/>
                <w:color w:val="auto"/>
                <w:kern w:val="0"/>
                <w:sz w:val="24"/>
                <w:szCs w:val="24"/>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11</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FF0000"/>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付款方式：详见第二章</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投标文件有效期：投标</w:t>
            </w:r>
            <w:r>
              <w:rPr>
                <w:rFonts w:hint="eastAsia" w:ascii="宋体" w:hAnsi="宋体" w:eastAsia="宋体" w:cs="宋体"/>
                <w:color w:val="auto"/>
                <w:kern w:val="0"/>
                <w:sz w:val="24"/>
                <w:szCs w:val="24"/>
                <w:highlight w:val="none"/>
                <w:lang w:val="en-US" w:eastAsia="zh-CN"/>
              </w:rPr>
              <w:t>文件递交</w:t>
            </w:r>
            <w:r>
              <w:rPr>
                <w:rFonts w:hint="eastAsia" w:ascii="宋体" w:hAnsi="宋体" w:eastAsia="宋体" w:cs="宋体"/>
                <w:color w:val="auto"/>
                <w:kern w:val="0"/>
                <w:sz w:val="24"/>
                <w:szCs w:val="24"/>
                <w:highlight w:val="none"/>
              </w:rPr>
              <w:t>截止期结束后</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 w:val="24"/>
                <w:szCs w:val="24"/>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质疑和投诉：供应商认为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w:t>
            </w:r>
          </w:p>
        </w:tc>
        <w:tc>
          <w:tcPr>
            <w:tcW w:w="8487" w:type="dxa"/>
            <w:tcBorders>
              <w:top w:val="single" w:color="auto" w:sz="4" w:space="0"/>
              <w:left w:val="single" w:color="auto" w:sz="4" w:space="0"/>
              <w:bottom w:val="single" w:color="auto" w:sz="4" w:space="0"/>
              <w:right w:val="single" w:color="auto" w:sz="8" w:space="0"/>
            </w:tcBorders>
            <w:tcMar>
              <w:top w:w="0" w:type="dxa"/>
              <w:left w:w="108" w:type="dxa"/>
              <w:bottom w:w="0" w:type="dxa"/>
              <w:right w:w="108" w:type="dxa"/>
            </w:tcMar>
            <w:vAlign w:val="center"/>
          </w:tcPr>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解释：1、构成本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文件中有特殊规定外，仅适用于招标投标阶段的规定，按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文件的澄清、修改或补充通知就同一内容的表述不一致时，以最后发出的书面文件为准。合同文件约定或后者明显错误的除外。</w:t>
            </w:r>
          </w:p>
          <w:p>
            <w:pPr>
              <w:pageBreakBefore w:val="0"/>
              <w:widowControl/>
              <w:kinsoku/>
              <w:overflowPunct/>
              <w:topLinePunct w:val="0"/>
              <w:bidi w:val="0"/>
              <w:spacing w:beforeAutospacing="0" w:afterAutospacing="0" w:line="360" w:lineRule="auto"/>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文件解释权归采购人。</w:t>
            </w:r>
          </w:p>
        </w:tc>
      </w:tr>
    </w:tbl>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公告中所叙述项目的货物采购。</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 “采购人”系指本次采购项目的业主方。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 “投标人”系指</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文件，且已经提交本次投标文件的投标人。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 “投标人代表”系指代表投标人参加本次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活动的投标人的法定代表人或其委托代理人。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 “货物”系指投标人按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 “相关服务”系指</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3.本次采购预算（最高限价）为</w:t>
      </w:r>
      <w:r>
        <w:rPr>
          <w:rFonts w:hint="eastAsia" w:ascii="宋体" w:hAnsi="宋体" w:eastAsia="宋体" w:cs="宋体"/>
          <w:b/>
          <w:bCs/>
          <w:color w:val="auto"/>
          <w:kern w:val="0"/>
          <w:sz w:val="24"/>
          <w:szCs w:val="24"/>
          <w:highlight w:val="none"/>
          <w:lang w:val="en-US" w:eastAsia="zh-CN"/>
        </w:rPr>
        <w:t>81940.75</w:t>
      </w:r>
      <w:r>
        <w:rPr>
          <w:rFonts w:hint="eastAsia" w:ascii="宋体" w:hAnsi="宋体" w:eastAsia="宋体" w:cs="宋体"/>
          <w:b/>
          <w:bCs/>
          <w:color w:val="auto"/>
          <w:kern w:val="0"/>
          <w:sz w:val="24"/>
          <w:szCs w:val="24"/>
          <w:highlight w:val="none"/>
          <w:lang w:eastAsia="zh-CN"/>
        </w:rPr>
        <w:t>元</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rPr>
        <w:t>4.投标人应提交的证明文件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供应商应提供2022年度经审计的财务报告或者其基本开户银行出具的资信证明；采购活动前近三个月内或上个季度任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4.3具有履行合同所必需的设备和专业技术能力（提供书面声明函）。</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4.4参加本采购活动前三年内，在经营活动中没有重大违法记录（提供书面声明函）。</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5.投标费用</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6.联合体投标：本项目不接受联合体投标。</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7.关联企业投标</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7.1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8.转包与分包</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8.1本项目不允许采取转包方式履行合同。</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8.2本项目不允许采取分包方式履行合同。</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9.特别说明：</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投标人代表只能接受一个投标人的委托参加投标。</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10.质疑和投诉</w:t>
      </w:r>
    </w:p>
    <w:p>
      <w:pPr>
        <w:keepNext w:val="0"/>
        <w:keepLines w:val="0"/>
        <w:pageBreakBefore w:val="0"/>
        <w:widowControl/>
        <w:kinsoku/>
        <w:wordWrap/>
        <w:overflowPunct/>
        <w:topLinePunct w:val="0"/>
        <w:bidi w:val="0"/>
        <w:snapToGrid w:val="0"/>
        <w:spacing w:beforeAutospacing="0" w:afterAutospacing="0"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10.1 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pPr>
        <w:keepNext w:val="0"/>
        <w:keepLines w:val="0"/>
        <w:pageBreakBefore w:val="0"/>
        <w:widowControl/>
        <w:shd w:val="clear" w:color="auto"/>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10.2 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beforeAutospacing="0" w:afterAutospacing="0"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11.投标人的风险</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投标人没有按照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文件要求提供全部资料，或者投标人没有对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12.</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文件的构成。本</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文件由以下部分组成：</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12.1 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需求</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12.3 投标人须知</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12.4 评标办法</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12.5 </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合同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12.6 投标文件格式</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13.</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文件要求提交投标文件截止时间</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日</w:t>
      </w:r>
      <w:r>
        <w:rPr>
          <w:rFonts w:hint="eastAsia" w:ascii="宋体" w:hAnsi="宋体" w:eastAsia="宋体" w:cs="宋体"/>
          <w:color w:val="auto"/>
          <w:kern w:val="0"/>
          <w:sz w:val="24"/>
          <w:szCs w:val="24"/>
          <w:highlight w:val="none"/>
        </w:rPr>
        <w:t>前，在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相关媒体上发布更正公告或变更公告。</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文件公示期间对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文件进行的澄清、修改或补充不受上述限制。</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13.3 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文件的澄清、修改或补充都应以法定形式发布。采购人未对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文件进行的澄清、修改或补充无效，评标时不予认可。</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13.4 </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可以视招标具体情况延长投标截止时间和开标时间，但至少应当在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文件要求提交投标文件的截止时间3</w:t>
      </w:r>
      <w:r>
        <w:rPr>
          <w:rFonts w:hint="eastAsia" w:ascii="宋体" w:hAnsi="宋体" w:eastAsia="宋体" w:cs="宋体"/>
          <w:bCs/>
          <w:color w:val="auto"/>
          <w:kern w:val="0"/>
          <w:sz w:val="24"/>
          <w:szCs w:val="24"/>
          <w:highlight w:val="none"/>
        </w:rPr>
        <w:t>日</w:t>
      </w:r>
      <w:r>
        <w:rPr>
          <w:rFonts w:hint="eastAsia" w:ascii="宋体" w:hAnsi="宋体" w:eastAsia="宋体" w:cs="宋体"/>
          <w:color w:val="auto"/>
          <w:kern w:val="0"/>
          <w:sz w:val="24"/>
          <w:szCs w:val="24"/>
          <w:highlight w:val="none"/>
        </w:rPr>
        <w:t>前，将变更时间</w:t>
      </w:r>
      <w:r>
        <w:rPr>
          <w:rFonts w:hint="eastAsia" w:ascii="宋体" w:hAnsi="宋体" w:eastAsia="宋体" w:cs="宋体"/>
          <w:color w:val="auto"/>
          <w:kern w:val="0"/>
          <w:sz w:val="24"/>
          <w:szCs w:val="24"/>
          <w:highlight w:val="none"/>
          <w:lang w:val="en-US" w:eastAsia="zh-CN"/>
        </w:rPr>
        <w:t>通知所有潜在投标人</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三、投标文件的编制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14.要求</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14.1 投标人应仔细阅读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文件提供的格式编写投标文件，不得缺少或留空任何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文件提供格式的按格式填列，未提供格式的可自行拟定。投标文件应对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14.2 投标人应完整签署投标文件格式附件中《投标书》和《抵制商业贿赂承诺》，不得增减或修改内容。否则视为对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15.投标文件的语言和计量单位</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15.2 关于投标计量单位，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文件没有规定的，应采用中华人民共和国法定计量单位。否则视为对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文件未作出实质性响应。</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16.投标文件的组成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rPr>
        <w:t>投标文件应包括下列部分：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16.1、投标书及开标一览表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16.2、</w:t>
      </w:r>
      <w:r>
        <w:rPr>
          <w:rFonts w:hint="eastAsia" w:ascii="宋体" w:hAnsi="宋体" w:eastAsia="宋体" w:cs="宋体"/>
          <w:color w:val="auto"/>
          <w:kern w:val="0"/>
          <w:sz w:val="24"/>
          <w:szCs w:val="24"/>
          <w:highlight w:val="none"/>
        </w:rPr>
        <w:t>报价明细表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技术响应</w:t>
      </w:r>
      <w:r>
        <w:rPr>
          <w:rFonts w:hint="eastAsia" w:ascii="宋体" w:hAnsi="宋体" w:eastAsia="宋体" w:cs="宋体"/>
          <w:color w:val="auto"/>
          <w:sz w:val="24"/>
          <w:highlight w:val="none"/>
          <w:lang w:val="en-US" w:eastAsia="zh-CN"/>
        </w:rPr>
        <w:t>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商务响应</w:t>
      </w:r>
      <w:r>
        <w:rPr>
          <w:rFonts w:hint="eastAsia" w:ascii="宋体" w:hAnsi="宋体" w:eastAsia="宋体" w:cs="宋体"/>
          <w:color w:val="auto"/>
          <w:sz w:val="24"/>
          <w:highlight w:val="none"/>
          <w:lang w:val="en-US" w:eastAsia="zh-CN"/>
        </w:rPr>
        <w:t>部分</w:t>
      </w:r>
    </w:p>
    <w:p>
      <w:pPr>
        <w:keepNext w:val="0"/>
        <w:keepLines w:val="0"/>
        <w:pageBreakBefore w:val="0"/>
        <w:widowControl/>
        <w:kinsoku/>
        <w:wordWrap/>
        <w:overflowPunct/>
        <w:topLinePunct w:val="0"/>
        <w:bidi w:val="0"/>
        <w:snapToGrid w:val="0"/>
        <w:spacing w:beforeAutospacing="0" w:afterAutospacing="0"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供应商承诺书</w:t>
      </w:r>
    </w:p>
    <w:p>
      <w:pPr>
        <w:pStyle w:val="10"/>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lang w:val="en-US" w:eastAsia="zh-CN"/>
        </w:rPr>
        <w:t>供应商信用承诺函</w:t>
      </w:r>
    </w:p>
    <w:p>
      <w:pPr>
        <w:pStyle w:val="10"/>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16.10、</w:t>
      </w:r>
      <w:r>
        <w:rPr>
          <w:rFonts w:hint="eastAsia" w:ascii="宋体" w:hAnsi="宋体" w:eastAsia="宋体" w:cs="宋体"/>
          <w:color w:val="auto"/>
          <w:sz w:val="24"/>
          <w:szCs w:val="24"/>
          <w:highlight w:val="none"/>
        </w:rPr>
        <w:t>投标人认为有必要的其他资料</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17.投标有效期</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17.1 投标文件从</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公告所规定的投标截止期之后开始生效，在</w:t>
      </w:r>
      <w:r>
        <w:rPr>
          <w:rFonts w:hint="eastAsia" w:ascii="宋体" w:hAnsi="宋体" w:eastAsia="宋体" w:cs="宋体"/>
          <w:bCs/>
          <w:color w:val="auto"/>
          <w:kern w:val="0"/>
          <w:sz w:val="24"/>
          <w:szCs w:val="24"/>
          <w:highlight w:val="none"/>
        </w:rPr>
        <w:t>投标人须知前附表</w:t>
      </w:r>
      <w:r>
        <w:rPr>
          <w:rFonts w:hint="eastAsia" w:ascii="宋体" w:hAnsi="宋体" w:eastAsia="宋体" w:cs="宋体"/>
          <w:color w:val="auto"/>
          <w:kern w:val="0"/>
          <w:sz w:val="24"/>
          <w:szCs w:val="24"/>
          <w:highlight w:val="none"/>
        </w:rPr>
        <w:t>第1</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beforeAutospacing="0" w:afterAutospacing="0"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17.2特殊情况下</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可于投标有效期满之前书面要求投标人同意延长有效期，投标人应在</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18.投标报价</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18.2 投标人要按开标一览表的内容填写。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18.3 </w:t>
      </w:r>
      <w:r>
        <w:rPr>
          <w:rFonts w:hint="eastAsia" w:ascii="宋体" w:hAnsi="宋体" w:eastAsia="宋体" w:cs="宋体"/>
          <w:color w:val="auto"/>
          <w:spacing w:val="10"/>
          <w:kern w:val="0"/>
          <w:sz w:val="24"/>
          <w:szCs w:val="24"/>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18.5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19.投标保证金（详见采购公告）</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rPr>
        <w:t>20.投标文件的签署</w:t>
      </w:r>
      <w:r>
        <w:rPr>
          <w:rFonts w:hint="eastAsia" w:ascii="宋体" w:hAnsi="宋体" w:eastAsia="宋体" w:cs="宋体"/>
          <w:b/>
          <w:color w:val="auto"/>
          <w:kern w:val="0"/>
          <w:sz w:val="24"/>
          <w:szCs w:val="24"/>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.1投标文件应按第六章“投标文件格式”进行编写，如有必要，可以增加附页，作为投标文件的组成部分。其中，投标报价一览表在满足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.2 投标文件应当对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文件有关</w:t>
      </w:r>
      <w:r>
        <w:rPr>
          <w:rFonts w:hint="eastAsia" w:ascii="宋体" w:hAnsi="宋体" w:eastAsia="宋体" w:cs="宋体"/>
          <w:color w:val="auto"/>
          <w:kern w:val="0"/>
          <w:sz w:val="24"/>
          <w:szCs w:val="24"/>
          <w:highlight w:val="none"/>
          <w:lang w:val="en-US" w:eastAsia="zh-CN"/>
        </w:rPr>
        <w:t>交货</w:t>
      </w:r>
      <w:r>
        <w:rPr>
          <w:rFonts w:hint="eastAsia" w:ascii="宋体" w:hAnsi="宋体" w:eastAsia="宋体" w:cs="宋体"/>
          <w:color w:val="auto"/>
          <w:kern w:val="0"/>
          <w:sz w:val="24"/>
          <w:szCs w:val="24"/>
          <w:highlight w:val="none"/>
        </w:rPr>
        <w:t>期、投标有效期、质量要求、技术标准和要求、</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20</w:t>
      </w:r>
      <w:r>
        <w:rPr>
          <w:rFonts w:hint="eastAsia" w:ascii="宋体" w:hAnsi="宋体" w:eastAsia="宋体" w:cs="宋体"/>
          <w:color w:val="auto"/>
          <w:kern w:val="0"/>
          <w:sz w:val="24"/>
          <w:szCs w:val="24"/>
          <w:highlight w:val="none"/>
        </w:rPr>
        <w:t>.5投标文件的具体装订要求见投标人须知前附表规定。</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四、投标文件的递交</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21. 投标文件的密封、标记</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21.1响应文件应密封包装，并在封套的封口处加盖供应商单位章或由供应商的法定代表人（单位负责人）或其授权的代理人签字。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21.2 投标文件的封套上应清楚地标记“正本”或“副本”字样，封套上应写明的其他内容见投标人须知前附表</w:t>
      </w:r>
      <w:r>
        <w:rPr>
          <w:rFonts w:hint="eastAsia" w:ascii="宋体" w:hAnsi="宋体" w:eastAsia="宋体" w:cs="宋体"/>
          <w:color w:val="auto"/>
          <w:kern w:val="0"/>
          <w:sz w:val="24"/>
          <w:szCs w:val="24"/>
          <w:highlight w:val="none"/>
          <w:lang w:eastAsia="zh-CN"/>
        </w:rPr>
        <w:t>。</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.3 未按本章第2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.1项或第2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.2项要求密封和加写标记的投标文件，采购人不予受理。</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22. 投标文件的递交</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 投标人应在规定的投标截止时间前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rPr>
        <w:t>投标文件。</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beforeAutospacing="0" w:afterAutospacing="0"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23. 投标文件的修改和撤回</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23.1 投标人在投标截止时间前，可以对所提交的投标文件进行补充、修改或者撤回，并书面通知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 组建评标委员会</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.1 评标委员会由采购人代表和评审专家组成。成员由</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人以上单数组成。</w:t>
      </w:r>
      <w:r>
        <w:rPr>
          <w:rFonts w:hint="eastAsia" w:ascii="宋体" w:hAnsi="宋体" w:eastAsia="宋体" w:cs="宋体"/>
          <w:color w:val="auto"/>
          <w:sz w:val="24"/>
          <w:szCs w:val="24"/>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.2评标委员会成员要依法独立评审，并对评审意见承担个人责任。</w:t>
      </w:r>
      <w:r>
        <w:rPr>
          <w:rFonts w:hint="eastAsia" w:ascii="宋体" w:hAnsi="宋体" w:eastAsia="宋体" w:cs="宋体"/>
          <w:color w:val="auto"/>
          <w:sz w:val="24"/>
          <w:szCs w:val="24"/>
          <w:highlight w:val="none"/>
        </w:rPr>
        <w:t>评标委员会成员对需要共同认定的事项存在争议的，按照少数服从多数的原则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出结论。持不同意见的评标委员会成员应当在评标报告上签署不同意见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 投标文件的初审</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.1对所有投标人的评估，都采用相同的程序和标准。评标过程将严格按照</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文件的要求和条件进行。</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投标文件报价出现前后不一致的，除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.3.1</w:t>
      </w:r>
      <w:r>
        <w:rPr>
          <w:rFonts w:hint="eastAsia" w:ascii="宋体" w:hAnsi="宋体" w:eastAsia="宋体" w:cs="宋体"/>
          <w:color w:val="auto"/>
          <w:sz w:val="24"/>
          <w:szCs w:val="24"/>
          <w:highlight w:val="none"/>
          <w:shd w:val="clear" w:color="auto" w:fill="FFFFFF"/>
        </w:rPr>
        <w:t>投标文件开标一览表（报价表）内容与投标文件中相应内容不一致的，以开标一览表（报价表）为准；</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shd w:val="clear" w:color="auto" w:fill="FFFFFF"/>
        </w:rPr>
        <w:t>单价金额小数点或者百分比有明显错位的，以开标一览表的总价为准，并修改单价；</w:t>
      </w:r>
    </w:p>
    <w:p>
      <w:pPr>
        <w:pStyle w:val="29"/>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 资格性检查和符合性检查。</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.4.1</w:t>
      </w:r>
      <w:r>
        <w:rPr>
          <w:rFonts w:hint="eastAsia" w:ascii="宋体" w:hAnsi="宋体" w:eastAsia="宋体" w:cs="宋体"/>
          <w:color w:val="auto"/>
          <w:sz w:val="24"/>
          <w:szCs w:val="24"/>
          <w:highlight w:val="none"/>
        </w:rPr>
        <w:t>资格性检查。依据法规政策和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文件的规定，在对投标文件详细评估之前，采购人将依据投标人提交的投标文件按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文件第三章4.投标人应提交的证明文件所述的资格标准对投标人进行资格审查,以确定其是否具备投标资格。如果投标人不具备投标资格、不满足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文件所规定的资格标准或提供资格证明文件不全,其投标将被作为无效投标。在审查过程中，采购人有权要求投标人按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.4.2 资格审查后合格的投标人不足3家的，不得评标。</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.4.3 符合性检查。依据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文件的规定，评标委员会将从投标文件的有效性、完整性和对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文件的响应程度进行审查，以确定是否符合对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（3）资格证明文件不全的，或不符合</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文件标明的资格要求的。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（4）投标有效期、交货时间、质保期等不满足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（5）未按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（6）投标文件的实质性内容未使用中文表述，或意思表述不明确，或前后矛盾，或使用计量单位不符合</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文件要求的。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（8）投标文件内容未按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文件响应的。</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（9）不符合</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.4.4 对资格性检查和符合性检查不合格的投标人，将</w:t>
      </w:r>
      <w:r>
        <w:rPr>
          <w:rFonts w:hint="eastAsia" w:ascii="宋体" w:hAnsi="宋体" w:eastAsia="宋体" w:cs="宋体"/>
          <w:color w:val="auto"/>
          <w:kern w:val="0"/>
          <w:sz w:val="24"/>
          <w:szCs w:val="24"/>
          <w:highlight w:val="none"/>
          <w:lang w:val="en-US" w:eastAsia="zh-CN"/>
        </w:rPr>
        <w:t>通过评标系统</w:t>
      </w:r>
      <w:r>
        <w:rPr>
          <w:rFonts w:hint="eastAsia" w:ascii="宋体" w:hAnsi="宋体" w:eastAsia="宋体" w:cs="宋体"/>
          <w:color w:val="auto"/>
          <w:kern w:val="0"/>
          <w:sz w:val="24"/>
          <w:szCs w:val="24"/>
          <w:highlight w:val="none"/>
        </w:rPr>
        <w:t>告知其理由。</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beforeAutospacing="0" w:afterAutospacing="0"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beforeAutospacing="0" w:afterAutospacing="0"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.5.7 有证据证明投标人串通投标的其他情形的；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.5.8 不同投标人的投标文件制作机器码一致；</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5</w:t>
      </w:r>
      <w:r>
        <w:rPr>
          <w:rFonts w:hint="eastAsia" w:ascii="宋体" w:hAnsi="宋体" w:eastAsia="宋体" w:cs="宋体"/>
          <w:color w:val="auto"/>
          <w:kern w:val="0"/>
          <w:sz w:val="24"/>
          <w:szCs w:val="24"/>
          <w:highlight w:val="none"/>
        </w:rPr>
        <w:t>.5.9 评标委员会认定的其他串通投标情形。</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 投标文件的澄清</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 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.1 评标委员会将按本</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文件规定的评标方法与标准，对资格性检查和符合性检查合格的投标文件进行商务和技术评估，综合比较与评价。</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.2对漏（缺）报项的处理：</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文件中要求列入报价的费用（含配置、功能），漏（缺）报的视同已含在投标总价中。</w:t>
      </w:r>
    </w:p>
    <w:p>
      <w:pPr>
        <w:pStyle w:val="29"/>
        <w:keepNext w:val="0"/>
        <w:keepLines w:val="0"/>
        <w:pageBreakBefore w:val="0"/>
        <w:widowControl/>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7</w:t>
      </w:r>
      <w:r>
        <w:rPr>
          <w:rFonts w:hint="eastAsia" w:ascii="宋体" w:hAnsi="宋体" w:eastAsia="宋体" w:cs="宋体"/>
          <w:color w:val="auto"/>
          <w:sz w:val="24"/>
          <w:szCs w:val="24"/>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 评标过程及保密原则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jc w:val="left"/>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29</w:t>
      </w:r>
      <w:r>
        <w:rPr>
          <w:rFonts w:hint="eastAsia" w:ascii="宋体" w:hAnsi="宋体" w:eastAsia="宋体" w:cs="宋体"/>
          <w:b/>
          <w:color w:val="auto"/>
          <w:kern w:val="0"/>
          <w:sz w:val="24"/>
          <w:szCs w:val="24"/>
          <w:highlight w:val="none"/>
        </w:rPr>
        <w:t>.评标异议登记</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定标原则</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.1 最低投标价不作为中标的保证。</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.2 确定实质上响应</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文件且满足下列条件的为中标候选人（或中标人）</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szCs w:val="24"/>
          <w:highlight w:val="none"/>
        </w:rPr>
      </w:pPr>
      <w:bookmarkStart w:id="41" w:name="_Toc32200"/>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0</w:t>
      </w:r>
      <w:r>
        <w:rPr>
          <w:rFonts w:hint="eastAsia" w:ascii="宋体" w:hAnsi="宋体" w:eastAsia="宋体" w:cs="宋体"/>
          <w:bCs/>
          <w:color w:val="auto"/>
          <w:kern w:val="0"/>
          <w:sz w:val="24"/>
          <w:szCs w:val="24"/>
          <w:highlight w:val="none"/>
        </w:rPr>
        <w:t>.2.1</w:t>
      </w:r>
      <w:bookmarkEnd w:id="41"/>
      <w:r>
        <w:rPr>
          <w:rFonts w:hint="eastAsia" w:ascii="宋体" w:hAnsi="宋体" w:eastAsia="宋体" w:cs="宋体"/>
          <w:bCs/>
          <w:color w:val="auto"/>
          <w:kern w:val="0"/>
          <w:sz w:val="24"/>
          <w:szCs w:val="24"/>
          <w:highlight w:val="none"/>
        </w:rPr>
        <w:t>本次评标采用</w:t>
      </w:r>
      <w:r>
        <w:rPr>
          <w:rFonts w:hint="eastAsia" w:ascii="宋体" w:hAnsi="宋体" w:eastAsia="宋体" w:cs="宋体"/>
          <w:color w:val="auto"/>
          <w:sz w:val="24"/>
          <w:szCs w:val="24"/>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采用综合评分法的，评标结果按评审后得分由高到低顺序排列。投标文件满足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 确定中标人和中标候选人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本项目由采购人授权评标委员会确定一名中标人并推荐</w:t>
      </w:r>
      <w:r>
        <w:rPr>
          <w:rFonts w:hint="eastAsia" w:ascii="宋体" w:hAnsi="宋体" w:eastAsia="宋体" w:cs="宋体"/>
          <w:bCs/>
          <w:color w:val="auto"/>
          <w:kern w:val="0"/>
          <w:sz w:val="24"/>
          <w:szCs w:val="24"/>
          <w:highlight w:val="none"/>
          <w:lang w:eastAsia="zh-CN"/>
        </w:rPr>
        <w:t>一名中标候选人</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eastAsia="宋体" w:cs="宋体"/>
          <w:b/>
          <w:bCs/>
          <w:color w:val="auto"/>
          <w:kern w:val="0"/>
          <w:sz w:val="24"/>
          <w:szCs w:val="24"/>
          <w:highlight w:val="none"/>
          <w:lang w:eastAsia="zh-CN"/>
        </w:rPr>
        <w:t>成交公告</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人将中标候选人的情况在本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向中标人发出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.2中标人在规定的时间内不领取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对采购人和中标人具有同等法律效力。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pPr>
        <w:keepNext w:val="0"/>
        <w:keepLines w:val="0"/>
        <w:pageBreakBefore w:val="0"/>
        <w:widowControl/>
        <w:kinsoku/>
        <w:wordWrap/>
        <w:overflowPunct/>
        <w:topLinePunct w:val="0"/>
        <w:bidi w:val="0"/>
        <w:snapToGrid w:val="0"/>
        <w:spacing w:beforeAutospacing="0" w:afterAutospacing="0"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采购人宣布废标的权利</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.1.1出现影响采购公正的违法、违规行为的。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.1.2投标人的报价均超过了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.1.3因重大变故，采购任务取消的。</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3</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sz w:val="24"/>
          <w:szCs w:val="24"/>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beforeAutospacing="0" w:afterAutospacing="0" w:line="360" w:lineRule="auto"/>
        <w:ind w:firstLine="480" w:firstLineChars="200"/>
        <w:rPr>
          <w:rFonts w:hint="eastAsia" w:ascii="宋体" w:hAnsi="宋体" w:eastAsia="宋体" w:cs="宋体"/>
          <w:b/>
          <w:color w:val="auto"/>
          <w:kern w:val="0"/>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beforeAutospacing="0" w:afterAutospacing="0" w:line="360" w:lineRule="auto"/>
        <w:jc w:val="center"/>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pPr>
        <w:keepNext w:val="0"/>
        <w:keepLines w:val="0"/>
        <w:pageBreakBefore w:val="0"/>
        <w:widowControl/>
        <w:kinsoku/>
        <w:wordWrap/>
        <w:overflowPunct/>
        <w:topLinePunct w:val="0"/>
        <w:bidi w:val="0"/>
        <w:snapToGrid w:val="0"/>
        <w:spacing w:beforeAutospacing="0" w:afterAutospacing="0" w:line="360" w:lineRule="auto"/>
        <w:ind w:firstLine="540" w:firstLineChars="224"/>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3</w:t>
      </w: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.合同签订</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u w:val="single"/>
        </w:rPr>
      </w:pPr>
      <w:bookmarkStart w:id="42" w:name="_Toc8594"/>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.1 采购人、中标人自</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发出之日起，在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文件第三章《投标人须知前附表》规定的时间内，根据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文件确定的事项和中标人投标文件签订合同。双方所签订的合同不得对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文件和中标人投标文件作实质性修改。</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文件的修改文件、中标人的投标文件、补充或修改的文件及澄清或承诺文件等，均为双方签订合同的组成部分，并与合同一并作为本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.3 中标人放弃中标、因不可抗力不能履行合同、不按照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文件要求提交履约保证金，或者被查实存在影响中标结果的违法行为等情形，不符合中标条件的，采购人可以按照评标委员会提出的中标候选人名单排序依次确定其他中标候选人为中标人，也可以重新招标。</w:t>
      </w:r>
    </w:p>
    <w:bookmarkEnd w:id="42"/>
    <w:p>
      <w:pPr>
        <w:pageBreakBefore w:val="0"/>
        <w:kinsoku/>
        <w:overflowPunct/>
        <w:topLinePunct w:val="0"/>
        <w:bidi w:val="0"/>
        <w:spacing w:beforeAutospacing="0" w:afterAutospacing="0" w:line="360" w:lineRule="auto"/>
        <w:rPr>
          <w:rFonts w:hint="eastAsia" w:ascii="宋体" w:hAnsi="宋体" w:eastAsia="宋体" w:cs="宋体"/>
          <w:b/>
          <w:bCs/>
          <w:color w:val="auto"/>
          <w:kern w:val="0"/>
          <w:sz w:val="32"/>
          <w:szCs w:val="32"/>
          <w:highlight w:val="none"/>
        </w:rPr>
      </w:pPr>
      <w:bookmarkStart w:id="43" w:name="_Toc9022"/>
      <w:bookmarkStart w:id="44" w:name="_Toc4700"/>
      <w:bookmarkStart w:id="45" w:name="_Toc16669"/>
      <w:r>
        <w:rPr>
          <w:rFonts w:hint="eastAsia" w:ascii="宋体" w:hAnsi="宋体" w:eastAsia="宋体" w:cs="宋体"/>
          <w:b/>
          <w:bCs/>
          <w:color w:val="auto"/>
          <w:kern w:val="0"/>
          <w:sz w:val="32"/>
          <w:szCs w:val="32"/>
          <w:highlight w:val="none"/>
        </w:rPr>
        <w:br w:type="page"/>
      </w:r>
    </w:p>
    <w:p>
      <w:pPr>
        <w:pageBreakBefore w:val="0"/>
        <w:kinsoku/>
        <w:overflowPunct/>
        <w:topLinePunct w:val="0"/>
        <w:bidi w:val="0"/>
        <w:spacing w:beforeAutospacing="0" w:afterAutospacing="0"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第四章  评标办法及评分标准</w:t>
      </w:r>
      <w:bookmarkEnd w:id="43"/>
      <w:bookmarkEnd w:id="44"/>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（一）评标原则</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按照“公平、公正”的原则对待所有投标人</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二</w:t>
      </w:r>
      <w:r>
        <w:rPr>
          <w:rFonts w:hint="eastAsia" w:ascii="宋体" w:hAnsi="宋体" w:eastAsia="宋体" w:cs="宋体"/>
          <w:b w:val="0"/>
          <w:bCs w:val="0"/>
          <w:color w:val="auto"/>
          <w:sz w:val="24"/>
          <w:szCs w:val="24"/>
          <w:highlight w:val="none"/>
        </w:rPr>
        <w:t>）评标办法</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2．评标委员会按照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beforeAutospacing="0" w:afterAutospacing="0" w:line="360" w:lineRule="auto"/>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.投标文件满足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beforeAutospacing="0" w:afterAutospacing="0"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三</w:t>
      </w:r>
      <w:r>
        <w:rPr>
          <w:rFonts w:hint="eastAsia" w:ascii="宋体" w:hAnsi="宋体" w:eastAsia="宋体" w:cs="宋体"/>
          <w:b w:val="0"/>
          <w:bCs w:val="0"/>
          <w:color w:val="auto"/>
          <w:sz w:val="24"/>
          <w:szCs w:val="24"/>
          <w:highlight w:val="none"/>
        </w:rPr>
        <w:t>）评标程序</w:t>
      </w:r>
    </w:p>
    <w:p>
      <w:pPr>
        <w:keepNext w:val="0"/>
        <w:keepLines w:val="0"/>
        <w:pageBreakBefore w:val="0"/>
        <w:numPr>
          <w:ilvl w:val="0"/>
          <w:numId w:val="0"/>
        </w:numPr>
        <w:kinsoku/>
        <w:overflowPunct/>
        <w:topLinePunct w:val="0"/>
        <w:bidi w:val="0"/>
        <w:snapToGrid w:val="0"/>
        <w:spacing w:beforeAutospacing="0" w:afterAutospacing="0"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1.</w:t>
      </w:r>
      <w:r>
        <w:rPr>
          <w:rFonts w:hint="eastAsia" w:ascii="宋体" w:hAnsi="宋体" w:eastAsia="宋体" w:cs="宋体"/>
          <w:b w:val="0"/>
          <w:bCs w:val="0"/>
          <w:color w:val="auto"/>
          <w:sz w:val="24"/>
          <w:szCs w:val="24"/>
          <w:highlight w:val="none"/>
        </w:rPr>
        <w:t>详细评审（100分）</w:t>
      </w:r>
    </w:p>
    <w:tbl>
      <w:tblPr>
        <w:tblStyle w:val="32"/>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2126"/>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9420" w:type="dxa"/>
            <w:gridSpan w:val="3"/>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bCs/>
                <w:color w:val="auto"/>
                <w:sz w:val="24"/>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1230" w:type="dxa"/>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w:t>
            </w:r>
            <w:r>
              <w:rPr>
                <w:rFonts w:hint="eastAsia" w:ascii="宋体" w:hAnsi="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rPr>
              <w:t>分)</w:t>
            </w:r>
          </w:p>
        </w:tc>
        <w:tc>
          <w:tcPr>
            <w:tcW w:w="8190" w:type="dxa"/>
            <w:gridSpan w:val="2"/>
            <w:vAlign w:val="center"/>
          </w:tcPr>
          <w:p>
            <w:pPr>
              <w:pStyle w:val="49"/>
              <w:keepNext w:val="0"/>
              <w:keepLines w:val="0"/>
              <w:pageBreakBefore w:val="0"/>
              <w:kinsoku/>
              <w:wordWrap/>
              <w:overflowPunct/>
              <w:topLinePunct w:val="0"/>
              <w:bidi w:val="0"/>
              <w:snapToGrid w:val="0"/>
              <w:spacing w:beforeAutospacing="0" w:afterAutospacing="0"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6" w:hRule="atLeast"/>
          <w:jc w:val="center"/>
        </w:trPr>
        <w:tc>
          <w:tcPr>
            <w:tcW w:w="1230" w:type="dxa"/>
            <w:vMerge w:val="restart"/>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工程质量</w:t>
            </w:r>
          </w:p>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（4</w:t>
            </w:r>
            <w:r>
              <w:rPr>
                <w:rFonts w:hint="eastAsia" w:ascii="宋体" w:hAnsi="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分）</w:t>
            </w:r>
          </w:p>
        </w:tc>
        <w:tc>
          <w:tcPr>
            <w:tcW w:w="2126"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施工方案与技术措施（10分）</w:t>
            </w:r>
          </w:p>
        </w:tc>
        <w:tc>
          <w:tcPr>
            <w:tcW w:w="6064"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施工方案（含工程特点、施工重点与难点及绿色施工）总体安排合理，运用先进、合理的施工工艺、施工机械；对施工难点有先进、合理的建议。</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完全符合以上要求的得7-10分；基本满足的得4-6分；施工方案一般的得1-3分，缺项得0分。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1230"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1"/>
                <w:szCs w:val="21"/>
                <w:highlight w:val="none"/>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质量管理体系与措施（1</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分）</w:t>
            </w:r>
          </w:p>
        </w:tc>
        <w:tc>
          <w:tcPr>
            <w:tcW w:w="6064"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组织结构形式合理，有完善的质量</w:t>
            </w:r>
            <w:r>
              <w:rPr>
                <w:rFonts w:hint="eastAsia" w:ascii="宋体" w:hAnsi="宋体" w:cs="宋体"/>
                <w:b w:val="0"/>
                <w:bCs w:val="0"/>
                <w:color w:val="auto"/>
                <w:sz w:val="21"/>
                <w:szCs w:val="21"/>
                <w:highlight w:val="none"/>
                <w:lang w:val="en-US" w:eastAsia="zh-CN"/>
              </w:rPr>
              <w:t>把控措施、按照采购要求中的规定的产品型号及其他技术标准施工，不存在偷工减料。</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完全满足以上要求的得</w:t>
            </w:r>
            <w:r>
              <w:rPr>
                <w:rFonts w:hint="eastAsia" w:ascii="宋体" w:hAnsi="宋体" w:cs="宋体"/>
                <w:b w:val="0"/>
                <w:bCs w:val="0"/>
                <w:color w:val="auto"/>
                <w:sz w:val="21"/>
                <w:szCs w:val="21"/>
                <w:highlight w:val="none"/>
                <w:lang w:val="en-US" w:eastAsia="zh-CN"/>
              </w:rPr>
              <w:t>9</w:t>
            </w:r>
            <w:r>
              <w:rPr>
                <w:rFonts w:hint="eastAsia" w:ascii="宋体" w:hAnsi="宋体" w:eastAsia="宋体" w:cs="宋体"/>
                <w:b w:val="0"/>
                <w:bCs w:val="0"/>
                <w:color w:val="auto"/>
                <w:sz w:val="21"/>
                <w:szCs w:val="21"/>
                <w:highlight w:val="none"/>
              </w:rPr>
              <w:t>-1</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分；基本满足以上要求的得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分；措施一般的得1-</w:t>
            </w:r>
            <w:r>
              <w:rPr>
                <w:rFonts w:hint="eastAsia" w:ascii="宋体" w:hAnsi="宋体" w:cs="宋体"/>
                <w:b w:val="0"/>
                <w:bCs w:val="0"/>
                <w:color w:val="auto"/>
                <w:sz w:val="21"/>
                <w:szCs w:val="21"/>
                <w:highlight w:val="none"/>
                <w:lang w:val="en-US" w:eastAsia="zh-CN"/>
              </w:rPr>
              <w:t>4</w:t>
            </w:r>
            <w:bookmarkStart w:id="91" w:name="_GoBack"/>
            <w:bookmarkEnd w:id="91"/>
            <w:r>
              <w:rPr>
                <w:rFonts w:hint="eastAsia" w:ascii="宋体" w:hAnsi="宋体" w:eastAsia="宋体" w:cs="宋体"/>
                <w:b w:val="0"/>
                <w:bCs w:val="0"/>
                <w:color w:val="auto"/>
                <w:sz w:val="21"/>
                <w:szCs w:val="21"/>
                <w:highlight w:val="none"/>
              </w:rPr>
              <w:t>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1230"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1"/>
                <w:szCs w:val="21"/>
                <w:highlight w:val="none"/>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安全管理体系与措施、文明施工措施、工期保证措施（15分）</w:t>
            </w:r>
          </w:p>
        </w:tc>
        <w:tc>
          <w:tcPr>
            <w:tcW w:w="6064"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1）施工安全生产保障体系健全，全员安全责任制明确，现场安全管理组织机构、人员配备满足国家规定要求；</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2）文明施工措施符合有关文明施工、健康卫生的规定。</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3）工期承诺满足要求，工期保证措施合理且有针对性。</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完全满足以上要求的得11-15分；基本满足以上要求的得6-10分；措施一般的得1-5分；缺项得0分。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1230"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left"/>
              <w:textAlignment w:val="auto"/>
              <w:rPr>
                <w:rFonts w:hint="eastAsia" w:ascii="宋体" w:hAnsi="宋体" w:eastAsia="宋体" w:cs="宋体"/>
                <w:b w:val="0"/>
                <w:bCs w:val="0"/>
                <w:color w:val="auto"/>
                <w:sz w:val="21"/>
                <w:szCs w:val="21"/>
                <w:highlight w:val="none"/>
                <w:lang w:val="en-US" w:eastAsia="zh-CN"/>
              </w:rPr>
            </w:pPr>
          </w:p>
        </w:tc>
        <w:tc>
          <w:tcPr>
            <w:tcW w:w="2126"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拟投入资源配备计划（10分）</w:t>
            </w:r>
          </w:p>
        </w:tc>
        <w:tc>
          <w:tcPr>
            <w:tcW w:w="6064"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根据投标人拟投入的人员、机械设备、物资投入计划综合对比。</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配备合理、完全满足施工需要的得7-10</w:t>
            </w:r>
            <w:r>
              <w:rPr>
                <w:rFonts w:hint="eastAsia" w:ascii="宋体" w:hAnsi="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；配备基本合理，基本满足施工需要的得4-6分；一般满足采购需求的得1-3分，缺项得0分。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230" w:type="dxa"/>
            <w:vMerge w:val="restart"/>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18</w:t>
            </w:r>
            <w:r>
              <w:rPr>
                <w:rFonts w:hint="eastAsia" w:ascii="宋体" w:hAnsi="宋体" w:eastAsia="宋体" w:cs="宋体"/>
                <w:b w:val="0"/>
                <w:bCs w:val="0"/>
                <w:color w:val="auto"/>
                <w:sz w:val="21"/>
                <w:szCs w:val="21"/>
                <w:highlight w:val="none"/>
              </w:rPr>
              <w:t>分）</w:t>
            </w:r>
          </w:p>
        </w:tc>
        <w:tc>
          <w:tcPr>
            <w:tcW w:w="2126"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类似业绩（</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tc>
        <w:tc>
          <w:tcPr>
            <w:tcW w:w="6064" w:type="dxa"/>
            <w:vAlign w:val="top"/>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企业202</w:t>
            </w:r>
            <w:r>
              <w:rPr>
                <w:rFonts w:hint="eastAsia" w:ascii="宋体" w:hAnsi="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val="en-US" w:eastAsia="zh-CN"/>
              </w:rPr>
              <w:t>年1月1日以来具有类似工程业绩，每份得2分，最多得</w:t>
            </w:r>
            <w:r>
              <w:rPr>
                <w:rFonts w:hint="eastAsia" w:ascii="宋体" w:hAnsi="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lang w:val="en-US" w:eastAsia="zh-CN"/>
              </w:rPr>
              <w:t>分。</w:t>
            </w:r>
            <w:r>
              <w:rPr>
                <w:rFonts w:hint="eastAsia" w:ascii="宋体" w:hAnsi="宋体" w:cs="宋体"/>
                <w:b w:val="0"/>
                <w:bCs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lang w:val="en-US" w:eastAsia="zh-CN"/>
              </w:rPr>
              <w:t>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jc w:val="center"/>
        </w:trPr>
        <w:tc>
          <w:tcPr>
            <w:tcW w:w="1230" w:type="dxa"/>
            <w:vMerge w:val="continue"/>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1"/>
                <w:szCs w:val="21"/>
                <w:highlight w:val="none"/>
              </w:rPr>
            </w:pPr>
          </w:p>
        </w:tc>
        <w:tc>
          <w:tcPr>
            <w:tcW w:w="2126" w:type="dxa"/>
            <w:vAlign w:val="center"/>
          </w:tcPr>
          <w:p>
            <w:pPr>
              <w:keepNext w:val="0"/>
              <w:keepLines w:val="0"/>
              <w:pageBreakBefore w:val="0"/>
              <w:kinsoku/>
              <w:wordWrap/>
              <w:overflowPunct/>
              <w:topLinePunct w:val="0"/>
              <w:bidi w:val="0"/>
              <w:snapToGrid w:val="0"/>
              <w:spacing w:beforeAutospacing="0" w:afterAutospacing="0" w:line="360" w:lineRule="auto"/>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w:t>
            </w:r>
            <w:r>
              <w:rPr>
                <w:rFonts w:hint="eastAsia" w:ascii="宋体" w:hAnsi="宋体" w:cs="宋体"/>
                <w:b w:val="0"/>
                <w:bCs w:val="0"/>
                <w:color w:val="auto"/>
                <w:sz w:val="21"/>
                <w:szCs w:val="21"/>
                <w:highlight w:val="none"/>
                <w:lang w:val="en-US" w:eastAsia="zh-CN"/>
              </w:rPr>
              <w:t>承诺</w:t>
            </w:r>
          </w:p>
          <w:p>
            <w:pPr>
              <w:keepNext w:val="0"/>
              <w:keepLines w:val="0"/>
              <w:pageBreakBefore w:val="0"/>
              <w:kinsoku/>
              <w:wordWrap/>
              <w:overflowPunct/>
              <w:topLinePunct w:val="0"/>
              <w:bidi w:val="0"/>
              <w:snapToGrid w:val="0"/>
              <w:spacing w:beforeAutospacing="0" w:afterAutospacing="0"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(12分)</w:t>
            </w:r>
          </w:p>
        </w:tc>
        <w:tc>
          <w:tcPr>
            <w:tcW w:w="6064" w:type="dxa"/>
            <w:vAlign w:val="center"/>
          </w:tcPr>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根据投标人关于质量保证、安全保证、环境卫生、噪音</w:t>
            </w:r>
            <w:r>
              <w:rPr>
                <w:rFonts w:hint="eastAsia" w:ascii="宋体" w:hAnsi="宋体" w:cs="宋体"/>
                <w:b w:val="0"/>
                <w:bCs w:val="0"/>
                <w:color w:val="auto"/>
                <w:kern w:val="0"/>
                <w:sz w:val="21"/>
                <w:szCs w:val="21"/>
                <w:highlight w:val="none"/>
                <w:lang w:val="en-US" w:eastAsia="zh-CN"/>
              </w:rPr>
              <w:t>以及质量保修期内、外的服务承诺综合对比。</w:t>
            </w:r>
          </w:p>
          <w:p>
            <w:pPr>
              <w:keepNext w:val="0"/>
              <w:keepLines w:val="0"/>
              <w:pageBreakBefore w:val="0"/>
              <w:widowControl/>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服务内容科学、合理、针对性强、完善程度高的得9-12分；以上内容比较全面的得5-8分；完善程度一般的得1-4分；缺项的0分。</w:t>
            </w:r>
          </w:p>
        </w:tc>
      </w:tr>
    </w:tbl>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p>
    <w:p>
      <w:pPr>
        <w:pageBreakBefore w:val="0"/>
        <w:kinsoku/>
        <w:overflowPunct/>
        <w:topLinePunct w:val="0"/>
        <w:bidi w:val="0"/>
        <w:spacing w:beforeAutospacing="0" w:afterAutospacing="0" w:line="360" w:lineRule="auto"/>
        <w:rPr>
          <w:rFonts w:hint="eastAsia" w:ascii="宋体" w:hAnsi="宋体" w:eastAsia="宋体" w:cs="宋体"/>
          <w:b/>
          <w:bCs/>
          <w:color w:val="auto"/>
          <w:kern w:val="44"/>
          <w:sz w:val="28"/>
          <w:szCs w:val="28"/>
          <w:highlight w:val="none"/>
          <w:lang w:val="en-US" w:eastAsia="zh-CN" w:bidi="ar-SA"/>
        </w:rPr>
      </w:pPr>
      <w:r>
        <w:rPr>
          <w:rFonts w:hint="eastAsia" w:ascii="宋体" w:hAnsi="宋体" w:eastAsia="宋体" w:cs="宋体"/>
          <w:b/>
          <w:color w:val="auto"/>
          <w:highlight w:val="none"/>
        </w:rPr>
        <w:br w:type="page"/>
      </w:r>
      <w:bookmarkEnd w:id="45"/>
      <w:bookmarkStart w:id="46" w:name="_Toc28988"/>
      <w:bookmarkStart w:id="47" w:name="_Toc1482"/>
      <w:bookmarkStart w:id="48" w:name="_Toc1947"/>
      <w:bookmarkStart w:id="49" w:name="_Toc326786897"/>
      <w:bookmarkStart w:id="50" w:name="_Toc256519703"/>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44"/>
          <w:sz w:val="28"/>
          <w:szCs w:val="28"/>
          <w:highlight w:val="none"/>
          <w:lang w:val="en-US" w:eastAsia="zh-CN" w:bidi="ar-SA"/>
        </w:rPr>
      </w:pPr>
      <w:r>
        <w:rPr>
          <w:rFonts w:hint="eastAsia" w:ascii="宋体" w:hAnsi="宋体" w:eastAsia="宋体" w:cs="宋体"/>
          <w:b/>
          <w:bCs/>
          <w:color w:val="auto"/>
          <w:kern w:val="44"/>
          <w:sz w:val="28"/>
          <w:szCs w:val="28"/>
          <w:highlight w:val="none"/>
          <w:lang w:val="en-US" w:eastAsia="zh-CN" w:bidi="ar-SA"/>
        </w:rPr>
        <w:t>第五章  采购合同</w:t>
      </w:r>
      <w:bookmarkEnd w:id="46"/>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left="0" w:leftChars="0" w:firstLine="0" w:firstLineChars="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以实际合同为准</w:t>
      </w:r>
      <w:r>
        <w:rPr>
          <w:rFonts w:hint="eastAsia" w:ascii="宋体" w:hAnsi="宋体" w:eastAsia="宋体" w:cs="宋体"/>
          <w:sz w:val="21"/>
          <w:szCs w:val="21"/>
          <w:highlight w:val="none"/>
          <w:lang w:eastAsia="zh-CN"/>
        </w:rPr>
        <w:t>）</w:t>
      </w:r>
    </w:p>
    <w:p>
      <w:pPr>
        <w:pageBreakBefore w:val="0"/>
        <w:kinsoku/>
        <w:overflowPunct/>
        <w:topLinePunct w:val="0"/>
        <w:bidi w:val="0"/>
        <w:spacing w:beforeAutospacing="0" w:afterAutospacing="0" w:line="360" w:lineRule="auto"/>
        <w:rPr>
          <w:rFonts w:hint="eastAsia" w:ascii="宋体" w:hAnsi="宋体" w:eastAsia="宋体" w:cs="宋体"/>
          <w:color w:val="auto"/>
          <w:sz w:val="32"/>
          <w:szCs w:val="32"/>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31"/>
        <w:pageBreakBefore w:val="0"/>
        <w:kinsoku/>
        <w:overflowPunct/>
        <w:topLinePunct w:val="0"/>
        <w:bidi w:val="0"/>
        <w:spacing w:beforeAutospacing="0" w:afterAutospacing="0" w:line="360" w:lineRule="auto"/>
        <w:rPr>
          <w:rFonts w:hint="eastAsia" w:ascii="宋体" w:hAnsi="宋体" w:eastAsia="宋体" w:cs="宋体"/>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44"/>
          <w:sz w:val="32"/>
          <w:szCs w:val="32"/>
          <w:highlight w:val="none"/>
          <w:lang w:val="en-US" w:eastAsia="zh-CN" w:bidi="ar-SA"/>
        </w:rPr>
      </w:pPr>
      <w:bookmarkStart w:id="51" w:name="_Toc2638"/>
      <w:r>
        <w:rPr>
          <w:rFonts w:hint="eastAsia" w:ascii="宋体" w:hAnsi="宋体" w:eastAsia="宋体" w:cs="宋体"/>
          <w:b/>
          <w:bCs/>
          <w:color w:val="auto"/>
          <w:kern w:val="44"/>
          <w:sz w:val="32"/>
          <w:szCs w:val="32"/>
          <w:highlight w:val="none"/>
          <w:lang w:val="en-US" w:eastAsia="zh-CN" w:bidi="ar-SA"/>
        </w:rPr>
        <w:t>第六章  投标文件格式</w:t>
      </w:r>
      <w:bookmarkEnd w:id="47"/>
      <w:bookmarkEnd w:id="48"/>
      <w:bookmarkEnd w:id="51"/>
    </w:p>
    <w:p>
      <w:pPr>
        <w:pageBreakBefore w:val="0"/>
        <w:kinsoku/>
        <w:overflowPunct/>
        <w:topLinePunct w:val="0"/>
        <w:bidi w:val="0"/>
        <w:spacing w:beforeAutospacing="0" w:afterAutospacing="0" w:line="360" w:lineRule="auto"/>
        <w:rPr>
          <w:rFonts w:hint="eastAsia" w:ascii="宋体" w:hAnsi="宋体" w:eastAsia="宋体" w:cs="宋体"/>
          <w:color w:val="auto"/>
          <w:sz w:val="24"/>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32"/>
          <w:szCs w:val="32"/>
          <w:highlight w:val="none"/>
        </w:rPr>
      </w:pPr>
      <w:bookmarkStart w:id="52" w:name="_Toc13604"/>
      <w:r>
        <w:rPr>
          <w:rFonts w:hint="eastAsia" w:ascii="宋体" w:hAnsi="宋体" w:eastAsia="宋体" w:cs="宋体"/>
          <w:b/>
          <w:bCs/>
          <w:color w:val="auto"/>
          <w:sz w:val="32"/>
          <w:szCs w:val="32"/>
          <w:highlight w:val="none"/>
        </w:rPr>
        <w:t>目    录</w:t>
      </w:r>
      <w:bookmarkEnd w:id="52"/>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rPr>
      </w:pPr>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3" w:name="_Toc11308"/>
      <w:r>
        <w:rPr>
          <w:rFonts w:hint="eastAsia" w:ascii="宋体" w:hAnsi="宋体" w:eastAsia="宋体" w:cs="宋体"/>
          <w:color w:val="auto"/>
          <w:sz w:val="24"/>
          <w:highlight w:val="none"/>
        </w:rPr>
        <w:t>附件1投标文件封面（格式）</w:t>
      </w:r>
      <w:bookmarkEnd w:id="53"/>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4" w:name="_Toc25345"/>
      <w:r>
        <w:rPr>
          <w:rFonts w:hint="eastAsia" w:ascii="宋体" w:hAnsi="宋体" w:eastAsia="宋体" w:cs="宋体"/>
          <w:color w:val="auto"/>
          <w:sz w:val="24"/>
          <w:highlight w:val="none"/>
        </w:rPr>
        <w:t>附件2 投标书（格式）</w:t>
      </w:r>
      <w:bookmarkEnd w:id="54"/>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5" w:name="_Toc10217"/>
      <w:r>
        <w:rPr>
          <w:rFonts w:hint="eastAsia" w:ascii="宋体" w:hAnsi="宋体" w:eastAsia="宋体" w:cs="宋体"/>
          <w:color w:val="auto"/>
          <w:sz w:val="24"/>
          <w:highlight w:val="none"/>
        </w:rPr>
        <w:t>附件3 开标一览表（格式）</w:t>
      </w:r>
      <w:bookmarkEnd w:id="55"/>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6" w:name="_Toc9579"/>
      <w:r>
        <w:rPr>
          <w:rFonts w:hint="eastAsia" w:ascii="宋体" w:hAnsi="宋体" w:eastAsia="宋体" w:cs="宋体"/>
          <w:color w:val="auto"/>
          <w:sz w:val="24"/>
          <w:highlight w:val="none"/>
        </w:rPr>
        <w:t>附件4 报价明细表（格式）</w:t>
      </w:r>
      <w:bookmarkEnd w:id="56"/>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lang w:val="en-US" w:eastAsia="zh-CN"/>
        </w:rPr>
      </w:pPr>
      <w:bookmarkStart w:id="57" w:name="_Toc28392"/>
      <w:r>
        <w:rPr>
          <w:rFonts w:hint="eastAsia" w:ascii="宋体" w:hAnsi="宋体" w:eastAsia="宋体" w:cs="宋体"/>
          <w:color w:val="auto"/>
          <w:sz w:val="24"/>
          <w:highlight w:val="none"/>
        </w:rPr>
        <w:t>附件5</w:t>
      </w:r>
      <w:bookmarkEnd w:id="57"/>
      <w:r>
        <w:rPr>
          <w:rFonts w:hint="eastAsia" w:ascii="宋体" w:hAnsi="宋体" w:eastAsia="宋体" w:cs="宋体"/>
          <w:color w:val="auto"/>
          <w:sz w:val="24"/>
          <w:highlight w:val="none"/>
        </w:rPr>
        <w:t>技术响应表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格式）</w:t>
      </w:r>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8" w:name="_Toc6234"/>
      <w:r>
        <w:rPr>
          <w:rFonts w:hint="eastAsia" w:ascii="宋体" w:hAnsi="宋体" w:eastAsia="宋体" w:cs="宋体"/>
          <w:color w:val="auto"/>
          <w:sz w:val="24"/>
          <w:highlight w:val="none"/>
        </w:rPr>
        <w:t xml:space="preserve">附件6 </w:t>
      </w:r>
      <w:bookmarkEnd w:id="58"/>
      <w:r>
        <w:rPr>
          <w:rFonts w:hint="eastAsia" w:ascii="宋体" w:hAnsi="宋体" w:eastAsia="宋体" w:cs="宋体"/>
          <w:color w:val="auto"/>
          <w:sz w:val="24"/>
          <w:highlight w:val="none"/>
        </w:rPr>
        <w:t>商务响应</w:t>
      </w:r>
      <w:r>
        <w:rPr>
          <w:rFonts w:hint="eastAsia" w:ascii="宋体" w:hAnsi="宋体" w:eastAsia="宋体" w:cs="宋体"/>
          <w:color w:val="auto"/>
          <w:sz w:val="24"/>
          <w:highlight w:val="none"/>
          <w:lang w:val="en-US" w:eastAsia="zh-CN"/>
        </w:rPr>
        <w:t>部分</w:t>
      </w:r>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59"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9"/>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0"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0"/>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1" w:name="_Toc31857"/>
      <w:r>
        <w:rPr>
          <w:rFonts w:hint="eastAsia" w:ascii="宋体" w:hAnsi="宋体" w:eastAsia="宋体" w:cs="宋体"/>
          <w:color w:val="auto"/>
          <w:sz w:val="24"/>
          <w:highlight w:val="none"/>
        </w:rPr>
        <w:t>附件9 证明文件</w:t>
      </w:r>
      <w:bookmarkEnd w:id="61"/>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bookmarkStart w:id="62" w:name="_Toc23116"/>
      <w:r>
        <w:rPr>
          <w:rFonts w:hint="eastAsia" w:ascii="宋体" w:hAnsi="宋体" w:eastAsia="宋体" w:cs="宋体"/>
          <w:color w:val="auto"/>
          <w:sz w:val="24"/>
          <w:highlight w:val="none"/>
        </w:rPr>
        <w:t>附件10 供应商承诺书（格式）</w:t>
      </w:r>
      <w:bookmarkEnd w:id="62"/>
    </w:p>
    <w:p>
      <w:pPr>
        <w:pageBreakBefore w:val="0"/>
        <w:kinsoku/>
        <w:overflowPunct/>
        <w:topLinePunct w:val="0"/>
        <w:bidi w:val="0"/>
        <w:snapToGrid w:val="0"/>
        <w:spacing w:beforeAutospacing="0" w:afterAutospacing="0"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附件11  供应商信用承诺函（格式）</w:t>
      </w:r>
    </w:p>
    <w:p>
      <w:pPr>
        <w:pageBreakBefore w:val="0"/>
        <w:widowControl/>
        <w:kinsoku/>
        <w:wordWrap w:val="0"/>
        <w:overflowPunct/>
        <w:topLinePunct w:val="0"/>
        <w:bidi w:val="0"/>
        <w:snapToGrid w:val="0"/>
        <w:spacing w:beforeAutospacing="0" w:afterAutospacing="0" w:line="360" w:lineRule="auto"/>
        <w:ind w:firstLine="482" w:firstLineChars="200"/>
        <w:jc w:val="center"/>
        <w:rPr>
          <w:rFonts w:hint="eastAsia" w:ascii="宋体" w:hAnsi="宋体" w:eastAsia="宋体" w:cs="宋体"/>
          <w:b/>
          <w:bCs/>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2" w:firstLineChars="200"/>
        <w:jc w:val="center"/>
        <w:rPr>
          <w:rFonts w:hint="eastAsia" w:ascii="宋体" w:hAnsi="宋体" w:eastAsia="宋体" w:cs="宋体"/>
          <w:b/>
          <w:bCs/>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2" w:firstLineChars="200"/>
        <w:jc w:val="center"/>
        <w:rPr>
          <w:rFonts w:hint="eastAsia" w:ascii="宋体" w:hAnsi="宋体" w:eastAsia="宋体" w:cs="宋体"/>
          <w:b/>
          <w:bCs/>
          <w:color w:val="auto"/>
          <w:kern w:val="0"/>
          <w:sz w:val="24"/>
          <w:highlight w:val="none"/>
        </w:rPr>
      </w:pPr>
    </w:p>
    <w:p>
      <w:pPr>
        <w:pStyle w:val="3"/>
        <w:pageBreakBefore w:val="0"/>
        <w:kinsoku/>
        <w:overflowPunct/>
        <w:topLinePunct w:val="0"/>
        <w:bidi w:val="0"/>
        <w:spacing w:beforeAutospacing="0" w:afterAutospacing="0" w:line="360" w:lineRule="auto"/>
        <w:rPr>
          <w:rFonts w:hint="eastAsia" w:ascii="宋体" w:hAnsi="宋体" w:eastAsia="宋体" w:cs="宋体"/>
          <w:b/>
          <w:bCs/>
          <w:color w:val="auto"/>
          <w:kern w:val="0"/>
          <w:sz w:val="24"/>
          <w:highlight w:val="none"/>
        </w:rPr>
      </w:pPr>
    </w:p>
    <w:p>
      <w:pPr>
        <w:pStyle w:val="49"/>
        <w:pageBreakBefore w:val="0"/>
        <w:kinsoku/>
        <w:overflowPunct/>
        <w:topLinePunct w:val="0"/>
        <w:bidi w:val="0"/>
        <w:spacing w:beforeAutospacing="0" w:afterAutospacing="0" w:line="360" w:lineRule="auto"/>
        <w:rPr>
          <w:rFonts w:hint="eastAsia" w:ascii="宋体" w:hAnsi="宋体" w:eastAsia="宋体" w:cs="宋体"/>
          <w:b/>
          <w:bCs/>
          <w:color w:val="auto"/>
          <w:highlight w:val="none"/>
        </w:rPr>
      </w:pPr>
    </w:p>
    <w:p>
      <w:pPr>
        <w:pStyle w:val="49"/>
        <w:pageBreakBefore w:val="0"/>
        <w:kinsoku/>
        <w:overflowPunct/>
        <w:topLinePunct w:val="0"/>
        <w:bidi w:val="0"/>
        <w:spacing w:beforeAutospacing="0" w:afterAutospacing="0" w:line="360" w:lineRule="auto"/>
        <w:rPr>
          <w:rFonts w:hint="eastAsia" w:ascii="宋体" w:hAnsi="宋体" w:eastAsia="宋体" w:cs="宋体"/>
          <w:b/>
          <w:bCs/>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4"/>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Style w:val="5"/>
        <w:pageBreakBefore w:val="0"/>
        <w:kinsoku/>
        <w:overflowPunct/>
        <w:topLinePunct w:val="0"/>
        <w:bidi w:val="0"/>
        <w:spacing w:before="0" w:beforeAutospacing="0" w:after="0" w:afterAutospacing="0" w:line="360" w:lineRule="auto"/>
        <w:rPr>
          <w:rFonts w:hint="eastAsia" w:ascii="宋体" w:hAnsi="宋体" w:eastAsia="宋体" w:cs="宋体"/>
          <w:color w:val="auto"/>
          <w:highlight w:val="none"/>
        </w:rPr>
      </w:pPr>
      <w:bookmarkStart w:id="63" w:name="_Toc24743"/>
      <w:bookmarkStart w:id="64" w:name="_Toc31798"/>
      <w:r>
        <w:rPr>
          <w:rFonts w:hint="eastAsia" w:ascii="宋体" w:hAnsi="宋体" w:eastAsia="宋体" w:cs="宋体"/>
          <w:color w:val="auto"/>
          <w:highlight w:val="none"/>
        </w:rPr>
        <w:t>附件1               投标文件封面（格式）</w:t>
      </w:r>
      <w:bookmarkEnd w:id="63"/>
      <w:bookmarkEnd w:id="64"/>
    </w:p>
    <w:p>
      <w:pPr>
        <w:pageBreakBefore w:val="0"/>
        <w:widowControl/>
        <w:kinsoku/>
        <w:wordWrap w:val="0"/>
        <w:overflowPunct/>
        <w:topLinePunct w:val="0"/>
        <w:bidi w:val="0"/>
        <w:spacing w:beforeAutospacing="0" w:afterAutospacing="0" w:line="360" w:lineRule="auto"/>
        <w:ind w:firstLine="482" w:firstLineChars="200"/>
        <w:jc w:val="center"/>
        <w:rPr>
          <w:rFonts w:hint="eastAsia" w:ascii="宋体" w:hAnsi="宋体" w:eastAsia="宋体" w:cs="宋体"/>
          <w:b/>
          <w:color w:val="auto"/>
          <w:kern w:val="0"/>
          <w:sz w:val="24"/>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p>
    <w:p>
      <w:pPr>
        <w:pageBreakBefore w:val="0"/>
        <w:kinsoku/>
        <w:overflowPunct/>
        <w:topLinePunct w:val="0"/>
        <w:bidi w:val="0"/>
        <w:snapToGrid w:val="0"/>
        <w:spacing w:beforeAutospacing="0" w:afterAutospacing="0"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sz w:val="28"/>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pageBreakBefore w:val="0"/>
        <w:kinsoku/>
        <w:overflowPunct/>
        <w:topLinePunct w:val="0"/>
        <w:bidi w:val="0"/>
        <w:spacing w:beforeAutospacing="0" w:afterAutospacing="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pageBreakBefore w:val="0"/>
        <w:widowControl/>
        <w:kinsoku/>
        <w:wordWrap w:val="0"/>
        <w:overflowPunct/>
        <w:topLinePunct w:val="0"/>
        <w:bidi w:val="0"/>
        <w:spacing w:beforeAutospacing="0" w:afterAutospacing="0" w:line="360" w:lineRule="auto"/>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pPr>
        <w:pageBreakBefore w:val="0"/>
        <w:widowControl/>
        <w:kinsoku/>
        <w:wordWrap w:val="0"/>
        <w:overflowPunct/>
        <w:topLinePunct w:val="0"/>
        <w:bidi w:val="0"/>
        <w:spacing w:beforeAutospacing="0" w:afterAutospacing="0" w:line="360" w:lineRule="auto"/>
        <w:ind w:firstLine="482" w:firstLineChars="200"/>
        <w:jc w:val="left"/>
        <w:rPr>
          <w:rFonts w:hint="eastAsia" w:ascii="宋体" w:hAnsi="宋体" w:eastAsia="宋体" w:cs="宋体"/>
          <w:b/>
          <w:color w:val="auto"/>
          <w:kern w:val="0"/>
          <w:sz w:val="24"/>
          <w:highlight w:val="none"/>
        </w:rPr>
      </w:pPr>
    </w:p>
    <w:p>
      <w:pPr>
        <w:pStyle w:val="3"/>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b/>
          <w:color w:val="auto"/>
          <w:kern w:val="0"/>
          <w:sz w:val="24"/>
          <w:highlight w:val="none"/>
        </w:rPr>
        <w:br w:type="page"/>
      </w:r>
    </w:p>
    <w:p>
      <w:pPr>
        <w:pStyle w:val="5"/>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bookmarkStart w:id="65" w:name="_Toc14560"/>
      <w:bookmarkStart w:id="66" w:name="_Toc8818"/>
      <w:r>
        <w:rPr>
          <w:rFonts w:hint="eastAsia" w:ascii="宋体" w:hAnsi="宋体" w:eastAsia="宋体" w:cs="宋体"/>
          <w:color w:val="auto"/>
          <w:highlight w:val="none"/>
        </w:rPr>
        <w:t>附件2投  标  书（格式）</w:t>
      </w:r>
      <w:bookmarkEnd w:id="65"/>
      <w:bookmarkEnd w:id="66"/>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pPr>
        <w:pageBreakBefore w:val="0"/>
        <w:widowControl/>
        <w:kinsoku/>
        <w:wordWrap w:val="0"/>
        <w:overflowPunct/>
        <w:topLinePunct w:val="0"/>
        <w:bidi w:val="0"/>
        <w:spacing w:beforeAutospacing="0" w:afterAutospacing="0" w:line="360" w:lineRule="auto"/>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（投标人名称）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4、商务响应表。</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5、证明文件。</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6、抵制商业贿赂承诺。为便于贵方公正、择优地确定中标供应商及其投标产品和服务，我方就本次投标有关事项郑重声明并宣布同意如下：</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文件中规定的参加政府采购活动的投标人应当具备的条件。我方愿意向贵方提供任何与本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5、我方保证尊重评标委员会的评标结果，完全理解本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8、如果我方存在投标人须知第9.3项所述情况，同意被认定为在经营活动中有重大违法记录。</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9、如果发生投标人须知第2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10、如果发生投标人须知第2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.5项所述情况，同意评标委员会认定我方的行为属于串通投标的行为，并自愿接受监管部门的处罚。</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并缴纳服务费。否则，视为我方中标后自动放弃中标资格，承担由此引起的一切后果。</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30</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pPr>
        <w:pageBreakBefore w:val="0"/>
        <w:widowControl/>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p>
    <w:p>
      <w:pPr>
        <w:pageBreakBefore w:val="0"/>
        <w:widowControl/>
        <w:tabs>
          <w:tab w:val="left" w:pos="939"/>
        </w:tabs>
        <w:kinsoku/>
        <w:wordWrap w:val="0"/>
        <w:overflowPunct/>
        <w:topLinePunct w:val="0"/>
        <w:bidi w:val="0"/>
        <w:snapToGrid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p>
    <w:p>
      <w:pPr>
        <w:pageBreakBefore w:val="0"/>
        <w:widowControl/>
        <w:kinsoku/>
        <w:wordWrap w:val="0"/>
        <w:overflowPunct/>
        <w:topLinePunct w:val="0"/>
        <w:bidi w:val="0"/>
        <w:spacing w:beforeAutospacing="0" w:afterAutospacing="0" w:line="360" w:lineRule="auto"/>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投标人代表签字： </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投标人：（全称并加盖公章）</w:t>
      </w:r>
    </w:p>
    <w:p>
      <w:pPr>
        <w:pageBreakBefore w:val="0"/>
        <w:widowControl/>
        <w:kinsoku/>
        <w:wordWrap w:val="0"/>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Cs w:val="21"/>
          <w:highlight w:val="none"/>
        </w:rPr>
      </w:pPr>
    </w:p>
    <w:p>
      <w:pPr>
        <w:pageBreakBefore w:val="0"/>
        <w:widowControl/>
        <w:kinsoku/>
        <w:overflowPunct/>
        <w:topLinePunct w:val="0"/>
        <w:bidi w:val="0"/>
        <w:snapToGrid w:val="0"/>
        <w:spacing w:beforeAutospacing="0" w:afterAutospacing="0" w:line="360" w:lineRule="auto"/>
        <w:ind w:firstLine="336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b/>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b/>
          <w:color w:val="auto"/>
          <w:kern w:val="0"/>
          <w:sz w:val="24"/>
          <w:highlight w:val="none"/>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sz w:val="24"/>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sz w:val="28"/>
          <w:szCs w:val="28"/>
          <w:highlight w:val="none"/>
        </w:rPr>
        <w:br w:type="page"/>
      </w:r>
    </w:p>
    <w:p>
      <w:pPr>
        <w:pStyle w:val="5"/>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bookmarkStart w:id="67" w:name="_Toc7838"/>
      <w:r>
        <w:rPr>
          <w:rFonts w:hint="eastAsia" w:ascii="宋体" w:hAnsi="宋体" w:eastAsia="宋体" w:cs="宋体"/>
          <w:color w:val="auto"/>
          <w:highlight w:val="none"/>
        </w:rPr>
        <w:t>附件3开标一览表</w:t>
      </w:r>
      <w:bookmarkEnd w:id="67"/>
    </w:p>
    <w:p>
      <w:pPr>
        <w:pageBreakBefore w:val="0"/>
        <w:kinsoku/>
        <w:overflowPunct/>
        <w:topLinePunct w:val="0"/>
        <w:bidi w:val="0"/>
        <w:spacing w:beforeAutospacing="0" w:afterAutospacing="0" w:line="360" w:lineRule="auto"/>
        <w:jc w:val="right"/>
        <w:rPr>
          <w:rFonts w:hint="eastAsia" w:ascii="宋体" w:hAnsi="宋体" w:eastAsia="宋体" w:cs="宋体"/>
          <w:color w:val="auto"/>
          <w:highlight w:val="none"/>
        </w:rPr>
      </w:pPr>
      <w:r>
        <w:rPr>
          <w:rFonts w:hint="eastAsia" w:ascii="宋体" w:hAnsi="宋体" w:eastAsia="宋体" w:cs="宋体"/>
          <w:color w:val="auto"/>
          <w:sz w:val="24"/>
          <w:highlight w:val="none"/>
        </w:rPr>
        <w:t>单位：人民币元</w:t>
      </w: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vAlign w:val="center"/>
          </w:tcPr>
          <w:p>
            <w:pPr>
              <w:pageBreakBefore w:val="0"/>
              <w:kinsoku/>
              <w:overflowPunct/>
              <w:topLinePunct w:val="0"/>
              <w:bidi w:val="0"/>
              <w:spacing w:beforeAutospacing="0" w:afterAutospacing="0" w:line="360" w:lineRule="auto"/>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投标人名称</w:t>
            </w:r>
          </w:p>
        </w:tc>
        <w:tc>
          <w:tcPr>
            <w:tcW w:w="7708" w:type="dxa"/>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报价</w:t>
            </w:r>
          </w:p>
        </w:tc>
        <w:tc>
          <w:tcPr>
            <w:tcW w:w="7708" w:type="dxa"/>
            <w:vAlign w:val="center"/>
          </w:tcPr>
          <w:p>
            <w:pPr>
              <w:pageBreakBefore w:val="0"/>
              <w:kinsoku/>
              <w:overflowPunct/>
              <w:topLinePunct w:val="0"/>
              <w:bidi w:val="0"/>
              <w:spacing w:beforeAutospacing="0" w:afterAutospacing="0"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        元</w:t>
            </w:r>
          </w:p>
          <w:p>
            <w:pPr>
              <w:pageBreakBefore w:val="0"/>
              <w:kinsoku/>
              <w:overflowPunct/>
              <w:topLinePunct w:val="0"/>
              <w:bidi w:val="0"/>
              <w:spacing w:beforeAutospacing="0" w:afterAutospacing="0"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交货期</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交货地点</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投标有效期</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7708" w:type="dxa"/>
            <w:vAlign w:val="bottom"/>
          </w:tcPr>
          <w:p>
            <w:pPr>
              <w:pageBreakBefore w:val="0"/>
              <w:kinsoku/>
              <w:overflowPunct/>
              <w:topLinePunct w:val="0"/>
              <w:bidi w:val="0"/>
              <w:spacing w:beforeAutospacing="0" w:afterAutospacing="0" w:line="360" w:lineRule="auto"/>
              <w:ind w:firstLine="1155" w:firstLineChars="550"/>
              <w:rPr>
                <w:rFonts w:hint="eastAsia" w:ascii="宋体" w:hAnsi="宋体" w:eastAsia="宋体" w:cs="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vAlign w:val="center"/>
          </w:tcPr>
          <w:p>
            <w:pPr>
              <w:pStyle w:val="20"/>
              <w:pageBreakBefore w:val="0"/>
              <w:kinsoku/>
              <w:overflowPunct/>
              <w:topLinePunct w:val="0"/>
              <w:bidi w:val="0"/>
              <w:spacing w:beforeAutospacing="0" w:afterAutospacing="0" w:line="360" w:lineRule="auto"/>
              <w:ind w:left="0" w:leftChars="0"/>
              <w:rPr>
                <w:rFonts w:hint="eastAsia" w:ascii="宋体" w:hAnsi="宋体" w:eastAsia="宋体" w:cs="宋体"/>
                <w:color w:val="auto"/>
                <w:sz w:val="21"/>
                <w:szCs w:val="21"/>
                <w:highlight w:val="none"/>
              </w:rPr>
            </w:pPr>
          </w:p>
        </w:tc>
      </w:tr>
    </w:tbl>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1、报价一经涂改，应在涂改处加盖单位公章或投标人代表签字或盖章，否则其投标作无效标处理。</w:t>
      </w:r>
    </w:p>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pPr>
        <w:pageBreakBefore w:val="0"/>
        <w:kinsoku/>
        <w:overflowPunct/>
        <w:topLinePunct w:val="0"/>
        <w:bidi w:val="0"/>
        <w:spacing w:beforeAutospacing="0" w:afterAutospacing="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4、投标人按格式填列，不得自行更改。否则引起的不利后果由投标人承担。</w:t>
      </w:r>
    </w:p>
    <w:p>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bookmarkStart w:id="68" w:name="_Toc20877"/>
      <w:bookmarkStart w:id="69" w:name="_Toc11620"/>
    </w:p>
    <w:p>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投标人（全称并加盖公章）：</w:t>
      </w:r>
      <w:bookmarkEnd w:id="68"/>
      <w:bookmarkEnd w:id="69"/>
    </w:p>
    <w:p>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bookmarkStart w:id="70" w:name="_Toc12222"/>
      <w:bookmarkStart w:id="71" w:name="_Toc625"/>
      <w:r>
        <w:rPr>
          <w:rFonts w:hint="eastAsia" w:ascii="宋体" w:hAnsi="宋体" w:eastAsia="宋体" w:cs="宋体"/>
          <w:color w:val="auto"/>
          <w:szCs w:val="21"/>
          <w:highlight w:val="none"/>
        </w:rPr>
        <w:t>法定代表人或其委托代理人（签字）：</w:t>
      </w:r>
      <w:bookmarkEnd w:id="70"/>
      <w:bookmarkEnd w:id="71"/>
    </w:p>
    <w:p>
      <w:pPr>
        <w:pageBreakBefore w:val="0"/>
        <w:kinsoku/>
        <w:overflowPunct/>
        <w:topLinePunct w:val="0"/>
        <w:bidi w:val="0"/>
        <w:spacing w:beforeAutospacing="0" w:afterAutospacing="0" w:line="360" w:lineRule="auto"/>
        <w:ind w:firstLine="420" w:firstLineChars="200"/>
        <w:jc w:val="center"/>
        <w:rPr>
          <w:rFonts w:hint="eastAsia" w:ascii="宋体" w:hAnsi="宋体" w:eastAsia="宋体" w:cs="宋体"/>
          <w:color w:val="auto"/>
          <w:szCs w:val="21"/>
          <w:highlight w:val="none"/>
        </w:rPr>
      </w:pPr>
      <w:bookmarkStart w:id="72" w:name="_Toc9950"/>
      <w:bookmarkStart w:id="73" w:name="_Toc1330"/>
      <w:r>
        <w:rPr>
          <w:rFonts w:hint="eastAsia" w:ascii="宋体" w:hAnsi="宋体" w:eastAsia="宋体" w:cs="宋体"/>
          <w:color w:val="auto"/>
          <w:szCs w:val="21"/>
          <w:highlight w:val="none"/>
        </w:rPr>
        <w:t>年  月  日</w:t>
      </w:r>
      <w:bookmarkEnd w:id="72"/>
      <w:bookmarkEnd w:id="73"/>
    </w:p>
    <w:p>
      <w:pPr>
        <w:pStyle w:val="5"/>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End w:id="49"/>
      <w:bookmarkEnd w:id="50"/>
      <w:bookmarkStart w:id="74" w:name="_Toc24984"/>
      <w:bookmarkStart w:id="75" w:name="_Toc22004"/>
      <w:r>
        <w:rPr>
          <w:rFonts w:hint="eastAsia" w:ascii="宋体" w:hAnsi="宋体" w:eastAsia="宋体" w:cs="宋体"/>
          <w:color w:val="auto"/>
          <w:highlight w:val="none"/>
        </w:rPr>
        <w:t>附件4报价明细表</w:t>
      </w:r>
      <w:bookmarkEnd w:id="74"/>
      <w:bookmarkEnd w:id="75"/>
    </w:p>
    <w:p>
      <w:pPr>
        <w:pageBreakBefore w:val="0"/>
        <w:widowControl/>
        <w:kinsoku/>
        <w:wordWrap w:val="0"/>
        <w:overflowPunct/>
        <w:topLinePunct w:val="0"/>
        <w:bidi w:val="0"/>
        <w:snapToGrid w:val="0"/>
        <w:spacing w:beforeAutospacing="0" w:afterAutospacing="0" w:line="360" w:lineRule="auto"/>
        <w:ind w:left="-3" w:leftChars="-72" w:right="-817" w:rightChars="-389" w:hanging="148" w:hangingChars="62"/>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金额单位：人民币（元）</w:t>
      </w:r>
    </w:p>
    <w:tbl>
      <w:tblPr>
        <w:tblStyle w:val="32"/>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pageBreakBefore w:val="0"/>
              <w:widowControl/>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highlight w:val="none"/>
              </w:rPr>
              <w:t>规格/</w:t>
            </w:r>
            <w:r>
              <w:rPr>
                <w:rFonts w:hint="eastAsia" w:ascii="宋体" w:hAnsi="宋体" w:eastAsia="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pageBreakBefore w:val="0"/>
              <w:widowControl/>
              <w:tabs>
                <w:tab w:val="left" w:pos="1418"/>
              </w:tabs>
              <w:kinsoku/>
              <w:overflowPunct/>
              <w:topLinePunct w:val="0"/>
              <w:bidi w:val="0"/>
              <w:snapToGrid w:val="0"/>
              <w:spacing w:beforeAutospacing="0" w:afterAutospacing="0" w:line="360" w:lineRule="auto"/>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pageBreakBefore w:val="0"/>
              <w:widowControl/>
              <w:tabs>
                <w:tab w:val="left" w:pos="1418"/>
              </w:tabs>
              <w:kinsoku/>
              <w:overflowPunct/>
              <w:topLinePunct w:val="0"/>
              <w:bidi w:val="0"/>
              <w:snapToGrid w:val="0"/>
              <w:spacing w:beforeAutospacing="0" w:afterAutospacing="0" w:line="360" w:lineRule="auto"/>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rPr>
              <w:t>投标总价(</w:t>
            </w:r>
            <w:r>
              <w:rPr>
                <w:rFonts w:hint="eastAsia" w:ascii="宋体" w:hAnsi="宋体" w:eastAsia="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pageBreakBefore w:val="0"/>
              <w:widowControl/>
              <w:tabs>
                <w:tab w:val="left" w:pos="1418"/>
              </w:tabs>
              <w:kinsoku/>
              <w:overflowPunct/>
              <w:topLinePunct w:val="0"/>
              <w:bidi w:val="0"/>
              <w:snapToGrid w:val="0"/>
              <w:spacing w:beforeAutospacing="0" w:afterAutospacing="0" w:line="360" w:lineRule="auto"/>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szCs w:val="21"/>
                <w:highlight w:val="none"/>
              </w:rPr>
              <w:t>￥</w:t>
            </w:r>
          </w:p>
        </w:tc>
      </w:tr>
    </w:tbl>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投标人代表签字： </w:t>
      </w:r>
    </w:p>
    <w:p>
      <w:pPr>
        <w:pageBreakBefore w:val="0"/>
        <w:widowControl/>
        <w:kinsoku/>
        <w:wordWrap w:val="0"/>
        <w:overflowPunct/>
        <w:topLinePunct w:val="0"/>
        <w:bidi w:val="0"/>
        <w:snapToGrid w:val="0"/>
        <w:spacing w:beforeAutospacing="0" w:afterAutospacing="0" w:line="360" w:lineRule="auto"/>
        <w:ind w:firstLine="2760" w:firstLineChars="115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投标人：（全称并加盖公章）</w:t>
      </w:r>
    </w:p>
    <w:p>
      <w:pPr>
        <w:pageBreakBefore w:val="0"/>
        <w:widowControl/>
        <w:kinsoku/>
        <w:wordWrap w:val="0"/>
        <w:overflowPunct/>
        <w:topLinePunct w:val="0"/>
        <w:bidi w:val="0"/>
        <w:snapToGrid w:val="0"/>
        <w:spacing w:beforeAutospacing="0" w:afterAutospacing="0" w:line="360" w:lineRule="auto"/>
        <w:ind w:firstLine="1040" w:firstLineChars="200"/>
        <w:jc w:val="left"/>
        <w:rPr>
          <w:rFonts w:hint="eastAsia" w:ascii="宋体" w:hAnsi="宋体" w:eastAsia="宋体" w:cs="宋体"/>
          <w:color w:val="auto"/>
          <w:kern w:val="0"/>
          <w:sz w:val="52"/>
          <w:szCs w:val="52"/>
          <w:highlight w:val="none"/>
          <w:u w:val="single"/>
        </w:rPr>
      </w:pPr>
    </w:p>
    <w:p>
      <w:pPr>
        <w:pageBreakBefore w:val="0"/>
        <w:widowControl/>
        <w:kinsoku/>
        <w:wordWrap w:val="0"/>
        <w:overflowPunct/>
        <w:topLinePunct w:val="0"/>
        <w:bidi w:val="0"/>
        <w:spacing w:beforeAutospacing="0" w:afterAutospacing="0" w:line="360" w:lineRule="auto"/>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keepNext w:val="0"/>
        <w:keepLines w:val="0"/>
        <w:widowControl/>
        <w:suppressLineNumbers w:val="0"/>
        <w:jc w:val="center"/>
        <w:rPr>
          <w:rFonts w:hint="eastAsia" w:ascii="宋体" w:hAnsi="宋体" w:eastAsia="宋体" w:cs="宋体"/>
          <w:b/>
          <w:bCs/>
          <w:snapToGrid w:val="0"/>
          <w:color w:val="000000"/>
          <w:kern w:val="0"/>
          <w:sz w:val="31"/>
          <w:szCs w:val="31"/>
          <w:lang w:val="en-US" w:eastAsia="zh-CN" w:bidi="ar"/>
        </w:rPr>
      </w:pPr>
    </w:p>
    <w:p>
      <w:pPr>
        <w:bidi w:val="0"/>
        <w:rPr>
          <w:rFonts w:hint="eastAsia" w:ascii="宋体" w:hAnsi="宋体" w:eastAsia="宋体" w:cs="宋体"/>
          <w:lang w:val="en-US" w:eastAsia="zh-CN"/>
        </w:rPr>
      </w:pPr>
    </w:p>
    <w:p>
      <w:pPr>
        <w:rPr>
          <w:rFonts w:hint="eastAsia" w:ascii="宋体" w:hAnsi="宋体" w:eastAsia="宋体" w:cs="宋体"/>
        </w:rPr>
      </w:pPr>
    </w:p>
    <w:p>
      <w:pPr>
        <w:pStyle w:val="5"/>
        <w:pageBreakBefore w:val="0"/>
        <w:kinsoku/>
        <w:overflowPunct/>
        <w:topLinePunct w:val="0"/>
        <w:bidi w:val="0"/>
        <w:spacing w:before="0" w:beforeAutospacing="0" w:after="0" w:afterAutospacing="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76" w:name="_Toc15804"/>
      <w:bookmarkStart w:id="77" w:name="_Toc226"/>
      <w:r>
        <w:rPr>
          <w:rFonts w:hint="eastAsia" w:ascii="宋体" w:hAnsi="宋体" w:eastAsia="宋体" w:cs="宋体"/>
          <w:color w:val="auto"/>
          <w:highlight w:val="none"/>
        </w:rPr>
        <w:t>附件5技术响应表（格式）</w:t>
      </w:r>
      <w:bookmarkEnd w:id="76"/>
      <w:bookmarkEnd w:id="77"/>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lang w:val="en-US" w:eastAsia="zh-CN"/>
        </w:rPr>
        <w:t xml:space="preserve"> </w:t>
      </w:r>
    </w:p>
    <w:tbl>
      <w:tblPr>
        <w:tblStyle w:val="33"/>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rPr>
              <w:t>文件要求</w:t>
            </w: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投标文件响应</w:t>
            </w: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71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color w:val="auto"/>
                <w:sz w:val="24"/>
                <w:highlight w:val="none"/>
              </w:rPr>
            </w:pPr>
          </w:p>
        </w:tc>
        <w:tc>
          <w:tcPr>
            <w:tcW w:w="2114"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2273"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c>
          <w:tcPr>
            <w:tcW w:w="1952" w:type="dxa"/>
            <w:vAlign w:val="center"/>
          </w:tcPr>
          <w:p>
            <w:pPr>
              <w:pageBreakBefore w:val="0"/>
              <w:kinsoku/>
              <w:overflowPunct/>
              <w:topLinePunct w:val="0"/>
              <w:bidi w:val="0"/>
              <w:spacing w:beforeAutospacing="0" w:afterAutospacing="0" w:line="360" w:lineRule="auto"/>
              <w:jc w:val="center"/>
              <w:rPr>
                <w:rFonts w:hint="eastAsia" w:ascii="宋体" w:hAnsi="宋体" w:eastAsia="宋体" w:cs="宋体"/>
                <w:bCs/>
                <w:color w:val="auto"/>
                <w:sz w:val="24"/>
                <w:highlight w:val="none"/>
              </w:rPr>
            </w:pPr>
          </w:p>
        </w:tc>
      </w:tr>
    </w:tbl>
    <w:p>
      <w:pPr>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注：投标人必须如实完整填写表格， “偏离情况”是指“正偏离”、“负偏离”或“无偏离”。</w:t>
      </w:r>
    </w:p>
    <w:p>
      <w:pPr>
        <w:pStyle w:val="53"/>
        <w:pageBreakBefore w:val="0"/>
        <w:kinsoku/>
        <w:overflowPunct/>
        <w:topLinePunct w:val="0"/>
        <w:bidi w:val="0"/>
        <w:spacing w:beforeAutospacing="0" w:afterAutospacing="0" w:line="360" w:lineRule="auto"/>
        <w:rPr>
          <w:rFonts w:hint="eastAsia" w:ascii="宋体" w:hAnsi="宋体" w:eastAsia="宋体" w:cs="宋体"/>
          <w:bCs/>
          <w:color w:val="auto"/>
          <w:kern w:val="0"/>
          <w:highlight w:val="none"/>
        </w:rPr>
      </w:pPr>
    </w:p>
    <w:p>
      <w:pPr>
        <w:pStyle w:val="53"/>
        <w:pageBreakBefore w:val="0"/>
        <w:kinsoku/>
        <w:overflowPunct/>
        <w:topLinePunct w:val="0"/>
        <w:bidi w:val="0"/>
        <w:spacing w:beforeAutospacing="0" w:afterAutospacing="0" w:line="360" w:lineRule="auto"/>
        <w:rPr>
          <w:rFonts w:hint="eastAsia" w:ascii="宋体" w:hAnsi="宋体" w:eastAsia="宋体" w:cs="宋体"/>
          <w:bCs/>
          <w:color w:val="auto"/>
          <w:kern w:val="0"/>
          <w:highlight w:val="none"/>
        </w:rPr>
      </w:pPr>
    </w:p>
    <w:p>
      <w:pPr>
        <w:pStyle w:val="53"/>
        <w:pageBreakBefore w:val="0"/>
        <w:kinsoku/>
        <w:overflowPunct/>
        <w:topLinePunct w:val="0"/>
        <w:bidi w:val="0"/>
        <w:spacing w:beforeAutospacing="0" w:afterAutospacing="0" w:line="360" w:lineRule="auto"/>
        <w:rPr>
          <w:rFonts w:hint="eastAsia" w:ascii="宋体" w:hAnsi="宋体" w:eastAsia="宋体" w:cs="宋体"/>
          <w:bCs/>
          <w:color w:val="auto"/>
          <w:kern w:val="0"/>
          <w:highlight w:val="none"/>
        </w:rPr>
      </w:pPr>
    </w:p>
    <w:p>
      <w:pPr>
        <w:pageBreakBefore w:val="0"/>
        <w:widowControl/>
        <w:kinsoku/>
        <w:wordWrap w:val="0"/>
        <w:overflowPunct/>
        <w:topLinePunct w:val="0"/>
        <w:bidi w:val="0"/>
        <w:spacing w:beforeAutospacing="0" w:afterAutospacing="0" w:line="360" w:lineRule="auto"/>
        <w:ind w:firstLine="2760" w:firstLineChars="11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投标人代表签字： </w:t>
      </w:r>
    </w:p>
    <w:p>
      <w:pPr>
        <w:pageBreakBefore w:val="0"/>
        <w:widowControl/>
        <w:kinsoku/>
        <w:wordWrap w:val="0"/>
        <w:overflowPunct/>
        <w:topLinePunct w:val="0"/>
        <w:bidi w:val="0"/>
        <w:snapToGrid w:val="0"/>
        <w:spacing w:beforeAutospacing="0" w:afterAutospacing="0" w:line="360" w:lineRule="auto"/>
        <w:ind w:firstLine="2760" w:firstLineChars="115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投标人：（全称并加盖公章）</w:t>
      </w:r>
    </w:p>
    <w:p>
      <w:pPr>
        <w:pageBreakBefore w:val="0"/>
        <w:widowControl/>
        <w:kinsoku/>
        <w:wordWrap w:val="0"/>
        <w:overflowPunct/>
        <w:topLinePunct w:val="0"/>
        <w:bidi w:val="0"/>
        <w:snapToGrid w:val="0"/>
        <w:spacing w:beforeAutospacing="0" w:afterAutospacing="0" w:line="360" w:lineRule="auto"/>
        <w:ind w:firstLine="1040" w:firstLineChars="200"/>
        <w:jc w:val="left"/>
        <w:rPr>
          <w:rFonts w:hint="eastAsia" w:ascii="宋体" w:hAnsi="宋体" w:eastAsia="宋体" w:cs="宋体"/>
          <w:color w:val="auto"/>
          <w:kern w:val="0"/>
          <w:sz w:val="52"/>
          <w:szCs w:val="52"/>
          <w:highlight w:val="none"/>
          <w:u w:val="single"/>
        </w:rPr>
      </w:pPr>
    </w:p>
    <w:p>
      <w:pPr>
        <w:pageBreakBefore w:val="0"/>
        <w:widowControl/>
        <w:kinsoku/>
        <w:wordWrap w:val="0"/>
        <w:overflowPunct/>
        <w:topLinePunct w:val="0"/>
        <w:bidi w:val="0"/>
        <w:spacing w:beforeAutospacing="0" w:afterAutospacing="0" w:line="360" w:lineRule="auto"/>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widowControl/>
        <w:kinsoku/>
        <w:wordWrap w:val="0"/>
        <w:overflowPunct/>
        <w:topLinePunct w:val="0"/>
        <w:bidi w:val="0"/>
        <w:snapToGrid w:val="0"/>
        <w:spacing w:beforeAutospacing="0" w:afterAutospacing="0" w:line="360" w:lineRule="auto"/>
        <w:jc w:val="left"/>
        <w:outlineLvl w:val="0"/>
        <w:rPr>
          <w:rFonts w:hint="eastAsia" w:ascii="宋体" w:hAnsi="宋体" w:eastAsia="宋体" w:cs="宋体"/>
          <w:b/>
          <w:color w:val="auto"/>
          <w:sz w:val="24"/>
          <w:szCs w:val="24"/>
          <w:highlight w:val="none"/>
          <w:lang w:val="en-US" w:eastAsia="zh-CN"/>
        </w:rPr>
      </w:pPr>
      <w:bookmarkStart w:id="78" w:name="_Toc20420"/>
      <w:bookmarkStart w:id="79" w:name="_Toc29960"/>
      <w:r>
        <w:rPr>
          <w:rFonts w:hint="eastAsia" w:ascii="宋体" w:hAnsi="宋体" w:eastAsia="宋体" w:cs="宋体"/>
          <w:b/>
          <w:color w:val="auto"/>
          <w:sz w:val="28"/>
          <w:highlight w:val="none"/>
        </w:rPr>
        <w:t xml:space="preserve">附件6              </w:t>
      </w:r>
      <w:bookmarkEnd w:id="78"/>
      <w:bookmarkEnd w:id="79"/>
      <w:r>
        <w:rPr>
          <w:rFonts w:hint="eastAsia" w:ascii="宋体" w:hAnsi="宋体" w:eastAsia="宋体" w:cs="宋体"/>
          <w:b/>
          <w:color w:val="auto"/>
          <w:sz w:val="24"/>
          <w:szCs w:val="24"/>
          <w:highlight w:val="none"/>
        </w:rPr>
        <w:t>商务响应</w:t>
      </w:r>
      <w:r>
        <w:rPr>
          <w:rFonts w:hint="eastAsia" w:ascii="宋体" w:hAnsi="宋体" w:eastAsia="宋体" w:cs="宋体"/>
          <w:b/>
          <w:color w:val="auto"/>
          <w:sz w:val="24"/>
          <w:szCs w:val="24"/>
          <w:highlight w:val="none"/>
          <w:lang w:val="en-US" w:eastAsia="zh-CN"/>
        </w:rPr>
        <w:t>部分</w:t>
      </w: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 xml:space="preserve">  </w:t>
      </w:r>
    </w:p>
    <w:p>
      <w:pPr>
        <w:pageBreakBefore w:val="0"/>
        <w:widowControl/>
        <w:kinsoku/>
        <w:wordWrap w:val="0"/>
        <w:overflowPunct/>
        <w:topLinePunct w:val="0"/>
        <w:bidi w:val="0"/>
        <w:spacing w:beforeAutospacing="0" w:afterAutospacing="0" w:line="360" w:lineRule="auto"/>
        <w:ind w:firstLine="482" w:firstLineChars="200"/>
        <w:jc w:val="left"/>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商务部分相关证明文件</w:t>
      </w:r>
    </w:p>
    <w:p>
      <w:pPr>
        <w:pageBreakBefore w:val="0"/>
        <w:widowControl/>
        <w:kinsoku/>
        <w:wordWrap w:val="0"/>
        <w:overflowPunct/>
        <w:topLinePunct w:val="0"/>
        <w:bidi w:val="0"/>
        <w:snapToGrid w:val="0"/>
        <w:spacing w:beforeAutospacing="0" w:afterAutospacing="0" w:line="360" w:lineRule="auto"/>
        <w:jc w:val="left"/>
        <w:outlineLvl w:val="0"/>
        <w:rPr>
          <w:rFonts w:hint="eastAsia" w:ascii="宋体" w:hAnsi="宋体" w:eastAsia="宋体" w:cs="宋体"/>
          <w:b/>
          <w:color w:val="auto"/>
          <w:sz w:val="28"/>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lang w:eastAsia="zh-CN"/>
        </w:rPr>
        <w:t xml:space="preserve"> </w:t>
      </w: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color w:val="auto"/>
          <w:kern w:val="0"/>
          <w:sz w:val="24"/>
          <w:highlight w:val="none"/>
        </w:rPr>
      </w:pPr>
    </w:p>
    <w:p>
      <w:pPr>
        <w:pageBreakBefore w:val="0"/>
        <w:kinsoku/>
        <w:overflowPunct/>
        <w:topLinePunct w:val="0"/>
        <w:bidi w:val="0"/>
        <w:spacing w:beforeAutospacing="0" w:afterAutospacing="0" w:line="360" w:lineRule="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pStyle w:val="31"/>
        <w:pageBreakBefore w:val="0"/>
        <w:kinsoku/>
        <w:overflowPunct/>
        <w:topLinePunct w:val="0"/>
        <w:bidi w:val="0"/>
        <w:spacing w:beforeAutospacing="0" w:afterAutospacing="0" w:line="360" w:lineRule="auto"/>
        <w:rPr>
          <w:rFonts w:hint="eastAsia" w:ascii="宋体" w:hAnsi="宋体" w:eastAsia="宋体" w:cs="宋体"/>
          <w:highlight w:val="none"/>
        </w:rPr>
      </w:pPr>
    </w:p>
    <w:p>
      <w:pPr>
        <w:pageBreakBefore w:val="0"/>
        <w:widowControl/>
        <w:kinsoku/>
        <w:wordWrap w:val="0"/>
        <w:overflowPunct/>
        <w:topLinePunct w:val="0"/>
        <w:bidi w:val="0"/>
        <w:spacing w:beforeAutospacing="0" w:afterAutospacing="0" w:line="360" w:lineRule="auto"/>
        <w:jc w:val="left"/>
        <w:outlineLvl w:val="0"/>
        <w:rPr>
          <w:rFonts w:hint="eastAsia" w:ascii="宋体" w:hAnsi="宋体" w:eastAsia="宋体" w:cs="宋体"/>
          <w:b/>
          <w:color w:val="auto"/>
          <w:sz w:val="28"/>
          <w:highlight w:val="none"/>
        </w:rPr>
      </w:pPr>
      <w:bookmarkStart w:id="80" w:name="_Toc31526"/>
      <w:bookmarkStart w:id="81" w:name="_Toc28621"/>
      <w:r>
        <w:rPr>
          <w:rFonts w:hint="eastAsia" w:ascii="宋体" w:hAnsi="宋体" w:eastAsia="宋体" w:cs="宋体"/>
          <w:b/>
          <w:color w:val="auto"/>
          <w:sz w:val="28"/>
          <w:highlight w:val="none"/>
        </w:rPr>
        <w:t>附件7               法定代表人身份证明（格式）</w:t>
      </w:r>
      <w:bookmarkEnd w:id="80"/>
      <w:bookmarkEnd w:id="81"/>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w:t>
      </w:r>
      <w:r>
        <w:rPr>
          <w:rFonts w:hint="eastAsia" w:ascii="宋体" w:hAnsi="宋体" w:eastAsia="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（投标人名称）的法定代表人。</w:t>
      </w: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szCs w:val="20"/>
          <w:highlight w:val="none"/>
        </w:rPr>
      </w:pPr>
    </w:p>
    <w:p>
      <w:pPr>
        <w:pageBreakBefore w:val="0"/>
        <w:widowControl/>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pPr>
        <w:pageBreakBefore w:val="0"/>
        <w:widowControl/>
        <w:kinsoku/>
        <w:wordWrap w:val="0"/>
        <w:overflowPunct/>
        <w:topLinePunct w:val="0"/>
        <w:bidi w:val="0"/>
        <w:spacing w:beforeAutospacing="0" w:afterAutospacing="0" w:line="360" w:lineRule="auto"/>
        <w:jc w:val="left"/>
        <w:rPr>
          <w:rFonts w:hint="eastAsia" w:ascii="宋体" w:hAnsi="宋体" w:eastAsia="宋体" w:cs="宋体"/>
          <w:color w:val="auto"/>
          <w:kern w:val="0"/>
          <w:sz w:val="24"/>
          <w:szCs w:val="20"/>
          <w:highlight w:val="none"/>
        </w:rPr>
      </w:pPr>
    </w:p>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bidi w:val="0"/>
              <w:spacing w:beforeAutospacing="0" w:afterAutospacing="0" w:line="36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p>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p>
        </w:tc>
      </w:tr>
    </w:tbl>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24"/>
          <w:highlight w:val="none"/>
        </w:rPr>
      </w:pPr>
    </w:p>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36"/>
          <w:szCs w:val="36"/>
          <w:highlight w:val="none"/>
        </w:rPr>
      </w:pPr>
    </w:p>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b/>
          <w:color w:val="auto"/>
          <w:kern w:val="0"/>
          <w:sz w:val="36"/>
          <w:szCs w:val="36"/>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pPr>
        <w:pageBreakBefore w:val="0"/>
        <w:widowControl/>
        <w:kinsoku/>
        <w:wordWrap w:val="0"/>
        <w:overflowPunct/>
        <w:topLinePunct w:val="0"/>
        <w:bidi w:val="0"/>
        <w:spacing w:beforeAutospacing="0" w:afterAutospacing="0" w:line="360" w:lineRule="auto"/>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3"/>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widowControl/>
        <w:kinsoku/>
        <w:wordWrap w:val="0"/>
        <w:overflowPunct/>
        <w:topLinePunct w:val="0"/>
        <w:bidi w:val="0"/>
        <w:spacing w:beforeAutospacing="0" w:afterAutospacing="0" w:line="360" w:lineRule="auto"/>
        <w:ind w:firstLine="365" w:firstLineChars="130"/>
        <w:jc w:val="left"/>
        <w:outlineLvl w:val="0"/>
        <w:rPr>
          <w:rFonts w:hint="eastAsia" w:ascii="宋体" w:hAnsi="宋体" w:eastAsia="宋体" w:cs="宋体"/>
          <w:b/>
          <w:color w:val="auto"/>
          <w:sz w:val="28"/>
          <w:highlight w:val="none"/>
        </w:rPr>
      </w:pPr>
      <w:bookmarkStart w:id="82" w:name="_Toc30519"/>
      <w:bookmarkStart w:id="83" w:name="_Toc13976"/>
      <w:r>
        <w:rPr>
          <w:rFonts w:hint="eastAsia" w:ascii="宋体" w:hAnsi="宋体" w:eastAsia="宋体" w:cs="宋体"/>
          <w:b/>
          <w:color w:val="auto"/>
          <w:sz w:val="28"/>
          <w:highlight w:val="none"/>
        </w:rPr>
        <w:t>附件8               法定代表人授权书（格式）</w:t>
      </w:r>
      <w:bookmarkEnd w:id="82"/>
      <w:bookmarkEnd w:id="83"/>
    </w:p>
    <w:p>
      <w:pPr>
        <w:pageBreakBefore w:val="0"/>
        <w:widowControl/>
        <w:tabs>
          <w:tab w:val="left" w:pos="420"/>
          <w:tab w:val="left" w:pos="2160"/>
        </w:tabs>
        <w:kinsoku/>
        <w:wordWrap w:val="0"/>
        <w:overflowPunct/>
        <w:topLinePunct w:val="0"/>
        <w:bidi w:val="0"/>
        <w:spacing w:beforeAutospacing="0" w:afterAutospacing="0" w:line="360" w:lineRule="auto"/>
        <w:ind w:firstLine="480" w:firstLineChars="20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 xml:space="preserve">（投标人名称）的法定代表人，现委托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项目的投标活动，并代表我方全权办理针对上述项目的投标、开标、评标、签约等具体事务和签署相关文件。</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p>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pageBreakBefore w:val="0"/>
              <w:widowControl/>
              <w:kinsoku/>
              <w:overflowPunct/>
              <w:topLinePunct w:val="0"/>
              <w:bidi w:val="0"/>
              <w:spacing w:beforeAutospacing="0" w:afterAutospacing="0" w:line="360" w:lineRule="auto"/>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pPr>
        <w:pageBreakBefore w:val="0"/>
        <w:widowControl/>
        <w:kinsoku/>
        <w:wordWrap w:val="0"/>
        <w:overflowPunct/>
        <w:topLinePunct w:val="0"/>
        <w:bidi w:val="0"/>
        <w:snapToGrid w:val="0"/>
        <w:spacing w:beforeAutospacing="0" w:afterAutospacing="0"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pPr>
        <w:pageBreakBefore w:val="0"/>
        <w:widowControl/>
        <w:kinsoku/>
        <w:wordWrap w:val="0"/>
        <w:overflowPunct/>
        <w:topLinePunct w:val="0"/>
        <w:bidi w:val="0"/>
        <w:spacing w:beforeAutospacing="0" w:afterAutospacing="0" w:line="360" w:lineRule="auto"/>
        <w:ind w:firstLine="4800" w:firstLineChars="2000"/>
        <w:jc w:val="lef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center"/>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val="0"/>
        <w:overflowPunct/>
        <w:topLinePunct w:val="0"/>
        <w:bidi w:val="0"/>
        <w:spacing w:beforeAutospacing="0" w:afterAutospacing="0" w:line="360" w:lineRule="auto"/>
        <w:jc w:val="right"/>
        <w:rPr>
          <w:rFonts w:hint="eastAsia" w:ascii="宋体" w:hAnsi="宋体" w:eastAsia="宋体" w:cs="宋体"/>
          <w:color w:val="auto"/>
          <w:kern w:val="0"/>
          <w:sz w:val="24"/>
          <w:highlight w:val="none"/>
        </w:rPr>
      </w:pPr>
    </w:p>
    <w:p>
      <w:pPr>
        <w:pageBreakBefore w:val="0"/>
        <w:widowControl/>
        <w:kinsoku/>
        <w:wordWrap/>
        <w:overflowPunct/>
        <w:topLinePunct w:val="0"/>
        <w:bidi w:val="0"/>
        <w:spacing w:beforeAutospacing="0" w:afterAutospacing="0"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pPr>
        <w:pageBreakBefore w:val="0"/>
        <w:widowControl/>
        <w:kinsoku/>
        <w:wordWrap w:val="0"/>
        <w:overflowPunct/>
        <w:topLinePunct w:val="0"/>
        <w:bidi w:val="0"/>
        <w:spacing w:beforeAutospacing="0" w:afterAutospacing="0" w:line="360" w:lineRule="auto"/>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pPr>
        <w:pageBreakBefore w:val="0"/>
        <w:widowControl/>
        <w:kinsoku/>
        <w:overflowPunct/>
        <w:topLinePunct w:val="0"/>
        <w:bidi w:val="0"/>
        <w:spacing w:beforeAutospacing="0" w:afterAutospacing="0" w:line="360" w:lineRule="auto"/>
        <w:ind w:firstLine="7228" w:firstLineChars="2250"/>
        <w:jc w:val="left"/>
        <w:rPr>
          <w:rFonts w:hint="eastAsia" w:ascii="宋体" w:hAnsi="宋体" w:eastAsia="宋体" w:cs="宋体"/>
          <w:b/>
          <w:color w:val="auto"/>
          <w:kern w:val="0"/>
          <w:sz w:val="32"/>
          <w:szCs w:val="32"/>
          <w:highlight w:val="none"/>
        </w:rPr>
      </w:pPr>
    </w:p>
    <w:p>
      <w:pPr>
        <w:pageBreakBefore w:val="0"/>
        <w:kinsoku/>
        <w:overflowPunct/>
        <w:topLinePunct w:val="0"/>
        <w:bidi w:val="0"/>
        <w:spacing w:beforeAutospacing="0" w:afterAutospacing="0" w:line="360" w:lineRule="auto"/>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pPr>
        <w:pageBreakBefore w:val="0"/>
        <w:widowControl/>
        <w:kinsoku/>
        <w:overflowPunct/>
        <w:topLinePunct w:val="0"/>
        <w:bidi w:val="0"/>
        <w:snapToGrid w:val="0"/>
        <w:spacing w:beforeAutospacing="0" w:afterAutospacing="0" w:line="360" w:lineRule="auto"/>
        <w:jc w:val="left"/>
        <w:rPr>
          <w:rFonts w:hint="eastAsia" w:ascii="宋体" w:hAnsi="宋体" w:eastAsia="宋体" w:cs="宋体"/>
          <w:b/>
          <w:color w:val="auto"/>
          <w:kern w:val="0"/>
          <w:sz w:val="24"/>
          <w:highlight w:val="none"/>
        </w:rPr>
      </w:pPr>
    </w:p>
    <w:p>
      <w:pPr>
        <w:pageBreakBefore w:val="0"/>
        <w:widowControl/>
        <w:kinsoku/>
        <w:overflowPunct/>
        <w:topLinePunct w:val="0"/>
        <w:bidi w:val="0"/>
        <w:snapToGrid w:val="0"/>
        <w:spacing w:beforeAutospacing="0" w:afterAutospacing="0" w:line="360" w:lineRule="auto"/>
        <w:jc w:val="left"/>
        <w:outlineLvl w:val="0"/>
        <w:rPr>
          <w:rFonts w:hint="eastAsia" w:ascii="宋体" w:hAnsi="宋体" w:eastAsia="宋体" w:cs="宋体"/>
          <w:b/>
          <w:color w:val="auto"/>
          <w:kern w:val="0"/>
          <w:sz w:val="24"/>
          <w:highlight w:val="none"/>
        </w:rPr>
      </w:pPr>
      <w:bookmarkStart w:id="84" w:name="_Toc18105"/>
      <w:bookmarkStart w:id="85" w:name="_Toc24693"/>
      <w:r>
        <w:rPr>
          <w:rFonts w:hint="eastAsia" w:ascii="宋体" w:hAnsi="宋体" w:eastAsia="宋体" w:cs="宋体"/>
          <w:b/>
          <w:color w:val="auto"/>
          <w:sz w:val="28"/>
          <w:highlight w:val="none"/>
        </w:rPr>
        <w:t>附件9               证明文件</w:t>
      </w:r>
      <w:bookmarkEnd w:id="84"/>
      <w:bookmarkEnd w:id="85"/>
    </w:p>
    <w:p>
      <w:pPr>
        <w:pStyle w:val="9"/>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pPr>
        <w:pStyle w:val="9"/>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9.2</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技术方案</w:t>
      </w:r>
    </w:p>
    <w:p>
      <w:pPr>
        <w:pStyle w:val="9"/>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其他需要提供的证明材料</w:t>
      </w:r>
      <w:bookmarkStart w:id="86" w:name="_Toc17966"/>
    </w:p>
    <w:p>
      <w:pPr>
        <w:pStyle w:val="9"/>
        <w:pageBreakBefore w:val="0"/>
        <w:kinsoku/>
        <w:overflowPunct/>
        <w:topLinePunct w:val="0"/>
        <w:bidi w:val="0"/>
        <w:spacing w:beforeAutospacing="0" w:afterAutospacing="0" w:line="36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 xml:space="preserve">4 </w:t>
      </w:r>
      <w:r>
        <w:rPr>
          <w:rFonts w:hint="eastAsia" w:ascii="宋体" w:hAnsi="宋体" w:eastAsia="宋体" w:cs="宋体"/>
          <w:bCs/>
          <w:color w:val="auto"/>
          <w:sz w:val="21"/>
          <w:szCs w:val="21"/>
          <w:highlight w:val="none"/>
        </w:rPr>
        <w:t>其他证明材料。</w:t>
      </w:r>
    </w:p>
    <w:p>
      <w:pPr>
        <w:pStyle w:val="9"/>
        <w:pageBreakBefore w:val="0"/>
        <w:kinsoku/>
        <w:overflowPunct/>
        <w:topLinePunct w:val="0"/>
        <w:bidi w:val="0"/>
        <w:spacing w:beforeAutospacing="0" w:afterAutospacing="0" w:line="360" w:lineRule="auto"/>
        <w:ind w:firstLine="540" w:firstLineChars="224"/>
        <w:jc w:val="both"/>
        <w:rPr>
          <w:rFonts w:hint="eastAsia" w:ascii="宋体" w:hAnsi="宋体" w:eastAsia="宋体" w:cs="宋体"/>
          <w:b/>
          <w:bCs/>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pPr>
        <w:pStyle w:val="9"/>
        <w:pageBreakBefore w:val="0"/>
        <w:kinsoku/>
        <w:overflowPunct/>
        <w:topLinePunct w:val="0"/>
        <w:bidi w:val="0"/>
        <w:spacing w:beforeAutospacing="0" w:afterAutospacing="0" w:line="360" w:lineRule="auto"/>
        <w:ind w:firstLine="540" w:firstLineChars="224"/>
        <w:jc w:val="both"/>
        <w:rPr>
          <w:rFonts w:hint="eastAsia" w:ascii="宋体" w:hAnsi="宋体" w:eastAsia="宋体" w:cs="宋体"/>
          <w:b/>
          <w:bCs/>
          <w:color w:val="auto"/>
          <w:highlight w:val="none"/>
        </w:rPr>
      </w:pPr>
    </w:p>
    <w:p>
      <w:pPr>
        <w:pageBreakBefore w:val="0"/>
        <w:widowControl/>
        <w:kinsoku/>
        <w:overflowPunct/>
        <w:topLinePunct w:val="0"/>
        <w:bidi w:val="0"/>
        <w:snapToGrid w:val="0"/>
        <w:spacing w:beforeAutospacing="0" w:afterAutospacing="0" w:line="360" w:lineRule="auto"/>
        <w:jc w:val="center"/>
        <w:outlineLvl w:val="0"/>
        <w:rPr>
          <w:rFonts w:hint="eastAsia" w:ascii="宋体" w:hAnsi="宋体" w:eastAsia="宋体" w:cs="宋体"/>
          <w:b/>
          <w:color w:val="auto"/>
          <w:kern w:val="0"/>
          <w:sz w:val="28"/>
          <w:szCs w:val="28"/>
          <w:highlight w:val="none"/>
        </w:rPr>
      </w:pPr>
      <w:bookmarkStart w:id="87" w:name="_Toc13726"/>
      <w:bookmarkStart w:id="88" w:name="_Toc12888"/>
      <w:r>
        <w:rPr>
          <w:rFonts w:hint="eastAsia" w:ascii="宋体" w:hAnsi="宋体" w:eastAsia="宋体" w:cs="宋体"/>
          <w:b/>
          <w:color w:val="auto"/>
          <w:kern w:val="0"/>
          <w:sz w:val="28"/>
          <w:szCs w:val="28"/>
          <w:highlight w:val="none"/>
        </w:rPr>
        <w:t xml:space="preserve">附件10        </w:t>
      </w:r>
      <w:bookmarkEnd w:id="86"/>
      <w:r>
        <w:rPr>
          <w:rFonts w:hint="eastAsia" w:ascii="宋体" w:hAnsi="宋体" w:eastAsia="宋体" w:cs="宋体"/>
          <w:b/>
          <w:color w:val="auto"/>
          <w:kern w:val="0"/>
          <w:sz w:val="28"/>
          <w:szCs w:val="28"/>
          <w:highlight w:val="none"/>
        </w:rPr>
        <w:t>供 应 商 承 诺 书</w:t>
      </w:r>
      <w:r>
        <w:rPr>
          <w:rFonts w:hint="eastAsia" w:ascii="宋体" w:hAnsi="宋体" w:eastAsia="宋体" w:cs="宋体"/>
          <w:b/>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（格式）</w:t>
      </w:r>
      <w:bookmarkEnd w:id="87"/>
      <w:bookmarkEnd w:id="88"/>
    </w:p>
    <w:p>
      <w:pPr>
        <w:pageBreakBefore w:val="0"/>
        <w:kinsoku/>
        <w:overflowPunct/>
        <w:topLinePunct w:val="0"/>
        <w:bidi w:val="0"/>
        <w:spacing w:beforeAutospacing="0" w:afterAutospacing="0" w:line="360" w:lineRule="auto"/>
        <w:rPr>
          <w:rFonts w:hint="eastAsia" w:ascii="宋体" w:hAnsi="宋体" w:eastAsia="宋体" w:cs="宋体"/>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公司名称</w:t>
      </w:r>
      <w:r>
        <w:rPr>
          <w:rFonts w:hint="eastAsia" w:ascii="宋体" w:hAnsi="宋体" w:eastAsia="宋体" w:cs="宋体"/>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textAlignment w:val="auto"/>
        <w:rPr>
          <w:rFonts w:hint="eastAsia" w:ascii="宋体" w:hAnsi="宋体" w:eastAsia="宋体" w:cs="宋体"/>
          <w:sz w:val="28"/>
          <w:szCs w:val="28"/>
          <w:highlight w:val="none"/>
        </w:rPr>
      </w:pPr>
      <w:r>
        <w:rPr>
          <w:rFonts w:hint="eastAsia" w:ascii="宋体" w:hAnsi="宋体" w:eastAsia="宋体" w:cs="宋体"/>
          <w:sz w:val="24"/>
          <w:szCs w:val="24"/>
          <w:highlight w:val="none"/>
        </w:rPr>
        <w:t>法定代表人或委托人（签字）：                   年   月   日</w:t>
      </w:r>
    </w:p>
    <w:p>
      <w:pPr>
        <w:pageBreakBefore w:val="0"/>
        <w:widowControl/>
        <w:kinsoku/>
        <w:overflowPunct/>
        <w:topLinePunct w:val="0"/>
        <w:bidi w:val="0"/>
        <w:spacing w:beforeAutospacing="0" w:afterAutospacing="0" w:line="360" w:lineRule="auto"/>
        <w:ind w:firstLine="4305" w:firstLineChars="2050"/>
        <w:jc w:val="left"/>
        <w:rPr>
          <w:rFonts w:hint="eastAsia" w:ascii="宋体" w:hAnsi="宋体" w:eastAsia="宋体" w:cs="宋体"/>
          <w:color w:val="auto"/>
          <w:kern w:val="0"/>
          <w:szCs w:val="21"/>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ageBreakBefore w:val="0"/>
        <w:kinsoku/>
        <w:overflowPunct/>
        <w:topLinePunct w:val="0"/>
        <w:bidi w:val="0"/>
        <w:spacing w:beforeAutospacing="0" w:afterAutospacing="0" w:line="360" w:lineRule="auto"/>
        <w:rPr>
          <w:rFonts w:hint="eastAsia" w:ascii="宋体" w:hAnsi="宋体" w:eastAsia="宋体" w:cs="宋体"/>
          <w:highlight w:val="none"/>
          <w:lang w:val="en-US" w:eastAsia="zh-CN"/>
        </w:rPr>
      </w:pPr>
    </w:p>
    <w:p>
      <w:pPr>
        <w:pageBreakBefore w:val="0"/>
        <w:kinsoku/>
        <w:overflowPunct/>
        <w:topLinePunct w:val="0"/>
        <w:bidi w:val="0"/>
        <w:spacing w:beforeAutospacing="0" w:afterAutospacing="0" w:line="360" w:lineRule="auto"/>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sz w:val="32"/>
          <w:szCs w:val="32"/>
          <w:highlight w:val="none"/>
        </w:rPr>
      </w:pPr>
      <w:r>
        <w:rPr>
          <w:rFonts w:hint="eastAsia" w:ascii="宋体" w:hAnsi="宋体" w:eastAsia="宋体" w:cs="宋体"/>
          <w:color w:val="auto"/>
          <w:sz w:val="24"/>
          <w:szCs w:val="24"/>
          <w:highlight w:val="none"/>
          <w:lang w:val="en-US" w:eastAsia="zh-CN"/>
        </w:rPr>
        <w:t>（四）有依法缴纳税收和社会保障资金的良好</w:t>
      </w:r>
      <w:r>
        <w:rPr>
          <w:rFonts w:hint="eastAsia" w:ascii="宋体" w:hAnsi="宋体" w:eastAsia="宋体" w:cs="宋体"/>
          <w:sz w:val="32"/>
          <w:szCs w:val="32"/>
          <w:highlight w:val="none"/>
          <w:lang w:val="en-US" w:eastAsia="zh-CN"/>
        </w:rPr>
        <w:t>记录；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2.供应商的法定代表人或者授权代表的签字或盖章应真实、有效，如由授权代表签字或盖章的，应提供“法定代表人授权书”。</w:t>
      </w:r>
    </w:p>
    <w:p>
      <w:pPr>
        <w:pageBreakBefore w:val="0"/>
        <w:kinsoku/>
        <w:overflowPunct/>
        <w:topLinePunct w:val="0"/>
        <w:bidi w:val="0"/>
        <w:spacing w:beforeAutospacing="0" w:afterAutospacing="0" w:line="360" w:lineRule="auto"/>
        <w:ind w:left="370" w:leftChars="176"/>
        <w:rPr>
          <w:rFonts w:hint="eastAsia" w:ascii="宋体" w:hAnsi="宋体" w:eastAsia="宋体" w:cs="宋体"/>
          <w:b/>
          <w:color w:val="auto"/>
          <w:szCs w:val="21"/>
          <w:highlight w:val="none"/>
        </w:rPr>
      </w:pPr>
    </w:p>
    <w:p>
      <w:pPr>
        <w:pageBreakBefore w:val="0"/>
        <w:kinsoku/>
        <w:overflowPunct/>
        <w:topLinePunct w:val="0"/>
        <w:bidi w:val="0"/>
        <w:spacing w:beforeAutospacing="0" w:afterAutospacing="0"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1"/>
        <w:pageBreakBefore w:val="0"/>
        <w:kinsoku/>
        <w:overflowPunct/>
        <w:topLinePunct w:val="0"/>
        <w:bidi w:val="0"/>
        <w:spacing w:beforeAutospacing="0" w:after="0" w:afterAutospacing="0" w:line="360" w:lineRule="auto"/>
        <w:rPr>
          <w:rFonts w:hint="eastAsia" w:ascii="宋体" w:hAnsi="宋体" w:eastAsia="宋体" w:cs="宋体"/>
          <w:highlight w:val="none"/>
        </w:rPr>
      </w:pPr>
    </w:p>
    <w:p>
      <w:pPr>
        <w:pageBreakBefore w:val="0"/>
        <w:widowControl/>
        <w:kinsoku/>
        <w:overflowPunct/>
        <w:topLinePunct w:val="0"/>
        <w:bidi w:val="0"/>
        <w:snapToGrid w:val="0"/>
        <w:spacing w:beforeAutospacing="0" w:afterAutospacing="0" w:line="360" w:lineRule="auto"/>
        <w:jc w:val="center"/>
        <w:outlineLvl w:val="0"/>
        <w:rPr>
          <w:rFonts w:hint="eastAsia" w:ascii="宋体" w:hAnsi="宋体" w:eastAsia="宋体" w:cs="宋体"/>
          <w:b/>
          <w:color w:val="auto"/>
          <w:kern w:val="0"/>
          <w:sz w:val="24"/>
          <w:highlight w:val="none"/>
        </w:rPr>
      </w:pPr>
      <w:bookmarkStart w:id="89" w:name="_Toc25094"/>
      <w:bookmarkStart w:id="90" w:name="_Toc23394"/>
      <w:r>
        <w:rPr>
          <w:rFonts w:hint="eastAsia" w:ascii="宋体" w:hAnsi="宋体" w:eastAsia="宋体" w:cs="宋体"/>
          <w:b/>
          <w:color w:val="auto"/>
          <w:kern w:val="0"/>
          <w:sz w:val="24"/>
          <w:highlight w:val="none"/>
        </w:rPr>
        <w:t>投标人认为有必要的其他资料</w:t>
      </w:r>
      <w:bookmarkEnd w:id="89"/>
      <w:bookmarkEnd w:id="90"/>
    </w:p>
    <w:p>
      <w:pPr>
        <w:pageBreakBefore w:val="0"/>
        <w:widowControl/>
        <w:kinsoku/>
        <w:overflowPunct/>
        <w:topLinePunct w:val="0"/>
        <w:bidi w:val="0"/>
        <w:spacing w:beforeAutospacing="0" w:afterAutospacing="0"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备注：投标人应当仔细核对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文件中有关废标条款和评标标准，提供投标人认为应当附加的其它内容，以充分证明其投标符合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文件规定，并为评标提供充分依据。如果投标人未能提供相关证明文件，将有可能导致废标或者无法得分。</w:t>
      </w: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center"/>
        <w:rPr>
          <w:rFonts w:hint="eastAsia" w:ascii="宋体" w:hAnsi="宋体" w:eastAsia="宋体" w:cs="宋体"/>
          <w:b/>
          <w:bCs/>
          <w:color w:val="auto"/>
          <w:sz w:val="28"/>
          <w:szCs w:val="28"/>
          <w:highlight w:val="none"/>
        </w:rPr>
      </w:pPr>
    </w:p>
    <w:p>
      <w:pPr>
        <w:pStyle w:val="9"/>
        <w:pageBreakBefore w:val="0"/>
        <w:kinsoku/>
        <w:overflowPunct/>
        <w:topLinePunct w:val="0"/>
        <w:bidi w:val="0"/>
        <w:spacing w:beforeAutospacing="0" w:afterAutospacing="0" w:line="360" w:lineRule="auto"/>
        <w:jc w:val="both"/>
        <w:rPr>
          <w:rFonts w:hint="eastAsia" w:ascii="宋体" w:hAnsi="宋体" w:eastAsia="宋体" w:cs="宋体"/>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lang w:val="en-US" w:eastAsia="zh-CN"/>
      </w:rPr>
      <w:t>驻马店市中心医院档案室供电线路等采购及安装项目采购文件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驻马店市中心医院档案室供电线路等采购及安装项目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000000"/>
    <w:rsid w:val="00503BD3"/>
    <w:rsid w:val="0066795B"/>
    <w:rsid w:val="00DA5C53"/>
    <w:rsid w:val="0123584C"/>
    <w:rsid w:val="0173497C"/>
    <w:rsid w:val="01DF5C17"/>
    <w:rsid w:val="01EE5E5A"/>
    <w:rsid w:val="02075619"/>
    <w:rsid w:val="02D25290"/>
    <w:rsid w:val="02F12505"/>
    <w:rsid w:val="037C54DB"/>
    <w:rsid w:val="038E625D"/>
    <w:rsid w:val="03CA31A7"/>
    <w:rsid w:val="03EC0177"/>
    <w:rsid w:val="047D5CC7"/>
    <w:rsid w:val="04C66C1A"/>
    <w:rsid w:val="068A0B4B"/>
    <w:rsid w:val="06AB60C8"/>
    <w:rsid w:val="0750142A"/>
    <w:rsid w:val="07936C1F"/>
    <w:rsid w:val="080812F8"/>
    <w:rsid w:val="08105FA6"/>
    <w:rsid w:val="08C1066A"/>
    <w:rsid w:val="0A6566E6"/>
    <w:rsid w:val="0B1413C2"/>
    <w:rsid w:val="0B765601"/>
    <w:rsid w:val="0BEF4CA9"/>
    <w:rsid w:val="0C057F6B"/>
    <w:rsid w:val="0C6F5DE9"/>
    <w:rsid w:val="0C877CFB"/>
    <w:rsid w:val="0CCC6D98"/>
    <w:rsid w:val="0CE82491"/>
    <w:rsid w:val="0D285F64"/>
    <w:rsid w:val="0D3A1F53"/>
    <w:rsid w:val="0D5030A6"/>
    <w:rsid w:val="0D7116ED"/>
    <w:rsid w:val="0D8E6743"/>
    <w:rsid w:val="0D923C0B"/>
    <w:rsid w:val="0D961094"/>
    <w:rsid w:val="0DD203DE"/>
    <w:rsid w:val="0EDD4937"/>
    <w:rsid w:val="0EFA3521"/>
    <w:rsid w:val="0F083E44"/>
    <w:rsid w:val="0F9A050E"/>
    <w:rsid w:val="0FD06274"/>
    <w:rsid w:val="0FF85943"/>
    <w:rsid w:val="1003424E"/>
    <w:rsid w:val="100D65BF"/>
    <w:rsid w:val="10CF353C"/>
    <w:rsid w:val="11CE7E08"/>
    <w:rsid w:val="11F33019"/>
    <w:rsid w:val="12213B8E"/>
    <w:rsid w:val="12784765"/>
    <w:rsid w:val="12F40DF6"/>
    <w:rsid w:val="13695774"/>
    <w:rsid w:val="13F53FEC"/>
    <w:rsid w:val="14380591"/>
    <w:rsid w:val="144F7691"/>
    <w:rsid w:val="146A4213"/>
    <w:rsid w:val="148C5949"/>
    <w:rsid w:val="15155054"/>
    <w:rsid w:val="15951F74"/>
    <w:rsid w:val="159B19FD"/>
    <w:rsid w:val="15B912F9"/>
    <w:rsid w:val="17312619"/>
    <w:rsid w:val="18567E5D"/>
    <w:rsid w:val="18616F2E"/>
    <w:rsid w:val="19EB0503"/>
    <w:rsid w:val="1A2028DA"/>
    <w:rsid w:val="1A667D36"/>
    <w:rsid w:val="1A7F7CE9"/>
    <w:rsid w:val="1A856091"/>
    <w:rsid w:val="1B060913"/>
    <w:rsid w:val="1B542D7A"/>
    <w:rsid w:val="1BDB2463"/>
    <w:rsid w:val="1C0E7EC3"/>
    <w:rsid w:val="1C2C60F9"/>
    <w:rsid w:val="1C5446B4"/>
    <w:rsid w:val="1C597898"/>
    <w:rsid w:val="1C8F2F7F"/>
    <w:rsid w:val="1CDF0421"/>
    <w:rsid w:val="1D0E0D07"/>
    <w:rsid w:val="1DA32633"/>
    <w:rsid w:val="1E4470D6"/>
    <w:rsid w:val="1EAF1273"/>
    <w:rsid w:val="1F486752"/>
    <w:rsid w:val="1FB5190D"/>
    <w:rsid w:val="20052895"/>
    <w:rsid w:val="20745325"/>
    <w:rsid w:val="211547B3"/>
    <w:rsid w:val="212A2D39"/>
    <w:rsid w:val="222B4109"/>
    <w:rsid w:val="22D30A28"/>
    <w:rsid w:val="22F914CA"/>
    <w:rsid w:val="23F57CC4"/>
    <w:rsid w:val="23FD780D"/>
    <w:rsid w:val="241C7367"/>
    <w:rsid w:val="24596D0B"/>
    <w:rsid w:val="249B4AA3"/>
    <w:rsid w:val="24F2409E"/>
    <w:rsid w:val="254370DC"/>
    <w:rsid w:val="25A93CC2"/>
    <w:rsid w:val="25C46BF1"/>
    <w:rsid w:val="267F6B83"/>
    <w:rsid w:val="26976211"/>
    <w:rsid w:val="291547CE"/>
    <w:rsid w:val="296D7CC2"/>
    <w:rsid w:val="296E0EB4"/>
    <w:rsid w:val="2976035F"/>
    <w:rsid w:val="2A7B1BDE"/>
    <w:rsid w:val="2AC82E3D"/>
    <w:rsid w:val="2AD830E5"/>
    <w:rsid w:val="2B14398C"/>
    <w:rsid w:val="2C2348C3"/>
    <w:rsid w:val="2C2A1794"/>
    <w:rsid w:val="2C5C7953"/>
    <w:rsid w:val="2C92725E"/>
    <w:rsid w:val="2CE81EF4"/>
    <w:rsid w:val="2E366B06"/>
    <w:rsid w:val="2EBD258D"/>
    <w:rsid w:val="30FC2BBF"/>
    <w:rsid w:val="31035B63"/>
    <w:rsid w:val="31603DCF"/>
    <w:rsid w:val="31986C26"/>
    <w:rsid w:val="31DB5FAA"/>
    <w:rsid w:val="322632A5"/>
    <w:rsid w:val="324059AE"/>
    <w:rsid w:val="332C2464"/>
    <w:rsid w:val="333105F2"/>
    <w:rsid w:val="33F74D7E"/>
    <w:rsid w:val="34445835"/>
    <w:rsid w:val="346A0AC1"/>
    <w:rsid w:val="34872CF7"/>
    <w:rsid w:val="349A13A6"/>
    <w:rsid w:val="350D171A"/>
    <w:rsid w:val="35150A2C"/>
    <w:rsid w:val="35181D76"/>
    <w:rsid w:val="35C7280A"/>
    <w:rsid w:val="35E2289C"/>
    <w:rsid w:val="367818A9"/>
    <w:rsid w:val="36B907B2"/>
    <w:rsid w:val="37B207B5"/>
    <w:rsid w:val="382252E2"/>
    <w:rsid w:val="38865FCC"/>
    <w:rsid w:val="38912AC0"/>
    <w:rsid w:val="38D93693"/>
    <w:rsid w:val="38E928FC"/>
    <w:rsid w:val="38EC2E34"/>
    <w:rsid w:val="3987255E"/>
    <w:rsid w:val="39984708"/>
    <w:rsid w:val="39AE5E23"/>
    <w:rsid w:val="39E93199"/>
    <w:rsid w:val="39FC21BB"/>
    <w:rsid w:val="3AAD1707"/>
    <w:rsid w:val="3AED7D56"/>
    <w:rsid w:val="3B005AFB"/>
    <w:rsid w:val="3B1B0D67"/>
    <w:rsid w:val="3B546702"/>
    <w:rsid w:val="3BEB698B"/>
    <w:rsid w:val="3C265C15"/>
    <w:rsid w:val="3CE36288"/>
    <w:rsid w:val="3D226758"/>
    <w:rsid w:val="3D4E71D1"/>
    <w:rsid w:val="3DAA28E7"/>
    <w:rsid w:val="3E704F26"/>
    <w:rsid w:val="3EB43064"/>
    <w:rsid w:val="3FC64050"/>
    <w:rsid w:val="3FC75496"/>
    <w:rsid w:val="40047331"/>
    <w:rsid w:val="411F75E2"/>
    <w:rsid w:val="415D5C35"/>
    <w:rsid w:val="41923405"/>
    <w:rsid w:val="42277FF1"/>
    <w:rsid w:val="42770F78"/>
    <w:rsid w:val="436D5ED7"/>
    <w:rsid w:val="441440F3"/>
    <w:rsid w:val="44466E54"/>
    <w:rsid w:val="446948F1"/>
    <w:rsid w:val="44BE3E76"/>
    <w:rsid w:val="47CA1B4A"/>
    <w:rsid w:val="47EC7D13"/>
    <w:rsid w:val="47FE17F4"/>
    <w:rsid w:val="483B72D6"/>
    <w:rsid w:val="489451D8"/>
    <w:rsid w:val="48A82426"/>
    <w:rsid w:val="48D10692"/>
    <w:rsid w:val="48E20F21"/>
    <w:rsid w:val="4914486F"/>
    <w:rsid w:val="49A95315"/>
    <w:rsid w:val="49DB1DED"/>
    <w:rsid w:val="4AF319E3"/>
    <w:rsid w:val="4B007631"/>
    <w:rsid w:val="4B4B2D51"/>
    <w:rsid w:val="4BA803F5"/>
    <w:rsid w:val="4BBF74EC"/>
    <w:rsid w:val="4C185248"/>
    <w:rsid w:val="4C235CCD"/>
    <w:rsid w:val="4C4D3244"/>
    <w:rsid w:val="4D127DDB"/>
    <w:rsid w:val="4D6F30D1"/>
    <w:rsid w:val="4DBD705E"/>
    <w:rsid w:val="4DD06B99"/>
    <w:rsid w:val="4E2E44B5"/>
    <w:rsid w:val="4E61488B"/>
    <w:rsid w:val="4EB92044"/>
    <w:rsid w:val="4F132029"/>
    <w:rsid w:val="4F2C4E99"/>
    <w:rsid w:val="4F4E12B3"/>
    <w:rsid w:val="4F8E57CE"/>
    <w:rsid w:val="4F9B0496"/>
    <w:rsid w:val="4FFC63CE"/>
    <w:rsid w:val="502A587C"/>
    <w:rsid w:val="509B6FFA"/>
    <w:rsid w:val="50AC7D95"/>
    <w:rsid w:val="519805C3"/>
    <w:rsid w:val="51F92A4C"/>
    <w:rsid w:val="52043EAB"/>
    <w:rsid w:val="52426781"/>
    <w:rsid w:val="52750905"/>
    <w:rsid w:val="52A864AB"/>
    <w:rsid w:val="53370970"/>
    <w:rsid w:val="539F20DD"/>
    <w:rsid w:val="53AA13BE"/>
    <w:rsid w:val="54C87412"/>
    <w:rsid w:val="54CF5078"/>
    <w:rsid w:val="54E1471D"/>
    <w:rsid w:val="551C35C3"/>
    <w:rsid w:val="562528DD"/>
    <w:rsid w:val="56A812A9"/>
    <w:rsid w:val="56E10F23"/>
    <w:rsid w:val="57631674"/>
    <w:rsid w:val="57877110"/>
    <w:rsid w:val="58A12453"/>
    <w:rsid w:val="58AE4B70"/>
    <w:rsid w:val="5901594F"/>
    <w:rsid w:val="59626DD3"/>
    <w:rsid w:val="59A56589"/>
    <w:rsid w:val="5A295181"/>
    <w:rsid w:val="5A8A4DE4"/>
    <w:rsid w:val="5ABA15AB"/>
    <w:rsid w:val="5ADF3707"/>
    <w:rsid w:val="5B1B7148"/>
    <w:rsid w:val="5C3918FB"/>
    <w:rsid w:val="5C5D3A0F"/>
    <w:rsid w:val="5CF50FC0"/>
    <w:rsid w:val="5DD67A13"/>
    <w:rsid w:val="5E206E1E"/>
    <w:rsid w:val="5E371164"/>
    <w:rsid w:val="5E42162F"/>
    <w:rsid w:val="5E742597"/>
    <w:rsid w:val="5F0D70EB"/>
    <w:rsid w:val="5FB7255D"/>
    <w:rsid w:val="5FCC49AE"/>
    <w:rsid w:val="5FE373CF"/>
    <w:rsid w:val="6071095D"/>
    <w:rsid w:val="62097280"/>
    <w:rsid w:val="624125B1"/>
    <w:rsid w:val="62A212A2"/>
    <w:rsid w:val="633D721D"/>
    <w:rsid w:val="637D0340"/>
    <w:rsid w:val="638169AB"/>
    <w:rsid w:val="639F518E"/>
    <w:rsid w:val="63C35930"/>
    <w:rsid w:val="64164898"/>
    <w:rsid w:val="648246B8"/>
    <w:rsid w:val="65447343"/>
    <w:rsid w:val="65531B68"/>
    <w:rsid w:val="65A96DEB"/>
    <w:rsid w:val="6716400D"/>
    <w:rsid w:val="679338AF"/>
    <w:rsid w:val="67C5345F"/>
    <w:rsid w:val="680631FA"/>
    <w:rsid w:val="68664B20"/>
    <w:rsid w:val="68BC0BE4"/>
    <w:rsid w:val="68CD32D8"/>
    <w:rsid w:val="69552C6B"/>
    <w:rsid w:val="69640937"/>
    <w:rsid w:val="69CB5697"/>
    <w:rsid w:val="69F745C9"/>
    <w:rsid w:val="69FA5E67"/>
    <w:rsid w:val="6B0B173A"/>
    <w:rsid w:val="6B9D4684"/>
    <w:rsid w:val="6BC54253"/>
    <w:rsid w:val="6BF02721"/>
    <w:rsid w:val="6C6D0B73"/>
    <w:rsid w:val="6C8B2DA7"/>
    <w:rsid w:val="6CE2432E"/>
    <w:rsid w:val="6D5B6C52"/>
    <w:rsid w:val="6D891ABD"/>
    <w:rsid w:val="6DB359B4"/>
    <w:rsid w:val="6E3D1FD3"/>
    <w:rsid w:val="6EA06C04"/>
    <w:rsid w:val="6F0D200D"/>
    <w:rsid w:val="6F0D3F47"/>
    <w:rsid w:val="6F6126B0"/>
    <w:rsid w:val="6F797E6A"/>
    <w:rsid w:val="707912DA"/>
    <w:rsid w:val="709D2751"/>
    <w:rsid w:val="718B1D52"/>
    <w:rsid w:val="71C01745"/>
    <w:rsid w:val="722A3D19"/>
    <w:rsid w:val="72777687"/>
    <w:rsid w:val="73304612"/>
    <w:rsid w:val="73B132F9"/>
    <w:rsid w:val="740F40B8"/>
    <w:rsid w:val="74726C59"/>
    <w:rsid w:val="74730F39"/>
    <w:rsid w:val="749879EC"/>
    <w:rsid w:val="74C76A1C"/>
    <w:rsid w:val="76076E1C"/>
    <w:rsid w:val="76610A35"/>
    <w:rsid w:val="76CB20EC"/>
    <w:rsid w:val="77134C4A"/>
    <w:rsid w:val="773F4EBA"/>
    <w:rsid w:val="77520D58"/>
    <w:rsid w:val="77EE068E"/>
    <w:rsid w:val="781F2ADC"/>
    <w:rsid w:val="78570929"/>
    <w:rsid w:val="79163B3B"/>
    <w:rsid w:val="7922042A"/>
    <w:rsid w:val="793B7903"/>
    <w:rsid w:val="795069DB"/>
    <w:rsid w:val="79986B03"/>
    <w:rsid w:val="7A106FE1"/>
    <w:rsid w:val="7A374F60"/>
    <w:rsid w:val="7B0751B9"/>
    <w:rsid w:val="7B227200"/>
    <w:rsid w:val="7B4A3BA0"/>
    <w:rsid w:val="7B580C40"/>
    <w:rsid w:val="7B603535"/>
    <w:rsid w:val="7B6D32FA"/>
    <w:rsid w:val="7C764ED8"/>
    <w:rsid w:val="7C855A65"/>
    <w:rsid w:val="7D2346C8"/>
    <w:rsid w:val="7DB51566"/>
    <w:rsid w:val="7E0B3D48"/>
    <w:rsid w:val="7E3F7F0D"/>
    <w:rsid w:val="7E9C305C"/>
    <w:rsid w:val="7EE043C7"/>
    <w:rsid w:val="7F717199"/>
    <w:rsid w:val="7FA97CB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34">
    <w:name w:val="Default Paragraph Font"/>
    <w:autoRedefine/>
    <w:unhideWhenUsed/>
    <w:qFormat/>
    <w:uiPriority w:val="1"/>
  </w:style>
  <w:style w:type="table" w:default="1" w:styleId="32">
    <w:name w:val="Normal Table"/>
    <w:autoRedefine/>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styleId="4">
    <w:name w:val="Body Text 2"/>
    <w:basedOn w:val="1"/>
    <w:next w:val="3"/>
    <w:autoRedefine/>
    <w:qFormat/>
    <w:uiPriority w:val="0"/>
    <w:pPr>
      <w:spacing w:line="480" w:lineRule="auto"/>
    </w:pPr>
  </w:style>
  <w:style w:type="paragraph" w:styleId="8">
    <w:name w:val="List Number"/>
    <w:basedOn w:val="1"/>
    <w:autoRedefine/>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autoRedefine/>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autoRedefine/>
    <w:qFormat/>
    <w:uiPriority w:val="0"/>
    <w:pPr>
      <w:ind w:firstLine="420" w:firstLineChars="200"/>
    </w:pPr>
  </w:style>
  <w:style w:type="paragraph" w:styleId="11">
    <w:name w:val="Body Text Indent"/>
    <w:basedOn w:val="1"/>
    <w:next w:val="10"/>
    <w:autoRedefine/>
    <w:qFormat/>
    <w:uiPriority w:val="0"/>
    <w:pPr>
      <w:widowControl/>
      <w:spacing w:beforeAutospacing="1" w:afterAutospacing="1"/>
      <w:jc w:val="left"/>
    </w:pPr>
    <w:rPr>
      <w:rFonts w:ascii="宋体" w:hAnsi="宋体" w:cs="宋体"/>
      <w:kern w:val="0"/>
      <w:sz w:val="24"/>
    </w:rPr>
  </w:style>
  <w:style w:type="paragraph" w:styleId="12">
    <w:name w:val="Document Map"/>
    <w:basedOn w:val="1"/>
    <w:link w:val="76"/>
    <w:autoRedefine/>
    <w:qFormat/>
    <w:uiPriority w:val="0"/>
    <w:rPr>
      <w:rFonts w:ascii="宋体" w:hAnsi="Calibri"/>
      <w:sz w:val="18"/>
      <w:szCs w:val="18"/>
    </w:rPr>
  </w:style>
  <w:style w:type="paragraph" w:styleId="13">
    <w:name w:val="toa heading"/>
    <w:basedOn w:val="1"/>
    <w:next w:val="1"/>
    <w:autoRedefine/>
    <w:qFormat/>
    <w:uiPriority w:val="0"/>
    <w:pPr>
      <w:spacing w:before="120"/>
    </w:pPr>
    <w:rPr>
      <w:rFonts w:ascii="Arial" w:hAnsi="Arial" w:cs="Arial"/>
      <w:sz w:val="24"/>
    </w:rPr>
  </w:style>
  <w:style w:type="paragraph" w:styleId="14">
    <w:name w:val="annotation text"/>
    <w:basedOn w:val="1"/>
    <w:autoRedefine/>
    <w:qFormat/>
    <w:uiPriority w:val="0"/>
    <w:pPr>
      <w:jc w:val="left"/>
    </w:pPr>
  </w:style>
  <w:style w:type="paragraph" w:styleId="15">
    <w:name w:val="Body Text 3"/>
    <w:basedOn w:val="1"/>
    <w:autoRedefine/>
    <w:qFormat/>
    <w:uiPriority w:val="0"/>
    <w:rPr>
      <w:sz w:val="16"/>
      <w:szCs w:val="16"/>
    </w:r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3"/>
    <w:next w:val="1"/>
    <w:autoRedefine/>
    <w:qFormat/>
    <w:uiPriority w:val="0"/>
  </w:style>
  <w:style w:type="paragraph" w:styleId="26">
    <w:name w:val="List"/>
    <w:basedOn w:val="1"/>
    <w:autoRedefine/>
    <w:qFormat/>
    <w:uiPriority w:val="0"/>
    <w:pPr>
      <w:ind w:left="200" w:hanging="200" w:hangingChars="200"/>
    </w:pPr>
  </w:style>
  <w:style w:type="paragraph" w:styleId="27">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9">
    <w:name w:val="Normal (Web)"/>
    <w:basedOn w:val="1"/>
    <w:autoRedefine/>
    <w:qFormat/>
    <w:uiPriority w:val="99"/>
    <w:pPr>
      <w:spacing w:before="100" w:beforeAutospacing="1" w:after="100" w:afterAutospacing="1"/>
      <w:jc w:val="left"/>
    </w:pPr>
    <w:rPr>
      <w:kern w:val="0"/>
      <w:sz w:val="24"/>
    </w:rPr>
  </w:style>
  <w:style w:type="paragraph" w:styleId="30">
    <w:name w:val="Title"/>
    <w:basedOn w:val="1"/>
    <w:autoRedefine/>
    <w:qFormat/>
    <w:uiPriority w:val="0"/>
    <w:pPr>
      <w:jc w:val="center"/>
      <w:outlineLvl w:val="0"/>
    </w:pPr>
    <w:rPr>
      <w:rFonts w:ascii="Arial" w:hAnsi="Arial" w:cs="Arial"/>
      <w:b/>
      <w:bCs/>
      <w:sz w:val="32"/>
      <w:szCs w:val="32"/>
    </w:rPr>
  </w:style>
  <w:style w:type="paragraph" w:styleId="31">
    <w:name w:val="Body Text First Indent"/>
    <w:basedOn w:val="3"/>
    <w:next w:val="10"/>
    <w:autoRedefine/>
    <w:qFormat/>
    <w:uiPriority w:val="0"/>
    <w:pPr>
      <w:spacing w:line="360" w:lineRule="auto"/>
      <w:ind w:firstLine="420" w:firstLineChars="100"/>
    </w:pPr>
    <w:rPr>
      <w:szCs w:val="21"/>
    </w:rPr>
  </w:style>
  <w:style w:type="table" w:styleId="33">
    <w:name w:val="Table Grid"/>
    <w:basedOn w:val="32"/>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autoRedefine/>
    <w:qFormat/>
    <w:uiPriority w:val="0"/>
    <w:rPr>
      <w:b/>
      <w:bCs/>
      <w:szCs w:val="24"/>
    </w:rPr>
  </w:style>
  <w:style w:type="character" w:styleId="36">
    <w:name w:val="page number"/>
    <w:basedOn w:val="34"/>
    <w:autoRedefine/>
    <w:qFormat/>
    <w:uiPriority w:val="0"/>
  </w:style>
  <w:style w:type="character" w:styleId="37">
    <w:name w:val="FollowedHyperlink"/>
    <w:autoRedefine/>
    <w:qFormat/>
    <w:uiPriority w:val="0"/>
    <w:rPr>
      <w:color w:val="333333"/>
      <w:szCs w:val="24"/>
      <w:u w:val="none"/>
    </w:rPr>
  </w:style>
  <w:style w:type="character" w:styleId="38">
    <w:name w:val="Emphasis"/>
    <w:basedOn w:val="34"/>
    <w:autoRedefine/>
    <w:qFormat/>
    <w:uiPriority w:val="0"/>
  </w:style>
  <w:style w:type="character" w:styleId="39">
    <w:name w:val="HTML Definition"/>
    <w:basedOn w:val="34"/>
    <w:autoRedefine/>
    <w:qFormat/>
    <w:uiPriority w:val="0"/>
  </w:style>
  <w:style w:type="character" w:styleId="40">
    <w:name w:val="HTML Typewriter"/>
    <w:basedOn w:val="34"/>
    <w:autoRedefine/>
    <w:qFormat/>
    <w:uiPriority w:val="0"/>
    <w:rPr>
      <w:rFonts w:hint="default" w:ascii="monospace" w:hAnsi="monospace" w:eastAsia="monospace" w:cs="monospace"/>
      <w:sz w:val="20"/>
    </w:rPr>
  </w:style>
  <w:style w:type="character" w:styleId="41">
    <w:name w:val="HTML Acronym"/>
    <w:basedOn w:val="34"/>
    <w:autoRedefine/>
    <w:qFormat/>
    <w:uiPriority w:val="0"/>
  </w:style>
  <w:style w:type="character" w:styleId="42">
    <w:name w:val="HTML Variable"/>
    <w:basedOn w:val="34"/>
    <w:autoRedefine/>
    <w:qFormat/>
    <w:uiPriority w:val="0"/>
  </w:style>
  <w:style w:type="character" w:styleId="43">
    <w:name w:val="Hyperlink"/>
    <w:basedOn w:val="34"/>
    <w:autoRedefine/>
    <w:qFormat/>
    <w:uiPriority w:val="0"/>
    <w:rPr>
      <w:color w:val="333333"/>
      <w:szCs w:val="24"/>
      <w:u w:val="none"/>
    </w:rPr>
  </w:style>
  <w:style w:type="character" w:styleId="44">
    <w:name w:val="HTML Code"/>
    <w:basedOn w:val="34"/>
    <w:autoRedefine/>
    <w:qFormat/>
    <w:uiPriority w:val="0"/>
    <w:rPr>
      <w:rFonts w:ascii="monospace" w:hAnsi="monospace" w:eastAsia="monospace" w:cs="monospace"/>
      <w:sz w:val="20"/>
    </w:rPr>
  </w:style>
  <w:style w:type="character" w:styleId="45">
    <w:name w:val="HTML Cite"/>
    <w:basedOn w:val="34"/>
    <w:autoRedefine/>
    <w:qFormat/>
    <w:uiPriority w:val="0"/>
  </w:style>
  <w:style w:type="character" w:styleId="46">
    <w:name w:val="HTML Keyboard"/>
    <w:basedOn w:val="34"/>
    <w:autoRedefine/>
    <w:qFormat/>
    <w:uiPriority w:val="0"/>
    <w:rPr>
      <w:rFonts w:hint="default" w:ascii="monospace" w:hAnsi="monospace" w:eastAsia="monospace" w:cs="monospace"/>
      <w:sz w:val="20"/>
    </w:rPr>
  </w:style>
  <w:style w:type="character" w:styleId="47">
    <w:name w:val="HTML Sample"/>
    <w:basedOn w:val="34"/>
    <w:autoRedefine/>
    <w:qFormat/>
    <w:uiPriority w:val="0"/>
    <w:rPr>
      <w:rFonts w:hint="default" w:ascii="monospace" w:hAnsi="monospace" w:eastAsia="monospace" w:cs="monospace"/>
    </w:rPr>
  </w:style>
  <w:style w:type="paragraph" w:customStyle="1" w:styleId="48">
    <w:name w:val="目录 51"/>
    <w:next w:val="1"/>
    <w:autoRedefine/>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49">
    <w:name w:val="Default"/>
    <w:next w:val="50"/>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0">
    <w:name w:val="大标题"/>
    <w:basedOn w:val="1"/>
    <w:next w:val="10"/>
    <w:autoRedefine/>
    <w:qFormat/>
    <w:uiPriority w:val="0"/>
    <w:pPr>
      <w:jc w:val="center"/>
    </w:pPr>
    <w:rPr>
      <w:rFonts w:ascii="Arial" w:hAnsi="Arial"/>
      <w:b/>
      <w:sz w:val="28"/>
    </w:rPr>
  </w:style>
  <w:style w:type="paragraph" w:customStyle="1" w:styleId="51">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2">
    <w:name w:val="No Spacing1"/>
    <w:basedOn w:val="1"/>
    <w:autoRedefine/>
    <w:qFormat/>
    <w:uiPriority w:val="0"/>
    <w:pPr>
      <w:spacing w:line="400" w:lineRule="exact"/>
    </w:pPr>
    <w:rPr>
      <w:sz w:val="24"/>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4"/>
    <w:link w:val="3"/>
    <w:autoRedefine/>
    <w:qFormat/>
    <w:uiPriority w:val="0"/>
  </w:style>
  <w:style w:type="character" w:customStyle="1" w:styleId="75">
    <w:name w:val="apple-converted-space"/>
    <w:basedOn w:val="34"/>
    <w:autoRedefine/>
    <w:qFormat/>
    <w:uiPriority w:val="0"/>
  </w:style>
  <w:style w:type="character" w:customStyle="1" w:styleId="76">
    <w:name w:val="文档结构图 Char"/>
    <w:link w:val="12"/>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basedOn w:val="34"/>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customStyle="1" w:styleId="88">
    <w:name w:val="List Paragraph"/>
    <w:basedOn w:val="1"/>
    <w:autoRedefine/>
    <w:qFormat/>
    <w:uiPriority w:val="34"/>
    <w:pPr>
      <w:ind w:firstLine="420" w:firstLineChars="200"/>
    </w:pPr>
  </w:style>
  <w:style w:type="character" w:customStyle="1" w:styleId="89">
    <w:name w:val="hover18"/>
    <w:basedOn w:val="34"/>
    <w:autoRedefine/>
    <w:qFormat/>
    <w:uiPriority w:val="0"/>
  </w:style>
  <w:style w:type="character" w:customStyle="1" w:styleId="90">
    <w:name w:val="font41"/>
    <w:basedOn w:val="34"/>
    <w:autoRedefine/>
    <w:qFormat/>
    <w:uiPriority w:val="0"/>
    <w:rPr>
      <w:rFonts w:hint="eastAsia" w:ascii="宋体" w:hAnsi="宋体" w:eastAsia="宋体" w:cs="宋体"/>
      <w:color w:val="000000"/>
      <w:sz w:val="21"/>
      <w:szCs w:val="21"/>
      <w:u w:val="none"/>
    </w:rPr>
  </w:style>
  <w:style w:type="character" w:customStyle="1" w:styleId="91">
    <w:name w:val="font51"/>
    <w:basedOn w:val="34"/>
    <w:autoRedefine/>
    <w:qFormat/>
    <w:uiPriority w:val="0"/>
    <w:rPr>
      <w:rFonts w:hint="eastAsia" w:ascii="宋体" w:hAnsi="宋体" w:eastAsia="宋体" w:cs="宋体"/>
      <w:b/>
      <w:color w:val="000000"/>
      <w:sz w:val="21"/>
      <w:szCs w:val="21"/>
      <w:u w:val="none"/>
    </w:rPr>
  </w:style>
  <w:style w:type="character" w:customStyle="1" w:styleId="92">
    <w:name w:val="font31"/>
    <w:basedOn w:val="34"/>
    <w:autoRedefine/>
    <w:qFormat/>
    <w:uiPriority w:val="0"/>
    <w:rPr>
      <w:rFonts w:hint="eastAsia" w:ascii="宋体" w:hAnsi="宋体" w:eastAsia="宋体" w:cs="宋体"/>
      <w:color w:val="000000"/>
      <w:sz w:val="20"/>
      <w:szCs w:val="20"/>
      <w:u w:val="none"/>
    </w:rPr>
  </w:style>
  <w:style w:type="character" w:customStyle="1" w:styleId="93">
    <w:name w:val="font11"/>
    <w:basedOn w:val="34"/>
    <w:autoRedefine/>
    <w:qFormat/>
    <w:uiPriority w:val="0"/>
    <w:rPr>
      <w:rFonts w:hint="eastAsia" w:ascii="等线" w:hAnsi="等线" w:eastAsia="等线" w:cs="等线"/>
      <w:b/>
      <w:bCs/>
      <w:color w:val="000000"/>
      <w:sz w:val="22"/>
      <w:szCs w:val="22"/>
      <w:u w:val="none"/>
    </w:rPr>
  </w:style>
  <w:style w:type="character" w:customStyle="1" w:styleId="94">
    <w:name w:val="hover"/>
    <w:basedOn w:val="34"/>
    <w:autoRedefine/>
    <w:qFormat/>
    <w:uiPriority w:val="0"/>
    <w:rPr>
      <w:color w:val="5FB878"/>
    </w:rPr>
  </w:style>
  <w:style w:type="character" w:customStyle="1" w:styleId="95">
    <w:name w:val="hover1"/>
    <w:basedOn w:val="34"/>
    <w:autoRedefine/>
    <w:qFormat/>
    <w:uiPriority w:val="0"/>
    <w:rPr>
      <w:color w:val="FFFFFF"/>
    </w:rPr>
  </w:style>
  <w:style w:type="character" w:customStyle="1" w:styleId="96">
    <w:name w:val="hover2"/>
    <w:basedOn w:val="34"/>
    <w:autoRedefine/>
    <w:qFormat/>
    <w:uiPriority w:val="0"/>
    <w:rPr>
      <w:color w:val="5FB878"/>
    </w:rPr>
  </w:style>
  <w:style w:type="character" w:customStyle="1" w:styleId="97">
    <w:name w:val="layui-this4"/>
    <w:basedOn w:val="34"/>
    <w:autoRedefine/>
    <w:qFormat/>
    <w:uiPriority w:val="0"/>
    <w:rPr>
      <w:bdr w:val="single" w:color="EEEEEE" w:sz="6" w:space="0"/>
      <w:shd w:val="clear" w:fill="FFFFFF"/>
    </w:rPr>
  </w:style>
  <w:style w:type="character" w:customStyle="1" w:styleId="98">
    <w:name w:val="layui-laypage-curr"/>
    <w:basedOn w:val="34"/>
    <w:autoRedefine/>
    <w:qFormat/>
    <w:uiPriority w:val="0"/>
  </w:style>
  <w:style w:type="character" w:customStyle="1" w:styleId="99">
    <w:name w:val="first-child"/>
    <w:basedOn w:val="34"/>
    <w:autoRedefine/>
    <w:qFormat/>
    <w:uiPriority w:val="0"/>
  </w:style>
  <w:style w:type="character" w:customStyle="1" w:styleId="100">
    <w:name w:val="hover19"/>
    <w:basedOn w:val="34"/>
    <w:autoRedefine/>
    <w:qFormat/>
    <w:uiPriority w:val="0"/>
    <w:rPr>
      <w:color w:val="5FB878"/>
    </w:rPr>
  </w:style>
  <w:style w:type="character" w:customStyle="1" w:styleId="101">
    <w:name w:val="hover20"/>
    <w:basedOn w:val="34"/>
    <w:autoRedefine/>
    <w:qFormat/>
    <w:uiPriority w:val="0"/>
    <w:rPr>
      <w:color w:val="5FB878"/>
    </w:rPr>
  </w:style>
  <w:style w:type="character" w:customStyle="1" w:styleId="102">
    <w:name w:val="hover21"/>
    <w:basedOn w:val="34"/>
    <w:autoRedefine/>
    <w:qFormat/>
    <w:uiPriority w:val="0"/>
    <w:rPr>
      <w:color w:val="FFFFFF"/>
    </w:rPr>
  </w:style>
  <w:style w:type="paragraph" w:customStyle="1" w:styleId="103">
    <w:name w:val="无间隔11"/>
    <w:autoRedefine/>
    <w:qFormat/>
    <w:uiPriority w:val="1"/>
    <w:rPr>
      <w:rFonts w:ascii="Times New Roman" w:hAnsi="Times New Roman" w:eastAsia="Microsoft YaHei UI" w:cs="Arial"/>
      <w:sz w:val="22"/>
      <w:szCs w:val="22"/>
      <w:lang w:val="en-US" w:eastAsia="zh-CN" w:bidi="ar-SA"/>
    </w:rPr>
  </w:style>
  <w:style w:type="paragraph" w:customStyle="1" w:styleId="104">
    <w:name w:val="Body text|1"/>
    <w:basedOn w:val="1"/>
    <w:autoRedefine/>
    <w:qFormat/>
    <w:uiPriority w:val="0"/>
    <w:pPr>
      <w:spacing w:line="252" w:lineRule="auto"/>
    </w:pPr>
    <w:rPr>
      <w:rFonts w:ascii="宋体" w:hAnsi="宋体" w:cs="宋体"/>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37</Pages>
  <Words>14904</Words>
  <Characters>15610</Characters>
  <Lines>50</Lines>
  <Paragraphs>68</Paragraphs>
  <TotalTime>6</TotalTime>
  <ScaleCrop>false</ScaleCrop>
  <LinksUpToDate>false</LinksUpToDate>
  <CharactersWithSpaces>16570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2012-11-07T10:07:00Z</dcterms:created>
  <dc:creator>微软用户</dc:creator>
  <cp:lastModifiedBy>梧桐叶落</cp:lastModifiedBy>
  <cp:lastPrinted>2023-02-08T08:43:00Z</cp:lastPrinted>
  <dcterms:modified xsi:type="dcterms:W3CDTF">2024-03-20T03:42:03Z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92144D39C0ED4373AADEB343174DCF98_13</vt:lpwstr>
  </property>
  <property fmtid="{D5CDD505-2E9C-101B-9397-08002B2CF9AE}" pid="4" name="commondata">
    <vt:lpwstr>eyJoZGlkIjoiYzIwMjRmYTY4OTJhZjc1NTA1MGQwNDc0NzZhNTkwMmUifQ==</vt:lpwstr>
  </property>
</Properties>
</file>