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cs="宋体"/>
          <w:b/>
          <w:bCs/>
          <w:sz w:val="48"/>
          <w:szCs w:val="48"/>
          <w:highlight w:val="none"/>
          <w:lang w:val="en-US" w:eastAsia="zh-CN"/>
        </w:rPr>
      </w:pPr>
      <w:r>
        <w:rPr>
          <w:rFonts w:hint="eastAsia" w:cs="宋体"/>
          <w:b/>
          <w:bCs/>
          <w:sz w:val="48"/>
          <w:szCs w:val="48"/>
          <w:highlight w:val="none"/>
          <w:lang w:val="en-US" w:eastAsia="zh-CN"/>
        </w:rPr>
        <w:t>驻马店市中心医院9号楼无线内网覆盖</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r>
        <w:rPr>
          <w:rFonts w:hint="eastAsia" w:cs="宋体"/>
          <w:b/>
          <w:bCs/>
          <w:sz w:val="48"/>
          <w:szCs w:val="48"/>
          <w:highlight w:val="none"/>
          <w:lang w:val="en-US" w:eastAsia="zh-CN"/>
        </w:rPr>
        <w:t>采购项目（二次）</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驻马店市中心医院9号楼无线内网覆盖采购项目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r>
        <w:rPr>
          <w:rFonts w:hint="eastAsia" w:ascii="宋体" w:hAnsi="宋体" w:cs="宋体"/>
          <w:bCs/>
          <w:color w:val="auto"/>
          <w:kern w:val="0"/>
          <w:sz w:val="28"/>
          <w:szCs w:val="28"/>
          <w:highlight w:val="none"/>
          <w:lang w:eastAsia="zh-CN"/>
        </w:rPr>
        <w:t>（</w:t>
      </w:r>
      <w:r>
        <w:rPr>
          <w:rFonts w:hint="eastAsia" w:ascii="宋体" w:hAnsi="宋体" w:cs="宋体"/>
          <w:bCs/>
          <w:color w:val="auto"/>
          <w:kern w:val="0"/>
          <w:sz w:val="28"/>
          <w:szCs w:val="28"/>
          <w:highlight w:val="none"/>
          <w:lang w:val="en-US" w:eastAsia="zh-CN"/>
        </w:rPr>
        <w:t>二次</w:t>
      </w:r>
      <w:r>
        <w:rPr>
          <w:rFonts w:hint="eastAsia" w:ascii="宋体" w:hAnsi="宋体" w:cs="宋体"/>
          <w:bCs/>
          <w:color w:val="auto"/>
          <w:kern w:val="0"/>
          <w:sz w:val="28"/>
          <w:szCs w:val="28"/>
          <w:highlight w:val="none"/>
          <w:lang w:eastAsia="zh-CN"/>
        </w:rPr>
        <w:t>）</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9号楼无线内网覆盖采购项目</w:t>
      </w:r>
      <w:r>
        <w:rPr>
          <w:rFonts w:hint="eastAsia" w:ascii="宋体" w:hAnsi="宋体" w:cs="宋体"/>
          <w:color w:val="auto"/>
          <w:sz w:val="24"/>
          <w:szCs w:val="28"/>
          <w:u w:val="single"/>
          <w:lang w:val="en-US" w:eastAsia="zh-CN"/>
        </w:rPr>
        <w:t>（二次）</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驻马店市中心医院9号楼无线内网覆盖采购项目（二次</w:t>
      </w:r>
      <w:bookmarkStart w:id="91" w:name="_GoBack"/>
      <w:bookmarkEnd w:id="91"/>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w:t>
      </w:r>
      <w:r>
        <w:rPr>
          <w:rFonts w:hint="eastAsia" w:ascii="宋体" w:hAnsi="宋体" w:eastAsia="宋体" w:cs="宋体"/>
          <w:sz w:val="24"/>
          <w:szCs w:val="32"/>
          <w:lang w:val="en-US" w:eastAsia="zh-CN"/>
        </w:rPr>
        <w:t>合同签订生效后的30日内</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1071"/>
      <w:bookmarkStart w:id="10" w:name="_Toc27913"/>
      <w:bookmarkStart w:id="11" w:name="_Toc26079"/>
      <w:bookmarkStart w:id="12" w:name="_Toc19521"/>
      <w:bookmarkStart w:id="13" w:name="_Toc24040"/>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3626"/>
      <w:bookmarkStart w:id="16" w:name="_Toc27704"/>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highlight w:val="none"/>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7823"/>
      <w:bookmarkStart w:id="19" w:name="_Toc9562"/>
      <w:bookmarkStart w:id="20" w:name="_Toc30643"/>
      <w:bookmarkStart w:id="21" w:name="_Toc30971"/>
      <w:bookmarkStart w:id="22" w:name="_Toc23395"/>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4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5869"/>
      <w:bookmarkStart w:id="24" w:name="_Toc15111"/>
      <w:bookmarkStart w:id="25" w:name="_Toc15135"/>
      <w:bookmarkStart w:id="26" w:name="_Toc27480"/>
      <w:bookmarkStart w:id="27" w:name="_Toc1073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30918"/>
      <w:bookmarkStart w:id="29" w:name="_Toc29784"/>
      <w:bookmarkStart w:id="30" w:name="_Toc20287"/>
      <w:bookmarkStart w:id="31" w:name="_Toc6523"/>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1928"/>
      <w:bookmarkStart w:id="33" w:name="_Toc24274"/>
      <w:bookmarkStart w:id="34" w:name="_Toc16291"/>
      <w:bookmarkStart w:id="35" w:name="_Toc27370"/>
      <w:bookmarkStart w:id="36" w:name="_Toc360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ascii="宋体" w:hAnsi="宋体" w:eastAsia="宋体" w:cs="宋体"/>
          <w:color w:val="auto"/>
        </w:rPr>
      </w:pP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20</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23610"/>
      <w:bookmarkStart w:id="38" w:name="_Toc9989"/>
      <w:bookmarkStart w:id="39" w:name="_Toc31536"/>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驻马店市中心医院9号楼无线内网覆盖采购项目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对9号楼实现无线内网覆盖，能够使用现有无线内网控制器管理9号楼无线内网设备，实现9号楼无线内网与现有无线内网全网统一管理</w:t>
      </w:r>
      <w:r>
        <w:rPr>
          <w:rFonts w:hint="eastAsia" w:ascii="宋体" w:hAnsi="宋体" w:cs="宋体"/>
          <w:b w:val="0"/>
          <w:bCs w:val="0"/>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w:t>
      </w:r>
      <w:bookmarkEnd w:id="6"/>
      <w:bookmarkEnd w:id="7"/>
      <w:r>
        <w:rPr>
          <w:rFonts w:hint="eastAsia" w:ascii="宋体" w:hAnsi="宋体" w:eastAsia="宋体" w:cs="宋体"/>
          <w:b/>
          <w:bCs/>
          <w:color w:val="auto"/>
          <w:kern w:val="0"/>
          <w:sz w:val="24"/>
          <w:szCs w:val="24"/>
          <w:shd w:val="clear" w:color="auto" w:fill="FFFFFF"/>
          <w:lang w:val="en-US" w:eastAsia="zh-CN" w:bidi="ar-SA"/>
        </w:rPr>
        <w:t>技术要求</w:t>
      </w:r>
    </w:p>
    <w:tbl>
      <w:tblPr>
        <w:tblStyle w:val="32"/>
        <w:tblW w:w="5000" w:type="pct"/>
        <w:tblInd w:w="0" w:type="dxa"/>
        <w:tblLayout w:type="autofit"/>
        <w:tblCellMar>
          <w:top w:w="0" w:type="dxa"/>
          <w:left w:w="108" w:type="dxa"/>
          <w:bottom w:w="0" w:type="dxa"/>
          <w:right w:w="108" w:type="dxa"/>
        </w:tblCellMar>
      </w:tblPr>
      <w:tblGrid>
        <w:gridCol w:w="574"/>
        <w:gridCol w:w="1982"/>
        <w:gridCol w:w="5308"/>
        <w:gridCol w:w="648"/>
        <w:gridCol w:w="662"/>
      </w:tblGrid>
      <w:tr>
        <w:tblPrEx>
          <w:tblCellMar>
            <w:top w:w="0" w:type="dxa"/>
            <w:left w:w="108" w:type="dxa"/>
            <w:bottom w:w="0" w:type="dxa"/>
            <w:right w:w="108" w:type="dxa"/>
          </w:tblCellMar>
        </w:tblPrEx>
        <w:trPr>
          <w:trHeight w:val="330" w:hRule="atLeast"/>
        </w:trPr>
        <w:tc>
          <w:tcPr>
            <w:tcW w:w="313"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序号</w:t>
            </w:r>
          </w:p>
        </w:tc>
        <w:tc>
          <w:tcPr>
            <w:tcW w:w="1080"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名称</w:t>
            </w:r>
          </w:p>
        </w:tc>
        <w:tc>
          <w:tcPr>
            <w:tcW w:w="2893"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规格参数</w:t>
            </w:r>
          </w:p>
        </w:tc>
        <w:tc>
          <w:tcPr>
            <w:tcW w:w="353"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数量</w:t>
            </w:r>
          </w:p>
        </w:tc>
        <w:tc>
          <w:tcPr>
            <w:tcW w:w="361"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单位</w:t>
            </w:r>
          </w:p>
        </w:tc>
      </w:tr>
      <w:tr>
        <w:tblPrEx>
          <w:tblCellMar>
            <w:top w:w="0" w:type="dxa"/>
            <w:left w:w="108" w:type="dxa"/>
            <w:bottom w:w="0" w:type="dxa"/>
            <w:right w:w="108" w:type="dxa"/>
          </w:tblCellMar>
        </w:tblPrEx>
        <w:trPr>
          <w:trHeight w:val="585"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w:t>
            </w:r>
          </w:p>
        </w:tc>
        <w:tc>
          <w:tcPr>
            <w:tcW w:w="108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超宽频天线</w:t>
            </w:r>
          </w:p>
        </w:tc>
        <w:tc>
          <w:tcPr>
            <w:tcW w:w="289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2、★增益：433-630MHz：≥0.2dBi、798-920MHz：≥5dBi、2400-5850MHz：≥5.5dBi；（提供产品彩页或其他官方有效证明材料）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3、电压驻波比：433-630MHz：≤8、798-920MHz：≤1.6、2400-5850MHz：≤1.6；</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4、效率：433-630MHz：≥40%、798-920MHz：≥85%、2400-5850MHz：≥80%；</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5、极化方向：Vertical；</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6、物理尺寸：直径≤240mm，高度≤85mm；</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7、功率容量：≥30W；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8、接口形式：N-Female；</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9、安装方式：吸顶安装； </w:t>
            </w:r>
          </w:p>
        </w:tc>
        <w:tc>
          <w:tcPr>
            <w:tcW w:w="35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39</w:t>
            </w:r>
          </w:p>
        </w:tc>
        <w:tc>
          <w:tcPr>
            <w:tcW w:w="36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88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2</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超宽频二功分器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2、★插入损耗：≤3.6dB；（提供产品彩页或其他官方有效证明材料）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3、输入驻波比：≤1.65；</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5、接口形式：N-Female；</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82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3</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超宽频三功分器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2、★插入损耗：≤5.8dB；</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3、输入驻波比：≤1.65；</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5、接口形式：N-Female；</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154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超宽频四功分器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2、★插入损耗：≤7.2dB；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3、输入驻波比：≤1.65；</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5、接口形式：N-Female； </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6</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94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超宽频5db耦合器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2、★插入损耗：≤2.35dB；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3、输入驻波比：≤1.5；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5、接口形式：N-Female； </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660"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6</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1/2"阻燃馈线</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内导体：铜包铝线；绝缘体：泡沫聚乙烯；外导体：皱纹铜管</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540</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米</w:t>
            </w:r>
          </w:p>
        </w:tc>
      </w:tr>
      <w:tr>
        <w:tblPrEx>
          <w:tblCellMar>
            <w:top w:w="0" w:type="dxa"/>
            <w:left w:w="108" w:type="dxa"/>
            <w:bottom w:w="0" w:type="dxa"/>
            <w:right w:w="108" w:type="dxa"/>
          </w:tblCellMar>
        </w:tblPrEx>
        <w:trPr>
          <w:trHeight w:val="1260"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7</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无线网络控制器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1、★可管理基站数量：不受License限制；（提供产品彩页或其他官方有效证明材料）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2、★授权许可：单台设备支持开户数授权≥10,000个，并发用户≥2,000个；（提供产品彩页或其他官方有效证明材料）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3、安全规范：支持802.11i标准；</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4、用户认证：支持802.1X/WPA/WPA2认证，支持MAC地址认证及开放接入，支持本地RADIUS服务器配置；</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5、用户管理：提供方便的用户管理系统，支持用户开户、销户及修改；</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6、第三方接口：支持对接多种用户数据库，支持RADIUS等统一身份认证；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7、兼容性：兼容Windows XP/7/8/Vista、Windows Phone、iOS、Mac OS以及Android等常见操作系统认证；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8、★可靠性：所投产品须与医院现有无线内网控制器兼容，能够与医院现有无线内网控制器实现多台控制器高可用冗余热备，投标人须提供书面承诺。</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台</w:t>
            </w:r>
          </w:p>
        </w:tc>
      </w:tr>
      <w:tr>
        <w:tblPrEx>
          <w:tblCellMar>
            <w:top w:w="0" w:type="dxa"/>
            <w:left w:w="108" w:type="dxa"/>
            <w:bottom w:w="0" w:type="dxa"/>
            <w:right w:w="108" w:type="dxa"/>
          </w:tblCellMar>
        </w:tblPrEx>
        <w:trPr>
          <w:trHeight w:val="585"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8</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数据内网基站</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1、802.11标准：IEEE802.11a/b/g/n/ac/ax(WiFi6)；</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2、★最大占用带宽：至少满足160MHz和80MHz；（提供无线电发射设备型号核准证复印件，并附工信部官网https://ythzxfw.miit.gov.cn/resultQuery查询结果截图）</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3、无线信号强度：病房内2.4GHz及5GHz无线信号强度≥-75dBm，并满足同时实现单一病区内移动终端零漫游，零切换；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4、安全标准：802.11i，WEP, Dynamic WEP, WPA-PSK，WPA2-PSK，WPA, WPA2；</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5、多SSID：支持；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6、VLAN：支持；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7、冗余备份、负载均衡：可升级；</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8、内、外网物理隔离：可升级支持内、外网物理隔离，并非同一设备VLAN隔离或同一设备的两个网口分开使用，不能共用任何有源设备；</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9、QoS 802.11e：支持；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10、频率范围：2400-2483.5MHz、5150-5350MHz、5725-5850MHz；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11、RF接口：N-female 标准接口；</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12、网络接口：10/100/1000Mbps以太网接口≥1个，Console端口≥1个；</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13、★兼容性：所投产品须与医院现有无线内网兼容，能够使用现有无线内网控制器进行统一配置和管理，投标人须提供书面承诺。</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2</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台</w:t>
            </w:r>
          </w:p>
        </w:tc>
      </w:tr>
      <w:tr>
        <w:tblPrEx>
          <w:tblCellMar>
            <w:top w:w="0" w:type="dxa"/>
            <w:left w:w="108" w:type="dxa"/>
            <w:bottom w:w="0" w:type="dxa"/>
            <w:right w:w="108" w:type="dxa"/>
          </w:tblCellMar>
        </w:tblPrEx>
        <w:trPr>
          <w:trHeight w:val="585"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9</w:t>
            </w:r>
          </w:p>
        </w:tc>
        <w:tc>
          <w:tcPr>
            <w:tcW w:w="108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服务</w:t>
            </w:r>
          </w:p>
        </w:tc>
        <w:tc>
          <w:tcPr>
            <w:tcW w:w="289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提供本项目所需要的安装调试、网络规划整合、关联系统集成等服务。</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为保证本项目质量，本项目实施工程师须经过原厂技术培训或认证。提供本项目实施工程师名单和原厂出具的技术培训证明或认证证书复印件，工程师持证上岗，未经医院同意不得更改工程师。</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所有产品提供≥3年质保。质保期内，提供7*24小时现场售后服务, 产品出现故障只换不修。</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货到时须随货物提供原厂出具的≥3年售后服务承诺函，能够通过官网或售后电话等原厂官方渠道查询货物序列号验证货物销售对象为我院且质保期≥3年，否则退款退货并解除合同。</w:t>
            </w:r>
          </w:p>
        </w:tc>
        <w:tc>
          <w:tcPr>
            <w:tcW w:w="35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p>
        </w:tc>
        <w:tc>
          <w:tcPr>
            <w:tcW w:w="36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四</w:t>
      </w:r>
      <w:r>
        <w:rPr>
          <w:rFonts w:hint="eastAsia" w:ascii="宋体" w:hAnsi="宋体" w:eastAsia="宋体" w:cs="宋体"/>
          <w:b/>
          <w:bCs/>
          <w:kern w:val="2"/>
          <w:sz w:val="24"/>
          <w:szCs w:val="24"/>
          <w:highlight w:val="none"/>
          <w:lang w:val="en-US" w:eastAsia="zh-CN" w:bidi="ar-SA"/>
        </w:rPr>
        <w:t>、商务要求：</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乙方</w:t>
      </w:r>
      <w:r>
        <w:rPr>
          <w:rFonts w:hint="eastAsia" w:ascii="宋体" w:hAnsi="宋体" w:eastAsia="宋体" w:cs="宋体"/>
          <w:sz w:val="24"/>
          <w:szCs w:val="32"/>
          <w:lang w:val="en-US" w:eastAsia="zh-CN"/>
        </w:rPr>
        <w:t>交付标的物的期限为合同签订生效后的30日内。乙方须在约定期限内，到甲方指定地点完成全部标的物的安装调试与使用培训，并将符合本合同约定标准的标的物交付甲方使用。乙方向甲方出具交付确认单，甲方签字确认后，视为交付完成。如由于甲方原因造成无法按期交付，交付时间顺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验收由甲方组织，乙方配合进行：</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标的物交付完成后，开始进入30日试用期。试用期间发生质量问题，修复后试用期重新计算。试用期结束后，按照甲方内部规定的验收流程完成验收。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按照有关法律法规和标准的规定、本项目招投标文件及本合同约定的标准进行验收；甲乙双方如对验收标准有相互抵触或异议的事项，由甲方在招标文件中按质量要求和技术指标比较优胜的原则确定标准进行验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若验收合格，双方签署验收文件。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若验收不合格，验收方应做出详尽的现场记录，或由双方签署备忘录，乙方整改后再次提请甲方验收，因此产生时间延误和有关费用由乙方承担。</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若经乙方2次整改或整改超过30日仍不能达到验收合格的标准，则视作乙方不能交付而违约，甲方有权退货并追究乙方的违约责任。</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乙方应将标的物的装箱清单、配件、随机工具、用户使用手册、原厂保修卡等资料交付给甲方；乙方不能完整交付标的物及本款规定的单证和工具的，必须负责补齐，否则视为未按合同约定交付。</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标的物验收合格后，乙方应向甲方提供符合甲方财务要求的付款通知书与票证资料，甲方在收到相关资料后的60个工作日内，向乙方支付本合同总价款的95%（百分之九十五）。</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标的物质保期结束后，在乙方履行合同义务、不存在违约的情况下，乙方应向甲方提供符合甲方财务要求的付款通知书与票证资料，甲方在收到相关资料后的60个工作日内，向乙方支付本合同总价款的5%（百分之五）。</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质保期为验收合格之日起3年。质保期内，乙方按照以下约定提供服务。</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售后服务目录如下。</w:t>
      </w:r>
    </w:p>
    <w:tbl>
      <w:tblPr>
        <w:tblStyle w:val="32"/>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60"/>
        <w:gridCol w:w="1060"/>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9"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服务对象</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服务分类</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服务项目</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79" w:type="pct"/>
            <w:vMerge w:val="restart"/>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乙方产品</w:t>
            </w:r>
          </w:p>
        </w:tc>
        <w:tc>
          <w:tcPr>
            <w:tcW w:w="578" w:type="pct"/>
            <w:vMerge w:val="restart"/>
            <w:shd w:val="clear" w:color="auto" w:fill="auto"/>
            <w:noWrap/>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响应支持</w:t>
            </w:r>
          </w:p>
        </w:tc>
        <w:tc>
          <w:tcPr>
            <w:tcW w:w="578" w:type="pct"/>
            <w:shd w:val="clear" w:color="auto" w:fill="auto"/>
            <w:noWrap/>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事件驱动响应</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对外部事件、系统事件或安全事件导致的服务对象整体或部分性能下降、功能丧失进行响应，将服务对象恢复到正常状态，包括但不限于故障排除、应急响应等。设备损坏的，乙方负责免费更换，更换的部件质保期重新计算。维修期间乙方须提供同档次的备机备件，确保甲方业务连续性。</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 10 分钟，到场时间 3 小时，解决时间 6 小时。</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noWrap/>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服务请求响应</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服务内容：根据产品运行需要或甲方的服务请求进行响应，包括但不限于操作培训、设备搬迁、应急演练等。</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 10 分钟，到场时间 3 小时，解决时间根据需要由甲方指定。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restar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优化改善</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适应性改进</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服务内容：为保持服务对象在新环境中可持续运行而实施的优化改进，包括但不限于新设备接入集成等。</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增强性改进</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服务内容：根据服务对象的运行状况采取改进措施，增强服务对象的安全性、可用性和可靠性，包括但不限于功能调优、性能调优、固件升级、特征库升级等。乙方产品如有新版本且甲方需要，乙方应免费升级。</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预防性改进</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服务内容：检测和纠正服务对象运行过程中潜在的问题或缺陷，包括但不限于缺陷修复、补丁更新、配置优化等。</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调研评估</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调研评估</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服务内容：对服务对象的运行状况进行分析和评估，提出方案建议。</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bl>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所有费用由乙方承担，乙方不得向甲方和第三方收取其他任何费用。</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乙方驻场人员应按照甲方工作制度服从甲方管理。</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标的物经乙方2次维修或维修超过30天仍不能达到本合同约定标准的，或标的物经甲方送交具有法定资格条件的质量技术监督机构检测后，检测结果认定标的物质量不符合本合同约定标准的，则视作乙方不能交付标的物而违约，甲方有权退货并追究乙方的违约责任。</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对于隐蔽性的、合理的检查和试验都不能发觉的质量和安全缺陷，即使质保期已过，无论甲方是否购买维保服务，由于标的物本身的设计缺陷、制造缺陷、安装缺陷造成的故障或对甲方和第三方的财产、人身损害，仍由乙方免费负责维修、更换和承担赔偿责任。</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乙方须指派专人负责与甲方联系售后服务事宜。</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乙方应采取必要措施保障其产品和服务的安全性，发现其产品和服务存在安全缺陷、漏洞等风险、发生或可能发生安全事件时，应当立即采取补救措施，并及时告知甲方。</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乙方应配合甲方的网络与信息安全建设、测评、整改、应急、检查、审查等工作，及时向甲方提供必要的支持和协助。</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乙方对获取到的甲方有关信息负有为甲方保密的责任，甲乙双方须签订保密协议。</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若乙方未按时交付标的物的，每逾期1日，乙方应按合同总价款的万分之五 /日向甲方支付违约金；若逾期超过30日的，乙方除按合同总价款的万分之五 /日向甲方支付违约金外，还应按合同总价款的20％向甲方支付违约金，并且甲方有权单方解除合同，乙方应退还已收取的全部合同款及自甲方付款至乙方退款期间的利息（按同期银行贷款利率）。</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标的物存在质量、性能、安全等缺陷，或其质量、性能、安全等特性不符合本合同约定的标准而给甲方造成工作障碍、导致安全事件发生或致人损失的，乙方应承担全部法律和赔偿责任。此情况每出现1次，乙方应按合同总价款的3％/次向甲方支付违约金；若出现超过3 次或致甲方严重损失的，乙方除应按合同总价款的3％/次向甲方支付违约金外，还应按合同总价款的20％ 向甲方支付违约金，并且甲方有权单方解除合同，乙方应退还已收取的全部合同款及自甲方付款至乙方退款期间的利息（按同期银行贷款利率）。</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若乙方未按约定履行售后服务义务、网络安全义务的，每出现 1 次，乙方应按合同总价款的 1‰ /次向甲方支付违约金；若出现超过3次或致人损失的，乙方除应按合同总价款的 1‰ /次向甲方支付违约金外，还应按合同总价款的20％向甲方支付违约金，并且甲方有权单方解除合同，乙方应退还已收取的全部合同款及自甲方付款至乙方退款期间的利息（按同期银行贷款利率）。</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若乙方支付的违约金不足以弥补甲方损失的，乙方还应按甲方损失尚未弥补的部分，支付赔偿金给甲方。</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合同签订生效后的 30 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验收合格之日起 3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驻马店市中心医院9号楼无线内网覆盖采购项目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lang w:val="en-US" w:eastAsia="zh-CN"/>
              </w:rPr>
              <w:t>万元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9022"/>
      <w:bookmarkStart w:id="44" w:name="_Toc4700"/>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加“</w:t>
            </w:r>
            <w:r>
              <w:rPr>
                <w:rFonts w:hint="eastAsia" w:ascii="宋体" w:hAnsi="宋体" w:eastAsia="宋体" w:cs="宋体"/>
                <w:b w:val="0"/>
                <w:bCs w:val="0"/>
                <w:color w:val="auto"/>
                <w:kern w:val="0"/>
                <w:sz w:val="24"/>
                <w:szCs w:val="24"/>
                <w:highlight w:val="none"/>
                <w:shd w:val="clear" w:color="auto" w:fill="FFFFFF"/>
                <w:lang w:val="en-US" w:eastAsia="zh-CN" w:bidi="ar-SA"/>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非加“</w:t>
            </w:r>
            <w:r>
              <w:rPr>
                <w:rFonts w:hint="eastAsia" w:ascii="宋体" w:hAnsi="宋体" w:eastAsia="宋体" w:cs="宋体"/>
                <w:b w:val="0"/>
                <w:bCs w:val="0"/>
                <w:color w:val="auto"/>
                <w:kern w:val="0"/>
                <w:sz w:val="24"/>
                <w:szCs w:val="24"/>
                <w:highlight w:val="none"/>
                <w:shd w:val="clear" w:color="auto" w:fill="FFFFFF"/>
                <w:lang w:val="en-US" w:eastAsia="zh-CN" w:bidi="ar-SA"/>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482"/>
      <w:bookmarkStart w:id="48" w:name="_Toc1947"/>
      <w:bookmarkStart w:id="49" w:name="_Toc326786897"/>
      <w:bookmarkStart w:id="50" w:name="_Toc256519703"/>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总价）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625"/>
      <w:bookmarkStart w:id="71" w:name="_Toc12222"/>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9"/>
      <w:bookmarkEnd w:id="50"/>
      <w:bookmarkStart w:id="74" w:name="_Toc24984"/>
      <w:bookmarkStart w:id="75" w:name="_Toc22004"/>
      <w:r>
        <w:rPr>
          <w:rFonts w:hint="eastAsia" w:ascii="宋体" w:hAnsi="宋体" w:eastAsia="宋体" w:cs="宋体"/>
          <w:color w:val="auto"/>
          <w:highlight w:val="none"/>
        </w:rPr>
        <w:t>附件4报价明细表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26"/>
      <w:bookmarkStart w:id="77" w:name="_Toc15804"/>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0420"/>
      <w:bookmarkStart w:id="79" w:name="_Toc2996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驻马店市中心医院9号楼无线内网覆盖采购项目采购文件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驻马店市中心医院9号楼无线内网覆盖采购项目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7D5CC7"/>
    <w:rsid w:val="04C66C1A"/>
    <w:rsid w:val="068A0B4B"/>
    <w:rsid w:val="0750142A"/>
    <w:rsid w:val="07936C1F"/>
    <w:rsid w:val="080812F8"/>
    <w:rsid w:val="08C1066A"/>
    <w:rsid w:val="095857AF"/>
    <w:rsid w:val="0A6566E6"/>
    <w:rsid w:val="0B1413C2"/>
    <w:rsid w:val="0B69325C"/>
    <w:rsid w:val="0BEF4CA9"/>
    <w:rsid w:val="0C057F6B"/>
    <w:rsid w:val="0C6F5DE9"/>
    <w:rsid w:val="0C877CFB"/>
    <w:rsid w:val="0CE82491"/>
    <w:rsid w:val="0D3A1F53"/>
    <w:rsid w:val="0D5030A6"/>
    <w:rsid w:val="0D7116ED"/>
    <w:rsid w:val="0D8E6743"/>
    <w:rsid w:val="0D923C0B"/>
    <w:rsid w:val="0D961094"/>
    <w:rsid w:val="0DD203DE"/>
    <w:rsid w:val="0EDD4937"/>
    <w:rsid w:val="0F083E44"/>
    <w:rsid w:val="0FF85943"/>
    <w:rsid w:val="1003424E"/>
    <w:rsid w:val="100D65BF"/>
    <w:rsid w:val="10CF353C"/>
    <w:rsid w:val="11CE7E08"/>
    <w:rsid w:val="11F33019"/>
    <w:rsid w:val="12213B8E"/>
    <w:rsid w:val="12F40DF6"/>
    <w:rsid w:val="13695774"/>
    <w:rsid w:val="13F53FEC"/>
    <w:rsid w:val="14380591"/>
    <w:rsid w:val="144F7691"/>
    <w:rsid w:val="146A4213"/>
    <w:rsid w:val="148C5949"/>
    <w:rsid w:val="15155054"/>
    <w:rsid w:val="159B19FD"/>
    <w:rsid w:val="17312619"/>
    <w:rsid w:val="17547F84"/>
    <w:rsid w:val="18616F2E"/>
    <w:rsid w:val="19EB0503"/>
    <w:rsid w:val="1A2028DA"/>
    <w:rsid w:val="1A667D36"/>
    <w:rsid w:val="1A7F7CE9"/>
    <w:rsid w:val="1A856091"/>
    <w:rsid w:val="1B060913"/>
    <w:rsid w:val="1BC84A1C"/>
    <w:rsid w:val="1BDB2463"/>
    <w:rsid w:val="1C0E7EC3"/>
    <w:rsid w:val="1C2C60F9"/>
    <w:rsid w:val="1C5446B4"/>
    <w:rsid w:val="1C597898"/>
    <w:rsid w:val="1CDF0421"/>
    <w:rsid w:val="1D0E0D07"/>
    <w:rsid w:val="1DA32633"/>
    <w:rsid w:val="1E4470D6"/>
    <w:rsid w:val="1EAF1273"/>
    <w:rsid w:val="1F486752"/>
    <w:rsid w:val="210677EE"/>
    <w:rsid w:val="211547B3"/>
    <w:rsid w:val="212A2D39"/>
    <w:rsid w:val="222B4109"/>
    <w:rsid w:val="22D30A28"/>
    <w:rsid w:val="22F914CA"/>
    <w:rsid w:val="23F57CC4"/>
    <w:rsid w:val="241C7367"/>
    <w:rsid w:val="254370DC"/>
    <w:rsid w:val="25A93CC2"/>
    <w:rsid w:val="25C46BF1"/>
    <w:rsid w:val="25F74B89"/>
    <w:rsid w:val="267F6B83"/>
    <w:rsid w:val="291547CE"/>
    <w:rsid w:val="296D7CC2"/>
    <w:rsid w:val="296E0EB4"/>
    <w:rsid w:val="2976035F"/>
    <w:rsid w:val="2A7B1BDE"/>
    <w:rsid w:val="2AC82E3D"/>
    <w:rsid w:val="2AD830E5"/>
    <w:rsid w:val="2C2A1794"/>
    <w:rsid w:val="2C5C7953"/>
    <w:rsid w:val="2C92725E"/>
    <w:rsid w:val="2CE81EF4"/>
    <w:rsid w:val="2E366B06"/>
    <w:rsid w:val="2EBD258D"/>
    <w:rsid w:val="30FC2BBF"/>
    <w:rsid w:val="31035B63"/>
    <w:rsid w:val="3103706A"/>
    <w:rsid w:val="31603DCF"/>
    <w:rsid w:val="31986C26"/>
    <w:rsid w:val="31DB5FAA"/>
    <w:rsid w:val="322632A5"/>
    <w:rsid w:val="324059AE"/>
    <w:rsid w:val="333105F2"/>
    <w:rsid w:val="33F74D7E"/>
    <w:rsid w:val="34445835"/>
    <w:rsid w:val="346A0AC1"/>
    <w:rsid w:val="349A13A6"/>
    <w:rsid w:val="350D171A"/>
    <w:rsid w:val="35150A2C"/>
    <w:rsid w:val="35C7280A"/>
    <w:rsid w:val="35E2289C"/>
    <w:rsid w:val="36B907B2"/>
    <w:rsid w:val="37B207B5"/>
    <w:rsid w:val="382252E2"/>
    <w:rsid w:val="38865FCC"/>
    <w:rsid w:val="38912AC0"/>
    <w:rsid w:val="38D93693"/>
    <w:rsid w:val="38E928FC"/>
    <w:rsid w:val="38EC2E34"/>
    <w:rsid w:val="3987255E"/>
    <w:rsid w:val="39984708"/>
    <w:rsid w:val="39AE5E23"/>
    <w:rsid w:val="39E93199"/>
    <w:rsid w:val="3A145757"/>
    <w:rsid w:val="3AAD1707"/>
    <w:rsid w:val="3B546702"/>
    <w:rsid w:val="3BEB698B"/>
    <w:rsid w:val="3C265C15"/>
    <w:rsid w:val="3CE36288"/>
    <w:rsid w:val="3D226758"/>
    <w:rsid w:val="3D4E71D1"/>
    <w:rsid w:val="3DAA28E7"/>
    <w:rsid w:val="3E253D50"/>
    <w:rsid w:val="3EB43064"/>
    <w:rsid w:val="3FC512A1"/>
    <w:rsid w:val="3FC64050"/>
    <w:rsid w:val="3FC75496"/>
    <w:rsid w:val="40047331"/>
    <w:rsid w:val="411F75E2"/>
    <w:rsid w:val="415D5C35"/>
    <w:rsid w:val="41923405"/>
    <w:rsid w:val="42277FF1"/>
    <w:rsid w:val="42770F78"/>
    <w:rsid w:val="436D5ED7"/>
    <w:rsid w:val="43741014"/>
    <w:rsid w:val="441440F3"/>
    <w:rsid w:val="47962FDE"/>
    <w:rsid w:val="47CA1B4A"/>
    <w:rsid w:val="47EC7D13"/>
    <w:rsid w:val="47FE17F4"/>
    <w:rsid w:val="483B72D6"/>
    <w:rsid w:val="48A82426"/>
    <w:rsid w:val="48D10692"/>
    <w:rsid w:val="48E20F21"/>
    <w:rsid w:val="4914486F"/>
    <w:rsid w:val="49A95315"/>
    <w:rsid w:val="49DB1DED"/>
    <w:rsid w:val="4B007631"/>
    <w:rsid w:val="4B4B2D51"/>
    <w:rsid w:val="4BA803F5"/>
    <w:rsid w:val="4BBF74EC"/>
    <w:rsid w:val="4C185248"/>
    <w:rsid w:val="4C235CCD"/>
    <w:rsid w:val="4D127DDB"/>
    <w:rsid w:val="4D6F30D1"/>
    <w:rsid w:val="4DBD705E"/>
    <w:rsid w:val="4DD06B99"/>
    <w:rsid w:val="4E2E44B5"/>
    <w:rsid w:val="4F2C4E99"/>
    <w:rsid w:val="4F4E12B3"/>
    <w:rsid w:val="4F5B16A5"/>
    <w:rsid w:val="4F8E57CE"/>
    <w:rsid w:val="4F9B0496"/>
    <w:rsid w:val="4FFC63CE"/>
    <w:rsid w:val="509B6FFA"/>
    <w:rsid w:val="50AC7D95"/>
    <w:rsid w:val="519805C3"/>
    <w:rsid w:val="51F92A4C"/>
    <w:rsid w:val="52426781"/>
    <w:rsid w:val="52750905"/>
    <w:rsid w:val="52A864AB"/>
    <w:rsid w:val="53370970"/>
    <w:rsid w:val="539F20DD"/>
    <w:rsid w:val="54C87412"/>
    <w:rsid w:val="54CF5078"/>
    <w:rsid w:val="54E1471D"/>
    <w:rsid w:val="551C35C3"/>
    <w:rsid w:val="562528DD"/>
    <w:rsid w:val="56A812A9"/>
    <w:rsid w:val="56BB1BBC"/>
    <w:rsid w:val="56E10F23"/>
    <w:rsid w:val="57631674"/>
    <w:rsid w:val="57877110"/>
    <w:rsid w:val="58A12453"/>
    <w:rsid w:val="58AE4B70"/>
    <w:rsid w:val="590A18DC"/>
    <w:rsid w:val="5A295181"/>
    <w:rsid w:val="5A8A4DE4"/>
    <w:rsid w:val="5ABA15AB"/>
    <w:rsid w:val="5B1B7148"/>
    <w:rsid w:val="5C3918FB"/>
    <w:rsid w:val="5C5D3A0F"/>
    <w:rsid w:val="5CF50FC0"/>
    <w:rsid w:val="5D920CF7"/>
    <w:rsid w:val="5DD67A13"/>
    <w:rsid w:val="5E206E1E"/>
    <w:rsid w:val="5E371164"/>
    <w:rsid w:val="5E742597"/>
    <w:rsid w:val="5F0D70EB"/>
    <w:rsid w:val="5FB7255D"/>
    <w:rsid w:val="6071095D"/>
    <w:rsid w:val="62097280"/>
    <w:rsid w:val="624125B1"/>
    <w:rsid w:val="62A212A2"/>
    <w:rsid w:val="630C7063"/>
    <w:rsid w:val="637D0340"/>
    <w:rsid w:val="639F518E"/>
    <w:rsid w:val="63B514A9"/>
    <w:rsid w:val="63C35930"/>
    <w:rsid w:val="64164898"/>
    <w:rsid w:val="648246B8"/>
    <w:rsid w:val="65447343"/>
    <w:rsid w:val="65531B68"/>
    <w:rsid w:val="65A96DEB"/>
    <w:rsid w:val="66C86697"/>
    <w:rsid w:val="6716400D"/>
    <w:rsid w:val="679338AF"/>
    <w:rsid w:val="67C5345F"/>
    <w:rsid w:val="680631FA"/>
    <w:rsid w:val="68664B20"/>
    <w:rsid w:val="688F080C"/>
    <w:rsid w:val="68BC0BE4"/>
    <w:rsid w:val="68CD32D8"/>
    <w:rsid w:val="69552C6B"/>
    <w:rsid w:val="69F745C9"/>
    <w:rsid w:val="69FA5E67"/>
    <w:rsid w:val="6B9D4684"/>
    <w:rsid w:val="6BC54253"/>
    <w:rsid w:val="6BF02721"/>
    <w:rsid w:val="6C6D0B73"/>
    <w:rsid w:val="6C8B2DA7"/>
    <w:rsid w:val="6D891ABD"/>
    <w:rsid w:val="6DB359B4"/>
    <w:rsid w:val="6E3D1FD3"/>
    <w:rsid w:val="6E851FCC"/>
    <w:rsid w:val="6F0D200D"/>
    <w:rsid w:val="6F0D3F47"/>
    <w:rsid w:val="6F6126B0"/>
    <w:rsid w:val="6F797E6A"/>
    <w:rsid w:val="707912DA"/>
    <w:rsid w:val="708446DD"/>
    <w:rsid w:val="71C01745"/>
    <w:rsid w:val="722A3D19"/>
    <w:rsid w:val="72777687"/>
    <w:rsid w:val="73304612"/>
    <w:rsid w:val="740F40B8"/>
    <w:rsid w:val="74726C59"/>
    <w:rsid w:val="74730F39"/>
    <w:rsid w:val="749879EC"/>
    <w:rsid w:val="74C76A1C"/>
    <w:rsid w:val="76076E1C"/>
    <w:rsid w:val="76610A35"/>
    <w:rsid w:val="77134C4A"/>
    <w:rsid w:val="773F4EBA"/>
    <w:rsid w:val="77520D58"/>
    <w:rsid w:val="77EE068E"/>
    <w:rsid w:val="781F2ADC"/>
    <w:rsid w:val="78570929"/>
    <w:rsid w:val="78902F96"/>
    <w:rsid w:val="79163B3B"/>
    <w:rsid w:val="7922042A"/>
    <w:rsid w:val="793B7903"/>
    <w:rsid w:val="795069DB"/>
    <w:rsid w:val="79986B03"/>
    <w:rsid w:val="7A106FE1"/>
    <w:rsid w:val="7A374F60"/>
    <w:rsid w:val="7B0751B9"/>
    <w:rsid w:val="7B227200"/>
    <w:rsid w:val="7B4A3BA0"/>
    <w:rsid w:val="7B580C40"/>
    <w:rsid w:val="7B603535"/>
    <w:rsid w:val="7B6D32FA"/>
    <w:rsid w:val="7C764ED8"/>
    <w:rsid w:val="7C855A65"/>
    <w:rsid w:val="7D2346C8"/>
    <w:rsid w:val="7DB51566"/>
    <w:rsid w:val="7E0B3D48"/>
    <w:rsid w:val="7E3F7F0D"/>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2024-03-20T02:42:30Z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6C1162D1F680444E9F460E2444F7B4D0_13</vt:lpwstr>
  </property>
  <property fmtid="{D5CDD505-2E9C-101B-9397-08002B2CF9AE}" pid="4" name="commondata">
    <vt:lpwstr>eyJoZGlkIjoiYzIwMjRmYTY4OTJhZjc1NTA1MGQwNDc0NzZhNTkwMmUifQ==</vt:lpwstr>
  </property>
</Properties>
</file>