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驻马店市中心医院康复治疗系统采购项目</w:t>
      </w:r>
    </w:p>
    <w:p>
      <w:pPr>
        <w:pStyle w:val="20"/>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20"/>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20"/>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jc w:val="center"/>
        <w:rPr>
          <w:rFonts w:hint="eastAsia" w:ascii="宋体" w:hAnsi="宋体" w:eastAsia="宋体" w:cs="宋体"/>
          <w:color w:val="auto"/>
          <w:highlight w:val="none"/>
        </w:rPr>
      </w:pPr>
      <w:r>
        <w:rPr>
          <w:rFonts w:hint="eastAsia" w:ascii="宋体" w:hAnsi="宋体" w:eastAsia="宋体" w:cs="宋体"/>
          <w:b/>
          <w:bCs/>
          <w:color w:val="auto"/>
          <w:sz w:val="36"/>
          <w:szCs w:val="36"/>
          <w:highlight w:val="none"/>
        </w:rPr>
        <w:t>目录</w:t>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驻马店市中心医院康复治疗系统采购项目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健康复治疗系统采购项目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驻马店市中心医院康复治疗系统采购项目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49</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cs="宋体"/>
          <w:color w:val="auto"/>
          <w:sz w:val="24"/>
          <w:szCs w:val="24"/>
          <w:highlight w:val="none"/>
          <w:shd w:val="clear" w:color="auto" w:fill="FFFFFF"/>
          <w:lang w:val="en-US" w:eastAsia="zh-CN"/>
        </w:rPr>
        <w:t>交货期：以采购人要求为准</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7913"/>
      <w:bookmarkStart w:id="10" w:name="_Toc26079"/>
      <w:bookmarkStart w:id="11" w:name="_Toc19521"/>
      <w:bookmarkStart w:id="12" w:name="_Toc21071"/>
      <w:bookmarkStart w:id="13" w:name="_Toc24040"/>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23626"/>
      <w:bookmarkStart w:id="16" w:name="_Toc27704"/>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highlight w:val="none"/>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7823"/>
      <w:bookmarkStart w:id="20" w:name="_Toc23395"/>
      <w:bookmarkStart w:id="21" w:name="_Toc9562"/>
      <w:bookmarkStart w:id="22" w:name="_Toc30971"/>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14</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4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4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5869"/>
      <w:bookmarkStart w:id="24" w:name="_Toc15135"/>
      <w:bookmarkStart w:id="25" w:name="_Toc27480"/>
      <w:bookmarkStart w:id="26" w:name="_Toc15111"/>
      <w:bookmarkStart w:id="27" w:name="_Toc1073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0287"/>
      <w:bookmarkStart w:id="29" w:name="_Toc30918"/>
      <w:bookmarkStart w:id="30" w:name="_Toc6523"/>
      <w:bookmarkStart w:id="31" w:name="_Toc2978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16291"/>
      <w:bookmarkStart w:id="33" w:name="_Toc3604"/>
      <w:bookmarkStart w:id="34" w:name="_Toc31928"/>
      <w:bookmarkStart w:id="35" w:name="_Toc27370"/>
      <w:bookmarkStart w:id="36" w:name="_Toc2427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1.采购人：驻马店市中心医院</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地址：驻马店市中华大道747号</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电话：0396-2726379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2.采购代理机构：大成工程咨询有限公司</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地址：驻马店市骏马路与泰山路交叉口广泰大厦22层</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联系人：张先生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联系方式：15518321111</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center"/>
        <w:textAlignment w:val="auto"/>
        <w:rPr>
          <w:rFonts w:hint="eastAsia" w:ascii="宋体" w:hAnsi="宋体" w:eastAsia="宋体" w:cs="宋体"/>
          <w:color w:val="auto"/>
        </w:rPr>
      </w:pPr>
      <w:r>
        <w:rPr>
          <w:rFonts w:hint="eastAsia" w:ascii="宋体" w:hAnsi="宋体" w:cs="宋体"/>
          <w:color w:val="auto"/>
          <w:kern w:val="0"/>
          <w:sz w:val="24"/>
          <w:szCs w:val="24"/>
          <w:shd w:val="clear" w:color="auto" w:fill="FFFFFF"/>
          <w:lang w:val="en-US" w:eastAsia="zh-CN" w:bidi="ar-SA"/>
        </w:rPr>
        <w:t xml:space="preserve">                                                 </w:t>
      </w: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13</w:t>
      </w:r>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31536"/>
      <w:bookmarkStart w:id="38" w:name="_Toc9989"/>
      <w:bookmarkStart w:id="39" w:name="_Toc23610"/>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驻马店市中心医院康复治疗系统采购项目</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bookmarkEnd w:id="6"/>
    <w:bookmarkEnd w:id="7"/>
    <w:tbl>
      <w:tblPr>
        <w:tblStyle w:val="33"/>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563"/>
        <w:gridCol w:w="885"/>
        <w:gridCol w:w="915"/>
        <w:gridCol w:w="1214"/>
        <w:gridCol w:w="1010"/>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vAlign w:val="center"/>
          </w:tcPr>
          <w:p>
            <w:pPr>
              <w:pStyle w:val="11"/>
              <w:spacing w:before="0" w:beforeAutospacing="0" w:after="0" w:line="400" w:lineRule="exact"/>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2563" w:type="dxa"/>
            <w:vAlign w:val="center"/>
          </w:tcPr>
          <w:p>
            <w:pPr>
              <w:pStyle w:val="11"/>
              <w:spacing w:before="0" w:beforeAutospacing="0" w:after="0" w:line="400" w:lineRule="exact"/>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标的名称</w:t>
            </w:r>
          </w:p>
        </w:tc>
        <w:tc>
          <w:tcPr>
            <w:tcW w:w="885" w:type="dxa"/>
            <w:vAlign w:val="center"/>
          </w:tcPr>
          <w:p>
            <w:pPr>
              <w:pStyle w:val="11"/>
              <w:spacing w:before="0" w:beforeAutospacing="0" w:after="0" w:line="400" w:lineRule="exact"/>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w:t>
            </w:r>
          </w:p>
        </w:tc>
        <w:tc>
          <w:tcPr>
            <w:tcW w:w="915" w:type="dxa"/>
            <w:vAlign w:val="center"/>
          </w:tcPr>
          <w:p>
            <w:pPr>
              <w:pStyle w:val="11"/>
              <w:spacing w:before="0" w:beforeAutospacing="0" w:after="0" w:line="400" w:lineRule="exact"/>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p>
        </w:tc>
        <w:tc>
          <w:tcPr>
            <w:tcW w:w="1214" w:type="dxa"/>
            <w:vAlign w:val="center"/>
          </w:tcPr>
          <w:p>
            <w:pPr>
              <w:pStyle w:val="11"/>
              <w:spacing w:before="0" w:beforeAutospacing="0" w:after="0" w:line="400" w:lineRule="exact"/>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资金预算</w:t>
            </w:r>
          </w:p>
        </w:tc>
        <w:tc>
          <w:tcPr>
            <w:tcW w:w="1010" w:type="dxa"/>
            <w:vAlign w:val="center"/>
          </w:tcPr>
          <w:p>
            <w:pPr>
              <w:pStyle w:val="11"/>
              <w:spacing w:before="0" w:beforeAutospacing="0" w:after="0" w:line="400" w:lineRule="exact"/>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资金性质</w:t>
            </w:r>
          </w:p>
        </w:tc>
        <w:tc>
          <w:tcPr>
            <w:tcW w:w="1244" w:type="dxa"/>
            <w:vAlign w:val="center"/>
          </w:tcPr>
          <w:p>
            <w:pPr>
              <w:pStyle w:val="11"/>
              <w:spacing w:before="0" w:beforeAutospacing="0" w:after="0" w:line="400" w:lineRule="exact"/>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5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56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康复治疗管理系统</w:t>
            </w:r>
          </w:p>
        </w:tc>
        <w:tc>
          <w:tcPr>
            <w:tcW w:w="88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91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1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46万</w:t>
            </w:r>
          </w:p>
        </w:tc>
        <w:tc>
          <w:tcPr>
            <w:tcW w:w="101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自筹</w:t>
            </w:r>
          </w:p>
        </w:tc>
        <w:tc>
          <w:tcPr>
            <w:tcW w:w="124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56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平板电脑</w:t>
            </w:r>
          </w:p>
        </w:tc>
        <w:tc>
          <w:tcPr>
            <w:tcW w:w="88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91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21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1万</w:t>
            </w:r>
          </w:p>
        </w:tc>
        <w:tc>
          <w:tcPr>
            <w:tcW w:w="101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自筹</w:t>
            </w:r>
          </w:p>
        </w:tc>
        <w:tc>
          <w:tcPr>
            <w:tcW w:w="124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5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56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电视大屏</w:t>
            </w:r>
          </w:p>
        </w:tc>
        <w:tc>
          <w:tcPr>
            <w:tcW w:w="88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91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21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2万</w:t>
            </w:r>
          </w:p>
        </w:tc>
        <w:tc>
          <w:tcPr>
            <w:tcW w:w="101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自筹</w:t>
            </w:r>
          </w:p>
        </w:tc>
        <w:tc>
          <w:tcPr>
            <w:tcW w:w="124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5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总计</w:t>
            </w:r>
          </w:p>
        </w:tc>
        <w:tc>
          <w:tcPr>
            <w:tcW w:w="256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c>
          <w:tcPr>
            <w:tcW w:w="915"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c>
          <w:tcPr>
            <w:tcW w:w="121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49万</w:t>
            </w:r>
          </w:p>
        </w:tc>
        <w:tc>
          <w:tcPr>
            <w:tcW w:w="101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c>
          <w:tcPr>
            <w:tcW w:w="124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cs="宋体"/>
          <w:b/>
          <w:bCs/>
          <w:color w:val="auto"/>
          <w:kern w:val="0"/>
          <w:sz w:val="24"/>
          <w:szCs w:val="24"/>
          <w:highlight w:val="none"/>
          <w:shd w:val="clear" w:color="auto" w:fill="FFFFFF"/>
          <w:lang w:val="en-US" w:eastAsia="zh-CN" w:bidi="ar-SA"/>
        </w:rPr>
        <w:t>二、</w:t>
      </w:r>
      <w:r>
        <w:rPr>
          <w:rFonts w:hint="eastAsia" w:ascii="宋体" w:hAnsi="宋体" w:eastAsia="宋体" w:cs="宋体"/>
          <w:b/>
          <w:bCs/>
          <w:color w:val="auto"/>
          <w:kern w:val="0"/>
          <w:sz w:val="24"/>
          <w:szCs w:val="24"/>
          <w:highlight w:val="none"/>
          <w:shd w:val="clear" w:color="auto" w:fill="FFFFFF"/>
          <w:lang w:val="en-US" w:eastAsia="zh-CN" w:bidi="ar-SA"/>
        </w:rPr>
        <w:t>技术要求</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总体技术要求</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具备日志记录功能，能够监测并记录用户的登录和操作、软件发生的事件和错误等信息，留存相关日志不少于六个月。</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具备数据传输和存储加密功能，符合有关法律法规和商用密码标准的要求。</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数据须存储在医院院内服务器上，不得存储在院外网络服务器或互联网云端。</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rPr>
        <w:t>负责康复治疗管理系统中涉及硬件设备的施工安装调试工作，与医院已建成HIS、LIS、PACS、集成平台等系统进行对接，实现与我院信息系统间的互联互通，医院不再承担接口费用。</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治疗相关单据根据科室要求实现无纸化归档，支持可靠的电子签名，B／S架构,系统支持热升级。</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满足国家电子病历系统功能应用水平分级评价的要求，助力医院通过高等级（六级及以上）电子病历评审。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系统功能性技术要求</w:t>
      </w:r>
    </w:p>
    <w:tbl>
      <w:tblPr>
        <w:tblStyle w:val="33"/>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
        <w:gridCol w:w="785"/>
        <w:gridCol w:w="4"/>
        <w:gridCol w:w="1827"/>
        <w:gridCol w:w="4"/>
        <w:gridCol w:w="7039"/>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213" w:hRule="atLeast"/>
          <w:jc w:val="center"/>
        </w:trPr>
        <w:tc>
          <w:tcPr>
            <w:tcW w:w="789"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83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模块名称</w:t>
            </w:r>
          </w:p>
        </w:tc>
        <w:tc>
          <w:tcPr>
            <w:tcW w:w="7043" w:type="dxa"/>
            <w:gridSpan w:val="2"/>
            <w:vAlign w:val="bottom"/>
          </w:tcPr>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trHeight w:val="557" w:hRule="atLeast"/>
          <w:jc w:val="center"/>
        </w:trPr>
        <w:tc>
          <w:tcPr>
            <w:tcW w:w="789"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83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系统基础需求</w:t>
            </w:r>
          </w:p>
        </w:tc>
        <w:tc>
          <w:tcPr>
            <w:tcW w:w="7043" w:type="dxa"/>
            <w:gridSpan w:val="2"/>
            <w:vAlign w:val="bottom"/>
          </w:tcPr>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1.支持常用浏览器，移动设备登录系统，方便系统部署、维护、使用和升级；</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2.在Windows、Linux等多种服务器版操作系统上灵活部署；</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3.支持Oracle、SQL Server、MySQL等通用关系型数据库，方便数据管理和系统维护；</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4.提供用户注册与权限管理，节点管理、监控管理、服务管理（各功能系统管理）、日志管理、安全审计、配置管理、资源目录、视频会议等平台基本管理功能，并实现与各功能系统无缝融合、一体化操作管理；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5.支持三级康复分级诊疗网络信息系统、区域远程康复、康复医联体；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671" w:hRule="atLeast"/>
          <w:jc w:val="center"/>
        </w:trPr>
        <w:tc>
          <w:tcPr>
            <w:tcW w:w="79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83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电脑端业务要求</w:t>
            </w:r>
          </w:p>
        </w:tc>
        <w:tc>
          <w:tcPr>
            <w:tcW w:w="7043" w:type="dxa"/>
            <w:gridSpan w:val="2"/>
          </w:tcPr>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1、概述：</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（1）涵盖康复门诊、住院、床旁、多院区的闭环管理流程，包含患者建档、评估管理、治疗管理、归档管理和随访管理等。</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（2）包括患者管理、评估管理、治疗管理、病历归档、站内消息、排班管理、随访管理、知识库管理、系统管理、设备管理、统计管理、移动端应用等。</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（3）结合医院康复科室现状与未来康复科管理的需要相结合，定制康复管理的业务流程。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2、患者管理：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（1）对接院内HIS系统或平台，自动将需要进行康复的患者信息（姓名、性别、年龄等基础信息和临床基础信息等）同步至康复系统，保证患者信息与院内其他系统的信息一致。</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（2）根据特定条件查询HIS系统或平台，登记指定患者。</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（3）支持手工登记患者，录入患者基础信息、临床信息等。</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（4）自动同步住院患者在院状态信息。</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（5）患者列表显示患者姓名、性别、年龄、登记时间等以及诊断、治疗状态、主管医生等在院患者信息。</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★（6）支持以颜色方式区分评估及治疗的状态，便于医生实时查看患者当前康复状态。支持未开始、待分派、待执行、已完成的状态显示。（提供功能截图）</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（7）支持康复医生开立康复医嘱、长期医嘱、临时医嘱，能指定医嘱数量、频次、执行科室等信息，同时支持对新开立的医嘱进行自动排程。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（8）实现点击患者列表可显示该患者的医嘱ID、医嘱名称、执行科室、开立时间、医嘱状态等内容。</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支持康复病历视图模式，包括查询患者历次门诊、住院期间的电子病历、检验、医嘱、检查等详细信息，支持医技影像对比浏览，检验项目的变化显示，以及评估对比、治疗方案、治疗记录单等。（提供功能截图）</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★（10）支持患者的初期、中期、末期的评估表单的对比；支持同一患者历次就诊的评估对比、子表单的对比。（提供功能截图）</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（11）支持对历次评估时采集的图像、视频等进行对比。</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（12）支持查看患者本次就诊所有基础信息、临床信息、康复医嘱信息、评估信息、治疗信息、归档信息，支持患者本次就医活动时间轴查看。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（13）支持查看患者历次康复就诊的信息。</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（14）支持患者SOAP的录入。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（15）支持患者治疗不同阶段治疗小节的录入编辑。</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（16）支持浏览患者康复费用信息，包含收费项目、单价、数量、总价、执行时间、执行科室等费用明细。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（17）支持同时打开多个患者，并进行业务管理，且可对不同患者管理不同的业务，如可同时打开A患者的评估报告、B患者的治疗方案、C患者的病历详情。</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3、评定（估）管理：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（1）支持对接HIS系统同步评估医嘱。</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（2）支持对接院内HIS系统收费，可根据清单或医嘱同步收费，支持自动收费和手工收费，支持查看收费明细。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（3）支持快速过滤当日评估医嘱和历史医嘱，支持通过分派状态、医嘱状态、开嘱日期快速查询评估医嘱。</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（4）支持特定权限用户查看指定医生的评估任务，并可以进行评估、收费、取消等操作。</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（5）支持评估分派功能：康复医生给患者下了评估医嘱后，由治疗师组长分派给指定的治疗师进行患者评估。</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（6）评估分派支持多条医嘱合并分派，并支持根据不同病种指定评估项目套餐。</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（7）支持按病种建立评定方案模板，推荐预设方案、历史方案。</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（8）支持结构化评估表单功能，包括多种国际通用评估量表组套管理。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（9）支持移动端评估填写。</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（10）支持在评估过程拍摄图像、录制视频。</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（11）支持评估结果同表单历史评估记录对比。</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（12）支持根据用户实际需求进行评定表结构化定制开发，评估表单支持导入、导出、对比、打印、查看。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（13）支持时间轴显示评估操作人与评估完成时间。</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（14）评估量表支持规则计算、支持多种控件类型。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（15）支持评估审核。</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（16）支持快速对患者追加复评。</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（17）支持管理人员对评估医嘱进行批量分派。</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★（18）支持在评估时，查看对应评估项目的知识库，包括评估项目定义、适应症、禁忌症、设备与用具、操作方法与步骤、注意事项、评定标准、引用图片等内容。（提供功能截图）</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4、治疗管理：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（1）康复治疗支持对接HIS或平台接口，抓取或接收治疗医嘱，支持下达医嘱消息提醒。</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（2）支持指定权限自定义配置查询指定治疗医嘱信息，进行治疗医嘱分派。</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（3）支持治疗分派界面显示医嘱名称、数量、频次等信息，实现康复病历视图查看和治疗信息查看和已经排程的康复信息查看。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（4）已抓取的治疗医嘱支持多条件查询，如历史/当日、分派状态、医嘱状态等。</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（5）支持康复治疗医嘱单独、批量分派、转派。</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（6）支持按照项目时间区间进行治疗项目安排，包括临时安排和长期安排（周一至周日选择）。</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（7）支持治疗计划审核及退回，退回原因需支持自定义字典、备注说明。</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（8）支持治疗排程计划表打印，显示内容包括治疗时间、项目名称、治疗地点、治疗师和治疗日期。</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（9）支持患者ICF编码管理，可以随时编辑患者的ICF编码。</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（10）支持单次、批量完成任务。支持完成任务时自动一键扣费（完成HIS收付费）。</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（11）支持查看治疗任务对照的治疗医嘱。</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（12）支持患者移动端查看当日治疗任务及治疗完成情况。</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（13）支持扫码方式进行治疗确认工作。</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（14）我的治疗任务支持查看患者详情、评估、患者病历，取消排程、设置未完成、转派任务、完成任务、查看收费明细。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（15）支持查看分派的治疗医嘱备注。</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（16）支持长期、短期治疗计划，支持治疗地点自动关联、手动选择。</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（17）支持治疗计划单的打印。</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（18）支持非HIS医嘱模式快速完成治疗计划。</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（19）支持抢单模式完成治疗任务。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（20）支持特殊权限对已经完成的治疗任务，进行状态修改。</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5、病历归档：</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（1）支持患者自动归档及手动归档。</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（2）病历归档支持对接HIS系统获取患者状态，根据出院状态自动把患者治疗记录单等传给平台，平台与无纸化对接实现，最终实现康复病历的无纸化归档。</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（3）支持病例归档管理，康复医生填写基于康复患者的结案意见；</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（4）支持历史数据保存可供查阅；</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（5）支持通过患者姓名、住院号、归档时间区间等检索患者病历；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★（6）支持归档时可以设置患者的随访计划。（提供功能截图）</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（7）支持对归档患者进行恢复，重新纳入康复患者列表并进行康复管理。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6、随访管理：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（1）支持在归档时选择随访模板，对患者进行跟进随访。</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（2）支持设置随访计划、随访模板对患者进行随访跟进。</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（3）支持定制随访方式、随访计划。</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（4）支持服务质量和医疗质量随访。</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（5）支持根据诊断、康复医生、治疗师等因素定制随访表单内容。</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（6）支持分病种随访表单定制，支持智能化随访移动端推送。</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（7）支持随访开始日期、过期提醒。</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7、排程管理：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（1）支持评估排程和治疗排程。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（2）支持按治疗师、康复设备、康复场地、患者等多个维度的排程管理。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（3）支持治疗师和设备、治疗方法的关联设置。</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（4）支持治疗排程时患者、治疗师、设备、场地占用情况的智能提示。</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（5）支持查看治疗师和设备的占用情况查看；支持在治疗排程时进行日期、设备、医生、地点和备注的选择录入。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（6）支持临时排程和长期排程。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（7）支持排程打印。</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（8）支持排班的大屏显示。</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（9）支持自定义设置治疗师、治疗设备、治疗项目的组合大屏看板显示。</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（10）支持智能切换时间、滚屏操作。</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8、团队会议：</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（1）支持团队管理，维护组长、组员、主管医生。</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（2）支持各种视频会议接口。</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（3）支持开展线上、线下模式的团队会议。</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（4）支持入会签到管理。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（5）可以指定会议时间，模式、类型、主题、参会人。</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（6）支持会议选择单个或多个患者，支持查看选中的患者信息、评估、治疗、医嘱、病历等信息。</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（7）支持参会人员分别独立撰写会议记录或由指定人员撰写会议记录。</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（8）支持会议任务追踪管理。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9、知识库管理：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（1）支持评估量表库：实现管理医生自己的评估模板库，可以自己创建，也可以从平台公共模板库导入。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（2）支持随访问卷库：实现医生可以自己创建随访问卷，也可以从平台公共问卷库导入。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（3）支持康复治疗方案库：实现管理医生自己的康复方案库，可以自己创建，也可以从平台公共方案库导入。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（4）支持患教资料库：实现在此可以管理医生自己的患教资料库，可以自己创建，也可以从平台公共患教库导入。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10、患教资料管理：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（1）支持患教资料录入，支持各个类型资料配置。</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（2）支持图文混排，支持视频上传。</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★（3）支持新媒体、新技术，如3D动画视频教学。（提供功能截图）</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（4）支持宣教资料移动端关联。</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11、系统管理：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（1）权限配置管理，能配置不同的角色。</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（2）支持科室管理、人员管理、权限管理、角色管理、费用管理等功能。</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（3）实现评估模板管理，根据项目类型、单次时间、单次价格设置。</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（4）实现自定义模板报告类型，可以快速录入相关信息。</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（5）实现设置编码类型、类型名称等。</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（6）支持设备管理维护，进行相关设备信息记录，例如设备厂商、型号、购买日期、维保时间等。</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（7）支持治疗项目管理，可以设置收费价格、治疗时长，支持设置治疗地点、治疗部位、上传治疗说明附件等。</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（8）支持康复医嘱维护管理，配置医嘱和治疗项目及评估的关联；并支持自动、手动同步医嘱费用。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4244" w:hRule="atLeast"/>
          <w:jc w:val="center"/>
        </w:trPr>
        <w:tc>
          <w:tcPr>
            <w:tcW w:w="79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183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移动端康复医生需求</w:t>
            </w:r>
          </w:p>
        </w:tc>
        <w:tc>
          <w:tcPr>
            <w:tcW w:w="7043" w:type="dxa"/>
            <w:gridSpan w:val="2"/>
          </w:tcPr>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1.支持医生帐号同步；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2.支持移动端查看我的患者列表；</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3.支持移动端查看我的患者病历；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4.支持移动端查看评估任务；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5.支持移动端完成评估评定；</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6.支持移动端查看我的治疗任务；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7.支持移动端完成我的治疗任务；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8.支持移动端查看患教资料；</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9.支持移动端通过扫描二维码快速定位患者。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3304" w:hRule="atLeast"/>
          <w:jc w:val="center"/>
        </w:trPr>
        <w:tc>
          <w:tcPr>
            <w:tcW w:w="79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183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移动端康复患者需求</w:t>
            </w:r>
          </w:p>
        </w:tc>
        <w:tc>
          <w:tcPr>
            <w:tcW w:w="7043" w:type="dxa"/>
            <w:gridSpan w:val="2"/>
          </w:tcPr>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1.支持微信绑定；</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2.支持健康卡维护，绑定多张就诊卡；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3.支持移动端查看我的病历；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4.支持移动端查看评估报告；</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5.支持移动端查看我的治疗任务；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6.支持移动端查看我的治疗排程；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7.支持移动端出示二维码提供给医生进行扫描。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3304" w:hRule="atLeast"/>
          <w:jc w:val="center"/>
        </w:trPr>
        <w:tc>
          <w:tcPr>
            <w:tcW w:w="79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183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统计查询</w:t>
            </w:r>
          </w:p>
        </w:tc>
        <w:tc>
          <w:tcPr>
            <w:tcW w:w="7043" w:type="dxa"/>
            <w:gridSpan w:val="2"/>
          </w:tcPr>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1.支持个人工作统计，医嘱、手法项目、设备项目、费用等。</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2.支持团队工作统计，医嘱、手法项目、设备项目、费用等。</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3.支持院内统计，快捷展示当前医院患者量，项目治疗量，设备利用率，治疗总量、治疗组工作量、治疗师工作量，并可以进行详细查看。</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4.便捷生成统计报表，并能够定制报表格式，依据管理的需要，可形成日报、周报或月报。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5.内置数据可视化方案（柱状图、饼状图、折线图、数据地图等）。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1782" w:hRule="atLeast"/>
          <w:jc w:val="center"/>
        </w:trPr>
        <w:tc>
          <w:tcPr>
            <w:tcW w:w="79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1831" w:type="dxa"/>
            <w:gridSpan w:val="2"/>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第三方接口</w:t>
            </w:r>
          </w:p>
        </w:tc>
        <w:tc>
          <w:tcPr>
            <w:tcW w:w="7043" w:type="dxa"/>
            <w:gridSpan w:val="2"/>
          </w:tcPr>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1.支持与院内HIS、EMR、PACS/RIS、LIS、无纸化、电子签名系统的免费接口对接。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2.支持院内集成平台接口对接。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3.支持电子病历6级评审接需求。</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硬件设备要求</w:t>
      </w:r>
    </w:p>
    <w:tbl>
      <w:tblPr>
        <w:tblStyle w:val="33"/>
        <w:tblW w:w="966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平板电脑</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（数量：6台）</w:t>
            </w:r>
          </w:p>
        </w:tc>
        <w:tc>
          <w:tcPr>
            <w:tcW w:w="7035" w:type="dxa"/>
          </w:tcPr>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1、支持2.4G、5GWifi信号连接</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2、后置摄像头;≥500W</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3、前置摄像头：≥500W</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4、屏幕分辨率：≥2k</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5、屏幕尺寸：≥10.4英寸</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6、应用内存：≥6G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vAlign w:val="center"/>
          </w:tcPr>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智慧屏</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（数量：5台）</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7035" w:type="dxa"/>
          </w:tcPr>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1、支持壁挂</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2、屏幕尺寸≥65寸；</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3、亮度≥200cd/m2；</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4、对比度≥1000:1；</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5、响应时间≦8ms；</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6、刷新率≥60Hz；</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7、分辨率≥1920*1080；</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8、接口支持HDMI或DisplayPort；</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4.服务响应要求</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rPr>
        <w:t>（1）提供7*24小时电话、QQ、热线电话、远程网络、现场等技术支持服务，对于系统故障，在接到用户报修电话后，1小时内给予响应，积极配合诊断并进行处理。</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（2）如判断故障无法远程排除，立即安排高级技术人员在接到报修电话后，4小时内到达现场进行维护或维修，在12小时内无法解决的应提供同型号备机保障系统的正常运行。</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（3）提供从系统验收合格之日起，软硬件系统至少3年的免费质保服务，时间自项目整体最终验收合格并交付使用之日起计算。</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（4）系统上线验收前，投标方需至少安排不少于一名服务人员驻场服务，具体时间与医院正常上班时间相同。</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（5）维护期内提供免费升级软件</w:t>
      </w:r>
      <w:r>
        <w:rPr>
          <w:rFonts w:hint="eastAsia" w:ascii="宋体" w:hAnsi="宋体" w:cs="宋体"/>
          <w:b w:val="0"/>
          <w:bCs w:val="0"/>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不少于3年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0"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驻马店市中心医院康复治疗系统采购项目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49</w:t>
            </w:r>
            <w:r>
              <w:rPr>
                <w:rFonts w:hint="eastAsia" w:ascii="宋体" w:hAnsi="宋体" w:eastAsia="宋体" w:cs="宋体"/>
                <w:color w:val="auto"/>
                <w:kern w:val="0"/>
                <w:sz w:val="24"/>
                <w:szCs w:val="24"/>
                <w:highlight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49</w:t>
      </w:r>
      <w:r>
        <w:rPr>
          <w:rFonts w:hint="eastAsia" w:ascii="宋体" w:hAnsi="宋体" w:eastAsia="宋体" w:cs="宋体"/>
          <w:b/>
          <w:bCs/>
          <w:color w:val="auto"/>
          <w:kern w:val="0"/>
          <w:sz w:val="24"/>
          <w:szCs w:val="24"/>
          <w:highlight w:val="none"/>
          <w:lang w:eastAsia="zh-CN"/>
        </w:rPr>
        <w:t>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43" w:name="_Toc9022"/>
      <w:bookmarkStart w:id="44" w:name="_Toc4700"/>
      <w:bookmarkStart w:id="45"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投标人对“第二章  采购需</w:t>
            </w:r>
            <w:r>
              <w:rPr>
                <w:rFonts w:hint="eastAsia" w:ascii="宋体" w:hAnsi="宋体" w:eastAsia="宋体" w:cs="宋体"/>
                <w:b w:val="0"/>
                <w:bCs w:val="0"/>
                <w:color w:val="auto"/>
                <w:sz w:val="24"/>
                <w:szCs w:val="24"/>
                <w:highlight w:val="none"/>
                <w:lang w:eastAsia="zh-CN"/>
              </w:rPr>
              <w:t>求</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kern w:val="0"/>
                <w:sz w:val="24"/>
                <w:szCs w:val="24"/>
                <w:highlight w:val="none"/>
                <w:shd w:val="clear" w:color="auto" w:fill="FFFFFF"/>
                <w:lang w:val="en-US" w:eastAsia="zh-CN" w:bidi="ar-SA"/>
              </w:rPr>
              <w:t>二、</w:t>
            </w:r>
            <w:r>
              <w:rPr>
                <w:rFonts w:hint="eastAsia" w:ascii="宋体" w:hAnsi="宋体" w:eastAsia="宋体" w:cs="宋体"/>
                <w:b w:val="0"/>
                <w:bCs w:val="0"/>
                <w:color w:val="auto"/>
                <w:kern w:val="0"/>
                <w:sz w:val="24"/>
                <w:szCs w:val="24"/>
                <w:highlight w:val="none"/>
                <w:shd w:val="clear" w:color="auto" w:fill="FFFFFF"/>
                <w:lang w:val="en-US" w:eastAsia="zh-CN" w:bidi="ar-SA"/>
              </w:rPr>
              <w:t>技术要求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lang w:eastAsia="zh-CN"/>
              </w:rPr>
              <w:t>参数要求的响应，所投内容全部满足磋商文</w:t>
            </w:r>
            <w:bookmarkStart w:id="91" w:name="_GoBack"/>
            <w:bookmarkEnd w:id="91"/>
            <w:r>
              <w:rPr>
                <w:rFonts w:hint="eastAsia" w:ascii="宋体" w:hAnsi="宋体" w:eastAsia="宋体" w:cs="宋体"/>
                <w:b w:val="0"/>
                <w:bCs w:val="0"/>
                <w:color w:val="auto"/>
                <w:sz w:val="24"/>
                <w:szCs w:val="24"/>
                <w:highlight w:val="none"/>
                <w:lang w:eastAsia="zh-CN"/>
              </w:rPr>
              <w:t>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eastAsia="zh-CN"/>
              </w:rPr>
              <w:t>分，</w:t>
            </w:r>
            <w:r>
              <w:rPr>
                <w:rFonts w:hint="eastAsia" w:ascii="宋体" w:hAnsi="宋体" w:eastAsia="宋体" w:cs="宋体"/>
                <w:b w:val="0"/>
                <w:bCs w:val="0"/>
                <w:color w:val="auto"/>
                <w:sz w:val="24"/>
                <w:szCs w:val="24"/>
                <w:highlight w:val="none"/>
                <w:lang w:val="en-US" w:eastAsia="zh-CN"/>
              </w:rPr>
              <w:t>加“★”</w:t>
            </w:r>
            <w:r>
              <w:rPr>
                <w:rFonts w:hint="eastAsia" w:ascii="宋体" w:hAnsi="宋体" w:eastAsia="宋体" w:cs="宋体"/>
                <w:b w:val="0"/>
                <w:bCs w:val="0"/>
                <w:color w:val="auto"/>
                <w:sz w:val="24"/>
                <w:szCs w:val="24"/>
                <w:highlight w:val="none"/>
                <w:lang w:eastAsia="zh-CN"/>
              </w:rPr>
              <w:t>项</w:t>
            </w:r>
            <w:r>
              <w:rPr>
                <w:rFonts w:hint="eastAsia" w:ascii="宋体" w:hAnsi="宋体" w:eastAsia="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lang w:eastAsia="zh-CN"/>
              </w:rPr>
              <w:t>一项不满足扣</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分，</w:t>
            </w:r>
            <w:r>
              <w:rPr>
                <w:rFonts w:hint="eastAsia" w:ascii="宋体" w:hAnsi="宋体" w:eastAsia="宋体" w:cs="宋体"/>
                <w:b w:val="0"/>
                <w:bCs w:val="0"/>
                <w:color w:val="auto"/>
                <w:sz w:val="24"/>
                <w:szCs w:val="24"/>
                <w:highlight w:val="none"/>
                <w:lang w:val="en-US" w:eastAsia="zh-CN"/>
              </w:rPr>
              <w:t>非加“★”</w:t>
            </w:r>
            <w:r>
              <w:rPr>
                <w:rFonts w:hint="eastAsia" w:ascii="宋体" w:hAnsi="宋体" w:eastAsia="宋体" w:cs="宋体"/>
                <w:b w:val="0"/>
                <w:bCs w:val="0"/>
                <w:color w:val="auto"/>
                <w:sz w:val="24"/>
                <w:szCs w:val="24"/>
                <w:highlight w:val="none"/>
                <w:lang w:eastAsia="zh-CN"/>
              </w:rPr>
              <w:t>项</w:t>
            </w:r>
            <w:r>
              <w:rPr>
                <w:rFonts w:hint="eastAsia" w:ascii="宋体" w:hAnsi="宋体" w:eastAsia="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lang w:eastAsia="zh-CN"/>
              </w:rPr>
              <w:t>一项不满足扣</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分，如</w:t>
            </w:r>
            <w:r>
              <w:rPr>
                <w:rFonts w:hint="eastAsia" w:ascii="宋体" w:hAnsi="宋体" w:eastAsia="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lang w:eastAsia="zh-CN"/>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w:t>
            </w:r>
            <w:r>
              <w:rPr>
                <w:rFonts w:hint="eastAsia" w:ascii="宋体" w:hAnsi="宋体" w:cs="宋体"/>
                <w:b w:val="0"/>
                <w:bCs w:val="0"/>
                <w:color w:val="auto"/>
                <w:sz w:val="24"/>
                <w:szCs w:val="24"/>
                <w:highlight w:val="none"/>
                <w:lang w:val="en-US" w:eastAsia="zh-CN"/>
              </w:rPr>
              <w:t xml:space="preserve"> 拟投入人员及分工、质量保障措施、产品安装调试方案、进度控制措施等。</w:t>
            </w: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cs="宋体"/>
                <w:b w:val="0"/>
                <w:bCs w:val="0"/>
                <w:color w:val="auto"/>
                <w:kern w:val="2"/>
                <w:sz w:val="24"/>
                <w:szCs w:val="24"/>
                <w:highlight w:val="none"/>
                <w:lang w:val="en-US" w:eastAsia="zh-CN"/>
              </w:rPr>
              <w:t>售后服务流程、服务及时性、售后保障措施，投诉反馈与处理、培训方案等</w:t>
            </w:r>
            <w:r>
              <w:rPr>
                <w:rFonts w:hint="eastAsia" w:ascii="宋体" w:hAnsi="宋体" w:eastAsia="宋体" w:cs="宋体"/>
                <w:b w:val="0"/>
                <w:bCs w:val="0"/>
                <w:color w:val="auto"/>
                <w:kern w:val="2"/>
                <w:sz w:val="24"/>
                <w:szCs w:val="24"/>
                <w:highlight w:val="none"/>
              </w:rPr>
              <w:t>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45"/>
      <w:bookmarkStart w:id="46" w:name="_Toc28988"/>
      <w:bookmarkStart w:id="47" w:name="_Toc1947"/>
      <w:bookmarkStart w:id="48" w:name="_Toc1482"/>
      <w:bookmarkStart w:id="49" w:name="_Toc326786897"/>
      <w:bookmarkStart w:id="50" w:name="_Toc256519703"/>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46"/>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7"/>
      <w:bookmarkEnd w:id="48"/>
      <w:bookmarkEnd w:id="51"/>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57" w:name="_Toc28392"/>
      <w:r>
        <w:rPr>
          <w:rFonts w:hint="eastAsia" w:ascii="宋体" w:hAnsi="宋体" w:eastAsia="宋体" w:cs="宋体"/>
          <w:color w:val="auto"/>
          <w:sz w:val="24"/>
          <w:highlight w:val="none"/>
        </w:rPr>
        <w:t>附件5</w:t>
      </w:r>
      <w:bookmarkEnd w:id="57"/>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 xml:space="preserve">附件6 </w:t>
      </w:r>
      <w:bookmarkEnd w:id="58"/>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3" w:name="_Toc24743"/>
      <w:bookmarkStart w:id="64" w:name="_Toc31798"/>
      <w:r>
        <w:rPr>
          <w:rFonts w:hint="eastAsia" w:ascii="宋体" w:hAnsi="宋体" w:eastAsia="宋体" w:cs="宋体"/>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附件3开标一览表</w:t>
      </w:r>
      <w:bookmarkEnd w:id="67"/>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总价）</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1"/>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0" w:name="_Toc625"/>
      <w:bookmarkStart w:id="71" w:name="_Toc12222"/>
      <w:r>
        <w:rPr>
          <w:rFonts w:hint="eastAsia" w:ascii="宋体" w:hAnsi="宋体" w:eastAsia="宋体" w:cs="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49"/>
      <w:bookmarkEnd w:id="50"/>
      <w:bookmarkStart w:id="74" w:name="_Toc22004"/>
      <w:bookmarkStart w:id="75" w:name="_Toc24984"/>
      <w:r>
        <w:rPr>
          <w:rFonts w:hint="eastAsia" w:ascii="宋体" w:hAnsi="宋体" w:eastAsia="宋体" w:cs="宋体"/>
          <w:color w:val="auto"/>
          <w:highlight w:val="none"/>
        </w:rPr>
        <w:t>附件4报价明细表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226"/>
      <w:bookmarkStart w:id="77" w:name="_Toc15804"/>
      <w:r>
        <w:rPr>
          <w:rFonts w:hint="eastAsia" w:ascii="宋体" w:hAnsi="宋体" w:eastAsia="宋体" w:cs="宋体"/>
          <w:color w:val="auto"/>
          <w:highlight w:val="none"/>
        </w:rPr>
        <w:t>附件5技术响应表（格式）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78" w:name="_Toc20420"/>
      <w:bookmarkStart w:id="79" w:name="_Toc29960"/>
      <w:r>
        <w:rPr>
          <w:rFonts w:hint="eastAsia" w:ascii="宋体" w:hAnsi="宋体" w:eastAsia="宋体" w:cs="宋体"/>
          <w:b/>
          <w:color w:val="auto"/>
          <w:sz w:val="28"/>
          <w:highlight w:val="none"/>
        </w:rPr>
        <w:t xml:space="preserve">附件6              </w:t>
      </w:r>
      <w:bookmarkEnd w:id="78"/>
      <w:bookmarkEnd w:id="79"/>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2" w:name="_Toc30519"/>
      <w:bookmarkStart w:id="83" w:name="_Toc13976"/>
      <w:r>
        <w:rPr>
          <w:rFonts w:hint="eastAsia" w:ascii="宋体" w:hAnsi="宋体" w:eastAsia="宋体" w:cs="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87" w:name="_Toc12888"/>
      <w:bookmarkStart w:id="88" w:name="_Toc13726"/>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89" w:name="_Toc25094"/>
      <w:bookmarkStart w:id="90" w:name="_Toc23394"/>
      <w:r>
        <w:rPr>
          <w:rFonts w:hint="eastAsia" w:ascii="宋体" w:hAnsi="宋体" w:eastAsia="宋体" w:cs="宋体"/>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驻马店市中心医院康复治疗系统采购项目采购文件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驻马店市中心医院康复治疗系统采购项目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66795B"/>
    <w:rsid w:val="00DA5C53"/>
    <w:rsid w:val="0123584C"/>
    <w:rsid w:val="01DF5C17"/>
    <w:rsid w:val="01EE5E5A"/>
    <w:rsid w:val="02D25290"/>
    <w:rsid w:val="02F12505"/>
    <w:rsid w:val="037C54DB"/>
    <w:rsid w:val="038E625D"/>
    <w:rsid w:val="03CA31A7"/>
    <w:rsid w:val="03EC0177"/>
    <w:rsid w:val="041D47D5"/>
    <w:rsid w:val="047D5CC7"/>
    <w:rsid w:val="04C66C1A"/>
    <w:rsid w:val="05600E1D"/>
    <w:rsid w:val="068A0B4B"/>
    <w:rsid w:val="0750142A"/>
    <w:rsid w:val="07936C1F"/>
    <w:rsid w:val="080812F8"/>
    <w:rsid w:val="08C1066A"/>
    <w:rsid w:val="0A6566E6"/>
    <w:rsid w:val="0B1413C2"/>
    <w:rsid w:val="0BEF4CA9"/>
    <w:rsid w:val="0C057F6B"/>
    <w:rsid w:val="0C6F5DE9"/>
    <w:rsid w:val="0C877CFB"/>
    <w:rsid w:val="0CE82491"/>
    <w:rsid w:val="0D3A1F53"/>
    <w:rsid w:val="0D5030A6"/>
    <w:rsid w:val="0D7116ED"/>
    <w:rsid w:val="0D8E6743"/>
    <w:rsid w:val="0D923C0B"/>
    <w:rsid w:val="0D961094"/>
    <w:rsid w:val="0DD203DE"/>
    <w:rsid w:val="0EDD4937"/>
    <w:rsid w:val="0F083E44"/>
    <w:rsid w:val="0F6E2388"/>
    <w:rsid w:val="0FF85943"/>
    <w:rsid w:val="1003424E"/>
    <w:rsid w:val="100D65BF"/>
    <w:rsid w:val="10CF353C"/>
    <w:rsid w:val="11CE7E08"/>
    <w:rsid w:val="11F33019"/>
    <w:rsid w:val="120F7A29"/>
    <w:rsid w:val="12213B8E"/>
    <w:rsid w:val="12F40DF6"/>
    <w:rsid w:val="13695774"/>
    <w:rsid w:val="13F53FEC"/>
    <w:rsid w:val="14380591"/>
    <w:rsid w:val="144F7691"/>
    <w:rsid w:val="146A4213"/>
    <w:rsid w:val="148C5949"/>
    <w:rsid w:val="15155054"/>
    <w:rsid w:val="159B19FD"/>
    <w:rsid w:val="15B84101"/>
    <w:rsid w:val="17312619"/>
    <w:rsid w:val="17757978"/>
    <w:rsid w:val="18616F2E"/>
    <w:rsid w:val="19EB0503"/>
    <w:rsid w:val="1A2028DA"/>
    <w:rsid w:val="1A667D36"/>
    <w:rsid w:val="1A7F7CE9"/>
    <w:rsid w:val="1A856091"/>
    <w:rsid w:val="1B060913"/>
    <w:rsid w:val="1BDB2463"/>
    <w:rsid w:val="1C0E7EC3"/>
    <w:rsid w:val="1C2C60F9"/>
    <w:rsid w:val="1C5446B4"/>
    <w:rsid w:val="1C597898"/>
    <w:rsid w:val="1CDF0421"/>
    <w:rsid w:val="1D0E0D07"/>
    <w:rsid w:val="1DA32633"/>
    <w:rsid w:val="1DB22B1D"/>
    <w:rsid w:val="1E4470D6"/>
    <w:rsid w:val="1EAF1273"/>
    <w:rsid w:val="1EBB10CB"/>
    <w:rsid w:val="1ECE4BF1"/>
    <w:rsid w:val="1F315AC4"/>
    <w:rsid w:val="1F486752"/>
    <w:rsid w:val="1F621204"/>
    <w:rsid w:val="20460E9E"/>
    <w:rsid w:val="209D6898"/>
    <w:rsid w:val="211547B3"/>
    <w:rsid w:val="212A2D39"/>
    <w:rsid w:val="222B4109"/>
    <w:rsid w:val="22D30A28"/>
    <w:rsid w:val="22F914CA"/>
    <w:rsid w:val="23F57CC4"/>
    <w:rsid w:val="241C7367"/>
    <w:rsid w:val="254370DC"/>
    <w:rsid w:val="25A93CC2"/>
    <w:rsid w:val="25C46BF1"/>
    <w:rsid w:val="267F6B83"/>
    <w:rsid w:val="28010E6E"/>
    <w:rsid w:val="291547CE"/>
    <w:rsid w:val="296D7CC2"/>
    <w:rsid w:val="296E0EB4"/>
    <w:rsid w:val="2976035F"/>
    <w:rsid w:val="29F14929"/>
    <w:rsid w:val="2A7B1BDE"/>
    <w:rsid w:val="2AC82E3D"/>
    <w:rsid w:val="2AD830E5"/>
    <w:rsid w:val="2C2A1794"/>
    <w:rsid w:val="2C5C7953"/>
    <w:rsid w:val="2C92725E"/>
    <w:rsid w:val="2CE81EF4"/>
    <w:rsid w:val="2E366B06"/>
    <w:rsid w:val="2EBD258D"/>
    <w:rsid w:val="30C711DB"/>
    <w:rsid w:val="30C776F3"/>
    <w:rsid w:val="30FC2BBF"/>
    <w:rsid w:val="31035B63"/>
    <w:rsid w:val="31603DCF"/>
    <w:rsid w:val="31986C26"/>
    <w:rsid w:val="31DB5FAA"/>
    <w:rsid w:val="322632A5"/>
    <w:rsid w:val="324059AE"/>
    <w:rsid w:val="327B1D39"/>
    <w:rsid w:val="333105F2"/>
    <w:rsid w:val="33DA5484"/>
    <w:rsid w:val="33F74D7E"/>
    <w:rsid w:val="34445835"/>
    <w:rsid w:val="346A0AC1"/>
    <w:rsid w:val="349A13A6"/>
    <w:rsid w:val="350D171A"/>
    <w:rsid w:val="35150A2C"/>
    <w:rsid w:val="35C7280A"/>
    <w:rsid w:val="35E2289C"/>
    <w:rsid w:val="36B907B2"/>
    <w:rsid w:val="37B207B5"/>
    <w:rsid w:val="37CF1D30"/>
    <w:rsid w:val="382252E2"/>
    <w:rsid w:val="38865FCC"/>
    <w:rsid w:val="38912AC0"/>
    <w:rsid w:val="38D93693"/>
    <w:rsid w:val="38E928FC"/>
    <w:rsid w:val="38EC2E34"/>
    <w:rsid w:val="3987255E"/>
    <w:rsid w:val="39984708"/>
    <w:rsid w:val="39AE5E23"/>
    <w:rsid w:val="39E93199"/>
    <w:rsid w:val="3AAD1707"/>
    <w:rsid w:val="3B410007"/>
    <w:rsid w:val="3B546702"/>
    <w:rsid w:val="3BEB698B"/>
    <w:rsid w:val="3C265C15"/>
    <w:rsid w:val="3CE36288"/>
    <w:rsid w:val="3D226758"/>
    <w:rsid w:val="3D4E71D1"/>
    <w:rsid w:val="3DAA28E7"/>
    <w:rsid w:val="3EB43064"/>
    <w:rsid w:val="3F80166E"/>
    <w:rsid w:val="3FC64050"/>
    <w:rsid w:val="3FC75496"/>
    <w:rsid w:val="40047331"/>
    <w:rsid w:val="408940DF"/>
    <w:rsid w:val="40D03462"/>
    <w:rsid w:val="411F75E2"/>
    <w:rsid w:val="415D5C35"/>
    <w:rsid w:val="41923405"/>
    <w:rsid w:val="41BE2EE6"/>
    <w:rsid w:val="42277FF1"/>
    <w:rsid w:val="42770F78"/>
    <w:rsid w:val="436D5ED7"/>
    <w:rsid w:val="441440F3"/>
    <w:rsid w:val="44192F77"/>
    <w:rsid w:val="47CA1B4A"/>
    <w:rsid w:val="47EC7D13"/>
    <w:rsid w:val="47FE17F4"/>
    <w:rsid w:val="483B72D6"/>
    <w:rsid w:val="485555D6"/>
    <w:rsid w:val="48A82426"/>
    <w:rsid w:val="48D10692"/>
    <w:rsid w:val="48E20F21"/>
    <w:rsid w:val="4914486F"/>
    <w:rsid w:val="49A95315"/>
    <w:rsid w:val="49DB1DED"/>
    <w:rsid w:val="4B007631"/>
    <w:rsid w:val="4B4B2D51"/>
    <w:rsid w:val="4BA803F5"/>
    <w:rsid w:val="4BBF74EC"/>
    <w:rsid w:val="4C185248"/>
    <w:rsid w:val="4C235CCD"/>
    <w:rsid w:val="4D127DDB"/>
    <w:rsid w:val="4D6F30D1"/>
    <w:rsid w:val="4DBD705E"/>
    <w:rsid w:val="4DD06B99"/>
    <w:rsid w:val="4E2E44B5"/>
    <w:rsid w:val="4EBE65E6"/>
    <w:rsid w:val="4F2C4E99"/>
    <w:rsid w:val="4F4E12B3"/>
    <w:rsid w:val="4F8E57CE"/>
    <w:rsid w:val="4F9B0496"/>
    <w:rsid w:val="4FD37EFF"/>
    <w:rsid w:val="4FEB4D54"/>
    <w:rsid w:val="4FFC63CE"/>
    <w:rsid w:val="509B6FFA"/>
    <w:rsid w:val="50AC7D95"/>
    <w:rsid w:val="519805C3"/>
    <w:rsid w:val="51F92A4C"/>
    <w:rsid w:val="52426781"/>
    <w:rsid w:val="52750905"/>
    <w:rsid w:val="52A864AB"/>
    <w:rsid w:val="53370970"/>
    <w:rsid w:val="539F20DD"/>
    <w:rsid w:val="54C87412"/>
    <w:rsid w:val="54CF5078"/>
    <w:rsid w:val="54E1471D"/>
    <w:rsid w:val="551C35C3"/>
    <w:rsid w:val="5593479C"/>
    <w:rsid w:val="562528DD"/>
    <w:rsid w:val="56A812A9"/>
    <w:rsid w:val="56E10F23"/>
    <w:rsid w:val="57631674"/>
    <w:rsid w:val="57877110"/>
    <w:rsid w:val="58A12453"/>
    <w:rsid w:val="58AE4B70"/>
    <w:rsid w:val="59742898"/>
    <w:rsid w:val="5A295181"/>
    <w:rsid w:val="5A8A4DE4"/>
    <w:rsid w:val="5ABA15AB"/>
    <w:rsid w:val="5B1B7148"/>
    <w:rsid w:val="5BD60666"/>
    <w:rsid w:val="5BE657F3"/>
    <w:rsid w:val="5C3918FB"/>
    <w:rsid w:val="5C5D3A0F"/>
    <w:rsid w:val="5CF50FC0"/>
    <w:rsid w:val="5D7E0FB5"/>
    <w:rsid w:val="5DA06D5F"/>
    <w:rsid w:val="5DD67A13"/>
    <w:rsid w:val="5E206E1E"/>
    <w:rsid w:val="5E371164"/>
    <w:rsid w:val="5E742597"/>
    <w:rsid w:val="5F0D70EB"/>
    <w:rsid w:val="5F901C5C"/>
    <w:rsid w:val="5FB7255D"/>
    <w:rsid w:val="6071095D"/>
    <w:rsid w:val="62097280"/>
    <w:rsid w:val="62336126"/>
    <w:rsid w:val="624125B1"/>
    <w:rsid w:val="62A212A2"/>
    <w:rsid w:val="637D0340"/>
    <w:rsid w:val="639F518E"/>
    <w:rsid w:val="63C35930"/>
    <w:rsid w:val="64164898"/>
    <w:rsid w:val="648246B8"/>
    <w:rsid w:val="65447343"/>
    <w:rsid w:val="65531B68"/>
    <w:rsid w:val="65A96DEB"/>
    <w:rsid w:val="65F8567D"/>
    <w:rsid w:val="667912BB"/>
    <w:rsid w:val="6716400D"/>
    <w:rsid w:val="679338AF"/>
    <w:rsid w:val="67C5345F"/>
    <w:rsid w:val="67F92488"/>
    <w:rsid w:val="680631FA"/>
    <w:rsid w:val="68664B20"/>
    <w:rsid w:val="68BC0BE4"/>
    <w:rsid w:val="68CD32D8"/>
    <w:rsid w:val="69170DB4"/>
    <w:rsid w:val="69552C6B"/>
    <w:rsid w:val="69F745C9"/>
    <w:rsid w:val="69FA5E67"/>
    <w:rsid w:val="6B9D4684"/>
    <w:rsid w:val="6BC54253"/>
    <w:rsid w:val="6BF02721"/>
    <w:rsid w:val="6C6D0B73"/>
    <w:rsid w:val="6C8B2DA7"/>
    <w:rsid w:val="6C8C2249"/>
    <w:rsid w:val="6D891ABD"/>
    <w:rsid w:val="6DB359B4"/>
    <w:rsid w:val="6E3D1FD3"/>
    <w:rsid w:val="6EF2535F"/>
    <w:rsid w:val="6F0D200D"/>
    <w:rsid w:val="6F0D3F47"/>
    <w:rsid w:val="6F6126B0"/>
    <w:rsid w:val="6F6618A9"/>
    <w:rsid w:val="6F797E6A"/>
    <w:rsid w:val="6F9C52CB"/>
    <w:rsid w:val="707912DA"/>
    <w:rsid w:val="710C7A14"/>
    <w:rsid w:val="71C01745"/>
    <w:rsid w:val="720C498A"/>
    <w:rsid w:val="722A3D19"/>
    <w:rsid w:val="72777687"/>
    <w:rsid w:val="73304612"/>
    <w:rsid w:val="73544631"/>
    <w:rsid w:val="740F40B8"/>
    <w:rsid w:val="74726C59"/>
    <w:rsid w:val="74730F39"/>
    <w:rsid w:val="749879EC"/>
    <w:rsid w:val="74C76A1C"/>
    <w:rsid w:val="76076E1C"/>
    <w:rsid w:val="76610A35"/>
    <w:rsid w:val="77134C4A"/>
    <w:rsid w:val="773F4EBA"/>
    <w:rsid w:val="77520D58"/>
    <w:rsid w:val="77EE068E"/>
    <w:rsid w:val="781F2ADC"/>
    <w:rsid w:val="78570929"/>
    <w:rsid w:val="79163B3B"/>
    <w:rsid w:val="7922042A"/>
    <w:rsid w:val="793B7903"/>
    <w:rsid w:val="795069DB"/>
    <w:rsid w:val="79986B03"/>
    <w:rsid w:val="7A106FE1"/>
    <w:rsid w:val="7A374F60"/>
    <w:rsid w:val="7B0751B9"/>
    <w:rsid w:val="7B227200"/>
    <w:rsid w:val="7B4A3BA0"/>
    <w:rsid w:val="7B580C40"/>
    <w:rsid w:val="7B603535"/>
    <w:rsid w:val="7B6D32FA"/>
    <w:rsid w:val="7C0C09DA"/>
    <w:rsid w:val="7C764ED8"/>
    <w:rsid w:val="7C855A65"/>
    <w:rsid w:val="7D2346C8"/>
    <w:rsid w:val="7DB51566"/>
    <w:rsid w:val="7DE57188"/>
    <w:rsid w:val="7E0B3D48"/>
    <w:rsid w:val="7E3F7F0D"/>
    <w:rsid w:val="7E9C305C"/>
    <w:rsid w:val="7EA07DA8"/>
    <w:rsid w:val="7ED25FD0"/>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styleId="5">
    <w:name w:val="Body Text 2"/>
    <w:basedOn w:val="1"/>
    <w:next w:val="4"/>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2"/>
    <w:autoRedefine/>
    <w:qFormat/>
    <w:uiPriority w:val="0"/>
    <w:pPr>
      <w:widowControl/>
      <w:spacing w:beforeAutospacing="1" w:afterAutospacing="1"/>
      <w:jc w:val="left"/>
    </w:pPr>
    <w:rPr>
      <w:rFonts w:ascii="宋体" w:hAnsi="宋体" w:cs="宋体"/>
      <w:kern w:val="0"/>
      <w:sz w:val="24"/>
    </w:rPr>
  </w:style>
  <w:style w:type="paragraph" w:styleId="12">
    <w:name w:val="envelope return"/>
    <w:basedOn w:val="1"/>
    <w:autoRedefine/>
    <w:unhideWhenUsed/>
    <w:qFormat/>
    <w:uiPriority w:val="99"/>
    <w:pPr>
      <w:snapToGrid w:val="0"/>
    </w:pPr>
    <w:rPr>
      <w:rFonts w:ascii="Arial" w:hAnsi="Arial"/>
    </w:rPr>
  </w:style>
  <w:style w:type="paragraph" w:styleId="13">
    <w:name w:val="Document Map"/>
    <w:basedOn w:val="1"/>
    <w:link w:val="76"/>
    <w:autoRedefine/>
    <w:qFormat/>
    <w:uiPriority w:val="0"/>
    <w:rPr>
      <w:rFonts w:ascii="宋体" w:hAnsi="Calibri"/>
      <w:sz w:val="18"/>
      <w:szCs w:val="18"/>
    </w:rPr>
  </w:style>
  <w:style w:type="paragraph" w:styleId="14">
    <w:name w:val="toa heading"/>
    <w:basedOn w:val="1"/>
    <w:next w:val="1"/>
    <w:autoRedefine/>
    <w:qFormat/>
    <w:uiPriority w:val="0"/>
    <w:pPr>
      <w:spacing w:before="120"/>
    </w:pPr>
    <w:rPr>
      <w:rFonts w:ascii="Arial" w:hAnsi="Arial" w:cs="Arial"/>
      <w:sz w:val="24"/>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3"/>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 w:type="paragraph" w:customStyle="1" w:styleId="105">
    <w:name w:val="样式 正文缩进 + 首行缩进:  2 字符"/>
    <w:basedOn w:val="1"/>
    <w:autoRedefine/>
    <w:qFormat/>
    <w:uiPriority w:val="0"/>
    <w:pPr>
      <w:spacing w:line="360" w:lineRule="auto"/>
      <w:ind w:firstLine="200" w:firstLineChars="200"/>
    </w:pPr>
    <w:rPr>
      <w:rFonts w:ascii="Calibri" w:hAnsi="Calibri" w:eastAsia="宋体"/>
      <w:kern w:val="0"/>
      <w:sz w:val="24"/>
      <w:szCs w:val="20"/>
    </w:rPr>
  </w:style>
  <w:style w:type="character" w:customStyle="1" w:styleId="106">
    <w:name w:val="KY正文样式 Char"/>
    <w:link w:val="107"/>
    <w:autoRedefine/>
    <w:qFormat/>
    <w:locked/>
    <w:uiPriority w:val="0"/>
    <w:rPr>
      <w:rFonts w:ascii="Calibri" w:hAnsi="Calibri"/>
    </w:rPr>
  </w:style>
  <w:style w:type="paragraph" w:customStyle="1" w:styleId="107">
    <w:name w:val="KY正文样式"/>
    <w:basedOn w:val="1"/>
    <w:link w:val="106"/>
    <w:autoRedefine/>
    <w:qFormat/>
    <w:uiPriority w:val="0"/>
    <w:pPr>
      <w:ind w:firstLine="48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2024-03-13T03:17:39Z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