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48"/>
          <w:szCs w:val="48"/>
          <w:highlight w:val="none"/>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48"/>
          <w:szCs w:val="48"/>
          <w:highlight w:val="none"/>
        </w:rPr>
      </w:pPr>
      <w:r>
        <w:rPr>
          <w:rFonts w:hint="eastAsia" w:cs="宋体"/>
          <w:b/>
          <w:bCs/>
          <w:sz w:val="48"/>
          <w:szCs w:val="48"/>
          <w:highlight w:val="none"/>
          <w:lang w:val="en-US" w:eastAsia="zh-CN"/>
        </w:rPr>
        <w:t>驻马店市中心医院医用冷藏箱采购项目</w:t>
      </w:r>
    </w:p>
    <w:p>
      <w:pPr>
        <w:pStyle w:val="19"/>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 w:val="48"/>
          <w:szCs w:val="48"/>
          <w:highlight w:val="none"/>
        </w:rPr>
      </w:pPr>
    </w:p>
    <w:p>
      <w:pPr>
        <w:pStyle w:val="19"/>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 w:val="48"/>
          <w:szCs w:val="48"/>
          <w:highlight w:val="none"/>
        </w:rPr>
      </w:pPr>
    </w:p>
    <w:p>
      <w:pPr>
        <w:pStyle w:val="19"/>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Cs w:val="44"/>
          <w:highlight w:val="none"/>
        </w:rPr>
      </w:pPr>
      <w:r>
        <w:rPr>
          <w:rStyle w:val="43"/>
          <w:rFonts w:hint="eastAsia" w:ascii="宋体" w:hAnsi="宋体" w:eastAsia="宋体" w:cs="宋体"/>
          <w:b/>
          <w:bCs/>
          <w:color w:val="auto"/>
          <w:sz w:val="72"/>
          <w:szCs w:val="72"/>
          <w:highlight w:val="none"/>
          <w:lang w:val="en-US" w:eastAsia="zh-CN"/>
        </w:rPr>
        <w:t>采购</w:t>
      </w:r>
      <w:r>
        <w:rPr>
          <w:rStyle w:val="43"/>
          <w:rFonts w:hint="eastAsia" w:ascii="宋体" w:hAnsi="宋体" w:eastAsia="宋体" w:cs="宋体"/>
          <w:b/>
          <w:bCs/>
          <w:color w:val="auto"/>
          <w:sz w:val="72"/>
          <w:szCs w:val="72"/>
          <w:highlight w:val="none"/>
        </w:rPr>
        <w:t>文件</w:t>
      </w: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jc w:val="both"/>
        <w:rPr>
          <w:rFonts w:hint="eastAsia" w:ascii="宋体" w:hAnsi="宋体" w:eastAsia="宋体" w:cs="宋体"/>
          <w:b/>
          <w:bCs/>
          <w:spacing w:val="-10"/>
          <w:sz w:val="34"/>
          <w:szCs w:val="34"/>
          <w:highlight w:val="none"/>
          <w:lang w:val="en-US" w:eastAsia="zh-CN"/>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sz w:val="32"/>
          <w:szCs w:val="32"/>
          <w:highlight w:val="none"/>
        </w:rPr>
      </w:pPr>
    </w:p>
    <w:p>
      <w:pPr>
        <w:pStyle w:val="31"/>
        <w:pageBreakBefore w:val="0"/>
        <w:kinsoku/>
        <w:overflowPunct/>
        <w:topLinePunct w:val="0"/>
        <w:bidi w:val="0"/>
        <w:spacing w:beforeAutospacing="0" w:afterAutospacing="0" w:line="360" w:lineRule="auto"/>
        <w:rPr>
          <w:rFonts w:hint="eastAsia" w:ascii="宋体" w:hAnsi="宋体" w:eastAsia="宋体" w:cs="宋体"/>
          <w:highlight w:val="none"/>
        </w:rPr>
      </w:pPr>
    </w:p>
    <w:p>
      <w:pPr>
        <w:pStyle w:val="59"/>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spacing w:val="80"/>
          <w:sz w:val="34"/>
          <w:szCs w:val="34"/>
          <w:highlight w:val="none"/>
        </w:rPr>
      </w:pPr>
      <w:r>
        <w:rPr>
          <w:rFonts w:hint="eastAsia" w:ascii="宋体" w:hAnsi="宋体" w:eastAsia="宋体" w:cs="宋体"/>
          <w:b/>
          <w:bCs/>
          <w:spacing w:val="-10"/>
          <w:sz w:val="34"/>
          <w:szCs w:val="34"/>
          <w:highlight w:val="none"/>
          <w:lang w:val="en-US" w:eastAsia="zh-CN"/>
        </w:rPr>
        <w:t>采 购</w:t>
      </w:r>
      <w:r>
        <w:rPr>
          <w:rFonts w:hint="eastAsia" w:ascii="宋体" w:hAnsi="宋体" w:eastAsia="宋体" w:cs="宋体"/>
          <w:b/>
          <w:bCs/>
          <w:spacing w:val="-10"/>
          <w:sz w:val="34"/>
          <w:szCs w:val="34"/>
          <w:highlight w:val="none"/>
        </w:rPr>
        <w:t xml:space="preserve"> 人：驻马店市中心医院</w:t>
      </w:r>
    </w:p>
    <w:p>
      <w:pPr>
        <w:pageBreakBefore w:val="0"/>
        <w:tabs>
          <w:tab w:val="left" w:pos="2505"/>
          <w:tab w:val="center" w:pos="4535"/>
        </w:tabs>
        <w:kinsoku/>
        <w:overflowPunct/>
        <w:topLinePunct w:val="0"/>
        <w:bidi w:val="0"/>
        <w:snapToGrid w:val="0"/>
        <w:spacing w:beforeAutospacing="0" w:afterAutospacing="0" w:line="360" w:lineRule="auto"/>
        <w:jc w:val="center"/>
        <w:rPr>
          <w:rFonts w:hint="eastAsia" w:ascii="宋体" w:hAnsi="宋体" w:eastAsia="宋体" w:cs="宋体"/>
          <w:b/>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highlight w:val="none"/>
          <w:lang w:val="en-US" w:eastAsia="zh-CN"/>
        </w:rPr>
        <w:t>2024年3月</w:t>
      </w:r>
    </w:p>
    <w:p>
      <w:pPr>
        <w:pageBreakBefore w:val="0"/>
        <w:kinsoku/>
        <w:overflowPunct/>
        <w:topLinePunct w:val="0"/>
        <w:bidi w:val="0"/>
        <w:spacing w:beforeAutospacing="0" w:afterAutospacing="0" w:line="360" w:lineRule="auto"/>
        <w:rPr>
          <w:rFonts w:hint="eastAsia" w:ascii="宋体" w:hAnsi="宋体" w:eastAsia="宋体" w:cs="宋体"/>
          <w:bCs/>
          <w:color w:val="auto"/>
          <w:sz w:val="24"/>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pPr>
        <w:pStyle w:val="53"/>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第一章  招 标 公 告</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_Toc9075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"_Toc25063"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第二章  </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_Toc25063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"_Toc14504"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第三章  投标人须知</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_Toc14504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"_Toc9022"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Cs w:val="21"/>
          <w:highlight w:val="none"/>
        </w:rPr>
        <w:t>第四章  评标办法及评分标准</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_Toc9022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"_Toc28988"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第五章  采购合同（主要条款）</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_Toc28988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26</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第六章  投标文件格式</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_Toc2638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83"/>
        <w:pageBreakBefore w:val="0"/>
        <w:tabs>
          <w:tab w:val="right" w:leader="dot" w:pos="8300"/>
        </w:tabs>
        <w:kinsoku/>
        <w:overflowPunct/>
        <w:topLinePunct w:val="0"/>
        <w:bidi w:val="0"/>
        <w:snapToGrid w:val="0"/>
        <w:spacing w:beforeAutospacing="0" w:afterAutospacing="0" w:line="360" w:lineRule="auto"/>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fldChar w:fldCharType="end"/>
      </w:r>
    </w:p>
    <w:p>
      <w:pPr>
        <w:pageBreakBefore w:val="0"/>
        <w:kinsoku/>
        <w:overflowPunct/>
        <w:topLinePunct w:val="0"/>
        <w:bidi w:val="0"/>
        <w:spacing w:beforeAutospacing="0" w:afterAutospacing="0" w:line="360" w:lineRule="auto"/>
        <w:rPr>
          <w:rFonts w:hint="eastAsia" w:ascii="宋体" w:hAnsi="宋体" w:eastAsia="宋体" w:cs="宋体"/>
          <w:b/>
          <w:color w:val="auto"/>
          <w:sz w:val="32"/>
          <w:szCs w:val="32"/>
          <w:highlight w:val="none"/>
        </w:rPr>
      </w:pPr>
    </w:p>
    <w:p>
      <w:pPr>
        <w:pageBreakBefore w:val="0"/>
        <w:kinsoku/>
        <w:overflowPunct/>
        <w:topLinePunct w:val="0"/>
        <w:bidi w:val="0"/>
        <w:spacing w:beforeAutospacing="0" w:afterAutospacing="0"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pageBreakBefore w:val="0"/>
        <w:kinsoku/>
        <w:overflowPunct/>
        <w:topLinePunct w:val="0"/>
        <w:bidi w:val="0"/>
        <w:spacing w:beforeAutospacing="0" w:afterAutospacing="0" w:line="360" w:lineRule="auto"/>
        <w:jc w:val="center"/>
        <w:outlineLvl w:val="0"/>
        <w:rPr>
          <w:rFonts w:hint="eastAsia" w:ascii="宋体" w:hAnsi="宋体" w:eastAsia="宋体" w:cs="宋体"/>
          <w:b/>
          <w:color w:val="auto"/>
          <w:sz w:val="32"/>
          <w:szCs w:val="32"/>
          <w:highlight w:val="none"/>
        </w:rPr>
      </w:pPr>
      <w:bookmarkStart w:id="2" w:name="_Toc9075"/>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bCs/>
          <w:color w:val="auto"/>
          <w:kern w:val="0"/>
          <w:sz w:val="28"/>
          <w:szCs w:val="28"/>
          <w:highlight w:val="none"/>
          <w:u w:val="none"/>
          <w:lang w:val="en-US" w:eastAsia="zh-CN"/>
        </w:rPr>
      </w:pPr>
      <w:r>
        <w:rPr>
          <w:rFonts w:hint="eastAsia" w:ascii="宋体" w:hAnsi="宋体" w:cs="宋体"/>
          <w:bCs/>
          <w:color w:val="auto"/>
          <w:kern w:val="0"/>
          <w:sz w:val="28"/>
          <w:szCs w:val="28"/>
          <w:highlight w:val="none"/>
          <w:u w:val="none"/>
          <w:lang w:val="en-US" w:eastAsia="zh-CN"/>
        </w:rPr>
        <w:t>驻马店市中心医院医用冷藏箱采购项目</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u w:val="none"/>
          <w:lang w:val="en-US" w:eastAsia="zh-CN"/>
        </w:rPr>
        <w:t>竞争性磋商</w:t>
      </w:r>
      <w:r>
        <w:rPr>
          <w:rFonts w:hint="eastAsia" w:ascii="宋体" w:hAnsi="宋体" w:eastAsia="宋体" w:cs="宋体"/>
          <w:bCs/>
          <w:color w:val="auto"/>
          <w:kern w:val="0"/>
          <w:sz w:val="28"/>
          <w:szCs w:val="28"/>
          <w:highlight w:val="none"/>
        </w:rPr>
        <w:t>公告</w:t>
      </w:r>
    </w:p>
    <w:p>
      <w:pPr>
        <w:keepNext w:val="0"/>
        <w:keepLines w:val="0"/>
        <w:pageBreakBefore w:val="0"/>
        <w:kinsoku/>
        <w:overflowPunct/>
        <w:topLinePunct w:val="0"/>
        <w:bidi w:val="0"/>
        <w:snapToGrid w:val="0"/>
        <w:spacing w:beforeAutospacing="0" w:afterAutospacing="0" w:line="420" w:lineRule="exact"/>
        <w:ind w:firstLine="480" w:firstLineChars="200"/>
        <w:textAlignment w:val="auto"/>
        <w:rPr>
          <w:rFonts w:hint="eastAsia" w:ascii="宋体" w:hAnsi="宋体" w:eastAsia="宋体" w:cs="宋体"/>
          <w:color w:val="auto"/>
          <w:sz w:val="24"/>
          <w:szCs w:val="24"/>
        </w:rPr>
      </w:pPr>
      <w:bookmarkStart w:id="3" w:name="_Toc35393795"/>
      <w:bookmarkStart w:id="4" w:name="_Toc35393626"/>
      <w:bookmarkStart w:id="5" w:name="_Toc25063"/>
      <w:bookmarkStart w:id="6" w:name="_Toc23793"/>
      <w:bookmarkStart w:id="7" w:name="_Toc29890"/>
      <w:r>
        <w:rPr>
          <w:rFonts w:hint="eastAsia" w:ascii="宋体" w:hAnsi="宋体" w:eastAsia="宋体" w:cs="宋体"/>
          <w:color w:val="auto"/>
          <w:sz w:val="24"/>
          <w:szCs w:val="28"/>
        </w:rPr>
        <w:t>驻马店市中心医院现对</w:t>
      </w:r>
      <w:r>
        <w:rPr>
          <w:rFonts w:hint="eastAsia" w:ascii="宋体" w:hAnsi="宋体" w:eastAsia="宋体" w:cs="宋体"/>
          <w:color w:val="auto"/>
          <w:sz w:val="24"/>
          <w:szCs w:val="28"/>
          <w:u w:val="single"/>
          <w:lang w:val="en-US" w:eastAsia="zh-CN"/>
        </w:rPr>
        <w:t>医用冷藏箱采购项目</w:t>
      </w:r>
      <w:r>
        <w:rPr>
          <w:rFonts w:hint="eastAsia" w:ascii="宋体" w:hAnsi="宋体" w:eastAsia="宋体" w:cs="宋体"/>
          <w:color w:val="auto"/>
          <w:sz w:val="24"/>
          <w:szCs w:val="28"/>
        </w:rPr>
        <w:t>进行院内</w:t>
      </w:r>
      <w:r>
        <w:rPr>
          <w:rFonts w:hint="eastAsia" w:ascii="宋体" w:hAnsi="宋体" w:eastAsia="宋体" w:cs="宋体"/>
          <w:color w:val="auto"/>
          <w:sz w:val="24"/>
          <w:szCs w:val="28"/>
          <w:lang w:val="en-US" w:eastAsia="zh-CN"/>
        </w:rPr>
        <w:t>竞争性磋商</w:t>
      </w:r>
      <w:r>
        <w:rPr>
          <w:rFonts w:hint="eastAsia" w:ascii="宋体" w:hAnsi="宋体" w:eastAsia="宋体" w:cs="宋体"/>
          <w:color w:val="auto"/>
          <w:sz w:val="24"/>
          <w:szCs w:val="28"/>
        </w:rPr>
        <w:t>采购，欢迎符合资格条件的供应商前来</w:t>
      </w:r>
      <w:r>
        <w:rPr>
          <w:rFonts w:hint="eastAsia" w:ascii="宋体" w:hAnsi="宋体" w:eastAsia="宋体" w:cs="宋体"/>
          <w:color w:val="auto"/>
          <w:sz w:val="24"/>
          <w:szCs w:val="28"/>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Autospacing="0" w:afterAutospacing="0" w:line="420" w:lineRule="exact"/>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beforeAutospacing="0" w:afterAutospacing="0" w:line="420" w:lineRule="exact"/>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驻马店市中心医院医用冷藏箱采购项目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beforeAutospacing="0" w:afterAutospacing="0" w:line="42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beforeAutospacing="0" w:afterAutospacing="0" w:line="420" w:lineRule="exact"/>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8"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eastAsia="zh-CN"/>
        </w:rPr>
        <w:t>：</w:t>
      </w:r>
      <w:r>
        <w:rPr>
          <w:rFonts w:hint="eastAsia" w:ascii="宋体" w:hAnsi="宋体" w:cs="宋体"/>
          <w:color w:val="auto"/>
          <w:sz w:val="24"/>
          <w:szCs w:val="24"/>
          <w:highlight w:val="none"/>
          <w:shd w:val="clear" w:color="auto" w:fill="FFFFFF"/>
          <w:lang w:val="en-US" w:eastAsia="zh-CN"/>
        </w:rPr>
        <w:t>7.8</w:t>
      </w:r>
      <w:r>
        <w:rPr>
          <w:rFonts w:hint="eastAsia" w:ascii="宋体" w:hAnsi="宋体" w:eastAsia="宋体" w:cs="宋体"/>
          <w:color w:val="auto"/>
          <w:kern w:val="0"/>
          <w:sz w:val="24"/>
          <w:szCs w:val="24"/>
          <w:highlight w:val="none"/>
          <w:u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自筹资金；</w:t>
      </w:r>
    </w:p>
    <w:p>
      <w:pPr>
        <w:keepNext w:val="0"/>
        <w:keepLines w:val="0"/>
        <w:pageBreakBefore w:val="0"/>
        <w:kinsoku/>
        <w:overflowPunct/>
        <w:topLinePunct w:val="0"/>
        <w:bidi w:val="0"/>
        <w:snapToGrid w:val="0"/>
        <w:spacing w:beforeAutospacing="0" w:afterAutospacing="0" w:line="42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交货期：合同签订后30日内交货，最终以合同约定内容为准；</w:t>
      </w:r>
    </w:p>
    <w:p>
      <w:pPr>
        <w:keepNext w:val="0"/>
        <w:keepLines w:val="0"/>
        <w:pageBreakBefore w:val="0"/>
        <w:kinsoku/>
        <w:overflowPunct/>
        <w:topLinePunct w:val="0"/>
        <w:bidi w:val="0"/>
        <w:snapToGrid w:val="0"/>
        <w:spacing w:beforeAutospacing="0" w:afterAutospacing="0" w:line="42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5、地点：采购人指定地点；</w:t>
      </w:r>
    </w:p>
    <w:p>
      <w:pPr>
        <w:keepNext w:val="0"/>
        <w:keepLines w:val="0"/>
        <w:pageBreakBefore w:val="0"/>
        <w:widowControl/>
        <w:tabs>
          <w:tab w:val="left" w:pos="840"/>
        </w:tabs>
        <w:kinsoku/>
        <w:overflowPunct/>
        <w:topLinePunct w:val="0"/>
        <w:bidi w:val="0"/>
        <w:snapToGrid w:val="0"/>
        <w:spacing w:beforeAutospacing="0" w:afterAutospacing="0" w:line="42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bookmarkStart w:id="9" w:name="_Toc27913"/>
      <w:bookmarkStart w:id="10" w:name="_Toc24040"/>
      <w:bookmarkStart w:id="11" w:name="_Toc21071"/>
      <w:bookmarkStart w:id="12" w:name="_Toc26079"/>
      <w:bookmarkStart w:id="13" w:name="_Toc19521"/>
      <w:r>
        <w:rPr>
          <w:rFonts w:hint="eastAsia" w:ascii="宋体" w:hAnsi="宋体" w:eastAsia="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w:t>
      </w:r>
      <w:bookmarkEnd w:id="9"/>
      <w:bookmarkEnd w:id="10"/>
      <w:bookmarkEnd w:id="11"/>
      <w:bookmarkEnd w:id="12"/>
      <w:bookmarkEnd w:id="13"/>
      <w:r>
        <w:rPr>
          <w:rFonts w:hint="eastAsia" w:ascii="宋体" w:hAnsi="宋体" w:eastAsia="宋体" w:cs="宋体"/>
          <w:color w:val="auto"/>
          <w:sz w:val="24"/>
          <w:szCs w:val="24"/>
          <w:highlight w:val="none"/>
          <w:shd w:val="clear" w:color="auto" w:fill="FFFFFF"/>
          <w:lang w:val="en-US" w:eastAsia="zh-CN"/>
        </w:rPr>
        <w:t>质量要求：</w:t>
      </w:r>
      <w:r>
        <w:rPr>
          <w:rFonts w:hint="eastAsia" w:ascii="宋体" w:hAnsi="宋体" w:cs="宋体"/>
          <w:color w:val="auto"/>
          <w:sz w:val="24"/>
          <w:szCs w:val="24"/>
          <w:highlight w:val="none"/>
          <w:shd w:val="clear" w:color="auto" w:fill="FFFFFF"/>
          <w:lang w:val="en-US" w:eastAsia="zh-CN"/>
        </w:rPr>
        <w:t>符合相关要求</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kinsoku/>
        <w:overflowPunct/>
        <w:topLinePunct w:val="0"/>
        <w:bidi w:val="0"/>
        <w:snapToGrid w:val="0"/>
        <w:spacing w:beforeAutospacing="0" w:afterAutospacing="0" w:line="420" w:lineRule="exact"/>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bookmarkStart w:id="14" w:name="_Toc27704"/>
      <w:bookmarkStart w:id="15" w:name="_Toc23626"/>
      <w:bookmarkStart w:id="16" w:name="_Toc16639"/>
      <w:bookmarkStart w:id="17" w:name="_Toc18607"/>
      <w:r>
        <w:rPr>
          <w:rFonts w:hint="eastAsia" w:ascii="宋体" w:hAnsi="宋体" w:eastAsia="宋体" w:cs="宋体"/>
          <w:b/>
          <w:bCs/>
          <w:color w:val="auto"/>
          <w:kern w:val="2"/>
          <w:sz w:val="24"/>
          <w:szCs w:val="24"/>
          <w:shd w:val="clear" w:color="auto" w:fill="FFFFFF"/>
          <w:lang w:val="en-US" w:eastAsia="zh-CN" w:bidi="ar-SA"/>
        </w:rPr>
        <w:t>二、</w:t>
      </w:r>
      <w:bookmarkEnd w:id="8"/>
      <w:bookmarkEnd w:id="14"/>
      <w:bookmarkEnd w:id="15"/>
      <w:bookmarkEnd w:id="16"/>
      <w:bookmarkEnd w:id="17"/>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2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2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2、供应商应提供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2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lang w:val="en-US" w:eastAsia="zh-CN" w:bidi="ar-SA"/>
        </w:rPr>
        <w:t>3、</w:t>
      </w:r>
      <w:r>
        <w:rPr>
          <w:rFonts w:hint="eastAsia" w:ascii="宋体" w:hAnsi="宋体" w:eastAsia="宋体" w:cs="宋体"/>
          <w:color w:val="auto"/>
          <w:kern w:val="2"/>
          <w:sz w:val="24"/>
          <w:szCs w:val="32"/>
          <w:lang w:val="en-US" w:eastAsia="zh-CN" w:bidi="ar-SA"/>
        </w:rPr>
        <w:t>所投产品属于一类医疗器械的，须提供医疗器械生产备案凭证和医疗器械备案凭证；所投产品属于二类医疗器械的，须提供医疗器械生产许可证、经营备案凭证、医疗器械注册证；所投产品属于三类医疗器械的，须提供医疗器械生产许可证、经营许可证、医疗器械注册证。（投标产品不属于医疗器械的，投标人可不提供）</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2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lang w:val="en-US" w:eastAsia="zh-CN" w:bidi="ar-SA"/>
        </w:rPr>
        <w:t>4</w:t>
      </w:r>
      <w:r>
        <w:rPr>
          <w:rFonts w:hint="eastAsia" w:ascii="宋体" w:hAnsi="宋体" w:eastAsia="宋体" w:cs="宋体"/>
          <w:color w:val="auto"/>
          <w:kern w:val="2"/>
          <w:sz w:val="24"/>
          <w:szCs w:val="32"/>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2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lang w:val="en-US" w:eastAsia="zh-CN" w:bidi="ar-SA"/>
        </w:rPr>
        <w:t>5</w:t>
      </w:r>
      <w:r>
        <w:rPr>
          <w:rFonts w:hint="eastAsia" w:ascii="宋体" w:hAnsi="宋体" w:eastAsia="宋体" w:cs="宋体"/>
          <w:color w:val="auto"/>
          <w:kern w:val="2"/>
          <w:sz w:val="24"/>
          <w:szCs w:val="32"/>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2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lang w:val="en-US" w:eastAsia="zh-CN" w:bidi="ar-SA"/>
        </w:rPr>
        <w:t>6</w:t>
      </w:r>
      <w:r>
        <w:rPr>
          <w:rFonts w:hint="eastAsia" w:ascii="宋体" w:hAnsi="宋体" w:eastAsia="宋体" w:cs="宋体"/>
          <w:color w:val="auto"/>
          <w:kern w:val="2"/>
          <w:sz w:val="24"/>
          <w:szCs w:val="32"/>
          <w:lang w:val="en-US" w:eastAsia="zh-CN" w:bidi="ar-SA"/>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20" w:lineRule="exact"/>
        <w:ind w:firstLine="480" w:firstLineChars="200"/>
        <w:textAlignment w:val="auto"/>
        <w:rPr>
          <w:rFonts w:hint="eastAsia" w:ascii="宋体" w:hAnsi="宋体" w:eastAsia="宋体" w:cs="宋体"/>
          <w:color w:val="auto"/>
          <w:sz w:val="24"/>
          <w:szCs w:val="28"/>
          <w:lang w:val="en-US" w:eastAsia="zh-CN"/>
        </w:rPr>
      </w:pPr>
      <w:r>
        <w:rPr>
          <w:rFonts w:hint="eastAsia" w:ascii="宋体" w:hAnsi="宋体" w:cs="宋体"/>
          <w:color w:val="auto"/>
          <w:sz w:val="24"/>
          <w:szCs w:val="28"/>
          <w:lang w:val="en-US" w:eastAsia="zh-CN"/>
        </w:rPr>
        <w:t>7</w:t>
      </w:r>
      <w:r>
        <w:rPr>
          <w:rFonts w:hint="eastAsia" w:ascii="宋体" w:hAnsi="宋体" w:eastAsia="宋体" w:cs="宋体"/>
          <w:color w:val="auto"/>
          <w:sz w:val="24"/>
          <w:szCs w:val="28"/>
          <w:lang w:val="en-US" w:eastAsia="zh-CN"/>
        </w:rPr>
        <w:t>、根据《关于在政府采购活动中查询及使用信用记录有关问题的通知》（财库【2016】125号）的规定，对“信用中国”网站中被列入失信被执行人、重大税收违法失信主体；“中国政府采购网”网站中被列入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2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highlight w:val="none"/>
          <w:lang w:val="en-US" w:eastAsia="zh-CN" w:bidi="ar-SA"/>
        </w:rPr>
        <w:t>8</w:t>
      </w:r>
      <w:r>
        <w:rPr>
          <w:rFonts w:hint="eastAsia" w:ascii="宋体" w:hAnsi="宋体" w:eastAsia="宋体" w:cs="宋体"/>
          <w:color w:val="auto"/>
          <w:kern w:val="2"/>
          <w:sz w:val="24"/>
          <w:szCs w:val="32"/>
          <w:highlight w:val="none"/>
          <w:lang w:val="en-US" w:eastAsia="zh-CN" w:bidi="ar-SA"/>
        </w:rPr>
        <w:t>、</w:t>
      </w:r>
      <w:r>
        <w:rPr>
          <w:rFonts w:hint="eastAsia" w:ascii="宋体" w:hAnsi="宋体" w:eastAsia="宋体" w:cs="宋体"/>
          <w:color w:val="auto"/>
          <w:kern w:val="2"/>
          <w:sz w:val="24"/>
          <w:szCs w:val="32"/>
          <w:lang w:val="en-US" w:eastAsia="zh-CN" w:bidi="ar-SA"/>
        </w:rPr>
        <w:t>不接受联合体投标。</w:t>
      </w:r>
    </w:p>
    <w:p>
      <w:pPr>
        <w:keepNext w:val="0"/>
        <w:keepLines w:val="0"/>
        <w:pageBreakBefore w:val="0"/>
        <w:widowControl/>
        <w:kinsoku/>
        <w:overflowPunct/>
        <w:topLinePunct w:val="0"/>
        <w:bidi w:val="0"/>
        <w:snapToGrid w:val="0"/>
        <w:spacing w:beforeAutospacing="0" w:afterAutospacing="0" w:line="420" w:lineRule="exact"/>
        <w:jc w:val="left"/>
        <w:textAlignment w:val="auto"/>
        <w:outlineLvl w:val="1"/>
        <w:rPr>
          <w:rFonts w:hint="eastAsia" w:ascii="宋体" w:hAnsi="宋体" w:eastAsia="宋体" w:cs="宋体"/>
          <w:b/>
          <w:bCs/>
          <w:color w:val="auto"/>
          <w:kern w:val="2"/>
          <w:sz w:val="24"/>
          <w:szCs w:val="32"/>
          <w:lang w:val="en-US" w:eastAsia="zh-CN" w:bidi="ar-SA"/>
        </w:rPr>
      </w:pPr>
      <w:bookmarkStart w:id="18" w:name="_Toc9562"/>
      <w:bookmarkStart w:id="19" w:name="_Toc30971"/>
      <w:bookmarkStart w:id="20" w:name="_Toc30643"/>
      <w:bookmarkStart w:id="21" w:name="_Toc7823"/>
      <w:bookmarkStart w:id="22" w:name="_Toc23395"/>
      <w:r>
        <w:rPr>
          <w:rFonts w:hint="eastAsia" w:ascii="宋体" w:hAnsi="宋体" w:eastAsia="宋体" w:cs="宋体"/>
          <w:b/>
          <w:bCs/>
          <w:color w:val="auto"/>
          <w:kern w:val="2"/>
          <w:sz w:val="24"/>
          <w:szCs w:val="32"/>
          <w:lang w:val="en-US" w:eastAsia="zh-CN" w:bidi="ar-SA"/>
        </w:rPr>
        <w:t>三、获取采购文件</w:t>
      </w:r>
      <w:bookmarkEnd w:id="18"/>
      <w:bookmarkEnd w:id="19"/>
      <w:bookmarkEnd w:id="20"/>
      <w:bookmarkEnd w:id="21"/>
      <w:bookmarkEnd w:id="22"/>
    </w:p>
    <w:p>
      <w:pPr>
        <w:keepNext w:val="0"/>
        <w:keepLines w:val="0"/>
        <w:pageBreakBefore w:val="0"/>
        <w:widowControl/>
        <w:kinsoku/>
        <w:overflowPunct/>
        <w:topLinePunct w:val="0"/>
        <w:bidi w:val="0"/>
        <w:adjustRightInd w:val="0"/>
        <w:snapToGrid w:val="0"/>
        <w:spacing w:beforeAutospacing="0" w:afterAutospacing="0" w:line="420" w:lineRule="exact"/>
        <w:ind w:firstLine="480" w:firstLineChars="200"/>
        <w:jc w:val="lef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auto"/>
          <w:sz w:val="24"/>
          <w:szCs w:val="24"/>
          <w:shd w:val="clear" w:color="auto" w:fill="FFFFFF"/>
        </w:rPr>
        <w:t>1</w:t>
      </w:r>
      <w:r>
        <w:rPr>
          <w:rFonts w:hint="eastAsia" w:ascii="宋体" w:hAnsi="宋体" w:eastAsia="宋体" w:cs="宋体"/>
          <w:color w:val="auto"/>
          <w:sz w:val="24"/>
          <w:szCs w:val="24"/>
          <w:shd w:val="clear" w:color="auto" w:fill="FFFFFF"/>
          <w:lang w:val="en-US" w:eastAsia="zh-CN"/>
        </w:rPr>
        <w:t>.报</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名</w:t>
      </w:r>
      <w:r>
        <w:rPr>
          <w:rFonts w:hint="eastAsia" w:ascii="宋体" w:hAnsi="宋体" w:eastAsia="宋体" w:cs="宋体"/>
          <w:color w:val="000000" w:themeColor="text1"/>
          <w:sz w:val="24"/>
          <w:szCs w:val="24"/>
          <w:shd w:val="clear" w:color="auto" w:fill="FFFFFF"/>
          <w14:textFill>
            <w14:solidFill>
              <w14:schemeClr w14:val="tx1"/>
            </w14:solidFill>
          </w14:textFill>
        </w:rPr>
        <w:t>时间：</w:t>
      </w:r>
      <w:r>
        <w:rPr>
          <w:rFonts w:hint="eastAsia" w:ascii="宋体" w:hAnsi="宋体" w:eastAsia="宋体" w:cs="宋体"/>
          <w:color w:val="auto"/>
          <w:sz w:val="24"/>
          <w:szCs w:val="24"/>
          <w:highlight w:val="none"/>
          <w:shd w:val="clear" w:color="auto" w:fill="FFFFFF"/>
          <w:lang w:eastAsia="zh-CN"/>
        </w:rPr>
        <w:t>2024</w:t>
      </w:r>
      <w:r>
        <w:rPr>
          <w:rFonts w:hint="eastAsia" w:ascii="宋体" w:hAnsi="宋体" w:eastAsia="宋体" w:cs="宋体"/>
          <w:color w:val="auto"/>
          <w:sz w:val="24"/>
          <w:szCs w:val="24"/>
          <w:highlight w:val="none"/>
          <w:shd w:val="clear" w:color="auto" w:fill="FFFFFF"/>
        </w:rPr>
        <w:t>年</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11</w:t>
      </w:r>
      <w:bookmarkStart w:id="98" w:name="_GoBack"/>
      <w:bookmarkEnd w:id="98"/>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lang w:eastAsia="zh-CN"/>
        </w:rPr>
        <w:t>2024</w:t>
      </w:r>
      <w:r>
        <w:rPr>
          <w:rFonts w:hint="eastAsia" w:ascii="宋体" w:hAnsi="宋体" w:eastAsia="宋体" w:cs="宋体"/>
          <w:color w:val="auto"/>
          <w:sz w:val="24"/>
          <w:szCs w:val="24"/>
          <w:highlight w:val="none"/>
          <w:shd w:val="clear" w:color="auto" w:fill="FFFFFF"/>
        </w:rPr>
        <w:t>年</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13</w:t>
      </w:r>
      <w:r>
        <w:rPr>
          <w:rFonts w:hint="eastAsia" w:ascii="宋体" w:hAnsi="宋体" w:eastAsia="宋体" w:cs="宋体"/>
          <w:color w:val="auto"/>
          <w:sz w:val="24"/>
          <w:szCs w:val="24"/>
          <w:highlight w:val="none"/>
          <w:shd w:val="clear" w:color="auto" w:fill="FFFFFF"/>
        </w:rPr>
        <w:t>日，上</w:t>
      </w:r>
      <w:r>
        <w:rPr>
          <w:rFonts w:hint="eastAsia" w:ascii="宋体" w:hAnsi="宋体" w:eastAsia="宋体" w:cs="宋体"/>
          <w:color w:val="auto"/>
          <w:sz w:val="24"/>
          <w:szCs w:val="24"/>
          <w:shd w:val="clear" w:color="auto" w:fill="FFFFFF"/>
        </w:rPr>
        <w:t>午8：30-11:30，下午14:30-17:30</w:t>
      </w:r>
      <w:r>
        <w:rPr>
          <w:rFonts w:hint="eastAsia" w:ascii="宋体" w:hAnsi="宋体" w:eastAsia="宋体" w:cs="宋体"/>
          <w:color w:val="000000" w:themeColor="text1"/>
          <w:sz w:val="24"/>
          <w:szCs w:val="24"/>
          <w:shd w:val="clear" w:color="auto" w:fill="FFFFFF"/>
          <w14:textFill>
            <w14:solidFill>
              <w14:schemeClr w14:val="tx1"/>
            </w14:solidFill>
          </w14:textFill>
        </w:rPr>
        <w:t>（北京时间，法定节假日除外）</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20" w:lineRule="exact"/>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Autospacing="0" w:afterAutospacing="0" w:line="420" w:lineRule="exact"/>
        <w:ind w:left="0" w:leftChars="0" w:firstLine="480" w:firstLineChars="200"/>
        <w:jc w:val="left"/>
        <w:textAlignment w:val="auto"/>
        <w:rPr>
          <w:rFonts w:hint="eastAsia" w:ascii="宋体" w:hAnsi="宋体" w:eastAsia="宋体" w:cs="宋体"/>
          <w:color w:val="000000" w:themeColor="text1"/>
          <w:kern w:val="0"/>
          <w:sz w:val="24"/>
          <w:szCs w:val="24"/>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3269714460@qq.com</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并标明XX公司XX</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项目报名资料。</w:t>
      </w:r>
    </w:p>
    <w:p>
      <w:pPr>
        <w:keepNext w:val="0"/>
        <w:keepLines w:val="0"/>
        <w:pageBreakBefore w:val="0"/>
        <w:widowControl/>
        <w:kinsoku/>
        <w:wordWrap w:val="0"/>
        <w:overflowPunct/>
        <w:topLinePunct w:val="0"/>
        <w:bidi w:val="0"/>
        <w:snapToGrid w:val="0"/>
        <w:spacing w:beforeAutospacing="0" w:afterAutospacing="0" w:line="420" w:lineRule="exact"/>
        <w:ind w:left="420" w:left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4.报名登记表：请从附件中下载。</w:t>
      </w:r>
    </w:p>
    <w:p>
      <w:pPr>
        <w:keepNext w:val="0"/>
        <w:keepLines w:val="0"/>
        <w:pageBreakBefore w:val="0"/>
        <w:widowControl/>
        <w:kinsoku/>
        <w:overflowPunct/>
        <w:topLinePunct w:val="0"/>
        <w:bidi w:val="0"/>
        <w:snapToGrid w:val="0"/>
        <w:spacing w:beforeAutospacing="0" w:afterAutospacing="0" w:line="420" w:lineRule="exact"/>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3" w:name="_Toc15135"/>
      <w:bookmarkStart w:id="24" w:name="_Toc25869"/>
      <w:bookmarkStart w:id="25" w:name="_Toc27480"/>
      <w:bookmarkStart w:id="26" w:name="_Toc10738"/>
      <w:bookmarkStart w:id="27" w:name="_Toc15111"/>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四、投标截止时间及地点</w:t>
      </w:r>
      <w:bookmarkEnd w:id="23"/>
      <w:bookmarkEnd w:id="24"/>
      <w:bookmarkEnd w:id="25"/>
      <w:bookmarkEnd w:id="26"/>
      <w:bookmarkEnd w:id="27"/>
    </w:p>
    <w:p>
      <w:pPr>
        <w:keepNext w:val="0"/>
        <w:keepLines w:val="0"/>
        <w:pageBreakBefore w:val="0"/>
        <w:widowControl/>
        <w:kinsoku/>
        <w:overflowPunct/>
        <w:topLinePunct w:val="0"/>
        <w:bidi w:val="0"/>
        <w:snapToGrid w:val="0"/>
        <w:spacing w:beforeAutospacing="0" w:afterAutospacing="0" w:line="420" w:lineRule="exact"/>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2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20" w:lineRule="exact"/>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五、开标时间及地点</w:t>
      </w:r>
    </w:p>
    <w:p>
      <w:pPr>
        <w:keepNext w:val="0"/>
        <w:keepLines w:val="0"/>
        <w:pageBreakBefore w:val="0"/>
        <w:widowControl/>
        <w:kinsoku/>
        <w:overflowPunct/>
        <w:topLinePunct w:val="0"/>
        <w:bidi w:val="0"/>
        <w:snapToGrid w:val="0"/>
        <w:spacing w:beforeAutospacing="0" w:afterAutospacing="0" w:line="420" w:lineRule="exact"/>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2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u w:val="none"/>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20" w:lineRule="exact"/>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8" w:name="_Toc29784"/>
      <w:bookmarkStart w:id="29" w:name="_Toc6523"/>
      <w:bookmarkStart w:id="30" w:name="_Toc20287"/>
      <w:bookmarkStart w:id="31" w:name="_Toc30918"/>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六、发布公告的媒介及</w:t>
      </w:r>
      <w:r>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公告期限</w:t>
      </w:r>
      <w:bookmarkEnd w:id="28"/>
      <w:bookmarkEnd w:id="29"/>
      <w:bookmarkEnd w:id="30"/>
      <w:bookmarkEnd w:id="31"/>
    </w:p>
    <w:p>
      <w:pPr>
        <w:keepNext w:val="0"/>
        <w:keepLines w:val="0"/>
        <w:pageBreakBefore w:val="0"/>
        <w:widowControl/>
        <w:kinsoku/>
        <w:overflowPunct/>
        <w:topLinePunct w:val="0"/>
        <w:bidi w:val="0"/>
        <w:snapToGrid w:val="0"/>
        <w:spacing w:beforeAutospacing="0" w:afterAutospacing="0" w:line="42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公告在《驻马店市中心医院》院内网</w:t>
      </w:r>
      <w:r>
        <w:rPr>
          <w:rFonts w:hint="eastAsia" w:ascii="宋体" w:hAnsi="宋体" w:eastAsia="宋体" w:cs="宋体"/>
          <w:color w:val="000000" w:themeColor="text1"/>
          <w:sz w:val="24"/>
          <w:szCs w:val="24"/>
          <w:shd w:val="clear" w:color="auto" w:fill="auto"/>
          <w14:textFill>
            <w14:solidFill>
              <w14:schemeClr w14:val="tx1"/>
            </w14:solidFill>
          </w14:textFill>
        </w:rPr>
        <w:t>上发布</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公告期限为</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w:t>
      </w:r>
    </w:p>
    <w:bookmarkEnd w:id="3"/>
    <w:bookmarkEnd w:id="4"/>
    <w:p>
      <w:pPr>
        <w:keepNext w:val="0"/>
        <w:keepLines w:val="0"/>
        <w:pageBreakBefore w:val="0"/>
        <w:widowControl/>
        <w:kinsoku/>
        <w:overflowPunct/>
        <w:topLinePunct w:val="0"/>
        <w:bidi w:val="0"/>
        <w:snapToGrid w:val="0"/>
        <w:spacing w:beforeAutospacing="0" w:afterAutospacing="0" w:line="420" w:lineRule="exact"/>
        <w:jc w:val="left"/>
        <w:textAlignment w:val="auto"/>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2" w:name="_Toc3604"/>
      <w:bookmarkStart w:id="33" w:name="_Toc16291"/>
      <w:bookmarkStart w:id="34" w:name="_Toc27370"/>
      <w:bookmarkStart w:id="35" w:name="_Toc24274"/>
      <w:bookmarkStart w:id="36" w:name="_Toc31928"/>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七、</w:t>
      </w:r>
      <w:bookmarkEnd w:id="32"/>
      <w:bookmarkEnd w:id="33"/>
      <w:bookmarkEnd w:id="34"/>
      <w:bookmarkEnd w:id="35"/>
      <w:bookmarkEnd w:id="36"/>
      <w:r>
        <w:rPr>
          <w:rFonts w:hint="eastAsia" w:ascii="宋体" w:hAnsi="宋体" w:eastAsia="宋体" w:cs="宋体"/>
          <w:b/>
          <w:bCs/>
          <w:color w:val="000000" w:themeColor="text1"/>
          <w:kern w:val="2"/>
          <w:sz w:val="24"/>
          <w:szCs w:val="24"/>
          <w:highlight w:val="none"/>
          <w:shd w:val="clear" w:color="auto" w:fill="FFFFFF"/>
          <w:lang w:val="en-US" w:eastAsia="zh-CN" w:bidi="ar-SA"/>
          <w14:textFill>
            <w14:solidFill>
              <w14:schemeClr w14:val="tx1"/>
            </w14:solidFill>
          </w14:textFill>
        </w:rPr>
        <w:t>凡对本次招标提出询问，请按照以下方式联系</w:t>
      </w:r>
    </w:p>
    <w:p>
      <w:pPr>
        <w:keepNext w:val="0"/>
        <w:keepLines w:val="0"/>
        <w:pageBreakBefore w:val="0"/>
        <w:widowControl/>
        <w:kinsoku/>
        <w:overflowPunct/>
        <w:topLinePunct w:val="0"/>
        <w:bidi w:val="0"/>
        <w:snapToGrid w:val="0"/>
        <w:spacing w:beforeAutospacing="0" w:afterAutospacing="0" w:line="42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报名联系人1：张先生</w:t>
      </w:r>
    </w:p>
    <w:p>
      <w:pPr>
        <w:keepNext w:val="0"/>
        <w:keepLines w:val="0"/>
        <w:pageBreakBefore w:val="0"/>
        <w:widowControl/>
        <w:kinsoku/>
        <w:overflowPunct/>
        <w:topLinePunct w:val="0"/>
        <w:bidi w:val="0"/>
        <w:snapToGrid w:val="0"/>
        <w:spacing w:beforeAutospacing="0" w:afterAutospacing="0" w:line="42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联系电话：15518321111</w:t>
      </w:r>
    </w:p>
    <w:p>
      <w:pPr>
        <w:keepNext w:val="0"/>
        <w:keepLines w:val="0"/>
        <w:pageBreakBefore w:val="0"/>
        <w:widowControl/>
        <w:kinsoku/>
        <w:overflowPunct/>
        <w:topLinePunct w:val="0"/>
        <w:bidi w:val="0"/>
        <w:snapToGrid w:val="0"/>
        <w:spacing w:beforeAutospacing="0" w:afterAutospacing="0" w:line="42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报名联系人2：庞先生</w:t>
      </w:r>
    </w:p>
    <w:p>
      <w:pPr>
        <w:keepNext w:val="0"/>
        <w:keepLines w:val="0"/>
        <w:pageBreakBefore w:val="0"/>
        <w:widowControl/>
        <w:kinsoku/>
        <w:overflowPunct/>
        <w:topLinePunct w:val="0"/>
        <w:bidi w:val="0"/>
        <w:snapToGrid w:val="0"/>
        <w:spacing w:beforeAutospacing="0" w:afterAutospacing="0" w:line="42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联系电话：18272909999</w:t>
      </w:r>
    </w:p>
    <w:p>
      <w:pPr>
        <w:keepNext w:val="0"/>
        <w:keepLines w:val="0"/>
        <w:pageBreakBefore w:val="0"/>
        <w:widowControl/>
        <w:kinsoku/>
        <w:overflowPunct/>
        <w:topLinePunct w:val="0"/>
        <w:bidi w:val="0"/>
        <w:snapToGrid w:val="0"/>
        <w:spacing w:beforeAutospacing="0" w:afterAutospacing="0" w:line="42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联系人：陈先生</w:t>
      </w:r>
    </w:p>
    <w:p>
      <w:pPr>
        <w:keepNext w:val="0"/>
        <w:keepLines w:val="0"/>
        <w:pageBreakBefore w:val="0"/>
        <w:widowControl/>
        <w:kinsoku/>
        <w:overflowPunct/>
        <w:topLinePunct w:val="0"/>
        <w:bidi w:val="0"/>
        <w:snapToGrid w:val="0"/>
        <w:spacing w:beforeAutospacing="0" w:afterAutospacing="0" w:line="42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联系电话：0396-2726379</w:t>
      </w:r>
    </w:p>
    <w:p>
      <w:pPr>
        <w:keepNext w:val="0"/>
        <w:keepLines w:val="0"/>
        <w:pageBreakBefore w:val="0"/>
        <w:widowControl/>
        <w:kinsoku/>
        <w:overflowPunct/>
        <w:topLinePunct w:val="0"/>
        <w:bidi w:val="0"/>
        <w:snapToGrid w:val="0"/>
        <w:spacing w:beforeAutospacing="0" w:afterAutospacing="0" w:line="42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联系邮箱：zxyyjzcgbgs@163.com</w:t>
      </w:r>
    </w:p>
    <w:p>
      <w:pPr>
        <w:keepNext w:val="0"/>
        <w:keepLines w:val="0"/>
        <w:pageBreakBefore w:val="0"/>
        <w:widowControl/>
        <w:kinsoku/>
        <w:overflowPunct/>
        <w:topLinePunct w:val="0"/>
        <w:bidi w:val="0"/>
        <w:snapToGrid w:val="0"/>
        <w:spacing w:beforeAutospacing="0" w:afterAutospacing="0" w:line="42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监督部门：驻马店市中心医院纪检监察室 </w:t>
      </w:r>
    </w:p>
    <w:p>
      <w:pPr>
        <w:keepNext w:val="0"/>
        <w:keepLines w:val="0"/>
        <w:pageBreakBefore w:val="0"/>
        <w:widowControl/>
        <w:kinsoku/>
        <w:overflowPunct/>
        <w:topLinePunct w:val="0"/>
        <w:bidi w:val="0"/>
        <w:snapToGrid w:val="0"/>
        <w:spacing w:beforeAutospacing="0" w:afterAutospacing="0" w:line="42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监督电话：0396-2726678 </w:t>
      </w:r>
    </w:p>
    <w:p>
      <w:pPr>
        <w:keepNext w:val="0"/>
        <w:keepLines w:val="0"/>
        <w:pageBreakBefore w:val="0"/>
        <w:widowControl/>
        <w:kinsoku/>
        <w:overflowPunct/>
        <w:topLinePunct w:val="0"/>
        <w:bidi w:val="0"/>
        <w:snapToGrid w:val="0"/>
        <w:spacing w:beforeAutospacing="0" w:afterAutospacing="0" w:line="360" w:lineRule="auto"/>
        <w:ind w:firstLine="480" w:firstLineChars="200"/>
        <w:jc w:val="righ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驻马店市中心医院采购科</w:t>
      </w:r>
    </w:p>
    <w:p>
      <w:pPr>
        <w:keepNext w:val="0"/>
        <w:keepLines w:val="0"/>
        <w:pageBreakBefore w:val="0"/>
        <w:kinsoku/>
        <w:overflowPunct/>
        <w:topLinePunct w:val="0"/>
        <w:bidi w:val="0"/>
        <w:spacing w:beforeAutospacing="0" w:afterAutospacing="0" w:line="360" w:lineRule="auto"/>
        <w:jc w:val="right"/>
        <w:textAlignment w:val="auto"/>
        <w:rPr>
          <w:rFonts w:hint="eastAsia" w:ascii="宋体" w:hAnsi="宋体" w:eastAsia="宋体" w:cs="宋体"/>
          <w:color w:val="auto"/>
        </w:rPr>
      </w:pPr>
      <w:r>
        <w:rPr>
          <w:rFonts w:hint="eastAsia" w:ascii="宋体" w:hAnsi="宋体" w:eastAsia="宋体" w:cs="宋体"/>
          <w:color w:val="auto"/>
          <w:kern w:val="0"/>
          <w:sz w:val="24"/>
          <w:szCs w:val="24"/>
          <w:shd w:val="clear" w:color="auto" w:fill="FFFFFF"/>
          <w:lang w:val="en-US" w:eastAsia="zh-CN" w:bidi="ar-SA"/>
        </w:rPr>
        <w:t>2024年3</w:t>
      </w:r>
      <w:r>
        <w:rPr>
          <w:rFonts w:hint="eastAsia" w:ascii="宋体" w:hAnsi="宋体" w:eastAsia="宋体" w:cs="宋体"/>
          <w:color w:val="auto"/>
          <w:kern w:val="0"/>
          <w:sz w:val="24"/>
          <w:szCs w:val="24"/>
          <w:highlight w:val="none"/>
          <w:shd w:val="clear" w:color="auto" w:fill="FFFFFF"/>
          <w:lang w:val="en-US" w:eastAsia="zh-CN" w:bidi="ar-SA"/>
        </w:rPr>
        <w:t>月</w:t>
      </w:r>
      <w:r>
        <w:rPr>
          <w:rFonts w:hint="eastAsia" w:ascii="宋体" w:hAnsi="宋体" w:cs="宋体"/>
          <w:color w:val="auto"/>
          <w:kern w:val="0"/>
          <w:sz w:val="24"/>
          <w:szCs w:val="24"/>
          <w:highlight w:val="none"/>
          <w:shd w:val="clear" w:color="auto" w:fill="FFFFFF"/>
          <w:lang w:val="en-US" w:eastAsia="zh-CN" w:bidi="ar-SA"/>
        </w:rPr>
        <w:t>8</w:t>
      </w:r>
      <w:r>
        <w:rPr>
          <w:rFonts w:hint="eastAsia" w:ascii="宋体" w:hAnsi="宋体" w:eastAsia="宋体" w:cs="宋体"/>
          <w:color w:val="auto"/>
          <w:kern w:val="0"/>
          <w:sz w:val="24"/>
          <w:szCs w:val="24"/>
          <w:highlight w:val="none"/>
          <w:shd w:val="clear" w:color="auto" w:fill="FFFFFF"/>
          <w:lang w:val="en-US" w:eastAsia="zh-CN" w:bidi="ar-SA"/>
        </w:rPr>
        <w:t>日</w:t>
      </w:r>
    </w:p>
    <w:p>
      <w:pPr>
        <w:pageBreakBefore w:val="0"/>
        <w:kinsoku/>
        <w:overflowPunct/>
        <w:topLinePunct w:val="0"/>
        <w:bidi w:val="0"/>
        <w:spacing w:beforeAutospacing="0" w:afterAutospacing="0"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pageBreakBefore w:val="0"/>
        <w:kinsoku/>
        <w:overflowPunct/>
        <w:topLinePunct w:val="0"/>
        <w:bidi w:val="0"/>
        <w:spacing w:beforeAutospacing="0" w:afterAutospacing="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5"/>
      <w:bookmarkStart w:id="37" w:name="_Toc31536"/>
      <w:bookmarkStart w:id="38" w:name="_Toc23610"/>
      <w:bookmarkStart w:id="39" w:name="_Toc9989"/>
    </w:p>
    <w:bookmarkEnd w:id="37"/>
    <w:bookmarkEnd w:id="38"/>
    <w:bookmarkEnd w:id="39"/>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left"/>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一、项目名称、数量：</w:t>
      </w:r>
      <w:r>
        <w:rPr>
          <w:rFonts w:hint="eastAsia" w:ascii="宋体" w:hAnsi="宋体" w:cs="宋体"/>
          <w:b w:val="0"/>
          <w:bCs w:val="0"/>
          <w:color w:val="auto"/>
          <w:kern w:val="0"/>
          <w:sz w:val="24"/>
          <w:szCs w:val="24"/>
          <w:highlight w:val="none"/>
          <w:u w:val="single"/>
          <w:shd w:val="clear" w:color="auto" w:fill="FFFFFF"/>
          <w:lang w:val="en-US" w:eastAsia="zh-CN" w:bidi="ar-SA"/>
        </w:rPr>
        <w:t>驻马店市中心医院医用冷藏箱采购项目</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二、项目用途说明：</w:t>
      </w:r>
      <w:r>
        <w:rPr>
          <w:rFonts w:hint="eastAsia" w:ascii="宋体" w:hAnsi="宋体" w:cs="宋体"/>
          <w:b w:val="0"/>
          <w:bCs w:val="0"/>
          <w:kern w:val="2"/>
          <w:sz w:val="24"/>
          <w:szCs w:val="24"/>
          <w:u w:val="single"/>
          <w:lang w:val="en-US" w:eastAsia="zh-CN" w:bidi="ar-SA"/>
        </w:rPr>
        <w:t>/</w:t>
      </w:r>
      <w:r>
        <w:rPr>
          <w:rFonts w:hint="eastAsia" w:ascii="宋体" w:hAnsi="宋体" w:eastAsia="宋体" w:cs="宋体"/>
          <w:kern w:val="2"/>
          <w:sz w:val="24"/>
          <w:szCs w:val="24"/>
          <w:lang w:val="en-US" w:eastAsia="zh-CN" w:bidi="ar-SA"/>
        </w:rPr>
        <w:t xml:space="preserve">                </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420" w:hanging="482" w:hangingChars="200"/>
        <w:jc w:val="left"/>
        <w:textAlignment w:val="auto"/>
        <w:rPr>
          <w:rFonts w:hint="eastAsia" w:ascii="宋体" w:hAnsi="宋体" w:eastAsia="宋体" w:cs="宋体"/>
          <w:b/>
          <w:bCs/>
          <w:color w:val="auto"/>
          <w:kern w:val="0"/>
          <w:sz w:val="24"/>
          <w:szCs w:val="24"/>
          <w:shd w:val="clear" w:color="auto" w:fill="FFFFFF"/>
          <w:lang w:val="en-US" w:eastAsia="zh-CN" w:bidi="ar-SA"/>
        </w:rPr>
      </w:pPr>
      <w:r>
        <w:rPr>
          <w:rFonts w:hint="eastAsia" w:ascii="宋体" w:hAnsi="宋体" w:eastAsia="宋体" w:cs="宋体"/>
          <w:b/>
          <w:bCs/>
          <w:color w:val="auto"/>
          <w:kern w:val="0"/>
          <w:sz w:val="24"/>
          <w:szCs w:val="24"/>
          <w:shd w:val="clear" w:color="auto" w:fill="FFFFFF"/>
          <w:lang w:val="en-US" w:eastAsia="zh-CN" w:bidi="ar-SA"/>
        </w:rPr>
        <w:t>三、配置规格、附件及零配件（包括专用工具）：</w:t>
      </w:r>
    </w:p>
    <w:tbl>
      <w:tblPr>
        <w:tblStyle w:val="33"/>
        <w:tblW w:w="9113"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730"/>
        <w:gridCol w:w="2267"/>
        <w:gridCol w:w="1000"/>
        <w:gridCol w:w="1027"/>
        <w:gridCol w:w="193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744"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lang w:val="en-US" w:eastAsia="zh-CN"/>
              </w:rPr>
              <w:t>包号</w:t>
            </w:r>
          </w:p>
        </w:tc>
        <w:tc>
          <w:tcPr>
            <w:tcW w:w="73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序号</w:t>
            </w:r>
          </w:p>
        </w:tc>
        <w:tc>
          <w:tcPr>
            <w:tcW w:w="2267"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标的名称</w:t>
            </w:r>
          </w:p>
        </w:tc>
        <w:tc>
          <w:tcPr>
            <w:tcW w:w="100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lang w:val="en-US" w:eastAsia="zh-CN"/>
              </w:rPr>
              <w:t>单位</w:t>
            </w:r>
          </w:p>
        </w:tc>
        <w:tc>
          <w:tcPr>
            <w:tcW w:w="1027"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数量</w:t>
            </w:r>
          </w:p>
        </w:tc>
        <w:tc>
          <w:tcPr>
            <w:tcW w:w="1933"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资金预算</w:t>
            </w:r>
          </w:p>
        </w:tc>
        <w:tc>
          <w:tcPr>
            <w:tcW w:w="1412"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资金性质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A</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2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医用冷藏箱</w:t>
            </w:r>
          </w:p>
        </w:tc>
        <w:tc>
          <w:tcPr>
            <w:tcW w:w="1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w:t>
            </w:r>
          </w:p>
        </w:tc>
        <w:tc>
          <w:tcPr>
            <w:tcW w:w="10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w:t>
            </w:r>
          </w:p>
        </w:tc>
        <w:tc>
          <w:tcPr>
            <w:tcW w:w="19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7.8</w:t>
            </w:r>
            <w:r>
              <w:rPr>
                <w:rFonts w:hint="eastAsia" w:ascii="宋体" w:hAnsi="宋体" w:eastAsia="宋体" w:cs="宋体"/>
                <w:sz w:val="24"/>
                <w:szCs w:val="24"/>
                <w:vertAlign w:val="baseline"/>
                <w:lang w:val="en-US" w:eastAsia="zh-CN"/>
              </w:rPr>
              <w:t>万元</w:t>
            </w:r>
          </w:p>
        </w:tc>
        <w:tc>
          <w:tcPr>
            <w:tcW w:w="14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合计</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22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0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9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cs="宋体"/>
                <w:sz w:val="24"/>
                <w:szCs w:val="24"/>
                <w:vertAlign w:val="baseline"/>
                <w:lang w:val="en-US" w:eastAsia="zh-CN"/>
              </w:rPr>
              <w:t>7.8</w:t>
            </w:r>
            <w:r>
              <w:rPr>
                <w:rFonts w:hint="eastAsia" w:ascii="宋体" w:hAnsi="宋体" w:eastAsia="宋体" w:cs="宋体"/>
                <w:sz w:val="24"/>
                <w:szCs w:val="24"/>
                <w:vertAlign w:val="baseline"/>
                <w:lang w:val="en-US" w:eastAsia="zh-CN"/>
              </w:rPr>
              <w:t>万元</w:t>
            </w:r>
          </w:p>
        </w:tc>
        <w:tc>
          <w:tcPr>
            <w:tcW w:w="14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备注</w:t>
            </w:r>
          </w:p>
        </w:tc>
        <w:tc>
          <w:tcPr>
            <w:tcW w:w="6957"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4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r>
    </w:tbl>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kern w:val="2"/>
          <w:sz w:val="24"/>
          <w:szCs w:val="24"/>
          <w:highlight w:val="none"/>
          <w:lang w:val="en-US" w:eastAsia="zh-CN" w:bidi="ar-SA"/>
        </w:rPr>
        <w:t>四、技术参数要求</w:t>
      </w:r>
      <w:r>
        <w:rPr>
          <w:rFonts w:hint="eastAsia" w:ascii="宋体" w:hAnsi="宋体" w:eastAsia="宋体" w:cs="宋体"/>
          <w:b/>
          <w:bCs/>
          <w:color w:val="auto"/>
          <w:kern w:val="0"/>
          <w:sz w:val="24"/>
          <w:szCs w:val="24"/>
          <w:highlight w:val="none"/>
          <w:shd w:val="clear" w:color="auto" w:fill="FFFFFF"/>
          <w:lang w:val="en-US" w:eastAsia="zh-CN" w:bidi="ar-SA"/>
        </w:rPr>
        <w:t>：</w:t>
      </w:r>
      <w:bookmarkEnd w:id="6"/>
      <w:bookmarkEnd w:id="7"/>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 容积≥ 890L，立式双开门，双层钢化玻璃门，可实现32℃/85%Rh下无凝露。</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 箱内温度：数字温度显示，可通过调整设定温度使箱内温度恒定控制在2℃~8℃，调节增量为0.1℃，分辨率0.1℃。</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 报警方式：声光报警，可实现超温报警、传感器故障报警、开门报警、远程报警、断电（电源故障）报警、制冷系统故障报警等。</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4. 采用进口压缩机和冷凝风机，≥3个蒸发风机、≥2个冷凝风机。</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 任意角度自关门。</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6.配备冷链智能采集器，冰箱温度数据可上传至现用的冷链云平台。</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五、</w:t>
      </w:r>
      <w:r>
        <w:rPr>
          <w:rFonts w:hint="eastAsia" w:ascii="宋体" w:hAnsi="宋体" w:cs="宋体"/>
          <w:b/>
          <w:bCs/>
          <w:kern w:val="2"/>
          <w:sz w:val="24"/>
          <w:szCs w:val="24"/>
          <w:highlight w:val="none"/>
          <w:lang w:val="en-US" w:eastAsia="zh-CN" w:bidi="ar-SA"/>
        </w:rPr>
        <w:t>其他</w:t>
      </w:r>
      <w:r>
        <w:rPr>
          <w:rFonts w:hint="eastAsia" w:ascii="宋体" w:hAnsi="宋体" w:eastAsia="宋体" w:cs="宋体"/>
          <w:b/>
          <w:bCs/>
          <w:kern w:val="2"/>
          <w:sz w:val="24"/>
          <w:szCs w:val="24"/>
          <w:highlight w:val="none"/>
          <w:lang w:val="en-US" w:eastAsia="zh-CN" w:bidi="ar-SA"/>
        </w:rPr>
        <w:t>要求：</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1、交货期：合同签订后30日内交货，最终以合同约定内容为准。 </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2、交货地点：采购人指定地点。                            </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3、售后服务：</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（1）从产品入库之日起，整机保修三年，出具相关服务承诺书。</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（2）质保期内应当为采购人提供以下技术支持和服务：</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a、现场响应：供应商应保证在12小时内对用户提出的问题或故障予以响应及处理。可提供备用设备或核心部件应急使用。</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b、中标人应当应每季度对该设备进行保养不少于一次,并出具保养报告，具体保养内容见合同。</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c、质保期内该设备应保证大于95%（含）的开机率，如达不到要求，每少于一天质保期顺延7天，如造成严重损失需赔偿用户经济损失或换货或退货。</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d、技术升级，如果制造商的产品技术升级，中标人应及时通知采购人，如采购人有相应要求，中标人和制造商应对采购人购买的产品进行免费升级服务。</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e、投标人交付设备时，应按照《国家食品药品监督管理总局》第18号令第17条的要求提供相应的维护手册、维修手册、软件备份、故障代码表、备件清单、零部件、维修密码等维护维修必需的材料和信息。</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f、除火灾、洪水、地震等天灾外，在保修期内，由于货物故障所产生的所有费用均由供应商负责。                                  </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4、培训：免费提供操作培训和维修培训。                         </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5、所有设备按照医院实际要求免费开放端口，免费为医院对接院内信息系统。质保期内免费进行软件升级。                          </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6、商品包装和快递包装应符合《商品包装政府采购需求标准（试行）》和《快递包装政府采购需求标准（试行）》规定。</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供应商如为代理商的并所投产品如为进口产品的，需提供拟投产品制造商或中国境内办事处或中国总代理经销商针对本项目的授权书。</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、提供投标产品有效期内的医疗器械产品完整的注册证（含附件：产品技术要求）及产品注册检验报告或相关资料（完整版）</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bookmarkStart w:id="40" w:name="_Toc30861"/>
      <w:bookmarkStart w:id="41" w:name="_Toc476419058"/>
      <w:bookmarkStart w:id="42" w:name="_Toc337554821"/>
      <w:bookmarkStart w:id="43" w:name="_Toc3739"/>
      <w:bookmarkStart w:id="44" w:name="_Toc349642342"/>
      <w:bookmarkStart w:id="45" w:name="_Toc476420855"/>
      <w:bookmarkStart w:id="46" w:name="_Toc8282"/>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、需提供响应技术参数条款的技术白皮书和彩页等相关文件，并对响应技术参数部分做出明显标注</w:t>
      </w:r>
      <w:bookmarkEnd w:id="40"/>
      <w:bookmarkEnd w:id="41"/>
      <w:bookmarkEnd w:id="42"/>
      <w:bookmarkEnd w:id="43"/>
      <w:bookmarkEnd w:id="44"/>
      <w:bookmarkEnd w:id="45"/>
      <w:bookmarkEnd w:id="46"/>
      <w:r>
        <w:rPr>
          <w:rFonts w:hint="eastAsia" w:ascii="宋体" w:hAnsi="宋体" w:eastAsia="宋体" w:cs="宋体"/>
          <w:b w:val="0"/>
          <w:bCs w:val="0"/>
          <w:color w:val="auto"/>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 xml:space="preserve">质量：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 证产品（简称 3C 认证产品）的，该产品应具有由认证机构颁发给制造商的该产品强制性认证证书。 </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lang w:val="en-US" w:eastAsia="zh-CN"/>
        </w:rPr>
        <w:t xml:space="preserve">、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 </w:t>
      </w:r>
    </w:p>
    <w:p>
      <w:pPr>
        <w:keepNext w:val="0"/>
        <w:keepLines w:val="0"/>
        <w:pageBreakBefore w:val="0"/>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rPr>
      </w:pP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商务要求</w:t>
      </w:r>
    </w:p>
    <w:tbl>
      <w:tblPr>
        <w:tblStyle w:val="32"/>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合同签订时间</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日历日</w:t>
            </w:r>
            <w:r>
              <w:rPr>
                <w:rFonts w:hint="eastAsia" w:ascii="宋体" w:hAnsi="宋体" w:eastAsia="宋体" w:cs="宋体"/>
                <w:color w:val="auto"/>
                <w:kern w:val="0"/>
                <w:sz w:val="24"/>
                <w:szCs w:val="24"/>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交货地点</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交货期</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合同签订后30日内交货，最终以合同约定内容为准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32"/>
                <w:lang w:val="en-US" w:eastAsia="zh-CN"/>
              </w:rPr>
              <w:t>不少于</w:t>
            </w:r>
            <w:r>
              <w:rPr>
                <w:rFonts w:hint="eastAsia" w:ascii="宋体" w:hAnsi="宋体" w:cs="宋体"/>
                <w:sz w:val="24"/>
                <w:szCs w:val="32"/>
                <w:lang w:val="en-US" w:eastAsia="zh-CN"/>
              </w:rPr>
              <w:t>3</w:t>
            </w:r>
            <w:r>
              <w:rPr>
                <w:rFonts w:hint="eastAsia" w:ascii="宋体" w:hAnsi="宋体" w:eastAsia="宋体" w:cs="宋体"/>
                <w:sz w:val="24"/>
                <w:szCs w:val="32"/>
                <w:lang w:val="en-US" w:eastAsia="zh-CN"/>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  收</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符合相关要求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以合同约定为准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培训</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免费提供操作培训和维修培训</w:t>
            </w:r>
          </w:p>
        </w:tc>
      </w:tr>
    </w:tbl>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采购人对项目的特殊要求及说明</w:t>
      </w:r>
    </w:p>
    <w:tbl>
      <w:tblPr>
        <w:tblStyle w:val="32"/>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1"/>
              </w:numPr>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不接受联合体投标，不允许转包和分包。</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rPr>
              <w:t>、授权评标委员会确定一名中标人并推荐</w:t>
            </w:r>
            <w:r>
              <w:rPr>
                <w:rFonts w:hint="eastAsia" w:ascii="宋体" w:hAnsi="宋体" w:eastAsia="宋体" w:cs="宋体"/>
                <w:color w:val="auto"/>
                <w:spacing w:val="0"/>
                <w:kern w:val="0"/>
                <w:sz w:val="24"/>
                <w:szCs w:val="24"/>
                <w:highlight w:val="none"/>
                <w:lang w:eastAsia="zh-CN"/>
              </w:rPr>
              <w:t>一名中标候选人</w:t>
            </w:r>
            <w:r>
              <w:rPr>
                <w:rFonts w:hint="eastAsia" w:ascii="宋体" w:hAnsi="宋体" w:eastAsia="宋体" w:cs="宋体"/>
                <w:color w:val="auto"/>
                <w:spacing w:val="0"/>
                <w:kern w:val="0"/>
                <w:sz w:val="24"/>
                <w:szCs w:val="24"/>
                <w:highlight w:val="none"/>
              </w:rPr>
              <w:t>。</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、供应商应根据</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文件的要求提供技术响应表、商务响应表等内容以对</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文件作出响应。</w:t>
            </w:r>
          </w:p>
        </w:tc>
      </w:tr>
    </w:tbl>
    <w:p>
      <w:pPr>
        <w:pageBreakBefore w:val="0"/>
        <w:kinsoku/>
        <w:overflowPunct/>
        <w:topLinePunct w:val="0"/>
        <w:bidi w:val="0"/>
        <w:spacing w:beforeAutospacing="0" w:afterAutospacing="0" w:line="360" w:lineRule="auto"/>
        <w:rPr>
          <w:rFonts w:hint="eastAsia" w:ascii="宋体" w:hAnsi="宋体" w:eastAsia="宋体" w:cs="宋体"/>
          <w:b/>
          <w:bCs/>
          <w:color w:val="auto"/>
          <w:sz w:val="32"/>
          <w:szCs w:val="32"/>
          <w:highlight w:val="none"/>
        </w:rPr>
      </w:pPr>
      <w:bookmarkStart w:id="47" w:name="_Toc14504"/>
      <w:r>
        <w:rPr>
          <w:rFonts w:hint="eastAsia" w:ascii="宋体" w:hAnsi="宋体" w:eastAsia="宋体" w:cs="宋体"/>
          <w:b/>
          <w:bCs/>
          <w:color w:val="auto"/>
          <w:sz w:val="32"/>
          <w:szCs w:val="32"/>
          <w:highlight w:val="none"/>
        </w:rPr>
        <w:br w:type="page"/>
      </w: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第三章  投标人须知</w:t>
      </w:r>
      <w:bookmarkEnd w:id="47"/>
    </w:p>
    <w:p>
      <w:pPr>
        <w:pageBreakBefore w:val="0"/>
        <w:kinsoku/>
        <w:overflowPunct/>
        <w:topLinePunct w:val="0"/>
        <w:bidi w:val="0"/>
        <w:snapToGrid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投标人须知前附表</w:t>
      </w:r>
    </w:p>
    <w:tbl>
      <w:tblPr>
        <w:tblStyle w:val="32"/>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487"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驻马店市中心医院医用冷藏箱采购项目</w:t>
            </w:r>
            <w:r>
              <w:rPr>
                <w:rFonts w:hint="eastAsia" w:ascii="宋体" w:hAnsi="宋体" w:eastAsia="宋体" w:cs="宋体"/>
                <w:color w:val="auto"/>
                <w:sz w:val="24"/>
                <w:szCs w:val="24"/>
                <w:highlight w:val="none"/>
                <w:lang w:val="en-US" w:eastAsia="zh-CN"/>
              </w:rPr>
              <w:t>。</w:t>
            </w: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采购人名称：</w:t>
            </w:r>
            <w:r>
              <w:rPr>
                <w:rFonts w:hint="eastAsia" w:ascii="宋体" w:hAnsi="宋体" w:eastAsia="宋体" w:cs="宋体"/>
                <w:sz w:val="24"/>
                <w:szCs w:val="24"/>
                <w:highlight w:val="none"/>
              </w:rPr>
              <w:t>驻马店市中心医院</w:t>
            </w:r>
            <w:r>
              <w:rPr>
                <w:rFonts w:hint="eastAsia" w:ascii="宋体" w:hAnsi="宋体" w:eastAsia="宋体" w:cs="宋体"/>
                <w:sz w:val="24"/>
                <w:szCs w:val="24"/>
                <w:highlight w:val="none"/>
                <w:lang w:eastAsia="zh-CN"/>
              </w:rPr>
              <w:t>。</w:t>
            </w: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采购范围：详</w:t>
            </w:r>
            <w:r>
              <w:rPr>
                <w:rFonts w:hint="eastAsia" w:ascii="宋体" w:hAnsi="宋体" w:eastAsia="宋体" w:cs="宋体"/>
                <w:color w:val="auto"/>
                <w:sz w:val="24"/>
                <w:szCs w:val="24"/>
                <w:highlight w:val="none"/>
                <w:lang w:val="en-US" w:eastAsia="zh-CN"/>
              </w:rPr>
              <w:t>见第二章采购</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合格投标人：具备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采购预算（最高投标限价）：</w:t>
            </w:r>
            <w:r>
              <w:rPr>
                <w:rFonts w:hint="eastAsia" w:ascii="宋体" w:hAnsi="宋体" w:cs="宋体"/>
                <w:color w:val="auto"/>
                <w:kern w:val="0"/>
                <w:sz w:val="24"/>
                <w:szCs w:val="24"/>
                <w:highlight w:val="none"/>
                <w:lang w:val="en-US" w:eastAsia="zh-CN"/>
              </w:rPr>
              <w:t>7.8</w:t>
            </w:r>
            <w:r>
              <w:rPr>
                <w:rFonts w:hint="eastAsia" w:ascii="宋体" w:hAnsi="宋体" w:eastAsia="宋体" w:cs="宋体"/>
                <w:color w:val="auto"/>
                <w:kern w:val="0"/>
                <w:sz w:val="24"/>
                <w:szCs w:val="24"/>
                <w:highlight w:val="none"/>
                <w:lang w:val="en-US" w:eastAsia="zh-CN"/>
              </w:rPr>
              <w:t>万元</w:t>
            </w:r>
            <w:r>
              <w:rPr>
                <w:rFonts w:hint="eastAsia" w:ascii="宋体" w:hAnsi="宋体" w:eastAsia="宋体" w:cs="宋体"/>
                <w:color w:val="auto"/>
                <w:kern w:val="0"/>
                <w:sz w:val="24"/>
                <w:szCs w:val="24"/>
                <w:highlight w:val="none"/>
                <w:lang w:eastAsia="zh-CN"/>
              </w:rPr>
              <w:t>。</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本项目投标以人民币报价。</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供应商的报价超过采购预算，采购人不能支付的，按废标处理。</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投标文件组成：纸质投标文件正本1份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副本2份</w:t>
            </w:r>
            <w:r>
              <w:rPr>
                <w:rFonts w:hint="eastAsia" w:ascii="宋体" w:hAnsi="宋体" w:eastAsia="宋体" w:cs="宋体"/>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eastAsia="宋体" w:cs="宋体"/>
                <w:color w:val="auto"/>
                <w:kern w:val="0"/>
                <w:sz w:val="24"/>
                <w:szCs w:val="24"/>
                <w:highlight w:val="none"/>
                <w:lang w:val="en-US" w:eastAsia="zh-CN"/>
              </w:rPr>
              <w:t>及开标时间</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投标文件递交地点</w:t>
            </w:r>
            <w:r>
              <w:rPr>
                <w:rFonts w:hint="eastAsia" w:ascii="宋体" w:hAnsi="宋体" w:eastAsia="宋体" w:cs="宋体"/>
                <w:color w:val="auto"/>
                <w:kern w:val="0"/>
                <w:sz w:val="24"/>
                <w:szCs w:val="24"/>
                <w:highlight w:val="none"/>
                <w:lang w:val="en-US" w:eastAsia="zh-CN"/>
              </w:rPr>
              <w:t>及开标地点</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及以上单数</w:t>
            </w:r>
            <w:r>
              <w:rPr>
                <w:rFonts w:hint="eastAsia" w:ascii="宋体" w:hAnsi="宋体" w:eastAsia="宋体" w:cs="宋体"/>
                <w:color w:val="auto"/>
                <w:kern w:val="0"/>
                <w:sz w:val="24"/>
                <w:szCs w:val="24"/>
                <w:highlight w:val="none"/>
              </w:rPr>
              <w:t>。</w:t>
            </w: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由采购人</w:t>
            </w:r>
            <w:r>
              <w:rPr>
                <w:rFonts w:hint="eastAsia" w:ascii="宋体" w:hAnsi="宋体" w:eastAsia="宋体" w:cs="宋体"/>
                <w:color w:val="auto"/>
                <w:kern w:val="0"/>
                <w:sz w:val="24"/>
                <w:szCs w:val="24"/>
                <w:highlight w:val="none"/>
                <w:lang w:val="en-US" w:eastAsia="zh-CN"/>
              </w:rPr>
              <w:t>抽取相关的技术人员组成</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及</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：由采购人授权评标委员会确定一名中标人并推荐</w:t>
            </w:r>
            <w:r>
              <w:rPr>
                <w:rFonts w:hint="eastAsia" w:ascii="宋体" w:hAnsi="宋体" w:eastAsia="宋体" w:cs="宋体"/>
                <w:color w:val="auto"/>
                <w:kern w:val="0"/>
                <w:sz w:val="24"/>
                <w:szCs w:val="24"/>
                <w:highlight w:val="none"/>
                <w:lang w:eastAsia="zh-CN"/>
              </w:rPr>
              <w:t>一名中标候选人</w:t>
            </w:r>
            <w:r>
              <w:rPr>
                <w:rFonts w:hint="eastAsia" w:ascii="宋体" w:hAnsi="宋体" w:eastAsia="宋体" w:cs="宋体"/>
                <w:color w:val="auto"/>
                <w:kern w:val="0"/>
                <w:sz w:val="24"/>
                <w:szCs w:val="24"/>
                <w:highlight w:val="none"/>
              </w:rPr>
              <w:t>。评审结束后</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驻马店市中心医院网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上发布</w:t>
            </w:r>
            <w:r>
              <w:rPr>
                <w:rFonts w:hint="eastAsia" w:ascii="宋体" w:hAnsi="宋体" w:eastAsia="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w:t>
            </w:r>
            <w:r>
              <w:rPr>
                <w:rFonts w:hint="eastAsia" w:ascii="宋体" w:hAnsi="宋体" w:eastAsia="宋体" w:cs="宋体"/>
                <w:color w:val="auto"/>
                <w:kern w:val="0"/>
                <w:sz w:val="24"/>
                <w:szCs w:val="24"/>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11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付款方式：详见第二章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投标文件有效期：投标</w:t>
            </w:r>
            <w:r>
              <w:rPr>
                <w:rFonts w:hint="eastAsia" w:ascii="宋体" w:hAnsi="宋体" w:eastAsia="宋体" w:cs="宋体"/>
                <w:color w:val="auto"/>
                <w:kern w:val="0"/>
                <w:sz w:val="24"/>
                <w:szCs w:val="24"/>
                <w:highlight w:val="none"/>
                <w:lang w:val="en-US" w:eastAsia="zh-CN"/>
              </w:rPr>
              <w:t>文件递交</w:t>
            </w:r>
            <w:r>
              <w:rPr>
                <w:rFonts w:hint="eastAsia" w:ascii="宋体" w:hAnsi="宋体" w:eastAsia="宋体" w:cs="宋体"/>
                <w:color w:val="auto"/>
                <w:kern w:val="0"/>
                <w:sz w:val="24"/>
                <w:szCs w:val="24"/>
                <w:highlight w:val="none"/>
              </w:rPr>
              <w:t>截止期结束后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4"/>
                <w:szCs w:val="24"/>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质疑和投诉：供应商认为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解释：1、构成本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文件中有特殊规定外，仅适用于招标投标阶段的规定，按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文件的澄清、修改或补充通知就同一内容的表述不一致时，以最后发出的书面文件为准。合同文件约定或后者明显错误的除外。</w:t>
            </w:r>
          </w:p>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文件解释权归采购人。</w:t>
            </w:r>
          </w:p>
        </w:tc>
      </w:tr>
    </w:tbl>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公告中所叙述项目的货物采购。</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 “采购人”系指本次采购项目的业主方。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 “投标人”系指</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文件，且已经提交本次投标文件的投标人。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 “投标人代表”系指代表投标人参加本次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活动的投标人的法定代表人或其委托代理人。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 “货物”系指投标人按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 “相关服务”系指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3.本次采购预算（最高限价）为</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7.8</w:t>
      </w:r>
      <w:r>
        <w:rPr>
          <w:rFonts w:hint="eastAsia" w:ascii="宋体" w:hAnsi="宋体" w:eastAsia="宋体" w:cs="宋体"/>
          <w:b/>
          <w:bCs/>
          <w:color w:val="auto"/>
          <w:kern w:val="0"/>
          <w:sz w:val="24"/>
          <w:szCs w:val="24"/>
          <w:highlight w:val="none"/>
          <w:lang w:eastAsia="zh-CN"/>
        </w:rPr>
        <w:t>万元</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4.投标人应提交的证明文件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供应商应提供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lang w:val="en-US" w:eastAsia="zh-CN"/>
        </w:rPr>
      </w:pPr>
      <w:r>
        <w:rPr>
          <w:rFonts w:hint="eastAsia" w:ascii="宋体" w:hAnsi="宋体" w:cs="宋体"/>
          <w:color w:val="auto"/>
          <w:kern w:val="2"/>
          <w:sz w:val="24"/>
          <w:szCs w:val="32"/>
          <w:lang w:val="en-US" w:eastAsia="zh-CN" w:bidi="ar-SA"/>
        </w:rPr>
        <w:t>4.3</w:t>
      </w:r>
      <w:r>
        <w:rPr>
          <w:rFonts w:hint="eastAsia" w:ascii="宋体" w:hAnsi="宋体" w:eastAsia="宋体" w:cs="宋体"/>
          <w:color w:val="auto"/>
          <w:kern w:val="2"/>
          <w:sz w:val="24"/>
          <w:szCs w:val="32"/>
          <w:lang w:val="en-US" w:eastAsia="zh-CN" w:bidi="ar-SA"/>
        </w:rPr>
        <w:t>所投产品属于一类医疗器械的，须提供医疗器械生产备案凭证和医疗器械备案凭证；所投产品属于二类医疗器械的，须提供医疗器械生产许可证、经营备案凭证、医疗器械注册证；所投产品属于三类医疗器械的，须提供医疗器械生产许可证、经营许可证、医疗器械注册证。（投标产品不属于医疗器械的，投标人可不提供）</w:t>
      </w:r>
      <w:r>
        <w:rPr>
          <w:rFonts w:hint="eastAsia" w:ascii="宋体" w:hAnsi="宋体" w:cs="宋体"/>
          <w:color w:val="auto"/>
          <w:kern w:val="2"/>
          <w:sz w:val="24"/>
          <w:szCs w:val="32"/>
          <w:lang w:val="en-US" w:eastAsia="zh-CN" w:bidi="ar-SA"/>
        </w:rPr>
        <w:t>。</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具有履行合同所必需的设备和专业技术能力（提供书面声明函）。</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参加本采购活动前三年内，在经营活动中没有重大违法记录（提供书面声明函）。</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符合法律、行政法规规定的其他条件。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7根据《关于在政府采购活动中查询及使用信用记录有关问题的通知》（财库【2016】125号）的规定，对“信用中国”网站中被列入失信被执行人、重大税收违法失信主体；“中国政府采购网”网站中被列入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5.投标费用</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6.联合体投标：本项目不接受联合体投标。</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7.关联企业投标</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8.转包与分包</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8.1本项目不允许采取转包方式履行合同。</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8.2本项目不允许采取分包方式履行合同。</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9.特别说明：</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投标人代表只能接受一个投标人的委托参加投标。</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10.质疑和投诉</w:t>
      </w:r>
    </w:p>
    <w:p>
      <w:pPr>
        <w:keepNext w:val="0"/>
        <w:keepLines w:val="0"/>
        <w:pageBreakBefore w:val="0"/>
        <w:widowControl/>
        <w:kinsoku/>
        <w:wordWrap/>
        <w:overflowPunct/>
        <w:topLinePunct w:val="0"/>
        <w:bidi w:val="0"/>
        <w:snapToGrid w:val="0"/>
        <w:spacing w:beforeAutospacing="0" w:afterAutospacing="0"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pPr>
        <w:keepNext w:val="0"/>
        <w:keepLines w:val="0"/>
        <w:pageBreakBefore w:val="0"/>
        <w:widowControl/>
        <w:shd w:val="clear" w:color="auto"/>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11.投标人的风险</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投标人没有按照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文件要求提供全部资料，或者投标人没有对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12.</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文件的构成。本</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文件由以下部分组成：</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12.1 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需求</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12.3 投标人须知</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12.4 评标办法</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12.5 </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合同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12.6 投标文件格式</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13.</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文件要求提交投标文件截止时间</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日</w:t>
      </w:r>
      <w:r>
        <w:rPr>
          <w:rFonts w:hint="eastAsia" w:ascii="宋体" w:hAnsi="宋体" w:eastAsia="宋体" w:cs="宋体"/>
          <w:color w:val="auto"/>
          <w:kern w:val="0"/>
          <w:sz w:val="24"/>
          <w:szCs w:val="24"/>
          <w:highlight w:val="none"/>
        </w:rPr>
        <w:t>前，在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相关媒体上发布更正公告或变更公告。</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文件公示期间对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文件进行的澄清、修改或补充不受上述限制。</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文件的澄清、修改或补充都应以法定形式发布。采购人未对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文件进行的澄清、修改或补充无效，评标时不予认可。</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13.4 </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可以视招标具体情况延长投标截止时间和开标时间，但至少应当在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文件要求提交投标文件的截止时间3</w:t>
      </w:r>
      <w:r>
        <w:rPr>
          <w:rFonts w:hint="eastAsia" w:ascii="宋体" w:hAnsi="宋体" w:eastAsia="宋体" w:cs="宋体"/>
          <w:bCs/>
          <w:color w:val="auto"/>
          <w:kern w:val="0"/>
          <w:sz w:val="24"/>
          <w:szCs w:val="24"/>
          <w:highlight w:val="none"/>
        </w:rPr>
        <w:t>日</w:t>
      </w:r>
      <w:r>
        <w:rPr>
          <w:rFonts w:hint="eastAsia" w:ascii="宋体" w:hAnsi="宋体" w:eastAsia="宋体" w:cs="宋体"/>
          <w:color w:val="auto"/>
          <w:kern w:val="0"/>
          <w:sz w:val="24"/>
          <w:szCs w:val="24"/>
          <w:highlight w:val="none"/>
        </w:rPr>
        <w:t>前，将变更时间</w:t>
      </w:r>
      <w:r>
        <w:rPr>
          <w:rFonts w:hint="eastAsia" w:ascii="宋体" w:hAnsi="宋体" w:eastAsia="宋体" w:cs="宋体"/>
          <w:color w:val="auto"/>
          <w:kern w:val="0"/>
          <w:sz w:val="24"/>
          <w:szCs w:val="24"/>
          <w:highlight w:val="none"/>
          <w:lang w:val="en-US" w:eastAsia="zh-CN"/>
        </w:rPr>
        <w:t>通知所有潜在投标人</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三、投标文件的编制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14.要求</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 投标人应仔细阅读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文件提供的格式编写投标文件，不得缺少或留空任何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文件提供格式的按格式填列，未提供格式的可自行拟定。投标文件应对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 投标人应完整签署投标文件格式附件中《投标书》和《抵制商业贿赂承诺》，不得增减或修改内容。否则视为对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15.投标文件的语言和计量单位</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 关于投标计量单位，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文件没有规定的，应采用中华人民共和国法定计量单位。否则视为对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16.投标文件的组成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rPr>
        <w:t>投标文件应包括下列部分：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技术响应</w:t>
      </w:r>
      <w:r>
        <w:rPr>
          <w:rFonts w:hint="eastAsia" w:ascii="宋体" w:hAnsi="宋体" w:eastAsia="宋体" w:cs="宋体"/>
          <w:color w:val="auto"/>
          <w:sz w:val="24"/>
          <w:highlight w:val="none"/>
          <w:lang w:val="en-US" w:eastAsia="zh-CN"/>
        </w:rPr>
        <w:t>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商务响应</w:t>
      </w:r>
      <w:r>
        <w:rPr>
          <w:rFonts w:hint="eastAsia" w:ascii="宋体" w:hAnsi="宋体" w:eastAsia="宋体" w:cs="宋体"/>
          <w:color w:val="auto"/>
          <w:sz w:val="24"/>
          <w:highlight w:val="none"/>
          <w:lang w:val="en-US" w:eastAsia="zh-CN"/>
        </w:rPr>
        <w:t>部分</w:t>
      </w:r>
    </w:p>
    <w:p>
      <w:pPr>
        <w:keepNext w:val="0"/>
        <w:keepLines w:val="0"/>
        <w:pageBreakBefore w:val="0"/>
        <w:widowControl/>
        <w:kinsoku/>
        <w:wordWrap/>
        <w:overflowPunct/>
        <w:topLinePunct w:val="0"/>
        <w:bidi w:val="0"/>
        <w:snapToGrid w:val="0"/>
        <w:spacing w:beforeAutospacing="0" w:afterAutospacing="0"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供应商承诺书</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lang w:val="en-US" w:eastAsia="zh-CN"/>
        </w:rPr>
        <w:t>供应商信用承诺函</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17.投标有效期</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 投标文件从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公告所规定的投标截止期之后开始生效，在</w:t>
      </w:r>
      <w:r>
        <w:rPr>
          <w:rFonts w:hint="eastAsia" w:ascii="宋体" w:hAnsi="宋体" w:eastAsia="宋体" w:cs="宋体"/>
          <w:bCs/>
          <w:color w:val="auto"/>
          <w:kern w:val="0"/>
          <w:sz w:val="24"/>
          <w:szCs w:val="24"/>
          <w:highlight w:val="none"/>
        </w:rPr>
        <w:t>投标人须知前附表</w:t>
      </w:r>
      <w:r>
        <w:rPr>
          <w:rFonts w:hint="eastAsia" w:ascii="宋体" w:hAnsi="宋体" w:eastAsia="宋体" w:cs="宋体"/>
          <w:color w:val="auto"/>
          <w:kern w:val="0"/>
          <w:sz w:val="24"/>
          <w:szCs w:val="24"/>
          <w:highlight w:val="none"/>
        </w:rPr>
        <w:t>第1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17.2特殊情况下</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可于投标有效期满之前书面要求投标人同意延长有效期，投标人应在</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18.投标报价</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 投标人要按开标一览表的内容填写。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18.3 </w:t>
      </w:r>
      <w:r>
        <w:rPr>
          <w:rFonts w:hint="eastAsia" w:ascii="宋体" w:hAnsi="宋体" w:eastAsia="宋体" w:cs="宋体"/>
          <w:color w:val="auto"/>
          <w:spacing w:val="10"/>
          <w:kern w:val="0"/>
          <w:sz w:val="24"/>
          <w:szCs w:val="24"/>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19.投标保证金（详见采购公告）</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rPr>
        <w:t>20.投标文件的签署</w:t>
      </w:r>
      <w:r>
        <w:rPr>
          <w:rFonts w:hint="eastAsia" w:ascii="宋体" w:hAnsi="宋体" w:eastAsia="宋体" w:cs="宋体"/>
          <w:b/>
          <w:color w:val="auto"/>
          <w:kern w:val="0"/>
          <w:sz w:val="24"/>
          <w:szCs w:val="24"/>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.2 投标文件应当对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文件有关</w:t>
      </w:r>
      <w:r>
        <w:rPr>
          <w:rFonts w:hint="eastAsia" w:ascii="宋体" w:hAnsi="宋体" w:eastAsia="宋体" w:cs="宋体"/>
          <w:color w:val="auto"/>
          <w:kern w:val="0"/>
          <w:sz w:val="24"/>
          <w:szCs w:val="24"/>
          <w:highlight w:val="none"/>
          <w:lang w:val="en-US" w:eastAsia="zh-CN"/>
        </w:rPr>
        <w:t>交货</w:t>
      </w:r>
      <w:r>
        <w:rPr>
          <w:rFonts w:hint="eastAsia" w:ascii="宋体" w:hAnsi="宋体" w:eastAsia="宋体" w:cs="宋体"/>
          <w:color w:val="auto"/>
          <w:kern w:val="0"/>
          <w:sz w:val="24"/>
          <w:szCs w:val="24"/>
          <w:highlight w:val="none"/>
        </w:rPr>
        <w:t>期、投标有效期、质量要求、技术标准和要求、</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.5投标文件的具体装订要求见投标人须知前附表规定。</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四、投标文件的递交</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 投标文件的密封、标记</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21.2 投标文件的封套上应清楚地标记“正本”或“副本”字样，封套上应写明的其他内容见投标人须知前附表</w:t>
      </w:r>
      <w:r>
        <w:rPr>
          <w:rFonts w:hint="eastAsia" w:ascii="宋体" w:hAnsi="宋体" w:eastAsia="宋体" w:cs="宋体"/>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.3 未按本章第2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.1项或第2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22. 投标文件的递交</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 投标人应在规定的投标截止时间前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rPr>
        <w:t>投标文件。</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23. 投标文件的修改和撤回</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 投标人在投标截止时间前，可以对所提交的投标文件进行补充、修改或者撤回，并书面通知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 组建评标委员会</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.1 评标委员会由采购人代表和评审专家组成。成员由</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人以上单数组成。</w:t>
      </w:r>
      <w:r>
        <w:rPr>
          <w:rFonts w:hint="eastAsia" w:ascii="宋体" w:hAnsi="宋体" w:eastAsia="宋体" w:cs="宋体"/>
          <w:color w:val="auto"/>
          <w:sz w:val="24"/>
          <w:szCs w:val="24"/>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.2评标委员会成员要依法独立评审，并对评审意见承担个人责任。</w:t>
      </w:r>
      <w:r>
        <w:rPr>
          <w:rFonts w:hint="eastAsia" w:ascii="宋体" w:hAnsi="宋体" w:eastAsia="宋体" w:cs="宋体"/>
          <w:color w:val="auto"/>
          <w:sz w:val="24"/>
          <w:szCs w:val="24"/>
          <w:highlight w:val="none"/>
        </w:rPr>
        <w:t>评标委员会成员对需要共同认定的事项存在争议的，按照少数服从多数的原则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出结论。持不同意见的评标委员会成员应当在评标报告上签署不同意见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 投标文件的初审</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.1对所有投标人的评估，都采用相同的程序和标准。评标过程将严格按照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文件的要求和条件进行。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投标文件报价出现前后不一致的，除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shd w:val="clear" w:color="auto" w:fill="FFFFFF"/>
        </w:rPr>
        <w:t>投标文件开标一览表（报价表）内容与投标文件中相应内容不一致的，以开标一览表（报价表）为准；</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shd w:val="clear" w:color="auto" w:fill="FFFFFF"/>
        </w:rPr>
        <w:t>单价金额小数点或者百分比有明显错位的，以开标一览表的总价为准，并修改单价；</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 资格性检查和符合性检查。</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.4.1</w:t>
      </w:r>
      <w:r>
        <w:rPr>
          <w:rFonts w:hint="eastAsia" w:ascii="宋体" w:hAnsi="宋体" w:eastAsia="宋体" w:cs="宋体"/>
          <w:color w:val="auto"/>
          <w:sz w:val="24"/>
          <w:szCs w:val="24"/>
          <w:highlight w:val="none"/>
        </w:rPr>
        <w:t>资格性检查。依据法规政策和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文件的规定，在对投标文件详细评估之前，采购人将依据投标人提交的投标文件按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文件第三章4.投标人应提交的证明文件所述的资格标准对投标人进行资格审查,以确定其是否具备投标资格。如果投标人不具备投标资格、不满足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文件所规定的资格标准或提供资格证明文件不全,其投标将被作为无效投标。在审查过程中，采购人有权要求投标人按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.4.2 资格审查后合格的投标人不足3家的，不得评标。</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文件的规定，评标委员会将从投标文件的有效性、完整性和对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（3）资格证明文件不全的，或不符合</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文件标明的资格要求的。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（4）投标有效期、交货时间、质保期等不满足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（5）未按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（6）投标文件的实质性内容未使用中文表述，或意思表述不明确，或前后矛盾，或使用计量单位不符合</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（8）投标文件内容未按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文件响应的。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（9）不符合</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.4.4 对资格性检查和符合性检查不合格的投标人，将</w:t>
      </w:r>
      <w:r>
        <w:rPr>
          <w:rFonts w:hint="eastAsia" w:ascii="宋体" w:hAnsi="宋体" w:eastAsia="宋体" w:cs="宋体"/>
          <w:color w:val="auto"/>
          <w:kern w:val="0"/>
          <w:sz w:val="24"/>
          <w:szCs w:val="24"/>
          <w:highlight w:val="none"/>
          <w:lang w:val="en-US" w:eastAsia="zh-CN"/>
        </w:rPr>
        <w:t>通过评标系统</w:t>
      </w:r>
      <w:r>
        <w:rPr>
          <w:rFonts w:hint="eastAsia" w:ascii="宋体" w:hAnsi="宋体" w:eastAsia="宋体" w:cs="宋体"/>
          <w:color w:val="auto"/>
          <w:kern w:val="0"/>
          <w:sz w:val="24"/>
          <w:szCs w:val="24"/>
          <w:highlight w:val="none"/>
        </w:rPr>
        <w:t>告知其理由。</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beforeAutospacing="0" w:afterAutospacing="0"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.5.7 有证据证明投标人串通投标的其他情形的；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.5.8 不同投标人的投标文件制作机器码一致；</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.5.9 评标委员会认定的其他串通投标情形。</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 投标文件的澄清</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 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评标委员会将按本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文件规定的评标方法与标准，对资格性检查和符合性检查合格的投标文件进行商务和技术评估，综合比较与评价。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.2对漏（缺）报项的处理：</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文件中要求列入报价的费用（含配置、功能），漏（缺）报的视同已含在投标总价中。</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 评标过程及保密原则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29</w:t>
      </w:r>
      <w:r>
        <w:rPr>
          <w:rFonts w:hint="eastAsia" w:ascii="宋体" w:hAnsi="宋体" w:eastAsia="宋体" w:cs="宋体"/>
          <w:b/>
          <w:color w:val="auto"/>
          <w:kern w:val="0"/>
          <w:sz w:val="24"/>
          <w:szCs w:val="24"/>
          <w:highlight w:val="none"/>
        </w:rPr>
        <w:t>.评标异议登记</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定标原则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.1 最低投标价不作为中标的保证。</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.2 确定实质上响应</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文件且满足下列条件的为中标候选人（或中标人）</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bookmarkStart w:id="48" w:name="_Toc32200"/>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.2.1</w:t>
      </w:r>
      <w:bookmarkEnd w:id="48"/>
      <w:r>
        <w:rPr>
          <w:rFonts w:hint="eastAsia" w:ascii="宋体" w:hAnsi="宋体" w:eastAsia="宋体" w:cs="宋体"/>
          <w:bCs/>
          <w:color w:val="auto"/>
          <w:kern w:val="0"/>
          <w:sz w:val="24"/>
          <w:szCs w:val="24"/>
          <w:highlight w:val="none"/>
        </w:rPr>
        <w:t>本次评标采用</w:t>
      </w:r>
      <w:r>
        <w:rPr>
          <w:rFonts w:hint="eastAsia" w:ascii="宋体" w:hAnsi="宋体" w:eastAsia="宋体" w:cs="宋体"/>
          <w:color w:val="auto"/>
          <w:sz w:val="24"/>
          <w:szCs w:val="24"/>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采用综合评分法的，评标结果按评审后得分由高到低顺序排列。投标文件满足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 确定中标人和中标候选人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本项目由采购人授权评标委员会确定一名中标人并推荐</w:t>
      </w:r>
      <w:r>
        <w:rPr>
          <w:rFonts w:hint="eastAsia" w:ascii="宋体" w:hAnsi="宋体" w:eastAsia="宋体" w:cs="宋体"/>
          <w:bCs/>
          <w:color w:val="auto"/>
          <w:kern w:val="0"/>
          <w:sz w:val="24"/>
          <w:szCs w:val="24"/>
          <w:highlight w:val="none"/>
          <w:lang w:eastAsia="zh-CN"/>
        </w:rPr>
        <w:t>一名中标候选人</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eastAsia="宋体" w:cs="宋体"/>
          <w:b/>
          <w:bCs/>
          <w:color w:val="auto"/>
          <w:kern w:val="0"/>
          <w:sz w:val="24"/>
          <w:szCs w:val="24"/>
          <w:highlight w:val="none"/>
          <w:lang w:eastAsia="zh-CN"/>
        </w:rPr>
        <w:t>成交公告</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人将中标候选人的情况在本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.2中标人在规定的时间内不领取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对采购人和中标人具有同等法律效力。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采购人宣布废标的权利</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.1.1出现影响采购公正的违法、违规行为的。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.1.2投标人的报价均超过了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.1.3因重大变故，采购任务取消的。</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sz w:val="24"/>
          <w:szCs w:val="24"/>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pPr>
        <w:keepNext w:val="0"/>
        <w:keepLines w:val="0"/>
        <w:pageBreakBefore w:val="0"/>
        <w:widowControl/>
        <w:kinsoku/>
        <w:wordWrap/>
        <w:overflowPunct/>
        <w:topLinePunct w:val="0"/>
        <w:bidi w:val="0"/>
        <w:snapToGrid w:val="0"/>
        <w:spacing w:beforeAutospacing="0" w:afterAutospacing="0" w:line="360" w:lineRule="auto"/>
        <w:ind w:firstLine="540" w:firstLineChars="224"/>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.合同签订</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u w:val="single"/>
        </w:rPr>
      </w:pPr>
      <w:bookmarkStart w:id="49" w:name="_Toc8594"/>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.1 采购人、中标人自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文件第三章《投标人须知前附表》规定的时间内，根据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文件确定的事项和中标人投标文件签订合同。双方所签订的合同不得对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文件和中标人投标文件作实质性修改。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文件的修改文件、中标人的投标文件、补充或修改的文件及澄清或承诺文件等，均为双方签订合同的组成部分，并与合同一并作为本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.3 中标人放弃中标、因不可抗力不能履行合同、不按照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文件要求提交履约保证金，或者被查实存在影响中标结果的违法行为等情形，不符合中标条件的，采购人可以按照评标委员会提出的中标候选人名单排序依次确定其他中标候选人为中标人，也可以重新招标。</w:t>
      </w:r>
    </w:p>
    <w:bookmarkEnd w:id="49"/>
    <w:p>
      <w:pPr>
        <w:pageBreakBefore w:val="0"/>
        <w:kinsoku/>
        <w:overflowPunct/>
        <w:topLinePunct w:val="0"/>
        <w:bidi w:val="0"/>
        <w:spacing w:beforeAutospacing="0" w:afterAutospacing="0" w:line="360" w:lineRule="auto"/>
        <w:rPr>
          <w:rFonts w:hint="eastAsia" w:ascii="宋体" w:hAnsi="宋体" w:eastAsia="宋体" w:cs="宋体"/>
          <w:b/>
          <w:bCs/>
          <w:color w:val="auto"/>
          <w:kern w:val="0"/>
          <w:sz w:val="32"/>
          <w:szCs w:val="32"/>
          <w:highlight w:val="none"/>
        </w:rPr>
      </w:pPr>
      <w:bookmarkStart w:id="50" w:name="_Toc4700"/>
      <w:bookmarkStart w:id="51" w:name="_Toc9022"/>
      <w:bookmarkStart w:id="52" w:name="_Toc16669"/>
      <w:r>
        <w:rPr>
          <w:rFonts w:hint="eastAsia" w:ascii="宋体" w:hAnsi="宋体" w:eastAsia="宋体" w:cs="宋体"/>
          <w:b/>
          <w:bCs/>
          <w:color w:val="auto"/>
          <w:kern w:val="0"/>
          <w:sz w:val="32"/>
          <w:szCs w:val="32"/>
          <w:highlight w:val="none"/>
        </w:rPr>
        <w:br w:type="page"/>
      </w:r>
    </w:p>
    <w:p>
      <w:pPr>
        <w:pageBreakBefore w:val="0"/>
        <w:kinsoku/>
        <w:overflowPunct/>
        <w:topLinePunct w:val="0"/>
        <w:bidi w:val="0"/>
        <w:spacing w:beforeAutospacing="0" w:afterAutospacing="0"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第四章  评标办法及评分标准</w:t>
      </w:r>
      <w:bookmarkEnd w:id="50"/>
      <w:bookmarkEnd w:id="51"/>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（一）评标原则</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按照“公平、公正”的原则对待所有投标人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）评标办法</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2．评标委员会按照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.投标文件满足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pPr>
        <w:keepNext w:val="0"/>
        <w:keepLines w:val="0"/>
        <w:pageBreakBefore w:val="0"/>
        <w:numPr>
          <w:ilvl w:val="0"/>
          <w:numId w:val="3"/>
        </w:numPr>
        <w:kinsoku/>
        <w:overflowPunct/>
        <w:topLinePunct w:val="0"/>
        <w:bidi w:val="0"/>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2" w:type="dxa"/>
            <w:gridSpan w:val="3"/>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vAlign w:val="center"/>
          </w:tcPr>
          <w:p>
            <w:pPr>
              <w:pStyle w:val="49"/>
              <w:keepNext w:val="0"/>
              <w:keepLines w:val="0"/>
              <w:pageBreakBefore w:val="0"/>
              <w:kinsoku/>
              <w:wordWrap/>
              <w:overflowPunct/>
              <w:topLinePunct w:val="0"/>
              <w:bidi w:val="0"/>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239"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45</w:t>
            </w:r>
            <w:r>
              <w:rPr>
                <w:rFonts w:hint="eastAsia" w:ascii="宋体" w:hAnsi="宋体" w:eastAsia="宋体" w:cs="宋体"/>
                <w:b w:val="0"/>
                <w:bCs w:val="0"/>
                <w:color w:val="auto"/>
                <w:sz w:val="24"/>
                <w:szCs w:val="24"/>
                <w:highlight w:val="none"/>
                <w:lang w:eastAsia="zh-CN"/>
              </w:rPr>
              <w:t>分）</w:t>
            </w:r>
          </w:p>
        </w:tc>
        <w:tc>
          <w:tcPr>
            <w:tcW w:w="214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1.产品技术参数（</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投标人对“第二章  采购需求”</w:t>
            </w:r>
            <w:r>
              <w:rPr>
                <w:rFonts w:hint="eastAsia" w:ascii="宋体" w:hAnsi="宋体" w:eastAsia="宋体" w:cs="宋体"/>
                <w:b w:val="0"/>
                <w:bCs w:val="0"/>
                <w:color w:val="auto"/>
                <w:sz w:val="24"/>
                <w:szCs w:val="24"/>
                <w:highlight w:val="none"/>
                <w:lang w:eastAsia="zh-CN"/>
              </w:rPr>
              <w:t>技术</w:t>
            </w:r>
            <w:r>
              <w:rPr>
                <w:rFonts w:hint="eastAsia" w:ascii="宋体" w:hAnsi="宋体" w:eastAsia="宋体" w:cs="宋体"/>
                <w:b w:val="0"/>
                <w:bCs w:val="0"/>
                <w:color w:val="auto"/>
                <w:sz w:val="24"/>
                <w:szCs w:val="24"/>
                <w:highlight w:val="none"/>
              </w:rPr>
              <w:t>参数</w:t>
            </w:r>
            <w:r>
              <w:rPr>
                <w:rFonts w:hint="eastAsia" w:ascii="宋体" w:hAnsi="宋体" w:eastAsia="宋体" w:cs="宋体"/>
                <w:b w:val="0"/>
                <w:bCs w:val="0"/>
                <w:color w:val="auto"/>
                <w:sz w:val="24"/>
                <w:szCs w:val="24"/>
                <w:highlight w:val="none"/>
                <w:lang w:eastAsia="zh-CN"/>
              </w:rPr>
              <w:t>要求</w:t>
            </w:r>
            <w:r>
              <w:rPr>
                <w:rFonts w:hint="eastAsia" w:ascii="宋体" w:hAnsi="宋体" w:eastAsia="宋体" w:cs="宋体"/>
                <w:b w:val="0"/>
                <w:bCs w:val="0"/>
                <w:color w:val="auto"/>
                <w:sz w:val="24"/>
                <w:szCs w:val="24"/>
                <w:highlight w:val="none"/>
              </w:rPr>
              <w:t>的响应，所投内容全部满足磋商文件要求得</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r>
              <w:rPr>
                <w:rFonts w:hint="eastAsia" w:ascii="宋体" w:hAnsi="宋体" w:cs="宋体"/>
                <w:b w:val="0"/>
                <w:bCs w:val="0"/>
                <w:color w:val="auto"/>
                <w:sz w:val="24"/>
                <w:szCs w:val="24"/>
                <w:highlight w:val="none"/>
                <w:lang w:val="en-US" w:eastAsia="zh-CN"/>
              </w:rPr>
              <w:t>每有</w:t>
            </w:r>
            <w:r>
              <w:rPr>
                <w:rFonts w:hint="eastAsia" w:ascii="宋体" w:hAnsi="宋体" w:eastAsia="宋体" w:cs="宋体"/>
                <w:b w:val="0"/>
                <w:bCs w:val="0"/>
                <w:color w:val="auto"/>
                <w:sz w:val="24"/>
                <w:szCs w:val="24"/>
                <w:highlight w:val="none"/>
              </w:rPr>
              <w:t>一项不满足扣</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如</w:t>
            </w:r>
            <w:r>
              <w:rPr>
                <w:rFonts w:hint="eastAsia" w:ascii="宋体" w:hAnsi="宋体" w:cs="宋体"/>
                <w:b w:val="0"/>
                <w:bCs w:val="0"/>
                <w:color w:val="auto"/>
                <w:sz w:val="24"/>
                <w:szCs w:val="24"/>
                <w:highlight w:val="none"/>
                <w:lang w:val="en-US" w:eastAsia="zh-CN"/>
              </w:rPr>
              <w:t>此项</w:t>
            </w:r>
            <w:r>
              <w:rPr>
                <w:rFonts w:hint="eastAsia" w:ascii="宋体" w:hAnsi="宋体" w:eastAsia="宋体" w:cs="宋体"/>
                <w:b w:val="0"/>
                <w:bCs w:val="0"/>
                <w:color w:val="auto"/>
                <w:sz w:val="24"/>
                <w:szCs w:val="24"/>
                <w:highlight w:val="none"/>
              </w:rPr>
              <w:t>得分为0，则投标无效。</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注：附技术偏离表，需提供投标产品注册检验报告（完整版）及响应技术参数条款的技术白皮书和彩页等相关文件，并对响应技术参数部分做出明显标注。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p>
        </w:tc>
        <w:tc>
          <w:tcPr>
            <w:tcW w:w="214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2.实施方案（15分）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供应商对项目实施方案的整体规划，包括设备对接方案、调试方案、交货期保证措施。</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以上措施详细、合理、可行的</w:t>
            </w:r>
            <w:r>
              <w:rPr>
                <w:rFonts w:hint="eastAsia" w:ascii="宋体" w:hAnsi="宋体" w:eastAsia="宋体" w:cs="宋体"/>
                <w:b w:val="0"/>
                <w:bCs w:val="0"/>
                <w:color w:val="auto"/>
                <w:sz w:val="24"/>
                <w:szCs w:val="24"/>
                <w:highlight w:val="none"/>
                <w:lang w:val="en-US" w:eastAsia="zh-CN"/>
              </w:rPr>
              <w:t>11-15</w:t>
            </w:r>
            <w:r>
              <w:rPr>
                <w:rFonts w:hint="eastAsia" w:ascii="宋体" w:hAnsi="宋体" w:eastAsia="宋体" w:cs="宋体"/>
                <w:b w:val="0"/>
                <w:bCs w:val="0"/>
                <w:color w:val="auto"/>
                <w:sz w:val="24"/>
                <w:szCs w:val="24"/>
                <w:highlight w:val="none"/>
              </w:rPr>
              <w:t>分；基本详细、基本合理、基本可行的</w:t>
            </w:r>
            <w:r>
              <w:rPr>
                <w:rFonts w:hint="eastAsia" w:ascii="宋体" w:hAnsi="宋体" w:eastAsia="宋体" w:cs="宋体"/>
                <w:b w:val="0"/>
                <w:bCs w:val="0"/>
                <w:color w:val="auto"/>
                <w:sz w:val="24"/>
                <w:szCs w:val="24"/>
                <w:highlight w:val="none"/>
                <w:lang w:val="en-US" w:eastAsia="zh-CN"/>
              </w:rPr>
              <w:t>6-10</w:t>
            </w:r>
            <w:r>
              <w:rPr>
                <w:rFonts w:hint="eastAsia" w:ascii="宋体" w:hAnsi="宋体" w:eastAsia="宋体" w:cs="宋体"/>
                <w:b w:val="0"/>
                <w:bCs w:val="0"/>
                <w:color w:val="auto"/>
                <w:sz w:val="24"/>
                <w:szCs w:val="24"/>
                <w:highlight w:val="none"/>
              </w:rPr>
              <w:t>分；基本详细度、合理性差、可行性差的1-</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商务</w:t>
            </w:r>
            <w:r>
              <w:rPr>
                <w:rFonts w:hint="eastAsia" w:ascii="宋体" w:hAnsi="宋体" w:eastAsia="宋体" w:cs="宋体"/>
                <w:b w:val="0"/>
                <w:bCs w:val="0"/>
                <w:color w:val="auto"/>
                <w:sz w:val="24"/>
                <w:szCs w:val="24"/>
                <w:highlight w:val="none"/>
              </w:rPr>
              <w:t>部分（</w:t>
            </w:r>
            <w:r>
              <w:rPr>
                <w:rFonts w:hint="eastAsia" w:ascii="宋体" w:hAnsi="宋体" w:eastAsia="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rPr>
              <w:t>分）</w:t>
            </w:r>
          </w:p>
        </w:tc>
        <w:tc>
          <w:tcPr>
            <w:tcW w:w="2140"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质保期</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6分</w:t>
            </w:r>
            <w:r>
              <w:rPr>
                <w:rFonts w:hint="eastAsia" w:ascii="宋体" w:hAnsi="宋体" w:eastAsia="宋体" w:cs="宋体"/>
                <w:b w:val="0"/>
                <w:bCs w:val="0"/>
                <w:color w:val="auto"/>
                <w:kern w:val="0"/>
                <w:sz w:val="24"/>
                <w:szCs w:val="24"/>
                <w:highlight w:val="none"/>
                <w:lang w:eastAsia="zh-CN"/>
              </w:rPr>
              <w:t>）</w:t>
            </w:r>
          </w:p>
        </w:tc>
        <w:tc>
          <w:tcPr>
            <w:tcW w:w="6103" w:type="dxa"/>
            <w:vAlign w:val="top"/>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2.类似业绩（4分）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3.售后服务体系（15分）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根据</w:t>
            </w:r>
            <w:r>
              <w:rPr>
                <w:rFonts w:hint="eastAsia" w:ascii="宋体" w:hAnsi="宋体" w:eastAsia="宋体" w:cs="宋体"/>
                <w:b w:val="0"/>
                <w:bCs w:val="0"/>
                <w:color w:val="auto"/>
                <w:kern w:val="2"/>
                <w:sz w:val="24"/>
                <w:szCs w:val="24"/>
                <w:highlight w:val="none"/>
                <w:lang w:eastAsia="zh-CN"/>
              </w:rPr>
              <w:t>供应商</w:t>
            </w:r>
            <w:r>
              <w:rPr>
                <w:rFonts w:hint="eastAsia" w:ascii="宋体" w:hAnsi="宋体" w:eastAsia="宋体" w:cs="宋体"/>
                <w:b w:val="0"/>
                <w:bCs w:val="0"/>
                <w:color w:val="auto"/>
                <w:kern w:val="2"/>
                <w:sz w:val="24"/>
                <w:szCs w:val="24"/>
                <w:highlight w:val="none"/>
              </w:rPr>
              <w:t>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售后服务承诺内容具体、完善、合理性程度强得</w:t>
            </w:r>
            <w:r>
              <w:rPr>
                <w:rFonts w:hint="eastAsia" w:ascii="宋体" w:hAnsi="宋体" w:eastAsia="宋体" w:cs="宋体"/>
                <w:b w:val="0"/>
                <w:bCs w:val="0"/>
                <w:color w:val="auto"/>
                <w:kern w:val="2"/>
                <w:sz w:val="24"/>
                <w:szCs w:val="24"/>
                <w:highlight w:val="none"/>
                <w:lang w:val="en-US" w:eastAsia="zh-CN"/>
              </w:rPr>
              <w:t>11</w:t>
            </w:r>
            <w:r>
              <w:rPr>
                <w:rFonts w:hint="eastAsia" w:ascii="宋体" w:hAnsi="宋体" w:eastAsia="宋体" w:cs="宋体"/>
                <w:b w:val="0"/>
                <w:bCs w:val="0"/>
                <w:color w:val="auto"/>
                <w:kern w:val="2"/>
                <w:sz w:val="24"/>
                <w:szCs w:val="24"/>
                <w:highlight w:val="none"/>
              </w:rPr>
              <w:t>-</w:t>
            </w:r>
            <w:r>
              <w:rPr>
                <w:rFonts w:hint="eastAsia" w:ascii="宋体" w:hAnsi="宋体" w:eastAsia="宋体" w:cs="宋体"/>
                <w:b w:val="0"/>
                <w:bCs w:val="0"/>
                <w:color w:val="auto"/>
                <w:kern w:val="2"/>
                <w:sz w:val="24"/>
                <w:szCs w:val="24"/>
                <w:highlight w:val="none"/>
                <w:lang w:val="en-US" w:eastAsia="zh-CN"/>
              </w:rPr>
              <w:t>15</w:t>
            </w:r>
            <w:r>
              <w:rPr>
                <w:rFonts w:hint="eastAsia" w:ascii="宋体" w:hAnsi="宋体" w:eastAsia="宋体" w:cs="宋体"/>
                <w:b w:val="0"/>
                <w:bCs w:val="0"/>
                <w:color w:val="auto"/>
                <w:kern w:val="2"/>
                <w:sz w:val="24"/>
                <w:szCs w:val="24"/>
                <w:highlight w:val="none"/>
              </w:rPr>
              <w:t>分，具体、完善、合理性程度一般得</w:t>
            </w:r>
            <w:r>
              <w:rPr>
                <w:rFonts w:hint="eastAsia" w:ascii="宋体" w:hAnsi="宋体" w:eastAsia="宋体" w:cs="宋体"/>
                <w:b w:val="0"/>
                <w:bCs w:val="0"/>
                <w:color w:val="auto"/>
                <w:kern w:val="2"/>
                <w:sz w:val="24"/>
                <w:szCs w:val="24"/>
                <w:highlight w:val="none"/>
                <w:lang w:val="en-US" w:eastAsia="zh-CN"/>
              </w:rPr>
              <w:t>6</w:t>
            </w:r>
            <w:r>
              <w:rPr>
                <w:rFonts w:hint="eastAsia" w:ascii="宋体" w:hAnsi="宋体" w:eastAsia="宋体" w:cs="宋体"/>
                <w:b w:val="0"/>
                <w:bCs w:val="0"/>
                <w:color w:val="auto"/>
                <w:kern w:val="2"/>
                <w:sz w:val="24"/>
                <w:szCs w:val="24"/>
                <w:highlight w:val="none"/>
              </w:rPr>
              <w:t>-</w:t>
            </w:r>
            <w:r>
              <w:rPr>
                <w:rFonts w:hint="eastAsia" w:ascii="宋体" w:hAnsi="宋体" w:eastAsia="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rPr>
              <w:t>分，具体、完善、合理性程度差得1-</w:t>
            </w:r>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rPr>
              <w:t>分，缺项得0分。</w:t>
            </w:r>
          </w:p>
        </w:tc>
      </w:tr>
    </w:tbl>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p>
    <w:p>
      <w:pPr>
        <w:pageBreakBefore w:val="0"/>
        <w:kinsoku/>
        <w:overflowPunct/>
        <w:topLinePunct w:val="0"/>
        <w:bidi w:val="0"/>
        <w:spacing w:beforeAutospacing="0" w:afterAutospacing="0" w:line="360" w:lineRule="auto"/>
        <w:rPr>
          <w:rFonts w:hint="eastAsia" w:ascii="宋体" w:hAnsi="宋体" w:eastAsia="宋体" w:cs="宋体"/>
          <w:b/>
          <w:bCs/>
          <w:color w:val="auto"/>
          <w:kern w:val="44"/>
          <w:sz w:val="28"/>
          <w:szCs w:val="28"/>
          <w:highlight w:val="none"/>
          <w:lang w:val="en-US" w:eastAsia="zh-CN" w:bidi="ar-SA"/>
        </w:rPr>
      </w:pPr>
      <w:r>
        <w:rPr>
          <w:rFonts w:hint="eastAsia" w:ascii="宋体" w:hAnsi="宋体" w:eastAsia="宋体" w:cs="宋体"/>
          <w:b/>
          <w:color w:val="auto"/>
          <w:highlight w:val="none"/>
        </w:rPr>
        <w:br w:type="page"/>
      </w:r>
      <w:bookmarkEnd w:id="52"/>
      <w:bookmarkStart w:id="53" w:name="_Toc28988"/>
      <w:bookmarkStart w:id="54" w:name="_Toc1947"/>
      <w:bookmarkStart w:id="55" w:name="_Toc1482"/>
      <w:bookmarkStart w:id="56" w:name="_Toc326786897"/>
      <w:bookmarkStart w:id="57" w:name="_Toc256519703"/>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44"/>
          <w:sz w:val="28"/>
          <w:szCs w:val="28"/>
          <w:highlight w:val="none"/>
          <w:lang w:val="en-US" w:eastAsia="zh-CN" w:bidi="ar-SA"/>
        </w:rPr>
      </w:pPr>
      <w:r>
        <w:rPr>
          <w:rFonts w:hint="eastAsia" w:ascii="宋体" w:hAnsi="宋体" w:eastAsia="宋体" w:cs="宋体"/>
          <w:b/>
          <w:bCs/>
          <w:color w:val="auto"/>
          <w:kern w:val="44"/>
          <w:sz w:val="28"/>
          <w:szCs w:val="28"/>
          <w:highlight w:val="none"/>
          <w:lang w:val="en-US" w:eastAsia="zh-CN" w:bidi="ar-SA"/>
        </w:rPr>
        <w:t>第五章  采购合同</w:t>
      </w:r>
      <w:bookmarkEnd w:id="53"/>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以实际合同为准</w:t>
      </w:r>
      <w:r>
        <w:rPr>
          <w:rFonts w:hint="eastAsia" w:ascii="宋体" w:hAnsi="宋体" w:eastAsia="宋体" w:cs="宋体"/>
          <w:sz w:val="21"/>
          <w:szCs w:val="21"/>
          <w:highlight w:val="none"/>
          <w:lang w:eastAsia="zh-CN"/>
        </w:rPr>
        <w:t>）</w:t>
      </w:r>
    </w:p>
    <w:p>
      <w:pPr>
        <w:pageBreakBefore w:val="0"/>
        <w:kinsoku/>
        <w:overflowPunct/>
        <w:topLinePunct w:val="0"/>
        <w:bidi w:val="0"/>
        <w:spacing w:beforeAutospacing="0" w:afterAutospacing="0" w:line="360" w:lineRule="auto"/>
        <w:rPr>
          <w:rFonts w:hint="eastAsia" w:ascii="宋体" w:hAnsi="宋体" w:eastAsia="宋体" w:cs="宋体"/>
          <w:color w:val="auto"/>
          <w:sz w:val="32"/>
          <w:szCs w:val="32"/>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31"/>
        <w:pageBreakBefore w:val="0"/>
        <w:kinsoku/>
        <w:overflowPunct/>
        <w:topLinePunct w:val="0"/>
        <w:bidi w:val="0"/>
        <w:spacing w:beforeAutospacing="0" w:afterAutospacing="0" w:line="360" w:lineRule="auto"/>
        <w:rPr>
          <w:rFonts w:hint="eastAsia" w:ascii="宋体" w:hAnsi="宋体" w:eastAsia="宋体" w:cs="宋体"/>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44"/>
          <w:sz w:val="32"/>
          <w:szCs w:val="32"/>
          <w:highlight w:val="none"/>
          <w:lang w:val="en-US" w:eastAsia="zh-CN" w:bidi="ar-SA"/>
        </w:rPr>
      </w:pPr>
      <w:bookmarkStart w:id="58" w:name="_Toc2638"/>
      <w:r>
        <w:rPr>
          <w:rFonts w:hint="eastAsia" w:ascii="宋体" w:hAnsi="宋体" w:eastAsia="宋体" w:cs="宋体"/>
          <w:b/>
          <w:bCs/>
          <w:color w:val="auto"/>
          <w:kern w:val="44"/>
          <w:sz w:val="32"/>
          <w:szCs w:val="32"/>
          <w:highlight w:val="none"/>
          <w:lang w:val="en-US" w:eastAsia="zh-CN" w:bidi="ar-SA"/>
        </w:rPr>
        <w:t>第六章  投标文件格式</w:t>
      </w:r>
      <w:bookmarkEnd w:id="54"/>
      <w:bookmarkEnd w:id="55"/>
      <w:bookmarkEnd w:id="58"/>
    </w:p>
    <w:p>
      <w:pPr>
        <w:pageBreakBefore w:val="0"/>
        <w:kinsoku/>
        <w:overflowPunct/>
        <w:topLinePunct w:val="0"/>
        <w:bidi w:val="0"/>
        <w:spacing w:beforeAutospacing="0" w:afterAutospacing="0" w:line="360" w:lineRule="auto"/>
        <w:rPr>
          <w:rFonts w:hint="eastAsia" w:ascii="宋体" w:hAnsi="宋体" w:eastAsia="宋体" w:cs="宋体"/>
          <w:color w:val="auto"/>
          <w:sz w:val="24"/>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32"/>
          <w:szCs w:val="32"/>
          <w:highlight w:val="none"/>
        </w:rPr>
      </w:pPr>
      <w:bookmarkStart w:id="59" w:name="_Toc13604"/>
      <w:r>
        <w:rPr>
          <w:rFonts w:hint="eastAsia" w:ascii="宋体" w:hAnsi="宋体" w:eastAsia="宋体" w:cs="宋体"/>
          <w:b/>
          <w:bCs/>
          <w:color w:val="auto"/>
          <w:sz w:val="32"/>
          <w:szCs w:val="32"/>
          <w:highlight w:val="none"/>
        </w:rPr>
        <w:t>目    录</w:t>
      </w:r>
      <w:bookmarkEnd w:id="59"/>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rPr>
      </w:pPr>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0" w:name="_Toc11308"/>
      <w:r>
        <w:rPr>
          <w:rFonts w:hint="eastAsia" w:ascii="宋体" w:hAnsi="宋体" w:eastAsia="宋体" w:cs="宋体"/>
          <w:color w:val="auto"/>
          <w:sz w:val="24"/>
          <w:highlight w:val="none"/>
        </w:rPr>
        <w:t>附件1投标文件封面（格式）</w:t>
      </w:r>
      <w:bookmarkEnd w:id="60"/>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1" w:name="_Toc25345"/>
      <w:r>
        <w:rPr>
          <w:rFonts w:hint="eastAsia" w:ascii="宋体" w:hAnsi="宋体" w:eastAsia="宋体" w:cs="宋体"/>
          <w:color w:val="auto"/>
          <w:sz w:val="24"/>
          <w:highlight w:val="none"/>
        </w:rPr>
        <w:t>附件2 投标书（格式）</w:t>
      </w:r>
      <w:bookmarkEnd w:id="61"/>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2" w:name="_Toc10217"/>
      <w:r>
        <w:rPr>
          <w:rFonts w:hint="eastAsia" w:ascii="宋体" w:hAnsi="宋体" w:eastAsia="宋体" w:cs="宋体"/>
          <w:color w:val="auto"/>
          <w:sz w:val="24"/>
          <w:highlight w:val="none"/>
        </w:rPr>
        <w:t>附件3 开标一览表（格式）</w:t>
      </w:r>
      <w:bookmarkEnd w:id="62"/>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3" w:name="_Toc9579"/>
      <w:r>
        <w:rPr>
          <w:rFonts w:hint="eastAsia" w:ascii="宋体" w:hAnsi="宋体" w:eastAsia="宋体" w:cs="宋体"/>
          <w:color w:val="auto"/>
          <w:sz w:val="24"/>
          <w:highlight w:val="none"/>
        </w:rPr>
        <w:t>附件4 报价明细表（格式）</w:t>
      </w:r>
      <w:bookmarkEnd w:id="63"/>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lang w:val="en-US" w:eastAsia="zh-CN"/>
        </w:rPr>
      </w:pPr>
      <w:bookmarkStart w:id="64" w:name="_Toc28392"/>
      <w:r>
        <w:rPr>
          <w:rFonts w:hint="eastAsia" w:ascii="宋体" w:hAnsi="宋体" w:eastAsia="宋体" w:cs="宋体"/>
          <w:color w:val="auto"/>
          <w:sz w:val="24"/>
          <w:highlight w:val="none"/>
        </w:rPr>
        <w:t>附件5</w:t>
      </w:r>
      <w:bookmarkEnd w:id="64"/>
      <w:r>
        <w:rPr>
          <w:rFonts w:hint="eastAsia" w:ascii="宋体" w:hAnsi="宋体" w:eastAsia="宋体" w:cs="宋体"/>
          <w:color w:val="auto"/>
          <w:sz w:val="24"/>
          <w:highlight w:val="none"/>
        </w:rPr>
        <w:t>技术响应表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格式）</w:t>
      </w:r>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5" w:name="_Toc6234"/>
      <w:r>
        <w:rPr>
          <w:rFonts w:hint="eastAsia" w:ascii="宋体" w:hAnsi="宋体" w:eastAsia="宋体" w:cs="宋体"/>
          <w:color w:val="auto"/>
          <w:sz w:val="24"/>
          <w:highlight w:val="none"/>
        </w:rPr>
        <w:t xml:space="preserve">附件6 </w:t>
      </w:r>
      <w:bookmarkEnd w:id="65"/>
      <w:r>
        <w:rPr>
          <w:rFonts w:hint="eastAsia" w:ascii="宋体" w:hAnsi="宋体" w:eastAsia="宋体" w:cs="宋体"/>
          <w:color w:val="auto"/>
          <w:sz w:val="24"/>
          <w:highlight w:val="none"/>
        </w:rPr>
        <w:t>商务响应</w:t>
      </w:r>
      <w:r>
        <w:rPr>
          <w:rFonts w:hint="eastAsia" w:ascii="宋体" w:hAnsi="宋体" w:eastAsia="宋体" w:cs="宋体"/>
          <w:color w:val="auto"/>
          <w:sz w:val="24"/>
          <w:highlight w:val="none"/>
          <w:lang w:val="en-US" w:eastAsia="zh-CN"/>
        </w:rPr>
        <w:t>部分</w:t>
      </w:r>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6"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6"/>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7"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7"/>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8" w:name="_Toc31857"/>
      <w:r>
        <w:rPr>
          <w:rFonts w:hint="eastAsia" w:ascii="宋体" w:hAnsi="宋体" w:eastAsia="宋体" w:cs="宋体"/>
          <w:color w:val="auto"/>
          <w:sz w:val="24"/>
          <w:highlight w:val="none"/>
        </w:rPr>
        <w:t>附件9 证明文件</w:t>
      </w:r>
      <w:bookmarkEnd w:id="68"/>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9" w:name="_Toc23116"/>
      <w:r>
        <w:rPr>
          <w:rFonts w:hint="eastAsia" w:ascii="宋体" w:hAnsi="宋体" w:eastAsia="宋体" w:cs="宋体"/>
          <w:color w:val="auto"/>
          <w:sz w:val="24"/>
          <w:highlight w:val="none"/>
        </w:rPr>
        <w:t>附件10 供应商承诺书（格式）</w:t>
      </w:r>
      <w:bookmarkEnd w:id="69"/>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附件11  供应商信用承诺函（格式）</w:t>
      </w:r>
    </w:p>
    <w:p>
      <w:pPr>
        <w:pageBreakBefore w:val="0"/>
        <w:widowControl/>
        <w:kinsoku/>
        <w:wordWrap w:val="0"/>
        <w:overflowPunct/>
        <w:topLinePunct w:val="0"/>
        <w:bidi w:val="0"/>
        <w:snapToGrid w:val="0"/>
        <w:spacing w:beforeAutospacing="0" w:afterAutospacing="0" w:line="360" w:lineRule="auto"/>
        <w:ind w:firstLine="482" w:firstLineChars="200"/>
        <w:jc w:val="center"/>
        <w:rPr>
          <w:rFonts w:hint="eastAsia" w:ascii="宋体" w:hAnsi="宋体" w:eastAsia="宋体" w:cs="宋体"/>
          <w:b/>
          <w:bCs/>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hint="eastAsia" w:ascii="宋体" w:hAnsi="宋体" w:eastAsia="宋体" w:cs="宋体"/>
          <w:b/>
          <w:bCs/>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hint="eastAsia" w:ascii="宋体" w:hAnsi="宋体" w:eastAsia="宋体" w:cs="宋体"/>
          <w:b/>
          <w:bCs/>
          <w:color w:val="auto"/>
          <w:kern w:val="0"/>
          <w:sz w:val="24"/>
          <w:highlight w:val="none"/>
        </w:rPr>
      </w:pPr>
    </w:p>
    <w:p>
      <w:pPr>
        <w:pStyle w:val="4"/>
        <w:pageBreakBefore w:val="0"/>
        <w:kinsoku/>
        <w:overflowPunct/>
        <w:topLinePunct w:val="0"/>
        <w:bidi w:val="0"/>
        <w:spacing w:beforeAutospacing="0" w:afterAutospacing="0" w:line="360" w:lineRule="auto"/>
        <w:rPr>
          <w:rFonts w:hint="eastAsia" w:ascii="宋体" w:hAnsi="宋体" w:eastAsia="宋体" w:cs="宋体"/>
          <w:b/>
          <w:bCs/>
          <w:color w:val="auto"/>
          <w:kern w:val="0"/>
          <w:sz w:val="24"/>
          <w:highlight w:val="none"/>
        </w:rPr>
      </w:pPr>
    </w:p>
    <w:p>
      <w:pPr>
        <w:pStyle w:val="49"/>
        <w:pageBreakBefore w:val="0"/>
        <w:kinsoku/>
        <w:overflowPunct/>
        <w:topLinePunct w:val="0"/>
        <w:bidi w:val="0"/>
        <w:spacing w:beforeAutospacing="0" w:afterAutospacing="0" w:line="360" w:lineRule="auto"/>
        <w:rPr>
          <w:rFonts w:hint="eastAsia" w:ascii="宋体" w:hAnsi="宋体" w:eastAsia="宋体" w:cs="宋体"/>
          <w:b/>
          <w:bCs/>
          <w:color w:val="auto"/>
          <w:highlight w:val="none"/>
        </w:rPr>
      </w:pPr>
    </w:p>
    <w:p>
      <w:pPr>
        <w:pStyle w:val="49"/>
        <w:pageBreakBefore w:val="0"/>
        <w:kinsoku/>
        <w:overflowPunct/>
        <w:topLinePunct w:val="0"/>
        <w:bidi w:val="0"/>
        <w:spacing w:beforeAutospacing="0" w:afterAutospacing="0" w:line="360" w:lineRule="auto"/>
        <w:rPr>
          <w:rFonts w:hint="eastAsia" w:ascii="宋体" w:hAnsi="宋体" w:eastAsia="宋体" w:cs="宋体"/>
          <w:b/>
          <w:bCs/>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Style w:val="2"/>
        <w:pageBreakBefore w:val="0"/>
        <w:kinsoku/>
        <w:overflowPunct/>
        <w:topLinePunct w:val="0"/>
        <w:bidi w:val="0"/>
        <w:spacing w:before="0" w:beforeAutospacing="0" w:after="0" w:afterAutospacing="0" w:line="360" w:lineRule="auto"/>
        <w:rPr>
          <w:rFonts w:hint="eastAsia" w:ascii="宋体" w:hAnsi="宋体" w:eastAsia="宋体" w:cs="宋体"/>
          <w:color w:val="auto"/>
          <w:highlight w:val="none"/>
        </w:rPr>
      </w:pPr>
      <w:bookmarkStart w:id="70" w:name="_Toc24743"/>
      <w:bookmarkStart w:id="71" w:name="_Toc31798"/>
      <w:r>
        <w:rPr>
          <w:rFonts w:hint="eastAsia" w:ascii="宋体" w:hAnsi="宋体" w:eastAsia="宋体" w:cs="宋体"/>
          <w:color w:val="auto"/>
          <w:highlight w:val="none"/>
        </w:rPr>
        <w:t>附件1               投标文件封面（格式）</w:t>
      </w:r>
      <w:bookmarkEnd w:id="70"/>
      <w:bookmarkEnd w:id="71"/>
    </w:p>
    <w:p>
      <w:pPr>
        <w:pageBreakBefore w:val="0"/>
        <w:widowControl/>
        <w:kinsoku/>
        <w:wordWrap w:val="0"/>
        <w:overflowPunct/>
        <w:topLinePunct w:val="0"/>
        <w:bidi w:val="0"/>
        <w:spacing w:beforeAutospacing="0" w:afterAutospacing="0" w:line="360" w:lineRule="auto"/>
        <w:ind w:firstLine="482" w:firstLineChars="200"/>
        <w:jc w:val="center"/>
        <w:rPr>
          <w:rFonts w:hint="eastAsia" w:ascii="宋体" w:hAnsi="宋体" w:eastAsia="宋体" w:cs="宋体"/>
          <w:b/>
          <w:color w:val="auto"/>
          <w:kern w:val="0"/>
          <w:sz w:val="24"/>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ageBreakBefore w:val="0"/>
        <w:widowControl/>
        <w:kinsoku/>
        <w:wordWrap w:val="0"/>
        <w:overflowPunct/>
        <w:topLinePunct w:val="0"/>
        <w:bidi w:val="0"/>
        <w:spacing w:beforeAutospacing="0" w:afterAutospacing="0" w:line="360" w:lineRule="auto"/>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pPr>
        <w:pageBreakBefore w:val="0"/>
        <w:widowControl/>
        <w:kinsoku/>
        <w:wordWrap w:val="0"/>
        <w:overflowPunct/>
        <w:topLinePunct w:val="0"/>
        <w:bidi w:val="0"/>
        <w:spacing w:beforeAutospacing="0" w:afterAutospacing="0" w:line="360" w:lineRule="auto"/>
        <w:ind w:firstLine="482" w:firstLineChars="200"/>
        <w:jc w:val="left"/>
        <w:rPr>
          <w:rFonts w:hint="eastAsia" w:ascii="宋体" w:hAnsi="宋体" w:eastAsia="宋体" w:cs="宋体"/>
          <w:b/>
          <w:color w:val="auto"/>
          <w:kern w:val="0"/>
          <w:sz w:val="24"/>
          <w:highlight w:val="none"/>
        </w:rPr>
      </w:pPr>
    </w:p>
    <w:p>
      <w:pPr>
        <w:pStyle w:val="4"/>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b/>
          <w:color w:val="auto"/>
          <w:kern w:val="0"/>
          <w:sz w:val="24"/>
          <w:highlight w:val="none"/>
        </w:rPr>
        <w:br w:type="page"/>
      </w:r>
    </w:p>
    <w:p>
      <w:pPr>
        <w:pStyle w:val="2"/>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bookmarkStart w:id="72" w:name="_Toc8818"/>
      <w:bookmarkStart w:id="73" w:name="_Toc14560"/>
      <w:r>
        <w:rPr>
          <w:rFonts w:hint="eastAsia" w:ascii="宋体" w:hAnsi="宋体" w:eastAsia="宋体" w:cs="宋体"/>
          <w:color w:val="auto"/>
          <w:highlight w:val="none"/>
        </w:rPr>
        <w:t>附件2投  标  书（格式）</w:t>
      </w:r>
      <w:bookmarkEnd w:id="72"/>
      <w:bookmarkEnd w:id="73"/>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pPr>
        <w:pageBreakBefore w:val="0"/>
        <w:widowControl/>
        <w:kinsoku/>
        <w:wordWrap w:val="0"/>
        <w:overflowPunct/>
        <w:topLinePunct w:val="0"/>
        <w:bidi w:val="0"/>
        <w:spacing w:beforeAutospacing="0" w:afterAutospacing="0" w:line="360" w:lineRule="auto"/>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（投标人名称）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6、抵制商业贿赂承诺。为便于贵方公正、择优地确定中标供应商及其投标产品和服务，我方就本次投标有关事项郑重声明并宣布同意如下：</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文件中规定的参加政府采购活动的投标人应当具备的条件。我方愿意向贵方提供任何与本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5、我方保证尊重评标委员会的评标结果，完全理解本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8、如果我方存在投标人须知第9.3项所述情况，同意被认定为在经营活动中有重大违法记录。</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9、如果发生投标人须知第2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10、如果发生投标人须知第2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.5项所述情况，同意评标委员会认定我方的行为属于串通投标的行为，并自愿接受监管部门的处罚。</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并缴纳服务费。否则，视为我方中标后自动放弃中标资格，承担由此引起的一切后果。</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30</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pPr>
        <w:pageBreakBefore w:val="0"/>
        <w:widowControl/>
        <w:tabs>
          <w:tab w:val="left" w:pos="939"/>
        </w:tabs>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p>
    <w:p>
      <w:pPr>
        <w:pageBreakBefore w:val="0"/>
        <w:widowControl/>
        <w:kinsoku/>
        <w:wordWrap w:val="0"/>
        <w:overflowPunct/>
        <w:topLinePunct w:val="0"/>
        <w:bidi w:val="0"/>
        <w:spacing w:beforeAutospacing="0" w:afterAutospacing="0" w:line="360" w:lineRule="auto"/>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投标人代表签字： </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投标人：（全称并加盖公章）</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p>
    <w:p>
      <w:pPr>
        <w:pageBreakBefore w:val="0"/>
        <w:widowControl/>
        <w:kinsoku/>
        <w:overflowPunct/>
        <w:topLinePunct w:val="0"/>
        <w:bidi w:val="0"/>
        <w:snapToGrid w:val="0"/>
        <w:spacing w:beforeAutospacing="0" w:afterAutospacing="0" w:line="360" w:lineRule="auto"/>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b/>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b/>
          <w:color w:val="auto"/>
          <w:kern w:val="0"/>
          <w:sz w:val="24"/>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24"/>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sz w:val="28"/>
          <w:szCs w:val="28"/>
          <w:highlight w:val="none"/>
        </w:rPr>
        <w:br w:type="page"/>
      </w:r>
    </w:p>
    <w:p>
      <w:pPr>
        <w:pStyle w:val="2"/>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bookmarkStart w:id="74" w:name="_Toc7838"/>
      <w:r>
        <w:rPr>
          <w:rFonts w:hint="eastAsia" w:ascii="宋体" w:hAnsi="宋体" w:eastAsia="宋体" w:cs="宋体"/>
          <w:color w:val="auto"/>
          <w:highlight w:val="none"/>
        </w:rPr>
        <w:t>附件3开标一览表</w:t>
      </w:r>
      <w:bookmarkEnd w:id="74"/>
    </w:p>
    <w:p>
      <w:pPr>
        <w:pageBreakBefore w:val="0"/>
        <w:kinsoku/>
        <w:overflowPunct/>
        <w:topLinePunct w:val="0"/>
        <w:bidi w:val="0"/>
        <w:spacing w:beforeAutospacing="0" w:afterAutospacing="0" w:line="360" w:lineRule="auto"/>
        <w:jc w:val="right"/>
        <w:rPr>
          <w:rFonts w:hint="eastAsia" w:ascii="宋体" w:hAnsi="宋体" w:eastAsia="宋体" w:cs="宋体"/>
          <w:color w:val="auto"/>
          <w:highlight w:val="none"/>
        </w:rPr>
      </w:pPr>
      <w:r>
        <w:rPr>
          <w:rFonts w:hint="eastAsia" w:ascii="宋体" w:hAnsi="宋体" w:eastAsia="宋体" w:cs="宋体"/>
          <w:color w:val="auto"/>
          <w:sz w:val="24"/>
          <w:highlight w:val="none"/>
        </w:rPr>
        <w:t>单位：人民币元</w:t>
      </w: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vAlign w:val="center"/>
          </w:tcPr>
          <w:p>
            <w:pPr>
              <w:pageBreakBefore w:val="0"/>
              <w:kinsoku/>
              <w:overflowPunct/>
              <w:topLinePunct w:val="0"/>
              <w:bidi w:val="0"/>
              <w:spacing w:beforeAutospacing="0" w:afterAutospacing="0" w:line="360" w:lineRule="auto"/>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投标人名称</w:t>
            </w:r>
          </w:p>
        </w:tc>
        <w:tc>
          <w:tcPr>
            <w:tcW w:w="7708" w:type="dxa"/>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总价）</w:t>
            </w:r>
          </w:p>
        </w:tc>
        <w:tc>
          <w:tcPr>
            <w:tcW w:w="7708" w:type="dxa"/>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        元</w:t>
            </w:r>
          </w:p>
          <w:p>
            <w:pPr>
              <w:pageBreakBefore w:val="0"/>
              <w:kinsoku/>
              <w:overflowPunct/>
              <w:topLinePunct w:val="0"/>
              <w:bidi w:val="0"/>
              <w:spacing w:beforeAutospacing="0" w:afterAutospacing="0"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交货期</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交货地点</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投标有效期</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vAlign w:val="center"/>
          </w:tcPr>
          <w:p>
            <w:pPr>
              <w:pStyle w:val="20"/>
              <w:pageBreakBefore w:val="0"/>
              <w:kinsoku/>
              <w:overflowPunct/>
              <w:topLinePunct w:val="0"/>
              <w:bidi w:val="0"/>
              <w:spacing w:beforeAutospacing="0" w:afterAutospacing="0" w:line="360" w:lineRule="auto"/>
              <w:ind w:left="0" w:leftChars="0"/>
              <w:rPr>
                <w:rFonts w:hint="eastAsia" w:ascii="宋体" w:hAnsi="宋体" w:eastAsia="宋体" w:cs="宋体"/>
                <w:color w:val="auto"/>
                <w:sz w:val="21"/>
                <w:szCs w:val="21"/>
                <w:highlight w:val="none"/>
              </w:rPr>
            </w:pPr>
          </w:p>
        </w:tc>
      </w:tr>
    </w:tbl>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1、报价一经涂改，应在涂改处加盖单位公章或投标人代表签字或盖章，否则其投标作无效标处理。</w:t>
      </w:r>
    </w:p>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4、投标人按格式填列，不得自行更改。否则引起的不利后果由投标人承担。</w:t>
      </w:r>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bookmarkStart w:id="75" w:name="_Toc11620"/>
      <w:bookmarkStart w:id="76" w:name="_Toc20877"/>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投标人（全称并加盖公章）：</w:t>
      </w:r>
      <w:bookmarkEnd w:id="75"/>
      <w:bookmarkEnd w:id="76"/>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bookmarkStart w:id="77" w:name="_Toc625"/>
      <w:bookmarkStart w:id="78" w:name="_Toc12222"/>
      <w:r>
        <w:rPr>
          <w:rFonts w:hint="eastAsia" w:ascii="宋体" w:hAnsi="宋体" w:eastAsia="宋体" w:cs="宋体"/>
          <w:color w:val="auto"/>
          <w:szCs w:val="21"/>
          <w:highlight w:val="none"/>
        </w:rPr>
        <w:t>法定代表人或其委托代理人（签字）：</w:t>
      </w:r>
      <w:bookmarkEnd w:id="77"/>
      <w:bookmarkEnd w:id="78"/>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bookmarkStart w:id="79" w:name="_Toc1330"/>
      <w:bookmarkStart w:id="80" w:name="_Toc9950"/>
      <w:r>
        <w:rPr>
          <w:rFonts w:hint="eastAsia" w:ascii="宋体" w:hAnsi="宋体" w:eastAsia="宋体" w:cs="宋体"/>
          <w:color w:val="auto"/>
          <w:szCs w:val="21"/>
          <w:highlight w:val="none"/>
        </w:rPr>
        <w:t>年  月  日</w:t>
      </w:r>
      <w:bookmarkEnd w:id="79"/>
      <w:bookmarkEnd w:id="80"/>
    </w:p>
    <w:p>
      <w:pPr>
        <w:pStyle w:val="2"/>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End w:id="56"/>
      <w:bookmarkEnd w:id="57"/>
      <w:bookmarkStart w:id="81" w:name="_Toc22004"/>
      <w:bookmarkStart w:id="82" w:name="_Toc24984"/>
      <w:r>
        <w:rPr>
          <w:rFonts w:hint="eastAsia" w:ascii="宋体" w:hAnsi="宋体" w:eastAsia="宋体" w:cs="宋体"/>
          <w:color w:val="auto"/>
          <w:highlight w:val="none"/>
        </w:rPr>
        <w:t>附件4报价明细表</w:t>
      </w:r>
      <w:bookmarkEnd w:id="81"/>
      <w:bookmarkEnd w:id="82"/>
    </w:p>
    <w:p>
      <w:pPr>
        <w:pageBreakBefore w:val="0"/>
        <w:widowControl/>
        <w:kinsoku/>
        <w:wordWrap w:val="0"/>
        <w:overflowPunct/>
        <w:topLinePunct w:val="0"/>
        <w:bidi w:val="0"/>
        <w:snapToGrid w:val="0"/>
        <w:spacing w:beforeAutospacing="0" w:afterAutospacing="0" w:line="360" w:lineRule="auto"/>
        <w:ind w:left="-3" w:leftChars="-72" w:right="-817" w:rightChars="-389" w:hanging="148" w:hangingChars="6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金额单位：人民币（元）</w:t>
      </w:r>
    </w:p>
    <w:tbl>
      <w:tblPr>
        <w:tblStyle w:val="32"/>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highlight w:val="none"/>
              </w:rPr>
              <w:t>规格/</w:t>
            </w:r>
            <w:r>
              <w:rPr>
                <w:rFonts w:hint="eastAsia" w:ascii="宋体" w:hAnsi="宋体" w:eastAsia="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pageBreakBefore w:val="0"/>
              <w:widowControl/>
              <w:tabs>
                <w:tab w:val="left" w:pos="1418"/>
              </w:tabs>
              <w:kinsoku/>
              <w:overflowPunct/>
              <w:topLinePunct w:val="0"/>
              <w:bidi w:val="0"/>
              <w:snapToGrid w:val="0"/>
              <w:spacing w:beforeAutospacing="0" w:afterAutospacing="0" w:line="360" w:lineRule="auto"/>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rPr>
              <w:t>投标总价(</w:t>
            </w:r>
            <w:r>
              <w:rPr>
                <w:rFonts w:hint="eastAsia" w:ascii="宋体" w:hAnsi="宋体" w:eastAsia="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pageBreakBefore w:val="0"/>
              <w:widowControl/>
              <w:tabs>
                <w:tab w:val="left" w:pos="1418"/>
              </w:tabs>
              <w:kinsoku/>
              <w:overflowPunct/>
              <w:topLinePunct w:val="0"/>
              <w:bidi w:val="0"/>
              <w:snapToGrid w:val="0"/>
              <w:spacing w:beforeAutospacing="0" w:afterAutospacing="0" w:line="360" w:lineRule="auto"/>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szCs w:val="21"/>
                <w:highlight w:val="none"/>
              </w:rPr>
              <w:t>￥</w:t>
            </w:r>
          </w:p>
        </w:tc>
      </w:tr>
    </w:tbl>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投标人代表签字： </w:t>
      </w:r>
    </w:p>
    <w:p>
      <w:pPr>
        <w:pageBreakBefore w:val="0"/>
        <w:widowControl/>
        <w:kinsoku/>
        <w:wordWrap w:val="0"/>
        <w:overflowPunct/>
        <w:topLinePunct w:val="0"/>
        <w:bidi w:val="0"/>
        <w:snapToGrid w:val="0"/>
        <w:spacing w:beforeAutospacing="0" w:afterAutospacing="0" w:line="360" w:lineRule="auto"/>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投标人：（全称并加盖公章）</w:t>
      </w:r>
    </w:p>
    <w:p>
      <w:pPr>
        <w:pageBreakBefore w:val="0"/>
        <w:widowControl/>
        <w:kinsoku/>
        <w:wordWrap w:val="0"/>
        <w:overflowPunct/>
        <w:topLinePunct w:val="0"/>
        <w:bidi w:val="0"/>
        <w:snapToGrid w:val="0"/>
        <w:spacing w:beforeAutospacing="0" w:afterAutospacing="0" w:line="360" w:lineRule="auto"/>
        <w:ind w:firstLine="1040" w:firstLineChars="200"/>
        <w:jc w:val="left"/>
        <w:rPr>
          <w:rFonts w:hint="eastAsia" w:ascii="宋体" w:hAnsi="宋体" w:eastAsia="宋体" w:cs="宋体"/>
          <w:color w:val="auto"/>
          <w:kern w:val="0"/>
          <w:sz w:val="52"/>
          <w:szCs w:val="52"/>
          <w:highlight w:val="none"/>
          <w:u w:val="single"/>
        </w:rPr>
      </w:pPr>
    </w:p>
    <w:p>
      <w:pPr>
        <w:pageBreakBefore w:val="0"/>
        <w:widowControl/>
        <w:kinsoku/>
        <w:wordWrap w:val="0"/>
        <w:overflowPunct/>
        <w:topLinePunct w:val="0"/>
        <w:bidi w:val="0"/>
        <w:spacing w:beforeAutospacing="0" w:afterAutospacing="0" w:line="360" w:lineRule="auto"/>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keepNext w:val="0"/>
        <w:keepLines w:val="0"/>
        <w:widowControl/>
        <w:suppressLineNumbers w:val="0"/>
        <w:jc w:val="center"/>
        <w:rPr>
          <w:rFonts w:hint="eastAsia" w:ascii="宋体" w:hAnsi="宋体" w:eastAsia="宋体" w:cs="宋体"/>
          <w:b/>
          <w:bCs/>
          <w:snapToGrid w:val="0"/>
          <w:color w:val="000000"/>
          <w:kern w:val="0"/>
          <w:sz w:val="31"/>
          <w:szCs w:val="31"/>
          <w:lang w:val="en-US" w:eastAsia="zh-CN" w:bidi="ar"/>
        </w:rPr>
      </w:pPr>
    </w:p>
    <w:p>
      <w:pPr>
        <w:bidi w:val="0"/>
        <w:rPr>
          <w:rFonts w:hint="eastAsia" w:ascii="宋体" w:hAnsi="宋体" w:eastAsia="宋体" w:cs="宋体"/>
          <w:lang w:val="en-US" w:eastAsia="zh-CN"/>
        </w:rPr>
      </w:pPr>
    </w:p>
    <w:p>
      <w:pPr>
        <w:rPr>
          <w:rFonts w:hint="eastAsia" w:ascii="宋体" w:hAnsi="宋体" w:eastAsia="宋体" w:cs="宋体"/>
        </w:rPr>
      </w:pPr>
    </w:p>
    <w:p>
      <w:pPr>
        <w:pStyle w:val="2"/>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83" w:name="_Toc226"/>
      <w:bookmarkStart w:id="84" w:name="_Toc15804"/>
      <w:r>
        <w:rPr>
          <w:rFonts w:hint="eastAsia" w:ascii="宋体" w:hAnsi="宋体" w:eastAsia="宋体" w:cs="宋体"/>
          <w:color w:val="auto"/>
          <w:highlight w:val="none"/>
        </w:rPr>
        <w:t>附件5技术响应表（格式）</w:t>
      </w:r>
      <w:bookmarkEnd w:id="83"/>
      <w:bookmarkEnd w:id="84"/>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lang w:val="en-US" w:eastAsia="zh-CN"/>
        </w:rPr>
        <w:t xml:space="preserve"> </w:t>
      </w:r>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rPr>
              <w:t>文件要求</w:t>
            </w: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投标文件响应</w:t>
            </w: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bl>
    <w:p>
      <w:pPr>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注：投标人必须如实完整填写表格， “偏离情况”是指“正偏离”、“负偏离”或“无偏离”。</w:t>
      </w:r>
    </w:p>
    <w:p>
      <w:pPr>
        <w:pStyle w:val="53"/>
        <w:pageBreakBefore w:val="0"/>
        <w:kinsoku/>
        <w:overflowPunct/>
        <w:topLinePunct w:val="0"/>
        <w:bidi w:val="0"/>
        <w:spacing w:beforeAutospacing="0" w:afterAutospacing="0" w:line="360" w:lineRule="auto"/>
        <w:rPr>
          <w:rFonts w:hint="eastAsia" w:ascii="宋体" w:hAnsi="宋体" w:eastAsia="宋体" w:cs="宋体"/>
          <w:bCs/>
          <w:color w:val="auto"/>
          <w:kern w:val="0"/>
          <w:highlight w:val="none"/>
        </w:rPr>
      </w:pPr>
    </w:p>
    <w:p>
      <w:pPr>
        <w:pStyle w:val="53"/>
        <w:pageBreakBefore w:val="0"/>
        <w:kinsoku/>
        <w:overflowPunct/>
        <w:topLinePunct w:val="0"/>
        <w:bidi w:val="0"/>
        <w:spacing w:beforeAutospacing="0" w:afterAutospacing="0" w:line="360" w:lineRule="auto"/>
        <w:rPr>
          <w:rFonts w:hint="eastAsia" w:ascii="宋体" w:hAnsi="宋体" w:eastAsia="宋体" w:cs="宋体"/>
          <w:bCs/>
          <w:color w:val="auto"/>
          <w:kern w:val="0"/>
          <w:highlight w:val="none"/>
        </w:rPr>
      </w:pPr>
    </w:p>
    <w:p>
      <w:pPr>
        <w:pStyle w:val="53"/>
        <w:pageBreakBefore w:val="0"/>
        <w:kinsoku/>
        <w:overflowPunct/>
        <w:topLinePunct w:val="0"/>
        <w:bidi w:val="0"/>
        <w:spacing w:beforeAutospacing="0" w:afterAutospacing="0" w:line="360" w:lineRule="auto"/>
        <w:rPr>
          <w:rFonts w:hint="eastAsia" w:ascii="宋体" w:hAnsi="宋体" w:eastAsia="宋体" w:cs="宋体"/>
          <w:bCs/>
          <w:color w:val="auto"/>
          <w:kern w:val="0"/>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投标人代表签字： </w:t>
      </w:r>
    </w:p>
    <w:p>
      <w:pPr>
        <w:pageBreakBefore w:val="0"/>
        <w:widowControl/>
        <w:kinsoku/>
        <w:wordWrap w:val="0"/>
        <w:overflowPunct/>
        <w:topLinePunct w:val="0"/>
        <w:bidi w:val="0"/>
        <w:snapToGrid w:val="0"/>
        <w:spacing w:beforeAutospacing="0" w:afterAutospacing="0" w:line="360" w:lineRule="auto"/>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投标人：（全称并加盖公章）</w:t>
      </w:r>
    </w:p>
    <w:p>
      <w:pPr>
        <w:pageBreakBefore w:val="0"/>
        <w:widowControl/>
        <w:kinsoku/>
        <w:wordWrap w:val="0"/>
        <w:overflowPunct/>
        <w:topLinePunct w:val="0"/>
        <w:bidi w:val="0"/>
        <w:snapToGrid w:val="0"/>
        <w:spacing w:beforeAutospacing="0" w:afterAutospacing="0" w:line="360" w:lineRule="auto"/>
        <w:ind w:firstLine="1040" w:firstLineChars="200"/>
        <w:jc w:val="left"/>
        <w:rPr>
          <w:rFonts w:hint="eastAsia" w:ascii="宋体" w:hAnsi="宋体" w:eastAsia="宋体" w:cs="宋体"/>
          <w:color w:val="auto"/>
          <w:kern w:val="0"/>
          <w:sz w:val="52"/>
          <w:szCs w:val="52"/>
          <w:highlight w:val="none"/>
          <w:u w:val="single"/>
        </w:rPr>
      </w:pPr>
    </w:p>
    <w:p>
      <w:pPr>
        <w:pageBreakBefore w:val="0"/>
        <w:widowControl/>
        <w:kinsoku/>
        <w:wordWrap w:val="0"/>
        <w:overflowPunct/>
        <w:topLinePunct w:val="0"/>
        <w:bidi w:val="0"/>
        <w:spacing w:beforeAutospacing="0" w:afterAutospacing="0" w:line="360" w:lineRule="auto"/>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widowControl/>
        <w:kinsoku/>
        <w:wordWrap w:val="0"/>
        <w:overflowPunct/>
        <w:topLinePunct w:val="0"/>
        <w:bidi w:val="0"/>
        <w:snapToGrid w:val="0"/>
        <w:spacing w:beforeAutospacing="0" w:afterAutospacing="0" w:line="360" w:lineRule="auto"/>
        <w:jc w:val="left"/>
        <w:outlineLvl w:val="0"/>
        <w:rPr>
          <w:rFonts w:hint="eastAsia" w:ascii="宋体" w:hAnsi="宋体" w:eastAsia="宋体" w:cs="宋体"/>
          <w:b/>
          <w:color w:val="auto"/>
          <w:sz w:val="24"/>
          <w:szCs w:val="24"/>
          <w:highlight w:val="none"/>
          <w:lang w:val="en-US" w:eastAsia="zh-CN"/>
        </w:rPr>
      </w:pPr>
      <w:bookmarkStart w:id="85" w:name="_Toc29960"/>
      <w:bookmarkStart w:id="86" w:name="_Toc20420"/>
      <w:r>
        <w:rPr>
          <w:rFonts w:hint="eastAsia" w:ascii="宋体" w:hAnsi="宋体" w:eastAsia="宋体" w:cs="宋体"/>
          <w:b/>
          <w:color w:val="auto"/>
          <w:sz w:val="28"/>
          <w:highlight w:val="none"/>
        </w:rPr>
        <w:t xml:space="preserve">附件6              </w:t>
      </w:r>
      <w:bookmarkEnd w:id="85"/>
      <w:bookmarkEnd w:id="86"/>
      <w:r>
        <w:rPr>
          <w:rFonts w:hint="eastAsia" w:ascii="宋体" w:hAnsi="宋体" w:eastAsia="宋体" w:cs="宋体"/>
          <w:b/>
          <w:color w:val="auto"/>
          <w:sz w:val="24"/>
          <w:szCs w:val="24"/>
          <w:highlight w:val="none"/>
        </w:rPr>
        <w:t>商务响应</w:t>
      </w:r>
      <w:r>
        <w:rPr>
          <w:rFonts w:hint="eastAsia" w:ascii="宋体" w:hAnsi="宋体" w:eastAsia="宋体" w:cs="宋体"/>
          <w:b/>
          <w:color w:val="auto"/>
          <w:sz w:val="24"/>
          <w:szCs w:val="24"/>
          <w:highlight w:val="none"/>
          <w:lang w:val="en-US" w:eastAsia="zh-CN"/>
        </w:rPr>
        <w:t>部分</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 xml:space="preserve">  </w:t>
      </w:r>
    </w:p>
    <w:p>
      <w:pPr>
        <w:pageBreakBefore w:val="0"/>
        <w:widowControl/>
        <w:kinsoku/>
        <w:wordWrap w:val="0"/>
        <w:overflowPunct/>
        <w:topLinePunct w:val="0"/>
        <w:bidi w:val="0"/>
        <w:spacing w:beforeAutospacing="0" w:afterAutospacing="0" w:line="360" w:lineRule="auto"/>
        <w:ind w:firstLine="482" w:firstLineChars="200"/>
        <w:jc w:val="left"/>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商务部分相关证明文件</w:t>
      </w:r>
    </w:p>
    <w:p>
      <w:pPr>
        <w:pageBreakBefore w:val="0"/>
        <w:widowControl/>
        <w:kinsoku/>
        <w:wordWrap w:val="0"/>
        <w:overflowPunct/>
        <w:topLinePunct w:val="0"/>
        <w:bidi w:val="0"/>
        <w:snapToGrid w:val="0"/>
        <w:spacing w:beforeAutospacing="0" w:afterAutospacing="0" w:line="360" w:lineRule="auto"/>
        <w:jc w:val="left"/>
        <w:outlineLvl w:val="0"/>
        <w:rPr>
          <w:rFonts w:hint="eastAsia" w:ascii="宋体" w:hAnsi="宋体" w:eastAsia="宋体" w:cs="宋体"/>
          <w:b/>
          <w:color w:val="auto"/>
          <w:sz w:val="28"/>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lang w:eastAsia="zh-CN"/>
        </w:rPr>
        <w:t xml:space="preserve"> </w:t>
      </w: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rPr>
      </w:pPr>
    </w:p>
    <w:p>
      <w:pPr>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pStyle w:val="31"/>
        <w:pageBreakBefore w:val="0"/>
        <w:kinsoku/>
        <w:overflowPunct/>
        <w:topLinePunct w:val="0"/>
        <w:bidi w:val="0"/>
        <w:spacing w:beforeAutospacing="0" w:afterAutospacing="0" w:line="360" w:lineRule="auto"/>
        <w:rPr>
          <w:rFonts w:hint="eastAsia" w:ascii="宋体" w:hAnsi="宋体" w:eastAsia="宋体" w:cs="宋体"/>
          <w:highlight w:val="none"/>
        </w:rPr>
      </w:pPr>
    </w:p>
    <w:p>
      <w:pPr>
        <w:pageBreakBefore w:val="0"/>
        <w:widowControl/>
        <w:kinsoku/>
        <w:wordWrap w:val="0"/>
        <w:overflowPunct/>
        <w:topLinePunct w:val="0"/>
        <w:bidi w:val="0"/>
        <w:spacing w:beforeAutospacing="0" w:afterAutospacing="0" w:line="360" w:lineRule="auto"/>
        <w:jc w:val="left"/>
        <w:outlineLvl w:val="0"/>
        <w:rPr>
          <w:rFonts w:hint="eastAsia" w:ascii="宋体" w:hAnsi="宋体" w:eastAsia="宋体" w:cs="宋体"/>
          <w:b/>
          <w:color w:val="auto"/>
          <w:sz w:val="28"/>
          <w:highlight w:val="none"/>
        </w:rPr>
      </w:pPr>
      <w:bookmarkStart w:id="87" w:name="_Toc31526"/>
      <w:bookmarkStart w:id="88" w:name="_Toc28621"/>
      <w:r>
        <w:rPr>
          <w:rFonts w:hint="eastAsia" w:ascii="宋体" w:hAnsi="宋体" w:eastAsia="宋体" w:cs="宋体"/>
          <w:b/>
          <w:color w:val="auto"/>
          <w:sz w:val="28"/>
          <w:highlight w:val="none"/>
        </w:rPr>
        <w:t>附件7               法定代表人身份证明（格式）</w:t>
      </w:r>
      <w:bookmarkEnd w:id="87"/>
      <w:bookmarkEnd w:id="88"/>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（投标人名称）的法定代表人。</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szCs w:val="20"/>
          <w:highlight w:val="none"/>
        </w:rPr>
      </w:pP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szCs w:val="20"/>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pacing w:beforeAutospacing="0" w:afterAutospacing="0" w:line="36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p>
        </w:tc>
      </w:tr>
    </w:tbl>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24"/>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36"/>
          <w:szCs w:val="36"/>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36"/>
          <w:szCs w:val="36"/>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pageBreakBefore w:val="0"/>
        <w:widowControl/>
        <w:kinsoku/>
        <w:wordWrap w:val="0"/>
        <w:overflowPunct/>
        <w:topLinePunct w:val="0"/>
        <w:bidi w:val="0"/>
        <w:spacing w:beforeAutospacing="0" w:afterAutospacing="0" w:line="360" w:lineRule="auto"/>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3"/>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widowControl/>
        <w:kinsoku/>
        <w:wordWrap w:val="0"/>
        <w:overflowPunct/>
        <w:topLinePunct w:val="0"/>
        <w:bidi w:val="0"/>
        <w:spacing w:beforeAutospacing="0" w:afterAutospacing="0" w:line="360" w:lineRule="auto"/>
        <w:ind w:firstLine="365" w:firstLineChars="130"/>
        <w:jc w:val="left"/>
        <w:outlineLvl w:val="0"/>
        <w:rPr>
          <w:rFonts w:hint="eastAsia" w:ascii="宋体" w:hAnsi="宋体" w:eastAsia="宋体" w:cs="宋体"/>
          <w:b/>
          <w:color w:val="auto"/>
          <w:sz w:val="28"/>
          <w:highlight w:val="none"/>
        </w:rPr>
      </w:pPr>
      <w:bookmarkStart w:id="89" w:name="_Toc30519"/>
      <w:bookmarkStart w:id="90" w:name="_Toc13976"/>
      <w:r>
        <w:rPr>
          <w:rFonts w:hint="eastAsia" w:ascii="宋体" w:hAnsi="宋体" w:eastAsia="宋体" w:cs="宋体"/>
          <w:b/>
          <w:color w:val="auto"/>
          <w:sz w:val="28"/>
          <w:highlight w:val="none"/>
        </w:rPr>
        <w:t>附件8               法定代表人授权书（格式）</w:t>
      </w:r>
      <w:bookmarkEnd w:id="89"/>
      <w:bookmarkEnd w:id="90"/>
    </w:p>
    <w:p>
      <w:pPr>
        <w:pageBreakBefore w:val="0"/>
        <w:widowControl/>
        <w:tabs>
          <w:tab w:val="left" w:pos="420"/>
          <w:tab w:val="left" w:pos="2160"/>
        </w:tabs>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 xml:space="preserve">（投标人名称）的法定代表人，现委托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项目的投标活动，并代表我方全权办理针对上述项目的投标、开标、评标、签约等具体事务和签署相关文件。</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pPr>
        <w:pageBreakBefore w:val="0"/>
        <w:widowControl/>
        <w:kinsoku/>
        <w:wordWrap w:val="0"/>
        <w:overflowPunct/>
        <w:topLinePunct w:val="0"/>
        <w:bidi w:val="0"/>
        <w:spacing w:beforeAutospacing="0" w:afterAutospacing="0" w:line="360" w:lineRule="auto"/>
        <w:ind w:firstLine="4800" w:firstLineChars="200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overflowPunct/>
        <w:topLinePunct w:val="0"/>
        <w:bidi w:val="0"/>
        <w:spacing w:beforeAutospacing="0" w:afterAutospacing="0"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pageBreakBefore w:val="0"/>
        <w:widowControl/>
        <w:kinsoku/>
        <w:wordWrap w:val="0"/>
        <w:overflowPunct/>
        <w:topLinePunct w:val="0"/>
        <w:bidi w:val="0"/>
        <w:spacing w:beforeAutospacing="0" w:afterAutospacing="0" w:line="360" w:lineRule="auto"/>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pPr>
        <w:pageBreakBefore w:val="0"/>
        <w:widowControl/>
        <w:kinsoku/>
        <w:overflowPunct/>
        <w:topLinePunct w:val="0"/>
        <w:bidi w:val="0"/>
        <w:spacing w:beforeAutospacing="0" w:afterAutospacing="0" w:line="360" w:lineRule="auto"/>
        <w:ind w:firstLine="7228" w:firstLineChars="2250"/>
        <w:jc w:val="left"/>
        <w:rPr>
          <w:rFonts w:hint="eastAsia" w:ascii="宋体" w:hAnsi="宋体" w:eastAsia="宋体" w:cs="宋体"/>
          <w:b/>
          <w:color w:val="auto"/>
          <w:kern w:val="0"/>
          <w:sz w:val="32"/>
          <w:szCs w:val="32"/>
          <w:highlight w:val="none"/>
        </w:rPr>
      </w:pPr>
    </w:p>
    <w:p>
      <w:pPr>
        <w:pageBreakBefore w:val="0"/>
        <w:kinsoku/>
        <w:overflowPunct/>
        <w:topLinePunct w:val="0"/>
        <w:bidi w:val="0"/>
        <w:spacing w:beforeAutospacing="0" w:afterAutospacing="0" w:line="360" w:lineRule="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b/>
          <w:color w:val="auto"/>
          <w:kern w:val="0"/>
          <w:sz w:val="24"/>
          <w:highlight w:val="none"/>
        </w:rPr>
      </w:pP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b/>
          <w:color w:val="auto"/>
          <w:kern w:val="0"/>
          <w:sz w:val="24"/>
          <w:highlight w:val="none"/>
        </w:rPr>
      </w:pPr>
      <w:bookmarkStart w:id="91" w:name="_Toc18105"/>
      <w:bookmarkStart w:id="92" w:name="_Toc24693"/>
      <w:r>
        <w:rPr>
          <w:rFonts w:hint="eastAsia" w:ascii="宋体" w:hAnsi="宋体" w:eastAsia="宋体" w:cs="宋体"/>
          <w:b/>
          <w:color w:val="auto"/>
          <w:sz w:val="28"/>
          <w:highlight w:val="none"/>
        </w:rPr>
        <w:t>附件9               证明文件</w:t>
      </w:r>
      <w:bookmarkEnd w:id="91"/>
      <w:bookmarkEnd w:id="92"/>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技术方案</w:t>
      </w:r>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其他需要提供的证明材料</w:t>
      </w:r>
      <w:bookmarkStart w:id="93" w:name="_Toc17966"/>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 xml:space="preserve">4 </w:t>
      </w:r>
      <w:r>
        <w:rPr>
          <w:rFonts w:hint="eastAsia" w:ascii="宋体" w:hAnsi="宋体" w:eastAsia="宋体" w:cs="宋体"/>
          <w:bCs/>
          <w:color w:val="auto"/>
          <w:sz w:val="21"/>
          <w:szCs w:val="21"/>
          <w:highlight w:val="none"/>
        </w:rPr>
        <w:t>其他证明材料。</w:t>
      </w:r>
    </w:p>
    <w:p>
      <w:pPr>
        <w:pStyle w:val="9"/>
        <w:pageBreakBefore w:val="0"/>
        <w:kinsoku/>
        <w:overflowPunct/>
        <w:topLinePunct w:val="0"/>
        <w:bidi w:val="0"/>
        <w:spacing w:beforeAutospacing="0" w:afterAutospacing="0" w:line="360" w:lineRule="auto"/>
        <w:ind w:firstLine="540" w:firstLineChars="224"/>
        <w:jc w:val="both"/>
        <w:rPr>
          <w:rFonts w:hint="eastAsia" w:ascii="宋体" w:hAnsi="宋体" w:eastAsia="宋体" w:cs="宋体"/>
          <w:b/>
          <w:bCs/>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pPr>
        <w:pStyle w:val="9"/>
        <w:pageBreakBefore w:val="0"/>
        <w:kinsoku/>
        <w:overflowPunct/>
        <w:topLinePunct w:val="0"/>
        <w:bidi w:val="0"/>
        <w:spacing w:beforeAutospacing="0" w:afterAutospacing="0" w:line="360" w:lineRule="auto"/>
        <w:ind w:firstLine="540" w:firstLineChars="224"/>
        <w:jc w:val="both"/>
        <w:rPr>
          <w:rFonts w:hint="eastAsia" w:ascii="宋体" w:hAnsi="宋体" w:eastAsia="宋体" w:cs="宋体"/>
          <w:b/>
          <w:bCs/>
          <w:color w:val="auto"/>
          <w:highlight w:val="none"/>
        </w:rPr>
      </w:pPr>
    </w:p>
    <w:p>
      <w:pPr>
        <w:pageBreakBefore w:val="0"/>
        <w:widowControl/>
        <w:kinsoku/>
        <w:overflowPunct/>
        <w:topLinePunct w:val="0"/>
        <w:bidi w:val="0"/>
        <w:snapToGrid w:val="0"/>
        <w:spacing w:beforeAutospacing="0" w:afterAutospacing="0" w:line="360" w:lineRule="auto"/>
        <w:jc w:val="center"/>
        <w:outlineLvl w:val="0"/>
        <w:rPr>
          <w:rFonts w:hint="eastAsia" w:ascii="宋体" w:hAnsi="宋体" w:eastAsia="宋体" w:cs="宋体"/>
          <w:b/>
          <w:color w:val="auto"/>
          <w:kern w:val="0"/>
          <w:sz w:val="28"/>
          <w:szCs w:val="28"/>
          <w:highlight w:val="none"/>
        </w:rPr>
      </w:pPr>
      <w:bookmarkStart w:id="94" w:name="_Toc13726"/>
      <w:bookmarkStart w:id="95" w:name="_Toc12888"/>
      <w:r>
        <w:rPr>
          <w:rFonts w:hint="eastAsia" w:ascii="宋体" w:hAnsi="宋体" w:eastAsia="宋体" w:cs="宋体"/>
          <w:b/>
          <w:color w:val="auto"/>
          <w:kern w:val="0"/>
          <w:sz w:val="28"/>
          <w:szCs w:val="28"/>
          <w:highlight w:val="none"/>
        </w:rPr>
        <w:t xml:space="preserve">附件10        </w:t>
      </w:r>
      <w:bookmarkEnd w:id="93"/>
      <w:r>
        <w:rPr>
          <w:rFonts w:hint="eastAsia" w:ascii="宋体" w:hAnsi="宋体" w:eastAsia="宋体" w:cs="宋体"/>
          <w:b/>
          <w:color w:val="auto"/>
          <w:kern w:val="0"/>
          <w:sz w:val="28"/>
          <w:szCs w:val="28"/>
          <w:highlight w:val="none"/>
        </w:rPr>
        <w:t>供 应 商 承 诺 书</w:t>
      </w:r>
      <w:r>
        <w:rPr>
          <w:rFonts w:hint="eastAsia" w:ascii="宋体" w:hAnsi="宋体" w:eastAsia="宋体" w:cs="宋体"/>
          <w:b/>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（格式）</w:t>
      </w:r>
      <w:bookmarkEnd w:id="94"/>
      <w:bookmarkEnd w:id="95"/>
    </w:p>
    <w:p>
      <w:pPr>
        <w:pageBreakBefore w:val="0"/>
        <w:kinsoku/>
        <w:overflowPunct/>
        <w:topLinePunct w:val="0"/>
        <w:bidi w:val="0"/>
        <w:spacing w:beforeAutospacing="0" w:afterAutospacing="0" w:line="360" w:lineRule="auto"/>
        <w:rPr>
          <w:rFonts w:hint="eastAsia" w:ascii="宋体" w:hAnsi="宋体" w:eastAsia="宋体" w:cs="宋体"/>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公司名称</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8"/>
          <w:szCs w:val="28"/>
          <w:highlight w:val="none"/>
        </w:rPr>
      </w:pPr>
      <w:r>
        <w:rPr>
          <w:rFonts w:hint="eastAsia" w:ascii="宋体" w:hAnsi="宋体" w:eastAsia="宋体" w:cs="宋体"/>
          <w:sz w:val="24"/>
          <w:szCs w:val="24"/>
          <w:highlight w:val="none"/>
        </w:rPr>
        <w:t>法定代表人或委托人（签字）：                   年   月   日</w:t>
      </w:r>
    </w:p>
    <w:p>
      <w:pPr>
        <w:pageBreakBefore w:val="0"/>
        <w:widowControl/>
        <w:kinsoku/>
        <w:overflowPunct/>
        <w:topLinePunct w:val="0"/>
        <w:bidi w:val="0"/>
        <w:spacing w:beforeAutospacing="0" w:afterAutospacing="0" w:line="360" w:lineRule="auto"/>
        <w:ind w:firstLine="4305" w:firstLineChars="2050"/>
        <w:jc w:val="left"/>
        <w:rPr>
          <w:rFonts w:hint="eastAsia" w:ascii="宋体" w:hAnsi="宋体" w:eastAsia="宋体" w:cs="宋体"/>
          <w:color w:val="auto"/>
          <w:kern w:val="0"/>
          <w:szCs w:val="21"/>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ageBreakBefore w:val="0"/>
        <w:kinsoku/>
        <w:overflowPunct/>
        <w:topLinePunct w:val="0"/>
        <w:bidi w:val="0"/>
        <w:spacing w:beforeAutospacing="0" w:afterAutospacing="0" w:line="360" w:lineRule="auto"/>
        <w:rPr>
          <w:rFonts w:hint="eastAsia" w:ascii="宋体" w:hAnsi="宋体" w:eastAsia="宋体" w:cs="宋体"/>
          <w:highlight w:val="none"/>
          <w:lang w:val="en-US" w:eastAsia="zh-CN"/>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32"/>
          <w:szCs w:val="32"/>
          <w:highlight w:val="none"/>
        </w:rPr>
      </w:pPr>
      <w:r>
        <w:rPr>
          <w:rFonts w:hint="eastAsia" w:ascii="宋体" w:hAnsi="宋体" w:eastAsia="宋体" w:cs="宋体"/>
          <w:color w:val="auto"/>
          <w:sz w:val="24"/>
          <w:szCs w:val="24"/>
          <w:highlight w:val="none"/>
          <w:lang w:val="en-US" w:eastAsia="zh-CN"/>
        </w:rPr>
        <w:t>（四）有依法缴纳税收和社会保障资金的良好</w:t>
      </w:r>
      <w:r>
        <w:rPr>
          <w:rFonts w:hint="eastAsia" w:ascii="宋体" w:hAnsi="宋体" w:eastAsia="宋体" w:cs="宋体"/>
          <w:sz w:val="32"/>
          <w:szCs w:val="32"/>
          <w:highlight w:val="none"/>
          <w:lang w:val="en-US" w:eastAsia="zh-CN"/>
        </w:rPr>
        <w:t>记录；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2.供应商的法定代表人或者授权代表的签字或盖章应真实、有效，如由授权代表签字或盖章的，应提供“法定代表人授权书”。</w:t>
      </w:r>
    </w:p>
    <w:p>
      <w:pPr>
        <w:pageBreakBefore w:val="0"/>
        <w:kinsoku/>
        <w:overflowPunct/>
        <w:topLinePunct w:val="0"/>
        <w:bidi w:val="0"/>
        <w:spacing w:beforeAutospacing="0" w:afterAutospacing="0" w:line="360" w:lineRule="auto"/>
        <w:ind w:left="370" w:leftChars="176"/>
        <w:rPr>
          <w:rFonts w:hint="eastAsia" w:ascii="宋体" w:hAnsi="宋体" w:eastAsia="宋体" w:cs="宋体"/>
          <w:b/>
          <w:color w:val="auto"/>
          <w:szCs w:val="21"/>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1"/>
        <w:pageBreakBefore w:val="0"/>
        <w:kinsoku/>
        <w:overflowPunct/>
        <w:topLinePunct w:val="0"/>
        <w:bidi w:val="0"/>
        <w:spacing w:beforeAutospacing="0" w:after="0" w:afterAutospacing="0" w:line="360" w:lineRule="auto"/>
        <w:rPr>
          <w:rFonts w:hint="eastAsia" w:ascii="宋体" w:hAnsi="宋体" w:eastAsia="宋体" w:cs="宋体"/>
          <w:highlight w:val="none"/>
        </w:rPr>
      </w:pPr>
    </w:p>
    <w:p>
      <w:pPr>
        <w:pageBreakBefore w:val="0"/>
        <w:widowControl/>
        <w:kinsoku/>
        <w:overflowPunct/>
        <w:topLinePunct w:val="0"/>
        <w:bidi w:val="0"/>
        <w:snapToGrid w:val="0"/>
        <w:spacing w:beforeAutospacing="0" w:afterAutospacing="0" w:line="360" w:lineRule="auto"/>
        <w:jc w:val="center"/>
        <w:outlineLvl w:val="0"/>
        <w:rPr>
          <w:rFonts w:hint="eastAsia" w:ascii="宋体" w:hAnsi="宋体" w:eastAsia="宋体" w:cs="宋体"/>
          <w:b/>
          <w:color w:val="auto"/>
          <w:kern w:val="0"/>
          <w:sz w:val="24"/>
          <w:highlight w:val="none"/>
        </w:rPr>
      </w:pPr>
      <w:bookmarkStart w:id="96" w:name="_Toc23394"/>
      <w:bookmarkStart w:id="97" w:name="_Toc25094"/>
      <w:r>
        <w:rPr>
          <w:rFonts w:hint="eastAsia" w:ascii="宋体" w:hAnsi="宋体" w:eastAsia="宋体" w:cs="宋体"/>
          <w:b/>
          <w:color w:val="auto"/>
          <w:kern w:val="0"/>
          <w:sz w:val="24"/>
          <w:highlight w:val="none"/>
        </w:rPr>
        <w:t>投标人认为有必要的其他资料</w:t>
      </w:r>
      <w:bookmarkEnd w:id="96"/>
      <w:bookmarkEnd w:id="97"/>
    </w:p>
    <w:p>
      <w:pPr>
        <w:pageBreakBefore w:val="0"/>
        <w:widowControl/>
        <w:kinsoku/>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备注：投标人应当仔细核对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文件中有关废标条款和评标标准，提供投标人认为应当附加的其它内容，以充分证明其投标符合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文件规定，并为评标提供充分依据。如果投标人未能提供相关证明文件，将有可能导致废标或者无法得分。</w:t>
      </w: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both"/>
        <w:rPr>
          <w:rFonts w:hint="eastAsia" w:ascii="宋体" w:hAnsi="宋体" w:eastAsia="宋体" w:cs="宋体"/>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lang w:val="en-US" w:eastAsia="zh-CN"/>
      </w:rPr>
      <w:t>驻马店市中心医院医用冷藏箱采购项目采购文件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驻马店市中心医院医用冷藏箱采购项目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000000"/>
    <w:rsid w:val="00503BD3"/>
    <w:rsid w:val="0066795B"/>
    <w:rsid w:val="00DA5C53"/>
    <w:rsid w:val="0123584C"/>
    <w:rsid w:val="01DF5C17"/>
    <w:rsid w:val="01EE5E5A"/>
    <w:rsid w:val="02D25290"/>
    <w:rsid w:val="02F12505"/>
    <w:rsid w:val="037C54DB"/>
    <w:rsid w:val="038E625D"/>
    <w:rsid w:val="03CA31A7"/>
    <w:rsid w:val="03EC0177"/>
    <w:rsid w:val="047D5CC7"/>
    <w:rsid w:val="04C66C1A"/>
    <w:rsid w:val="055C7BF2"/>
    <w:rsid w:val="068A0B4B"/>
    <w:rsid w:val="0750142A"/>
    <w:rsid w:val="07936C1F"/>
    <w:rsid w:val="080812F8"/>
    <w:rsid w:val="08C1066A"/>
    <w:rsid w:val="09DF3DE9"/>
    <w:rsid w:val="0A181C33"/>
    <w:rsid w:val="0A6566E6"/>
    <w:rsid w:val="0B1413C2"/>
    <w:rsid w:val="0BEF4CA9"/>
    <w:rsid w:val="0BFB5C73"/>
    <w:rsid w:val="0C057F6B"/>
    <w:rsid w:val="0C6F5DE9"/>
    <w:rsid w:val="0C877CFB"/>
    <w:rsid w:val="0CE82491"/>
    <w:rsid w:val="0CF32405"/>
    <w:rsid w:val="0D3A1F53"/>
    <w:rsid w:val="0D5030A6"/>
    <w:rsid w:val="0D7116ED"/>
    <w:rsid w:val="0D8E6743"/>
    <w:rsid w:val="0D923C0B"/>
    <w:rsid w:val="0D961094"/>
    <w:rsid w:val="0D991BAB"/>
    <w:rsid w:val="0DD203DE"/>
    <w:rsid w:val="0E2566CC"/>
    <w:rsid w:val="0EDD4937"/>
    <w:rsid w:val="0F083E44"/>
    <w:rsid w:val="0FC11859"/>
    <w:rsid w:val="0FF85943"/>
    <w:rsid w:val="1003424E"/>
    <w:rsid w:val="100D65BF"/>
    <w:rsid w:val="10CF353C"/>
    <w:rsid w:val="11B3503E"/>
    <w:rsid w:val="11CE7E08"/>
    <w:rsid w:val="11F33019"/>
    <w:rsid w:val="12213B8E"/>
    <w:rsid w:val="12B91B6C"/>
    <w:rsid w:val="12F40DF6"/>
    <w:rsid w:val="13695774"/>
    <w:rsid w:val="13F53FEC"/>
    <w:rsid w:val="14380591"/>
    <w:rsid w:val="144F7691"/>
    <w:rsid w:val="146A4213"/>
    <w:rsid w:val="148C5949"/>
    <w:rsid w:val="15155054"/>
    <w:rsid w:val="159B19FD"/>
    <w:rsid w:val="17312619"/>
    <w:rsid w:val="18616F2E"/>
    <w:rsid w:val="18E0148C"/>
    <w:rsid w:val="19EB0503"/>
    <w:rsid w:val="1A2028DA"/>
    <w:rsid w:val="1A667D36"/>
    <w:rsid w:val="1A7F7CE9"/>
    <w:rsid w:val="1A856091"/>
    <w:rsid w:val="1AE14A63"/>
    <w:rsid w:val="1B060913"/>
    <w:rsid w:val="1BDB2463"/>
    <w:rsid w:val="1C0E7EC3"/>
    <w:rsid w:val="1C2C60F9"/>
    <w:rsid w:val="1C5446B4"/>
    <w:rsid w:val="1C597898"/>
    <w:rsid w:val="1CDF0421"/>
    <w:rsid w:val="1D0E0D07"/>
    <w:rsid w:val="1DA32633"/>
    <w:rsid w:val="1DE008F5"/>
    <w:rsid w:val="1DE55F0B"/>
    <w:rsid w:val="1E4470D6"/>
    <w:rsid w:val="1EAF1273"/>
    <w:rsid w:val="1EEA2D75"/>
    <w:rsid w:val="1F486752"/>
    <w:rsid w:val="2014477C"/>
    <w:rsid w:val="211547B3"/>
    <w:rsid w:val="212A2D39"/>
    <w:rsid w:val="222B4109"/>
    <w:rsid w:val="22D30A28"/>
    <w:rsid w:val="22F914CA"/>
    <w:rsid w:val="23F57CC4"/>
    <w:rsid w:val="241C7367"/>
    <w:rsid w:val="254370DC"/>
    <w:rsid w:val="2584600A"/>
    <w:rsid w:val="25A93CC2"/>
    <w:rsid w:val="25C46BF1"/>
    <w:rsid w:val="267F6B83"/>
    <w:rsid w:val="28125B4F"/>
    <w:rsid w:val="291547CE"/>
    <w:rsid w:val="296D7CC2"/>
    <w:rsid w:val="296E0EB4"/>
    <w:rsid w:val="2976035F"/>
    <w:rsid w:val="2A5A558B"/>
    <w:rsid w:val="2A7B1BDE"/>
    <w:rsid w:val="2AC82E3D"/>
    <w:rsid w:val="2AD830E5"/>
    <w:rsid w:val="2C2A1794"/>
    <w:rsid w:val="2C5C7953"/>
    <w:rsid w:val="2C92725E"/>
    <w:rsid w:val="2CE81EF4"/>
    <w:rsid w:val="2D4A7B39"/>
    <w:rsid w:val="2E366B06"/>
    <w:rsid w:val="2EBD258D"/>
    <w:rsid w:val="2FC434F1"/>
    <w:rsid w:val="305110E4"/>
    <w:rsid w:val="309B0E6F"/>
    <w:rsid w:val="30EF558E"/>
    <w:rsid w:val="30FC2BBF"/>
    <w:rsid w:val="31035B63"/>
    <w:rsid w:val="3112096E"/>
    <w:rsid w:val="31603DCF"/>
    <w:rsid w:val="31986C26"/>
    <w:rsid w:val="31DB5FAA"/>
    <w:rsid w:val="322632A5"/>
    <w:rsid w:val="324059AE"/>
    <w:rsid w:val="333105F2"/>
    <w:rsid w:val="33550FE6"/>
    <w:rsid w:val="33F74D7E"/>
    <w:rsid w:val="34445835"/>
    <w:rsid w:val="346A0AC1"/>
    <w:rsid w:val="349A13A6"/>
    <w:rsid w:val="350D171A"/>
    <w:rsid w:val="35150A2C"/>
    <w:rsid w:val="35C7280A"/>
    <w:rsid w:val="35E2289C"/>
    <w:rsid w:val="3647730B"/>
    <w:rsid w:val="36B907B2"/>
    <w:rsid w:val="37B207B5"/>
    <w:rsid w:val="37CF2E52"/>
    <w:rsid w:val="382252E2"/>
    <w:rsid w:val="38865FCC"/>
    <w:rsid w:val="38912AC0"/>
    <w:rsid w:val="38D93693"/>
    <w:rsid w:val="38E928FC"/>
    <w:rsid w:val="38EC2E34"/>
    <w:rsid w:val="3918005F"/>
    <w:rsid w:val="3987255E"/>
    <w:rsid w:val="39984708"/>
    <w:rsid w:val="39AE5E23"/>
    <w:rsid w:val="39BD18DE"/>
    <w:rsid w:val="39E93199"/>
    <w:rsid w:val="3AAD1707"/>
    <w:rsid w:val="3B546702"/>
    <w:rsid w:val="3BEB698B"/>
    <w:rsid w:val="3C265C15"/>
    <w:rsid w:val="3CE36288"/>
    <w:rsid w:val="3D226758"/>
    <w:rsid w:val="3D4E71D1"/>
    <w:rsid w:val="3DAA28E7"/>
    <w:rsid w:val="3DD27D62"/>
    <w:rsid w:val="3EB43064"/>
    <w:rsid w:val="3FC64050"/>
    <w:rsid w:val="3FC75496"/>
    <w:rsid w:val="40047331"/>
    <w:rsid w:val="403408CD"/>
    <w:rsid w:val="411F75E2"/>
    <w:rsid w:val="415D5C35"/>
    <w:rsid w:val="41923405"/>
    <w:rsid w:val="42186000"/>
    <w:rsid w:val="42277FF1"/>
    <w:rsid w:val="42770F78"/>
    <w:rsid w:val="436D5ED7"/>
    <w:rsid w:val="441440F3"/>
    <w:rsid w:val="45C36283"/>
    <w:rsid w:val="47CA1B4A"/>
    <w:rsid w:val="47EC7D13"/>
    <w:rsid w:val="47FE17F4"/>
    <w:rsid w:val="483B72D6"/>
    <w:rsid w:val="48A82426"/>
    <w:rsid w:val="48D10692"/>
    <w:rsid w:val="48E20F21"/>
    <w:rsid w:val="4914486F"/>
    <w:rsid w:val="49A95315"/>
    <w:rsid w:val="49DB1DED"/>
    <w:rsid w:val="4B007631"/>
    <w:rsid w:val="4B0B461C"/>
    <w:rsid w:val="4B4B2D51"/>
    <w:rsid w:val="4BA803F5"/>
    <w:rsid w:val="4BBF74EC"/>
    <w:rsid w:val="4C185248"/>
    <w:rsid w:val="4C235CCD"/>
    <w:rsid w:val="4D127DDB"/>
    <w:rsid w:val="4D6F30D1"/>
    <w:rsid w:val="4DBD705E"/>
    <w:rsid w:val="4DD06B99"/>
    <w:rsid w:val="4E2E44B5"/>
    <w:rsid w:val="4E922C96"/>
    <w:rsid w:val="4F2C4E99"/>
    <w:rsid w:val="4F4E12B3"/>
    <w:rsid w:val="4F8E57CE"/>
    <w:rsid w:val="4F9B0496"/>
    <w:rsid w:val="4FFC63CE"/>
    <w:rsid w:val="500B45F0"/>
    <w:rsid w:val="50316FD8"/>
    <w:rsid w:val="509B6FFA"/>
    <w:rsid w:val="50AC7D95"/>
    <w:rsid w:val="519805C3"/>
    <w:rsid w:val="51F92A4C"/>
    <w:rsid w:val="52426781"/>
    <w:rsid w:val="52750905"/>
    <w:rsid w:val="52A864AB"/>
    <w:rsid w:val="53370970"/>
    <w:rsid w:val="539F20DD"/>
    <w:rsid w:val="54C87412"/>
    <w:rsid w:val="54CF5078"/>
    <w:rsid w:val="54E1471D"/>
    <w:rsid w:val="551C35C3"/>
    <w:rsid w:val="562528DD"/>
    <w:rsid w:val="56A812A9"/>
    <w:rsid w:val="56AB6116"/>
    <w:rsid w:val="56E10F23"/>
    <w:rsid w:val="57631674"/>
    <w:rsid w:val="57877110"/>
    <w:rsid w:val="58A12453"/>
    <w:rsid w:val="58AE4B70"/>
    <w:rsid w:val="5A295181"/>
    <w:rsid w:val="5A897643"/>
    <w:rsid w:val="5A8A4DE4"/>
    <w:rsid w:val="5ABA15AB"/>
    <w:rsid w:val="5B1B7148"/>
    <w:rsid w:val="5C3918FB"/>
    <w:rsid w:val="5C5D3A0F"/>
    <w:rsid w:val="5CF50FC0"/>
    <w:rsid w:val="5D412850"/>
    <w:rsid w:val="5DD67A13"/>
    <w:rsid w:val="5E206E1E"/>
    <w:rsid w:val="5E371164"/>
    <w:rsid w:val="5E742597"/>
    <w:rsid w:val="5F0D70EB"/>
    <w:rsid w:val="5FB7255D"/>
    <w:rsid w:val="6071095D"/>
    <w:rsid w:val="62097280"/>
    <w:rsid w:val="624125B1"/>
    <w:rsid w:val="62A212A2"/>
    <w:rsid w:val="637D0340"/>
    <w:rsid w:val="639F518E"/>
    <w:rsid w:val="63C35930"/>
    <w:rsid w:val="64164898"/>
    <w:rsid w:val="648246B8"/>
    <w:rsid w:val="65447343"/>
    <w:rsid w:val="65531B68"/>
    <w:rsid w:val="65A96DEB"/>
    <w:rsid w:val="67073DC9"/>
    <w:rsid w:val="6716400D"/>
    <w:rsid w:val="672C54DD"/>
    <w:rsid w:val="679338AF"/>
    <w:rsid w:val="67C5345F"/>
    <w:rsid w:val="680631FA"/>
    <w:rsid w:val="68664B20"/>
    <w:rsid w:val="686C6B7B"/>
    <w:rsid w:val="68BC0BE4"/>
    <w:rsid w:val="68CD32D8"/>
    <w:rsid w:val="69552C6B"/>
    <w:rsid w:val="69F745C9"/>
    <w:rsid w:val="69FA5E67"/>
    <w:rsid w:val="6B9D4684"/>
    <w:rsid w:val="6BC54253"/>
    <w:rsid w:val="6BF02721"/>
    <w:rsid w:val="6C6D0B73"/>
    <w:rsid w:val="6C8B2DA7"/>
    <w:rsid w:val="6D891ABD"/>
    <w:rsid w:val="6DB359B4"/>
    <w:rsid w:val="6E3D1FD3"/>
    <w:rsid w:val="6F0D200D"/>
    <w:rsid w:val="6F0D3F47"/>
    <w:rsid w:val="6F6126B0"/>
    <w:rsid w:val="6F797E6A"/>
    <w:rsid w:val="707912DA"/>
    <w:rsid w:val="713218B7"/>
    <w:rsid w:val="71647874"/>
    <w:rsid w:val="71C01745"/>
    <w:rsid w:val="722A3D19"/>
    <w:rsid w:val="72777687"/>
    <w:rsid w:val="73304612"/>
    <w:rsid w:val="740F40B8"/>
    <w:rsid w:val="74726C59"/>
    <w:rsid w:val="74730F39"/>
    <w:rsid w:val="749879EC"/>
    <w:rsid w:val="74C26D34"/>
    <w:rsid w:val="74C76A1C"/>
    <w:rsid w:val="76076E1C"/>
    <w:rsid w:val="76610A35"/>
    <w:rsid w:val="77134C4A"/>
    <w:rsid w:val="773F4EBA"/>
    <w:rsid w:val="77520D58"/>
    <w:rsid w:val="77EE068E"/>
    <w:rsid w:val="781F2ADC"/>
    <w:rsid w:val="78570929"/>
    <w:rsid w:val="79163B3B"/>
    <w:rsid w:val="7922042A"/>
    <w:rsid w:val="79242EE0"/>
    <w:rsid w:val="793B7903"/>
    <w:rsid w:val="795069DB"/>
    <w:rsid w:val="79986B03"/>
    <w:rsid w:val="7A106FE1"/>
    <w:rsid w:val="7A374F60"/>
    <w:rsid w:val="7B0751B9"/>
    <w:rsid w:val="7B227200"/>
    <w:rsid w:val="7B4A3BA0"/>
    <w:rsid w:val="7B580C40"/>
    <w:rsid w:val="7B603535"/>
    <w:rsid w:val="7B6D32FA"/>
    <w:rsid w:val="7C5B6B63"/>
    <w:rsid w:val="7C764ED8"/>
    <w:rsid w:val="7C855A65"/>
    <w:rsid w:val="7D2346C8"/>
    <w:rsid w:val="7DB51566"/>
    <w:rsid w:val="7E0B3D48"/>
    <w:rsid w:val="7E3F7F0D"/>
    <w:rsid w:val="7E73175E"/>
    <w:rsid w:val="7E7C2E97"/>
    <w:rsid w:val="7E9C305C"/>
    <w:rsid w:val="7EE043C7"/>
    <w:rsid w:val="7F7171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4">
    <w:name w:val="Default Paragraph Font"/>
    <w:autoRedefine/>
    <w:unhideWhenUsed/>
    <w:qFormat/>
    <w:uiPriority w:val="1"/>
  </w:style>
  <w:style w:type="table" w:default="1" w:styleId="32">
    <w:name w:val="Normal Table"/>
    <w:autoRedefine/>
    <w:unhideWhenUsed/>
    <w:qFormat/>
    <w:uiPriority w:val="99"/>
    <w:tblPr>
      <w:tblCellMar>
        <w:top w:w="0" w:type="dxa"/>
        <w:left w:w="108" w:type="dxa"/>
        <w:bottom w:w="0" w:type="dxa"/>
        <w:right w:w="108" w:type="dxa"/>
      </w:tblCellMar>
    </w:tblPr>
  </w:style>
  <w:style w:type="paragraph" w:styleId="4">
    <w:name w:val="Body Text"/>
    <w:basedOn w:val="1"/>
    <w:next w:val="5"/>
    <w:link w:val="74"/>
    <w:autoRedefine/>
    <w:qFormat/>
    <w:uiPriority w:val="0"/>
  </w:style>
  <w:style w:type="paragraph" w:styleId="5">
    <w:name w:val="Body Text 2"/>
    <w:basedOn w:val="1"/>
    <w:next w:val="4"/>
    <w:autoRedefine/>
    <w:qFormat/>
    <w:uiPriority w:val="0"/>
    <w:pPr>
      <w:spacing w:line="480" w:lineRule="auto"/>
    </w:p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autoRedefine/>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autoRedefine/>
    <w:qFormat/>
    <w:uiPriority w:val="0"/>
    <w:pPr>
      <w:ind w:firstLine="420" w:firstLineChars="200"/>
    </w:pPr>
  </w:style>
  <w:style w:type="paragraph" w:styleId="11">
    <w:name w:val="Body Text Indent"/>
    <w:basedOn w:val="1"/>
    <w:next w:val="10"/>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toa heading"/>
    <w:basedOn w:val="1"/>
    <w:next w:val="1"/>
    <w:autoRedefine/>
    <w:qFormat/>
    <w:uiPriority w:val="0"/>
    <w:pPr>
      <w:spacing w:before="120"/>
    </w:pPr>
    <w:rPr>
      <w:rFonts w:ascii="Arial" w:hAnsi="Arial" w:cs="Arial"/>
      <w:sz w:val="24"/>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3"/>
    <w:next w:val="1"/>
    <w:autoRedefine/>
    <w:qFormat/>
    <w:uiPriority w:val="0"/>
  </w:style>
  <w:style w:type="paragraph" w:styleId="26">
    <w:name w:val="List"/>
    <w:basedOn w:val="1"/>
    <w:autoRedefine/>
    <w:qFormat/>
    <w:uiPriority w:val="0"/>
    <w:pPr>
      <w:ind w:left="200" w:hanging="200" w:hangingChars="200"/>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4"/>
    <w:next w:val="10"/>
    <w:autoRedefine/>
    <w:qFormat/>
    <w:uiPriority w:val="0"/>
    <w:pPr>
      <w:spacing w:line="360" w:lineRule="auto"/>
      <w:ind w:firstLine="420" w:firstLineChars="100"/>
    </w:pPr>
    <w:rPr>
      <w:szCs w:val="21"/>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49">
    <w:name w:val="Default"/>
    <w:next w:val="50"/>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10"/>
    <w:autoRedefine/>
    <w:qFormat/>
    <w:uiPriority w:val="0"/>
    <w:pPr>
      <w:jc w:val="center"/>
    </w:pPr>
    <w:rPr>
      <w:rFonts w:ascii="Arial" w:hAnsi="Arial"/>
      <w:b/>
      <w:sz w:val="28"/>
    </w:rPr>
  </w:style>
  <w:style w:type="paragraph" w:customStyle="1" w:styleId="5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2">
    <w:name w:val="No Spacing1"/>
    <w:basedOn w:val="1"/>
    <w:autoRedefine/>
    <w:qFormat/>
    <w:uiPriority w:val="0"/>
    <w:pPr>
      <w:spacing w:line="400" w:lineRule="exact"/>
    </w:pPr>
    <w:rPr>
      <w:sz w:val="24"/>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4"/>
    <w:link w:val="4"/>
    <w:autoRedefine/>
    <w:qFormat/>
    <w:uiPriority w:val="0"/>
  </w:style>
  <w:style w:type="character" w:customStyle="1" w:styleId="75">
    <w:name w:val="apple-converted-space"/>
    <w:basedOn w:val="34"/>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basedOn w:val="34"/>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customStyle="1" w:styleId="88">
    <w:name w:val="List Paragraph"/>
    <w:basedOn w:val="1"/>
    <w:autoRedefine/>
    <w:qFormat/>
    <w:uiPriority w:val="34"/>
    <w:pPr>
      <w:ind w:firstLine="420" w:firstLineChars="200"/>
    </w:pPr>
  </w:style>
  <w:style w:type="character" w:customStyle="1" w:styleId="89">
    <w:name w:val="hover18"/>
    <w:basedOn w:val="34"/>
    <w:autoRedefine/>
    <w:qFormat/>
    <w:uiPriority w:val="0"/>
  </w:style>
  <w:style w:type="character" w:customStyle="1" w:styleId="90">
    <w:name w:val="font41"/>
    <w:basedOn w:val="34"/>
    <w:autoRedefine/>
    <w:qFormat/>
    <w:uiPriority w:val="0"/>
    <w:rPr>
      <w:rFonts w:hint="eastAsia" w:ascii="宋体" w:hAnsi="宋体" w:eastAsia="宋体" w:cs="宋体"/>
      <w:color w:val="000000"/>
      <w:sz w:val="21"/>
      <w:szCs w:val="21"/>
      <w:u w:val="none"/>
    </w:rPr>
  </w:style>
  <w:style w:type="character" w:customStyle="1" w:styleId="91">
    <w:name w:val="font51"/>
    <w:basedOn w:val="34"/>
    <w:autoRedefine/>
    <w:qFormat/>
    <w:uiPriority w:val="0"/>
    <w:rPr>
      <w:rFonts w:hint="eastAsia" w:ascii="宋体" w:hAnsi="宋体" w:eastAsia="宋体" w:cs="宋体"/>
      <w:b/>
      <w:color w:val="000000"/>
      <w:sz w:val="21"/>
      <w:szCs w:val="21"/>
      <w:u w:val="none"/>
    </w:rPr>
  </w:style>
  <w:style w:type="character" w:customStyle="1" w:styleId="92">
    <w:name w:val="font31"/>
    <w:basedOn w:val="34"/>
    <w:autoRedefine/>
    <w:qFormat/>
    <w:uiPriority w:val="0"/>
    <w:rPr>
      <w:rFonts w:hint="eastAsia" w:ascii="宋体" w:hAnsi="宋体" w:eastAsia="宋体" w:cs="宋体"/>
      <w:color w:val="000000"/>
      <w:sz w:val="20"/>
      <w:szCs w:val="20"/>
      <w:u w:val="none"/>
    </w:rPr>
  </w:style>
  <w:style w:type="character" w:customStyle="1" w:styleId="93">
    <w:name w:val="font11"/>
    <w:basedOn w:val="34"/>
    <w:autoRedefine/>
    <w:qFormat/>
    <w:uiPriority w:val="0"/>
    <w:rPr>
      <w:rFonts w:hint="eastAsia" w:ascii="等线" w:hAnsi="等线" w:eastAsia="等线" w:cs="等线"/>
      <w:b/>
      <w:bCs/>
      <w:color w:val="000000"/>
      <w:sz w:val="22"/>
      <w:szCs w:val="22"/>
      <w:u w:val="none"/>
    </w:rPr>
  </w:style>
  <w:style w:type="character" w:customStyle="1" w:styleId="94">
    <w:name w:val="hover"/>
    <w:basedOn w:val="34"/>
    <w:autoRedefine/>
    <w:qFormat/>
    <w:uiPriority w:val="0"/>
    <w:rPr>
      <w:color w:val="5FB878"/>
    </w:rPr>
  </w:style>
  <w:style w:type="character" w:customStyle="1" w:styleId="95">
    <w:name w:val="hover1"/>
    <w:basedOn w:val="34"/>
    <w:autoRedefine/>
    <w:qFormat/>
    <w:uiPriority w:val="0"/>
    <w:rPr>
      <w:color w:val="FFFFFF"/>
    </w:rPr>
  </w:style>
  <w:style w:type="character" w:customStyle="1" w:styleId="96">
    <w:name w:val="hover2"/>
    <w:basedOn w:val="34"/>
    <w:autoRedefine/>
    <w:qFormat/>
    <w:uiPriority w:val="0"/>
    <w:rPr>
      <w:color w:val="5FB878"/>
    </w:rPr>
  </w:style>
  <w:style w:type="character" w:customStyle="1" w:styleId="97">
    <w:name w:val="layui-this4"/>
    <w:basedOn w:val="34"/>
    <w:autoRedefine/>
    <w:qFormat/>
    <w:uiPriority w:val="0"/>
    <w:rPr>
      <w:bdr w:val="single" w:color="EEEEEE" w:sz="6" w:space="0"/>
      <w:shd w:val="clear" w:fill="FFFFFF"/>
    </w:rPr>
  </w:style>
  <w:style w:type="character" w:customStyle="1" w:styleId="98">
    <w:name w:val="layui-laypage-curr"/>
    <w:basedOn w:val="34"/>
    <w:autoRedefine/>
    <w:qFormat/>
    <w:uiPriority w:val="0"/>
  </w:style>
  <w:style w:type="character" w:customStyle="1" w:styleId="99">
    <w:name w:val="first-child"/>
    <w:basedOn w:val="34"/>
    <w:autoRedefine/>
    <w:qFormat/>
    <w:uiPriority w:val="0"/>
  </w:style>
  <w:style w:type="character" w:customStyle="1" w:styleId="100">
    <w:name w:val="hover19"/>
    <w:basedOn w:val="34"/>
    <w:autoRedefine/>
    <w:qFormat/>
    <w:uiPriority w:val="0"/>
    <w:rPr>
      <w:color w:val="5FB878"/>
    </w:rPr>
  </w:style>
  <w:style w:type="character" w:customStyle="1" w:styleId="101">
    <w:name w:val="hover20"/>
    <w:basedOn w:val="34"/>
    <w:autoRedefine/>
    <w:qFormat/>
    <w:uiPriority w:val="0"/>
    <w:rPr>
      <w:color w:val="5FB878"/>
    </w:rPr>
  </w:style>
  <w:style w:type="character" w:customStyle="1" w:styleId="102">
    <w:name w:val="hover21"/>
    <w:basedOn w:val="34"/>
    <w:autoRedefine/>
    <w:qFormat/>
    <w:uiPriority w:val="0"/>
    <w:rPr>
      <w:color w:val="FFFFFF"/>
    </w:rPr>
  </w:style>
  <w:style w:type="paragraph" w:customStyle="1" w:styleId="103">
    <w:name w:val="无间隔11"/>
    <w:autoRedefine/>
    <w:qFormat/>
    <w:uiPriority w:val="1"/>
    <w:rPr>
      <w:rFonts w:ascii="Times New Roman" w:hAnsi="Times New Roman" w:eastAsia="Microsoft YaHei UI" w:cs="Arial"/>
      <w:sz w:val="22"/>
      <w:szCs w:val="22"/>
      <w:lang w:val="en-US" w:eastAsia="zh-CN" w:bidi="ar-SA"/>
    </w:rPr>
  </w:style>
  <w:style w:type="paragraph" w:customStyle="1" w:styleId="104">
    <w:name w:val="Body text|1"/>
    <w:basedOn w:val="1"/>
    <w:autoRedefine/>
    <w:qFormat/>
    <w:uiPriority w:val="0"/>
    <w:pPr>
      <w:spacing w:line="252" w:lineRule="auto"/>
    </w:pPr>
    <w:rPr>
      <w:rFonts w:ascii="宋体" w:hAnsi="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14904</Words>
  <Characters>15610</Characters>
  <Lines>50</Lines>
  <Paragraphs>68</Paragraphs>
  <TotalTime>0</TotalTime>
  <ScaleCrop>false</ScaleCrop>
  <LinksUpToDate>false</LinksUpToDate>
  <CharactersWithSpaces>16570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2012-11-07T10:07:00Z</dcterms:created>
  <dc:creator>微软用户</dc:creator>
  <cp:lastModifiedBy>梧桐叶落</cp:lastModifiedBy>
  <cp:lastPrinted>2023-02-08T08:43:00Z</cp:lastPrinted>
  <dcterms:modified xsi:type="dcterms:W3CDTF">2024-03-08T01:12:23Z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92144D39C0ED4373AADEB343174DCF98_13</vt:lpwstr>
  </property>
  <property fmtid="{D5CDD505-2E9C-101B-9397-08002B2CF9AE}" pid="4" name="commondata">
    <vt:lpwstr>eyJoZGlkIjoiYzIwMjRmYTY4OTJhZjc1NTA1MGQwNDc0NzZhNTkwMmUifQ==</vt:lpwstr>
  </property>
</Properties>
</file>