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cs="宋体"/>
          <w:b/>
          <w:bCs/>
          <w:sz w:val="48"/>
          <w:szCs w:val="48"/>
          <w:highlight w:val="none"/>
          <w:lang w:val="en-US" w:eastAsia="zh-CN"/>
        </w:rPr>
      </w:pPr>
      <w:r>
        <w:rPr>
          <w:rFonts w:hint="eastAsia" w:cs="宋体"/>
          <w:b/>
          <w:bCs/>
          <w:sz w:val="48"/>
          <w:szCs w:val="48"/>
          <w:highlight w:val="none"/>
          <w:lang w:val="en-US" w:eastAsia="zh-CN"/>
        </w:rPr>
        <w:t>驻马店市中心医院9号楼无线内网覆盖</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r>
        <w:rPr>
          <w:rFonts w:hint="eastAsia" w:cs="宋体"/>
          <w:b/>
          <w:bCs/>
          <w:sz w:val="48"/>
          <w:szCs w:val="48"/>
          <w:highlight w:val="none"/>
          <w:lang w:val="en-US" w:eastAsia="zh-CN"/>
        </w:rPr>
        <w:t>采购项目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驻马店市中心医院9号楼无线内网覆盖采购项目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9号楼无线内网覆盖采购项目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驻马店市中心医院9号楼无线内网覆盖采购项目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cs="宋体"/>
          <w:color w:val="auto"/>
          <w:sz w:val="24"/>
          <w:szCs w:val="24"/>
          <w:highlight w:val="none"/>
          <w:shd w:val="clear" w:color="auto" w:fill="FFFFFF"/>
          <w:lang w:val="en-US" w:eastAsia="zh-CN"/>
        </w:rPr>
        <w:t>24</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w:t>
      </w:r>
      <w:r>
        <w:rPr>
          <w:rFonts w:hint="eastAsia" w:ascii="宋体" w:hAnsi="宋体" w:eastAsia="宋体" w:cs="宋体"/>
          <w:sz w:val="24"/>
          <w:szCs w:val="32"/>
          <w:lang w:val="en-US" w:eastAsia="zh-CN"/>
        </w:rPr>
        <w:t>合同签订生效后的30日内</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4040"/>
      <w:bookmarkStart w:id="10" w:name="_Toc19521"/>
      <w:bookmarkStart w:id="11" w:name="_Toc21071"/>
      <w:bookmarkStart w:id="12" w:name="_Toc26079"/>
      <w:bookmarkStart w:id="13" w:name="_Toc27913"/>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27704"/>
      <w:bookmarkStart w:id="15" w:name="_Toc23626"/>
      <w:bookmarkStart w:id="16" w:name="_Toc18607"/>
      <w:bookmarkStart w:id="17" w:name="_Toc16639"/>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highlight w:val="none"/>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30971"/>
      <w:bookmarkStart w:id="20" w:name="_Toc23395"/>
      <w:bookmarkStart w:id="21" w:name="_Toc9562"/>
      <w:bookmarkStart w:id="22" w:name="_Toc782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4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7480"/>
      <w:bookmarkStart w:id="24" w:name="_Toc25869"/>
      <w:bookmarkStart w:id="25" w:name="_Toc10738"/>
      <w:bookmarkStart w:id="26" w:name="_Toc15111"/>
      <w:bookmarkStart w:id="27" w:name="_Toc15135"/>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6523"/>
      <w:bookmarkStart w:id="29" w:name="_Toc20287"/>
      <w:bookmarkStart w:id="30" w:name="_Toc30918"/>
      <w:bookmarkStart w:id="31" w:name="_Toc2978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16291"/>
      <w:bookmarkStart w:id="33" w:name="_Toc27370"/>
      <w:bookmarkStart w:id="34" w:name="_Toc3604"/>
      <w:bookmarkStart w:id="35" w:name="_Toc24274"/>
      <w:bookmarkStart w:id="36" w:name="_Toc3192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jc w:val="right"/>
        <w:textAlignment w:val="auto"/>
        <w:rPr>
          <w:rFonts w:hint="eastAsia" w:ascii="宋体" w:hAnsi="宋体" w:eastAsia="宋体" w:cs="宋体"/>
          <w:color w:val="auto"/>
        </w:rPr>
      </w:pP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5</w:t>
      </w:r>
      <w:bookmarkStart w:id="91" w:name="_GoBack"/>
      <w:bookmarkEnd w:id="91"/>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9989"/>
      <w:bookmarkStart w:id="38" w:name="_Toc23610"/>
      <w:bookmarkStart w:id="39" w:name="_Toc31536"/>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驻马店市中心医院9号楼无线内网覆盖采购项目</w:t>
      </w:r>
      <w:r>
        <w:rPr>
          <w:rFonts w:hint="eastAsia" w:ascii="宋体" w:hAnsi="宋体" w:eastAsia="宋体" w:cs="宋体"/>
          <w:b w:val="0"/>
          <w:bCs w:val="0"/>
          <w:color w:val="auto"/>
          <w:kern w:val="0"/>
          <w:sz w:val="24"/>
          <w:szCs w:val="24"/>
          <w:highlight w:val="none"/>
          <w:u w:val="single"/>
          <w:shd w:val="clear" w:color="auto" w:fill="FFFFFF"/>
          <w:lang w:val="en-US" w:eastAsia="zh-CN" w:bidi="ar-SA"/>
        </w:rPr>
        <w:t>。</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对9号楼实现无线内网覆盖，能够使用现有无线内网控制器管理9号楼无线内网设备，实现9号楼无线内网与现有无线内网全网统一管理</w:t>
      </w:r>
      <w:r>
        <w:rPr>
          <w:rFonts w:hint="eastAsia" w:ascii="宋体" w:hAnsi="宋体" w:cs="宋体"/>
          <w:b w:val="0"/>
          <w:bCs w:val="0"/>
          <w:kern w:val="2"/>
          <w:sz w:val="24"/>
          <w:szCs w:val="24"/>
          <w:u w:val="single"/>
          <w:lang w:val="en-US" w:eastAsia="zh-CN" w:bidi="ar-SA"/>
        </w:rPr>
        <w:t>。</w:t>
      </w:r>
      <w:r>
        <w:rPr>
          <w:rFonts w:hint="eastAsia" w:ascii="宋体" w:hAnsi="宋体" w:eastAsia="宋体" w:cs="宋体"/>
          <w:kern w:val="2"/>
          <w:sz w:val="24"/>
          <w:szCs w:val="24"/>
          <w:lang w:val="en-US" w:eastAsia="zh-CN" w:bidi="ar-SA"/>
        </w:rPr>
        <w:t xml:space="preserve">               </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w:t>
      </w:r>
      <w:bookmarkEnd w:id="6"/>
      <w:bookmarkEnd w:id="7"/>
      <w:r>
        <w:rPr>
          <w:rFonts w:hint="eastAsia" w:ascii="宋体" w:hAnsi="宋体" w:eastAsia="宋体" w:cs="宋体"/>
          <w:b/>
          <w:bCs/>
          <w:color w:val="auto"/>
          <w:kern w:val="0"/>
          <w:sz w:val="24"/>
          <w:szCs w:val="24"/>
          <w:shd w:val="clear" w:color="auto" w:fill="FFFFFF"/>
          <w:lang w:val="en-US" w:eastAsia="zh-CN" w:bidi="ar-SA"/>
        </w:rPr>
        <w:t>技术要求</w:t>
      </w:r>
    </w:p>
    <w:tbl>
      <w:tblPr>
        <w:tblStyle w:val="32"/>
        <w:tblW w:w="5000" w:type="pct"/>
        <w:tblInd w:w="0" w:type="dxa"/>
        <w:tblLayout w:type="autofit"/>
        <w:tblCellMar>
          <w:top w:w="0" w:type="dxa"/>
          <w:left w:w="108" w:type="dxa"/>
          <w:bottom w:w="0" w:type="dxa"/>
          <w:right w:w="108" w:type="dxa"/>
        </w:tblCellMar>
      </w:tblPr>
      <w:tblGrid>
        <w:gridCol w:w="574"/>
        <w:gridCol w:w="1982"/>
        <w:gridCol w:w="5308"/>
        <w:gridCol w:w="648"/>
        <w:gridCol w:w="662"/>
      </w:tblGrid>
      <w:tr>
        <w:tblPrEx>
          <w:tblCellMar>
            <w:top w:w="0" w:type="dxa"/>
            <w:left w:w="108" w:type="dxa"/>
            <w:bottom w:w="0" w:type="dxa"/>
            <w:right w:w="108" w:type="dxa"/>
          </w:tblCellMar>
        </w:tblPrEx>
        <w:trPr>
          <w:trHeight w:val="330" w:hRule="atLeast"/>
        </w:trPr>
        <w:tc>
          <w:tcPr>
            <w:tcW w:w="313" w:type="pct"/>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序号</w:t>
            </w:r>
          </w:p>
        </w:tc>
        <w:tc>
          <w:tcPr>
            <w:tcW w:w="1080"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名称</w:t>
            </w:r>
          </w:p>
        </w:tc>
        <w:tc>
          <w:tcPr>
            <w:tcW w:w="2893"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规格参数</w:t>
            </w:r>
          </w:p>
        </w:tc>
        <w:tc>
          <w:tcPr>
            <w:tcW w:w="353"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数量</w:t>
            </w:r>
          </w:p>
        </w:tc>
        <w:tc>
          <w:tcPr>
            <w:tcW w:w="361" w:type="pct"/>
            <w:tcBorders>
              <w:top w:val="single" w:color="auto" w:sz="4" w:space="0"/>
              <w:left w:val="nil"/>
              <w:bottom w:val="nil"/>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单位</w:t>
            </w:r>
          </w:p>
        </w:tc>
      </w:tr>
      <w:tr>
        <w:tblPrEx>
          <w:tblCellMar>
            <w:top w:w="0" w:type="dxa"/>
            <w:left w:w="108" w:type="dxa"/>
            <w:bottom w:w="0" w:type="dxa"/>
            <w:right w:w="108" w:type="dxa"/>
          </w:tblCellMar>
        </w:tblPrEx>
        <w:trPr>
          <w:trHeight w:val="585"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w:t>
            </w:r>
          </w:p>
        </w:tc>
        <w:tc>
          <w:tcPr>
            <w:tcW w:w="108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超宽频天线</w:t>
            </w:r>
          </w:p>
        </w:tc>
        <w:tc>
          <w:tcPr>
            <w:tcW w:w="289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2、★增益：433-630MHz：≥0.2dBi、798-920MHz：≥5dBi、2400-5850MHz：≥5.5dBi；（提供产品彩页或其他官方有效证明材料）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3、电压驻波比：433-630MHz：≤8、798-920MHz：≤1.6、2400-5850MHz：≤1.6；</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4、效率：433-630MHz：≥40%、798-920MHz：≥85%、2400-5850MHz：≥80%；</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5、极化方向：Vertical；</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6、物理尺寸：直径≤240mm，高度≤85mm；</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7、功率容量：≥30W；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8、接口形式：N-Female；</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9、安装方式：吸顶安装； </w:t>
            </w:r>
          </w:p>
        </w:tc>
        <w:tc>
          <w:tcPr>
            <w:tcW w:w="35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39</w:t>
            </w:r>
          </w:p>
        </w:tc>
        <w:tc>
          <w:tcPr>
            <w:tcW w:w="36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88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2</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超宽频二功分器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2、★插入损耗：≤3.6dB；（提供产品彩页或其他官方有效证明材料）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3、输入驻波比：≤1.65；</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5、接口形式：N-Female；</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82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3</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超宽频三功分器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2、★插入损耗：≤5.8dB；</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3、输入驻波比：≤1.65；</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5、接口形式：N-Female；</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154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超宽频四功分器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2、★插入损耗：≤7.2dB；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3、输入驻波比：≤1.65；</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5、接口形式：N-Female； </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6</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942"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超宽频5db耦合器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1、工作频率：至少满足407-5850MHz；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2、★插入损耗：≤2.35dB；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3、输入驻波比：≤1.5；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4、功率容量：≥20W；</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5、接口形式：N-Female； </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4</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只</w:t>
            </w:r>
          </w:p>
        </w:tc>
      </w:tr>
      <w:tr>
        <w:tblPrEx>
          <w:tblCellMar>
            <w:top w:w="0" w:type="dxa"/>
            <w:left w:w="108" w:type="dxa"/>
            <w:bottom w:w="0" w:type="dxa"/>
            <w:right w:w="108" w:type="dxa"/>
          </w:tblCellMar>
        </w:tblPrEx>
        <w:trPr>
          <w:trHeight w:val="660"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6</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1/2"阻燃馈线</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内导体：铜包铝线；绝缘体：泡沫聚乙烯；外导体：皱纹铜管</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540</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米</w:t>
            </w:r>
          </w:p>
        </w:tc>
      </w:tr>
      <w:tr>
        <w:tblPrEx>
          <w:tblCellMar>
            <w:top w:w="0" w:type="dxa"/>
            <w:left w:w="108" w:type="dxa"/>
            <w:bottom w:w="0" w:type="dxa"/>
            <w:right w:w="108" w:type="dxa"/>
          </w:tblCellMar>
        </w:tblPrEx>
        <w:trPr>
          <w:trHeight w:val="1260"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7</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无线网络控制器</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1、★可管理基站数量：不受License限制；（提供产品彩页或其他官方有效证明材料）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2、★授权许可：单台设备支持开户数授权≥10,000个，并发用户≥2,000个；（提供产品彩页或其他官方有效证明材料）</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3、安全规范：支持802.11i标准；</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4、用户认证：支持802.1X/WPA/WPA2认证，支持MAC地址认证及开放接入，支持本地RADIUS服务器配置；</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5、用户管理：提供方便的用户管理系统，支持用户开户、销户及修改；</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6、第三方接口：支持对接多种用户数据库，支持RADIUS等统一身份认证；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7、兼容性：兼容Windows XP/7/8/Vista、Windows Phone、iOS、Mac OS以及Android等常见操作系统认证；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8、★可靠性：所投产品须与医院现有无线内网控制器兼容，能够与医院现有无线内网控制器实现多台控制器高可用冗余热备，投标人须提供书面承诺。</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台</w:t>
            </w:r>
          </w:p>
        </w:tc>
      </w:tr>
      <w:tr>
        <w:tblPrEx>
          <w:tblCellMar>
            <w:top w:w="0" w:type="dxa"/>
            <w:left w:w="108" w:type="dxa"/>
            <w:bottom w:w="0" w:type="dxa"/>
            <w:right w:w="108" w:type="dxa"/>
          </w:tblCellMar>
        </w:tblPrEx>
        <w:trPr>
          <w:trHeight w:val="585" w:hRule="atLeast"/>
        </w:trPr>
        <w:tc>
          <w:tcPr>
            <w:tcW w:w="313" w:type="pc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8</w:t>
            </w:r>
          </w:p>
        </w:tc>
        <w:tc>
          <w:tcPr>
            <w:tcW w:w="1080"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数据内网基站</w:t>
            </w:r>
          </w:p>
        </w:tc>
        <w:tc>
          <w:tcPr>
            <w:tcW w:w="289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1、802.11标准：IEEE802.11a/b/g/n/ac/ax(WiFi6)；</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2、★最大占用带宽：至少满足160MHz和80MHz；（提供无线电发射设备型号核准证复印件，并附工信部官网https://ythzxfw.miit.gov.cn/resultQuery查询结果截图）</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 xml:space="preserve">3、无线信号强度：病房内2.4GHz及5GHz无线信号强度≥-75dBm，并满足同时实现单一病区内移动终端零漫游，零切换； </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4、安全标准：802.11i，WEP, Dynamic WEP, WPA-PSK，WPA2-PSK，WPA, WPA2；</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5、多SSID：支持；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6、VLAN：支持；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7、冗余备份、负载均衡：可升级；</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8、内、外网物理隔离：可升级支持内、外网物理隔离，并非同一设备VLAN隔离或同一设备的两个网口分开使用，不能共用任何有源设备；</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9、QoS 802.11e：支持；</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10、频率范围：2400-2483.5MHz、5150-5350MHz、5725-5850MHz；</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11、RF接口：N-female 标准接口；</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12、网络接口：10/100/1000Mbps以太网接口≥1个，Console端口≥1个；</w:t>
            </w:r>
            <w:r>
              <w:rPr>
                <w:rFonts w:hint="eastAsia" w:ascii="宋体" w:hAnsi="宋体" w:eastAsia="宋体" w:cs="宋体"/>
                <w:b w:val="0"/>
                <w:bCs w:val="0"/>
                <w:color w:val="auto"/>
                <w:kern w:val="0"/>
                <w:sz w:val="24"/>
                <w:szCs w:val="24"/>
                <w:shd w:val="clear" w:color="auto" w:fill="FFFFFF"/>
                <w:lang w:val="en-US" w:eastAsia="zh-CN" w:bidi="ar-SA"/>
              </w:rPr>
              <w:br w:type="textWrapping"/>
            </w:r>
            <w:r>
              <w:rPr>
                <w:rFonts w:hint="eastAsia" w:ascii="宋体" w:hAnsi="宋体" w:eastAsia="宋体" w:cs="宋体"/>
                <w:b w:val="0"/>
                <w:bCs w:val="0"/>
                <w:color w:val="auto"/>
                <w:kern w:val="0"/>
                <w:sz w:val="24"/>
                <w:szCs w:val="24"/>
                <w:shd w:val="clear" w:color="auto" w:fill="FFFFFF"/>
                <w:lang w:val="en-US" w:eastAsia="zh-CN" w:bidi="ar-SA"/>
              </w:rPr>
              <w:t>13、★兼容性：所投产品须与医院现有无线内网兼容，能够使用现有无线内网控制器进行统一配置和管理，投标人须提供书面承诺。</w:t>
            </w:r>
          </w:p>
        </w:tc>
        <w:tc>
          <w:tcPr>
            <w:tcW w:w="353"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2</w:t>
            </w:r>
          </w:p>
        </w:tc>
        <w:tc>
          <w:tcPr>
            <w:tcW w:w="361" w:type="pct"/>
            <w:tcBorders>
              <w:top w:val="nil"/>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台</w:t>
            </w:r>
          </w:p>
        </w:tc>
      </w:tr>
      <w:tr>
        <w:tblPrEx>
          <w:tblCellMar>
            <w:top w:w="0" w:type="dxa"/>
            <w:left w:w="108" w:type="dxa"/>
            <w:bottom w:w="0" w:type="dxa"/>
            <w:right w:w="108" w:type="dxa"/>
          </w:tblCellMar>
        </w:tblPrEx>
        <w:trPr>
          <w:trHeight w:val="585"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9</w:t>
            </w:r>
          </w:p>
        </w:tc>
        <w:tc>
          <w:tcPr>
            <w:tcW w:w="1080"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jc w:val="center"/>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服务</w:t>
            </w:r>
          </w:p>
        </w:tc>
        <w:tc>
          <w:tcPr>
            <w:tcW w:w="289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提供本项目所需要的安装调试、网络规划整合、关联系统集成等服务。</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为保证本项目质量，本项目实施工程师须经过原厂技术培训或认证。提供本项目实施工程师名单和原厂出具的技术培训证明或认证证书复印件，工程师持证上岗，未经医院同意不得更改工程师。</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所有产品提供≥3年质保。质保期内，提供7*24小时现场售后服务, 产品出现故障只换不修。</w:t>
            </w:r>
          </w:p>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r>
              <w:rPr>
                <w:rFonts w:hint="eastAsia" w:ascii="宋体" w:hAnsi="宋体" w:eastAsia="宋体" w:cs="宋体"/>
                <w:b w:val="0"/>
                <w:bCs w:val="0"/>
                <w:color w:val="auto"/>
                <w:kern w:val="0"/>
                <w:sz w:val="24"/>
                <w:szCs w:val="24"/>
                <w:shd w:val="clear" w:color="auto" w:fill="FFFFFF"/>
                <w:lang w:val="en-US" w:eastAsia="zh-CN" w:bidi="ar-SA"/>
              </w:rPr>
              <w:t>货到时须随货物提供原厂出具的≥3年售后服务承诺函，能够通过官网或售后电话等原厂官方渠道查询货物序列号验证货物销售对象为我院且质保期≥3年，否则退款退货并解除合同。</w:t>
            </w:r>
          </w:p>
        </w:tc>
        <w:tc>
          <w:tcPr>
            <w:tcW w:w="353"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p>
        </w:tc>
        <w:tc>
          <w:tcPr>
            <w:tcW w:w="361" w:type="pct"/>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color w:val="auto"/>
                <w:kern w:val="0"/>
                <w:sz w:val="24"/>
                <w:szCs w:val="24"/>
                <w:shd w:val="clear" w:color="auto" w:fill="FFFFFF"/>
                <w:lang w:val="en-US" w:eastAsia="zh-CN" w:bidi="ar-SA"/>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四</w:t>
      </w:r>
      <w:r>
        <w:rPr>
          <w:rFonts w:hint="eastAsia" w:ascii="宋体" w:hAnsi="宋体" w:eastAsia="宋体" w:cs="宋体"/>
          <w:b/>
          <w:bCs/>
          <w:kern w:val="2"/>
          <w:sz w:val="24"/>
          <w:szCs w:val="24"/>
          <w:highlight w:val="none"/>
          <w:lang w:val="en-US" w:eastAsia="zh-CN" w:bidi="ar-SA"/>
        </w:rPr>
        <w:t>、商务要求：</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cs="宋体"/>
          <w:sz w:val="24"/>
          <w:szCs w:val="32"/>
          <w:lang w:val="en-US" w:eastAsia="zh-CN"/>
        </w:rPr>
        <w:t>乙方</w:t>
      </w:r>
      <w:r>
        <w:rPr>
          <w:rFonts w:hint="eastAsia" w:ascii="宋体" w:hAnsi="宋体" w:eastAsia="宋体" w:cs="宋体"/>
          <w:sz w:val="24"/>
          <w:szCs w:val="32"/>
          <w:lang w:val="en-US" w:eastAsia="zh-CN"/>
        </w:rPr>
        <w:t>交付标的物的期限为合同签订生效后的30日内。乙方须在约定期限内，到甲方指定地点完成全部标的物的安装调试与使用培训，并将符合本合同约定标准的标的物交付甲方使用。乙方向甲方出具交付确认单，甲方签字确认后，视为交付完成。如由于甲方原因造成无法按期交付，交付时间顺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验收由甲方组织，乙方配合进行：</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标的物交付完成后，开始进入30日试用期。试用期间发生质量问题，修复后试用期重新计算。试用期结束后，按照甲方内部规定的验收流程完成验收。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按照有关法律法规和标准的规定、本项目招投标文件及本合同约定的标准进行验收；甲乙双方如对验收标准有相互抵触或异议的事项，由甲方在招标文件中按质量要求和技术指标比较优胜的原则确定标准进行验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若验收合格，双方签署验收文件。</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若验收不合格，验收方应做出详尽的现场记录，或由双方签署备忘录，乙方整改后再次提请甲方验收，因此产生时间延误和有关费用由乙方承担。</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若经乙方2次整改或整改超过30日仍不能达到验收合格的标准，则视作乙方不能交付而违约，甲方有权退货并追究乙方的违约责任。</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乙方应将标的物的装箱清单、配件、随机工具、用户使用手册、原厂保修卡等资料交付给甲方；乙方不能完整交付标的物及本款规定的单证和工具的，必须负责补齐，否则视为未按合同约定交付。</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标的物验收合格后，乙方应向甲方提供符合甲方财务要求的付款通知书与票证资料，甲方在收到相关资料后的60个工作日内，向乙方支付本合同总价款的95%（百分之九十五）。</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标的物质保期结束后，在乙方履行合同义务、不存在违约的情况下，乙方应向甲方提供符合甲方财务要求的付款通知书与票证资料，甲方在收到相关资料后的60个工作日内，向乙方支付本合同总价款的5%（百分之五）。</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质保期为验收合格之日起3年。质保期内，乙方按照以下约定提供服务。</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售后服务目录如下。</w:t>
      </w:r>
    </w:p>
    <w:tbl>
      <w:tblPr>
        <w:tblStyle w:val="32"/>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60"/>
        <w:gridCol w:w="1060"/>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79"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服务对象</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服务分类</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服务项目</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79" w:type="pct"/>
            <w:vMerge w:val="restart"/>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乙方产品</w:t>
            </w:r>
          </w:p>
        </w:tc>
        <w:tc>
          <w:tcPr>
            <w:tcW w:w="578" w:type="pct"/>
            <w:vMerge w:val="restart"/>
            <w:shd w:val="clear" w:color="auto" w:fill="auto"/>
            <w:noWrap/>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响应支持</w:t>
            </w:r>
          </w:p>
        </w:tc>
        <w:tc>
          <w:tcPr>
            <w:tcW w:w="578" w:type="pct"/>
            <w:shd w:val="clear" w:color="auto" w:fill="auto"/>
            <w:noWrap/>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事件驱动响应</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对外部事件、系统事件或安全事件导致的服务对象整体或部分性能下降、功能丧失进行响应，将服务对象恢复到正常状态，包括但不限于故障排除、应急响应等。设备损坏的，乙方负责免费更换，更换的部件质保期重新计算。维修期间乙方须提供同档次的备机备件，确保甲方业务连续性。</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 10 分钟，到场时间 3 小时，解决时间 6 小时。</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noWrap/>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服务请求响应</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服务内容：根据产品运行需要或甲方的服务请求进行响应，包括但不限于操作培训、设备搬迁、应急演练等。</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 10 分钟，到场时间 3 小时，解决时间根据需要由甲方指定。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restar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优化改善</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适应性改进</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服务内容：为保持服务对象在新环境中可持续运行而实施的优化改进，包括但不限于新设备接入集成等。</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增强性改进</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服务内容：根据服务对象的运行状况采取改进措施，增强服务对象的安全性、可用性和可靠性，包括但不限于功能调优、性能调优、固件升级、特征库升级等。乙方产品如有新版本且甲方需要，乙方应免费升级。</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预防性改进</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服务内容：检测和纠正服务对象运行过程中潜在的问题或缺陷，包括但不限于缺陷修复、补丁更新、配置优化等。</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579" w:type="pct"/>
            <w:vMerge w:val="continue"/>
            <w:vAlign w:val="center"/>
          </w:tcPr>
          <w:p>
            <w:pPr>
              <w:pageBreakBefore w:val="0"/>
              <w:numPr>
                <w:ilvl w:val="0"/>
                <w:numId w:val="0"/>
              </w:numPr>
              <w:kinsoku/>
              <w:wordWrap/>
              <w:overflowPunct/>
              <w:topLinePunct w:val="0"/>
              <w:bidi w:val="0"/>
              <w:snapToGrid w:val="0"/>
              <w:spacing w:beforeAutospacing="0" w:afterAutospacing="0" w:line="360" w:lineRule="auto"/>
              <w:ind w:firstLine="480" w:firstLineChars="200"/>
              <w:jc w:val="center"/>
              <w:textAlignment w:val="auto"/>
              <w:rPr>
                <w:rFonts w:hint="eastAsia" w:ascii="宋体" w:hAnsi="宋体" w:eastAsia="宋体" w:cs="宋体"/>
                <w:sz w:val="24"/>
                <w:szCs w:val="32"/>
                <w:lang w:val="en-US" w:eastAsia="zh-CN"/>
              </w:rPr>
            </w:pP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调研评估</w:t>
            </w:r>
          </w:p>
        </w:tc>
        <w:tc>
          <w:tcPr>
            <w:tcW w:w="578"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调研评估</w:t>
            </w:r>
          </w:p>
        </w:tc>
        <w:tc>
          <w:tcPr>
            <w:tcW w:w="3265" w:type="pct"/>
            <w:shd w:val="clear" w:color="auto" w:fill="auto"/>
            <w:vAlign w:val="center"/>
          </w:tcPr>
          <w:p>
            <w:pPr>
              <w:pageBreakBefore w:val="0"/>
              <w:numPr>
                <w:ilvl w:val="0"/>
                <w:numId w:val="0"/>
              </w:numPr>
              <w:kinsoku/>
              <w:wordWrap/>
              <w:overflowPunct/>
              <w:topLinePunct w:val="0"/>
              <w:bidi w:val="0"/>
              <w:snapToGrid w:val="0"/>
              <w:spacing w:beforeAutospacing="0" w:afterAutospacing="0" w:line="360" w:lineRule="auto"/>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服务内容：对服务对象的运行状况进行分析和评估，提出方案建议。</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服务方式：远程或现场。根据需要由甲方指定。</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服务时间：7*24。</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服务级别：响应时间24小时，到场时间72小时，解决时间30日。</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交付计划：按需提供，不限次数。</w:t>
            </w:r>
            <w:r>
              <w:rPr>
                <w:rFonts w:hint="eastAsia" w:ascii="宋体" w:hAnsi="宋体" w:eastAsia="宋体" w:cs="宋体"/>
                <w:sz w:val="24"/>
                <w:szCs w:val="32"/>
                <w:lang w:val="en-US" w:eastAsia="zh-CN"/>
              </w:rPr>
              <w:br w:type="textWrapping"/>
            </w:r>
            <w:r>
              <w:rPr>
                <w:rFonts w:hint="eastAsia" w:ascii="宋体" w:hAnsi="宋体" w:eastAsia="宋体" w:cs="宋体"/>
                <w:sz w:val="24"/>
                <w:szCs w:val="32"/>
                <w:lang w:val="en-US" w:eastAsia="zh-CN"/>
              </w:rPr>
              <w:t>交付成果：</w:t>
            </w:r>
          </w:p>
        </w:tc>
      </w:tr>
    </w:tbl>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所有费用由乙方承担，乙方不得向甲方和第三方收取其他任何费用。</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乙方驻场人员应按照甲方工作制度服从甲方管理。</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标的物经乙方2次维修或维修超过30天仍不能达到本合同约定标准的，或标的物经甲方送交具有法定资格条件的质量技术监督机构检测后，检测结果认定标的物质量不符合本合同约定标准的，则视作乙方不能交付标的物而违约，甲方有权退货并追究乙方的违约责任。</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对于隐蔽性的、合理的检查和试验都不能发觉的质量和安全缺陷，即使质保期已过，无论甲方是否购买维保服务，由于标的物本身的设计缺陷、制造缺陷、安装缺陷造成的故障或对甲方和第三方的财产、人身损害，仍由乙方免费负责维修、更换和承担赔偿责任。</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乙方须指派专人负责与甲方联系售后服务事宜。</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乙方应采取必要措施保障其产品和服务的安全性，发现其产品和服务存在安全缺陷、漏洞等风险、发生或可能发生安全事件时，应当立即采取补救措施，并及时告知甲方。</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乙方应配合甲方的网络与信息安全建设、测评、整改、应急、检查、审查等工作，及时向甲方提供必要的支持和协助。</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乙方对获取到的甲方有关信息负有为甲方保密的责任，甲乙双方须签订保密协议。</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若乙方未按时交付标的物的，每逾期1日，乙方应按合同总价款的万分之五 /日向甲方支付违约金；若逾期超过30日的，乙方除按合同总价款的万分之五 /日向甲方支付违约金外，还应按合同总价款的20％向甲方支付违约金，并且甲方有权单方解除合同，乙方应退还已收取的全部合同款及自甲方付款至乙方退款期间的利息（按同期银行贷款利率）。</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标的物存在质量、性能、安全等缺陷，或其质量、性能、安全等特性不符合本合同约定的标准而给甲方造成工作障碍、导致安全事件发生或致人损失的，乙方应承担全部法律和赔偿责任。此情况每出现1次，乙方应按合同总价款的3％/次向甲方支付违约金；若出现超过3 次或致甲方严重损失的，乙方除应按合同总价款的3％/次向甲方支付违约金外，还应按合同总价款的20％ 向甲方支付违约金，并且甲方有权单方解除合同，乙方应退还已收取的全部合同款及自甲方付款至乙方退款期间的利息（按同期银行贷款利率）。</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若乙方未按约定履行售后服务义务、网络安全义务的，每出现 1 次，乙方应按合同总价款的 1‰ /次向甲方支付违约金；若出现超过3次或致人损失的，乙方除应按合同总价款的 1‰ /次向甲方支付违约金外，还应按合同总价款的20％向甲方支付违约金，并且甲方有权单方解除合同，乙方应退还已收取的全部合同款及自甲方付款至乙方退款期间的利息（按同期银行贷款利率）。</w:t>
      </w:r>
    </w:p>
    <w:p>
      <w:pPr>
        <w:pageBreakBefore w:val="0"/>
        <w:numPr>
          <w:ilvl w:val="0"/>
          <w:numId w:val="0"/>
        </w:numPr>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若乙方支付的违约金不足以弥补甲方损失的，乙方还应按甲方损失尚未弥补的部分，支付赔偿金给甲方。</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合同签订生效后的 30 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验收合格之日起 3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r>
              <w:rPr>
                <w:rFonts w:hint="eastAsia" w:ascii="宋体" w:hAnsi="宋体" w:eastAsia="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以合同约定为准</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驻马店市中心医院9号楼无线内网覆盖采购项目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lang w:val="en-US" w:eastAsia="zh-CN"/>
              </w:rPr>
              <w:t>万元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lang w:eastAsia="zh-CN"/>
        </w:rPr>
        <w:t>万元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4.5符合法律、行政法规规定的其他条件。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4700"/>
      <w:bookmarkStart w:id="44" w:name="_Toc9022"/>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45</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w:t>
            </w:r>
            <w:r>
              <w:rPr>
                <w:rFonts w:hint="eastAsia" w:ascii="宋体" w:hAnsi="宋体" w:eastAsia="宋体" w:cs="宋体"/>
                <w:b w:val="0"/>
                <w:bCs w:val="0"/>
                <w:color w:val="auto"/>
                <w:sz w:val="24"/>
                <w:szCs w:val="24"/>
                <w:highlight w:val="none"/>
                <w:lang w:eastAsia="zh-CN"/>
              </w:rPr>
              <w:t>技术</w:t>
            </w:r>
            <w:r>
              <w:rPr>
                <w:rFonts w:hint="eastAsia" w:ascii="宋体" w:hAnsi="宋体" w:eastAsia="宋体" w:cs="宋体"/>
                <w:b w:val="0"/>
                <w:bCs w:val="0"/>
                <w:color w:val="auto"/>
                <w:sz w:val="24"/>
                <w:szCs w:val="24"/>
                <w:highlight w:val="none"/>
              </w:rPr>
              <w:t>参数</w:t>
            </w:r>
            <w:r>
              <w:rPr>
                <w:rFonts w:hint="eastAsia" w:ascii="宋体" w:hAnsi="宋体" w:eastAsia="宋体" w:cs="宋体"/>
                <w:b w:val="0"/>
                <w:bCs w:val="0"/>
                <w:color w:val="auto"/>
                <w:sz w:val="24"/>
                <w:szCs w:val="24"/>
                <w:highlight w:val="none"/>
                <w:lang w:eastAsia="zh-CN"/>
              </w:rPr>
              <w:t>要求</w:t>
            </w:r>
            <w:r>
              <w:rPr>
                <w:rFonts w:hint="eastAsia" w:ascii="宋体" w:hAnsi="宋体" w:eastAsia="宋体" w:cs="宋体"/>
                <w:b w:val="0"/>
                <w:bCs w:val="0"/>
                <w:color w:val="auto"/>
                <w:sz w:val="24"/>
                <w:szCs w:val="24"/>
                <w:highlight w:val="none"/>
              </w:rPr>
              <w:t>的响应，所投内容全部满足磋商文件要求得</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加“</w:t>
            </w:r>
            <w:r>
              <w:rPr>
                <w:rFonts w:hint="eastAsia" w:ascii="宋体" w:hAnsi="宋体" w:eastAsia="宋体" w:cs="宋体"/>
                <w:b w:val="0"/>
                <w:bCs w:val="0"/>
                <w:color w:val="auto"/>
                <w:kern w:val="0"/>
                <w:sz w:val="24"/>
                <w:szCs w:val="24"/>
                <w:highlight w:val="none"/>
                <w:shd w:val="clear" w:color="auto" w:fill="FFFFFF"/>
                <w:lang w:val="en-US" w:eastAsia="zh-CN" w:bidi="ar-SA"/>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val="en-US" w:eastAsia="zh-CN"/>
              </w:rPr>
              <w:t>非加“</w:t>
            </w:r>
            <w:r>
              <w:rPr>
                <w:rFonts w:hint="eastAsia" w:ascii="宋体" w:hAnsi="宋体" w:eastAsia="宋体" w:cs="宋体"/>
                <w:b w:val="0"/>
                <w:bCs w:val="0"/>
                <w:color w:val="auto"/>
                <w:kern w:val="0"/>
                <w:sz w:val="24"/>
                <w:szCs w:val="24"/>
                <w:highlight w:val="none"/>
                <w:shd w:val="clear" w:color="auto" w:fill="FFFFFF"/>
                <w:lang w:val="en-US" w:eastAsia="zh-CN" w:bidi="ar-SA"/>
              </w:rPr>
              <w:t>★</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项</w:t>
            </w:r>
            <w:r>
              <w:rPr>
                <w:rFonts w:hint="eastAsia" w:ascii="宋体" w:hAnsi="宋体" w:cs="宋体"/>
                <w:b w:val="0"/>
                <w:bCs w:val="0"/>
                <w:color w:val="auto"/>
                <w:sz w:val="24"/>
                <w:szCs w:val="24"/>
                <w:highlight w:val="none"/>
                <w:lang w:val="en-US" w:eastAsia="zh-CN"/>
              </w:rPr>
              <w:t>每有</w:t>
            </w:r>
            <w:r>
              <w:rPr>
                <w:rFonts w:hint="eastAsia" w:ascii="宋体" w:hAnsi="宋体" w:eastAsia="宋体" w:cs="宋体"/>
                <w:b w:val="0"/>
                <w:bCs w:val="0"/>
                <w:color w:val="auto"/>
                <w:sz w:val="24"/>
                <w:szCs w:val="24"/>
                <w:highlight w:val="none"/>
              </w:rPr>
              <w:t>一项不满足扣</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w:t>
            </w:r>
            <w:r>
              <w:rPr>
                <w:rFonts w:hint="eastAsia" w:ascii="宋体" w:hAnsi="宋体" w:cs="宋体"/>
                <w:b w:val="0"/>
                <w:bCs w:val="0"/>
                <w:color w:val="auto"/>
                <w:sz w:val="24"/>
                <w:szCs w:val="24"/>
                <w:highlight w:val="none"/>
                <w:lang w:val="en-US" w:eastAsia="zh-CN"/>
              </w:rPr>
              <w:t>此项</w:t>
            </w:r>
            <w:r>
              <w:rPr>
                <w:rFonts w:hint="eastAsia" w:ascii="宋体" w:hAnsi="宋体" w:eastAsia="宋体" w:cs="宋体"/>
                <w:b w:val="0"/>
                <w:bCs w:val="0"/>
                <w:color w:val="auto"/>
                <w:sz w:val="24"/>
                <w:szCs w:val="24"/>
                <w:highlight w:val="none"/>
              </w:rPr>
              <w:t>得分为0，则投标无效。</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注：附技术偏离表，需提供投标产品注册检验报告（完整版）及响应技术参数条款的技术白皮书和彩页等相关文件，并对响应技术参数部分做出明显标注。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2.实施方案（15分）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供应商对项目实施方案的整体规划，包括设备对接方案、调试方案、交货期保证措施。</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w:t>
            </w:r>
            <w:r>
              <w:rPr>
                <w:rFonts w:hint="eastAsia" w:ascii="宋体" w:hAnsi="宋体" w:eastAsia="宋体" w:cs="宋体"/>
                <w:b w:val="0"/>
                <w:bCs w:val="0"/>
                <w:color w:val="auto"/>
                <w:sz w:val="24"/>
                <w:szCs w:val="24"/>
                <w:highlight w:val="none"/>
                <w:lang w:val="en-US" w:eastAsia="zh-CN"/>
              </w:rPr>
              <w:t>11-15</w:t>
            </w:r>
            <w:r>
              <w:rPr>
                <w:rFonts w:hint="eastAsia" w:ascii="宋体" w:hAnsi="宋体" w:eastAsia="宋体" w:cs="宋体"/>
                <w:b w:val="0"/>
                <w:bCs w:val="0"/>
                <w:color w:val="auto"/>
                <w:sz w:val="24"/>
                <w:szCs w:val="24"/>
                <w:highlight w:val="none"/>
              </w:rPr>
              <w:t>分；基本详细、基本合理、基本可行的</w:t>
            </w:r>
            <w:r>
              <w:rPr>
                <w:rFonts w:hint="eastAsia" w:ascii="宋体" w:hAnsi="宋体" w:eastAsia="宋体" w:cs="宋体"/>
                <w:b w:val="0"/>
                <w:bCs w:val="0"/>
                <w:color w:val="auto"/>
                <w:sz w:val="24"/>
                <w:szCs w:val="24"/>
                <w:highlight w:val="none"/>
                <w:lang w:val="en-US" w:eastAsia="zh-CN"/>
              </w:rPr>
              <w:t>6-10</w:t>
            </w:r>
            <w:r>
              <w:rPr>
                <w:rFonts w:hint="eastAsia" w:ascii="宋体" w:hAnsi="宋体" w:eastAsia="宋体" w:cs="宋体"/>
                <w:b w:val="0"/>
                <w:bCs w:val="0"/>
                <w:color w:val="auto"/>
                <w:sz w:val="24"/>
                <w:szCs w:val="24"/>
                <w:highlight w:val="none"/>
              </w:rPr>
              <w:t>分；基本详细度、合理性差、可行性差的1-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质保期</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根据</w:t>
            </w:r>
            <w:r>
              <w:rPr>
                <w:rFonts w:hint="eastAsia" w:ascii="宋体" w:hAnsi="宋体" w:eastAsia="宋体" w:cs="宋体"/>
                <w:b w:val="0"/>
                <w:bCs w:val="0"/>
                <w:color w:val="auto"/>
                <w:kern w:val="2"/>
                <w:sz w:val="24"/>
                <w:szCs w:val="24"/>
                <w:highlight w:val="none"/>
                <w:lang w:eastAsia="zh-CN"/>
              </w:rPr>
              <w:t>供应商</w:t>
            </w:r>
            <w:r>
              <w:rPr>
                <w:rFonts w:hint="eastAsia" w:ascii="宋体" w:hAnsi="宋体" w:eastAsia="宋体" w:cs="宋体"/>
                <w:b w:val="0"/>
                <w:bCs w:val="0"/>
                <w:color w:val="auto"/>
                <w:kern w:val="2"/>
                <w:sz w:val="24"/>
                <w:szCs w:val="24"/>
                <w:highlight w:val="none"/>
              </w:rPr>
              <w:t>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w:t>
            </w:r>
            <w:r>
              <w:rPr>
                <w:rFonts w:hint="eastAsia" w:ascii="宋体" w:hAnsi="宋体" w:eastAsia="宋体" w:cs="宋体"/>
                <w:b w:val="0"/>
                <w:bCs w:val="0"/>
                <w:color w:val="auto"/>
                <w:kern w:val="2"/>
                <w:sz w:val="24"/>
                <w:szCs w:val="24"/>
                <w:highlight w:val="none"/>
                <w:lang w:val="en-US" w:eastAsia="zh-CN"/>
              </w:rPr>
              <w:t>11</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15</w:t>
            </w:r>
            <w:r>
              <w:rPr>
                <w:rFonts w:hint="eastAsia" w:ascii="宋体" w:hAnsi="宋体" w:eastAsia="宋体" w:cs="宋体"/>
                <w:b w:val="0"/>
                <w:bCs w:val="0"/>
                <w:color w:val="auto"/>
                <w:kern w:val="2"/>
                <w:sz w:val="24"/>
                <w:szCs w:val="24"/>
                <w:highlight w:val="none"/>
              </w:rPr>
              <w:t>分，具体、完善、合理性程度一般得</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rPr>
              <w:t>-</w:t>
            </w:r>
            <w:r>
              <w:rPr>
                <w:rFonts w:hint="eastAsia" w:ascii="宋体" w:hAnsi="宋体" w:eastAsia="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rPr>
              <w:t>分，具体、完善、合理性程度差得1-</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rPr>
              <w:t>分，缺项得0分。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947"/>
      <w:bookmarkStart w:id="48" w:name="_Toc1482"/>
      <w:bookmarkStart w:id="49" w:name="_Toc256519703"/>
      <w:bookmarkStart w:id="50" w:name="_Toc326786897"/>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总价）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11620"/>
      <w:bookmarkStart w:id="69" w:name="_Toc20877"/>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12222"/>
      <w:bookmarkStart w:id="71" w:name="_Toc625"/>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9"/>
      <w:bookmarkEnd w:id="50"/>
      <w:bookmarkStart w:id="74" w:name="_Toc22004"/>
      <w:bookmarkStart w:id="75" w:name="_Toc24984"/>
      <w:r>
        <w:rPr>
          <w:rFonts w:hint="eastAsia" w:ascii="宋体" w:hAnsi="宋体" w:eastAsia="宋体" w:cs="宋体"/>
          <w:color w:val="auto"/>
          <w:highlight w:val="none"/>
        </w:rPr>
        <w:t>附件4报价明细表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9960"/>
      <w:bookmarkStart w:id="79" w:name="_Toc2042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31526"/>
      <w:bookmarkStart w:id="81" w:name="_Toc28621"/>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驻马店市中心医院9号楼无线内网覆盖采购项目采购文件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驻马店市中心医院9号楼无线内网覆盖采购项目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000000"/>
    <w:rsid w:val="00503BD3"/>
    <w:rsid w:val="0066795B"/>
    <w:rsid w:val="00DA5C53"/>
    <w:rsid w:val="0123584C"/>
    <w:rsid w:val="01DF5C17"/>
    <w:rsid w:val="01EE5E5A"/>
    <w:rsid w:val="02D25290"/>
    <w:rsid w:val="02F12505"/>
    <w:rsid w:val="037C54DB"/>
    <w:rsid w:val="038E625D"/>
    <w:rsid w:val="03CA31A7"/>
    <w:rsid w:val="03EC0177"/>
    <w:rsid w:val="047D5CC7"/>
    <w:rsid w:val="04C66C1A"/>
    <w:rsid w:val="068A0B4B"/>
    <w:rsid w:val="0750142A"/>
    <w:rsid w:val="07936C1F"/>
    <w:rsid w:val="080812F8"/>
    <w:rsid w:val="08C1066A"/>
    <w:rsid w:val="0A6566E6"/>
    <w:rsid w:val="0B1413C2"/>
    <w:rsid w:val="0BEF4CA9"/>
    <w:rsid w:val="0C057F6B"/>
    <w:rsid w:val="0C6F5DE9"/>
    <w:rsid w:val="0C877CFB"/>
    <w:rsid w:val="0CE82491"/>
    <w:rsid w:val="0D3A1F53"/>
    <w:rsid w:val="0D5030A6"/>
    <w:rsid w:val="0D7116ED"/>
    <w:rsid w:val="0D8E6743"/>
    <w:rsid w:val="0D923C0B"/>
    <w:rsid w:val="0D961094"/>
    <w:rsid w:val="0DD203DE"/>
    <w:rsid w:val="0EDD4937"/>
    <w:rsid w:val="0F083E44"/>
    <w:rsid w:val="0FF85943"/>
    <w:rsid w:val="1003424E"/>
    <w:rsid w:val="100D65BF"/>
    <w:rsid w:val="10CF353C"/>
    <w:rsid w:val="11CE7E08"/>
    <w:rsid w:val="11F33019"/>
    <w:rsid w:val="12213B8E"/>
    <w:rsid w:val="12F40DF6"/>
    <w:rsid w:val="13695774"/>
    <w:rsid w:val="13F53FEC"/>
    <w:rsid w:val="14380591"/>
    <w:rsid w:val="144F7691"/>
    <w:rsid w:val="146A4213"/>
    <w:rsid w:val="148C5949"/>
    <w:rsid w:val="15155054"/>
    <w:rsid w:val="159B19FD"/>
    <w:rsid w:val="17312619"/>
    <w:rsid w:val="17547F84"/>
    <w:rsid w:val="18616F2E"/>
    <w:rsid w:val="19EB0503"/>
    <w:rsid w:val="1A2028DA"/>
    <w:rsid w:val="1A667D36"/>
    <w:rsid w:val="1A7F7CE9"/>
    <w:rsid w:val="1A856091"/>
    <w:rsid w:val="1B060913"/>
    <w:rsid w:val="1BC84A1C"/>
    <w:rsid w:val="1BDB2463"/>
    <w:rsid w:val="1C0E7EC3"/>
    <w:rsid w:val="1C2C60F9"/>
    <w:rsid w:val="1C5446B4"/>
    <w:rsid w:val="1C597898"/>
    <w:rsid w:val="1CDF0421"/>
    <w:rsid w:val="1D0E0D07"/>
    <w:rsid w:val="1DA32633"/>
    <w:rsid w:val="1E4470D6"/>
    <w:rsid w:val="1EAF1273"/>
    <w:rsid w:val="1F486752"/>
    <w:rsid w:val="210677EE"/>
    <w:rsid w:val="211547B3"/>
    <w:rsid w:val="212A2D39"/>
    <w:rsid w:val="222B4109"/>
    <w:rsid w:val="22D30A28"/>
    <w:rsid w:val="22F914CA"/>
    <w:rsid w:val="23F57CC4"/>
    <w:rsid w:val="241C7367"/>
    <w:rsid w:val="254370DC"/>
    <w:rsid w:val="25A93CC2"/>
    <w:rsid w:val="25C46BF1"/>
    <w:rsid w:val="25F74B89"/>
    <w:rsid w:val="267F6B83"/>
    <w:rsid w:val="291547CE"/>
    <w:rsid w:val="296D7CC2"/>
    <w:rsid w:val="296E0EB4"/>
    <w:rsid w:val="2976035F"/>
    <w:rsid w:val="2A7B1BDE"/>
    <w:rsid w:val="2AC82E3D"/>
    <w:rsid w:val="2AD830E5"/>
    <w:rsid w:val="2C2A1794"/>
    <w:rsid w:val="2C5C7953"/>
    <w:rsid w:val="2C92725E"/>
    <w:rsid w:val="2CE81EF4"/>
    <w:rsid w:val="2E366B06"/>
    <w:rsid w:val="2EBD258D"/>
    <w:rsid w:val="30FC2BBF"/>
    <w:rsid w:val="31035B63"/>
    <w:rsid w:val="3103706A"/>
    <w:rsid w:val="31603DCF"/>
    <w:rsid w:val="31986C26"/>
    <w:rsid w:val="31DB5FAA"/>
    <w:rsid w:val="322632A5"/>
    <w:rsid w:val="324059AE"/>
    <w:rsid w:val="333105F2"/>
    <w:rsid w:val="33F74D7E"/>
    <w:rsid w:val="34445835"/>
    <w:rsid w:val="346A0AC1"/>
    <w:rsid w:val="349A13A6"/>
    <w:rsid w:val="350D171A"/>
    <w:rsid w:val="35150A2C"/>
    <w:rsid w:val="35C7280A"/>
    <w:rsid w:val="35E2289C"/>
    <w:rsid w:val="36B907B2"/>
    <w:rsid w:val="37B207B5"/>
    <w:rsid w:val="382252E2"/>
    <w:rsid w:val="38865FCC"/>
    <w:rsid w:val="38912AC0"/>
    <w:rsid w:val="38D93693"/>
    <w:rsid w:val="38E928FC"/>
    <w:rsid w:val="38EC2E34"/>
    <w:rsid w:val="3987255E"/>
    <w:rsid w:val="39984708"/>
    <w:rsid w:val="39AE5E23"/>
    <w:rsid w:val="39E93199"/>
    <w:rsid w:val="3A145757"/>
    <w:rsid w:val="3AAD1707"/>
    <w:rsid w:val="3B546702"/>
    <w:rsid w:val="3BEB698B"/>
    <w:rsid w:val="3C265C15"/>
    <w:rsid w:val="3CE36288"/>
    <w:rsid w:val="3D226758"/>
    <w:rsid w:val="3D4E71D1"/>
    <w:rsid w:val="3DAA28E7"/>
    <w:rsid w:val="3E253D50"/>
    <w:rsid w:val="3EB43064"/>
    <w:rsid w:val="3FC512A1"/>
    <w:rsid w:val="3FC64050"/>
    <w:rsid w:val="3FC75496"/>
    <w:rsid w:val="40047331"/>
    <w:rsid w:val="411F75E2"/>
    <w:rsid w:val="415D5C35"/>
    <w:rsid w:val="41923405"/>
    <w:rsid w:val="42277FF1"/>
    <w:rsid w:val="42770F78"/>
    <w:rsid w:val="436D5ED7"/>
    <w:rsid w:val="43741014"/>
    <w:rsid w:val="441440F3"/>
    <w:rsid w:val="47962FDE"/>
    <w:rsid w:val="47CA1B4A"/>
    <w:rsid w:val="47EC7D13"/>
    <w:rsid w:val="47FE17F4"/>
    <w:rsid w:val="483B72D6"/>
    <w:rsid w:val="48A82426"/>
    <w:rsid w:val="48D10692"/>
    <w:rsid w:val="48E20F21"/>
    <w:rsid w:val="4914486F"/>
    <w:rsid w:val="49A95315"/>
    <w:rsid w:val="49DB1DED"/>
    <w:rsid w:val="4B007631"/>
    <w:rsid w:val="4B4B2D51"/>
    <w:rsid w:val="4BA803F5"/>
    <w:rsid w:val="4BBF74EC"/>
    <w:rsid w:val="4C185248"/>
    <w:rsid w:val="4C235CCD"/>
    <w:rsid w:val="4D127DDB"/>
    <w:rsid w:val="4D6F30D1"/>
    <w:rsid w:val="4DBD705E"/>
    <w:rsid w:val="4DD06B99"/>
    <w:rsid w:val="4E2E44B5"/>
    <w:rsid w:val="4F2C4E99"/>
    <w:rsid w:val="4F4E12B3"/>
    <w:rsid w:val="4F5B16A5"/>
    <w:rsid w:val="4F8E57CE"/>
    <w:rsid w:val="4F9B0496"/>
    <w:rsid w:val="4FFC63CE"/>
    <w:rsid w:val="509B6FFA"/>
    <w:rsid w:val="50AC7D95"/>
    <w:rsid w:val="519805C3"/>
    <w:rsid w:val="51F92A4C"/>
    <w:rsid w:val="52426781"/>
    <w:rsid w:val="52750905"/>
    <w:rsid w:val="52A864AB"/>
    <w:rsid w:val="53370970"/>
    <w:rsid w:val="539F20DD"/>
    <w:rsid w:val="54C87412"/>
    <w:rsid w:val="54CF5078"/>
    <w:rsid w:val="54E1471D"/>
    <w:rsid w:val="551C35C3"/>
    <w:rsid w:val="562528DD"/>
    <w:rsid w:val="56A812A9"/>
    <w:rsid w:val="56BB1BBC"/>
    <w:rsid w:val="56E10F23"/>
    <w:rsid w:val="57631674"/>
    <w:rsid w:val="57877110"/>
    <w:rsid w:val="58A12453"/>
    <w:rsid w:val="58AE4B70"/>
    <w:rsid w:val="590A18DC"/>
    <w:rsid w:val="5A295181"/>
    <w:rsid w:val="5A8A4DE4"/>
    <w:rsid w:val="5ABA15AB"/>
    <w:rsid w:val="5B1B7148"/>
    <w:rsid w:val="5C3918FB"/>
    <w:rsid w:val="5C5D3A0F"/>
    <w:rsid w:val="5CF50FC0"/>
    <w:rsid w:val="5DD67A13"/>
    <w:rsid w:val="5E206E1E"/>
    <w:rsid w:val="5E371164"/>
    <w:rsid w:val="5E742597"/>
    <w:rsid w:val="5F0D70EB"/>
    <w:rsid w:val="5FB7255D"/>
    <w:rsid w:val="6071095D"/>
    <w:rsid w:val="62097280"/>
    <w:rsid w:val="624125B1"/>
    <w:rsid w:val="62A212A2"/>
    <w:rsid w:val="630C7063"/>
    <w:rsid w:val="637D0340"/>
    <w:rsid w:val="639F518E"/>
    <w:rsid w:val="63B514A9"/>
    <w:rsid w:val="63C35930"/>
    <w:rsid w:val="64164898"/>
    <w:rsid w:val="648246B8"/>
    <w:rsid w:val="65447343"/>
    <w:rsid w:val="65531B68"/>
    <w:rsid w:val="65A96DEB"/>
    <w:rsid w:val="66C86697"/>
    <w:rsid w:val="6716400D"/>
    <w:rsid w:val="679338AF"/>
    <w:rsid w:val="67C5345F"/>
    <w:rsid w:val="680631FA"/>
    <w:rsid w:val="68664B20"/>
    <w:rsid w:val="688F080C"/>
    <w:rsid w:val="68BC0BE4"/>
    <w:rsid w:val="68CD32D8"/>
    <w:rsid w:val="69552C6B"/>
    <w:rsid w:val="69F745C9"/>
    <w:rsid w:val="69FA5E67"/>
    <w:rsid w:val="6B9D4684"/>
    <w:rsid w:val="6BC54253"/>
    <w:rsid w:val="6BF02721"/>
    <w:rsid w:val="6C6D0B73"/>
    <w:rsid w:val="6C8B2DA7"/>
    <w:rsid w:val="6D891ABD"/>
    <w:rsid w:val="6DB359B4"/>
    <w:rsid w:val="6E3D1FD3"/>
    <w:rsid w:val="6E851FCC"/>
    <w:rsid w:val="6F0D200D"/>
    <w:rsid w:val="6F0D3F47"/>
    <w:rsid w:val="6F6126B0"/>
    <w:rsid w:val="6F797E6A"/>
    <w:rsid w:val="707912DA"/>
    <w:rsid w:val="708446DD"/>
    <w:rsid w:val="71C01745"/>
    <w:rsid w:val="722A3D19"/>
    <w:rsid w:val="72777687"/>
    <w:rsid w:val="73304612"/>
    <w:rsid w:val="740F40B8"/>
    <w:rsid w:val="74726C59"/>
    <w:rsid w:val="74730F39"/>
    <w:rsid w:val="749879EC"/>
    <w:rsid w:val="74C76A1C"/>
    <w:rsid w:val="76076E1C"/>
    <w:rsid w:val="76610A35"/>
    <w:rsid w:val="77134C4A"/>
    <w:rsid w:val="773F4EBA"/>
    <w:rsid w:val="77520D58"/>
    <w:rsid w:val="77EE068E"/>
    <w:rsid w:val="781F2ADC"/>
    <w:rsid w:val="78570929"/>
    <w:rsid w:val="78902F96"/>
    <w:rsid w:val="79163B3B"/>
    <w:rsid w:val="7922042A"/>
    <w:rsid w:val="793B7903"/>
    <w:rsid w:val="795069DB"/>
    <w:rsid w:val="79986B03"/>
    <w:rsid w:val="7A106FE1"/>
    <w:rsid w:val="7A374F60"/>
    <w:rsid w:val="7B0751B9"/>
    <w:rsid w:val="7B227200"/>
    <w:rsid w:val="7B4A3BA0"/>
    <w:rsid w:val="7B580C40"/>
    <w:rsid w:val="7B603535"/>
    <w:rsid w:val="7B6D32FA"/>
    <w:rsid w:val="7C764ED8"/>
    <w:rsid w:val="7C855A65"/>
    <w:rsid w:val="7D2346C8"/>
    <w:rsid w:val="7DB51566"/>
    <w:rsid w:val="7E0B3D48"/>
    <w:rsid w:val="7E3F7F0D"/>
    <w:rsid w:val="7E9C305C"/>
    <w:rsid w:val="7EE043C7"/>
    <w:rsid w:val="7F717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6</TotalTime>
  <ScaleCrop>false</ScaleCrop>
  <LinksUpToDate>false</LinksUpToDate>
  <CharactersWithSpaces>16570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陈壹</cp:lastModifiedBy>
  <cp:lastPrinted>2023-02-08T08:43:00Z</cp:lastPrinted>
  <dcterms:modified xsi:type="dcterms:W3CDTF">2024-03-05T01:14:33Z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