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ascii="宋体" w:hAnsi="宋体" w:eastAsia="宋体" w:cs="宋体"/>
          <w:b/>
          <w:bCs/>
          <w:sz w:val="48"/>
          <w:szCs w:val="48"/>
          <w:highlight w:val="none"/>
          <w:lang w:val="en-US" w:eastAsia="zh-CN"/>
        </w:rPr>
        <w:t>驻马店市中心医院手持PDA采购项目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eastAsia="宋体" w:cs="宋体"/>
          <w:bCs/>
          <w:color w:val="auto"/>
          <w:kern w:val="0"/>
          <w:sz w:val="28"/>
          <w:szCs w:val="28"/>
          <w:highlight w:val="none"/>
          <w:u w:val="none"/>
          <w:lang w:val="en-US" w:eastAsia="zh-CN"/>
        </w:rPr>
        <w:t>驻马店市中心医院手持PDA采购项目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手持PDA采购项目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驻马店市中心医院手持PDA采购项目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13.5</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交货期：以采购人要求为准；</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4040"/>
      <w:bookmarkStart w:id="10" w:name="_Toc26079"/>
      <w:bookmarkStart w:id="11" w:name="_Toc21071"/>
      <w:bookmarkStart w:id="12" w:name="_Toc19521"/>
      <w:bookmarkStart w:id="13" w:name="_Toc27913"/>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3626"/>
      <w:bookmarkStart w:id="15" w:name="_Toc18607"/>
      <w:bookmarkStart w:id="16" w:name="_Toc16639"/>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7823"/>
      <w:bookmarkStart w:id="19" w:name="_Toc23395"/>
      <w:bookmarkStart w:id="20" w:name="_Toc9562"/>
      <w:bookmarkStart w:id="21" w:name="_Toc30643"/>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7480"/>
      <w:bookmarkStart w:id="24" w:name="_Toc10738"/>
      <w:bookmarkStart w:id="25" w:name="_Toc25869"/>
      <w:bookmarkStart w:id="26" w:name="_Toc15111"/>
      <w:bookmarkStart w:id="27" w:name="_Toc15135"/>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30918"/>
      <w:bookmarkStart w:id="29" w:name="_Toc6523"/>
      <w:bookmarkStart w:id="30" w:name="_Toc20287"/>
      <w:bookmarkStart w:id="31" w:name="_Toc2978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24274"/>
      <w:bookmarkStart w:id="34" w:name="_Toc27370"/>
      <w:bookmarkStart w:id="35" w:name="_Toc31928"/>
      <w:bookmarkStart w:id="36" w:name="_Toc1629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ascii="宋体" w:hAnsi="宋体" w:eastAsia="宋体" w:cs="宋体"/>
          <w:color w:val="auto"/>
        </w:rPr>
      </w:pP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31536"/>
      <w:bookmarkStart w:id="38" w:name="_Toc9989"/>
      <w:bookmarkStart w:id="39" w:name="_Toc23610"/>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eastAsia="宋体" w:cs="宋体"/>
          <w:b w:val="0"/>
          <w:bCs w:val="0"/>
          <w:color w:val="auto"/>
          <w:kern w:val="0"/>
          <w:sz w:val="24"/>
          <w:szCs w:val="24"/>
          <w:highlight w:val="none"/>
          <w:u w:val="single"/>
          <w:shd w:val="clear" w:color="auto" w:fill="FFFFFF"/>
          <w:lang w:val="en-US" w:eastAsia="zh-CN" w:bidi="ar-SA"/>
        </w:rPr>
        <w:t>驻马店市中心医院手持PDA采购项目。</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 xml:space="preserve">由于部分科室患者增加，原有PDA数量不能满足日常工作需求，另外新增加科室也需要发放PDA，为保证移动护理工作的正常开展，信息科集中新增采购PDA30台      </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手持PDA</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13.5万元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vertAlign w:val="baseline"/>
                <w:lang w:val="en-US" w:eastAsia="zh-CN"/>
              </w:rPr>
              <w:t>13.5万元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25"/>
        <w:gridCol w:w="1444"/>
        <w:gridCol w:w="6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序号</w:t>
            </w:r>
          </w:p>
        </w:tc>
        <w:tc>
          <w:tcPr>
            <w:tcW w:w="925"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类别</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指标项目</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p>
        </w:tc>
        <w:tc>
          <w:tcPr>
            <w:tcW w:w="925" w:type="dxa"/>
            <w:vMerge w:val="restart"/>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基础参数</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★处理器</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高通八核处理器，频率≥2.0GHZ；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运行内存</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≥4GB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3</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储存内存</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≥64GB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Merge w:val="restart"/>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4</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Merge w:val="restart"/>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★续航能力</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可充电的锂离子电池，容量≥5000mAh，工作时间≥10小时；内置备份电功能，在更换电池状态下设备不关机，现场提供样机验证；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为方便后期电池维护等问题，电池不借助于第三方工具可拆卸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Type-C接口，支持快充技术，支持OTG。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5</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★屏幕尺寸</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≥5.45英寸，电容多点触控，支持戴手套/带水触摸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6</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屏幕分辨率</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分辨率≥1440*720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7</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摄像头</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前置摄像头不小于500万像素；后置摄像头不小于1300 万像素，支持自动对焦和闪光灯，位于机身背部方便取景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8</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手电筒</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支持一键启动手电功能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9</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扩展卡槽</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须满足2个及以上卡槽，同时支持1张SIM卡和1张TF卡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10</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尺寸</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≤158mm*78mm*15mm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1</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★按键</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为便于消毒清洗，设备正面必须为触控按键，不得有实体按键，提供样机验证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2</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★防摔抗震</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可承受1.5m高处到地面的多次跌落，室温下6个面每面不少于2次跌落,提供检测报告复印件。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3</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外壳材料</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白色抑菌材料，可耐受医用酒精、医用过氧化氢等医院常用消毒剂（含屏幕部分），整机支持紫外线消毒；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4</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★防水防尘工业等级</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≥IP68，提供检测报告复印件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5</w:t>
            </w:r>
          </w:p>
        </w:tc>
        <w:tc>
          <w:tcPr>
            <w:tcW w:w="925" w:type="dxa"/>
            <w:vMerge w:val="restart"/>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网络参数</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WIFI网络</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支持802.11a/b/g/n/ac协议，2.4G/5G双频，取决于国家(地区)，2.4GHz为2.412GHz-2.472 GHz；5GHz为5.170GHz-5.825GHz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6</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4G网络</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支持4G全网通；双卡双待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7</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蓝牙网络</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Bluetooth 5,1（支持BLE）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1</w:t>
            </w:r>
            <w:r>
              <w:rPr>
                <w:rFonts w:hint="eastAsia" w:ascii="宋体" w:hAnsi="宋体" w:cs="宋体"/>
                <w:b w:val="0"/>
                <w:bCs w:val="0"/>
                <w:color w:val="auto"/>
                <w:kern w:val="0"/>
                <w:sz w:val="24"/>
                <w:szCs w:val="24"/>
                <w:highlight w:val="none"/>
                <w:shd w:val="clear" w:color="auto" w:fill="FFFFFF"/>
                <w:lang w:val="en-US" w:eastAsia="zh-CN" w:bidi="ar-SA"/>
              </w:rPr>
              <w:t>8</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定位系统</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支持主流定位服务，GPS，北斗等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18.1</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条码扫描引擎</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专业条码解码引擎，支持一维条码和二维条码读取，扫描引擎要求由PDA厂家原厂生产。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18.2</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★GS1条码读取</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支持GS1条码识别，扫描工具同步支持设置GS1应用标识分隔符开关功能（需提供功能截图证明文件）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18.3</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★多条码读取</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支持多条码读取，扫描工具同步支持设置GS1多条码排序功能（需提供功能截图证明文件）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18.4</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★扫描曝光</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补光灯曝光根据临床使用需求可调整亮度（需提供功能截图证明文件）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19</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★准心扫描</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可实现PDA准心扫描，防止相邻条码的误读（需提供功能截图证明文件）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0</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★扫描按键</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同时支持左右两侧实体扫描按键及屏幕虚拟扫描按键（需提供功能截图证明文件）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1</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可读写标签</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支持ISO15693、ISO14443A/B（不带加密协议）、ISO14443A带加密协议的标签（Mifare one S50,S70及其兼容卡片）；支持NFC协议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2</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读取距离</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支持读取距离0-6cm (ISO15693),0-4cm(ISO14443A)，0-1cm(ISO14443B)(与标签有关)距离与标签有关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3</w:t>
            </w:r>
          </w:p>
        </w:tc>
        <w:tc>
          <w:tcPr>
            <w:tcW w:w="925" w:type="dxa"/>
            <w:vMerge w:val="restart"/>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软件平台</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操作系统</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Android 11.0或以上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4</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二维码快捷设置</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通过扫描二维码快速实现复制其他设备部分设置，如条码、WiFi等设置（需提供功能截图证明文件）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5</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安全管理桌面</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系统自带安全管理桌面，限制使用指定APP（需提供功能截图证明文件）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6</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网络安全管理</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不借助任何第三方软件实现添加网络白（黑）名单功能，屏蔽非法网络，确保设备院内医疗使用。（需提供功能截图证明文件）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2</w:t>
            </w:r>
            <w:r>
              <w:rPr>
                <w:rFonts w:hint="eastAsia" w:ascii="宋体" w:hAnsi="宋体" w:cs="宋体"/>
                <w:b w:val="0"/>
                <w:bCs w:val="0"/>
                <w:color w:val="auto"/>
                <w:kern w:val="0"/>
                <w:sz w:val="24"/>
                <w:szCs w:val="24"/>
                <w:highlight w:val="none"/>
                <w:shd w:val="clear" w:color="auto" w:fill="FFFFFF"/>
                <w:lang w:val="en-US" w:eastAsia="zh-CN" w:bidi="ar-SA"/>
              </w:rPr>
              <w:t>7</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系统安全设计</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具有密码验证机制，在安装新的APP需要输入密码方可确认、可设置APP使用权限，禁止使用非法APP应用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28</w:t>
            </w:r>
          </w:p>
        </w:tc>
        <w:tc>
          <w:tcPr>
            <w:tcW w:w="925"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其他标准配件</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配件要求</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便携适配器（CCC、欧规、英规）×1 、Type C数据通信线×1 、手绳×1 、钢化玻璃膜×1 、硅胶保护套×1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b w:val="0"/>
                <w:bCs w:val="0"/>
                <w:color w:val="auto"/>
                <w:kern w:val="0"/>
                <w:sz w:val="24"/>
                <w:szCs w:val="24"/>
                <w:highlight w:val="none"/>
                <w:shd w:val="clear" w:color="auto" w:fill="FFFFFF"/>
                <w:lang w:val="en-US" w:eastAsia="zh-CN" w:bidi="ar-SA"/>
              </w:rPr>
              <w:t>29</w:t>
            </w:r>
          </w:p>
        </w:tc>
        <w:tc>
          <w:tcPr>
            <w:tcW w:w="925"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其他</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认证</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CCC认证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3</w:t>
            </w:r>
            <w:r>
              <w:rPr>
                <w:rFonts w:hint="eastAsia" w:ascii="宋体" w:hAnsi="宋体" w:cs="宋体"/>
                <w:b w:val="0"/>
                <w:bCs w:val="0"/>
                <w:color w:val="auto"/>
                <w:kern w:val="0"/>
                <w:sz w:val="24"/>
                <w:szCs w:val="24"/>
                <w:highlight w:val="none"/>
                <w:shd w:val="clear" w:color="auto" w:fill="FFFFFF"/>
                <w:lang w:val="en-US" w:eastAsia="zh-CN" w:bidi="ar-SA"/>
              </w:rPr>
              <w:t>0</w:t>
            </w:r>
          </w:p>
        </w:tc>
        <w:tc>
          <w:tcPr>
            <w:tcW w:w="925" w:type="dxa"/>
            <w:vMerge w:val="restart"/>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服务</w:t>
            </w: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质保</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产品免费质保期五年，质保期后维修费用的收费标准需要提供详细清单。或供方有其他免费服务或更长免费质保期。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3</w:t>
            </w:r>
            <w:r>
              <w:rPr>
                <w:rFonts w:hint="eastAsia" w:ascii="宋体" w:hAnsi="宋体" w:cs="宋体"/>
                <w:b w:val="0"/>
                <w:bCs w:val="0"/>
                <w:color w:val="auto"/>
                <w:kern w:val="0"/>
                <w:sz w:val="24"/>
                <w:szCs w:val="24"/>
                <w:highlight w:val="none"/>
                <w:shd w:val="clear" w:color="auto" w:fill="FFFFFF"/>
                <w:lang w:val="en-US" w:eastAsia="zh-CN" w:bidi="ar-SA"/>
              </w:rPr>
              <w:t>1</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技术支持</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提供7*24小时技术支持，技术支持无法处理故障或医院要求的情况下4小时内能够到达现场解决问题。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96"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3</w:t>
            </w:r>
            <w:r>
              <w:rPr>
                <w:rFonts w:hint="eastAsia" w:ascii="宋体" w:hAnsi="宋体" w:cs="宋体"/>
                <w:b w:val="0"/>
                <w:bCs w:val="0"/>
                <w:color w:val="auto"/>
                <w:kern w:val="0"/>
                <w:sz w:val="24"/>
                <w:szCs w:val="24"/>
                <w:highlight w:val="none"/>
                <w:shd w:val="clear" w:color="auto" w:fill="FFFFFF"/>
                <w:lang w:val="en-US" w:eastAsia="zh-CN" w:bidi="ar-SA"/>
              </w:rPr>
              <w:t>2</w:t>
            </w:r>
          </w:p>
        </w:tc>
        <w:tc>
          <w:tcPr>
            <w:tcW w:w="925" w:type="dxa"/>
            <w:vMerge w:val="continue"/>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p>
        </w:tc>
        <w:tc>
          <w:tcPr>
            <w:tcW w:w="1444"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对接</w:t>
            </w:r>
          </w:p>
        </w:tc>
        <w:tc>
          <w:tcPr>
            <w:tcW w:w="6019" w:type="dxa"/>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保证该产品能够与院内移动护理系统兼容，与院内系统对接，实现与院内系统间的互联互通。</w:t>
            </w: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五、商务要求：</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（1）提供7*24小时电话、QQ、热线电话、远程网络、现场等技术支持服务，对于系统故障，在接到用户报修电话后，1小时内给予响应，积极配合诊断并进行处理。</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（2）如判断故障无法远程排除，立即安排高级技术人员在接到报修电话后，4小时内到达现场进行维护或维修，在12小时内无法解决的应提供同型号备机保障系统的正常运行。</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（3）提供从系统验收合格之日起，软硬件系统5年的免费质保服务。</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（4）系统上线时及运维期间，中标方需至少安排不少于一名服务人员提供驻场服务，随时解决设备故障。</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不少于5年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驻马店市中心医院手持PDA采购项目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13.5万元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eastAsia="宋体" w:cs="宋体"/>
          <w:b/>
          <w:bCs/>
          <w:color w:val="auto"/>
          <w:kern w:val="0"/>
          <w:sz w:val="24"/>
          <w:szCs w:val="24"/>
          <w:highlight w:val="none"/>
          <w:lang w:val="en-US" w:eastAsia="zh-CN"/>
        </w:rPr>
        <w:t>13.5</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4700"/>
      <w:bookmarkStart w:id="44" w:name="_Toc9022"/>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加“</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非加“</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w:t>
            </w:r>
            <w:r>
              <w:rPr>
                <w:rFonts w:hint="eastAsia" w:ascii="宋体" w:hAnsi="宋体" w:cs="宋体"/>
                <w:b w:val="0"/>
                <w:bCs w:val="0"/>
                <w:color w:val="auto"/>
                <w:kern w:val="0"/>
                <w:sz w:val="24"/>
                <w:szCs w:val="24"/>
                <w:highlight w:val="none"/>
                <w:lang w:val="en-US" w:eastAsia="zh-CN"/>
              </w:rPr>
              <w:t>1</w:t>
            </w:r>
            <w:bookmarkStart w:id="91" w:name="_GoBack"/>
            <w:bookmarkEnd w:id="91"/>
            <w:r>
              <w:rPr>
                <w:rFonts w:hint="eastAsia" w:ascii="宋体" w:hAnsi="宋体" w:eastAsia="宋体" w:cs="宋体"/>
                <w:b w:val="0"/>
                <w:bCs w:val="0"/>
                <w:color w:val="auto"/>
                <w:kern w:val="0"/>
                <w:sz w:val="24"/>
                <w:szCs w:val="24"/>
                <w:highlight w:val="none"/>
                <w:lang w:val="en-US" w:eastAsia="zh-CN"/>
              </w:rPr>
              <w:t>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482"/>
      <w:bookmarkStart w:id="48" w:name="_Toc1947"/>
      <w:bookmarkStart w:id="49" w:name="_Toc256519703"/>
      <w:bookmarkStart w:id="50"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12222"/>
      <w:bookmarkStart w:id="71" w:name="_Toc625"/>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4984"/>
      <w:bookmarkStart w:id="75" w:name="_Toc2200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0420"/>
      <w:bookmarkStart w:id="79" w:name="_Toc2996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驻马店市中心医院手持PDA采购项目采购文件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驻马店市中心医院手持PDA采购项目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68A0B4B"/>
    <w:rsid w:val="0750142A"/>
    <w:rsid w:val="07936C1F"/>
    <w:rsid w:val="080812F8"/>
    <w:rsid w:val="08105FA6"/>
    <w:rsid w:val="08C1066A"/>
    <w:rsid w:val="0A6566E6"/>
    <w:rsid w:val="0B1413C2"/>
    <w:rsid w:val="0BEF4CA9"/>
    <w:rsid w:val="0C057F6B"/>
    <w:rsid w:val="0C6F5DE9"/>
    <w:rsid w:val="0C877CFB"/>
    <w:rsid w:val="0CE82491"/>
    <w:rsid w:val="0D3A1F53"/>
    <w:rsid w:val="0D5030A6"/>
    <w:rsid w:val="0D7116ED"/>
    <w:rsid w:val="0D8E6743"/>
    <w:rsid w:val="0D923C0B"/>
    <w:rsid w:val="0D961094"/>
    <w:rsid w:val="0DD203DE"/>
    <w:rsid w:val="0EDD4937"/>
    <w:rsid w:val="0F083E44"/>
    <w:rsid w:val="0FF85943"/>
    <w:rsid w:val="1003424E"/>
    <w:rsid w:val="100D65BF"/>
    <w:rsid w:val="10CF353C"/>
    <w:rsid w:val="11CE7E08"/>
    <w:rsid w:val="11F33019"/>
    <w:rsid w:val="12213B8E"/>
    <w:rsid w:val="12F40DF6"/>
    <w:rsid w:val="13695774"/>
    <w:rsid w:val="13F53FEC"/>
    <w:rsid w:val="14380591"/>
    <w:rsid w:val="144F7691"/>
    <w:rsid w:val="146A4213"/>
    <w:rsid w:val="148C5949"/>
    <w:rsid w:val="15155054"/>
    <w:rsid w:val="159B19FD"/>
    <w:rsid w:val="17312619"/>
    <w:rsid w:val="18616F2E"/>
    <w:rsid w:val="19EB0503"/>
    <w:rsid w:val="1A2028DA"/>
    <w:rsid w:val="1A667D36"/>
    <w:rsid w:val="1A7F7CE9"/>
    <w:rsid w:val="1A856091"/>
    <w:rsid w:val="1B060913"/>
    <w:rsid w:val="1BDB2463"/>
    <w:rsid w:val="1C0E7EC3"/>
    <w:rsid w:val="1C2C60F9"/>
    <w:rsid w:val="1C5446B4"/>
    <w:rsid w:val="1C597898"/>
    <w:rsid w:val="1CDF0421"/>
    <w:rsid w:val="1D0E0D07"/>
    <w:rsid w:val="1DA32633"/>
    <w:rsid w:val="1E4470D6"/>
    <w:rsid w:val="1EAF1273"/>
    <w:rsid w:val="1F486752"/>
    <w:rsid w:val="211547B3"/>
    <w:rsid w:val="212A2D39"/>
    <w:rsid w:val="222B4109"/>
    <w:rsid w:val="22D30A28"/>
    <w:rsid w:val="22F914CA"/>
    <w:rsid w:val="23F57CC4"/>
    <w:rsid w:val="241C7367"/>
    <w:rsid w:val="254370DC"/>
    <w:rsid w:val="25A93CC2"/>
    <w:rsid w:val="25C46BF1"/>
    <w:rsid w:val="267F6B83"/>
    <w:rsid w:val="291547CE"/>
    <w:rsid w:val="296D7CC2"/>
    <w:rsid w:val="296E0EB4"/>
    <w:rsid w:val="2976035F"/>
    <w:rsid w:val="2A7B1BDE"/>
    <w:rsid w:val="2AC82E3D"/>
    <w:rsid w:val="2AD830E5"/>
    <w:rsid w:val="2C2A1794"/>
    <w:rsid w:val="2C5C7953"/>
    <w:rsid w:val="2C92725E"/>
    <w:rsid w:val="2CE81EF4"/>
    <w:rsid w:val="2E366B06"/>
    <w:rsid w:val="2EBD258D"/>
    <w:rsid w:val="30FC2BBF"/>
    <w:rsid w:val="31035B63"/>
    <w:rsid w:val="31603DCF"/>
    <w:rsid w:val="31986C26"/>
    <w:rsid w:val="31DB5FAA"/>
    <w:rsid w:val="322632A5"/>
    <w:rsid w:val="324059AE"/>
    <w:rsid w:val="333105F2"/>
    <w:rsid w:val="33F74D7E"/>
    <w:rsid w:val="34445835"/>
    <w:rsid w:val="346A0AC1"/>
    <w:rsid w:val="349A13A6"/>
    <w:rsid w:val="350D171A"/>
    <w:rsid w:val="35150A2C"/>
    <w:rsid w:val="35C7280A"/>
    <w:rsid w:val="35E2289C"/>
    <w:rsid w:val="36B907B2"/>
    <w:rsid w:val="37B207B5"/>
    <w:rsid w:val="382252E2"/>
    <w:rsid w:val="38865FCC"/>
    <w:rsid w:val="38912AC0"/>
    <w:rsid w:val="38D93693"/>
    <w:rsid w:val="38E928FC"/>
    <w:rsid w:val="38EC2E34"/>
    <w:rsid w:val="3987255E"/>
    <w:rsid w:val="39984708"/>
    <w:rsid w:val="39AE5E23"/>
    <w:rsid w:val="39E93199"/>
    <w:rsid w:val="3AAD1707"/>
    <w:rsid w:val="3B546702"/>
    <w:rsid w:val="3BEB698B"/>
    <w:rsid w:val="3C265C15"/>
    <w:rsid w:val="3CE36288"/>
    <w:rsid w:val="3D226758"/>
    <w:rsid w:val="3D4E71D1"/>
    <w:rsid w:val="3DAA28E7"/>
    <w:rsid w:val="3EB43064"/>
    <w:rsid w:val="3FC64050"/>
    <w:rsid w:val="3FC75496"/>
    <w:rsid w:val="40047331"/>
    <w:rsid w:val="411F75E2"/>
    <w:rsid w:val="415D5C35"/>
    <w:rsid w:val="41923405"/>
    <w:rsid w:val="42277FF1"/>
    <w:rsid w:val="42770F78"/>
    <w:rsid w:val="436D5ED7"/>
    <w:rsid w:val="441440F3"/>
    <w:rsid w:val="47CA1B4A"/>
    <w:rsid w:val="47EC7D13"/>
    <w:rsid w:val="47FE17F4"/>
    <w:rsid w:val="483B72D6"/>
    <w:rsid w:val="48A82426"/>
    <w:rsid w:val="48D10692"/>
    <w:rsid w:val="48E20F21"/>
    <w:rsid w:val="4914486F"/>
    <w:rsid w:val="49A95315"/>
    <w:rsid w:val="49DB1DED"/>
    <w:rsid w:val="4B007631"/>
    <w:rsid w:val="4B4B2D51"/>
    <w:rsid w:val="4BA803F5"/>
    <w:rsid w:val="4BBF74EC"/>
    <w:rsid w:val="4C185248"/>
    <w:rsid w:val="4C235CCD"/>
    <w:rsid w:val="4D127DDB"/>
    <w:rsid w:val="4D6F30D1"/>
    <w:rsid w:val="4DBD705E"/>
    <w:rsid w:val="4DD06B99"/>
    <w:rsid w:val="4E2E44B5"/>
    <w:rsid w:val="4F2C4E99"/>
    <w:rsid w:val="4F4E12B3"/>
    <w:rsid w:val="4F8E57CE"/>
    <w:rsid w:val="4F9B0496"/>
    <w:rsid w:val="4FFC63CE"/>
    <w:rsid w:val="509B6FFA"/>
    <w:rsid w:val="50AC7D95"/>
    <w:rsid w:val="519805C3"/>
    <w:rsid w:val="51F92A4C"/>
    <w:rsid w:val="52426781"/>
    <w:rsid w:val="52750905"/>
    <w:rsid w:val="52A864AB"/>
    <w:rsid w:val="53370970"/>
    <w:rsid w:val="539F20DD"/>
    <w:rsid w:val="54C87412"/>
    <w:rsid w:val="54CF5078"/>
    <w:rsid w:val="54E1471D"/>
    <w:rsid w:val="551C35C3"/>
    <w:rsid w:val="562528DD"/>
    <w:rsid w:val="56A812A9"/>
    <w:rsid w:val="56E10F23"/>
    <w:rsid w:val="57631674"/>
    <w:rsid w:val="57877110"/>
    <w:rsid w:val="58A12453"/>
    <w:rsid w:val="58AE4B70"/>
    <w:rsid w:val="5A295181"/>
    <w:rsid w:val="5A8A4DE4"/>
    <w:rsid w:val="5ABA15AB"/>
    <w:rsid w:val="5B1B7148"/>
    <w:rsid w:val="5C3918FB"/>
    <w:rsid w:val="5C5D3A0F"/>
    <w:rsid w:val="5CF50FC0"/>
    <w:rsid w:val="5DD67A13"/>
    <w:rsid w:val="5E206E1E"/>
    <w:rsid w:val="5E371164"/>
    <w:rsid w:val="5E742597"/>
    <w:rsid w:val="5F0D70EB"/>
    <w:rsid w:val="5FB7255D"/>
    <w:rsid w:val="6071095D"/>
    <w:rsid w:val="62097280"/>
    <w:rsid w:val="624125B1"/>
    <w:rsid w:val="62A212A2"/>
    <w:rsid w:val="637D0340"/>
    <w:rsid w:val="639F518E"/>
    <w:rsid w:val="63C35930"/>
    <w:rsid w:val="64164898"/>
    <w:rsid w:val="648246B8"/>
    <w:rsid w:val="65447343"/>
    <w:rsid w:val="65531B68"/>
    <w:rsid w:val="65A96DEB"/>
    <w:rsid w:val="6716400D"/>
    <w:rsid w:val="679338AF"/>
    <w:rsid w:val="67C5345F"/>
    <w:rsid w:val="680631FA"/>
    <w:rsid w:val="68664B20"/>
    <w:rsid w:val="68BC0BE4"/>
    <w:rsid w:val="68CD32D8"/>
    <w:rsid w:val="69552C6B"/>
    <w:rsid w:val="69F745C9"/>
    <w:rsid w:val="69FA5E67"/>
    <w:rsid w:val="6B9D4684"/>
    <w:rsid w:val="6BC54253"/>
    <w:rsid w:val="6BF02721"/>
    <w:rsid w:val="6C6D0B73"/>
    <w:rsid w:val="6C8B2DA7"/>
    <w:rsid w:val="6D891ABD"/>
    <w:rsid w:val="6DB359B4"/>
    <w:rsid w:val="6E3D1FD3"/>
    <w:rsid w:val="6F0D200D"/>
    <w:rsid w:val="6F0D3F47"/>
    <w:rsid w:val="6F6126B0"/>
    <w:rsid w:val="6F797E6A"/>
    <w:rsid w:val="707912DA"/>
    <w:rsid w:val="71C01745"/>
    <w:rsid w:val="722A3D19"/>
    <w:rsid w:val="72777687"/>
    <w:rsid w:val="73304612"/>
    <w:rsid w:val="740F40B8"/>
    <w:rsid w:val="74726C59"/>
    <w:rsid w:val="74730F39"/>
    <w:rsid w:val="749879EC"/>
    <w:rsid w:val="74C76A1C"/>
    <w:rsid w:val="76076E1C"/>
    <w:rsid w:val="76610A35"/>
    <w:rsid w:val="77134C4A"/>
    <w:rsid w:val="773F4EBA"/>
    <w:rsid w:val="77520D58"/>
    <w:rsid w:val="77EE068E"/>
    <w:rsid w:val="781F2ADC"/>
    <w:rsid w:val="78570929"/>
    <w:rsid w:val="79163B3B"/>
    <w:rsid w:val="7922042A"/>
    <w:rsid w:val="793B7903"/>
    <w:rsid w:val="795069DB"/>
    <w:rsid w:val="79986B03"/>
    <w:rsid w:val="7A106FE1"/>
    <w:rsid w:val="7A374F60"/>
    <w:rsid w:val="7B0751B9"/>
    <w:rsid w:val="7B227200"/>
    <w:rsid w:val="7B4A3BA0"/>
    <w:rsid w:val="7B580C40"/>
    <w:rsid w:val="7B603535"/>
    <w:rsid w:val="7B6D32FA"/>
    <w:rsid w:val="7C764ED8"/>
    <w:rsid w:val="7C855A65"/>
    <w:rsid w:val="7D2346C8"/>
    <w:rsid w:val="7DB51566"/>
    <w:rsid w:val="7E0B3D48"/>
    <w:rsid w:val="7E3F7F0D"/>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2</TotalTime>
  <ScaleCrop>false</ScaleCrop>
  <LinksUpToDate>false</LinksUpToDate>
  <CharactersWithSpaces>16570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2024-03-05T00:31:10Z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