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驻马店市中心医院虚拟化集群内存扩容项目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spacing w:val="40"/>
          <w:sz w:val="34"/>
          <w:szCs w:val="34"/>
          <w:highlight w:val="none"/>
          <w:lang w:val="en-US" w:eastAsia="zh-CN"/>
        </w:rPr>
        <w:t>2024年2月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驻马店市中心医院虚拟化集群内存扩容项目竞争性磋商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虚拟化集群内存扩容项目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驻马店市中心医院虚拟化集群内存扩容项目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20</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7913"/>
      <w:bookmarkStart w:id="11" w:name="_Toc21071"/>
      <w:bookmarkStart w:id="12" w:name="_Toc26079"/>
      <w:bookmarkStart w:id="13" w:name="_Toc24040"/>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18607"/>
      <w:bookmarkStart w:id="16" w:name="_Toc27704"/>
      <w:bookmarkStart w:id="17" w:name="_Toc23626"/>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7823"/>
      <w:bookmarkStart w:id="20" w:name="_Toc9562"/>
      <w:bookmarkStart w:id="21" w:name="_Toc23395"/>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cs="宋体"/>
          <w:color w:val="FF0000"/>
          <w:sz w:val="24"/>
          <w:szCs w:val="24"/>
          <w:highlight w:val="none"/>
          <w:shd w:val="clear" w:color="auto" w:fill="FFFFFF"/>
          <w:lang w:eastAsia="zh-CN"/>
        </w:rPr>
        <w:t>2024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5</w:t>
      </w:r>
      <w:r>
        <w:rPr>
          <w:rFonts w:hint="eastAsia" w:ascii="宋体" w:hAnsi="宋体" w:eastAsia="宋体" w:cs="宋体"/>
          <w:color w:val="FF0000"/>
          <w:sz w:val="24"/>
          <w:szCs w:val="24"/>
          <w:highlight w:val="none"/>
          <w:shd w:val="clear" w:color="auto" w:fill="FFFFFF"/>
        </w:rPr>
        <w:t>日-</w:t>
      </w:r>
      <w:r>
        <w:rPr>
          <w:rFonts w:hint="eastAsia" w:ascii="宋体" w:hAnsi="宋体" w:cs="宋体"/>
          <w:color w:val="FF0000"/>
          <w:sz w:val="24"/>
          <w:szCs w:val="24"/>
          <w:highlight w:val="none"/>
          <w:shd w:val="clear" w:color="auto" w:fill="FFFFFF"/>
          <w:lang w:eastAsia="zh-CN"/>
        </w:rPr>
        <w:t>2024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7</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1150105437</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360"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7480"/>
      <w:bookmarkStart w:id="25" w:name="_Toc15111"/>
      <w:bookmarkStart w:id="26" w:name="_Toc25869"/>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30918"/>
      <w:bookmarkStart w:id="30" w:name="_Toc6523"/>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1928"/>
      <w:bookmarkStart w:id="33" w:name="_Toc27370"/>
      <w:bookmarkStart w:id="34" w:name="_Toc24274"/>
      <w:bookmarkStart w:id="35" w:name="_Toc16291"/>
      <w:bookmarkStart w:id="36" w:name="_Toc3604"/>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：王女士</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联系电话：18639627370</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报名联系人2：吴先生</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0396-2858369</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rPr>
      </w:pPr>
      <w:r>
        <w:rPr>
          <w:rFonts w:hint="eastAsia" w:ascii="宋体" w:hAnsi="宋体" w:cs="宋体"/>
          <w:color w:val="FF0000"/>
          <w:kern w:val="0"/>
          <w:sz w:val="24"/>
          <w:szCs w:val="24"/>
          <w:shd w:val="clear" w:color="auto" w:fill="FFFFFF"/>
          <w:lang w:val="en-US" w:eastAsia="zh-CN" w:bidi="ar-SA"/>
        </w:rPr>
        <w:t>2024</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highlight w:val="none"/>
          <w:shd w:val="clear" w:color="auto" w:fill="FFFFFF"/>
          <w:lang w:val="en-US" w:eastAsia="zh-CN" w:bidi="ar-SA"/>
        </w:rPr>
        <w:t>3</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4</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9989"/>
      <w:bookmarkStart w:id="39" w:name="_Toc23610"/>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single"/>
          <w:shd w:val="clear" w:color="auto" w:fill="FFFFFF"/>
          <w:lang w:val="en-US" w:eastAsia="zh-CN" w:bidi="ar-SA"/>
        </w:rPr>
        <w:t>驻马店市中心医院</w:t>
      </w:r>
      <w:r>
        <w:rPr>
          <w:rFonts w:hint="eastAsia" w:ascii="宋体" w:hAnsi="宋体" w:cs="宋体"/>
          <w:b w:val="0"/>
          <w:bCs w:val="0"/>
          <w:color w:val="auto"/>
          <w:kern w:val="0"/>
          <w:sz w:val="24"/>
          <w:szCs w:val="24"/>
          <w:highlight w:val="none"/>
          <w:u w:val="single"/>
          <w:shd w:val="clear" w:color="auto" w:fill="FFFFFF"/>
          <w:lang w:val="en-US" w:eastAsia="zh-CN" w:bidi="ar-SA"/>
        </w:rPr>
        <w:t>虚拟化集群内存扩容项目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lang w:val="en-US" w:eastAsia="zh-CN" w:bidi="ar-SA"/>
        </w:rPr>
        <w:t>对虚拟化集群服务器进行内存扩容升级</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仿宋" w:hAnsi="仿宋" w:eastAsia="仿宋" w:cs="仿宋"/>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虚拟化集群内存扩容</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20万</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20</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tbl>
      <w:tblPr>
        <w:tblStyle w:val="33"/>
        <w:tblpPr w:leftFromText="180" w:rightFromText="180" w:vertAnchor="text" w:horzAnchor="margin" w:tblpY="12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19"/>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shd w:val="clear" w:color="auto" w:fill="D7D7D7" w:themeFill="background1" w:themeFillShade="D8"/>
            <w:vAlign w:val="center"/>
          </w:tcPr>
          <w:p>
            <w:pPr>
              <w:spacing w:line="360" w:lineRule="auto"/>
              <w:jc w:val="center"/>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序</w:t>
            </w:r>
          </w:p>
          <w:p>
            <w:pPr>
              <w:spacing w:line="360" w:lineRule="auto"/>
              <w:jc w:val="center"/>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号</w:t>
            </w:r>
          </w:p>
        </w:tc>
        <w:tc>
          <w:tcPr>
            <w:tcW w:w="719" w:type="pct"/>
            <w:shd w:val="clear" w:color="auto" w:fill="D7D7D7" w:themeFill="background1" w:themeFillShade="D8"/>
            <w:vAlign w:val="center"/>
          </w:tcPr>
          <w:p>
            <w:pPr>
              <w:spacing w:line="360" w:lineRule="auto"/>
              <w:jc w:val="center"/>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标的</w:t>
            </w:r>
          </w:p>
          <w:p>
            <w:pPr>
              <w:spacing w:line="360" w:lineRule="auto"/>
              <w:jc w:val="center"/>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名称</w:t>
            </w:r>
          </w:p>
        </w:tc>
        <w:tc>
          <w:tcPr>
            <w:tcW w:w="3884" w:type="pct"/>
            <w:shd w:val="clear" w:color="auto" w:fill="D7D7D7" w:themeFill="background1" w:themeFillShade="D8"/>
            <w:vAlign w:val="center"/>
          </w:tcPr>
          <w:p>
            <w:pPr>
              <w:spacing w:line="360" w:lineRule="auto"/>
              <w:jc w:val="center"/>
              <w:rPr>
                <w:rFonts w:hint="eastAsia" w:ascii="宋体" w:hAnsi="宋体" w:eastAsia="宋体" w:cs="宋体"/>
                <w:b/>
                <w:bCs/>
                <w:iCs/>
                <w:color w:val="000000" w:themeColor="text1"/>
                <w:sz w:val="24"/>
                <w:szCs w:val="24"/>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7" w:type="pct"/>
            <w:vAlign w:val="center"/>
          </w:tcPr>
          <w:p>
            <w:pPr>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1</w:t>
            </w:r>
          </w:p>
        </w:tc>
        <w:tc>
          <w:tcPr>
            <w:tcW w:w="719" w:type="pct"/>
            <w:vAlign w:val="center"/>
          </w:tcPr>
          <w:p>
            <w:pPr>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虚拟化集群内存扩容</w:t>
            </w:r>
          </w:p>
        </w:tc>
        <w:tc>
          <w:tcPr>
            <w:tcW w:w="3884" w:type="pct"/>
          </w:tcPr>
          <w:p>
            <w:pPr>
              <w:pStyle w:val="88"/>
              <w:numPr>
                <w:ilvl w:val="0"/>
                <w:numId w:val="1"/>
              </w:numPr>
              <w:spacing w:line="360" w:lineRule="auto"/>
              <w:ind w:left="360" w:hanging="360" w:firstLineChars="0"/>
              <w:rPr>
                <w:rFonts w:hint="eastAsia" w:ascii="宋体" w:hAnsi="宋体" w:eastAsia="宋体" w:cs="宋体"/>
                <w:kern w:val="0"/>
                <w:sz w:val="24"/>
                <w:szCs w:val="24"/>
              </w:rPr>
            </w:pPr>
            <w:r>
              <w:rPr>
                <w:rFonts w:hint="eastAsia" w:ascii="宋体" w:hAnsi="宋体" w:eastAsia="宋体" w:cs="宋体"/>
                <w:kern w:val="0"/>
                <w:sz w:val="24"/>
                <w:szCs w:val="24"/>
              </w:rPr>
              <w:t>将LIS虚拟化集群（VMware VSAN）每节点内存容量扩容至≥1TB，增加的内存须完全兼容现有内存规格，提供原厂商产品规格说明函。LIS虚拟化集群现有5个节点（HPE服务器），每节点现有内存512GB。</w:t>
            </w:r>
          </w:p>
          <w:p>
            <w:pPr>
              <w:pStyle w:val="88"/>
              <w:numPr>
                <w:ilvl w:val="0"/>
                <w:numId w:val="1"/>
              </w:numPr>
              <w:spacing w:line="360" w:lineRule="auto"/>
              <w:ind w:left="360" w:hanging="360" w:firstLineChars="0"/>
              <w:rPr>
                <w:rFonts w:hint="eastAsia" w:ascii="宋体" w:hAnsi="宋体" w:eastAsia="宋体" w:cs="宋体"/>
                <w:kern w:val="0"/>
                <w:sz w:val="24"/>
                <w:szCs w:val="24"/>
              </w:rPr>
            </w:pPr>
            <w:r>
              <w:rPr>
                <w:rFonts w:hint="eastAsia" w:ascii="宋体" w:hAnsi="宋体" w:eastAsia="宋体" w:cs="宋体"/>
                <w:kern w:val="0"/>
                <w:sz w:val="24"/>
                <w:szCs w:val="24"/>
              </w:rPr>
              <w:t>将PACS虚拟化集群（VMware VSAN）每节点内存容量扩容至≥512GB，增加的内存须完全兼容现有内存规格，提供原厂商产品规格说明函。 PACS虚拟化集群现有9个节点（HPE服务器），每节点现有内存256GB。</w:t>
            </w:r>
          </w:p>
          <w:p>
            <w:pPr>
              <w:pStyle w:val="88"/>
              <w:numPr>
                <w:ilvl w:val="0"/>
                <w:numId w:val="1"/>
              </w:numPr>
              <w:spacing w:line="360" w:lineRule="auto"/>
              <w:ind w:left="360" w:hanging="360" w:firstLineChars="0"/>
              <w:rPr>
                <w:rFonts w:hint="eastAsia" w:ascii="宋体" w:hAnsi="宋体" w:eastAsia="宋体" w:cs="宋体"/>
                <w:kern w:val="0"/>
                <w:sz w:val="24"/>
                <w:szCs w:val="24"/>
              </w:rPr>
            </w:pPr>
            <w:r>
              <w:rPr>
                <w:rFonts w:hint="eastAsia" w:ascii="宋体" w:hAnsi="宋体" w:eastAsia="宋体" w:cs="宋体"/>
                <w:color w:val="000000"/>
                <w:kern w:val="0"/>
                <w:sz w:val="24"/>
                <w:szCs w:val="24"/>
                <w:lang w:bidi="zh-CN"/>
              </w:rPr>
              <w:t>提供本项目所需要的安装调试、系统迁移等服务，</w:t>
            </w:r>
            <w:r>
              <w:rPr>
                <w:rFonts w:hint="eastAsia" w:ascii="宋体" w:hAnsi="宋体" w:eastAsia="宋体" w:cs="宋体"/>
                <w:color w:val="000000"/>
                <w:kern w:val="0"/>
                <w:sz w:val="24"/>
                <w:szCs w:val="24"/>
                <w:lang w:bidi="ar"/>
              </w:rPr>
              <w:t>提供合理可行的扩容升级方案，</w:t>
            </w:r>
            <w:r>
              <w:rPr>
                <w:rFonts w:hint="eastAsia" w:ascii="宋体" w:hAnsi="宋体" w:eastAsia="宋体" w:cs="宋体"/>
                <w:color w:val="000000"/>
                <w:kern w:val="0"/>
                <w:sz w:val="24"/>
                <w:szCs w:val="24"/>
                <w:lang w:bidi="zh-CN"/>
              </w:rPr>
              <w:t>合理调整每节点新旧内存的安装位置，保证扩容</w:t>
            </w:r>
            <w:r>
              <w:rPr>
                <w:rFonts w:hint="eastAsia" w:ascii="宋体" w:hAnsi="宋体" w:eastAsia="宋体" w:cs="宋体"/>
                <w:color w:val="000000"/>
                <w:kern w:val="0"/>
                <w:sz w:val="24"/>
                <w:szCs w:val="24"/>
                <w:lang w:bidi="ar"/>
              </w:rPr>
              <w:t>升级不造成业务中断、不影响业务正常运行。</w:t>
            </w:r>
          </w:p>
          <w:p>
            <w:pPr>
              <w:pStyle w:val="88"/>
              <w:numPr>
                <w:ilvl w:val="0"/>
                <w:numId w:val="1"/>
              </w:numPr>
              <w:spacing w:line="360" w:lineRule="auto"/>
              <w:ind w:left="360" w:hanging="360" w:firstLineChars="0"/>
              <w:rPr>
                <w:rFonts w:hint="eastAsia" w:ascii="宋体" w:hAnsi="宋体" w:eastAsia="宋体" w:cs="宋体"/>
                <w:kern w:val="0"/>
                <w:sz w:val="24"/>
                <w:szCs w:val="24"/>
              </w:rPr>
            </w:pPr>
            <w:r>
              <w:rPr>
                <w:rFonts w:hint="eastAsia" w:ascii="宋体" w:hAnsi="宋体" w:eastAsia="宋体" w:cs="宋体"/>
                <w:color w:val="000000"/>
                <w:kern w:val="0"/>
                <w:sz w:val="24"/>
                <w:szCs w:val="24"/>
              </w:rPr>
              <w:t>为保证本项目质量，本项目实施工程师须经过虚拟化（VMware）和服务器（HPE）原厂技术培训或认证。提供本项目实施工程师名单和原厂出具的技术培训证明或认证证书复印件，工程师持证上岗，未经医院同意不得更改工程师。</w:t>
            </w:r>
          </w:p>
          <w:p>
            <w:pPr>
              <w:pStyle w:val="88"/>
              <w:numPr>
                <w:ilvl w:val="0"/>
                <w:numId w:val="1"/>
              </w:numPr>
              <w:spacing w:line="360" w:lineRule="auto"/>
              <w:ind w:left="360" w:hanging="360" w:firstLineChars="0"/>
              <w:rPr>
                <w:rFonts w:hint="eastAsia" w:ascii="宋体" w:hAnsi="宋体" w:eastAsia="宋体" w:cs="宋体"/>
                <w:color w:val="000000"/>
                <w:kern w:val="0"/>
                <w:sz w:val="24"/>
                <w:szCs w:val="24"/>
              </w:rPr>
            </w:pPr>
            <w:r>
              <w:rPr>
                <w:rFonts w:hint="eastAsia" w:ascii="宋体" w:hAnsi="宋体" w:eastAsia="宋体" w:cs="宋体"/>
                <w:kern w:val="0"/>
                <w:sz w:val="24"/>
                <w:szCs w:val="24"/>
              </w:rPr>
              <w:t>提供≥1年质保。质保期内，提供7*24小时现场售后服务,</w:t>
            </w:r>
            <w:r>
              <w:rPr>
                <w:rFonts w:hint="eastAsia" w:ascii="宋体" w:hAnsi="宋体" w:eastAsia="宋体" w:cs="宋体"/>
                <w:color w:val="000000"/>
                <w:kern w:val="0"/>
                <w:sz w:val="24"/>
                <w:szCs w:val="24"/>
              </w:rPr>
              <w:t>扩容部件出现故障只换不修。</w:t>
            </w:r>
          </w:p>
          <w:p>
            <w:pPr>
              <w:pStyle w:val="88"/>
              <w:numPr>
                <w:ilvl w:val="0"/>
                <w:numId w:val="1"/>
              </w:numPr>
              <w:spacing w:line="360" w:lineRule="auto"/>
              <w:ind w:left="360" w:hanging="360" w:firstLineChars="0"/>
              <w:rPr>
                <w:rFonts w:hint="eastAsia" w:ascii="宋体" w:hAnsi="宋体" w:eastAsia="宋体" w:cs="宋体"/>
                <w:kern w:val="0"/>
                <w:sz w:val="24"/>
                <w:szCs w:val="24"/>
              </w:rPr>
            </w:pPr>
            <w:r>
              <w:rPr>
                <w:rFonts w:hint="eastAsia" w:ascii="宋体" w:hAnsi="宋体" w:eastAsia="宋体" w:cs="宋体"/>
                <w:color w:val="000000"/>
                <w:kern w:val="0"/>
                <w:sz w:val="24"/>
                <w:szCs w:val="24"/>
              </w:rPr>
              <w:t>货到时须随货物提供原厂出具的≥1年售后服务承诺函，列出货物序列号，能够证明货物销售对象为我院且质保期≥1年，否则退款退货并解除合同。</w:t>
            </w:r>
          </w:p>
        </w:tc>
      </w:tr>
    </w:tbl>
    <w:p>
      <w:pPr>
        <w:spacing w:line="360" w:lineRule="auto"/>
        <w:jc w:val="left"/>
        <w:rPr>
          <w:rFonts w:hint="eastAsia" w:ascii="宋体" w:hAnsi="宋体" w:eastAsia="宋体" w:cs="宋体"/>
          <w:color w:val="FF0000"/>
          <w:sz w:val="24"/>
          <w:szCs w:val="24"/>
        </w:rPr>
      </w:pP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iCs/>
          <w:sz w:val="24"/>
          <w:szCs w:val="24"/>
        </w:rPr>
      </w:pPr>
      <w:r>
        <w:rPr>
          <w:rFonts w:hint="eastAsia" w:ascii="宋体" w:hAnsi="宋体" w:cs="宋体"/>
          <w:b/>
          <w:bCs/>
          <w:kern w:val="2"/>
          <w:sz w:val="24"/>
          <w:szCs w:val="24"/>
          <w:highlight w:val="none"/>
          <w:lang w:val="en-US" w:eastAsia="zh-CN" w:bidi="ar-SA"/>
        </w:rPr>
        <w:t>五、服务要求：</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乙方交付标的物的期限为合同签订生效后的</w:t>
      </w:r>
      <w:r>
        <w:rPr>
          <w:rFonts w:hint="eastAsia" w:ascii="宋体" w:hAnsi="宋体" w:eastAsia="宋体" w:cs="宋体"/>
          <w:sz w:val="24"/>
          <w:szCs w:val="24"/>
          <w:u w:val="single"/>
        </w:rPr>
        <w:t xml:space="preserve"> 30 </w:t>
      </w:r>
      <w:r>
        <w:rPr>
          <w:rFonts w:hint="eastAsia" w:ascii="宋体" w:hAnsi="宋体" w:eastAsia="宋体" w:cs="宋体"/>
          <w:sz w:val="24"/>
          <w:szCs w:val="24"/>
        </w:rPr>
        <w:t>日内。乙方须在约定期限内，到甲方指定地点完成全部标的物的安装调试与使用培训，并将符合本合同约定标准的标的物交付甲方使用。乙方向甲方出具交付确认单，甲方签字确认后，视为交付完成。如由于甲方原因造成无法按期交付，交付时间顺延。</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验收由甲方组织，乙方配合进行：</w:t>
      </w:r>
    </w:p>
    <w:p>
      <w:pPr>
        <w:numPr>
          <w:ilvl w:val="0"/>
          <w:numId w:val="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标的物交付完成后，开始进入</w:t>
      </w:r>
      <w:r>
        <w:rPr>
          <w:rFonts w:hint="eastAsia" w:ascii="宋体" w:hAnsi="宋体" w:eastAsia="宋体" w:cs="宋体"/>
          <w:sz w:val="24"/>
          <w:szCs w:val="24"/>
          <w:u w:val="single"/>
        </w:rPr>
        <w:t xml:space="preserve"> 30 </w:t>
      </w:r>
      <w:r>
        <w:rPr>
          <w:rFonts w:hint="eastAsia" w:ascii="宋体" w:hAnsi="宋体" w:eastAsia="宋体" w:cs="宋体"/>
          <w:sz w:val="24"/>
          <w:szCs w:val="24"/>
        </w:rPr>
        <w:t>日试用期。试用期间发生质量问题，修复后试用期重新计算。试用期结束后，按照甲方内部规定的验收流程完成验收。</w:t>
      </w:r>
    </w:p>
    <w:p>
      <w:pPr>
        <w:numPr>
          <w:ilvl w:val="0"/>
          <w:numId w:val="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按照有关法律法规和标准的规定、本项目招投标文件及本合同约定的标准进行验收；甲乙双方如对验收标准有相互抵触或异议的事项，由甲方在招标文件中按质量要求和技术指标比较优胜的原则确定标准进行验收。</w:t>
      </w:r>
    </w:p>
    <w:p>
      <w:pPr>
        <w:numPr>
          <w:ilvl w:val="0"/>
          <w:numId w:val="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若验收合格，双方签署验收文件。</w:t>
      </w:r>
    </w:p>
    <w:p>
      <w:pPr>
        <w:numPr>
          <w:ilvl w:val="0"/>
          <w:numId w:val="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若验收不合格，验收方应做出详尽的现场记录，或由双方签署备忘录，乙方整改后再次提请甲方验收，因此产生时间延误和有关费用由乙方承担。</w:t>
      </w:r>
    </w:p>
    <w:p>
      <w:pPr>
        <w:numPr>
          <w:ilvl w:val="0"/>
          <w:numId w:val="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若经乙方</w:t>
      </w:r>
      <w:r>
        <w:rPr>
          <w:rFonts w:hint="eastAsia" w:ascii="宋体" w:hAnsi="宋体" w:eastAsia="宋体" w:cs="宋体"/>
          <w:sz w:val="24"/>
          <w:szCs w:val="24"/>
          <w:u w:val="single"/>
        </w:rPr>
        <w:t xml:space="preserve"> 2 </w:t>
      </w:r>
      <w:r>
        <w:rPr>
          <w:rFonts w:hint="eastAsia" w:ascii="宋体" w:hAnsi="宋体" w:eastAsia="宋体" w:cs="宋体"/>
          <w:sz w:val="24"/>
          <w:szCs w:val="24"/>
        </w:rPr>
        <w:t>次整改或整改超过</w:t>
      </w:r>
      <w:r>
        <w:rPr>
          <w:rFonts w:hint="eastAsia" w:ascii="宋体" w:hAnsi="宋体" w:eastAsia="宋体" w:cs="宋体"/>
          <w:sz w:val="24"/>
          <w:szCs w:val="24"/>
          <w:u w:val="single"/>
        </w:rPr>
        <w:t xml:space="preserve"> 30 </w:t>
      </w:r>
      <w:r>
        <w:rPr>
          <w:rFonts w:hint="eastAsia" w:ascii="宋体" w:hAnsi="宋体" w:eastAsia="宋体" w:cs="宋体"/>
          <w:sz w:val="24"/>
          <w:szCs w:val="24"/>
        </w:rPr>
        <w:t>日仍不能达到验收合格的标准，则视作乙方不能交付而违约，甲方有权退货并追究乙方的违约责任。</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乙方应将标的物的装箱清单、配件、随机工具、用户使用手册、原厂保修卡等资料交付给甲方；乙方不能完整交付标的物及本款规定的单证和工具的，必须负责补齐，否则视为未按合同约定交付。</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标的物验收合格后，乙方应向甲方提供符合甲方财务要求的付款通知书与票证资料，甲方在收到相关资料后的</w:t>
      </w:r>
      <w:r>
        <w:rPr>
          <w:rFonts w:hint="eastAsia" w:ascii="宋体" w:hAnsi="宋体" w:eastAsia="宋体" w:cs="宋体"/>
          <w:sz w:val="24"/>
          <w:szCs w:val="24"/>
          <w:u w:val="single"/>
        </w:rPr>
        <w:t xml:space="preserve"> 60 </w:t>
      </w:r>
      <w:r>
        <w:rPr>
          <w:rFonts w:hint="eastAsia" w:ascii="宋体" w:hAnsi="宋体" w:eastAsia="宋体" w:cs="宋体"/>
          <w:sz w:val="24"/>
          <w:szCs w:val="24"/>
        </w:rPr>
        <w:t>个工作日内，向乙方支付本合同总价款的</w:t>
      </w:r>
      <w:r>
        <w:rPr>
          <w:rFonts w:hint="eastAsia" w:ascii="宋体" w:hAnsi="宋体" w:eastAsia="宋体" w:cs="宋体"/>
          <w:sz w:val="24"/>
          <w:szCs w:val="24"/>
          <w:u w:val="single"/>
        </w:rPr>
        <w:t>95%（百分之九十五）</w:t>
      </w:r>
      <w:r>
        <w:rPr>
          <w:rFonts w:hint="eastAsia" w:ascii="宋体" w:hAnsi="宋体" w:eastAsia="宋体" w:cs="宋体"/>
          <w:sz w:val="24"/>
          <w:szCs w:val="24"/>
        </w:rPr>
        <w:t>。</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标的物质保期结束后，在乙方履行合同义务、不存在违约的情况下，乙方应向甲方提供符合甲方财务要求的付款通知书与票证资料，甲方在收到相关资料后的</w:t>
      </w:r>
      <w:r>
        <w:rPr>
          <w:rFonts w:hint="eastAsia" w:ascii="宋体" w:hAnsi="宋体" w:eastAsia="宋体" w:cs="宋体"/>
          <w:sz w:val="24"/>
          <w:szCs w:val="24"/>
          <w:u w:val="single"/>
        </w:rPr>
        <w:t xml:space="preserve"> 60 </w:t>
      </w:r>
      <w:r>
        <w:rPr>
          <w:rFonts w:hint="eastAsia" w:ascii="宋体" w:hAnsi="宋体" w:eastAsia="宋体" w:cs="宋体"/>
          <w:sz w:val="24"/>
          <w:szCs w:val="24"/>
        </w:rPr>
        <w:t>个工作日内，向乙方支付本合同总价款的</w:t>
      </w:r>
      <w:r>
        <w:rPr>
          <w:rFonts w:hint="eastAsia" w:ascii="宋体" w:hAnsi="宋体" w:eastAsia="宋体" w:cs="宋体"/>
          <w:sz w:val="24"/>
          <w:szCs w:val="24"/>
          <w:u w:val="single"/>
        </w:rPr>
        <w:t>5%（百分之五）</w:t>
      </w:r>
      <w:r>
        <w:rPr>
          <w:rFonts w:hint="eastAsia" w:ascii="宋体" w:hAnsi="宋体" w:eastAsia="宋体" w:cs="宋体"/>
          <w:sz w:val="24"/>
          <w:szCs w:val="24"/>
        </w:rPr>
        <w:t>。</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质保期为验收合格之日起</w:t>
      </w:r>
      <w:r>
        <w:rPr>
          <w:rFonts w:hint="eastAsia" w:ascii="宋体" w:hAnsi="宋体" w:eastAsia="宋体" w:cs="宋体"/>
          <w:sz w:val="24"/>
          <w:szCs w:val="24"/>
          <w:u w:val="single"/>
        </w:rPr>
        <w:t xml:space="preserve"> 1 </w:t>
      </w:r>
      <w:r>
        <w:rPr>
          <w:rFonts w:hint="eastAsia" w:ascii="宋体" w:hAnsi="宋体" w:eastAsia="宋体" w:cs="宋体"/>
          <w:sz w:val="24"/>
          <w:szCs w:val="24"/>
        </w:rPr>
        <w:t>年。质保期内，乙方按照以下约定提供服务。</w:t>
      </w:r>
    </w:p>
    <w:p>
      <w:pPr>
        <w:numPr>
          <w:ilvl w:val="0"/>
          <w:numId w:val="4"/>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售后服务目录如下。</w:t>
      </w:r>
    </w:p>
    <w:tbl>
      <w:tblPr>
        <w:tblStyle w:val="3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0"/>
        <w:gridCol w:w="1060"/>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9" w:type="pct"/>
            <w:shd w:val="clear" w:color="auto" w:fill="auto"/>
            <w:vAlign w:val="center"/>
          </w:tcPr>
          <w:p>
            <w:pPr>
              <w:widowControl/>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服务对象</w:t>
            </w:r>
          </w:p>
        </w:tc>
        <w:tc>
          <w:tcPr>
            <w:tcW w:w="578" w:type="pct"/>
            <w:shd w:val="clear" w:color="auto" w:fill="auto"/>
            <w:vAlign w:val="center"/>
          </w:tcPr>
          <w:p>
            <w:pPr>
              <w:widowControl/>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服务分类</w:t>
            </w:r>
          </w:p>
        </w:tc>
        <w:tc>
          <w:tcPr>
            <w:tcW w:w="578" w:type="pct"/>
            <w:shd w:val="clear" w:color="auto" w:fill="auto"/>
            <w:vAlign w:val="center"/>
          </w:tcPr>
          <w:p>
            <w:pPr>
              <w:widowControl/>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服务项目</w:t>
            </w:r>
          </w:p>
        </w:tc>
        <w:tc>
          <w:tcPr>
            <w:tcW w:w="3265" w:type="pct"/>
            <w:shd w:val="clear" w:color="auto" w:fill="auto"/>
            <w:vAlign w:val="center"/>
          </w:tcPr>
          <w:p>
            <w:pPr>
              <w:widowControl/>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79" w:type="pct"/>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乙方产品</w:t>
            </w:r>
          </w:p>
        </w:tc>
        <w:tc>
          <w:tcPr>
            <w:tcW w:w="578" w:type="pct"/>
            <w:shd w:val="clear" w:color="auto" w:fill="auto"/>
            <w:noWrap/>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响应支持</w:t>
            </w:r>
          </w:p>
        </w:tc>
        <w:tc>
          <w:tcPr>
            <w:tcW w:w="578" w:type="pct"/>
            <w:shd w:val="clear" w:color="auto" w:fill="auto"/>
            <w:noWrap/>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事件驱动响应</w:t>
            </w:r>
          </w:p>
        </w:tc>
        <w:tc>
          <w:tcPr>
            <w:tcW w:w="3265" w:type="pct"/>
            <w:shd w:val="clear" w:color="auto" w:fill="auto"/>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内容：对外部事件、系统事件或安全事件导致的服务对象整体或部分性能下降、功能丧失进行响应，将服务对象恢复到正常状态，包括但不限于故障排除、应急响应等。设备损坏的，乙方负责免费更换，更换的部件质保期重新计算。维修期间乙方须提供同档次的备机备件，确保甲方业务连续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服务方式：远程或现场。根据需要由甲方指定。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服务时间：7*24。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服务级别：响应时间 10 分钟，到场时间 3 小时，解决时间 6 小时。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交付计划：按需提供，不限次数。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交付成果：</w:t>
            </w:r>
          </w:p>
        </w:tc>
      </w:tr>
    </w:tbl>
    <w:p>
      <w:pPr>
        <w:spacing w:line="360" w:lineRule="auto"/>
        <w:rPr>
          <w:rFonts w:hint="eastAsia" w:ascii="宋体" w:hAnsi="宋体" w:eastAsia="宋体" w:cs="宋体"/>
          <w:sz w:val="24"/>
          <w:szCs w:val="24"/>
        </w:rPr>
      </w:pPr>
    </w:p>
    <w:p>
      <w:pPr>
        <w:numPr>
          <w:ilvl w:val="0"/>
          <w:numId w:val="4"/>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所有费用由乙方承担，乙方不得向甲方和第三方收取其他任何费用。</w:t>
      </w:r>
    </w:p>
    <w:p>
      <w:pPr>
        <w:numPr>
          <w:ilvl w:val="0"/>
          <w:numId w:val="4"/>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乙方驻场人员应按照甲方工作制度服从甲方管理。</w:t>
      </w:r>
    </w:p>
    <w:p>
      <w:pPr>
        <w:numPr>
          <w:ilvl w:val="0"/>
          <w:numId w:val="4"/>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若标的物经乙方</w:t>
      </w:r>
      <w:r>
        <w:rPr>
          <w:rFonts w:hint="eastAsia" w:ascii="宋体" w:hAnsi="宋体" w:eastAsia="宋体" w:cs="宋体"/>
          <w:sz w:val="24"/>
          <w:szCs w:val="24"/>
          <w:u w:val="single"/>
        </w:rPr>
        <w:t xml:space="preserve"> 2 </w:t>
      </w:r>
      <w:r>
        <w:rPr>
          <w:rFonts w:hint="eastAsia" w:ascii="宋体" w:hAnsi="宋体" w:eastAsia="宋体" w:cs="宋体"/>
          <w:sz w:val="24"/>
          <w:szCs w:val="24"/>
        </w:rPr>
        <w:t>次维修或维修超过</w:t>
      </w:r>
      <w:r>
        <w:rPr>
          <w:rFonts w:hint="eastAsia" w:ascii="宋体" w:hAnsi="宋体" w:eastAsia="宋体" w:cs="宋体"/>
          <w:sz w:val="24"/>
          <w:szCs w:val="24"/>
          <w:u w:val="single"/>
        </w:rPr>
        <w:t xml:space="preserve"> 30 </w:t>
      </w:r>
      <w:r>
        <w:rPr>
          <w:rFonts w:hint="eastAsia" w:ascii="宋体" w:hAnsi="宋体" w:eastAsia="宋体" w:cs="宋体"/>
          <w:sz w:val="24"/>
          <w:szCs w:val="24"/>
        </w:rPr>
        <w:t>天仍不能达到本合同约定标准的，或标的物经甲方送交具有法定资格条件的质量技术监督机构检测后，检测结果认定标的物质量不符合本合同约定标准的，则视作乙方不能交付标的物而违约，甲方有权退货并追究乙方的违约责任。</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对于隐蔽性的、合理的检查和试验都不能发觉的质量和安全缺陷，即使质保期已过，无论甲方是否购买维保服务，由于标的物本身的设计缺陷、制造缺陷、安装缺陷造成的故障或对甲方和第三方的财产、人身损害，仍由乙方免费负责维修、更换和承担赔偿责任。</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乙方须指派专人负责与甲方联系售后服务事宜。</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乙方应采取必要措施保障其产品和服务的安全性，发现其产品和服务存在安全缺陷、漏洞等风险、发生或可能发生安全事件时，应当立即采取补救措施，并及时告知甲方。</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乙方应配合甲方的网络与信息安全建设、测评、整改、应急、检查、审查等工作，及时向甲方提供必要的支持和协助。</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乙方对获取到的甲方有关信息负有为甲方保密的责任，甲乙双方须签订保密协议。</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若乙方未按时交付标的物的，每逾期</w:t>
      </w:r>
      <w:r>
        <w:rPr>
          <w:rFonts w:hint="eastAsia" w:ascii="宋体" w:hAnsi="宋体" w:eastAsia="宋体" w:cs="宋体"/>
          <w:sz w:val="24"/>
          <w:szCs w:val="24"/>
          <w:u w:val="single"/>
        </w:rPr>
        <w:t xml:space="preserve"> 1 </w:t>
      </w:r>
      <w:r>
        <w:rPr>
          <w:rFonts w:hint="eastAsia" w:ascii="宋体" w:hAnsi="宋体" w:eastAsia="宋体" w:cs="宋体"/>
          <w:sz w:val="24"/>
          <w:szCs w:val="24"/>
        </w:rPr>
        <w:t>日，乙方应按合同总价款的</w:t>
      </w:r>
      <w:r>
        <w:rPr>
          <w:rFonts w:hint="eastAsia" w:ascii="宋体" w:hAnsi="宋体" w:eastAsia="宋体" w:cs="宋体"/>
          <w:sz w:val="24"/>
          <w:szCs w:val="24"/>
          <w:u w:val="single"/>
        </w:rPr>
        <w:t xml:space="preserve"> 万分之五 </w:t>
      </w:r>
      <w:r>
        <w:rPr>
          <w:rFonts w:hint="eastAsia" w:ascii="宋体" w:hAnsi="宋体" w:eastAsia="宋体" w:cs="宋体"/>
          <w:sz w:val="24"/>
          <w:szCs w:val="24"/>
        </w:rPr>
        <w:t>/日向甲方支付违约金；若逾期超过</w:t>
      </w:r>
      <w:r>
        <w:rPr>
          <w:rFonts w:hint="eastAsia" w:ascii="宋体" w:hAnsi="宋体" w:eastAsia="宋体" w:cs="宋体"/>
          <w:sz w:val="24"/>
          <w:szCs w:val="24"/>
          <w:u w:val="single"/>
        </w:rPr>
        <w:t xml:space="preserve"> 30 </w:t>
      </w:r>
      <w:r>
        <w:rPr>
          <w:rFonts w:hint="eastAsia" w:ascii="宋体" w:hAnsi="宋体" w:eastAsia="宋体" w:cs="宋体"/>
          <w:sz w:val="24"/>
          <w:szCs w:val="24"/>
        </w:rPr>
        <w:t>日的，乙方除按合同总价款的</w:t>
      </w:r>
      <w:r>
        <w:rPr>
          <w:rFonts w:hint="eastAsia" w:ascii="宋体" w:hAnsi="宋体" w:eastAsia="宋体" w:cs="宋体"/>
          <w:sz w:val="24"/>
          <w:szCs w:val="24"/>
          <w:u w:val="single"/>
        </w:rPr>
        <w:t xml:space="preserve"> 万分之五 </w:t>
      </w:r>
      <w:r>
        <w:rPr>
          <w:rFonts w:hint="eastAsia" w:ascii="宋体" w:hAnsi="宋体" w:eastAsia="宋体" w:cs="宋体"/>
          <w:sz w:val="24"/>
          <w:szCs w:val="24"/>
        </w:rPr>
        <w:t>/日向甲方支付违约金外，还应按合同总价款的</w:t>
      </w:r>
      <w:r>
        <w:rPr>
          <w:rFonts w:hint="eastAsia" w:ascii="宋体" w:hAnsi="宋体" w:eastAsia="宋体" w:cs="宋体"/>
          <w:sz w:val="24"/>
          <w:szCs w:val="24"/>
          <w:u w:val="single"/>
        </w:rPr>
        <w:t xml:space="preserve"> 20％ </w:t>
      </w:r>
      <w:r>
        <w:rPr>
          <w:rFonts w:hint="eastAsia" w:ascii="宋体" w:hAnsi="宋体" w:eastAsia="宋体" w:cs="宋体"/>
          <w:sz w:val="24"/>
          <w:szCs w:val="24"/>
        </w:rPr>
        <w:t>向甲方支付违约金，并且甲方有权单方解除合同，乙方应退还已收取的全部合同款及自甲方付款至乙方退款期间的利息（按同期银行贷款利率）。</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若乙方标的物存在质量、性能、安全等缺陷，或其质量、性能、安全等特性不符合本合同约定的标准而给甲方造成工作障碍、导致安全事件发生或致人损失的，乙方应承担全部法律和赔偿责任。此情况每出现</w:t>
      </w:r>
      <w:r>
        <w:rPr>
          <w:rFonts w:hint="eastAsia" w:ascii="宋体" w:hAnsi="宋体" w:eastAsia="宋体" w:cs="宋体"/>
          <w:sz w:val="24"/>
          <w:szCs w:val="24"/>
          <w:u w:val="single"/>
        </w:rPr>
        <w:t xml:space="preserve"> 1 </w:t>
      </w:r>
      <w:r>
        <w:rPr>
          <w:rFonts w:hint="eastAsia" w:ascii="宋体" w:hAnsi="宋体" w:eastAsia="宋体" w:cs="宋体"/>
          <w:sz w:val="24"/>
          <w:szCs w:val="24"/>
        </w:rPr>
        <w:t>次，乙方应按合同总价款的</w:t>
      </w:r>
      <w:r>
        <w:rPr>
          <w:rFonts w:hint="eastAsia" w:ascii="宋体" w:hAnsi="宋体" w:eastAsia="宋体" w:cs="宋体"/>
          <w:sz w:val="24"/>
          <w:szCs w:val="24"/>
          <w:u w:val="single"/>
        </w:rPr>
        <w:t xml:space="preserve"> 3％ </w:t>
      </w:r>
      <w:r>
        <w:rPr>
          <w:rFonts w:hint="eastAsia" w:ascii="宋体" w:hAnsi="宋体" w:eastAsia="宋体" w:cs="宋体"/>
          <w:sz w:val="24"/>
          <w:szCs w:val="24"/>
        </w:rPr>
        <w:t>/次向甲方支付违约金；若出现超过</w:t>
      </w:r>
      <w:r>
        <w:rPr>
          <w:rFonts w:hint="eastAsia" w:ascii="宋体" w:hAnsi="宋体" w:eastAsia="宋体" w:cs="宋体"/>
          <w:sz w:val="24"/>
          <w:szCs w:val="24"/>
          <w:u w:val="single"/>
        </w:rPr>
        <w:t xml:space="preserve">3 </w:t>
      </w:r>
      <w:r>
        <w:rPr>
          <w:rFonts w:hint="eastAsia" w:ascii="宋体" w:hAnsi="宋体" w:eastAsia="宋体" w:cs="宋体"/>
          <w:sz w:val="24"/>
          <w:szCs w:val="24"/>
        </w:rPr>
        <w:t>次或致甲方严重损失的，乙方除应按合同总价款的</w:t>
      </w:r>
      <w:r>
        <w:rPr>
          <w:rFonts w:hint="eastAsia" w:ascii="宋体" w:hAnsi="宋体" w:eastAsia="宋体" w:cs="宋体"/>
          <w:sz w:val="24"/>
          <w:szCs w:val="24"/>
          <w:u w:val="single"/>
        </w:rPr>
        <w:t xml:space="preserve"> 3％ </w:t>
      </w:r>
      <w:r>
        <w:rPr>
          <w:rFonts w:hint="eastAsia" w:ascii="宋体" w:hAnsi="宋体" w:eastAsia="宋体" w:cs="宋体"/>
          <w:sz w:val="24"/>
          <w:szCs w:val="24"/>
        </w:rPr>
        <w:t>/次向甲方支付违约金外，还应按合同总价款的</w:t>
      </w:r>
      <w:r>
        <w:rPr>
          <w:rFonts w:hint="eastAsia" w:ascii="宋体" w:hAnsi="宋体" w:eastAsia="宋体" w:cs="宋体"/>
          <w:sz w:val="24"/>
          <w:szCs w:val="24"/>
          <w:u w:val="single"/>
        </w:rPr>
        <w:t xml:space="preserve"> 20％ </w:t>
      </w:r>
      <w:r>
        <w:rPr>
          <w:rFonts w:hint="eastAsia" w:ascii="宋体" w:hAnsi="宋体" w:eastAsia="宋体" w:cs="宋体"/>
          <w:sz w:val="24"/>
          <w:szCs w:val="24"/>
        </w:rPr>
        <w:t>向甲方支付违约金，并且甲方有权单方解除合同，乙方应退还已收取的全部合同款及自甲方付款至乙方退款期间的利息（按同期银行贷款利率）。</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若乙方未按约定履行售后服务义务、网络安全义务的，每出现</w:t>
      </w:r>
      <w:r>
        <w:rPr>
          <w:rFonts w:hint="eastAsia" w:ascii="宋体" w:hAnsi="宋体" w:eastAsia="宋体" w:cs="宋体"/>
          <w:sz w:val="24"/>
          <w:szCs w:val="24"/>
          <w:u w:val="single"/>
        </w:rPr>
        <w:t xml:space="preserve"> 1 </w:t>
      </w:r>
      <w:r>
        <w:rPr>
          <w:rFonts w:hint="eastAsia" w:ascii="宋体" w:hAnsi="宋体" w:eastAsia="宋体" w:cs="宋体"/>
          <w:sz w:val="24"/>
          <w:szCs w:val="24"/>
        </w:rPr>
        <w:t>次，乙方应按合同总价款的</w:t>
      </w:r>
      <w:r>
        <w:rPr>
          <w:rFonts w:hint="eastAsia" w:ascii="宋体" w:hAnsi="宋体" w:eastAsia="宋体" w:cs="宋体"/>
          <w:sz w:val="24"/>
          <w:szCs w:val="24"/>
          <w:u w:val="single"/>
        </w:rPr>
        <w:t xml:space="preserve"> 1‰ </w:t>
      </w:r>
      <w:r>
        <w:rPr>
          <w:rFonts w:hint="eastAsia" w:ascii="宋体" w:hAnsi="宋体" w:eastAsia="宋体" w:cs="宋体"/>
          <w:sz w:val="24"/>
          <w:szCs w:val="24"/>
        </w:rPr>
        <w:t>/次向甲方支付违约金；若出现超过</w:t>
      </w:r>
      <w:r>
        <w:rPr>
          <w:rFonts w:hint="eastAsia" w:ascii="宋体" w:hAnsi="宋体" w:eastAsia="宋体" w:cs="宋体"/>
          <w:sz w:val="24"/>
          <w:szCs w:val="24"/>
          <w:u w:val="single"/>
        </w:rPr>
        <w:t xml:space="preserve"> 3 </w:t>
      </w:r>
      <w:r>
        <w:rPr>
          <w:rFonts w:hint="eastAsia" w:ascii="宋体" w:hAnsi="宋体" w:eastAsia="宋体" w:cs="宋体"/>
          <w:sz w:val="24"/>
          <w:szCs w:val="24"/>
        </w:rPr>
        <w:t>次或致人损失的，乙方除应按合同总价款的</w:t>
      </w:r>
      <w:r>
        <w:rPr>
          <w:rFonts w:hint="eastAsia" w:ascii="宋体" w:hAnsi="宋体" w:eastAsia="宋体" w:cs="宋体"/>
          <w:sz w:val="24"/>
          <w:szCs w:val="24"/>
          <w:u w:val="single"/>
        </w:rPr>
        <w:t xml:space="preserve"> 1‰ </w:t>
      </w:r>
      <w:r>
        <w:rPr>
          <w:rFonts w:hint="eastAsia" w:ascii="宋体" w:hAnsi="宋体" w:eastAsia="宋体" w:cs="宋体"/>
          <w:sz w:val="24"/>
          <w:szCs w:val="24"/>
        </w:rPr>
        <w:t>/次向甲方支付违约金外，还应按合同总价款的</w:t>
      </w:r>
      <w:r>
        <w:rPr>
          <w:rFonts w:hint="eastAsia" w:ascii="宋体" w:hAnsi="宋体" w:eastAsia="宋体" w:cs="宋体"/>
          <w:sz w:val="24"/>
          <w:szCs w:val="24"/>
          <w:u w:val="single"/>
        </w:rPr>
        <w:t xml:space="preserve"> 20％ </w:t>
      </w:r>
      <w:r>
        <w:rPr>
          <w:rFonts w:hint="eastAsia" w:ascii="宋体" w:hAnsi="宋体" w:eastAsia="宋体" w:cs="宋体"/>
          <w:sz w:val="24"/>
          <w:szCs w:val="24"/>
        </w:rPr>
        <w:t>向甲方支付违约金，并且甲方有权单方解除合同，乙方应退还已收取的全部合同款及自甲方付款至乙方退款期间的利息（按同期银行贷款利率）。</w:t>
      </w:r>
    </w:p>
    <w:p>
      <w:pPr>
        <w:numPr>
          <w:ilvl w:val="0"/>
          <w:numId w:val="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若乙方支付的违约金不足以弥补甲方损失的，乙方还应按甲方损失尚未弥补的部分，支付赔偿金给甲方。</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合同签订后30日内，最终以合同约定内容为准。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5"/>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b/>
          <w:bCs/>
          <w:color w:val="auto"/>
          <w:sz w:val="32"/>
          <w:szCs w:val="32"/>
          <w:highlight w:val="none"/>
        </w:rPr>
      </w:pPr>
      <w:bookmarkStart w:id="40" w:name="_Toc14504"/>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rPr>
          <w:b/>
          <w:bCs/>
          <w:color w:val="auto"/>
          <w:sz w:val="32"/>
          <w:szCs w:val="32"/>
          <w:highlight w:val="none"/>
        </w:rPr>
      </w:pPr>
      <w:r>
        <w:rPr>
          <w:rFonts w:hint="eastAsia"/>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驻马店市中心医院虚拟化集群内存扩容项目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6"/>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pageBreakBefore w:val="0"/>
        <w:kinsoku/>
        <w:overflowPunct/>
        <w:topLinePunct w:val="0"/>
        <w:bidi w:val="0"/>
        <w:spacing w:beforeAutospacing="0" w:afterAutospacing="0" w:line="360" w:lineRule="auto"/>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7"/>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有效投标报价：投标报价不高于采购预算价的为有效投标报价。</w:t>
            </w:r>
          </w:p>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评标基准值的确定：满足采购文件要求且投标价格最低的有效投标报价为评标基准价。</w:t>
            </w:r>
          </w:p>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rPr>
            </w:pPr>
            <w:r>
              <w:rPr>
                <w:rFonts w:hint="eastAsia" w:ascii="宋体" w:hAnsi="宋体" w:eastAsia="宋体" w:cs="宋体"/>
                <w:b w:val="0"/>
                <w:bCs w:val="0"/>
                <w:color w:val="auto"/>
                <w:sz w:val="24"/>
                <w:szCs w:val="24"/>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技术响应程度</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cs="宋体"/>
                <w:b w:val="0"/>
                <w:bCs w:val="0"/>
                <w:color w:val="auto"/>
                <w:sz w:val="24"/>
                <w:szCs w:val="24"/>
                <w:highlight w:val="none"/>
                <w:lang w:eastAsia="zh-CN"/>
              </w:rPr>
              <w:t>技术要求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分，一项不满足扣</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注：附技术偏离表，对响应技术部分做出明显标注。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w:t>
            </w:r>
            <w:r>
              <w:rPr>
                <w:rFonts w:hint="eastAsia" w:ascii="宋体" w:hAnsi="宋体" w:cs="宋体"/>
                <w:b w:val="0"/>
                <w:bCs w:val="0"/>
                <w:color w:val="auto"/>
                <w:sz w:val="24"/>
                <w:szCs w:val="24"/>
                <w:highlight w:val="none"/>
                <w:lang w:eastAsia="zh-CN"/>
              </w:rPr>
              <w:t>扩容升级</w:t>
            </w:r>
            <w:r>
              <w:rPr>
                <w:rFonts w:hint="eastAsia" w:ascii="宋体" w:hAnsi="宋体" w:eastAsia="宋体" w:cs="宋体"/>
                <w:b w:val="0"/>
                <w:bCs w:val="0"/>
                <w:color w:val="auto"/>
                <w:sz w:val="24"/>
                <w:szCs w:val="24"/>
                <w:highlight w:val="none"/>
              </w:rPr>
              <w:t>方案、调试方案、系统迁移</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以上措施详细、合理、可行的11-15分；基本详细、基本合理、基本可行的6-10分；基本详细度、合理性差、可行性差的1-5分；缺项得0分。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w:t>
            </w:r>
            <w:r>
              <w:rPr>
                <w:rFonts w:hint="eastAsia" w:ascii="宋体" w:hAnsi="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供应商服务网点设立情况（提供专业技术人员联系方式和服务站地址）、培训方案、服务及时率、服务到位程度及增值服务等。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b/>
          <w:color w:val="auto"/>
          <w:highlight w:val="none"/>
        </w:rPr>
        <w:br w:type="page"/>
      </w:r>
      <w:bookmarkEnd w:id="45"/>
      <w:bookmarkStart w:id="46" w:name="_Toc28988"/>
      <w:bookmarkStart w:id="47" w:name="_Toc1947"/>
      <w:bookmarkStart w:id="48" w:name="_Toc1482"/>
      <w:bookmarkStart w:id="49" w:name="_Toc256519703"/>
      <w:bookmarkStart w:id="50"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4"/>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ascii="宋体" w:hAnsi="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rPr>
          <w:color w:val="auto"/>
          <w:highlight w:val="none"/>
        </w:rPr>
      </w:pPr>
      <w:bookmarkStart w:id="65" w:name="_Toc14560"/>
      <w:bookmarkStart w:id="66" w:name="_Toc8818"/>
      <w:r>
        <w:rPr>
          <w:rFonts w:hint="eastAsia"/>
          <w:color w:val="auto"/>
          <w:highlight w:val="none"/>
        </w:rPr>
        <w:t>附件2               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sz w:val="28"/>
          <w:szCs w:val="28"/>
          <w:highlight w:val="none"/>
        </w:rPr>
        <w:br w:type="page"/>
      </w: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 xml:space="preserve">附件3              </w:t>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开标一览表</w:t>
      </w:r>
      <w:bookmarkEnd w:id="67"/>
    </w:p>
    <w:p>
      <w:pPr>
        <w:pageBreakBefore w:val="0"/>
        <w:kinsoku/>
        <w:overflowPunct/>
        <w:topLinePunct w:val="0"/>
        <w:bidi w:val="0"/>
        <w:spacing w:beforeAutospacing="0" w:afterAutospacing="0" w:line="360" w:lineRule="auto"/>
        <w:jc w:val="right"/>
        <w:rPr>
          <w:color w:val="auto"/>
          <w:highlight w:val="none"/>
        </w:rPr>
      </w:pPr>
      <w:r>
        <w:rPr>
          <w:rFonts w:ascii="宋体" w:hAnsi="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r>
        <w:rPr>
          <w:color w:val="auto"/>
          <w:highlight w:val="none"/>
        </w:rPr>
        <w:br w:type="page"/>
      </w:r>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p>
    <w:bookmarkEnd w:id="49"/>
    <w:bookmarkEnd w:id="50"/>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pPr>
      <w:r>
        <w:rPr>
          <w:rFonts w:hint="eastAsia" w:ascii="宋体" w:hAnsi="宋体" w:cs="宋体"/>
          <w:color w:val="auto"/>
          <w:kern w:val="0"/>
          <w:sz w:val="24"/>
          <w:highlight w:val="none"/>
        </w:rPr>
        <w:t>年    月    日</w:t>
      </w:r>
    </w:p>
    <w:p/>
    <w:p>
      <w:pPr>
        <w:pStyle w:val="5"/>
        <w:pageBreakBefore w:val="0"/>
        <w:kinsoku/>
        <w:overflowPunct/>
        <w:topLinePunct w:val="0"/>
        <w:bidi w:val="0"/>
        <w:spacing w:before="0" w:beforeAutospacing="0" w:after="0" w:afterAutospacing="0" w:line="360" w:lineRule="auto"/>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bl>
    <w:p>
      <w:pPr>
        <w:pageBreakBefore w:val="0"/>
        <w:kinsoku/>
        <w:overflowPunct/>
        <w:topLinePunct w:val="0"/>
        <w:bidi w:val="0"/>
        <w:spacing w:beforeAutospacing="0" w:afterAutospacing="0" w:line="360" w:lineRule="auto"/>
        <w:rPr>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ascii="Arial" w:hAnsi="Arial" w:eastAsia="新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ascii="仿宋_GB2312" w:cs="宋体"/>
          <w:color w:val="auto"/>
          <w:kern w:val="0"/>
          <w:sz w:val="24"/>
          <w:highlight w:val="none"/>
        </w:rPr>
      </w:pPr>
    </w:p>
    <w:p>
      <w:pPr>
        <w:pageBreakBefore w:val="0"/>
        <w:kinsoku/>
        <w:overflowPunct/>
        <w:topLinePunct w:val="0"/>
        <w:bidi w:val="0"/>
        <w:spacing w:beforeAutospacing="0" w:afterAutospacing="0" w:line="360" w:lineRule="auto"/>
        <w:rPr>
          <w:rFonts w:cs="宋体"/>
          <w:b/>
          <w:color w:val="auto"/>
          <w:kern w:val="0"/>
          <w:sz w:val="24"/>
          <w:highlight w:val="none"/>
        </w:rPr>
      </w:pPr>
      <w:r>
        <w:rPr>
          <w:rFonts w:cs="宋体"/>
          <w:b/>
          <w:color w:val="auto"/>
          <w:kern w:val="0"/>
          <w:sz w:val="24"/>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3"/>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ageBreakBefore w:val="0"/>
        <w:kinsoku/>
        <w:overflowPunct/>
        <w:topLinePunct w:val="0"/>
        <w:bidi w:val="0"/>
        <w:spacing w:beforeAutospacing="0" w:afterAutospacing="0" w:line="360" w:lineRule="auto"/>
        <w:rPr>
          <w:rFonts w:hint="eastAsia"/>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1"/>
        <w:pageBreakBefore w:val="0"/>
        <w:kinsoku/>
        <w:overflowPunct/>
        <w:topLinePunct w:val="0"/>
        <w:bidi w:val="0"/>
        <w:spacing w:beforeAutospacing="0" w:after="0" w:afterAutospacing="0" w:line="360" w:lineRule="auto"/>
        <w:rPr>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驻马店市中心医院虚拟化集群内存扩容项目采购文件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驻马店市中心医院虚拟化集群内存扩容项目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9757608"/>
    <w:multiLevelType w:val="multilevel"/>
    <w:tmpl w:val="39757608"/>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6457A79"/>
    <w:multiLevelType w:val="multilevel"/>
    <w:tmpl w:val="46457A79"/>
    <w:lvl w:ilvl="0" w:tentative="0">
      <w:start w:val="1"/>
      <w:numFmt w:val="decimal"/>
      <w:lvlText w:val="%1."/>
      <w:lvlJc w:val="left"/>
      <w:pPr>
        <w:ind w:left="357" w:hanging="3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98301F"/>
    <w:multiLevelType w:val="multilevel"/>
    <w:tmpl w:val="5098301F"/>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9B6410A"/>
    <w:multiLevelType w:val="singleLevel"/>
    <w:tmpl w:val="59B6410A"/>
    <w:lvl w:ilvl="0" w:tentative="0">
      <w:start w:val="1"/>
      <w:numFmt w:val="decimal"/>
      <w:suff w:val="nothing"/>
      <w:lvlText w:val="（%1）"/>
      <w:lvlJc w:val="left"/>
    </w:lvl>
  </w:abstractNum>
  <w:abstractNum w:abstractNumId="6">
    <w:nsid w:val="5A565DB4"/>
    <w:multiLevelType w:val="multilevel"/>
    <w:tmpl w:val="5A565DB4"/>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66795B"/>
    <w:rsid w:val="00DA5C53"/>
    <w:rsid w:val="0123584C"/>
    <w:rsid w:val="01DF5C17"/>
    <w:rsid w:val="02D25290"/>
    <w:rsid w:val="02F12505"/>
    <w:rsid w:val="037C54DB"/>
    <w:rsid w:val="038E625D"/>
    <w:rsid w:val="047D5CC7"/>
    <w:rsid w:val="04C66C1A"/>
    <w:rsid w:val="0750142A"/>
    <w:rsid w:val="07936C1F"/>
    <w:rsid w:val="080812F8"/>
    <w:rsid w:val="08C1066A"/>
    <w:rsid w:val="0A6566E6"/>
    <w:rsid w:val="0C877CFB"/>
    <w:rsid w:val="0CE82491"/>
    <w:rsid w:val="0D3A1F53"/>
    <w:rsid w:val="0D5030A6"/>
    <w:rsid w:val="0D7116ED"/>
    <w:rsid w:val="0D8E6743"/>
    <w:rsid w:val="0D923C0B"/>
    <w:rsid w:val="0D961094"/>
    <w:rsid w:val="0DD203DE"/>
    <w:rsid w:val="0E710504"/>
    <w:rsid w:val="0EDD4937"/>
    <w:rsid w:val="0F083E44"/>
    <w:rsid w:val="0FF85943"/>
    <w:rsid w:val="1003424E"/>
    <w:rsid w:val="100D65BF"/>
    <w:rsid w:val="10CF353C"/>
    <w:rsid w:val="11F33019"/>
    <w:rsid w:val="13695774"/>
    <w:rsid w:val="13F53FEC"/>
    <w:rsid w:val="14380591"/>
    <w:rsid w:val="144F7691"/>
    <w:rsid w:val="146A4213"/>
    <w:rsid w:val="15155054"/>
    <w:rsid w:val="18616F2E"/>
    <w:rsid w:val="1A2028DA"/>
    <w:rsid w:val="1A667D36"/>
    <w:rsid w:val="1A7F7CE9"/>
    <w:rsid w:val="1A856091"/>
    <w:rsid w:val="1B060913"/>
    <w:rsid w:val="1BDB2463"/>
    <w:rsid w:val="1C0E7EC3"/>
    <w:rsid w:val="1C2C60F9"/>
    <w:rsid w:val="1C5446B4"/>
    <w:rsid w:val="1C597898"/>
    <w:rsid w:val="1CDF0421"/>
    <w:rsid w:val="1D0E0D07"/>
    <w:rsid w:val="1D990F18"/>
    <w:rsid w:val="1DA32633"/>
    <w:rsid w:val="1E4470D6"/>
    <w:rsid w:val="1F0C7B21"/>
    <w:rsid w:val="211547B3"/>
    <w:rsid w:val="212A2D39"/>
    <w:rsid w:val="22D30A28"/>
    <w:rsid w:val="22F914CA"/>
    <w:rsid w:val="23F57CC4"/>
    <w:rsid w:val="25A93CC2"/>
    <w:rsid w:val="25C46BF1"/>
    <w:rsid w:val="296D7CC2"/>
    <w:rsid w:val="296E0EB4"/>
    <w:rsid w:val="2AC82E3D"/>
    <w:rsid w:val="2AD830E5"/>
    <w:rsid w:val="2C2A1794"/>
    <w:rsid w:val="2C5C7953"/>
    <w:rsid w:val="2CE81EF4"/>
    <w:rsid w:val="2E366B06"/>
    <w:rsid w:val="2EBD258D"/>
    <w:rsid w:val="31035B63"/>
    <w:rsid w:val="31603DCF"/>
    <w:rsid w:val="31986C26"/>
    <w:rsid w:val="31DB5FAA"/>
    <w:rsid w:val="322632A5"/>
    <w:rsid w:val="333105F2"/>
    <w:rsid w:val="33F74D7E"/>
    <w:rsid w:val="34445835"/>
    <w:rsid w:val="346A0AC1"/>
    <w:rsid w:val="349A13A6"/>
    <w:rsid w:val="350D171A"/>
    <w:rsid w:val="35150A2C"/>
    <w:rsid w:val="35C7280A"/>
    <w:rsid w:val="35E2289C"/>
    <w:rsid w:val="36B907B2"/>
    <w:rsid w:val="37B207B5"/>
    <w:rsid w:val="382252E2"/>
    <w:rsid w:val="38722F2C"/>
    <w:rsid w:val="38865FCC"/>
    <w:rsid w:val="38912AC0"/>
    <w:rsid w:val="38D93693"/>
    <w:rsid w:val="38E928FC"/>
    <w:rsid w:val="3987255E"/>
    <w:rsid w:val="39984708"/>
    <w:rsid w:val="39AE5E23"/>
    <w:rsid w:val="39E93199"/>
    <w:rsid w:val="3AAD1707"/>
    <w:rsid w:val="3B546702"/>
    <w:rsid w:val="3BEB698B"/>
    <w:rsid w:val="3BEF1D28"/>
    <w:rsid w:val="3C07205C"/>
    <w:rsid w:val="3C265C15"/>
    <w:rsid w:val="3CE36288"/>
    <w:rsid w:val="3D226758"/>
    <w:rsid w:val="3DAA28E7"/>
    <w:rsid w:val="3EB43064"/>
    <w:rsid w:val="40047331"/>
    <w:rsid w:val="411F75E2"/>
    <w:rsid w:val="41923405"/>
    <w:rsid w:val="436D5ED7"/>
    <w:rsid w:val="441440F3"/>
    <w:rsid w:val="47EC7D13"/>
    <w:rsid w:val="47FE17F4"/>
    <w:rsid w:val="48D10692"/>
    <w:rsid w:val="48E20F21"/>
    <w:rsid w:val="4914486F"/>
    <w:rsid w:val="49DB1DED"/>
    <w:rsid w:val="4B177675"/>
    <w:rsid w:val="4B4B2D51"/>
    <w:rsid w:val="4C185248"/>
    <w:rsid w:val="4C235CCD"/>
    <w:rsid w:val="4D127DDB"/>
    <w:rsid w:val="4D6F30D1"/>
    <w:rsid w:val="4DD06B99"/>
    <w:rsid w:val="4F2C4E99"/>
    <w:rsid w:val="4F8E57CE"/>
    <w:rsid w:val="4F9B0496"/>
    <w:rsid w:val="509B6FFA"/>
    <w:rsid w:val="519805C3"/>
    <w:rsid w:val="51F92A4C"/>
    <w:rsid w:val="52426781"/>
    <w:rsid w:val="52750905"/>
    <w:rsid w:val="53213EA5"/>
    <w:rsid w:val="53370970"/>
    <w:rsid w:val="54CF5078"/>
    <w:rsid w:val="54E1471D"/>
    <w:rsid w:val="551C35C3"/>
    <w:rsid w:val="56A812A9"/>
    <w:rsid w:val="56E10F23"/>
    <w:rsid w:val="57877110"/>
    <w:rsid w:val="58AE4B70"/>
    <w:rsid w:val="5A295181"/>
    <w:rsid w:val="5A8A4DE4"/>
    <w:rsid w:val="5ABA15AB"/>
    <w:rsid w:val="5B1B7148"/>
    <w:rsid w:val="5C3918FB"/>
    <w:rsid w:val="5C5D3A0F"/>
    <w:rsid w:val="5CE2128D"/>
    <w:rsid w:val="5CF50FC0"/>
    <w:rsid w:val="5DD67A13"/>
    <w:rsid w:val="5E206E1E"/>
    <w:rsid w:val="5E371164"/>
    <w:rsid w:val="5E742597"/>
    <w:rsid w:val="5E851C5D"/>
    <w:rsid w:val="5F0D70EB"/>
    <w:rsid w:val="5FA95FB5"/>
    <w:rsid w:val="62097280"/>
    <w:rsid w:val="624125B1"/>
    <w:rsid w:val="62A212A2"/>
    <w:rsid w:val="639F518E"/>
    <w:rsid w:val="64164898"/>
    <w:rsid w:val="65447343"/>
    <w:rsid w:val="65A96DEB"/>
    <w:rsid w:val="677B625C"/>
    <w:rsid w:val="679338AF"/>
    <w:rsid w:val="67C5345F"/>
    <w:rsid w:val="680631FA"/>
    <w:rsid w:val="68664B20"/>
    <w:rsid w:val="68CD32D8"/>
    <w:rsid w:val="69552C6B"/>
    <w:rsid w:val="6C6D0B73"/>
    <w:rsid w:val="6C8B2DA7"/>
    <w:rsid w:val="6D891ABD"/>
    <w:rsid w:val="6DB359B4"/>
    <w:rsid w:val="6E3D1FD3"/>
    <w:rsid w:val="6F0D200D"/>
    <w:rsid w:val="6F0D3F47"/>
    <w:rsid w:val="6F6126B0"/>
    <w:rsid w:val="6F797E6A"/>
    <w:rsid w:val="707912DA"/>
    <w:rsid w:val="71C01745"/>
    <w:rsid w:val="722A3D19"/>
    <w:rsid w:val="72777687"/>
    <w:rsid w:val="73304612"/>
    <w:rsid w:val="740F40B8"/>
    <w:rsid w:val="74726C59"/>
    <w:rsid w:val="74730F39"/>
    <w:rsid w:val="749879EC"/>
    <w:rsid w:val="76076E1C"/>
    <w:rsid w:val="76610A35"/>
    <w:rsid w:val="77134C4A"/>
    <w:rsid w:val="773F4EBA"/>
    <w:rsid w:val="77520D58"/>
    <w:rsid w:val="77EE068E"/>
    <w:rsid w:val="781F2ADC"/>
    <w:rsid w:val="78570929"/>
    <w:rsid w:val="79163B3B"/>
    <w:rsid w:val="7922042A"/>
    <w:rsid w:val="793B7903"/>
    <w:rsid w:val="79986B03"/>
    <w:rsid w:val="7A106FE1"/>
    <w:rsid w:val="7A374F60"/>
    <w:rsid w:val="7ACC115A"/>
    <w:rsid w:val="7B227200"/>
    <w:rsid w:val="7B4A3BA0"/>
    <w:rsid w:val="7B580C40"/>
    <w:rsid w:val="7B603535"/>
    <w:rsid w:val="7C764ED8"/>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2024-03-04T06:41:42Z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