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cs="宋体"/>
          <w:b/>
          <w:bCs/>
          <w:color w:val="auto"/>
          <w:sz w:val="48"/>
          <w:szCs w:val="48"/>
          <w:highlight w:val="none"/>
          <w:lang w:val="en-US" w:eastAsia="zh-CN"/>
        </w:rPr>
      </w:pPr>
      <w:bookmarkStart w:id="0" w:name="_Toc22804073"/>
      <w:bookmarkEnd w:id="0"/>
      <w:bookmarkStart w:id="1" w:name="_Toc22953395"/>
      <w:bookmarkEnd w:id="1"/>
    </w:p>
    <w:p>
      <w:pPr>
        <w:pStyle w:val="21"/>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48"/>
          <w:szCs w:val="48"/>
          <w:highlight w:val="none"/>
        </w:rPr>
      </w:pPr>
      <w:r>
        <w:rPr>
          <w:rFonts w:hint="eastAsia" w:cs="宋体"/>
          <w:b/>
          <w:bCs/>
          <w:color w:val="auto"/>
          <w:sz w:val="48"/>
          <w:szCs w:val="48"/>
          <w:highlight w:val="none"/>
          <w:lang w:val="en-US" w:eastAsia="zh-CN"/>
        </w:rPr>
        <w:t>驻马店市中心医院女职工卫生用品采购项目</w:t>
      </w:r>
    </w:p>
    <w:p>
      <w:pPr>
        <w:pStyle w:val="21"/>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21"/>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21"/>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z w:val="32"/>
          <w:szCs w:val="32"/>
          <w:highlight w:val="none"/>
        </w:rPr>
      </w:pPr>
    </w:p>
    <w:p>
      <w:pPr>
        <w:pStyle w:val="31"/>
        <w:pageBreakBefore w:val="0"/>
        <w:kinsoku/>
        <w:overflowPunct/>
        <w:topLinePunct w:val="0"/>
        <w:bidi w:val="0"/>
        <w:spacing w:beforeAutospacing="0" w:afterAutospacing="0" w:line="360" w:lineRule="auto"/>
        <w:rPr>
          <w:rFonts w:hint="eastAsia"/>
          <w:color w:val="auto"/>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color w:val="auto"/>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color w:val="auto"/>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color w:val="auto"/>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color w:val="auto"/>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color w:val="auto"/>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cs="宋体"/>
          <w:b/>
          <w:bCs/>
          <w:color w:val="auto"/>
          <w:spacing w:val="40"/>
          <w:sz w:val="34"/>
          <w:szCs w:val="34"/>
          <w:highlight w:val="none"/>
          <w:lang w:val="en-US" w:eastAsia="zh-CN"/>
        </w:rPr>
        <w:t>2024年2月</w:t>
      </w:r>
    </w:p>
    <w:p>
      <w:pPr>
        <w:pageBreakBefore w:val="0"/>
        <w:kinsoku/>
        <w:overflowPunct/>
        <w:topLinePunct w:val="0"/>
        <w:bidi w:val="0"/>
        <w:spacing w:beforeAutospacing="0" w:afterAutospacing="0" w:line="360" w:lineRule="auto"/>
        <w:rPr>
          <w:rFonts w:ascii="宋体" w:hAnsi="宋体"/>
          <w:bCs/>
          <w:color w:val="auto"/>
          <w:sz w:val="24"/>
          <w:highlight w:val="none"/>
        </w:rPr>
      </w:pPr>
    </w:p>
    <w:p>
      <w:pPr>
        <w:pageBreakBefore w:val="0"/>
        <w:kinsoku/>
        <w:overflowPunct/>
        <w:topLinePunct w:val="0"/>
        <w:bidi w:val="0"/>
        <w:spacing w:beforeAutospacing="0" w:afterAutospacing="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ascii="宋体" w:hAnsi="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驻马店市中心医院女职工卫生用品采购项目竞争性磋商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cs="宋体"/>
          <w:color w:val="auto"/>
          <w:sz w:val="24"/>
          <w:szCs w:val="28"/>
          <w:u w:val="single"/>
          <w:lang w:eastAsia="zh-CN"/>
        </w:rPr>
        <w:t>女职工卫生用品采购项目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驻马店市中心医院女职工卫生用品采购项目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eastAsia="zh-CN"/>
        </w:rPr>
        <w:t>（据实结算）</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5、合同履行期限：一年；</w:t>
      </w:r>
    </w:p>
    <w:p>
      <w:pPr>
        <w:keepNext w:val="0"/>
        <w:keepLines w:val="0"/>
        <w:pageBreakBefore w:val="0"/>
        <w:widowControl/>
        <w:tabs>
          <w:tab w:val="left" w:pos="840"/>
        </w:tabs>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19521"/>
      <w:bookmarkStart w:id="10" w:name="_Toc24040"/>
      <w:bookmarkStart w:id="11" w:name="_Toc26079"/>
      <w:bookmarkStart w:id="12" w:name="_Toc27913"/>
      <w:bookmarkStart w:id="13" w:name="_Toc21071"/>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27704"/>
      <w:bookmarkStart w:id="15" w:name="_Toc16639"/>
      <w:bookmarkStart w:id="16" w:name="_Toc18607"/>
      <w:bookmarkStart w:id="17" w:name="_Toc23626"/>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w:t>
      </w:r>
      <w:r>
        <w:rPr>
          <w:rFonts w:hint="eastAsia" w:ascii="宋体" w:hAnsi="宋体" w:cs="宋体"/>
          <w:color w:val="auto"/>
          <w:kern w:val="2"/>
          <w:sz w:val="24"/>
          <w:szCs w:val="32"/>
          <w:lang w:val="en-US" w:eastAsia="zh-CN" w:bidi="ar-SA"/>
        </w:rPr>
        <w:t>2022年度</w:t>
      </w:r>
      <w:r>
        <w:rPr>
          <w:rFonts w:hint="eastAsia" w:ascii="宋体" w:hAnsi="宋体" w:eastAsia="宋体" w:cs="宋体"/>
          <w:color w:val="auto"/>
          <w:kern w:val="2"/>
          <w:sz w:val="24"/>
          <w:szCs w:val="32"/>
          <w:lang w:val="en-US" w:eastAsia="zh-CN" w:bidi="ar-SA"/>
        </w:rPr>
        <w:t>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7823"/>
      <w:bookmarkStart w:id="19" w:name="_Toc30971"/>
      <w:bookmarkStart w:id="20" w:name="_Toc30643"/>
      <w:bookmarkStart w:id="21" w:name="_Toc9562"/>
      <w:bookmarkStart w:id="22" w:name="_Toc23395"/>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2024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2024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日，上</w:t>
      </w:r>
      <w:r>
        <w:rPr>
          <w:rFonts w:hint="eastAsia" w:ascii="宋体" w:hAnsi="宋体" w:eastAsia="宋体" w:cs="宋体"/>
          <w:color w:val="auto"/>
          <w:sz w:val="24"/>
          <w:szCs w:val="24"/>
          <w:shd w:val="clear" w:color="auto" w:fill="FFFFFF"/>
        </w:rPr>
        <w:t>午8：30-11:30，下午14:30-17:30（北京时间，法定节假日除外）</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360" w:lineRule="auto"/>
        <w:ind w:left="0" w:leftChars="0" w:firstLine="480" w:firstLineChars="200"/>
        <w:jc w:val="left"/>
        <w:textAlignment w:val="auto"/>
        <w:rPr>
          <w:rFonts w:hint="eastAsia"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1150105437</w:t>
      </w:r>
      <w:r>
        <w:rPr>
          <w:rFonts w:hint="eastAsia" w:ascii="宋体" w:hAnsi="宋体" w:eastAsia="宋体" w:cs="宋体"/>
          <w:color w:val="auto"/>
          <w:kern w:val="0"/>
          <w:sz w:val="24"/>
          <w:szCs w:val="24"/>
          <w:highlight w:val="none"/>
          <w:shd w:val="clear" w:color="auto" w:fill="FFFFFF"/>
          <w:lang w:val="en-US" w:eastAsia="zh-CN" w:bidi="ar-SA"/>
        </w:rPr>
        <w:t>@qq.com</w:t>
      </w:r>
      <w:r>
        <w:rPr>
          <w:rFonts w:hint="eastAsia" w:ascii="宋体" w:hAnsi="宋体" w:eastAsia="宋体" w:cs="宋体"/>
          <w:color w:val="auto"/>
          <w:kern w:val="0"/>
          <w:sz w:val="24"/>
          <w:szCs w:val="24"/>
          <w:shd w:val="clear" w:color="auto" w:fill="FFFFFF"/>
          <w:lang w:val="en-US" w:eastAsia="zh-CN" w:bidi="ar-SA"/>
        </w:rPr>
        <w:t>并标明XX公司XX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eastAsia="宋体" w:cs="宋体"/>
          <w:color w:val="auto"/>
          <w:kern w:val="0"/>
          <w:sz w:val="24"/>
          <w:szCs w:val="24"/>
          <w:shd w:val="clear" w:color="auto" w:fill="FFFFFF"/>
          <w:lang w:val="en-US" w:eastAsia="zh-CN" w:bidi="ar-SA"/>
        </w:rPr>
        <w:t>项目报名资料。</w:t>
      </w:r>
    </w:p>
    <w:p>
      <w:pPr>
        <w:keepNext w:val="0"/>
        <w:keepLines w:val="0"/>
        <w:pageBreakBefore w:val="0"/>
        <w:widowControl/>
        <w:kinsoku/>
        <w:wordWrap w:val="0"/>
        <w:overflowPunct/>
        <w:topLinePunct w:val="0"/>
        <w:bidi w:val="0"/>
        <w:snapToGrid w:val="0"/>
        <w:spacing w:beforeAutospacing="0" w:afterAutospacing="0" w:line="360" w:lineRule="auto"/>
        <w:ind w:left="420" w:left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23" w:name="_Toc15135"/>
      <w:bookmarkStart w:id="24" w:name="_Toc15111"/>
      <w:bookmarkStart w:id="25" w:name="_Toc25869"/>
      <w:bookmarkStart w:id="26" w:name="_Toc10738"/>
      <w:bookmarkStart w:id="27" w:name="_Toc27480"/>
      <w:r>
        <w:rPr>
          <w:rFonts w:hint="eastAsia" w:ascii="宋体" w:hAnsi="宋体" w:eastAsia="宋体" w:cs="宋体"/>
          <w:b/>
          <w:bCs/>
          <w:color w:val="auto"/>
          <w:kern w:val="2"/>
          <w:sz w:val="24"/>
          <w:szCs w:val="24"/>
          <w:shd w:val="clear" w:color="auto" w:fill="FFFFFF"/>
          <w:lang w:val="en-US" w:eastAsia="zh-CN" w:bidi="ar-SA"/>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28" w:name="_Toc29784"/>
      <w:bookmarkStart w:id="29" w:name="_Toc6523"/>
      <w:bookmarkStart w:id="30" w:name="_Toc20287"/>
      <w:bookmarkStart w:id="31" w:name="_Toc30918"/>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b/>
          <w:bCs/>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公告在《驻马店市中心医院》院内网</w:t>
      </w:r>
      <w:r>
        <w:rPr>
          <w:rFonts w:hint="eastAsia" w:ascii="宋体" w:hAnsi="宋体" w:eastAsia="宋体" w:cs="宋体"/>
          <w:color w:val="auto"/>
          <w:sz w:val="24"/>
          <w:szCs w:val="24"/>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p>
    <w:bookmarkEnd w:id="3"/>
    <w:bookmarkEnd w:id="4"/>
    <w:p>
      <w:pPr>
        <w:keepNext w:val="0"/>
        <w:keepLines w:val="0"/>
        <w:pageBreakBefore w:val="0"/>
        <w:widowControl/>
        <w:kinsoku/>
        <w:overflowPunct/>
        <w:topLinePunct w:val="0"/>
        <w:bidi w:val="0"/>
        <w:snapToGrid w:val="0"/>
        <w:spacing w:beforeAutospacing="0" w:afterAutospacing="0" w:line="360"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32" w:name="_Toc24274"/>
      <w:bookmarkStart w:id="33" w:name="_Toc31928"/>
      <w:bookmarkStart w:id="34" w:name="_Toc16291"/>
      <w:bookmarkStart w:id="35" w:name="_Toc27370"/>
      <w:bookmarkStart w:id="36" w:name="_Toc3604"/>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32"/>
      <w:bookmarkEnd w:id="33"/>
      <w:bookmarkEnd w:id="34"/>
      <w:bookmarkEnd w:id="35"/>
      <w:bookmarkEnd w:id="36"/>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 xml:space="preserve">1.采购人：驻马店市中心医院 </w:t>
      </w:r>
    </w:p>
    <w:p>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 xml:space="preserve">地址：驻马店市中华大道747号 </w:t>
      </w:r>
    </w:p>
    <w:p>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 xml:space="preserve">联系人：陈先生 </w:t>
      </w:r>
    </w:p>
    <w:p>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 xml:space="preserve">电话：0396-2726379 </w:t>
      </w:r>
    </w:p>
    <w:p>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 xml:space="preserve">2.采购代理机构：河南招标采购服务有限公司 </w:t>
      </w:r>
    </w:p>
    <w:p>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地址：郑州市金水区纬四路13号</w:t>
      </w:r>
    </w:p>
    <w:p>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联系人：王女士</w:t>
      </w:r>
    </w:p>
    <w:p>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联系方式：1863962737</w:t>
      </w:r>
      <w:bookmarkStart w:id="91" w:name="_GoBack"/>
      <w:bookmarkEnd w:id="91"/>
      <w:r>
        <w:rPr>
          <w:rFonts w:hint="eastAsia" w:ascii="宋体" w:hAnsi="宋体" w:eastAsia="宋体" w:cs="宋体"/>
          <w:color w:val="auto"/>
          <w:kern w:val="0"/>
          <w:sz w:val="24"/>
          <w:szCs w:val="24"/>
          <w:shd w:val="clear" w:color="auto" w:fill="FFFFFF"/>
        </w:rPr>
        <w:t>0</w:t>
      </w:r>
    </w:p>
    <w:p>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 xml:space="preserve">3.监督部门：驻马店市中心医院纪检监察室 </w:t>
      </w:r>
    </w:p>
    <w:p>
      <w:pPr>
        <w:widowControl/>
        <w:snapToGrid w:val="0"/>
        <w:spacing w:line="360" w:lineRule="auto"/>
        <w:ind w:firstLine="480" w:firstLineChars="20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监督电话：0396-2726678</w:t>
      </w:r>
    </w:p>
    <w:p>
      <w:pPr>
        <w:keepNext w:val="0"/>
        <w:keepLines w:val="0"/>
        <w:pageBreakBefore w:val="0"/>
        <w:widowControl/>
        <w:kinsoku/>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 xml:space="preserve">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驻马店市中心医院采购科</w:t>
      </w:r>
    </w:p>
    <w:p>
      <w:pPr>
        <w:keepNext w:val="0"/>
        <w:keepLines w:val="0"/>
        <w:pageBreakBefore w:val="0"/>
        <w:kinsoku/>
        <w:overflowPunct/>
        <w:topLinePunct w:val="0"/>
        <w:bidi w:val="0"/>
        <w:spacing w:beforeAutospacing="0" w:afterAutospacing="0" w:line="360" w:lineRule="auto"/>
        <w:jc w:val="right"/>
        <w:textAlignment w:val="auto"/>
        <w:rPr>
          <w:rFonts w:hint="eastAsia"/>
          <w:color w:val="000000" w:themeColor="text1"/>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2024</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2</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28</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pageBreakBefore w:val="0"/>
        <w:kinsoku/>
        <w:overflowPunct/>
        <w:topLinePunct w:val="0"/>
        <w:bidi w:val="0"/>
        <w:spacing w:beforeAutospacing="0" w:afterAutospacing="0" w:line="360" w:lineRule="auto"/>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31536"/>
      <w:bookmarkStart w:id="38" w:name="_Toc23610"/>
      <w:bookmarkStart w:id="39" w:name="_Toc9989"/>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eastAsia="宋体" w:cs="宋体"/>
          <w:b w:val="0"/>
          <w:bCs w:val="0"/>
          <w:color w:val="auto"/>
          <w:kern w:val="0"/>
          <w:sz w:val="24"/>
          <w:szCs w:val="24"/>
          <w:highlight w:val="none"/>
          <w:u w:val="single"/>
          <w:shd w:val="clear" w:color="auto" w:fill="FFFFFF"/>
          <w:lang w:val="en-US" w:eastAsia="zh-CN" w:bidi="ar-SA"/>
        </w:rPr>
        <w:t>驻马店市中心医院</w:t>
      </w:r>
      <w:r>
        <w:rPr>
          <w:rFonts w:hint="eastAsia" w:ascii="宋体" w:hAnsi="宋体" w:cs="宋体"/>
          <w:b w:val="0"/>
          <w:bCs w:val="0"/>
          <w:color w:val="auto"/>
          <w:kern w:val="0"/>
          <w:sz w:val="24"/>
          <w:szCs w:val="24"/>
          <w:highlight w:val="none"/>
          <w:u w:val="single"/>
          <w:shd w:val="clear" w:color="auto" w:fill="FFFFFF"/>
          <w:lang w:val="en-US" w:eastAsia="zh-CN" w:bidi="ar-SA"/>
        </w:rPr>
        <w:t>女职工卫生用品采购项目</w:t>
      </w:r>
      <w:r>
        <w:rPr>
          <w:rFonts w:hint="eastAsia" w:ascii="宋体" w:hAnsi="宋体" w:eastAsia="宋体" w:cs="宋体"/>
          <w:b w:val="0"/>
          <w:bCs w:val="0"/>
          <w:color w:val="auto"/>
          <w:kern w:val="0"/>
          <w:sz w:val="24"/>
          <w:szCs w:val="24"/>
          <w:highlight w:val="none"/>
          <w:u w:val="single"/>
          <w:shd w:val="clear" w:color="auto" w:fill="FFFFFF"/>
          <w:lang w:val="en-US" w:eastAsia="zh-CN" w:bidi="ar-SA"/>
        </w:rPr>
        <w:t>。</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二、项目用途说明：</w:t>
      </w:r>
      <w:r>
        <w:rPr>
          <w:rFonts w:hint="eastAsia" w:ascii="宋体" w:hAnsi="宋体" w:eastAsia="宋体" w:cs="宋体"/>
          <w:b w:val="0"/>
          <w:bCs w:val="0"/>
          <w:color w:val="auto"/>
          <w:kern w:val="2"/>
          <w:sz w:val="24"/>
          <w:szCs w:val="24"/>
          <w:u w:val="single"/>
          <w:lang w:val="en-US" w:eastAsia="zh-CN" w:bidi="ar-SA"/>
        </w:rPr>
        <w:t>/</w:t>
      </w:r>
      <w:r>
        <w:rPr>
          <w:rFonts w:hint="eastAsia" w:ascii="宋体" w:hAnsi="宋体" w:eastAsia="宋体" w:cs="宋体"/>
          <w:color w:val="auto"/>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743"/>
        <w:gridCol w:w="863"/>
        <w:gridCol w:w="1987"/>
        <w:gridCol w:w="1364"/>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44" w:type="dxa"/>
            <w:vAlign w:val="center"/>
          </w:tcPr>
          <w:p>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仿宋" w:hAnsi="仿宋" w:eastAsia="仿宋" w:cs="仿宋"/>
                <w:b/>
                <w:bCs/>
                <w:color w:val="auto"/>
                <w:sz w:val="24"/>
                <w:szCs w:val="24"/>
              </w:rPr>
              <w:t>序号</w:t>
            </w:r>
          </w:p>
        </w:tc>
        <w:tc>
          <w:tcPr>
            <w:tcW w:w="2743" w:type="dxa"/>
            <w:vAlign w:val="center"/>
          </w:tcPr>
          <w:p>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仿宋" w:hAnsi="仿宋" w:eastAsia="仿宋" w:cs="仿宋"/>
                <w:b/>
                <w:bCs/>
                <w:color w:val="auto"/>
                <w:sz w:val="24"/>
                <w:szCs w:val="24"/>
              </w:rPr>
              <w:t>标的名称</w:t>
            </w:r>
          </w:p>
        </w:tc>
        <w:tc>
          <w:tcPr>
            <w:tcW w:w="863" w:type="dxa"/>
            <w:vAlign w:val="center"/>
          </w:tcPr>
          <w:p>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仿宋" w:hAnsi="仿宋" w:eastAsia="仿宋" w:cs="仿宋"/>
                <w:b/>
                <w:bCs/>
                <w:color w:val="auto"/>
                <w:sz w:val="24"/>
                <w:szCs w:val="24"/>
                <w:lang w:val="en-US" w:eastAsia="zh-CN"/>
              </w:rPr>
              <w:t>单位</w:t>
            </w:r>
          </w:p>
        </w:tc>
        <w:tc>
          <w:tcPr>
            <w:tcW w:w="1987" w:type="dxa"/>
            <w:vAlign w:val="center"/>
          </w:tcPr>
          <w:p>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仿宋" w:hAnsi="仿宋" w:eastAsia="仿宋" w:cs="仿宋"/>
                <w:b/>
                <w:bCs/>
                <w:color w:val="auto"/>
                <w:sz w:val="24"/>
                <w:szCs w:val="24"/>
              </w:rPr>
              <w:t>数量</w:t>
            </w:r>
          </w:p>
        </w:tc>
        <w:tc>
          <w:tcPr>
            <w:tcW w:w="1364" w:type="dxa"/>
            <w:vAlign w:val="center"/>
          </w:tcPr>
          <w:p>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仿宋" w:hAnsi="仿宋" w:eastAsia="仿宋" w:cs="仿宋"/>
                <w:b/>
                <w:bCs/>
                <w:color w:val="auto"/>
                <w:sz w:val="24"/>
                <w:szCs w:val="24"/>
              </w:rPr>
              <w:t>资金预算</w:t>
            </w:r>
          </w:p>
        </w:tc>
        <w:tc>
          <w:tcPr>
            <w:tcW w:w="1412" w:type="dxa"/>
            <w:vAlign w:val="center"/>
          </w:tcPr>
          <w:p>
            <w:pPr>
              <w:pStyle w:val="1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lang w:val="en-US" w:eastAsia="zh-CN"/>
              </w:rPr>
            </w:pPr>
            <w:r>
              <w:rPr>
                <w:rFonts w:hint="eastAsia" w:ascii="仿宋" w:hAnsi="仿宋" w:eastAsia="仿宋" w:cs="仿宋"/>
                <w:b/>
                <w:bCs/>
                <w:color w:val="auto"/>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7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女职工卫生用品采购</w:t>
            </w:r>
          </w:p>
        </w:tc>
        <w:tc>
          <w:tcPr>
            <w:tcW w:w="8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c>
          <w:tcPr>
            <w:tcW w:w="1987" w:type="dxa"/>
            <w:vAlign w:val="center"/>
          </w:tcPr>
          <w:p>
            <w:pPr>
              <w:pStyle w:val="12"/>
              <w:ind w:left="0" w:lef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2400人份</w:t>
            </w:r>
          </w:p>
        </w:tc>
        <w:tc>
          <w:tcPr>
            <w:tcW w:w="1364" w:type="dxa"/>
            <w:vAlign w:val="center"/>
          </w:tcPr>
          <w:p>
            <w:pPr>
              <w:pStyle w:val="12"/>
              <w:ind w:left="0" w:lef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36万元</w:t>
            </w:r>
          </w:p>
        </w:tc>
        <w:tc>
          <w:tcPr>
            <w:tcW w:w="1412" w:type="dxa"/>
            <w:vAlign w:val="center"/>
          </w:tcPr>
          <w:p>
            <w:pPr>
              <w:pStyle w:val="12"/>
              <w:ind w:left="0" w:lef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合计</w:t>
            </w:r>
          </w:p>
        </w:tc>
        <w:tc>
          <w:tcPr>
            <w:tcW w:w="27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vertAlign w:val="baseline"/>
                <w:lang w:val="en-US" w:eastAsia="zh-CN"/>
              </w:rPr>
            </w:pPr>
          </w:p>
        </w:tc>
        <w:tc>
          <w:tcPr>
            <w:tcW w:w="8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vertAlign w:val="baseline"/>
                <w:lang w:val="en-US" w:eastAsia="zh-CN"/>
              </w:rPr>
            </w:pPr>
          </w:p>
        </w:tc>
        <w:tc>
          <w:tcPr>
            <w:tcW w:w="19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vertAlign w:val="baseline"/>
                <w:lang w:val="en-US" w:eastAsia="zh-CN"/>
              </w:rPr>
            </w:pPr>
          </w:p>
        </w:tc>
        <w:tc>
          <w:tcPr>
            <w:tcW w:w="13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36万元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备注</w:t>
            </w:r>
          </w:p>
        </w:tc>
        <w:tc>
          <w:tcPr>
            <w:tcW w:w="8369" w:type="dxa"/>
            <w:gridSpan w:val="5"/>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按照150元/人份的标准，以实际发放人数结算；</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本项目拟遴选1家入围供应商，服务期限为一年；</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jc w:val="both"/>
              <w:textAlignment w:val="auto"/>
              <w:rPr>
                <w:rFonts w:hint="default"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需须携带样品参加投标。</w:t>
            </w:r>
          </w:p>
        </w:tc>
      </w:tr>
      <w:bookmarkEnd w:id="6"/>
      <w:bookmarkEnd w:id="7"/>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四、服务要求：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1.服务条件要求：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1.1采购人按照150元/人份的固定单价采购，中标人应提供单张专属卫生纸提货券，券上需注明：①可提货物名称、规格及数量；②门店的地址及配送电话。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1.2产品规格要求：①每张提货券至少包含6提卷纸，每提≥10卷，每卷≥170g；②纸张层数≥3层；③材质：100%原浆纸。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1.3产品质量要求：符合国家现行规范、合格要求，同时满足采购人要求。①整体：全新未使用过的原装合格产品，不含可迁移性荧光物质，质地柔软、皱纹均匀细腻；②外观：表面洁净，无蚊虫、异物、油污，不得有掉粉、变色、斑点、死褶、残缺、硬块等现象，侧边整齐，不变形；③气味：不得有异常气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1.4当提货券遗失时有登记补办机制。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.1中标人应根据采购方需求，定制并发放卫生纸领取券或送货上门。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.2不得限制卫生纸领取券的兑换时间。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若产品质量及供货日期未达到要求，采购方则有权拒收货物并终止合同，一切损失及后果由供应商承担。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因产品质量出现的任何安全问题，一律由供应商自行承担。</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color w:val="auto"/>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接到供货清单后5个工作日内完成供货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r>
              <w:rPr>
                <w:rFonts w:hint="eastAsia" w:ascii="宋体" w:hAnsi="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以合同约定为准</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b/>
          <w:bCs/>
          <w:color w:val="auto"/>
          <w:sz w:val="32"/>
          <w:szCs w:val="32"/>
          <w:highlight w:val="none"/>
        </w:rPr>
      </w:pPr>
      <w:bookmarkStart w:id="40" w:name="_Toc14504"/>
      <w:r>
        <w:rPr>
          <w:rFonts w:hint="eastAsia"/>
          <w:b/>
          <w:bCs/>
          <w:color w:val="auto"/>
          <w:sz w:val="32"/>
          <w:szCs w:val="32"/>
          <w:highlight w:val="none"/>
        </w:rPr>
        <w:br w:type="page"/>
      </w:r>
    </w:p>
    <w:p>
      <w:pPr>
        <w:pageBreakBefore w:val="0"/>
        <w:kinsoku/>
        <w:overflowPunct/>
        <w:topLinePunct w:val="0"/>
        <w:bidi w:val="0"/>
        <w:spacing w:beforeAutospacing="0" w:afterAutospacing="0" w:line="360" w:lineRule="auto"/>
        <w:jc w:val="center"/>
        <w:rPr>
          <w:b/>
          <w:bCs/>
          <w:color w:val="auto"/>
          <w:sz w:val="32"/>
          <w:szCs w:val="32"/>
          <w:highlight w:val="none"/>
        </w:rPr>
      </w:pPr>
      <w:r>
        <w:rPr>
          <w:rFonts w:hint="eastAsia"/>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驻马店市中心医院女职工卫生用品采购项目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采购人名称：驻马店市中心医院</w:t>
            </w:r>
            <w:r>
              <w:rPr>
                <w:rFonts w:hint="eastAsia" w:ascii="宋体" w:hAnsi="宋体" w:eastAsia="宋体" w:cs="宋体"/>
                <w:color w:val="auto"/>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eastAsia="zh-CN"/>
              </w:rPr>
              <w:t>，150元/人份（据实结算）。</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投标文件组成：纸质投标文件正本1份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副本2份</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3.本次采购预算（最高限价）为36万元，150元/人份</w:t>
      </w:r>
      <w:r>
        <w:rPr>
          <w:rFonts w:hint="eastAsia" w:ascii="宋体" w:hAnsi="宋体" w:cs="宋体"/>
          <w:color w:val="auto"/>
          <w:kern w:val="0"/>
          <w:sz w:val="24"/>
          <w:szCs w:val="24"/>
          <w:highlight w:val="none"/>
          <w:lang w:eastAsia="zh-CN"/>
        </w:rPr>
        <w:t>（据实结算）</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1"/>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lang w:val="en-US" w:eastAsia="zh-CN"/>
        </w:rPr>
        <w:t>1</w:t>
      </w:r>
      <w:r>
        <w:rPr>
          <w:rFonts w:hint="eastAsia"/>
          <w:color w:val="auto"/>
          <w:sz w:val="24"/>
          <w:szCs w:val="24"/>
          <w:highlight w:val="none"/>
          <w:lang w:eastAsia="zh-CN"/>
        </w:rPr>
        <w:t>.3 未按本章第2</w:t>
      </w:r>
      <w:r>
        <w:rPr>
          <w:rFonts w:hint="eastAsia"/>
          <w:color w:val="auto"/>
          <w:sz w:val="24"/>
          <w:szCs w:val="24"/>
          <w:highlight w:val="none"/>
          <w:lang w:val="en-US" w:eastAsia="zh-CN"/>
        </w:rPr>
        <w:t>1</w:t>
      </w:r>
      <w:r>
        <w:rPr>
          <w:rFonts w:hint="eastAsia"/>
          <w:color w:val="auto"/>
          <w:sz w:val="24"/>
          <w:szCs w:val="24"/>
          <w:highlight w:val="none"/>
          <w:lang w:eastAsia="zh-CN"/>
        </w:rPr>
        <w:t>.1项或第2</w:t>
      </w:r>
      <w:r>
        <w:rPr>
          <w:rFonts w:hint="eastAsia"/>
          <w:color w:val="auto"/>
          <w:sz w:val="24"/>
          <w:szCs w:val="24"/>
          <w:highlight w:val="none"/>
          <w:lang w:val="en-US" w:eastAsia="zh-CN"/>
        </w:rPr>
        <w:t>1</w:t>
      </w:r>
      <w:r>
        <w:rPr>
          <w:rFonts w:hint="eastAsia"/>
          <w:color w:val="auto"/>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bookmarkStart w:id="41"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1"/>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w:t>
      </w:r>
      <w:r>
        <w:rPr>
          <w:rFonts w:hint="eastAsia" w:ascii="宋体" w:hAnsi="宋体" w:cs="宋体"/>
          <w:bCs/>
          <w:color w:val="auto"/>
          <w:kern w:val="0"/>
          <w:sz w:val="24"/>
          <w:szCs w:val="24"/>
          <w:highlight w:val="none"/>
          <w:lang w:eastAsia="zh-CN"/>
        </w:rPr>
        <w:t>一名中标候选人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beforeAutospacing="0" w:afterAutospacing="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u w:val="single"/>
        </w:rPr>
      </w:pPr>
      <w:bookmarkStart w:id="42"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2"/>
    <w:p>
      <w:pPr>
        <w:pageBreakBefore w:val="0"/>
        <w:kinsoku/>
        <w:overflowPunct/>
        <w:topLinePunct w:val="0"/>
        <w:bidi w:val="0"/>
        <w:spacing w:beforeAutospacing="0" w:afterAutospacing="0" w:line="360" w:lineRule="auto"/>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4"/>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1"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65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rPr>
              <w:t>分）</w:t>
            </w:r>
          </w:p>
        </w:tc>
        <w:tc>
          <w:tcPr>
            <w:tcW w:w="6022"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cs="宋体"/>
                <w:b w:val="0"/>
                <w:bCs w:val="0"/>
                <w:color w:val="auto"/>
                <w:sz w:val="24"/>
                <w:szCs w:val="24"/>
                <w:highlight w:val="none"/>
                <w:lang w:val="en-US" w:eastAsia="zh-CN"/>
              </w:rPr>
              <w:t xml:space="preserve">  四、</w:t>
            </w:r>
            <w:r>
              <w:rPr>
                <w:rFonts w:hint="eastAsia" w:ascii="宋体" w:hAnsi="宋体" w:cs="宋体"/>
                <w:b w:val="0"/>
                <w:bCs w:val="0"/>
                <w:color w:val="auto"/>
                <w:sz w:val="24"/>
                <w:szCs w:val="24"/>
                <w:highlight w:val="none"/>
                <w:lang w:eastAsia="zh-CN"/>
              </w:rPr>
              <w:t>服务要求”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rPr>
              <w:t>分，一项不满足扣</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分，如得分为0，则投标无效。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w:t>
            </w:r>
            <w:r>
              <w:rPr>
                <w:rFonts w:hint="eastAsia" w:ascii="宋体" w:hAnsi="宋体" w:cs="宋体"/>
                <w:b w:val="0"/>
                <w:bCs w:val="0"/>
                <w:color w:val="auto"/>
                <w:sz w:val="24"/>
                <w:szCs w:val="24"/>
                <w:highlight w:val="none"/>
                <w:lang w:eastAsia="zh-CN"/>
              </w:rPr>
              <w:t>服务要求</w:t>
            </w:r>
            <w:r>
              <w:rPr>
                <w:rFonts w:hint="eastAsia" w:ascii="宋体" w:hAnsi="宋体" w:eastAsia="宋体" w:cs="宋体"/>
                <w:b w:val="0"/>
                <w:bCs w:val="0"/>
                <w:color w:val="auto"/>
                <w:sz w:val="24"/>
                <w:szCs w:val="24"/>
                <w:highlight w:val="none"/>
              </w:rPr>
              <w:t>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2.实施方案（</w:t>
            </w:r>
            <w:r>
              <w:rPr>
                <w:rFonts w:hint="eastAsia" w:ascii="宋体" w:hAnsi="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lang w:val="en-US" w:eastAsia="zh-CN"/>
              </w:rPr>
              <w:t>分）</w:t>
            </w:r>
          </w:p>
        </w:tc>
        <w:tc>
          <w:tcPr>
            <w:tcW w:w="6022"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w:t>
            </w:r>
            <w:r>
              <w:rPr>
                <w:rFonts w:hint="eastAsia" w:ascii="宋体" w:hAnsi="宋体" w:cs="宋体"/>
                <w:b w:val="0"/>
                <w:bCs w:val="0"/>
                <w:color w:val="auto"/>
                <w:sz w:val="24"/>
                <w:szCs w:val="24"/>
                <w:highlight w:val="none"/>
                <w:lang w:val="en-US" w:eastAsia="zh-CN"/>
              </w:rPr>
              <w:t>详细的配送流程、质量保证措施</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交货期保证措施</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完善的退换货流程、应急措施等</w:t>
            </w:r>
            <w:r>
              <w:rPr>
                <w:rFonts w:hint="eastAsia" w:ascii="宋体" w:hAnsi="宋体" w:eastAsia="宋体" w:cs="宋体"/>
                <w:b w:val="0"/>
                <w:bCs w:val="0"/>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numPr>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3.质量保障措施</w:t>
            </w:r>
          </w:p>
          <w:p>
            <w:pPr>
              <w:keepNext w:val="0"/>
              <w:keepLines w:val="0"/>
              <w:pageBreakBefore w:val="0"/>
              <w:widowControl/>
              <w:numPr>
                <w:numId w:val="0"/>
              </w:numPr>
              <w:kinsoku/>
              <w:wordWrap/>
              <w:overflowPunct/>
              <w:topLinePunct w:val="0"/>
              <w:autoSpaceDE/>
              <w:autoSpaceDN/>
              <w:bidi w:val="0"/>
              <w:adjustRightInd/>
              <w:snapToGrid w:val="0"/>
              <w:spacing w:beforeAutospacing="0" w:afterAutospacing="0" w:line="360" w:lineRule="auto"/>
              <w:ind w:leftChars="200"/>
              <w:jc w:val="both"/>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（6分）</w:t>
            </w:r>
          </w:p>
        </w:tc>
        <w:tc>
          <w:tcPr>
            <w:tcW w:w="6022" w:type="dxa"/>
            <w:vAlign w:val="top"/>
          </w:tcPr>
          <w:p>
            <w:pPr>
              <w:pStyle w:val="105"/>
              <w:jc w:val="both"/>
              <w:rPr>
                <w:rFonts w:hint="default" w:asciiTheme="minorHAnsi" w:hAnsiTheme="minorHAnsi" w:eastAsiaTheme="minorEastAsia" w:cstheme="minorBidi"/>
                <w:lang w:val="en-US" w:eastAsia="zh-CN"/>
              </w:rPr>
            </w:pPr>
            <w:r>
              <w:rPr>
                <w:rFonts w:hint="eastAsia" w:ascii="宋体" w:hAnsi="宋体" w:eastAsia="宋体" w:cs="宋体"/>
                <w:b w:val="0"/>
                <w:bCs w:val="0"/>
                <w:color w:val="auto"/>
                <w:kern w:val="2"/>
                <w:sz w:val="24"/>
                <w:szCs w:val="24"/>
                <w:highlight w:val="none"/>
                <w:lang w:val="en-US" w:eastAsia="zh-CN" w:bidi="ar-SA"/>
              </w:rPr>
              <w:t>根据供应商针对本项目所提供的质量保障措施（包括但不限于货物整体质量的保障措施、产品品控措施等）进行综合评审：质量保障措施具有针对性、完善、合理的得5-6分，质量保障措施一般、基本满足采购需求的得3-4分，质量保障措施较差的得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4.样品（20分）</w:t>
            </w:r>
          </w:p>
        </w:tc>
        <w:tc>
          <w:tcPr>
            <w:tcW w:w="6022"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color w:val="auto"/>
                <w:lang w:eastAsia="zh-CN"/>
              </w:rPr>
            </w:pPr>
            <w:r>
              <w:rPr>
                <w:rFonts w:hint="eastAsia" w:ascii="宋体" w:hAnsi="宋体" w:cs="宋体"/>
                <w:b w:val="0"/>
                <w:bCs w:val="0"/>
                <w:color w:val="auto"/>
                <w:sz w:val="24"/>
                <w:szCs w:val="24"/>
                <w:highlight w:val="none"/>
                <w:lang w:eastAsia="zh-CN"/>
              </w:rPr>
              <w:t>磋商小组根据供应商提供样品的整体外观、做工工艺、</w:t>
            </w:r>
            <w:r>
              <w:rPr>
                <w:rFonts w:hint="eastAsia" w:ascii="宋体" w:hAnsi="宋体" w:cs="宋体"/>
                <w:b w:val="0"/>
                <w:bCs w:val="0"/>
                <w:color w:val="auto"/>
                <w:sz w:val="24"/>
                <w:szCs w:val="24"/>
                <w:highlight w:val="none"/>
                <w:lang w:val="en-US" w:eastAsia="zh-CN"/>
              </w:rPr>
              <w:t>重量、</w:t>
            </w:r>
            <w:r>
              <w:rPr>
                <w:rFonts w:hint="eastAsia" w:ascii="宋体" w:hAnsi="宋体" w:cs="宋体"/>
                <w:b w:val="0"/>
                <w:bCs w:val="0"/>
                <w:color w:val="auto"/>
                <w:sz w:val="24"/>
                <w:szCs w:val="24"/>
                <w:highlight w:val="none"/>
                <w:lang w:eastAsia="zh-CN"/>
              </w:rPr>
              <w:t>触感、规格、样品完整性等进行综合比较评分。第一档</w:t>
            </w:r>
            <w:r>
              <w:rPr>
                <w:rFonts w:hint="eastAsia" w:ascii="宋体" w:hAnsi="宋体" w:cs="宋体"/>
                <w:b w:val="0"/>
                <w:bCs w:val="0"/>
                <w:color w:val="auto"/>
                <w:sz w:val="24"/>
                <w:szCs w:val="24"/>
                <w:highlight w:val="none"/>
                <w:lang w:val="en-US" w:eastAsia="zh-CN"/>
              </w:rPr>
              <w:t>14-20</w:t>
            </w:r>
            <w:r>
              <w:rPr>
                <w:rFonts w:hint="eastAsia" w:ascii="宋体" w:hAnsi="宋体" w:cs="宋体"/>
                <w:b w:val="0"/>
                <w:bCs w:val="0"/>
                <w:color w:val="auto"/>
                <w:sz w:val="24"/>
                <w:szCs w:val="24"/>
                <w:highlight w:val="none"/>
                <w:lang w:eastAsia="zh-CN"/>
              </w:rPr>
              <w:t>分；第二档</w:t>
            </w:r>
            <w:r>
              <w:rPr>
                <w:rFonts w:hint="eastAsia" w:ascii="宋体" w:hAnsi="宋体" w:cs="宋体"/>
                <w:b w:val="0"/>
                <w:bCs w:val="0"/>
                <w:color w:val="auto"/>
                <w:sz w:val="24"/>
                <w:szCs w:val="24"/>
                <w:highlight w:val="none"/>
                <w:lang w:val="en-US" w:eastAsia="zh-CN"/>
              </w:rPr>
              <w:t>7-13</w:t>
            </w:r>
            <w:r>
              <w:rPr>
                <w:rFonts w:hint="eastAsia" w:ascii="宋体" w:hAnsi="宋体" w:cs="宋体"/>
                <w:b w:val="0"/>
                <w:bCs w:val="0"/>
                <w:color w:val="auto"/>
                <w:sz w:val="24"/>
                <w:szCs w:val="24"/>
                <w:highlight w:val="none"/>
                <w:lang w:eastAsia="zh-CN"/>
              </w:rPr>
              <w:t>分；第三档1-</w:t>
            </w: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lang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numPr>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eastAsia="zh-CN"/>
              </w:rPr>
              <w:t>优惠承诺</w:t>
            </w:r>
          </w:p>
          <w:p>
            <w:pPr>
              <w:keepNext w:val="0"/>
              <w:keepLines w:val="0"/>
              <w:pageBreakBefore w:val="0"/>
              <w:widowControl/>
              <w:numPr>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lang w:val="en-US" w:eastAsia="zh-CN"/>
              </w:rPr>
              <w:t>分</w:t>
            </w:r>
            <w:r>
              <w:rPr>
                <w:rFonts w:hint="eastAsia" w:ascii="宋体" w:hAnsi="宋体" w:eastAsia="宋体" w:cs="宋体"/>
                <w:b w:val="0"/>
                <w:bCs w:val="0"/>
                <w:color w:val="auto"/>
                <w:kern w:val="0"/>
                <w:sz w:val="24"/>
                <w:szCs w:val="24"/>
                <w:highlight w:val="none"/>
                <w:lang w:eastAsia="zh-CN"/>
              </w:rPr>
              <w:t>）</w:t>
            </w:r>
          </w:p>
        </w:tc>
        <w:tc>
          <w:tcPr>
            <w:tcW w:w="6022"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sz w:val="24"/>
                <w:szCs w:val="24"/>
                <w:highlight w:val="none"/>
                <w:lang w:val="en-US" w:eastAsia="zh-CN"/>
              </w:rPr>
              <w:t>供应商在满足采购需求6提的基础上，每增加1提可加3分，最多加12分，未增加不得分。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numPr>
                <w:numId w:val="0"/>
              </w:numPr>
              <w:kinsoku/>
              <w:wordWrap/>
              <w:overflowPunct/>
              <w:topLinePunct w:val="0"/>
              <w:bidi w:val="0"/>
              <w:snapToGrid w:val="0"/>
              <w:spacing w:beforeAutospacing="0" w:afterAutospacing="0"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p>
          <w:p>
            <w:pPr>
              <w:keepNext w:val="0"/>
              <w:keepLines w:val="0"/>
              <w:pageBreakBefore w:val="0"/>
              <w:numPr>
                <w:numId w:val="0"/>
              </w:numPr>
              <w:kinsoku/>
              <w:wordWrap/>
              <w:overflowPunct/>
              <w:topLinePunct w:val="0"/>
              <w:bidi w:val="0"/>
              <w:snapToGrid w:val="0"/>
              <w:spacing w:beforeAutospacing="0" w:afterAutospacing="0" w:line="360" w:lineRule="auto"/>
              <w:ind w:left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分）</w:t>
            </w:r>
          </w:p>
        </w:tc>
        <w:tc>
          <w:tcPr>
            <w:tcW w:w="6022"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年1月1日以来具有的类似项目(以合同文件为准），每提供一份得</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分，最多得</w:t>
            </w: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w:t>
            </w:r>
            <w:r>
              <w:rPr>
                <w:rFonts w:hint="eastAsia" w:ascii="宋体" w:hAnsi="宋体" w:cs="宋体"/>
                <w:b w:val="0"/>
                <w:bCs w:val="0"/>
                <w:color w:val="auto"/>
                <w:kern w:val="2"/>
                <w:sz w:val="24"/>
                <w:szCs w:val="24"/>
                <w:highlight w:val="none"/>
                <w:lang w:val="en-US" w:eastAsia="zh-CN"/>
              </w:rPr>
              <w:t>14</w:t>
            </w:r>
            <w:r>
              <w:rPr>
                <w:rFonts w:hint="eastAsia" w:ascii="宋体" w:hAnsi="宋体" w:eastAsia="宋体" w:cs="宋体"/>
                <w:b w:val="0"/>
                <w:bCs w:val="0"/>
                <w:color w:val="auto"/>
                <w:kern w:val="2"/>
                <w:sz w:val="24"/>
                <w:szCs w:val="24"/>
                <w:highlight w:val="none"/>
                <w:lang w:val="en-US" w:eastAsia="zh-CN"/>
              </w:rPr>
              <w:t>分）</w:t>
            </w:r>
          </w:p>
        </w:tc>
        <w:tc>
          <w:tcPr>
            <w:tcW w:w="6022"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cs="宋体"/>
                <w:b w:val="0"/>
                <w:bCs w:val="0"/>
                <w:color w:val="auto"/>
                <w:kern w:val="2"/>
                <w:sz w:val="24"/>
                <w:szCs w:val="24"/>
                <w:highlight w:val="none"/>
                <w:lang w:eastAsia="zh-CN"/>
              </w:rPr>
              <w:t>供应商</w:t>
            </w:r>
            <w:r>
              <w:rPr>
                <w:rFonts w:hint="eastAsia" w:ascii="宋体" w:hAnsi="宋体" w:cs="宋体"/>
                <w:b w:val="0"/>
                <w:bCs w:val="0"/>
                <w:color w:val="auto"/>
                <w:kern w:val="2"/>
                <w:sz w:val="24"/>
                <w:szCs w:val="24"/>
                <w:highlight w:val="none"/>
                <w:lang w:val="en-US" w:eastAsia="zh-CN"/>
              </w:rPr>
              <w:t>售后服务承诺、售后联系方式及地址、售后服务人员配置</w:t>
            </w:r>
            <w:r>
              <w:rPr>
                <w:rFonts w:hint="eastAsia" w:ascii="宋体" w:hAnsi="宋体" w:eastAsia="宋体" w:cs="宋体"/>
                <w:b w:val="0"/>
                <w:bCs w:val="0"/>
                <w:color w:val="auto"/>
                <w:kern w:val="2"/>
                <w:sz w:val="24"/>
                <w:szCs w:val="24"/>
                <w:highlight w:val="none"/>
              </w:rPr>
              <w:t>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售后服务内容具体、完善、合理性程度强得</w:t>
            </w:r>
            <w:r>
              <w:rPr>
                <w:rFonts w:hint="eastAsia" w:ascii="宋体" w:hAnsi="宋体" w:cs="宋体"/>
                <w:b w:val="0"/>
                <w:bCs w:val="0"/>
                <w:color w:val="auto"/>
                <w:kern w:val="2"/>
                <w:sz w:val="24"/>
                <w:szCs w:val="24"/>
                <w:highlight w:val="none"/>
                <w:lang w:val="en-US" w:eastAsia="zh-CN"/>
              </w:rPr>
              <w:t>10-14</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w:t>
            </w:r>
            <w:r>
              <w:rPr>
                <w:rFonts w:hint="eastAsia" w:ascii="宋体" w:hAnsi="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rPr>
          <w:b/>
          <w:color w:val="auto"/>
          <w:highlight w:val="none"/>
        </w:rPr>
      </w:pPr>
      <w:r>
        <w:rPr>
          <w:rFonts w:hint="eastAsia"/>
          <w:b/>
          <w:color w:val="auto"/>
          <w:highlight w:val="none"/>
        </w:rPr>
        <w:br w:type="page"/>
      </w:r>
    </w:p>
    <w:bookmarkEnd w:id="45"/>
    <w:p>
      <w:pPr>
        <w:pageBreakBefore w:val="0"/>
        <w:kinsoku/>
        <w:overflowPunct/>
        <w:topLinePunct w:val="0"/>
        <w:bidi w:val="0"/>
        <w:spacing w:beforeAutospacing="0" w:afterAutospacing="0" w:line="360" w:lineRule="auto"/>
        <w:rPr>
          <w:color w:val="auto"/>
          <w:highlight w:val="none"/>
        </w:rPr>
      </w:pPr>
      <w:bookmarkStart w:id="46" w:name="_Toc1947"/>
      <w:bookmarkStart w:id="47" w:name="_Toc1482"/>
      <w:bookmarkStart w:id="48" w:name="_Toc326786897"/>
      <w:bookmarkStart w:id="49" w:name="_Toc256519703"/>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bookmarkStart w:id="50" w:name="_Toc28988"/>
      <w:r>
        <w:rPr>
          <w:rFonts w:hint="eastAsia" w:ascii="宋体" w:hAnsi="宋体" w:eastAsia="宋体" w:cs="宋体"/>
          <w:b/>
          <w:bCs/>
          <w:color w:val="auto"/>
          <w:kern w:val="44"/>
          <w:sz w:val="28"/>
          <w:szCs w:val="28"/>
          <w:highlight w:val="none"/>
          <w:lang w:val="en-US" w:eastAsia="zh-CN" w:bidi="ar-SA"/>
        </w:rPr>
        <w:t>第五章  采购合同</w:t>
      </w:r>
      <w:bookmarkEnd w:id="50"/>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pPr>
        <w:pageBreakBefore w:val="0"/>
        <w:kinsoku/>
        <w:overflowPunct/>
        <w:topLinePunct w:val="0"/>
        <w:bidi w:val="0"/>
        <w:spacing w:beforeAutospacing="0" w:afterAutospacing="0" w:line="360" w:lineRule="auto"/>
        <w:rPr>
          <w:color w:val="auto"/>
          <w:sz w:val="32"/>
          <w:szCs w:val="32"/>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31"/>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6"/>
      <w:bookmarkEnd w:id="47"/>
      <w:bookmarkEnd w:id="51"/>
    </w:p>
    <w:p>
      <w:pPr>
        <w:pageBreakBefore w:val="0"/>
        <w:kinsoku/>
        <w:overflowPunct/>
        <w:topLinePunct w:val="0"/>
        <w:bidi w:val="0"/>
        <w:spacing w:beforeAutospacing="0" w:afterAutospacing="0" w:line="360" w:lineRule="auto"/>
        <w:rPr>
          <w:color w:val="auto"/>
          <w:sz w:val="24"/>
          <w:highlight w:val="none"/>
        </w:rPr>
      </w:pPr>
    </w:p>
    <w:p>
      <w:pPr>
        <w:pageBreakBefore w:val="0"/>
        <w:kinsoku/>
        <w:overflowPunct/>
        <w:topLinePunct w:val="0"/>
        <w:bidi w:val="0"/>
        <w:spacing w:beforeAutospacing="0" w:afterAutospacing="0" w:line="360" w:lineRule="auto"/>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ascii="宋体" w:hAnsi="宋体" w:cs="宋体"/>
          <w:b/>
          <w:bCs/>
          <w:color w:val="auto"/>
          <w:kern w:val="0"/>
          <w:sz w:val="24"/>
          <w:highlight w:val="none"/>
        </w:rPr>
      </w:pPr>
    </w:p>
    <w:p>
      <w:pPr>
        <w:pStyle w:val="4"/>
        <w:pageBreakBefore w:val="0"/>
        <w:kinsoku/>
        <w:overflowPunct/>
        <w:topLinePunct w:val="0"/>
        <w:bidi w:val="0"/>
        <w:spacing w:beforeAutospacing="0" w:afterAutospacing="0" w:line="360" w:lineRule="auto"/>
        <w:rPr>
          <w:rFonts w:ascii="宋体" w:hAnsi="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Ansi="宋体"/>
          <w:b/>
          <w:bCs/>
          <w:color w:val="auto"/>
          <w:highlight w:val="none"/>
        </w:rPr>
      </w:pPr>
    </w:p>
    <w:p>
      <w:pPr>
        <w:pStyle w:val="49"/>
        <w:pageBreakBefore w:val="0"/>
        <w:kinsoku/>
        <w:overflowPunct/>
        <w:topLinePunct w:val="0"/>
        <w:bidi w:val="0"/>
        <w:spacing w:beforeAutospacing="0" w:afterAutospacing="0" w:line="360" w:lineRule="auto"/>
        <w:rPr>
          <w:rFonts w:hAnsi="宋体"/>
          <w:b/>
          <w:bCs/>
          <w:color w:val="auto"/>
          <w:highlight w:val="none"/>
        </w:rPr>
      </w:pPr>
    </w:p>
    <w:p>
      <w:pPr>
        <w:pageBreakBefore w:val="0"/>
        <w:kinsoku/>
        <w:overflowPunct/>
        <w:topLinePunct w:val="0"/>
        <w:bidi w:val="0"/>
        <w:spacing w:beforeAutospacing="0" w:afterAutospacing="0" w:line="360" w:lineRule="auto"/>
        <w:rPr>
          <w:color w:val="auto"/>
          <w:highlight w:val="none"/>
        </w:rPr>
      </w:pPr>
      <w:r>
        <w:rPr>
          <w:rFonts w:hint="eastAsia"/>
          <w:color w:val="auto"/>
          <w:highlight w:val="none"/>
        </w:rPr>
        <w:br w:type="page"/>
      </w:r>
    </w:p>
    <w:p>
      <w:pPr>
        <w:pStyle w:val="5"/>
        <w:pageBreakBefore w:val="0"/>
        <w:kinsoku/>
        <w:overflowPunct/>
        <w:topLinePunct w:val="0"/>
        <w:bidi w:val="0"/>
        <w:spacing w:beforeAutospacing="0" w:afterAutospacing="0" w:line="360" w:lineRule="auto"/>
        <w:rPr>
          <w:color w:val="auto"/>
          <w:highlight w:val="none"/>
        </w:rPr>
      </w:pPr>
    </w:p>
    <w:p>
      <w:pPr>
        <w:pStyle w:val="6"/>
        <w:pageBreakBefore w:val="0"/>
        <w:kinsoku/>
        <w:overflowPunct/>
        <w:topLinePunct w:val="0"/>
        <w:bidi w:val="0"/>
        <w:spacing w:before="0" w:beforeAutospacing="0" w:after="0" w:afterAutospacing="0" w:line="360" w:lineRule="auto"/>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ascii="宋体" w:hAnsi="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ascii="宋体" w:hAnsi="宋体" w:cs="宋体"/>
          <w:b/>
          <w:color w:val="auto"/>
          <w:kern w:val="0"/>
          <w:sz w:val="24"/>
          <w:highlight w:val="none"/>
        </w:rPr>
      </w:pPr>
    </w:p>
    <w:p>
      <w:pPr>
        <w:pStyle w:val="4"/>
        <w:pageBreakBefore w:val="0"/>
        <w:kinsoku/>
        <w:overflowPunct/>
        <w:topLinePunct w:val="0"/>
        <w:bidi w:val="0"/>
        <w:spacing w:beforeAutospacing="0" w:afterAutospacing="0" w:line="360" w:lineRule="auto"/>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rPr>
          <w:color w:val="auto"/>
          <w:highlight w:val="none"/>
        </w:rPr>
      </w:pPr>
      <w:r>
        <w:rPr>
          <w:rFonts w:hint="eastAsia" w:ascii="宋体" w:hAnsi="宋体" w:cs="宋体"/>
          <w:b/>
          <w:color w:val="auto"/>
          <w:kern w:val="0"/>
          <w:sz w:val="24"/>
          <w:highlight w:val="none"/>
        </w:rPr>
        <w:br w:type="page"/>
      </w:r>
    </w:p>
    <w:p>
      <w:pPr>
        <w:pStyle w:val="6"/>
        <w:pageBreakBefore w:val="0"/>
        <w:kinsoku/>
        <w:overflowPunct/>
        <w:topLinePunct w:val="0"/>
        <w:bidi w:val="0"/>
        <w:spacing w:before="0" w:beforeAutospacing="0" w:after="0" w:afterAutospacing="0" w:line="360" w:lineRule="auto"/>
        <w:rPr>
          <w:color w:val="auto"/>
          <w:highlight w:val="none"/>
        </w:rPr>
      </w:pPr>
      <w:bookmarkStart w:id="65" w:name="_Toc14560"/>
      <w:bookmarkStart w:id="66" w:name="_Toc8818"/>
      <w:r>
        <w:rPr>
          <w:rFonts w:hint="eastAsia"/>
          <w:color w:val="auto"/>
          <w:highlight w:val="none"/>
        </w:rPr>
        <w:t>附件2               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30</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ascii="宋体" w:hAnsi="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kinsoku/>
        <w:overflowPunct/>
        <w:topLinePunct w:val="0"/>
        <w:bidi w:val="0"/>
        <w:spacing w:beforeAutospacing="0" w:afterAutospacing="0" w:line="360" w:lineRule="auto"/>
        <w:jc w:val="center"/>
        <w:rPr>
          <w:rFonts w:ascii="宋体" w:hAnsi="宋体"/>
          <w:b/>
          <w:bCs/>
          <w:color w:val="auto"/>
          <w:sz w:val="24"/>
          <w:highlight w:val="none"/>
        </w:rPr>
      </w:pPr>
    </w:p>
    <w:p>
      <w:pPr>
        <w:pageBreakBefore w:val="0"/>
        <w:kinsoku/>
        <w:overflowPunct/>
        <w:topLinePunct w:val="0"/>
        <w:bidi w:val="0"/>
        <w:spacing w:beforeAutospacing="0" w:afterAutospacing="0" w:line="360" w:lineRule="auto"/>
        <w:rPr>
          <w:color w:val="auto"/>
          <w:sz w:val="28"/>
          <w:szCs w:val="28"/>
          <w:highlight w:val="none"/>
        </w:rPr>
      </w:pPr>
      <w:r>
        <w:rPr>
          <w:rFonts w:hint="eastAsia"/>
          <w:color w:val="auto"/>
          <w:sz w:val="28"/>
          <w:szCs w:val="28"/>
          <w:highlight w:val="none"/>
        </w:rPr>
        <w:br w:type="page"/>
      </w:r>
    </w:p>
    <w:p>
      <w:pPr>
        <w:pageBreakBefore w:val="0"/>
        <w:kinsoku/>
        <w:overflowPunct/>
        <w:topLinePunct w:val="0"/>
        <w:bidi w:val="0"/>
        <w:spacing w:beforeAutospacing="0" w:afterAutospacing="0" w:line="360" w:lineRule="auto"/>
        <w:rPr>
          <w:color w:val="auto"/>
          <w:highlight w:val="none"/>
        </w:rPr>
      </w:pPr>
    </w:p>
    <w:p>
      <w:pPr>
        <w:pStyle w:val="6"/>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 xml:space="preserve">附件3              </w:t>
      </w:r>
    </w:p>
    <w:p>
      <w:pPr>
        <w:pStyle w:val="6"/>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开标一览表</w:t>
      </w:r>
      <w:bookmarkEnd w:id="67"/>
    </w:p>
    <w:p>
      <w:pPr>
        <w:pageBreakBefore w:val="0"/>
        <w:kinsoku/>
        <w:overflowPunct/>
        <w:topLinePunct w:val="0"/>
        <w:bidi w:val="0"/>
        <w:spacing w:beforeAutospacing="0" w:afterAutospacing="0" w:line="360" w:lineRule="auto"/>
        <w:jc w:val="right"/>
        <w:rPr>
          <w:color w:val="auto"/>
          <w:highlight w:val="none"/>
        </w:rPr>
      </w:pPr>
      <w:r>
        <w:rPr>
          <w:rFonts w:ascii="宋体" w:hAnsi="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vAlign w:val="center"/>
          </w:tcPr>
          <w:p>
            <w:pPr>
              <w:pageBreakBefore w:val="0"/>
              <w:kinsoku/>
              <w:overflowPunct/>
              <w:topLinePunct w:val="0"/>
              <w:bidi w:val="0"/>
              <w:spacing w:beforeAutospacing="0" w:afterAutospacing="0"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大写：壹佰伍拾元</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提</w:t>
            </w:r>
          </w:p>
          <w:p>
            <w:pPr>
              <w:pageBreakBefore w:val="0"/>
              <w:kinsoku/>
              <w:overflowPunct/>
              <w:topLinePunct w:val="0"/>
              <w:bidi w:val="0"/>
              <w:spacing w:beforeAutospacing="0" w:afterAutospacing="0"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小写：150元</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提</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2"/>
              <w:pageBreakBefore w:val="0"/>
              <w:kinsoku/>
              <w:overflowPunct/>
              <w:topLinePunct w:val="0"/>
              <w:bidi w:val="0"/>
              <w:spacing w:beforeAutospacing="0" w:afterAutospacing="0" w:line="360" w:lineRule="auto"/>
              <w:ind w:left="0" w:leftChars="0"/>
              <w:rPr>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color w:val="auto"/>
          <w:szCs w:val="21"/>
          <w:highlight w:val="none"/>
        </w:rPr>
      </w:pPr>
      <w:bookmarkStart w:id="68" w:name="_Toc11620"/>
      <w:bookmarkStart w:id="69" w:name="_Toc20877"/>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pageBreakBefore w:val="0"/>
        <w:kinsoku/>
        <w:overflowPunct/>
        <w:topLinePunct w:val="0"/>
        <w:bidi w:val="0"/>
        <w:spacing w:beforeAutospacing="0" w:afterAutospacing="0" w:line="360" w:lineRule="auto"/>
        <w:jc w:val="center"/>
        <w:rPr>
          <w:rFonts w:hint="eastAsia" w:ascii="宋体" w:hAnsi="宋体"/>
          <w:color w:val="auto"/>
          <w:szCs w:val="21"/>
          <w:highlight w:val="none"/>
        </w:rPr>
      </w:pPr>
      <w:r>
        <w:rPr>
          <w:color w:val="auto"/>
          <w:highlight w:val="none"/>
        </w:rPr>
        <w:br w:type="page"/>
      </w:r>
    </w:p>
    <w:p>
      <w:pPr>
        <w:pageBreakBefore w:val="0"/>
        <w:kinsoku/>
        <w:overflowPunct/>
        <w:topLinePunct w:val="0"/>
        <w:bidi w:val="0"/>
        <w:spacing w:beforeAutospacing="0" w:afterAutospacing="0" w:line="360" w:lineRule="auto"/>
        <w:jc w:val="center"/>
        <w:rPr>
          <w:rFonts w:hint="eastAsia" w:ascii="宋体" w:hAnsi="宋体"/>
          <w:color w:val="auto"/>
          <w:szCs w:val="21"/>
          <w:highlight w:val="none"/>
        </w:rPr>
      </w:pPr>
    </w:p>
    <w:bookmarkEnd w:id="48"/>
    <w:bookmarkEnd w:id="49"/>
    <w:p>
      <w:pPr>
        <w:pStyle w:val="6"/>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ascii="宋体" w:hAnsi="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color w:val="auto"/>
          <w:highlight w:val="none"/>
        </w:rPr>
      </w:pPr>
      <w:r>
        <w:rPr>
          <w:rFonts w:hint="eastAsia" w:ascii="宋体" w:hAnsi="宋体" w:cs="宋体"/>
          <w:color w:val="auto"/>
          <w:kern w:val="0"/>
          <w:sz w:val="24"/>
          <w:highlight w:val="none"/>
        </w:rPr>
        <w:t>年    月    日</w:t>
      </w:r>
    </w:p>
    <w:p>
      <w:pPr>
        <w:pStyle w:val="6"/>
        <w:pageBreakBefore w:val="0"/>
        <w:kinsoku/>
        <w:overflowPunct/>
        <w:topLinePunct w:val="0"/>
        <w:bidi w:val="0"/>
        <w:spacing w:before="0" w:beforeAutospacing="0" w:after="0" w:afterAutospacing="0" w:line="360" w:lineRule="auto"/>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color w:val="auto"/>
                <w:sz w:val="24"/>
                <w:highlight w:val="none"/>
              </w:rPr>
            </w:pPr>
            <w:r>
              <w:rPr>
                <w:rFonts w:hint="eastAsia"/>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bCs/>
                <w:color w:val="auto"/>
                <w:sz w:val="24"/>
                <w:highlight w:val="none"/>
              </w:rPr>
            </w:pPr>
          </w:p>
        </w:tc>
      </w:tr>
    </w:tbl>
    <w:p>
      <w:pPr>
        <w:pageBreakBefore w:val="0"/>
        <w:kinsoku/>
        <w:overflowPunct/>
        <w:topLinePunct w:val="0"/>
        <w:bidi w:val="0"/>
        <w:spacing w:beforeAutospacing="0" w:afterAutospacing="0" w:line="360" w:lineRule="auto"/>
        <w:rPr>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bCs/>
          <w:color w:val="auto"/>
          <w:kern w:val="0"/>
          <w:highlight w:val="none"/>
        </w:rPr>
      </w:pPr>
    </w:p>
    <w:p>
      <w:pPr>
        <w:pStyle w:val="53"/>
        <w:pageBreakBefore w:val="0"/>
        <w:kinsoku/>
        <w:overflowPunct/>
        <w:topLinePunct w:val="0"/>
        <w:bidi w:val="0"/>
        <w:spacing w:beforeAutospacing="0" w:afterAutospacing="0" w:line="360" w:lineRule="auto"/>
        <w:rPr>
          <w:bCs/>
          <w:color w:val="auto"/>
          <w:kern w:val="0"/>
          <w:highlight w:val="none"/>
        </w:rPr>
      </w:pPr>
    </w:p>
    <w:p>
      <w:pPr>
        <w:pStyle w:val="53"/>
        <w:pageBreakBefore w:val="0"/>
        <w:kinsoku/>
        <w:overflowPunct/>
        <w:topLinePunct w:val="0"/>
        <w:bidi w:val="0"/>
        <w:spacing w:beforeAutospacing="0" w:afterAutospacing="0" w:line="360" w:lineRule="auto"/>
        <w:rPr>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ascii="宋体" w:hAnsi="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ascii="Arial" w:hAnsi="Arial" w:eastAsia="新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ascii="仿宋_GB2312" w:cs="宋体"/>
          <w:color w:val="auto"/>
          <w:kern w:val="0"/>
          <w:sz w:val="24"/>
          <w:highlight w:val="none"/>
        </w:rPr>
      </w:pPr>
    </w:p>
    <w:p>
      <w:pPr>
        <w:pageBreakBefore w:val="0"/>
        <w:kinsoku/>
        <w:overflowPunct/>
        <w:topLinePunct w:val="0"/>
        <w:bidi w:val="0"/>
        <w:spacing w:beforeAutospacing="0" w:afterAutospacing="0" w:line="360" w:lineRule="auto"/>
        <w:rPr>
          <w:rFonts w:cs="宋体"/>
          <w:b/>
          <w:color w:val="auto"/>
          <w:kern w:val="0"/>
          <w:sz w:val="24"/>
          <w:highlight w:val="none"/>
        </w:rPr>
      </w:pPr>
      <w:r>
        <w:rPr>
          <w:rFonts w:cs="宋体"/>
          <w:b/>
          <w:color w:val="auto"/>
          <w:kern w:val="0"/>
          <w:sz w:val="24"/>
          <w:highlight w:val="none"/>
        </w:rPr>
        <w:br w:type="page"/>
      </w:r>
    </w:p>
    <w:p>
      <w:pPr>
        <w:pStyle w:val="31"/>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pacing w:beforeAutospacing="0" w:afterAutospacing="0" w:line="360" w:lineRule="auto"/>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ascii="宋体" w:hAnsi="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p>
            <w:pPr>
              <w:pageBreakBefore w:val="0"/>
              <w:widowControl/>
              <w:kinsoku/>
              <w:overflowPunct/>
              <w:topLinePunct w:val="0"/>
              <w:bidi w:val="0"/>
              <w:spacing w:beforeAutospacing="0" w:afterAutospacing="0" w:line="360" w:lineRule="auto"/>
              <w:jc w:val="left"/>
              <w:rPr>
                <w:rFonts w:ascii="仿宋_GB2312" w:hAnsi="Lucida Sans Unicode" w:eastAsia="仿宋_GB2312" w:cs="Lucida Sans Unicode"/>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ascii="宋体" w:hAnsi="宋体" w:cs="Lucida Sans Unicode"/>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ascii="Lucida Sans Unicode" w:hAnsi="Lucida Sans Unicode" w:cs="Lucida Sans Unicode"/>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ascii="仿宋_GB2312" w:hAnsi="仿宋_GB2312" w:eastAsia="仿宋_GB2312" w:cs="Lucida Sans Unicode"/>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3"/>
        <w:pageBreakBefore w:val="0"/>
        <w:kinsoku/>
        <w:overflowPunct/>
        <w:topLinePunct w:val="0"/>
        <w:bidi w:val="0"/>
        <w:spacing w:beforeAutospacing="0" w:afterAutospacing="0" w:line="360" w:lineRule="auto"/>
        <w:rPr>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ascii="仿宋_GB2312" w:hAnsi="Lucida Sans Unicode" w:eastAsia="仿宋_GB2312" w:cs="Lucida Sans Unicode"/>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ascii="宋体" w:hAnsi="宋体" w:cs="宋体"/>
          <w:b/>
          <w:color w:val="auto"/>
          <w:kern w:val="0"/>
          <w:sz w:val="32"/>
          <w:szCs w:val="32"/>
          <w:highlight w:val="none"/>
        </w:rPr>
      </w:pPr>
    </w:p>
    <w:p>
      <w:pPr>
        <w:pageBreakBefore w:val="0"/>
        <w:kinsoku/>
        <w:overflowPunct/>
        <w:topLinePunct w:val="0"/>
        <w:bidi w:val="0"/>
        <w:spacing w:beforeAutospacing="0" w:afterAutospacing="0" w:line="360" w:lineRule="auto"/>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ascii="宋体" w:hAnsi="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10"/>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pageBreakBefore w:val="0"/>
        <w:kinsoku/>
        <w:overflowPunct/>
        <w:topLinePunct w:val="0"/>
        <w:bidi w:val="0"/>
        <w:spacing w:beforeAutospacing="0" w:afterAutospacing="0" w:line="36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0"/>
        <w:pageBreakBefore w:val="0"/>
        <w:kinsoku/>
        <w:overflowPunct/>
        <w:topLinePunct w:val="0"/>
        <w:bidi w:val="0"/>
        <w:spacing w:beforeAutospacing="0" w:afterAutospacing="0" w:line="36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kinsoku/>
        <w:overflowPunct/>
        <w:topLinePunct w:val="0"/>
        <w:bidi w:val="0"/>
        <w:spacing w:beforeAutospacing="0" w:afterAutospacing="0" w:line="360" w:lineRule="auto"/>
        <w:rPr>
          <w:b/>
          <w:bCs/>
          <w:color w:val="auto"/>
          <w:highlight w:val="none"/>
        </w:rPr>
      </w:pPr>
      <w:r>
        <w:rPr>
          <w:b/>
          <w:bCs/>
          <w:color w:val="auto"/>
          <w:highlight w:val="none"/>
        </w:rPr>
        <w:br w:type="page"/>
      </w:r>
    </w:p>
    <w:p>
      <w:pPr>
        <w:pStyle w:val="10"/>
        <w:pageBreakBefore w:val="0"/>
        <w:kinsoku/>
        <w:overflowPunct/>
        <w:topLinePunct w:val="0"/>
        <w:bidi w:val="0"/>
        <w:spacing w:beforeAutospacing="0" w:afterAutospacing="0" w:line="360" w:lineRule="auto"/>
        <w:ind w:firstLine="540" w:firstLineChars="224"/>
        <w:jc w:val="both"/>
        <w:rPr>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color w:val="auto"/>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ascii="宋体" w:hAnsi="宋体" w:cs="宋体"/>
          <w:color w:val="auto"/>
          <w:kern w:val="0"/>
          <w:szCs w:val="21"/>
          <w:highlight w:val="none"/>
        </w:rPr>
      </w:pPr>
    </w:p>
    <w:p>
      <w:pPr>
        <w:pageBreakBefore w:val="0"/>
        <w:kinsoku/>
        <w:overflowPunct/>
        <w:topLinePunct w:val="0"/>
        <w:bidi w:val="0"/>
        <w:spacing w:beforeAutospacing="0" w:afterAutospacing="0" w:line="360" w:lineRule="auto"/>
        <w:rPr>
          <w:color w:val="auto"/>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ageBreakBefore w:val="0"/>
        <w:kinsoku/>
        <w:overflowPunct/>
        <w:topLinePunct w:val="0"/>
        <w:bidi w:val="0"/>
        <w:spacing w:beforeAutospacing="0" w:afterAutospacing="0" w:line="360" w:lineRule="auto"/>
        <w:rPr>
          <w:rFonts w:hint="eastAsia"/>
          <w:color w:val="auto"/>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仿宋" w:hAnsi="仿宋" w:eastAsia="仿宋" w:cs="仿宋"/>
          <w:color w:val="auto"/>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color w:val="auto"/>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color w:val="auto"/>
          <w:highlight w:val="none"/>
        </w:rPr>
      </w:pPr>
      <w:r>
        <w:rPr>
          <w:color w:val="auto"/>
          <w:highlight w:val="none"/>
        </w:rPr>
        <w:br w:type="page"/>
      </w:r>
    </w:p>
    <w:p>
      <w:pPr>
        <w:pStyle w:val="51"/>
        <w:pageBreakBefore w:val="0"/>
        <w:kinsoku/>
        <w:overflowPunct/>
        <w:topLinePunct w:val="0"/>
        <w:bidi w:val="0"/>
        <w:spacing w:beforeAutospacing="0" w:after="0" w:afterAutospacing="0" w:line="360" w:lineRule="auto"/>
        <w:rPr>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center"/>
        <w:rPr>
          <w:b/>
          <w:bCs/>
          <w:color w:val="auto"/>
          <w:sz w:val="28"/>
          <w:szCs w:val="28"/>
          <w:highlight w:val="none"/>
        </w:rPr>
      </w:pPr>
    </w:p>
    <w:p>
      <w:pPr>
        <w:pStyle w:val="10"/>
        <w:pageBreakBefore w:val="0"/>
        <w:kinsoku/>
        <w:overflowPunct/>
        <w:topLinePunct w:val="0"/>
        <w:bidi w:val="0"/>
        <w:spacing w:beforeAutospacing="0" w:afterAutospacing="0" w:line="360" w:lineRule="auto"/>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驻马店市中心医院女职工卫生用品采购项目采购文件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驻马店市中心医院女职工卫生用品采购项目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266D54FC"/>
    <w:multiLevelType w:val="singleLevel"/>
    <w:tmpl w:val="266D54FC"/>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0DA5C53"/>
    <w:rsid w:val="01944AF8"/>
    <w:rsid w:val="01DF5C17"/>
    <w:rsid w:val="02D25290"/>
    <w:rsid w:val="02F12505"/>
    <w:rsid w:val="037C54DB"/>
    <w:rsid w:val="047D5CC7"/>
    <w:rsid w:val="0750142A"/>
    <w:rsid w:val="08C1066A"/>
    <w:rsid w:val="0C877CFB"/>
    <w:rsid w:val="0CE82491"/>
    <w:rsid w:val="0D3A1F53"/>
    <w:rsid w:val="0D923C0B"/>
    <w:rsid w:val="0D961094"/>
    <w:rsid w:val="0DD203DE"/>
    <w:rsid w:val="0EFC384A"/>
    <w:rsid w:val="0F083E44"/>
    <w:rsid w:val="0FF85943"/>
    <w:rsid w:val="1003424E"/>
    <w:rsid w:val="100D65BF"/>
    <w:rsid w:val="10CF353C"/>
    <w:rsid w:val="11F33019"/>
    <w:rsid w:val="13695774"/>
    <w:rsid w:val="13F53FEC"/>
    <w:rsid w:val="14380591"/>
    <w:rsid w:val="144F7691"/>
    <w:rsid w:val="146A4213"/>
    <w:rsid w:val="152C0D1B"/>
    <w:rsid w:val="172C1C77"/>
    <w:rsid w:val="17486F60"/>
    <w:rsid w:val="18616F2E"/>
    <w:rsid w:val="196976F0"/>
    <w:rsid w:val="1A7F7CE9"/>
    <w:rsid w:val="1A856091"/>
    <w:rsid w:val="1B060913"/>
    <w:rsid w:val="1C0E7EC3"/>
    <w:rsid w:val="1C2C60F9"/>
    <w:rsid w:val="1C406787"/>
    <w:rsid w:val="1C5446B4"/>
    <w:rsid w:val="1C597898"/>
    <w:rsid w:val="1C88643E"/>
    <w:rsid w:val="1CDF0421"/>
    <w:rsid w:val="1D0E0D07"/>
    <w:rsid w:val="1DA32633"/>
    <w:rsid w:val="200028D8"/>
    <w:rsid w:val="211547B3"/>
    <w:rsid w:val="212A2D39"/>
    <w:rsid w:val="21BD198C"/>
    <w:rsid w:val="22F914CA"/>
    <w:rsid w:val="23F57CC4"/>
    <w:rsid w:val="24E44F5A"/>
    <w:rsid w:val="2AD830E5"/>
    <w:rsid w:val="2C2A1794"/>
    <w:rsid w:val="2C5C7953"/>
    <w:rsid w:val="2CE81EF4"/>
    <w:rsid w:val="2E366B06"/>
    <w:rsid w:val="2E8B274E"/>
    <w:rsid w:val="31035B63"/>
    <w:rsid w:val="316136A3"/>
    <w:rsid w:val="31986C26"/>
    <w:rsid w:val="333105F2"/>
    <w:rsid w:val="33F74D7E"/>
    <w:rsid w:val="346A0AC1"/>
    <w:rsid w:val="349A13A6"/>
    <w:rsid w:val="34E04272"/>
    <w:rsid w:val="350D171A"/>
    <w:rsid w:val="35150A2C"/>
    <w:rsid w:val="356048D8"/>
    <w:rsid w:val="35B44123"/>
    <w:rsid w:val="35C7280A"/>
    <w:rsid w:val="35E2289C"/>
    <w:rsid w:val="36B907B2"/>
    <w:rsid w:val="37B207B5"/>
    <w:rsid w:val="382252E2"/>
    <w:rsid w:val="38865FCC"/>
    <w:rsid w:val="38912AC0"/>
    <w:rsid w:val="38D93693"/>
    <w:rsid w:val="38E928FC"/>
    <w:rsid w:val="39984708"/>
    <w:rsid w:val="39AE5E23"/>
    <w:rsid w:val="39E93199"/>
    <w:rsid w:val="3AAD1707"/>
    <w:rsid w:val="3B546702"/>
    <w:rsid w:val="3BC64B38"/>
    <w:rsid w:val="3BEB698B"/>
    <w:rsid w:val="3C265C15"/>
    <w:rsid w:val="3D226758"/>
    <w:rsid w:val="3DAA28E7"/>
    <w:rsid w:val="3ED57B3B"/>
    <w:rsid w:val="40047331"/>
    <w:rsid w:val="411F75E2"/>
    <w:rsid w:val="412C0AA3"/>
    <w:rsid w:val="41923405"/>
    <w:rsid w:val="436D5ED7"/>
    <w:rsid w:val="441440F3"/>
    <w:rsid w:val="47EC7D13"/>
    <w:rsid w:val="47FE17F4"/>
    <w:rsid w:val="48D10692"/>
    <w:rsid w:val="4914486F"/>
    <w:rsid w:val="49DB1DED"/>
    <w:rsid w:val="4C185248"/>
    <w:rsid w:val="4C235CCD"/>
    <w:rsid w:val="4DD06B99"/>
    <w:rsid w:val="4F2C4E99"/>
    <w:rsid w:val="509B6FFA"/>
    <w:rsid w:val="51711E0D"/>
    <w:rsid w:val="519805C3"/>
    <w:rsid w:val="51F92A4C"/>
    <w:rsid w:val="52426781"/>
    <w:rsid w:val="53370970"/>
    <w:rsid w:val="54CF5078"/>
    <w:rsid w:val="54E1471D"/>
    <w:rsid w:val="56B62190"/>
    <w:rsid w:val="56E10F23"/>
    <w:rsid w:val="57877110"/>
    <w:rsid w:val="584D6B0A"/>
    <w:rsid w:val="58AE4B70"/>
    <w:rsid w:val="5A295181"/>
    <w:rsid w:val="5ABA15AB"/>
    <w:rsid w:val="5B1B7148"/>
    <w:rsid w:val="5C3918FB"/>
    <w:rsid w:val="5C5D3A0F"/>
    <w:rsid w:val="5C7D698B"/>
    <w:rsid w:val="5D335644"/>
    <w:rsid w:val="5DD67A13"/>
    <w:rsid w:val="5E206E1E"/>
    <w:rsid w:val="5E371164"/>
    <w:rsid w:val="5E742597"/>
    <w:rsid w:val="5F0D70EB"/>
    <w:rsid w:val="608D3EAD"/>
    <w:rsid w:val="62097280"/>
    <w:rsid w:val="624125B1"/>
    <w:rsid w:val="62A212A2"/>
    <w:rsid w:val="639F518E"/>
    <w:rsid w:val="64164898"/>
    <w:rsid w:val="65447343"/>
    <w:rsid w:val="65A96DEB"/>
    <w:rsid w:val="65BC6A75"/>
    <w:rsid w:val="679338AF"/>
    <w:rsid w:val="67C5345F"/>
    <w:rsid w:val="680A363F"/>
    <w:rsid w:val="685414FF"/>
    <w:rsid w:val="68664B20"/>
    <w:rsid w:val="68CD32D8"/>
    <w:rsid w:val="68FC1C8C"/>
    <w:rsid w:val="69552C6B"/>
    <w:rsid w:val="6C8B2DA7"/>
    <w:rsid w:val="6D891ABD"/>
    <w:rsid w:val="6DB359B4"/>
    <w:rsid w:val="6F0D200D"/>
    <w:rsid w:val="6F0D3F47"/>
    <w:rsid w:val="6F797E6A"/>
    <w:rsid w:val="707912DA"/>
    <w:rsid w:val="71C01745"/>
    <w:rsid w:val="722A3D19"/>
    <w:rsid w:val="72493524"/>
    <w:rsid w:val="72777687"/>
    <w:rsid w:val="73304612"/>
    <w:rsid w:val="74726C59"/>
    <w:rsid w:val="74730F39"/>
    <w:rsid w:val="76076E1C"/>
    <w:rsid w:val="77134C4A"/>
    <w:rsid w:val="773F4EBA"/>
    <w:rsid w:val="77520D58"/>
    <w:rsid w:val="77EE068E"/>
    <w:rsid w:val="78570929"/>
    <w:rsid w:val="79986B03"/>
    <w:rsid w:val="7A106FE1"/>
    <w:rsid w:val="7A374F60"/>
    <w:rsid w:val="7B227200"/>
    <w:rsid w:val="7B4A3BA0"/>
    <w:rsid w:val="7B580C40"/>
    <w:rsid w:val="7BC4265F"/>
    <w:rsid w:val="7C764ED8"/>
    <w:rsid w:val="7D2346C8"/>
    <w:rsid w:val="7D2D5A89"/>
    <w:rsid w:val="7DB51566"/>
    <w:rsid w:val="7E0B3D48"/>
    <w:rsid w:val="7E9C305C"/>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4"/>
    <w:autoRedefine/>
    <w:qFormat/>
    <w:uiPriority w:val="0"/>
  </w:style>
  <w:style w:type="paragraph" w:styleId="5">
    <w:name w:val="Body Text 2"/>
    <w:basedOn w:val="1"/>
    <w:next w:val="4"/>
    <w:autoRedefine/>
    <w:qFormat/>
    <w:uiPriority w:val="0"/>
    <w:pPr>
      <w:spacing w:line="480" w:lineRule="auto"/>
    </w:p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next w:val="11"/>
    <w:autoRedefine/>
    <w:qFormat/>
    <w:uiPriority w:val="0"/>
    <w:pPr>
      <w:widowControl/>
      <w:spacing w:beforeAutospacing="1" w:afterAutospacing="1"/>
      <w:jc w:val="left"/>
    </w:pPr>
    <w:rPr>
      <w:rFonts w:ascii="宋体" w:hAnsi="宋体" w:cs="宋体"/>
      <w:kern w:val="0"/>
      <w:sz w:val="24"/>
    </w:rPr>
  </w:style>
  <w:style w:type="paragraph" w:styleId="11">
    <w:name w:val="Body Text First Indent 2"/>
    <w:basedOn w:val="12"/>
    <w:autoRedefine/>
    <w:qFormat/>
    <w:uiPriority w:val="0"/>
    <w:pPr>
      <w:ind w:firstLine="420" w:firstLineChars="200"/>
    </w:pPr>
  </w:style>
  <w:style w:type="paragraph" w:styleId="12">
    <w:name w:val="Body Text Indent"/>
    <w:basedOn w:val="1"/>
    <w:next w:val="13"/>
    <w:autoRedefine/>
    <w:qFormat/>
    <w:uiPriority w:val="0"/>
    <w:pPr>
      <w:widowControl/>
      <w:spacing w:beforeAutospacing="1" w:afterAutospacing="1"/>
      <w:jc w:val="left"/>
    </w:pPr>
    <w:rPr>
      <w:rFonts w:ascii="宋体" w:hAnsi="宋体" w:cs="宋体"/>
      <w:kern w:val="0"/>
      <w:sz w:val="24"/>
    </w:rPr>
  </w:style>
  <w:style w:type="paragraph" w:styleId="13">
    <w:name w:val="envelope return"/>
    <w:basedOn w:val="1"/>
    <w:autoRedefine/>
    <w:unhideWhenUsed/>
    <w:qFormat/>
    <w:uiPriority w:val="99"/>
    <w:pPr>
      <w:snapToGrid w:val="0"/>
    </w:pPr>
    <w:rPr>
      <w:rFonts w:ascii="Arial" w:hAnsi="Arial"/>
    </w:rPr>
  </w:style>
  <w:style w:type="paragraph" w:styleId="14">
    <w:name w:val="Document Map"/>
    <w:basedOn w:val="1"/>
    <w:link w:val="76"/>
    <w:autoRedefine/>
    <w:qFormat/>
    <w:uiPriority w:val="0"/>
    <w:rPr>
      <w:rFonts w:ascii="宋体" w:hAnsi="Calibri"/>
      <w:sz w:val="18"/>
      <w:szCs w:val="18"/>
    </w:rPr>
  </w:style>
  <w:style w:type="paragraph" w:styleId="15">
    <w:name w:val="toa heading"/>
    <w:basedOn w:val="1"/>
    <w:next w:val="1"/>
    <w:autoRedefine/>
    <w:qFormat/>
    <w:uiPriority w:val="0"/>
    <w:pPr>
      <w:spacing w:before="120"/>
    </w:pPr>
    <w:rPr>
      <w:rFonts w:ascii="Arial" w:hAnsi="Arial" w:cs="Arial"/>
      <w:sz w:val="24"/>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5"/>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1"/>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1"/>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4"/>
    <w:autoRedefine/>
    <w:qFormat/>
    <w:uiPriority w:val="0"/>
  </w:style>
  <w:style w:type="character" w:customStyle="1" w:styleId="75">
    <w:name w:val="apple-converted-space"/>
    <w:basedOn w:val="34"/>
    <w:autoRedefine/>
    <w:qFormat/>
    <w:uiPriority w:val="0"/>
  </w:style>
  <w:style w:type="character" w:customStyle="1" w:styleId="76">
    <w:name w:val="文档结构图 Char"/>
    <w:link w:val="14"/>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 w:type="paragraph" w:customStyle="1" w:styleId="105">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13</TotalTime>
  <ScaleCrop>false</ScaleCrop>
  <LinksUpToDate>false</LinksUpToDate>
  <CharactersWithSpaces>16570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2024-02-28T10:12:14Z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F0D9A422CAB846D08A61ECE08D658D97_13</vt:lpwstr>
  </property>
  <property fmtid="{D5CDD505-2E9C-101B-9397-08002B2CF9AE}" pid="4" name="commondata">
    <vt:lpwstr>eyJoZGlkIjoiYzIwMjRmYTY4OTJhZjc1NTA1MGQwNDc0NzZhNTkwMmUifQ==</vt:lpwstr>
  </property>
</Properties>
</file>