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19"/>
        <w:keepNext w:val="0"/>
        <w:keepLines w:val="0"/>
        <w:pageBreakBefore w:val="0"/>
        <w:widowControl w:val="0"/>
        <w:kinsoku/>
        <w:wordWrap/>
        <w:overflowPunct/>
        <w:topLinePunct w:val="0"/>
        <w:autoSpaceDE/>
        <w:autoSpaceDN/>
        <w:bidi w:val="0"/>
        <w:adjustRightInd/>
        <w:snapToGrid/>
        <w:spacing w:beforeAutospacing="0" w:afterAutospacing="0" w:line="360" w:lineRule="auto"/>
        <w:jc w:val="center"/>
        <w:textAlignment w:val="auto"/>
        <w:rPr>
          <w:rFonts w:hint="eastAsia" w:cs="宋体"/>
          <w:b/>
          <w:bCs/>
          <w:sz w:val="48"/>
          <w:szCs w:val="48"/>
          <w:highlight w:val="none"/>
          <w:lang w:val="en-US" w:eastAsia="zh-CN"/>
        </w:rPr>
      </w:pPr>
      <w:bookmarkStart w:id="0" w:name="_Toc22953395"/>
      <w:bookmarkEnd w:id="0"/>
      <w:bookmarkStart w:id="1" w:name="_Toc22804073"/>
      <w:bookmarkEnd w:id="1"/>
    </w:p>
    <w:p>
      <w:pPr>
        <w:pStyle w:val="19"/>
        <w:keepNext w:val="0"/>
        <w:keepLines w:val="0"/>
        <w:pageBreakBefore w:val="0"/>
        <w:widowControl w:val="0"/>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b/>
          <w:bCs/>
          <w:sz w:val="48"/>
          <w:szCs w:val="48"/>
          <w:highlight w:val="none"/>
        </w:rPr>
      </w:pPr>
      <w:r>
        <w:rPr>
          <w:rFonts w:hint="eastAsia" w:cs="宋体"/>
          <w:b/>
          <w:bCs/>
          <w:sz w:val="48"/>
          <w:szCs w:val="48"/>
          <w:highlight w:val="none"/>
          <w:lang w:val="en-US" w:eastAsia="zh-CN"/>
        </w:rPr>
        <w:t>驻马店市中心医院核酸扩增分析仪、呼气分析仪采购项目</w:t>
      </w:r>
    </w:p>
    <w:p>
      <w:pPr>
        <w:pStyle w:val="19"/>
        <w:pageBreakBefore w:val="0"/>
        <w:kinsoku/>
        <w:overflowPunct/>
        <w:topLinePunct w:val="0"/>
        <w:bidi w:val="0"/>
        <w:spacing w:beforeAutospacing="0" w:afterAutospacing="0" w:line="360" w:lineRule="auto"/>
        <w:jc w:val="center"/>
        <w:rPr>
          <w:rStyle w:val="43"/>
          <w:rFonts w:hint="eastAsia" w:ascii="宋体" w:hAnsi="宋体" w:eastAsia="宋体" w:cs="宋体"/>
          <w:b/>
          <w:bCs/>
          <w:color w:val="auto"/>
          <w:sz w:val="48"/>
          <w:szCs w:val="48"/>
          <w:highlight w:val="none"/>
        </w:rPr>
      </w:pPr>
    </w:p>
    <w:p>
      <w:pPr>
        <w:pStyle w:val="19"/>
        <w:pageBreakBefore w:val="0"/>
        <w:kinsoku/>
        <w:overflowPunct/>
        <w:topLinePunct w:val="0"/>
        <w:bidi w:val="0"/>
        <w:spacing w:beforeAutospacing="0" w:afterAutospacing="0" w:line="360" w:lineRule="auto"/>
        <w:jc w:val="center"/>
        <w:rPr>
          <w:rStyle w:val="43"/>
          <w:rFonts w:hint="eastAsia" w:ascii="宋体" w:hAnsi="宋体" w:eastAsia="宋体" w:cs="宋体"/>
          <w:b/>
          <w:bCs/>
          <w:color w:val="auto"/>
          <w:sz w:val="48"/>
          <w:szCs w:val="48"/>
          <w:highlight w:val="none"/>
        </w:rPr>
      </w:pPr>
    </w:p>
    <w:p>
      <w:pPr>
        <w:pStyle w:val="19"/>
        <w:pageBreakBefore w:val="0"/>
        <w:kinsoku/>
        <w:overflowPunct/>
        <w:topLinePunct w:val="0"/>
        <w:bidi w:val="0"/>
        <w:spacing w:beforeAutospacing="0" w:afterAutospacing="0" w:line="360" w:lineRule="auto"/>
        <w:jc w:val="center"/>
        <w:rPr>
          <w:rStyle w:val="43"/>
          <w:rFonts w:hint="eastAsia" w:ascii="宋体" w:hAnsi="宋体" w:eastAsia="宋体" w:cs="宋体"/>
          <w:b/>
          <w:bCs/>
          <w:color w:val="auto"/>
          <w:szCs w:val="44"/>
          <w:highlight w:val="none"/>
        </w:rPr>
      </w:pPr>
      <w:r>
        <w:rPr>
          <w:rStyle w:val="43"/>
          <w:rFonts w:hint="eastAsia" w:cs="宋体"/>
          <w:b/>
          <w:bCs/>
          <w:color w:val="auto"/>
          <w:sz w:val="72"/>
          <w:szCs w:val="72"/>
          <w:highlight w:val="none"/>
          <w:lang w:val="en-US" w:eastAsia="zh-CN"/>
        </w:rPr>
        <w:t>采购</w:t>
      </w:r>
      <w:r>
        <w:rPr>
          <w:rStyle w:val="43"/>
          <w:rFonts w:hint="eastAsia" w:ascii="宋体" w:hAnsi="宋体" w:eastAsia="宋体" w:cs="宋体"/>
          <w:b/>
          <w:bCs/>
          <w:color w:val="auto"/>
          <w:sz w:val="72"/>
          <w:szCs w:val="72"/>
          <w:highlight w:val="none"/>
        </w:rPr>
        <w:t>文件</w:t>
      </w:r>
    </w:p>
    <w:p>
      <w:pPr>
        <w:pageBreakBefore w:val="0"/>
        <w:tabs>
          <w:tab w:val="left" w:pos="2700"/>
          <w:tab w:val="left" w:pos="2880"/>
          <w:tab w:val="left" w:pos="3060"/>
          <w:tab w:val="left" w:pos="7560"/>
        </w:tabs>
        <w:kinsoku/>
        <w:overflowPunct/>
        <w:topLinePunct w:val="0"/>
        <w:bidi w:val="0"/>
        <w:snapToGrid w:val="0"/>
        <w:spacing w:beforeAutospacing="0" w:afterAutospacing="0" w:line="360" w:lineRule="auto"/>
        <w:ind w:firstLine="1928" w:firstLineChars="600"/>
        <w:jc w:val="both"/>
        <w:rPr>
          <w:rFonts w:hint="eastAsia" w:ascii="宋体" w:hAnsi="宋体" w:eastAsia="宋体" w:cs="宋体"/>
          <w:b/>
          <w:bCs/>
          <w:spacing w:val="-10"/>
          <w:sz w:val="34"/>
          <w:szCs w:val="34"/>
          <w:highlight w:val="none"/>
          <w:lang w:val="en-US" w:eastAsia="zh-CN"/>
        </w:rPr>
      </w:pPr>
    </w:p>
    <w:p>
      <w:pPr>
        <w:pageBreakBefore w:val="0"/>
        <w:kinsoku/>
        <w:overflowPunct/>
        <w:topLinePunct w:val="0"/>
        <w:bidi w:val="0"/>
        <w:snapToGrid w:val="0"/>
        <w:spacing w:beforeAutospacing="0" w:afterAutospacing="0" w:line="360" w:lineRule="auto"/>
        <w:jc w:val="center"/>
        <w:rPr>
          <w:rFonts w:hint="eastAsia" w:ascii="宋体" w:hAnsi="宋体" w:eastAsia="宋体" w:cs="宋体"/>
          <w:b/>
          <w:sz w:val="32"/>
          <w:szCs w:val="32"/>
          <w:highlight w:val="none"/>
        </w:rPr>
      </w:pPr>
    </w:p>
    <w:p>
      <w:pPr>
        <w:pStyle w:val="31"/>
        <w:pageBreakBefore w:val="0"/>
        <w:kinsoku/>
        <w:overflowPunct/>
        <w:topLinePunct w:val="0"/>
        <w:bidi w:val="0"/>
        <w:spacing w:beforeAutospacing="0" w:afterAutospacing="0" w:line="360" w:lineRule="auto"/>
        <w:rPr>
          <w:rFonts w:hint="eastAsia"/>
          <w:highlight w:val="none"/>
        </w:rPr>
      </w:pPr>
    </w:p>
    <w:p>
      <w:pPr>
        <w:pStyle w:val="59"/>
        <w:pageBreakBefore w:val="0"/>
        <w:kinsoku/>
        <w:overflowPunct/>
        <w:topLinePunct w:val="0"/>
        <w:bidi w:val="0"/>
        <w:spacing w:beforeAutospacing="0" w:afterAutospacing="0" w:line="360" w:lineRule="auto"/>
        <w:rPr>
          <w:rFonts w:hint="eastAsia" w:ascii="宋体" w:hAnsi="宋体" w:eastAsia="宋体" w:cs="宋体"/>
          <w:bCs/>
          <w:sz w:val="2"/>
          <w:szCs w:val="2"/>
          <w:highlight w:val="none"/>
        </w:rPr>
      </w:pPr>
    </w:p>
    <w:p>
      <w:pPr>
        <w:pageBreakBefore w:val="0"/>
        <w:kinsoku/>
        <w:overflowPunct/>
        <w:topLinePunct w:val="0"/>
        <w:bidi w:val="0"/>
        <w:spacing w:beforeAutospacing="0" w:afterAutospacing="0" w:line="360" w:lineRule="auto"/>
        <w:rPr>
          <w:rFonts w:hint="eastAsia" w:ascii="宋体" w:hAnsi="宋体" w:eastAsia="宋体" w:cs="宋体"/>
          <w:bCs/>
          <w:sz w:val="2"/>
          <w:szCs w:val="2"/>
          <w:highlight w:val="none"/>
        </w:rPr>
      </w:pPr>
    </w:p>
    <w:p>
      <w:pPr>
        <w:pageBreakBefore w:val="0"/>
        <w:kinsoku/>
        <w:overflowPunct/>
        <w:topLinePunct w:val="0"/>
        <w:bidi w:val="0"/>
        <w:spacing w:beforeAutospacing="0" w:afterAutospacing="0" w:line="360" w:lineRule="auto"/>
        <w:rPr>
          <w:rFonts w:hint="eastAsia" w:ascii="宋体" w:hAnsi="宋体" w:eastAsia="宋体" w:cs="宋体"/>
          <w:bCs/>
          <w:sz w:val="2"/>
          <w:szCs w:val="2"/>
          <w:highlight w:val="none"/>
        </w:rPr>
      </w:pPr>
    </w:p>
    <w:p>
      <w:pPr>
        <w:pageBreakBefore w:val="0"/>
        <w:tabs>
          <w:tab w:val="left" w:pos="2700"/>
          <w:tab w:val="left" w:pos="2880"/>
          <w:tab w:val="left" w:pos="3060"/>
          <w:tab w:val="left" w:pos="7560"/>
        </w:tabs>
        <w:kinsoku/>
        <w:overflowPunct/>
        <w:topLinePunct w:val="0"/>
        <w:bidi w:val="0"/>
        <w:snapToGrid w:val="0"/>
        <w:spacing w:beforeAutospacing="0" w:afterAutospacing="0" w:line="360" w:lineRule="auto"/>
        <w:ind w:firstLine="1928" w:firstLineChars="600"/>
        <w:rPr>
          <w:rFonts w:hint="eastAsia" w:ascii="宋体" w:hAnsi="宋体" w:eastAsia="宋体" w:cs="宋体"/>
          <w:b/>
          <w:bCs/>
          <w:spacing w:val="-10"/>
          <w:sz w:val="34"/>
          <w:szCs w:val="34"/>
          <w:highlight w:val="none"/>
          <w:lang w:val="en-US" w:eastAsia="zh-CN"/>
        </w:rPr>
      </w:pPr>
    </w:p>
    <w:p>
      <w:pPr>
        <w:pageBreakBefore w:val="0"/>
        <w:tabs>
          <w:tab w:val="left" w:pos="2700"/>
          <w:tab w:val="left" w:pos="2880"/>
          <w:tab w:val="left" w:pos="3060"/>
          <w:tab w:val="left" w:pos="7560"/>
        </w:tabs>
        <w:kinsoku/>
        <w:overflowPunct/>
        <w:topLinePunct w:val="0"/>
        <w:bidi w:val="0"/>
        <w:snapToGrid w:val="0"/>
        <w:spacing w:beforeAutospacing="0" w:afterAutospacing="0" w:line="360" w:lineRule="auto"/>
        <w:ind w:firstLine="1928" w:firstLineChars="600"/>
        <w:rPr>
          <w:rFonts w:hint="eastAsia" w:ascii="宋体" w:hAnsi="宋体" w:eastAsia="宋体" w:cs="宋体"/>
          <w:b/>
          <w:bCs/>
          <w:spacing w:val="-10"/>
          <w:sz w:val="34"/>
          <w:szCs w:val="34"/>
          <w:highlight w:val="none"/>
          <w:lang w:val="en-US" w:eastAsia="zh-CN"/>
        </w:rPr>
      </w:pPr>
    </w:p>
    <w:p>
      <w:pPr>
        <w:pageBreakBefore w:val="0"/>
        <w:tabs>
          <w:tab w:val="left" w:pos="2700"/>
          <w:tab w:val="left" w:pos="2880"/>
          <w:tab w:val="left" w:pos="3060"/>
          <w:tab w:val="left" w:pos="7560"/>
        </w:tabs>
        <w:kinsoku/>
        <w:overflowPunct/>
        <w:topLinePunct w:val="0"/>
        <w:bidi w:val="0"/>
        <w:snapToGrid w:val="0"/>
        <w:spacing w:beforeAutospacing="0" w:afterAutospacing="0" w:line="360" w:lineRule="auto"/>
        <w:ind w:left="0" w:leftChars="0" w:firstLine="0" w:firstLineChars="0"/>
        <w:jc w:val="center"/>
        <w:rPr>
          <w:rFonts w:hint="eastAsia" w:ascii="宋体" w:hAnsi="宋体" w:eastAsia="宋体" w:cs="宋体"/>
          <w:b/>
          <w:bCs/>
          <w:spacing w:val="-10"/>
          <w:sz w:val="34"/>
          <w:szCs w:val="34"/>
          <w:highlight w:val="none"/>
          <w:lang w:val="en-US" w:eastAsia="zh-CN"/>
        </w:rPr>
      </w:pPr>
    </w:p>
    <w:p>
      <w:pPr>
        <w:pageBreakBefore w:val="0"/>
        <w:tabs>
          <w:tab w:val="left" w:pos="2700"/>
          <w:tab w:val="left" w:pos="2880"/>
          <w:tab w:val="left" w:pos="3060"/>
          <w:tab w:val="left" w:pos="7560"/>
        </w:tabs>
        <w:kinsoku/>
        <w:overflowPunct/>
        <w:topLinePunct w:val="0"/>
        <w:bidi w:val="0"/>
        <w:snapToGrid w:val="0"/>
        <w:spacing w:beforeAutospacing="0" w:afterAutospacing="0" w:line="360" w:lineRule="auto"/>
        <w:ind w:left="0" w:leftChars="0" w:firstLine="0" w:firstLineChars="0"/>
        <w:jc w:val="center"/>
        <w:rPr>
          <w:rFonts w:hint="eastAsia" w:ascii="宋体" w:hAnsi="宋体" w:eastAsia="宋体" w:cs="宋体"/>
          <w:b/>
          <w:bCs/>
          <w:spacing w:val="80"/>
          <w:sz w:val="34"/>
          <w:szCs w:val="34"/>
          <w:highlight w:val="none"/>
        </w:rPr>
      </w:pPr>
      <w:r>
        <w:rPr>
          <w:rFonts w:hint="eastAsia" w:ascii="宋体" w:hAnsi="宋体" w:eastAsia="宋体" w:cs="宋体"/>
          <w:b/>
          <w:bCs/>
          <w:spacing w:val="-10"/>
          <w:sz w:val="34"/>
          <w:szCs w:val="34"/>
          <w:highlight w:val="none"/>
          <w:lang w:val="en-US" w:eastAsia="zh-CN"/>
        </w:rPr>
        <w:t>采 购</w:t>
      </w:r>
      <w:r>
        <w:rPr>
          <w:rFonts w:hint="eastAsia" w:ascii="宋体" w:hAnsi="宋体" w:eastAsia="宋体" w:cs="宋体"/>
          <w:b/>
          <w:bCs/>
          <w:spacing w:val="-10"/>
          <w:sz w:val="34"/>
          <w:szCs w:val="34"/>
          <w:highlight w:val="none"/>
        </w:rPr>
        <w:t xml:space="preserve"> 人：驻马店市中心医院</w:t>
      </w:r>
    </w:p>
    <w:p>
      <w:pPr>
        <w:pageBreakBefore w:val="0"/>
        <w:tabs>
          <w:tab w:val="left" w:pos="2505"/>
          <w:tab w:val="center" w:pos="4535"/>
        </w:tabs>
        <w:kinsoku/>
        <w:overflowPunct/>
        <w:topLinePunct w:val="0"/>
        <w:bidi w:val="0"/>
        <w:snapToGrid w:val="0"/>
        <w:spacing w:beforeAutospacing="0" w:afterAutospacing="0" w:line="360" w:lineRule="auto"/>
        <w:jc w:val="center"/>
        <w:rPr>
          <w:rFonts w:hint="eastAsia" w:ascii="宋体" w:hAnsi="宋体" w:eastAsia="宋体" w:cs="宋体"/>
          <w:b/>
          <w:sz w:val="36"/>
          <w:szCs w:val="36"/>
          <w:highlight w:val="none"/>
        </w:rPr>
        <w:sectPr>
          <w:pgSz w:w="11923" w:h="16838"/>
          <w:pgMar w:top="1304" w:right="1417" w:bottom="992" w:left="1417" w:header="720" w:footer="720" w:gutter="0"/>
          <w:pgNumType w:fmt="decimal" w:start="1"/>
          <w:cols w:space="720" w:num="1"/>
          <w:docGrid w:type="lines" w:linePitch="312" w:charSpace="0"/>
        </w:sectPr>
      </w:pPr>
      <w:r>
        <w:rPr>
          <w:rFonts w:hint="eastAsia" w:ascii="宋体" w:hAnsi="宋体" w:cs="宋体"/>
          <w:b/>
          <w:bCs/>
          <w:spacing w:val="40"/>
          <w:sz w:val="34"/>
          <w:szCs w:val="34"/>
          <w:highlight w:val="none"/>
          <w:lang w:val="en-US" w:eastAsia="zh-CN"/>
        </w:rPr>
        <w:t>2024年2月</w:t>
      </w:r>
    </w:p>
    <w:p>
      <w:pPr>
        <w:pageBreakBefore w:val="0"/>
        <w:kinsoku/>
        <w:overflowPunct/>
        <w:topLinePunct w:val="0"/>
        <w:bidi w:val="0"/>
        <w:spacing w:beforeAutospacing="0" w:afterAutospacing="0" w:line="360" w:lineRule="auto"/>
        <w:rPr>
          <w:rFonts w:ascii="宋体" w:hAnsi="宋体"/>
          <w:bCs/>
          <w:color w:val="auto"/>
          <w:sz w:val="24"/>
          <w:highlight w:val="none"/>
        </w:rPr>
      </w:pPr>
    </w:p>
    <w:p>
      <w:pPr>
        <w:pageBreakBefore w:val="0"/>
        <w:kinsoku/>
        <w:overflowPunct/>
        <w:topLinePunct w:val="0"/>
        <w:bidi w:val="0"/>
        <w:spacing w:beforeAutospacing="0" w:afterAutospacing="0" w:line="360" w:lineRule="auto"/>
        <w:jc w:val="center"/>
        <w:rPr>
          <w:rFonts w:ascii="宋体" w:hAnsi="宋体" w:cs="宋体"/>
          <w:b/>
          <w:bCs/>
          <w:color w:val="auto"/>
          <w:sz w:val="36"/>
          <w:szCs w:val="36"/>
          <w:highlight w:val="none"/>
        </w:rPr>
      </w:pPr>
      <w:r>
        <w:rPr>
          <w:rFonts w:hint="eastAsia" w:ascii="宋体" w:hAnsi="宋体" w:cs="宋体"/>
          <w:b/>
          <w:bCs/>
          <w:color w:val="auto"/>
          <w:sz w:val="36"/>
          <w:szCs w:val="36"/>
          <w:highlight w:val="none"/>
        </w:rPr>
        <w:t>目录</w:t>
      </w:r>
    </w:p>
    <w:p>
      <w:pPr>
        <w:pStyle w:val="53"/>
        <w:pageBreakBefore w:val="0"/>
        <w:kinsoku/>
        <w:overflowPunct/>
        <w:topLinePunct w:val="0"/>
        <w:bidi w:val="0"/>
        <w:spacing w:beforeAutospacing="0" w:afterAutospacing="0" w:line="360" w:lineRule="auto"/>
        <w:rPr>
          <w:color w:val="auto"/>
          <w:highlight w:val="none"/>
        </w:rPr>
      </w:pPr>
    </w:p>
    <w:p>
      <w:pPr>
        <w:pStyle w:val="25"/>
        <w:pageBreakBefore w:val="0"/>
        <w:tabs>
          <w:tab w:val="right" w:leader="dot" w:pos="8958"/>
        </w:tabs>
        <w:kinsoku/>
        <w:overflowPunct/>
        <w:topLinePunct w:val="0"/>
        <w:bidi w:val="0"/>
        <w:snapToGrid w:val="0"/>
        <w:spacing w:before="0" w:beforeAutospacing="0" w:afterAutospacing="0" w:line="360" w:lineRule="auto"/>
        <w:rPr>
          <w:rFonts w:ascii="宋体" w:hAnsi="宋体" w:cs="宋体"/>
          <w:color w:val="auto"/>
          <w:szCs w:val="21"/>
          <w:highlight w:val="none"/>
        </w:rPr>
      </w:pPr>
      <w:r>
        <w:rPr>
          <w:rFonts w:hint="eastAsia" w:ascii="宋体" w:hAnsi="宋体" w:cs="宋体"/>
          <w:b/>
          <w:bCs/>
          <w:color w:val="auto"/>
          <w:sz w:val="32"/>
          <w:szCs w:val="32"/>
          <w:highlight w:val="none"/>
        </w:rPr>
        <w:fldChar w:fldCharType="begin"/>
      </w:r>
      <w:r>
        <w:rPr>
          <w:rFonts w:hint="eastAsia" w:ascii="宋体" w:hAnsi="宋体" w:cs="宋体"/>
          <w:b/>
          <w:bCs/>
          <w:color w:val="auto"/>
          <w:sz w:val="32"/>
          <w:szCs w:val="32"/>
          <w:highlight w:val="none"/>
        </w:rPr>
        <w:instrText xml:space="preserve">TOC \o "1-1" \h \u </w:instrText>
      </w:r>
      <w:r>
        <w:rPr>
          <w:rFonts w:hint="eastAsia" w:ascii="宋体" w:hAnsi="宋体" w:cs="宋体"/>
          <w:b/>
          <w:bCs/>
          <w:color w:val="auto"/>
          <w:sz w:val="32"/>
          <w:szCs w:val="32"/>
          <w:highlight w:val="none"/>
        </w:rPr>
        <w:fldChar w:fldCharType="separate"/>
      </w:r>
      <w:r>
        <w:rPr>
          <w:color w:val="auto"/>
          <w:highlight w:val="none"/>
        </w:rPr>
        <w:fldChar w:fldCharType="begin"/>
      </w:r>
      <w:r>
        <w:rPr>
          <w:color w:val="auto"/>
          <w:highlight w:val="none"/>
        </w:rPr>
        <w:instrText xml:space="preserve"> HYPERLINK \l "_Toc9075" </w:instrText>
      </w:r>
      <w:r>
        <w:rPr>
          <w:color w:val="auto"/>
          <w:highlight w:val="none"/>
        </w:rPr>
        <w:fldChar w:fldCharType="separate"/>
      </w:r>
      <w:r>
        <w:rPr>
          <w:rFonts w:hint="eastAsia" w:ascii="宋体" w:hAnsi="宋体" w:cs="宋体"/>
          <w:color w:val="auto"/>
          <w:szCs w:val="21"/>
          <w:highlight w:val="none"/>
        </w:rPr>
        <w:t>第一章  招 标 公 告</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_Toc9075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2</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25"/>
        <w:pageBreakBefore w:val="0"/>
        <w:tabs>
          <w:tab w:val="right" w:leader="dot" w:pos="8958"/>
        </w:tabs>
        <w:kinsoku/>
        <w:overflowPunct/>
        <w:topLinePunct w:val="0"/>
        <w:bidi w:val="0"/>
        <w:snapToGrid w:val="0"/>
        <w:spacing w:before="0" w:beforeAutospacing="0" w:afterAutospacing="0" w:line="360" w:lineRule="auto"/>
        <w:rPr>
          <w:rFonts w:ascii="宋体" w:hAnsi="宋体" w:cs="宋体"/>
          <w:color w:val="auto"/>
          <w:szCs w:val="21"/>
          <w:highlight w:val="none"/>
        </w:rPr>
      </w:pPr>
      <w:r>
        <w:rPr>
          <w:color w:val="auto"/>
          <w:highlight w:val="none"/>
        </w:rPr>
        <w:fldChar w:fldCharType="begin"/>
      </w:r>
      <w:r>
        <w:rPr>
          <w:color w:val="auto"/>
          <w:highlight w:val="none"/>
        </w:rPr>
        <w:instrText xml:space="preserve"> HYPERLINK \l "_Toc25063" </w:instrText>
      </w:r>
      <w:r>
        <w:rPr>
          <w:color w:val="auto"/>
          <w:highlight w:val="none"/>
        </w:rPr>
        <w:fldChar w:fldCharType="separate"/>
      </w:r>
      <w:r>
        <w:rPr>
          <w:rFonts w:hint="eastAsia" w:ascii="宋体" w:hAnsi="宋体" w:cs="宋体"/>
          <w:color w:val="auto"/>
          <w:szCs w:val="21"/>
          <w:highlight w:val="none"/>
        </w:rPr>
        <w:t xml:space="preserve">第二章  </w:t>
      </w:r>
      <w:r>
        <w:rPr>
          <w:rFonts w:hint="eastAsia" w:ascii="宋体" w:hAnsi="宋体" w:cs="宋体"/>
          <w:color w:val="auto"/>
          <w:szCs w:val="21"/>
          <w:highlight w:val="none"/>
          <w:lang w:eastAsia="zh-CN"/>
        </w:rPr>
        <w:t>采购</w:t>
      </w:r>
      <w:r>
        <w:rPr>
          <w:rFonts w:hint="eastAsia" w:ascii="宋体" w:hAnsi="宋体" w:cs="宋体"/>
          <w:color w:val="auto"/>
          <w:szCs w:val="21"/>
          <w:highlight w:val="none"/>
        </w:rPr>
        <w:t>需求</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_Toc25063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2</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25"/>
        <w:pageBreakBefore w:val="0"/>
        <w:tabs>
          <w:tab w:val="right" w:leader="dot" w:pos="8958"/>
        </w:tabs>
        <w:kinsoku/>
        <w:overflowPunct/>
        <w:topLinePunct w:val="0"/>
        <w:bidi w:val="0"/>
        <w:snapToGrid w:val="0"/>
        <w:spacing w:before="0" w:beforeAutospacing="0" w:afterAutospacing="0" w:line="360" w:lineRule="auto"/>
        <w:rPr>
          <w:rFonts w:ascii="宋体" w:hAnsi="宋体" w:cs="宋体"/>
          <w:color w:val="auto"/>
          <w:szCs w:val="21"/>
          <w:highlight w:val="none"/>
        </w:rPr>
      </w:pPr>
      <w:r>
        <w:rPr>
          <w:color w:val="auto"/>
          <w:highlight w:val="none"/>
        </w:rPr>
        <w:fldChar w:fldCharType="begin"/>
      </w:r>
      <w:r>
        <w:rPr>
          <w:color w:val="auto"/>
          <w:highlight w:val="none"/>
        </w:rPr>
        <w:instrText xml:space="preserve"> HYPERLINK \l "_Toc14504" </w:instrText>
      </w:r>
      <w:r>
        <w:rPr>
          <w:color w:val="auto"/>
          <w:highlight w:val="none"/>
        </w:rPr>
        <w:fldChar w:fldCharType="separate"/>
      </w:r>
      <w:r>
        <w:rPr>
          <w:rFonts w:hint="eastAsia" w:ascii="宋体" w:hAnsi="宋体" w:cs="宋体"/>
          <w:color w:val="auto"/>
          <w:szCs w:val="21"/>
          <w:highlight w:val="none"/>
        </w:rPr>
        <w:t>第三章  投标人须知</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_Toc14504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9</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25"/>
        <w:pageBreakBefore w:val="0"/>
        <w:tabs>
          <w:tab w:val="right" w:leader="dot" w:pos="8958"/>
        </w:tabs>
        <w:kinsoku/>
        <w:overflowPunct/>
        <w:topLinePunct w:val="0"/>
        <w:bidi w:val="0"/>
        <w:snapToGrid w:val="0"/>
        <w:spacing w:before="0" w:beforeAutospacing="0" w:afterAutospacing="0" w:line="360" w:lineRule="auto"/>
        <w:rPr>
          <w:rFonts w:ascii="宋体" w:hAnsi="宋体" w:cs="宋体"/>
          <w:color w:val="auto"/>
          <w:szCs w:val="21"/>
          <w:highlight w:val="none"/>
        </w:rPr>
      </w:pPr>
      <w:r>
        <w:rPr>
          <w:color w:val="auto"/>
          <w:highlight w:val="none"/>
        </w:rPr>
        <w:fldChar w:fldCharType="begin"/>
      </w:r>
      <w:r>
        <w:rPr>
          <w:color w:val="auto"/>
          <w:highlight w:val="none"/>
        </w:rPr>
        <w:instrText xml:space="preserve"> HYPERLINK \l "_Toc9022" </w:instrText>
      </w:r>
      <w:r>
        <w:rPr>
          <w:color w:val="auto"/>
          <w:highlight w:val="none"/>
        </w:rPr>
        <w:fldChar w:fldCharType="separate"/>
      </w:r>
      <w:r>
        <w:rPr>
          <w:rFonts w:hint="eastAsia" w:ascii="宋体" w:hAnsi="宋体" w:cs="宋体"/>
          <w:color w:val="auto"/>
          <w:kern w:val="0"/>
          <w:szCs w:val="21"/>
          <w:highlight w:val="none"/>
        </w:rPr>
        <w:t>第四章  评标办法及评分标准</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_Toc9022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22</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25"/>
        <w:pageBreakBefore w:val="0"/>
        <w:tabs>
          <w:tab w:val="right" w:leader="dot" w:pos="8958"/>
        </w:tabs>
        <w:kinsoku/>
        <w:overflowPunct/>
        <w:topLinePunct w:val="0"/>
        <w:bidi w:val="0"/>
        <w:snapToGrid w:val="0"/>
        <w:spacing w:before="0" w:beforeAutospacing="0" w:afterAutospacing="0" w:line="360" w:lineRule="auto"/>
        <w:rPr>
          <w:rFonts w:ascii="宋体" w:hAnsi="宋体" w:cs="宋体"/>
          <w:color w:val="auto"/>
          <w:szCs w:val="21"/>
          <w:highlight w:val="none"/>
        </w:rPr>
      </w:pPr>
      <w:r>
        <w:rPr>
          <w:color w:val="auto"/>
          <w:highlight w:val="none"/>
        </w:rPr>
        <w:fldChar w:fldCharType="begin"/>
      </w:r>
      <w:r>
        <w:rPr>
          <w:color w:val="auto"/>
          <w:highlight w:val="none"/>
        </w:rPr>
        <w:instrText xml:space="preserve"> HYPERLINK \l "_Toc28988" </w:instrText>
      </w:r>
      <w:r>
        <w:rPr>
          <w:color w:val="auto"/>
          <w:highlight w:val="none"/>
        </w:rPr>
        <w:fldChar w:fldCharType="separate"/>
      </w:r>
      <w:r>
        <w:rPr>
          <w:rFonts w:hint="eastAsia" w:ascii="宋体" w:hAnsi="宋体" w:cs="宋体"/>
          <w:color w:val="auto"/>
          <w:szCs w:val="21"/>
          <w:highlight w:val="none"/>
        </w:rPr>
        <w:t>第五章  采购合同（主要条款）</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_Toc28988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26</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25"/>
        <w:pageBreakBefore w:val="0"/>
        <w:tabs>
          <w:tab w:val="right" w:leader="dot" w:pos="8958"/>
        </w:tabs>
        <w:kinsoku/>
        <w:overflowPunct/>
        <w:topLinePunct w:val="0"/>
        <w:bidi w:val="0"/>
        <w:snapToGrid w:val="0"/>
        <w:spacing w:before="0" w:beforeAutospacing="0" w:afterAutospacing="0" w:line="360" w:lineRule="auto"/>
        <w:rPr>
          <w:rFonts w:ascii="宋体" w:hAnsi="宋体" w:cs="宋体"/>
          <w:b/>
          <w:bCs/>
          <w:color w:val="auto"/>
          <w:sz w:val="32"/>
          <w:szCs w:val="32"/>
          <w:highlight w:val="none"/>
        </w:rPr>
      </w:pPr>
      <w:r>
        <w:rPr>
          <w:color w:val="auto"/>
          <w:highlight w:val="none"/>
        </w:rPr>
        <w:fldChar w:fldCharType="begin"/>
      </w:r>
      <w:r>
        <w:rPr>
          <w:color w:val="auto"/>
          <w:highlight w:val="none"/>
        </w:rPr>
        <w:instrText xml:space="preserve"> HYPERLINK \l "_Toc2638" </w:instrText>
      </w:r>
      <w:r>
        <w:rPr>
          <w:color w:val="auto"/>
          <w:highlight w:val="none"/>
        </w:rPr>
        <w:fldChar w:fldCharType="separate"/>
      </w:r>
      <w:r>
        <w:rPr>
          <w:rFonts w:hint="eastAsia" w:ascii="宋体" w:hAnsi="宋体" w:cs="宋体"/>
          <w:color w:val="auto"/>
          <w:szCs w:val="21"/>
          <w:highlight w:val="none"/>
        </w:rPr>
        <w:t>第六章  投标文件格式</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_Toc2638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27</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83"/>
        <w:pageBreakBefore w:val="0"/>
        <w:tabs>
          <w:tab w:val="right" w:leader="dot" w:pos="8300"/>
        </w:tabs>
        <w:kinsoku/>
        <w:overflowPunct/>
        <w:topLinePunct w:val="0"/>
        <w:bidi w:val="0"/>
        <w:snapToGrid w:val="0"/>
        <w:spacing w:beforeAutospacing="0" w:afterAutospacing="0" w:line="360" w:lineRule="auto"/>
        <w:rPr>
          <w:rFonts w:ascii="宋体" w:hAnsi="宋体" w:cs="宋体"/>
          <w:color w:val="auto"/>
          <w:sz w:val="32"/>
          <w:szCs w:val="32"/>
          <w:highlight w:val="none"/>
        </w:rPr>
      </w:pPr>
      <w:r>
        <w:rPr>
          <w:rFonts w:hint="eastAsia" w:ascii="宋体" w:hAnsi="宋体" w:cs="宋体"/>
          <w:b/>
          <w:bCs/>
          <w:color w:val="auto"/>
          <w:sz w:val="32"/>
          <w:szCs w:val="32"/>
          <w:highlight w:val="none"/>
        </w:rPr>
        <w:fldChar w:fldCharType="end"/>
      </w:r>
    </w:p>
    <w:p>
      <w:pPr>
        <w:pageBreakBefore w:val="0"/>
        <w:kinsoku/>
        <w:overflowPunct/>
        <w:topLinePunct w:val="0"/>
        <w:bidi w:val="0"/>
        <w:spacing w:beforeAutospacing="0" w:afterAutospacing="0" w:line="360" w:lineRule="auto"/>
        <w:rPr>
          <w:rFonts w:ascii="宋体" w:hAnsi="宋体"/>
          <w:b/>
          <w:color w:val="auto"/>
          <w:sz w:val="32"/>
          <w:szCs w:val="32"/>
          <w:highlight w:val="none"/>
        </w:rPr>
      </w:pPr>
    </w:p>
    <w:p>
      <w:pPr>
        <w:pageBreakBefore w:val="0"/>
        <w:kinsoku/>
        <w:overflowPunct/>
        <w:topLinePunct w:val="0"/>
        <w:bidi w:val="0"/>
        <w:spacing w:beforeAutospacing="0" w:afterAutospacing="0" w:line="360" w:lineRule="auto"/>
        <w:ind w:firstLine="2409" w:firstLineChars="600"/>
        <w:rPr>
          <w:rFonts w:ascii="宋体" w:hAnsi="宋体"/>
          <w:b/>
          <w:color w:val="auto"/>
          <w:sz w:val="40"/>
          <w:szCs w:val="40"/>
          <w:highlight w:val="none"/>
        </w:rPr>
        <w:sectPr>
          <w:headerReference r:id="rId3" w:type="default"/>
          <w:footerReference r:id="rId4" w:type="default"/>
          <w:pgSz w:w="11906" w:h="16838"/>
          <w:pgMar w:top="1417" w:right="1474" w:bottom="1417" w:left="1474" w:header="851" w:footer="624" w:gutter="0"/>
          <w:pgNumType w:fmt="decimal" w:start="1"/>
          <w:cols w:space="720" w:num="1"/>
          <w:docGrid w:type="lines" w:linePitch="319" w:charSpace="0"/>
        </w:sectPr>
      </w:pPr>
    </w:p>
    <w:p>
      <w:pPr>
        <w:pageBreakBefore w:val="0"/>
        <w:kinsoku/>
        <w:overflowPunct/>
        <w:topLinePunct w:val="0"/>
        <w:bidi w:val="0"/>
        <w:spacing w:beforeAutospacing="0" w:afterAutospacing="0" w:line="360" w:lineRule="auto"/>
        <w:jc w:val="center"/>
        <w:outlineLvl w:val="0"/>
        <w:rPr>
          <w:rFonts w:ascii="宋体" w:hAnsi="宋体"/>
          <w:b/>
          <w:color w:val="auto"/>
          <w:sz w:val="32"/>
          <w:szCs w:val="32"/>
          <w:highlight w:val="none"/>
        </w:rPr>
      </w:pPr>
      <w:bookmarkStart w:id="2" w:name="_Toc9075"/>
      <w:r>
        <w:rPr>
          <w:rFonts w:hint="eastAsia" w:ascii="宋体" w:hAnsi="宋体"/>
          <w:b/>
          <w:color w:val="auto"/>
          <w:sz w:val="32"/>
          <w:szCs w:val="32"/>
          <w:highlight w:val="none"/>
        </w:rPr>
        <w:t xml:space="preserve">第一章  </w:t>
      </w:r>
      <w:r>
        <w:rPr>
          <w:rFonts w:hint="eastAsia" w:ascii="宋体" w:hAnsi="宋体"/>
          <w:b/>
          <w:color w:val="auto"/>
          <w:sz w:val="32"/>
          <w:szCs w:val="32"/>
          <w:highlight w:val="none"/>
          <w:lang w:val="en-US" w:eastAsia="zh-CN"/>
        </w:rPr>
        <w:t>竞争性磋商采购</w:t>
      </w:r>
      <w:r>
        <w:rPr>
          <w:rFonts w:hint="eastAsia" w:ascii="宋体" w:hAnsi="宋体"/>
          <w:b/>
          <w:color w:val="auto"/>
          <w:sz w:val="32"/>
          <w:szCs w:val="32"/>
          <w:highlight w:val="none"/>
        </w:rPr>
        <w:t>公告</w:t>
      </w:r>
      <w:bookmarkEnd w:id="2"/>
    </w:p>
    <w:p>
      <w:pPr>
        <w:keepNext w:val="0"/>
        <w:keepLines w:val="0"/>
        <w:pageBreakBefore w:val="0"/>
        <w:widowControl/>
        <w:kinsoku/>
        <w:wordWrap/>
        <w:overflowPunct/>
        <w:topLinePunct w:val="0"/>
        <w:autoSpaceDE/>
        <w:autoSpaceDN/>
        <w:bidi w:val="0"/>
        <w:adjustRightInd w:val="0"/>
        <w:snapToGrid w:val="0"/>
        <w:spacing w:beforeAutospacing="0" w:afterAutospacing="0" w:line="360" w:lineRule="auto"/>
        <w:jc w:val="center"/>
        <w:textAlignment w:val="auto"/>
        <w:rPr>
          <w:rFonts w:hint="eastAsia" w:ascii="黑体" w:hAnsi="黑体" w:eastAsia="黑体" w:cs="宋体"/>
          <w:bCs/>
          <w:color w:val="auto"/>
          <w:kern w:val="0"/>
          <w:sz w:val="28"/>
          <w:szCs w:val="28"/>
          <w:highlight w:val="none"/>
        </w:rPr>
      </w:pPr>
      <w:r>
        <w:rPr>
          <w:rFonts w:hint="eastAsia" w:ascii="黑体" w:hAnsi="黑体" w:eastAsia="黑体" w:cs="宋体"/>
          <w:bCs/>
          <w:color w:val="auto"/>
          <w:kern w:val="0"/>
          <w:sz w:val="28"/>
          <w:szCs w:val="28"/>
          <w:highlight w:val="none"/>
          <w:u w:val="none"/>
          <w:lang w:val="en-US" w:eastAsia="zh-CN"/>
        </w:rPr>
        <w:t>驻马店市中心医院核酸扩增分析仪、呼气分析仪采购项目竞争性磋商</w:t>
      </w:r>
      <w:r>
        <w:rPr>
          <w:rFonts w:hint="eastAsia" w:ascii="黑体" w:hAnsi="黑体" w:eastAsia="黑体" w:cs="宋体"/>
          <w:bCs/>
          <w:color w:val="auto"/>
          <w:kern w:val="0"/>
          <w:sz w:val="28"/>
          <w:szCs w:val="28"/>
          <w:highlight w:val="none"/>
        </w:rPr>
        <w:t>公告</w:t>
      </w:r>
    </w:p>
    <w:p>
      <w:pPr>
        <w:keepNext w:val="0"/>
        <w:keepLines w:val="0"/>
        <w:pageBreakBefore w:val="0"/>
        <w:kinsoku/>
        <w:overflowPunct/>
        <w:topLinePunct w:val="0"/>
        <w:bidi w:val="0"/>
        <w:snapToGrid w:val="0"/>
        <w:spacing w:beforeAutospacing="0" w:afterAutospacing="0" w:line="360" w:lineRule="auto"/>
        <w:ind w:firstLine="480" w:firstLineChars="200"/>
        <w:textAlignment w:val="auto"/>
        <w:rPr>
          <w:rFonts w:hint="eastAsia" w:ascii="宋体" w:hAnsi="宋体" w:eastAsia="宋体" w:cs="宋体"/>
          <w:color w:val="auto"/>
          <w:sz w:val="24"/>
          <w:szCs w:val="24"/>
        </w:rPr>
      </w:pPr>
      <w:bookmarkStart w:id="3" w:name="_Toc35393795"/>
      <w:bookmarkStart w:id="4" w:name="_Toc35393626"/>
      <w:bookmarkStart w:id="5" w:name="_Toc25063"/>
      <w:bookmarkStart w:id="6" w:name="_Toc29890"/>
      <w:bookmarkStart w:id="7" w:name="_Toc23793"/>
      <w:r>
        <w:rPr>
          <w:rFonts w:hint="eastAsia" w:ascii="宋体" w:hAnsi="宋体" w:eastAsia="宋体" w:cs="宋体"/>
          <w:color w:val="auto"/>
          <w:sz w:val="24"/>
          <w:szCs w:val="28"/>
        </w:rPr>
        <w:t>驻马店市中心医院现对</w:t>
      </w:r>
      <w:r>
        <w:rPr>
          <w:rFonts w:hint="eastAsia" w:ascii="宋体" w:hAnsi="宋体" w:cs="宋体"/>
          <w:color w:val="auto"/>
          <w:sz w:val="24"/>
          <w:szCs w:val="28"/>
          <w:u w:val="single"/>
          <w:lang w:eastAsia="zh-CN"/>
        </w:rPr>
        <w:t>核酸扩增分析仪、呼气分析仪采购项目</w:t>
      </w:r>
      <w:r>
        <w:rPr>
          <w:rFonts w:hint="eastAsia" w:ascii="宋体" w:hAnsi="宋体" w:eastAsia="宋体" w:cs="宋体"/>
          <w:color w:val="auto"/>
          <w:sz w:val="24"/>
          <w:szCs w:val="28"/>
        </w:rPr>
        <w:t>进行院内</w:t>
      </w:r>
      <w:r>
        <w:rPr>
          <w:rFonts w:hint="eastAsia" w:ascii="宋体" w:hAnsi="宋体" w:eastAsia="宋体" w:cs="宋体"/>
          <w:color w:val="auto"/>
          <w:sz w:val="24"/>
          <w:szCs w:val="28"/>
          <w:lang w:val="en-US" w:eastAsia="zh-CN"/>
        </w:rPr>
        <w:t>竞争性磋商</w:t>
      </w:r>
      <w:r>
        <w:rPr>
          <w:rFonts w:hint="eastAsia" w:ascii="宋体" w:hAnsi="宋体" w:eastAsia="宋体" w:cs="宋体"/>
          <w:color w:val="auto"/>
          <w:sz w:val="24"/>
          <w:szCs w:val="28"/>
        </w:rPr>
        <w:t>采购，欢迎符合资格条件的供应商前来</w:t>
      </w:r>
      <w:r>
        <w:rPr>
          <w:rFonts w:hint="eastAsia" w:ascii="宋体" w:hAnsi="宋体" w:eastAsia="宋体" w:cs="宋体"/>
          <w:color w:val="auto"/>
          <w:sz w:val="24"/>
          <w:szCs w:val="28"/>
          <w:lang w:val="en-US" w:eastAsia="zh-CN"/>
        </w:rPr>
        <w:t>报名并</w:t>
      </w:r>
      <w:r>
        <w:rPr>
          <w:rFonts w:hint="eastAsia" w:ascii="宋体" w:hAnsi="宋体" w:eastAsia="宋体" w:cs="宋体"/>
          <w:color w:val="auto"/>
          <w:sz w:val="24"/>
          <w:szCs w:val="24"/>
        </w:rPr>
        <w:t>获取</w:t>
      </w:r>
      <w:r>
        <w:rPr>
          <w:rFonts w:hint="eastAsia" w:ascii="宋体" w:hAnsi="宋体" w:eastAsia="宋体" w:cs="宋体"/>
          <w:color w:val="auto"/>
          <w:sz w:val="24"/>
          <w:szCs w:val="24"/>
          <w:lang w:val="en-US" w:eastAsia="zh-CN"/>
        </w:rPr>
        <w:t>采购</w:t>
      </w:r>
      <w:r>
        <w:rPr>
          <w:rFonts w:hint="eastAsia" w:ascii="宋体" w:hAnsi="宋体" w:eastAsia="宋体" w:cs="宋体"/>
          <w:color w:val="auto"/>
          <w:sz w:val="24"/>
          <w:szCs w:val="24"/>
        </w:rPr>
        <w:t>文件。</w:t>
      </w:r>
    </w:p>
    <w:p>
      <w:pPr>
        <w:keepNext w:val="0"/>
        <w:keepLines w:val="0"/>
        <w:pageBreakBefore w:val="0"/>
        <w:widowControl/>
        <w:kinsoku/>
        <w:overflowPunct/>
        <w:topLinePunct w:val="0"/>
        <w:bidi w:val="0"/>
        <w:snapToGrid w:val="0"/>
        <w:spacing w:beforeAutospacing="0" w:afterAutospacing="0" w:line="360" w:lineRule="auto"/>
        <w:jc w:val="left"/>
        <w:textAlignment w:val="auto"/>
        <w:outlineLvl w:val="1"/>
        <w:rPr>
          <w:rFonts w:hint="eastAsia" w:ascii="宋体" w:hAnsi="宋体" w:eastAsia="宋体" w:cs="宋体"/>
          <w:b/>
          <w:bCs/>
          <w:color w:val="auto"/>
          <w:kern w:val="2"/>
          <w:sz w:val="24"/>
          <w:szCs w:val="24"/>
          <w:shd w:val="clear" w:color="auto" w:fill="FFFFFF"/>
          <w:lang w:val="en-US" w:eastAsia="zh-CN" w:bidi="ar-SA"/>
        </w:rPr>
      </w:pPr>
      <w:r>
        <w:rPr>
          <w:rFonts w:hint="eastAsia" w:ascii="宋体" w:hAnsi="宋体" w:eastAsia="宋体" w:cs="宋体"/>
          <w:b/>
          <w:bCs/>
          <w:color w:val="auto"/>
          <w:kern w:val="2"/>
          <w:sz w:val="24"/>
          <w:szCs w:val="24"/>
          <w:shd w:val="clear" w:color="auto" w:fill="FFFFFF"/>
          <w:lang w:val="en-US" w:eastAsia="zh-CN" w:bidi="ar-SA"/>
        </w:rPr>
        <w:t>一、项目基本情况</w:t>
      </w:r>
    </w:p>
    <w:p>
      <w:pPr>
        <w:keepNext w:val="0"/>
        <w:keepLines w:val="0"/>
        <w:pageBreakBefore w:val="0"/>
        <w:widowControl/>
        <w:tabs>
          <w:tab w:val="left" w:pos="840"/>
        </w:tabs>
        <w:kinsoku/>
        <w:overflowPunct/>
        <w:topLinePunct w:val="0"/>
        <w:bidi w:val="0"/>
        <w:snapToGrid w:val="0"/>
        <w:spacing w:beforeAutospacing="0" w:afterAutospacing="0" w:line="360" w:lineRule="auto"/>
        <w:ind w:firstLine="480" w:firstLineChars="200"/>
        <w:jc w:val="left"/>
        <w:textAlignment w:val="auto"/>
        <w:rPr>
          <w:rFonts w:hint="eastAsia" w:ascii="宋体" w:hAnsi="宋体" w:eastAsia="宋体" w:cs="宋体"/>
          <w:color w:val="auto"/>
          <w:sz w:val="24"/>
          <w:szCs w:val="24"/>
          <w:highlight w:val="yellow"/>
          <w:shd w:val="clear" w:color="auto" w:fill="FFFFFF"/>
          <w:lang w:eastAsia="zh-CN"/>
        </w:rPr>
      </w:pPr>
      <w:r>
        <w:rPr>
          <w:rFonts w:hint="eastAsia" w:ascii="宋体" w:hAnsi="宋体" w:eastAsia="宋体" w:cs="宋体"/>
          <w:color w:val="auto"/>
          <w:sz w:val="24"/>
          <w:szCs w:val="24"/>
          <w:highlight w:val="none"/>
          <w:shd w:val="clear" w:color="auto" w:fill="FFFFFF"/>
        </w:rPr>
        <w:t>1、</w:t>
      </w:r>
      <w:r>
        <w:rPr>
          <w:rFonts w:hint="eastAsia" w:ascii="宋体" w:hAnsi="宋体" w:eastAsia="宋体" w:cs="宋体"/>
          <w:color w:val="auto"/>
          <w:sz w:val="24"/>
          <w:szCs w:val="24"/>
          <w:highlight w:val="none"/>
          <w:shd w:val="clear" w:color="auto" w:fill="FFFFFF"/>
          <w:lang w:val="en-US" w:eastAsia="zh-CN"/>
        </w:rPr>
        <w:t>采购</w:t>
      </w:r>
      <w:r>
        <w:rPr>
          <w:rFonts w:hint="eastAsia" w:ascii="宋体" w:hAnsi="宋体" w:eastAsia="宋体" w:cs="宋体"/>
          <w:color w:val="auto"/>
          <w:sz w:val="24"/>
          <w:szCs w:val="24"/>
          <w:highlight w:val="none"/>
          <w:shd w:val="clear" w:color="auto" w:fill="FFFFFF"/>
        </w:rPr>
        <w:t>项目名称：</w:t>
      </w:r>
      <w:r>
        <w:rPr>
          <w:rFonts w:hint="eastAsia" w:ascii="宋体" w:hAnsi="宋体" w:cs="宋体"/>
          <w:color w:val="auto"/>
          <w:sz w:val="24"/>
          <w:szCs w:val="24"/>
          <w:highlight w:val="none"/>
          <w:shd w:val="clear" w:color="auto" w:fill="FFFFFF"/>
          <w:lang w:val="en-US" w:eastAsia="zh-CN"/>
        </w:rPr>
        <w:t>驻马店市中心医院核酸扩增分析仪、呼气分析仪采购项目</w:t>
      </w:r>
      <w:r>
        <w:rPr>
          <w:rFonts w:hint="eastAsia" w:ascii="宋体" w:hAnsi="宋体" w:eastAsia="宋体" w:cs="宋体"/>
          <w:color w:val="auto"/>
          <w:sz w:val="24"/>
          <w:szCs w:val="24"/>
          <w:highlight w:val="none"/>
          <w:shd w:val="clear" w:color="auto" w:fill="FFFFFF"/>
          <w:lang w:eastAsia="zh-CN"/>
        </w:rPr>
        <w:t>；</w:t>
      </w:r>
    </w:p>
    <w:p>
      <w:pPr>
        <w:keepNext w:val="0"/>
        <w:keepLines w:val="0"/>
        <w:pageBreakBefore w:val="0"/>
        <w:widowControl/>
        <w:tabs>
          <w:tab w:val="left" w:pos="840"/>
        </w:tabs>
        <w:kinsoku/>
        <w:overflowPunct/>
        <w:topLinePunct w:val="0"/>
        <w:bidi w:val="0"/>
        <w:snapToGrid w:val="0"/>
        <w:spacing w:beforeAutospacing="0" w:afterAutospacing="0" w:line="360" w:lineRule="auto"/>
        <w:ind w:firstLine="480" w:firstLineChars="200"/>
        <w:jc w:val="left"/>
        <w:textAlignment w:val="auto"/>
        <w:rPr>
          <w:rFonts w:hint="eastAsia" w:ascii="宋体" w:hAnsi="宋体" w:eastAsia="宋体" w:cs="宋体"/>
          <w:color w:val="auto"/>
          <w:sz w:val="24"/>
          <w:szCs w:val="24"/>
          <w:highlight w:val="none"/>
          <w:shd w:val="clear" w:color="auto" w:fill="FFFFFF"/>
          <w:lang w:eastAsia="zh-CN"/>
        </w:rPr>
      </w:pPr>
      <w:r>
        <w:rPr>
          <w:rFonts w:hint="eastAsia" w:ascii="宋体" w:hAnsi="宋体" w:eastAsia="宋体" w:cs="宋体"/>
          <w:color w:val="auto"/>
          <w:sz w:val="24"/>
          <w:szCs w:val="24"/>
          <w:highlight w:val="none"/>
          <w:shd w:val="clear" w:color="auto" w:fill="FFFFFF"/>
        </w:rPr>
        <w:t>2、采购需求</w:t>
      </w:r>
      <w:r>
        <w:rPr>
          <w:rFonts w:hint="eastAsia" w:ascii="宋体" w:hAnsi="宋体" w:eastAsia="宋体" w:cs="宋体"/>
          <w:i w:val="0"/>
          <w:caps w:val="0"/>
          <w:color w:val="auto"/>
          <w:spacing w:val="0"/>
          <w:sz w:val="24"/>
          <w:szCs w:val="24"/>
          <w:shd w:val="clear" w:color="auto" w:fill="FFFFFF"/>
          <w:lang w:eastAsia="zh-CN"/>
        </w:rPr>
        <w:t>：</w:t>
      </w:r>
      <w:r>
        <w:rPr>
          <w:rFonts w:hint="eastAsia" w:ascii="宋体" w:hAnsi="宋体" w:eastAsia="宋体" w:cs="宋体"/>
          <w:color w:val="auto"/>
          <w:sz w:val="24"/>
          <w:szCs w:val="24"/>
          <w:highlight w:val="none"/>
          <w:shd w:val="clear" w:color="auto" w:fill="FFFFFF"/>
        </w:rPr>
        <w:t>具体要求详见附件</w:t>
      </w:r>
      <w:r>
        <w:rPr>
          <w:rFonts w:hint="eastAsia" w:ascii="宋体" w:hAnsi="宋体" w:eastAsia="宋体" w:cs="宋体"/>
          <w:color w:val="auto"/>
          <w:sz w:val="24"/>
          <w:szCs w:val="24"/>
          <w:highlight w:val="none"/>
          <w:shd w:val="clear" w:color="auto" w:fill="FFFFFF"/>
          <w:lang w:eastAsia="zh-CN"/>
        </w:rPr>
        <w:t>；</w:t>
      </w:r>
    </w:p>
    <w:p>
      <w:pPr>
        <w:keepNext w:val="0"/>
        <w:keepLines w:val="0"/>
        <w:pageBreakBefore w:val="0"/>
        <w:widowControl/>
        <w:tabs>
          <w:tab w:val="left" w:pos="840"/>
        </w:tabs>
        <w:kinsoku/>
        <w:overflowPunct/>
        <w:topLinePunct w:val="0"/>
        <w:bidi w:val="0"/>
        <w:snapToGrid w:val="0"/>
        <w:spacing w:beforeAutospacing="0" w:afterAutospacing="0" w:line="360" w:lineRule="auto"/>
        <w:ind w:firstLine="480" w:firstLineChars="200"/>
        <w:jc w:val="left"/>
        <w:textAlignment w:val="auto"/>
        <w:rPr>
          <w:rFonts w:hint="eastAsia" w:ascii="宋体" w:hAnsi="宋体" w:eastAsia="宋体" w:cs="宋体"/>
          <w:color w:val="auto"/>
          <w:sz w:val="24"/>
          <w:szCs w:val="24"/>
          <w:highlight w:val="none"/>
          <w:shd w:val="clear" w:color="auto" w:fill="FFFFFF"/>
        </w:rPr>
      </w:pPr>
      <w:r>
        <w:rPr>
          <w:rFonts w:hint="eastAsia" w:ascii="宋体" w:hAnsi="宋体" w:eastAsia="宋体" w:cs="宋体"/>
          <w:color w:val="auto"/>
          <w:sz w:val="24"/>
          <w:szCs w:val="24"/>
          <w:highlight w:val="none"/>
          <w:shd w:val="clear" w:color="auto" w:fill="FFFFFF"/>
        </w:rPr>
        <w:t>3</w:t>
      </w:r>
      <w:bookmarkStart w:id="8" w:name="_Toc26725"/>
      <w:r>
        <w:rPr>
          <w:rFonts w:hint="eastAsia" w:ascii="宋体" w:hAnsi="宋体" w:eastAsia="宋体" w:cs="宋体"/>
          <w:color w:val="auto"/>
          <w:sz w:val="24"/>
          <w:szCs w:val="24"/>
          <w:highlight w:val="none"/>
          <w:shd w:val="clear" w:color="auto" w:fill="FFFFFF"/>
        </w:rPr>
        <w:t>、预算金额：</w:t>
      </w:r>
      <w:r>
        <w:rPr>
          <w:rFonts w:hint="eastAsia" w:ascii="宋体" w:hAnsi="宋体" w:cs="宋体"/>
          <w:color w:val="auto"/>
          <w:sz w:val="24"/>
          <w:szCs w:val="24"/>
          <w:highlight w:val="none"/>
          <w:shd w:val="clear" w:color="auto" w:fill="FFFFFF"/>
          <w:lang w:val="en-US" w:eastAsia="zh-CN"/>
        </w:rPr>
        <w:t>6.36</w:t>
      </w:r>
      <w:r>
        <w:rPr>
          <w:rFonts w:hint="eastAsia" w:ascii="宋体" w:hAnsi="宋体" w:eastAsia="宋体" w:cs="宋体"/>
          <w:color w:val="auto"/>
          <w:kern w:val="0"/>
          <w:sz w:val="24"/>
          <w:szCs w:val="24"/>
          <w:highlight w:val="none"/>
          <w:u w:val="none"/>
          <w:lang w:val="en-US" w:eastAsia="zh-CN"/>
        </w:rPr>
        <w:t>万</w:t>
      </w:r>
      <w:r>
        <w:rPr>
          <w:rFonts w:hint="eastAsia" w:ascii="宋体" w:hAnsi="宋体" w:eastAsia="宋体" w:cs="宋体"/>
          <w:color w:val="auto"/>
          <w:kern w:val="0"/>
          <w:sz w:val="24"/>
          <w:szCs w:val="24"/>
          <w:highlight w:val="none"/>
        </w:rPr>
        <w:t>元</w:t>
      </w:r>
      <w:r>
        <w:rPr>
          <w:rFonts w:hint="eastAsia" w:ascii="宋体" w:hAnsi="宋体" w:eastAsia="宋体" w:cs="宋体"/>
          <w:color w:val="auto"/>
          <w:sz w:val="24"/>
          <w:szCs w:val="24"/>
          <w:highlight w:val="none"/>
          <w:shd w:val="clear" w:color="auto" w:fill="FFFFFF"/>
          <w:lang w:eastAsia="zh-CN"/>
        </w:rPr>
        <w:t>，</w:t>
      </w:r>
      <w:r>
        <w:rPr>
          <w:rFonts w:hint="eastAsia" w:ascii="宋体" w:hAnsi="宋体" w:eastAsia="宋体" w:cs="宋体"/>
          <w:color w:val="auto"/>
          <w:sz w:val="24"/>
          <w:szCs w:val="24"/>
          <w:highlight w:val="none"/>
          <w:shd w:val="clear" w:color="auto" w:fill="FFFFFF"/>
          <w:lang w:val="en-US" w:eastAsia="zh-CN"/>
        </w:rPr>
        <w:t>自筹资金；</w:t>
      </w:r>
    </w:p>
    <w:tbl>
      <w:tblPr>
        <w:tblStyle w:val="32"/>
        <w:tblW w:w="92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9"/>
        <w:gridCol w:w="1061"/>
        <w:gridCol w:w="2373"/>
        <w:gridCol w:w="1326"/>
        <w:gridCol w:w="1756"/>
        <w:gridCol w:w="17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97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overflowPunct/>
              <w:topLinePunct w:val="0"/>
              <w:bidi w:val="0"/>
              <w:spacing w:beforeAutospacing="0" w:afterAutospacing="0" w:line="360" w:lineRule="auto"/>
              <w:jc w:val="center"/>
              <w:textAlignment w:val="center"/>
              <w:rPr>
                <w:rFonts w:hint="eastAsia" w:ascii="宋体" w:hAnsi="宋体" w:eastAsia="宋体" w:cs="宋体"/>
                <w:color w:val="auto"/>
                <w:kern w:val="0"/>
                <w:sz w:val="24"/>
                <w:szCs w:val="24"/>
                <w:shd w:val="clear" w:color="auto" w:fill="FFFFFF"/>
                <w:lang w:val="en-US" w:eastAsia="zh-CN" w:bidi="ar-SA"/>
              </w:rPr>
            </w:pPr>
            <w:r>
              <w:rPr>
                <w:rFonts w:hint="eastAsia" w:ascii="宋体" w:hAnsi="宋体" w:cs="宋体"/>
                <w:color w:val="auto"/>
                <w:kern w:val="0"/>
                <w:sz w:val="24"/>
                <w:szCs w:val="24"/>
                <w:shd w:val="clear" w:color="auto" w:fill="FFFFFF"/>
                <w:lang w:val="en-US" w:eastAsia="zh-CN" w:bidi="ar-SA"/>
              </w:rPr>
              <w:t>包号</w:t>
            </w:r>
          </w:p>
        </w:tc>
        <w:tc>
          <w:tcPr>
            <w:tcW w:w="1061"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overflowPunct/>
              <w:topLinePunct w:val="0"/>
              <w:bidi w:val="0"/>
              <w:spacing w:beforeAutospacing="0" w:afterAutospacing="0" w:line="360" w:lineRule="auto"/>
              <w:jc w:val="center"/>
              <w:textAlignment w:val="center"/>
              <w:rPr>
                <w:rFonts w:hint="default" w:ascii="宋体" w:hAnsi="宋体" w:eastAsia="宋体" w:cs="宋体"/>
                <w:color w:val="auto"/>
                <w:kern w:val="0"/>
                <w:sz w:val="24"/>
                <w:szCs w:val="24"/>
                <w:shd w:val="clear" w:color="auto" w:fill="FFFFFF"/>
                <w:lang w:val="en-US" w:eastAsia="zh-CN" w:bidi="ar-SA"/>
              </w:rPr>
            </w:pPr>
            <w:r>
              <w:rPr>
                <w:rFonts w:hint="eastAsia" w:ascii="宋体" w:hAnsi="宋体" w:eastAsia="宋体" w:cs="宋体"/>
                <w:color w:val="auto"/>
                <w:kern w:val="0"/>
                <w:sz w:val="24"/>
                <w:szCs w:val="24"/>
                <w:shd w:val="clear" w:color="auto" w:fill="FFFFFF"/>
                <w:lang w:val="en-US" w:eastAsia="zh-CN" w:bidi="ar-SA"/>
              </w:rPr>
              <w:t>序号</w:t>
            </w:r>
          </w:p>
        </w:tc>
        <w:tc>
          <w:tcPr>
            <w:tcW w:w="2373"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overflowPunct/>
              <w:topLinePunct w:val="0"/>
              <w:bidi w:val="0"/>
              <w:spacing w:beforeAutospacing="0" w:afterAutospacing="0" w:line="360" w:lineRule="auto"/>
              <w:jc w:val="center"/>
              <w:textAlignment w:val="center"/>
              <w:rPr>
                <w:rFonts w:hint="default" w:ascii="宋体" w:hAnsi="宋体" w:eastAsia="宋体" w:cs="宋体"/>
                <w:color w:val="auto"/>
                <w:kern w:val="0"/>
                <w:sz w:val="24"/>
                <w:szCs w:val="24"/>
                <w:shd w:val="clear" w:color="auto" w:fill="FFFFFF"/>
                <w:lang w:val="en-US" w:eastAsia="zh-CN" w:bidi="ar-SA"/>
              </w:rPr>
            </w:pPr>
            <w:r>
              <w:rPr>
                <w:rFonts w:hint="eastAsia" w:ascii="宋体" w:hAnsi="宋体" w:eastAsia="宋体" w:cs="宋体"/>
                <w:color w:val="auto"/>
                <w:kern w:val="0"/>
                <w:sz w:val="24"/>
                <w:szCs w:val="24"/>
                <w:shd w:val="clear" w:color="auto" w:fill="FFFFFF"/>
                <w:lang w:val="en-US" w:eastAsia="zh-CN" w:bidi="ar-SA"/>
              </w:rPr>
              <w:t>采购内容</w:t>
            </w:r>
          </w:p>
        </w:tc>
        <w:tc>
          <w:tcPr>
            <w:tcW w:w="1326"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overflowPunct/>
              <w:topLinePunct w:val="0"/>
              <w:bidi w:val="0"/>
              <w:spacing w:beforeAutospacing="0" w:afterAutospacing="0" w:line="360" w:lineRule="auto"/>
              <w:jc w:val="center"/>
              <w:textAlignment w:val="center"/>
              <w:rPr>
                <w:rFonts w:hint="default" w:ascii="宋体" w:hAnsi="宋体" w:eastAsia="宋体" w:cs="宋体"/>
                <w:color w:val="auto"/>
                <w:kern w:val="0"/>
                <w:sz w:val="24"/>
                <w:szCs w:val="24"/>
                <w:shd w:val="clear" w:color="auto" w:fill="FFFFFF"/>
                <w:lang w:val="en-US" w:eastAsia="zh-CN" w:bidi="ar-SA"/>
              </w:rPr>
            </w:pPr>
            <w:r>
              <w:rPr>
                <w:rFonts w:hint="eastAsia" w:ascii="宋体" w:hAnsi="宋体" w:eastAsia="宋体" w:cs="宋体"/>
                <w:color w:val="auto"/>
                <w:kern w:val="0"/>
                <w:sz w:val="24"/>
                <w:szCs w:val="24"/>
                <w:shd w:val="clear" w:color="auto" w:fill="FFFFFF"/>
                <w:lang w:val="en-US" w:eastAsia="zh-CN" w:bidi="ar-SA"/>
              </w:rPr>
              <w:t>数量单位</w:t>
            </w:r>
          </w:p>
        </w:tc>
        <w:tc>
          <w:tcPr>
            <w:tcW w:w="1756"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overflowPunct/>
              <w:topLinePunct w:val="0"/>
              <w:bidi w:val="0"/>
              <w:spacing w:beforeAutospacing="0" w:afterAutospacing="0" w:line="360" w:lineRule="auto"/>
              <w:jc w:val="center"/>
              <w:textAlignment w:val="center"/>
              <w:rPr>
                <w:rFonts w:hint="eastAsia" w:ascii="宋体" w:hAnsi="宋体" w:eastAsia="宋体" w:cs="宋体"/>
                <w:color w:val="auto"/>
                <w:kern w:val="0"/>
                <w:sz w:val="24"/>
                <w:szCs w:val="24"/>
                <w:shd w:val="clear" w:color="auto" w:fill="FFFFFF"/>
                <w:lang w:val="en-US" w:eastAsia="zh-CN" w:bidi="ar-SA"/>
              </w:rPr>
            </w:pPr>
            <w:r>
              <w:rPr>
                <w:rFonts w:hint="eastAsia" w:ascii="宋体" w:hAnsi="宋体" w:eastAsia="宋体" w:cs="宋体"/>
                <w:color w:val="auto"/>
                <w:kern w:val="0"/>
                <w:sz w:val="24"/>
                <w:szCs w:val="24"/>
                <w:shd w:val="clear" w:color="auto" w:fill="FFFFFF"/>
                <w:lang w:val="en-US" w:eastAsia="zh-CN" w:bidi="ar-SA"/>
              </w:rPr>
              <w:t>预算金额</w:t>
            </w:r>
          </w:p>
        </w:tc>
        <w:tc>
          <w:tcPr>
            <w:tcW w:w="1756"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overflowPunct/>
              <w:topLinePunct w:val="0"/>
              <w:bidi w:val="0"/>
              <w:spacing w:beforeAutospacing="0" w:afterAutospacing="0" w:line="360" w:lineRule="auto"/>
              <w:jc w:val="center"/>
              <w:textAlignment w:val="center"/>
              <w:rPr>
                <w:rFonts w:hint="eastAsia" w:ascii="宋体" w:hAnsi="宋体" w:eastAsia="宋体" w:cs="宋体"/>
                <w:color w:val="auto"/>
                <w:kern w:val="0"/>
                <w:sz w:val="24"/>
                <w:szCs w:val="24"/>
                <w:shd w:val="clear" w:color="auto" w:fill="FFFFFF"/>
                <w:lang w:val="en-US" w:eastAsia="zh-CN" w:bidi="ar-SA"/>
              </w:rPr>
            </w:pPr>
            <w:r>
              <w:rPr>
                <w:rFonts w:hint="eastAsia" w:ascii="宋体" w:hAnsi="宋体" w:eastAsia="宋体" w:cs="宋体"/>
                <w:color w:val="auto"/>
                <w:kern w:val="0"/>
                <w:sz w:val="24"/>
                <w:szCs w:val="24"/>
                <w:shd w:val="clear" w:color="auto" w:fill="FFFFFF"/>
                <w:lang w:val="en-US" w:eastAsia="zh-CN" w:bidi="ar-SA"/>
              </w:rPr>
              <w:t>最高限价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97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overflowPunct/>
              <w:topLinePunct w:val="0"/>
              <w:bidi w:val="0"/>
              <w:spacing w:beforeAutospacing="0" w:afterAutospacing="0" w:line="360" w:lineRule="auto"/>
              <w:jc w:val="center"/>
              <w:textAlignment w:val="center"/>
              <w:rPr>
                <w:rFonts w:hint="default" w:ascii="宋体" w:hAnsi="宋体" w:eastAsia="宋体" w:cs="宋体"/>
                <w:color w:val="auto"/>
                <w:kern w:val="0"/>
                <w:sz w:val="24"/>
                <w:szCs w:val="24"/>
                <w:shd w:val="clear" w:color="auto" w:fill="FFFFFF"/>
                <w:lang w:val="en-US" w:eastAsia="zh-CN" w:bidi="ar-SA"/>
              </w:rPr>
            </w:pPr>
            <w:r>
              <w:rPr>
                <w:rFonts w:hint="eastAsia" w:ascii="宋体" w:hAnsi="宋体" w:cs="宋体"/>
                <w:color w:val="auto"/>
                <w:kern w:val="0"/>
                <w:sz w:val="24"/>
                <w:szCs w:val="24"/>
                <w:shd w:val="clear" w:color="auto" w:fill="FFFFFF"/>
                <w:lang w:val="en-US" w:eastAsia="zh-CN" w:bidi="ar-SA"/>
              </w:rPr>
              <w:t>A</w:t>
            </w:r>
          </w:p>
        </w:tc>
        <w:tc>
          <w:tcPr>
            <w:tcW w:w="1061"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overflowPunct/>
              <w:topLinePunct w:val="0"/>
              <w:bidi w:val="0"/>
              <w:spacing w:beforeAutospacing="0" w:afterAutospacing="0" w:line="360" w:lineRule="auto"/>
              <w:jc w:val="center"/>
              <w:textAlignment w:val="center"/>
              <w:rPr>
                <w:rFonts w:hint="eastAsia" w:ascii="华文宋体" w:hAnsi="华文宋体" w:eastAsia="华文宋体" w:cs="华文宋体"/>
                <w:color w:val="auto"/>
                <w:kern w:val="0"/>
                <w:sz w:val="24"/>
                <w:szCs w:val="24"/>
                <w:shd w:val="clear" w:color="auto" w:fill="FFFFFF"/>
                <w:lang w:val="en-US" w:eastAsia="zh-CN" w:bidi="ar-SA"/>
              </w:rPr>
            </w:pPr>
            <w:r>
              <w:rPr>
                <w:rFonts w:hint="eastAsia" w:ascii="宋体" w:hAnsi="宋体" w:eastAsia="宋体" w:cs="宋体"/>
                <w:color w:val="auto"/>
                <w:kern w:val="0"/>
                <w:sz w:val="24"/>
                <w:szCs w:val="24"/>
                <w:shd w:val="clear" w:color="auto" w:fill="FFFFFF"/>
                <w:lang w:val="en-US" w:eastAsia="zh-CN" w:bidi="ar-SA"/>
              </w:rPr>
              <w:t>1</w:t>
            </w:r>
          </w:p>
        </w:tc>
        <w:tc>
          <w:tcPr>
            <w:tcW w:w="2373" w:type="dxa"/>
            <w:tcBorders>
              <w:top w:val="single" w:color="auto" w:sz="4" w:space="0"/>
              <w:left w:val="nil"/>
              <w:bottom w:val="single" w:color="auto" w:sz="4" w:space="0"/>
              <w:right w:val="single" w:color="auto" w:sz="4" w:space="0"/>
            </w:tcBorders>
            <w:vAlign w:val="center"/>
          </w:tcPr>
          <w:p>
            <w:pPr>
              <w:jc w:val="center"/>
              <w:rPr>
                <w:rFonts w:hint="eastAsia" w:ascii="宋体" w:hAnsi="宋体" w:eastAsia="宋体" w:cs="宋体"/>
                <w:color w:val="auto"/>
                <w:kern w:val="0"/>
                <w:sz w:val="24"/>
                <w:szCs w:val="24"/>
                <w:shd w:val="clear" w:color="auto" w:fill="FFFFFF"/>
                <w:lang w:val="en-US" w:eastAsia="zh-CN" w:bidi="ar-SA"/>
              </w:rPr>
            </w:pPr>
            <w:r>
              <w:rPr>
                <w:rFonts w:hint="eastAsia" w:ascii="宋体" w:hAnsi="宋体" w:eastAsia="宋体" w:cs="宋体"/>
                <w:sz w:val="24"/>
                <w:szCs w:val="24"/>
              </w:rPr>
              <w:t>核酸扩增分析仪</w:t>
            </w:r>
          </w:p>
        </w:tc>
        <w:tc>
          <w:tcPr>
            <w:tcW w:w="1326" w:type="dxa"/>
            <w:tcBorders>
              <w:top w:val="single" w:color="auto" w:sz="4" w:space="0"/>
              <w:left w:val="nil"/>
              <w:bottom w:val="single" w:color="auto" w:sz="4" w:space="0"/>
              <w:right w:val="single" w:color="auto" w:sz="4" w:space="0"/>
            </w:tcBorders>
            <w:vAlign w:val="center"/>
          </w:tcPr>
          <w:p>
            <w:pPr>
              <w:jc w:val="center"/>
              <w:rPr>
                <w:rFonts w:hint="eastAsia" w:ascii="宋体" w:hAnsi="宋体" w:eastAsia="宋体" w:cs="宋体"/>
                <w:color w:val="auto"/>
                <w:kern w:val="0"/>
                <w:sz w:val="24"/>
                <w:szCs w:val="24"/>
                <w:shd w:val="clear" w:color="auto" w:fill="FFFFFF"/>
                <w:lang w:val="en-US" w:eastAsia="zh-CN" w:bidi="ar-SA"/>
              </w:rPr>
            </w:pPr>
            <w:r>
              <w:rPr>
                <w:rFonts w:hint="eastAsia" w:ascii="宋体" w:hAnsi="宋体" w:eastAsia="宋体" w:cs="宋体"/>
                <w:sz w:val="24"/>
                <w:szCs w:val="24"/>
                <w:vertAlign w:val="baseline"/>
                <w:lang w:val="en-US" w:eastAsia="zh-CN"/>
              </w:rPr>
              <w:t>1台</w:t>
            </w:r>
          </w:p>
        </w:tc>
        <w:tc>
          <w:tcPr>
            <w:tcW w:w="1756" w:type="dxa"/>
            <w:tcBorders>
              <w:top w:val="single" w:color="auto" w:sz="4" w:space="0"/>
              <w:left w:val="nil"/>
              <w:bottom w:val="single" w:color="auto" w:sz="4" w:space="0"/>
              <w:right w:val="single" w:color="auto" w:sz="4" w:space="0"/>
            </w:tcBorders>
            <w:vAlign w:val="center"/>
          </w:tcPr>
          <w:p>
            <w:pPr>
              <w:jc w:val="center"/>
              <w:rPr>
                <w:rFonts w:hint="eastAsia" w:ascii="宋体" w:hAnsi="宋体" w:eastAsia="宋体" w:cs="宋体"/>
                <w:color w:val="auto"/>
                <w:kern w:val="0"/>
                <w:sz w:val="24"/>
                <w:szCs w:val="24"/>
                <w:shd w:val="clear" w:color="auto" w:fill="FFFFFF"/>
                <w:lang w:val="en-US" w:eastAsia="zh-CN" w:bidi="ar-SA"/>
              </w:rPr>
            </w:pPr>
            <w:r>
              <w:rPr>
                <w:rFonts w:hint="eastAsia" w:ascii="宋体" w:hAnsi="宋体" w:eastAsia="宋体" w:cs="宋体"/>
                <w:sz w:val="24"/>
                <w:szCs w:val="24"/>
                <w:vertAlign w:val="baseline"/>
                <w:lang w:val="en-US" w:eastAsia="zh-CN"/>
              </w:rPr>
              <w:t>2.56万元</w:t>
            </w:r>
          </w:p>
        </w:tc>
        <w:tc>
          <w:tcPr>
            <w:tcW w:w="1756" w:type="dxa"/>
            <w:tcBorders>
              <w:top w:val="single" w:color="auto" w:sz="4" w:space="0"/>
              <w:left w:val="nil"/>
              <w:bottom w:val="single" w:color="auto" w:sz="4" w:space="0"/>
              <w:right w:val="single" w:color="auto" w:sz="4" w:space="0"/>
            </w:tcBorders>
            <w:vAlign w:val="center"/>
          </w:tcPr>
          <w:p>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2.56万元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97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overflowPunct/>
              <w:topLinePunct w:val="0"/>
              <w:bidi w:val="0"/>
              <w:spacing w:beforeAutospacing="0" w:afterAutospacing="0" w:line="360" w:lineRule="auto"/>
              <w:jc w:val="center"/>
              <w:textAlignment w:val="center"/>
              <w:rPr>
                <w:rFonts w:hint="default" w:ascii="宋体" w:hAnsi="宋体" w:eastAsia="宋体" w:cs="宋体"/>
                <w:color w:val="auto"/>
                <w:kern w:val="0"/>
                <w:sz w:val="24"/>
                <w:szCs w:val="24"/>
                <w:shd w:val="clear" w:color="auto" w:fill="FFFFFF"/>
                <w:lang w:val="en-US" w:eastAsia="zh-CN" w:bidi="ar-SA"/>
              </w:rPr>
            </w:pPr>
            <w:r>
              <w:rPr>
                <w:rFonts w:hint="eastAsia" w:ascii="宋体" w:hAnsi="宋体" w:cs="宋体"/>
                <w:color w:val="auto"/>
                <w:kern w:val="0"/>
                <w:sz w:val="24"/>
                <w:szCs w:val="24"/>
                <w:shd w:val="clear" w:color="auto" w:fill="FFFFFF"/>
                <w:lang w:val="en-US" w:eastAsia="zh-CN" w:bidi="ar-SA"/>
              </w:rPr>
              <w:t>B</w:t>
            </w:r>
          </w:p>
        </w:tc>
        <w:tc>
          <w:tcPr>
            <w:tcW w:w="1061"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overflowPunct/>
              <w:topLinePunct w:val="0"/>
              <w:bidi w:val="0"/>
              <w:spacing w:beforeAutospacing="0" w:afterAutospacing="0" w:line="360" w:lineRule="auto"/>
              <w:jc w:val="center"/>
              <w:textAlignment w:val="center"/>
              <w:rPr>
                <w:rFonts w:hint="eastAsia" w:ascii="华文宋体" w:hAnsi="华文宋体" w:eastAsia="华文宋体" w:cs="华文宋体"/>
                <w:color w:val="auto"/>
                <w:kern w:val="0"/>
                <w:sz w:val="24"/>
                <w:szCs w:val="24"/>
                <w:shd w:val="clear" w:color="auto" w:fill="FFFFFF"/>
                <w:lang w:val="en-US" w:eastAsia="zh-CN" w:bidi="ar-SA"/>
              </w:rPr>
            </w:pPr>
            <w:r>
              <w:rPr>
                <w:rFonts w:hint="eastAsia" w:ascii="宋体" w:hAnsi="宋体" w:eastAsia="宋体" w:cs="宋体"/>
                <w:color w:val="auto"/>
                <w:kern w:val="0"/>
                <w:sz w:val="24"/>
                <w:szCs w:val="24"/>
                <w:shd w:val="clear" w:color="auto" w:fill="FFFFFF"/>
                <w:lang w:val="en-US" w:eastAsia="zh-CN" w:bidi="ar-SA"/>
              </w:rPr>
              <w:t>2</w:t>
            </w:r>
          </w:p>
        </w:tc>
        <w:tc>
          <w:tcPr>
            <w:tcW w:w="2373" w:type="dxa"/>
            <w:tcBorders>
              <w:top w:val="single" w:color="auto" w:sz="4" w:space="0"/>
              <w:left w:val="nil"/>
              <w:bottom w:val="single" w:color="auto" w:sz="4" w:space="0"/>
              <w:right w:val="single" w:color="auto" w:sz="4" w:space="0"/>
            </w:tcBorders>
            <w:vAlign w:val="center"/>
          </w:tcPr>
          <w:p>
            <w:pPr>
              <w:jc w:val="center"/>
              <w:rPr>
                <w:rFonts w:hint="eastAsia" w:ascii="宋体" w:hAnsi="宋体" w:eastAsia="宋体" w:cs="宋体"/>
                <w:color w:val="auto"/>
                <w:kern w:val="0"/>
                <w:sz w:val="24"/>
                <w:szCs w:val="24"/>
                <w:shd w:val="clear" w:color="auto" w:fill="FFFFFF"/>
                <w:lang w:val="en-US" w:eastAsia="zh-CN" w:bidi="ar-SA"/>
              </w:rPr>
            </w:pPr>
            <w:r>
              <w:rPr>
                <w:rFonts w:hint="eastAsia" w:ascii="宋体" w:hAnsi="宋体" w:eastAsia="宋体" w:cs="宋体"/>
                <w:sz w:val="24"/>
                <w:szCs w:val="24"/>
                <w:vertAlign w:val="baseline"/>
                <w:lang w:val="en-US" w:eastAsia="zh-CN"/>
              </w:rPr>
              <w:t>呼气分析仪</w:t>
            </w:r>
          </w:p>
        </w:tc>
        <w:tc>
          <w:tcPr>
            <w:tcW w:w="1326" w:type="dxa"/>
            <w:tcBorders>
              <w:top w:val="single" w:color="auto" w:sz="4" w:space="0"/>
              <w:left w:val="nil"/>
              <w:bottom w:val="single" w:color="auto" w:sz="4" w:space="0"/>
              <w:right w:val="single" w:color="auto" w:sz="4" w:space="0"/>
            </w:tcBorders>
            <w:vAlign w:val="center"/>
          </w:tcPr>
          <w:p>
            <w:pPr>
              <w:jc w:val="center"/>
              <w:rPr>
                <w:rFonts w:hint="eastAsia" w:ascii="宋体" w:hAnsi="宋体" w:eastAsia="宋体" w:cs="宋体"/>
                <w:color w:val="auto"/>
                <w:kern w:val="0"/>
                <w:sz w:val="24"/>
                <w:szCs w:val="24"/>
                <w:shd w:val="clear" w:color="auto" w:fill="FFFFFF"/>
                <w:lang w:val="en-US" w:eastAsia="zh-CN" w:bidi="ar-SA"/>
              </w:rPr>
            </w:pPr>
            <w:r>
              <w:rPr>
                <w:rFonts w:hint="eastAsia" w:ascii="宋体" w:hAnsi="宋体" w:eastAsia="宋体" w:cs="宋体"/>
                <w:sz w:val="24"/>
                <w:szCs w:val="24"/>
                <w:vertAlign w:val="baseline"/>
                <w:lang w:val="en-US" w:eastAsia="zh-CN"/>
              </w:rPr>
              <w:t>1台</w:t>
            </w:r>
          </w:p>
        </w:tc>
        <w:tc>
          <w:tcPr>
            <w:tcW w:w="1756" w:type="dxa"/>
            <w:tcBorders>
              <w:top w:val="single" w:color="auto" w:sz="4" w:space="0"/>
              <w:left w:val="nil"/>
              <w:bottom w:val="single" w:color="auto" w:sz="4" w:space="0"/>
              <w:right w:val="single" w:color="auto" w:sz="4" w:space="0"/>
            </w:tcBorders>
            <w:vAlign w:val="center"/>
          </w:tcPr>
          <w:p>
            <w:pPr>
              <w:jc w:val="center"/>
              <w:rPr>
                <w:rFonts w:hint="eastAsia" w:ascii="宋体" w:hAnsi="宋体" w:eastAsia="宋体" w:cs="宋体"/>
                <w:color w:val="auto"/>
                <w:kern w:val="0"/>
                <w:sz w:val="24"/>
                <w:szCs w:val="24"/>
                <w:shd w:val="clear" w:color="auto" w:fill="FFFFFF"/>
                <w:lang w:val="en-US" w:eastAsia="zh-CN" w:bidi="ar-SA"/>
              </w:rPr>
            </w:pPr>
            <w:r>
              <w:rPr>
                <w:rFonts w:hint="eastAsia" w:ascii="宋体" w:hAnsi="宋体" w:eastAsia="宋体" w:cs="宋体"/>
                <w:sz w:val="24"/>
                <w:szCs w:val="24"/>
                <w:vertAlign w:val="baseline"/>
                <w:lang w:val="en-US" w:eastAsia="zh-CN"/>
              </w:rPr>
              <w:t>3.8万元</w:t>
            </w:r>
          </w:p>
        </w:tc>
        <w:tc>
          <w:tcPr>
            <w:tcW w:w="1756" w:type="dxa"/>
            <w:tcBorders>
              <w:top w:val="single" w:color="auto" w:sz="4" w:space="0"/>
              <w:left w:val="nil"/>
              <w:bottom w:val="single" w:color="auto" w:sz="4" w:space="0"/>
              <w:right w:val="single" w:color="auto" w:sz="4" w:space="0"/>
            </w:tcBorders>
            <w:vAlign w:val="center"/>
          </w:tcPr>
          <w:p>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3.8万元</w:t>
            </w:r>
          </w:p>
        </w:tc>
      </w:tr>
    </w:tbl>
    <w:p>
      <w:pPr>
        <w:keepNext w:val="0"/>
        <w:keepLines w:val="0"/>
        <w:pageBreakBefore w:val="0"/>
        <w:kinsoku/>
        <w:overflowPunct/>
        <w:topLinePunct w:val="0"/>
        <w:bidi w:val="0"/>
        <w:snapToGrid w:val="0"/>
        <w:spacing w:beforeAutospacing="0" w:afterAutospacing="0" w:line="360" w:lineRule="auto"/>
        <w:ind w:firstLine="480" w:firstLineChars="200"/>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eastAsia="宋体" w:cs="宋体"/>
          <w:color w:val="auto"/>
          <w:sz w:val="24"/>
          <w:szCs w:val="24"/>
          <w:highlight w:val="none"/>
          <w:shd w:val="clear" w:color="auto" w:fill="FFFFFF"/>
        </w:rPr>
        <w:t>4、</w:t>
      </w:r>
      <w:r>
        <w:rPr>
          <w:rFonts w:hint="eastAsia" w:ascii="宋体" w:hAnsi="宋体" w:eastAsia="宋体" w:cs="宋体"/>
          <w:color w:val="auto"/>
          <w:sz w:val="24"/>
          <w:szCs w:val="24"/>
          <w:highlight w:val="none"/>
          <w:shd w:val="clear" w:color="auto" w:fill="FFFFFF"/>
          <w:lang w:val="en-US" w:eastAsia="zh-CN"/>
        </w:rPr>
        <w:t>交货地点：采购人指定地点；</w:t>
      </w:r>
    </w:p>
    <w:p>
      <w:pPr>
        <w:keepNext w:val="0"/>
        <w:keepLines w:val="0"/>
        <w:pageBreakBefore w:val="0"/>
        <w:widowControl/>
        <w:tabs>
          <w:tab w:val="left" w:pos="840"/>
        </w:tabs>
        <w:kinsoku/>
        <w:overflowPunct/>
        <w:topLinePunct w:val="0"/>
        <w:bidi w:val="0"/>
        <w:snapToGrid w:val="0"/>
        <w:spacing w:beforeAutospacing="0" w:afterAutospacing="0" w:line="360" w:lineRule="auto"/>
        <w:ind w:firstLine="480" w:firstLineChars="200"/>
        <w:jc w:val="left"/>
        <w:textAlignment w:val="auto"/>
        <w:rPr>
          <w:rFonts w:hint="eastAsia" w:ascii="宋体" w:hAnsi="宋体" w:eastAsia="宋体" w:cs="宋体"/>
          <w:color w:val="auto"/>
          <w:sz w:val="24"/>
          <w:szCs w:val="24"/>
          <w:highlight w:val="none"/>
          <w:shd w:val="clear" w:color="auto" w:fill="FFFFFF"/>
          <w:lang w:eastAsia="zh-CN"/>
        </w:rPr>
      </w:pPr>
      <w:bookmarkStart w:id="9" w:name="_Toc24040"/>
      <w:bookmarkStart w:id="10" w:name="_Toc26079"/>
      <w:bookmarkStart w:id="11" w:name="_Toc27913"/>
      <w:bookmarkStart w:id="12" w:name="_Toc19521"/>
      <w:bookmarkStart w:id="13" w:name="_Toc21071"/>
      <w:r>
        <w:rPr>
          <w:rFonts w:hint="eastAsia" w:ascii="宋体" w:hAnsi="宋体" w:eastAsia="宋体" w:cs="宋体"/>
          <w:color w:val="auto"/>
          <w:sz w:val="24"/>
          <w:szCs w:val="24"/>
          <w:highlight w:val="none"/>
          <w:shd w:val="clear" w:color="auto" w:fill="FFFFFF"/>
          <w:lang w:val="en-US" w:eastAsia="zh-CN"/>
        </w:rPr>
        <w:t>5</w:t>
      </w:r>
      <w:r>
        <w:rPr>
          <w:rFonts w:hint="eastAsia" w:ascii="宋体" w:hAnsi="宋体" w:eastAsia="宋体" w:cs="宋体"/>
          <w:color w:val="auto"/>
          <w:sz w:val="24"/>
          <w:szCs w:val="24"/>
          <w:highlight w:val="none"/>
          <w:shd w:val="clear" w:color="auto" w:fill="FFFFFF"/>
        </w:rPr>
        <w:t>、</w:t>
      </w:r>
      <w:bookmarkEnd w:id="9"/>
      <w:bookmarkEnd w:id="10"/>
      <w:bookmarkEnd w:id="11"/>
      <w:bookmarkEnd w:id="12"/>
      <w:bookmarkEnd w:id="13"/>
      <w:r>
        <w:rPr>
          <w:rFonts w:hint="eastAsia" w:ascii="宋体" w:hAnsi="宋体" w:eastAsia="宋体" w:cs="宋体"/>
          <w:color w:val="auto"/>
          <w:sz w:val="24"/>
          <w:szCs w:val="24"/>
          <w:highlight w:val="none"/>
          <w:shd w:val="clear" w:color="auto" w:fill="FFFFFF"/>
          <w:lang w:val="en-US" w:eastAsia="zh-CN"/>
        </w:rPr>
        <w:t>质量要求：合格</w:t>
      </w:r>
      <w:r>
        <w:rPr>
          <w:rFonts w:hint="eastAsia" w:ascii="宋体" w:hAnsi="宋体" w:eastAsia="宋体" w:cs="宋体"/>
          <w:color w:val="auto"/>
          <w:sz w:val="24"/>
          <w:szCs w:val="24"/>
          <w:highlight w:val="none"/>
          <w:shd w:val="clear" w:color="auto" w:fill="FFFFFF"/>
          <w:lang w:eastAsia="zh-CN"/>
        </w:rPr>
        <w:t>。</w:t>
      </w:r>
    </w:p>
    <w:p>
      <w:pPr>
        <w:keepNext w:val="0"/>
        <w:keepLines w:val="0"/>
        <w:pageBreakBefore w:val="0"/>
        <w:widowControl/>
        <w:kinsoku/>
        <w:overflowPunct/>
        <w:topLinePunct w:val="0"/>
        <w:bidi w:val="0"/>
        <w:snapToGrid w:val="0"/>
        <w:spacing w:beforeAutospacing="0" w:afterAutospacing="0" w:line="360" w:lineRule="auto"/>
        <w:jc w:val="left"/>
        <w:textAlignment w:val="auto"/>
        <w:outlineLvl w:val="1"/>
        <w:rPr>
          <w:rFonts w:hint="eastAsia" w:ascii="宋体" w:hAnsi="宋体" w:eastAsia="宋体" w:cs="宋体"/>
          <w:b/>
          <w:bCs/>
          <w:color w:val="auto"/>
          <w:kern w:val="2"/>
          <w:sz w:val="24"/>
          <w:szCs w:val="24"/>
          <w:shd w:val="clear" w:color="auto" w:fill="FFFFFF"/>
          <w:lang w:val="en-US" w:eastAsia="zh-CN" w:bidi="ar-SA"/>
        </w:rPr>
      </w:pPr>
      <w:bookmarkStart w:id="14" w:name="_Toc18607"/>
      <w:bookmarkStart w:id="15" w:name="_Toc16639"/>
      <w:bookmarkStart w:id="16" w:name="_Toc23626"/>
      <w:bookmarkStart w:id="17" w:name="_Toc27704"/>
      <w:r>
        <w:rPr>
          <w:rFonts w:hint="eastAsia" w:ascii="宋体" w:hAnsi="宋体" w:eastAsia="宋体" w:cs="宋体"/>
          <w:b/>
          <w:bCs/>
          <w:color w:val="auto"/>
          <w:kern w:val="2"/>
          <w:sz w:val="24"/>
          <w:szCs w:val="24"/>
          <w:shd w:val="clear" w:color="auto" w:fill="FFFFFF"/>
          <w:lang w:val="en-US" w:eastAsia="zh-CN" w:bidi="ar-SA"/>
        </w:rPr>
        <w:t>二、</w:t>
      </w:r>
      <w:bookmarkEnd w:id="8"/>
      <w:bookmarkEnd w:id="14"/>
      <w:bookmarkEnd w:id="15"/>
      <w:bookmarkEnd w:id="16"/>
      <w:bookmarkEnd w:id="17"/>
      <w:r>
        <w:rPr>
          <w:rFonts w:hint="eastAsia" w:ascii="宋体" w:hAnsi="宋体" w:eastAsia="宋体" w:cs="宋体"/>
          <w:b/>
          <w:bCs/>
          <w:color w:val="auto"/>
          <w:kern w:val="2"/>
          <w:sz w:val="24"/>
          <w:szCs w:val="24"/>
          <w:shd w:val="clear" w:color="auto" w:fill="FFFFFF"/>
          <w:lang w:val="en-US" w:eastAsia="zh-CN" w:bidi="ar-SA"/>
        </w:rPr>
        <w:t>供应商资格要求：</w:t>
      </w:r>
    </w:p>
    <w:p>
      <w:pPr>
        <w:keepNext w:val="0"/>
        <w:keepLines w:val="0"/>
        <w:pageBreakBefore w:val="0"/>
        <w:widowControl w:val="0"/>
        <w:kinsoku/>
        <w:overflowPunct/>
        <w:topLinePunct w:val="0"/>
        <w:autoSpaceDE w:val="0"/>
        <w:autoSpaceDN w:val="0"/>
        <w:bidi w:val="0"/>
        <w:adjustRightInd w:val="0"/>
        <w:snapToGrid w:val="0"/>
        <w:spacing w:beforeAutospacing="0" w:afterAutospacing="0" w:line="360" w:lineRule="auto"/>
        <w:ind w:firstLine="480" w:firstLineChars="200"/>
        <w:textAlignment w:val="auto"/>
        <w:rPr>
          <w:rFonts w:hint="eastAsia" w:ascii="宋体" w:hAnsi="宋体" w:eastAsia="宋体" w:cs="宋体"/>
          <w:color w:val="auto"/>
          <w:kern w:val="2"/>
          <w:sz w:val="24"/>
          <w:szCs w:val="32"/>
          <w:lang w:val="en-US" w:eastAsia="zh-CN" w:bidi="ar-SA"/>
        </w:rPr>
      </w:pPr>
      <w:r>
        <w:rPr>
          <w:rFonts w:hint="eastAsia" w:ascii="宋体" w:hAnsi="宋体" w:eastAsia="宋体" w:cs="宋体"/>
          <w:color w:val="auto"/>
          <w:kern w:val="2"/>
          <w:sz w:val="24"/>
          <w:szCs w:val="32"/>
          <w:lang w:val="en-US" w:eastAsia="zh-CN" w:bidi="ar-SA"/>
        </w:rPr>
        <w:t>1、供应商应为注册在中华人民共和国境内的，且具有独立承担民事责任能力，提供法人或者其他组织的营业执照等证明文件。单位负责人为同一人或者存在直接控股、管理关系的不同供应商，不得参加同一合同项下的投标。一经发现，将导致投标同时被拒绝。</w:t>
      </w:r>
    </w:p>
    <w:p>
      <w:pPr>
        <w:keepNext w:val="0"/>
        <w:keepLines w:val="0"/>
        <w:pageBreakBefore w:val="0"/>
        <w:widowControl w:val="0"/>
        <w:kinsoku/>
        <w:overflowPunct/>
        <w:topLinePunct w:val="0"/>
        <w:autoSpaceDE w:val="0"/>
        <w:autoSpaceDN w:val="0"/>
        <w:bidi w:val="0"/>
        <w:adjustRightInd w:val="0"/>
        <w:snapToGrid w:val="0"/>
        <w:spacing w:beforeAutospacing="0" w:afterAutospacing="0" w:line="360" w:lineRule="auto"/>
        <w:ind w:firstLine="480" w:firstLineChars="200"/>
        <w:textAlignment w:val="auto"/>
        <w:rPr>
          <w:rFonts w:hint="eastAsia" w:ascii="宋体" w:hAnsi="宋体" w:eastAsia="宋体" w:cs="宋体"/>
          <w:color w:val="auto"/>
          <w:kern w:val="2"/>
          <w:sz w:val="24"/>
          <w:szCs w:val="32"/>
          <w:lang w:val="en-US" w:eastAsia="zh-CN" w:bidi="ar-SA"/>
        </w:rPr>
      </w:pPr>
      <w:r>
        <w:rPr>
          <w:rFonts w:hint="eastAsia" w:ascii="宋体" w:hAnsi="宋体" w:eastAsia="宋体" w:cs="宋体"/>
          <w:color w:val="auto"/>
          <w:kern w:val="2"/>
          <w:sz w:val="24"/>
          <w:szCs w:val="32"/>
          <w:lang w:val="en-US" w:eastAsia="zh-CN" w:bidi="ar-SA"/>
        </w:rPr>
        <w:t>2、供应商应提供</w:t>
      </w:r>
      <w:r>
        <w:rPr>
          <w:rFonts w:hint="eastAsia" w:ascii="宋体" w:hAnsi="宋体" w:cs="宋体"/>
          <w:color w:val="auto"/>
          <w:kern w:val="2"/>
          <w:sz w:val="24"/>
          <w:szCs w:val="32"/>
          <w:lang w:val="en-US" w:eastAsia="zh-CN" w:bidi="ar-SA"/>
        </w:rPr>
        <w:t>2022年度</w:t>
      </w:r>
      <w:r>
        <w:rPr>
          <w:rFonts w:hint="eastAsia" w:ascii="宋体" w:hAnsi="宋体" w:eastAsia="宋体" w:cs="宋体"/>
          <w:color w:val="auto"/>
          <w:kern w:val="2"/>
          <w:sz w:val="24"/>
          <w:szCs w:val="32"/>
          <w:lang w:val="en-US" w:eastAsia="zh-CN" w:bidi="ar-SA"/>
        </w:rPr>
        <w:t>经审计的财务报告或者其基本开户银行出具的资信证明；采购活动前近三个月内或上个季度</w:t>
      </w:r>
      <w:r>
        <w:rPr>
          <w:rFonts w:hint="eastAsia" w:ascii="宋体" w:hAnsi="宋体" w:cs="宋体"/>
          <w:color w:val="auto"/>
          <w:kern w:val="2"/>
          <w:sz w:val="24"/>
          <w:szCs w:val="32"/>
          <w:lang w:val="en-US" w:eastAsia="zh-CN" w:bidi="ar-SA"/>
        </w:rPr>
        <w:t>任一个月</w:t>
      </w:r>
      <w:r>
        <w:rPr>
          <w:rFonts w:hint="eastAsia" w:ascii="宋体" w:hAnsi="宋体" w:eastAsia="宋体" w:cs="宋体"/>
          <w:color w:val="auto"/>
          <w:kern w:val="2"/>
          <w:sz w:val="24"/>
          <w:szCs w:val="32"/>
          <w:lang w:val="en-US" w:eastAsia="zh-CN" w:bidi="ar-SA"/>
        </w:rPr>
        <w:t>的依法缴纳税收的凭据和缴纳社会保险的凭据；依法免税或不需要缴纳社会保障资金的供应商，应提供相应文件证明其依法免税或不需要缴纳社会保障资金。（新成立企业从成立之日起计算）。</w:t>
      </w:r>
    </w:p>
    <w:p>
      <w:pPr>
        <w:keepNext w:val="0"/>
        <w:keepLines w:val="0"/>
        <w:pageBreakBefore w:val="0"/>
        <w:widowControl w:val="0"/>
        <w:kinsoku/>
        <w:overflowPunct/>
        <w:topLinePunct w:val="0"/>
        <w:autoSpaceDE w:val="0"/>
        <w:autoSpaceDN w:val="0"/>
        <w:bidi w:val="0"/>
        <w:adjustRightInd w:val="0"/>
        <w:snapToGrid w:val="0"/>
        <w:spacing w:beforeAutospacing="0" w:afterAutospacing="0" w:line="360" w:lineRule="auto"/>
        <w:ind w:firstLine="480" w:firstLineChars="200"/>
        <w:textAlignment w:val="auto"/>
        <w:rPr>
          <w:rFonts w:hint="eastAsia" w:ascii="宋体" w:hAnsi="宋体" w:eastAsia="宋体" w:cs="宋体"/>
          <w:color w:val="auto"/>
          <w:kern w:val="2"/>
          <w:sz w:val="24"/>
          <w:szCs w:val="32"/>
          <w:lang w:val="en-US" w:eastAsia="zh-CN" w:bidi="ar-SA"/>
        </w:rPr>
      </w:pPr>
      <w:r>
        <w:rPr>
          <w:rFonts w:hint="eastAsia" w:ascii="宋体" w:hAnsi="宋体" w:eastAsia="宋体" w:cs="宋体"/>
          <w:color w:val="auto"/>
          <w:kern w:val="2"/>
          <w:sz w:val="24"/>
          <w:szCs w:val="32"/>
          <w:lang w:val="en-US" w:eastAsia="zh-CN" w:bidi="ar-SA"/>
        </w:rPr>
        <w:t>3</w:t>
      </w:r>
      <w:r>
        <w:rPr>
          <w:rFonts w:hint="eastAsia" w:ascii="宋体" w:hAnsi="宋体" w:cs="宋体"/>
          <w:color w:val="auto"/>
          <w:kern w:val="2"/>
          <w:sz w:val="24"/>
          <w:szCs w:val="32"/>
          <w:lang w:val="en-US" w:eastAsia="zh-CN" w:bidi="ar-SA"/>
        </w:rPr>
        <w:t>、</w:t>
      </w:r>
      <w:r>
        <w:rPr>
          <w:rFonts w:hint="eastAsia" w:ascii="宋体" w:hAnsi="宋体" w:eastAsia="宋体" w:cs="宋体"/>
          <w:color w:val="auto"/>
          <w:kern w:val="2"/>
          <w:sz w:val="24"/>
          <w:szCs w:val="32"/>
          <w:lang w:val="en-US" w:eastAsia="zh-CN" w:bidi="ar-SA"/>
        </w:rPr>
        <w:t>具有履行合同所必需的设备和专业技术能力（提供书面声明函）。</w:t>
      </w:r>
    </w:p>
    <w:p>
      <w:pPr>
        <w:keepNext w:val="0"/>
        <w:keepLines w:val="0"/>
        <w:pageBreakBefore w:val="0"/>
        <w:widowControl w:val="0"/>
        <w:kinsoku/>
        <w:overflowPunct/>
        <w:topLinePunct w:val="0"/>
        <w:autoSpaceDE w:val="0"/>
        <w:autoSpaceDN w:val="0"/>
        <w:bidi w:val="0"/>
        <w:adjustRightInd w:val="0"/>
        <w:snapToGrid w:val="0"/>
        <w:spacing w:beforeAutospacing="0" w:afterAutospacing="0" w:line="360" w:lineRule="auto"/>
        <w:ind w:firstLine="480" w:firstLineChars="200"/>
        <w:textAlignment w:val="auto"/>
        <w:rPr>
          <w:rFonts w:hint="eastAsia" w:ascii="宋体" w:hAnsi="宋体" w:eastAsia="宋体" w:cs="宋体"/>
          <w:color w:val="auto"/>
          <w:kern w:val="2"/>
          <w:sz w:val="24"/>
          <w:szCs w:val="32"/>
          <w:lang w:val="en-US" w:eastAsia="zh-CN" w:bidi="ar-SA"/>
        </w:rPr>
      </w:pPr>
      <w:r>
        <w:rPr>
          <w:rFonts w:hint="eastAsia" w:ascii="宋体" w:hAnsi="宋体" w:eastAsia="宋体" w:cs="宋体"/>
          <w:color w:val="auto"/>
          <w:kern w:val="2"/>
          <w:sz w:val="24"/>
          <w:szCs w:val="32"/>
          <w:lang w:val="en-US" w:eastAsia="zh-CN" w:bidi="ar-SA"/>
        </w:rPr>
        <w:t>4</w:t>
      </w:r>
      <w:r>
        <w:rPr>
          <w:rFonts w:hint="eastAsia" w:ascii="宋体" w:hAnsi="宋体" w:cs="宋体"/>
          <w:color w:val="auto"/>
          <w:kern w:val="2"/>
          <w:sz w:val="24"/>
          <w:szCs w:val="32"/>
          <w:lang w:val="en-US" w:eastAsia="zh-CN" w:bidi="ar-SA"/>
        </w:rPr>
        <w:t>、</w:t>
      </w:r>
      <w:r>
        <w:rPr>
          <w:rFonts w:hint="eastAsia" w:ascii="宋体" w:hAnsi="宋体" w:eastAsia="宋体" w:cs="宋体"/>
          <w:color w:val="auto"/>
          <w:kern w:val="2"/>
          <w:sz w:val="24"/>
          <w:szCs w:val="32"/>
          <w:lang w:val="en-US" w:eastAsia="zh-CN" w:bidi="ar-SA"/>
        </w:rPr>
        <w:t>参加本采购活动前三年内，在经营活动中没有重大违法记录（提供书面声明函）。</w:t>
      </w:r>
    </w:p>
    <w:p>
      <w:pPr>
        <w:keepNext w:val="0"/>
        <w:keepLines w:val="0"/>
        <w:pageBreakBefore w:val="0"/>
        <w:widowControl w:val="0"/>
        <w:kinsoku/>
        <w:overflowPunct/>
        <w:topLinePunct w:val="0"/>
        <w:autoSpaceDE w:val="0"/>
        <w:autoSpaceDN w:val="0"/>
        <w:bidi w:val="0"/>
        <w:adjustRightInd w:val="0"/>
        <w:snapToGrid w:val="0"/>
        <w:spacing w:beforeAutospacing="0" w:afterAutospacing="0" w:line="360" w:lineRule="auto"/>
        <w:ind w:firstLine="480" w:firstLineChars="200"/>
        <w:textAlignment w:val="auto"/>
        <w:rPr>
          <w:rFonts w:hint="eastAsia" w:ascii="宋体" w:hAnsi="宋体" w:eastAsia="宋体" w:cs="宋体"/>
          <w:color w:val="auto"/>
          <w:kern w:val="2"/>
          <w:sz w:val="24"/>
          <w:szCs w:val="32"/>
          <w:lang w:val="en-US" w:eastAsia="zh-CN" w:bidi="ar-SA"/>
        </w:rPr>
      </w:pPr>
      <w:r>
        <w:rPr>
          <w:rFonts w:hint="eastAsia" w:ascii="宋体" w:hAnsi="宋体" w:eastAsia="宋体" w:cs="宋体"/>
          <w:color w:val="auto"/>
          <w:kern w:val="2"/>
          <w:sz w:val="24"/>
          <w:szCs w:val="32"/>
          <w:lang w:val="en-US" w:eastAsia="zh-CN" w:bidi="ar-SA"/>
        </w:rPr>
        <w:t>5</w:t>
      </w:r>
      <w:r>
        <w:rPr>
          <w:rFonts w:hint="eastAsia" w:ascii="宋体" w:hAnsi="宋体" w:cs="宋体"/>
          <w:color w:val="auto"/>
          <w:kern w:val="2"/>
          <w:sz w:val="24"/>
          <w:szCs w:val="32"/>
          <w:lang w:val="en-US" w:eastAsia="zh-CN" w:bidi="ar-SA"/>
        </w:rPr>
        <w:t>、</w:t>
      </w:r>
      <w:r>
        <w:rPr>
          <w:rFonts w:hint="eastAsia" w:ascii="宋体" w:hAnsi="宋体" w:eastAsia="宋体" w:cs="宋体"/>
          <w:color w:val="auto"/>
          <w:kern w:val="2"/>
          <w:sz w:val="24"/>
          <w:szCs w:val="32"/>
          <w:lang w:val="en-US" w:eastAsia="zh-CN" w:bidi="ar-SA"/>
        </w:rPr>
        <w:t>符合法律、行政法规规定的其他条件。</w:t>
      </w:r>
    </w:p>
    <w:p>
      <w:pPr>
        <w:keepNext w:val="0"/>
        <w:keepLines w:val="0"/>
        <w:pageBreakBefore w:val="0"/>
        <w:widowControl w:val="0"/>
        <w:kinsoku/>
        <w:overflowPunct/>
        <w:topLinePunct w:val="0"/>
        <w:autoSpaceDE w:val="0"/>
        <w:autoSpaceDN w:val="0"/>
        <w:bidi w:val="0"/>
        <w:adjustRightInd w:val="0"/>
        <w:snapToGrid w:val="0"/>
        <w:spacing w:beforeAutospacing="0" w:afterAutospacing="0" w:line="360" w:lineRule="auto"/>
        <w:ind w:firstLine="480" w:firstLineChars="200"/>
        <w:textAlignment w:val="auto"/>
        <w:rPr>
          <w:rFonts w:hint="eastAsia" w:ascii="宋体" w:hAnsi="宋体" w:eastAsia="宋体" w:cs="宋体"/>
          <w:color w:val="auto"/>
          <w:sz w:val="24"/>
          <w:szCs w:val="28"/>
          <w:lang w:val="en-US" w:eastAsia="zh-CN"/>
        </w:rPr>
      </w:pPr>
      <w:r>
        <w:rPr>
          <w:rFonts w:hint="eastAsia" w:ascii="宋体" w:hAnsi="宋体" w:cs="宋体"/>
          <w:color w:val="auto"/>
          <w:sz w:val="24"/>
          <w:szCs w:val="28"/>
          <w:lang w:val="en-US" w:eastAsia="zh-CN"/>
        </w:rPr>
        <w:t>6、</w:t>
      </w:r>
      <w:r>
        <w:rPr>
          <w:rFonts w:hint="eastAsia" w:ascii="宋体" w:hAnsi="宋体" w:eastAsia="宋体" w:cs="宋体"/>
          <w:color w:val="auto"/>
          <w:sz w:val="24"/>
          <w:szCs w:val="28"/>
          <w:lang w:val="en-US" w:eastAsia="zh-CN"/>
        </w:rPr>
        <w:t>根据《关于在政府采购活动中查询及使用信用记录有关问题的通知》（财库【2016】125号）的规定，对列入失信被执行人、重大税收违法失信主体、政府采购严重违法失信行为记录名单的供应商，拒绝参与本项目政府采购活动，参与采购的供应商应提供查询企业信用记录的网页打印页并加盖供应商公章，查询时间应在采购公告发布日期之后，【查询渠道：“信用中国”网站、中国政府采购网】；</w:t>
      </w:r>
    </w:p>
    <w:p>
      <w:pPr>
        <w:keepNext w:val="0"/>
        <w:keepLines w:val="0"/>
        <w:pageBreakBefore w:val="0"/>
        <w:widowControl w:val="0"/>
        <w:kinsoku/>
        <w:overflowPunct/>
        <w:topLinePunct w:val="0"/>
        <w:autoSpaceDE w:val="0"/>
        <w:autoSpaceDN w:val="0"/>
        <w:bidi w:val="0"/>
        <w:adjustRightInd w:val="0"/>
        <w:snapToGrid w:val="0"/>
        <w:spacing w:beforeAutospacing="0" w:afterAutospacing="0" w:line="360" w:lineRule="auto"/>
        <w:ind w:firstLine="480" w:firstLineChars="200"/>
        <w:textAlignment w:val="auto"/>
        <w:rPr>
          <w:rFonts w:hint="default" w:ascii="宋体" w:hAnsi="宋体" w:eastAsia="宋体" w:cs="宋体"/>
          <w:color w:val="auto"/>
          <w:kern w:val="2"/>
          <w:sz w:val="24"/>
          <w:szCs w:val="32"/>
          <w:highlight w:val="none"/>
          <w:lang w:val="en-US" w:eastAsia="zh-CN" w:bidi="ar-SA"/>
        </w:rPr>
      </w:pPr>
      <w:r>
        <w:rPr>
          <w:rFonts w:hint="eastAsia" w:ascii="宋体" w:hAnsi="宋体" w:eastAsia="宋体" w:cs="宋体"/>
          <w:color w:val="auto"/>
          <w:kern w:val="2"/>
          <w:sz w:val="24"/>
          <w:szCs w:val="32"/>
          <w:highlight w:val="none"/>
          <w:lang w:val="en-US" w:eastAsia="zh-CN" w:bidi="ar-SA"/>
        </w:rPr>
        <w:t>7、所投产品属于一类医疗器械的，须提供医疗器械生产备案凭证和医疗器械备案凭证；所投产品属于二类医疗器械的，须提供医疗器械生产许可证、经营备案凭证、完整版的医疗器械注册证（含附件：产品技术要求）；所投产品属于三类医疗器械的，须提供医疗器械生产许可证、经营许可证、完整版的医疗器械注册证（含附件：产品技术要求）。（投标产品不属于医疗器械的，投标人可不提供）；（复印件须加盖</w:t>
      </w:r>
      <w:r>
        <w:rPr>
          <w:rFonts w:hint="eastAsia" w:ascii="宋体" w:hAnsi="宋体" w:cs="宋体"/>
          <w:color w:val="auto"/>
          <w:kern w:val="2"/>
          <w:sz w:val="24"/>
          <w:szCs w:val="32"/>
          <w:highlight w:val="none"/>
          <w:lang w:val="en-US" w:eastAsia="zh-CN" w:bidi="ar-SA"/>
        </w:rPr>
        <w:t>供应商</w:t>
      </w:r>
      <w:r>
        <w:rPr>
          <w:rFonts w:hint="eastAsia" w:ascii="宋体" w:hAnsi="宋体" w:eastAsia="宋体" w:cs="宋体"/>
          <w:color w:val="auto"/>
          <w:kern w:val="2"/>
          <w:sz w:val="24"/>
          <w:szCs w:val="32"/>
          <w:highlight w:val="none"/>
          <w:lang w:val="en-US" w:eastAsia="zh-CN" w:bidi="ar-SA"/>
        </w:rPr>
        <w:t>公章）。</w:t>
      </w:r>
    </w:p>
    <w:p>
      <w:pPr>
        <w:keepNext w:val="0"/>
        <w:keepLines w:val="0"/>
        <w:pageBreakBefore w:val="0"/>
        <w:widowControl w:val="0"/>
        <w:kinsoku/>
        <w:overflowPunct/>
        <w:topLinePunct w:val="0"/>
        <w:autoSpaceDE w:val="0"/>
        <w:autoSpaceDN w:val="0"/>
        <w:bidi w:val="0"/>
        <w:adjustRightInd w:val="0"/>
        <w:snapToGrid w:val="0"/>
        <w:spacing w:beforeAutospacing="0" w:afterAutospacing="0" w:line="360" w:lineRule="auto"/>
        <w:ind w:firstLine="480" w:firstLineChars="200"/>
        <w:textAlignment w:val="auto"/>
        <w:rPr>
          <w:rFonts w:hint="eastAsia" w:ascii="宋体" w:hAnsi="宋体" w:eastAsia="宋体" w:cs="宋体"/>
          <w:color w:val="auto"/>
          <w:kern w:val="2"/>
          <w:sz w:val="24"/>
          <w:szCs w:val="32"/>
          <w:lang w:val="en-US" w:eastAsia="zh-CN" w:bidi="ar-SA"/>
        </w:rPr>
      </w:pPr>
      <w:r>
        <w:rPr>
          <w:rFonts w:hint="eastAsia" w:ascii="宋体" w:hAnsi="宋体" w:cs="宋体"/>
          <w:color w:val="auto"/>
          <w:kern w:val="2"/>
          <w:sz w:val="24"/>
          <w:szCs w:val="32"/>
          <w:lang w:val="en-US" w:eastAsia="zh-CN" w:bidi="ar-SA"/>
        </w:rPr>
        <w:t>8</w:t>
      </w:r>
      <w:r>
        <w:rPr>
          <w:rFonts w:hint="eastAsia" w:ascii="宋体" w:hAnsi="宋体" w:eastAsia="宋体" w:cs="宋体"/>
          <w:color w:val="auto"/>
          <w:kern w:val="2"/>
          <w:sz w:val="24"/>
          <w:szCs w:val="32"/>
          <w:lang w:val="en-US" w:eastAsia="zh-CN" w:bidi="ar-SA"/>
        </w:rPr>
        <w:t>、不接受联合体投标。</w:t>
      </w:r>
    </w:p>
    <w:p>
      <w:pPr>
        <w:keepNext w:val="0"/>
        <w:keepLines w:val="0"/>
        <w:pageBreakBefore w:val="0"/>
        <w:widowControl/>
        <w:kinsoku/>
        <w:overflowPunct/>
        <w:topLinePunct w:val="0"/>
        <w:bidi w:val="0"/>
        <w:snapToGrid w:val="0"/>
        <w:spacing w:beforeAutospacing="0" w:afterAutospacing="0" w:line="360" w:lineRule="auto"/>
        <w:jc w:val="left"/>
        <w:textAlignment w:val="auto"/>
        <w:outlineLvl w:val="1"/>
        <w:rPr>
          <w:rFonts w:hint="eastAsia" w:ascii="宋体" w:hAnsi="宋体" w:eastAsia="宋体" w:cs="宋体"/>
          <w:b/>
          <w:bCs/>
          <w:color w:val="auto"/>
          <w:kern w:val="2"/>
          <w:sz w:val="24"/>
          <w:szCs w:val="32"/>
          <w:lang w:val="en-US" w:eastAsia="zh-CN" w:bidi="ar-SA"/>
        </w:rPr>
      </w:pPr>
      <w:bookmarkStart w:id="18" w:name="_Toc30643"/>
      <w:bookmarkStart w:id="19" w:name="_Toc23395"/>
      <w:bookmarkStart w:id="20" w:name="_Toc9562"/>
      <w:bookmarkStart w:id="21" w:name="_Toc30971"/>
      <w:bookmarkStart w:id="22" w:name="_Toc7823"/>
      <w:r>
        <w:rPr>
          <w:rFonts w:hint="eastAsia" w:ascii="宋体" w:hAnsi="宋体" w:eastAsia="宋体" w:cs="宋体"/>
          <w:b/>
          <w:bCs/>
          <w:color w:val="auto"/>
          <w:kern w:val="2"/>
          <w:sz w:val="24"/>
          <w:szCs w:val="32"/>
          <w:lang w:val="en-US" w:eastAsia="zh-CN" w:bidi="ar-SA"/>
        </w:rPr>
        <w:t>三、获取采购文件</w:t>
      </w:r>
      <w:bookmarkEnd w:id="18"/>
      <w:bookmarkEnd w:id="19"/>
      <w:bookmarkEnd w:id="20"/>
      <w:bookmarkEnd w:id="21"/>
      <w:bookmarkEnd w:id="22"/>
    </w:p>
    <w:p>
      <w:pPr>
        <w:keepNext w:val="0"/>
        <w:keepLines w:val="0"/>
        <w:pageBreakBefore w:val="0"/>
        <w:widowControl/>
        <w:kinsoku/>
        <w:overflowPunct/>
        <w:topLinePunct w:val="0"/>
        <w:bidi w:val="0"/>
        <w:adjustRightInd w:val="0"/>
        <w:snapToGrid w:val="0"/>
        <w:spacing w:beforeAutospacing="0" w:afterAutospacing="0" w:line="360" w:lineRule="auto"/>
        <w:ind w:firstLine="480" w:firstLineChars="200"/>
        <w:jc w:val="left"/>
        <w:textAlignment w:val="auto"/>
        <w:rPr>
          <w:rFonts w:hint="eastAsia" w:ascii="宋体" w:hAnsi="宋体" w:eastAsia="宋体" w:cs="宋体"/>
          <w:color w:val="000000" w:themeColor="text1"/>
          <w:sz w:val="24"/>
          <w:szCs w:val="24"/>
          <w:shd w:val="clear" w:color="auto" w:fill="FFFFFF"/>
          <w14:textFill>
            <w14:solidFill>
              <w14:schemeClr w14:val="tx1"/>
            </w14:solidFill>
          </w14:textFill>
        </w:rPr>
      </w:pPr>
      <w:r>
        <w:rPr>
          <w:rFonts w:hint="eastAsia" w:ascii="宋体" w:hAnsi="宋体" w:eastAsia="宋体" w:cs="宋体"/>
          <w:color w:val="auto"/>
          <w:sz w:val="24"/>
          <w:szCs w:val="24"/>
          <w:shd w:val="clear" w:color="auto" w:fill="FFFFFF"/>
        </w:rPr>
        <w:t>1</w:t>
      </w:r>
      <w:r>
        <w:rPr>
          <w:rFonts w:hint="eastAsia" w:ascii="宋体" w:hAnsi="宋体" w:cs="宋体"/>
          <w:color w:val="auto"/>
          <w:sz w:val="24"/>
          <w:szCs w:val="24"/>
          <w:shd w:val="clear" w:color="auto" w:fill="FFFFFF"/>
          <w:lang w:val="en-US" w:eastAsia="zh-CN"/>
        </w:rPr>
        <w:t>.</w:t>
      </w:r>
      <w:r>
        <w:rPr>
          <w:rFonts w:hint="eastAsia" w:ascii="宋体" w:hAnsi="宋体" w:eastAsia="宋体" w:cs="宋体"/>
          <w:color w:val="auto"/>
          <w:sz w:val="24"/>
          <w:szCs w:val="24"/>
          <w:shd w:val="clear" w:color="auto" w:fill="FFFFFF"/>
          <w:lang w:val="en-US" w:eastAsia="zh-CN"/>
        </w:rPr>
        <w:t>报</w:t>
      </w:r>
      <w:r>
        <w:rPr>
          <w:rFonts w:hint="eastAsia" w:ascii="宋体" w:hAnsi="宋体" w:eastAsia="宋体" w:cs="宋体"/>
          <w:color w:val="000000" w:themeColor="text1"/>
          <w:sz w:val="24"/>
          <w:szCs w:val="24"/>
          <w:shd w:val="clear" w:color="auto" w:fill="FFFFFF"/>
          <w:lang w:val="en-US" w:eastAsia="zh-CN"/>
          <w14:textFill>
            <w14:solidFill>
              <w14:schemeClr w14:val="tx1"/>
            </w14:solidFill>
          </w14:textFill>
        </w:rPr>
        <w:t>名</w:t>
      </w:r>
      <w:r>
        <w:rPr>
          <w:rFonts w:hint="eastAsia" w:ascii="宋体" w:hAnsi="宋体" w:eastAsia="宋体" w:cs="宋体"/>
          <w:color w:val="000000" w:themeColor="text1"/>
          <w:sz w:val="24"/>
          <w:szCs w:val="24"/>
          <w:shd w:val="clear" w:color="auto" w:fill="FFFFFF"/>
          <w14:textFill>
            <w14:solidFill>
              <w14:schemeClr w14:val="tx1"/>
            </w14:solidFill>
          </w14:textFill>
        </w:rPr>
        <w:t>时间：</w:t>
      </w:r>
      <w:r>
        <w:rPr>
          <w:rFonts w:hint="eastAsia" w:ascii="宋体" w:hAnsi="宋体" w:cs="宋体"/>
          <w:color w:val="FF0000"/>
          <w:sz w:val="24"/>
          <w:szCs w:val="24"/>
          <w:highlight w:val="none"/>
          <w:shd w:val="clear" w:color="auto" w:fill="FFFFFF"/>
          <w:lang w:eastAsia="zh-CN"/>
        </w:rPr>
        <w:t>2024</w:t>
      </w:r>
      <w:r>
        <w:rPr>
          <w:rFonts w:hint="eastAsia" w:ascii="宋体" w:hAnsi="宋体" w:eastAsia="宋体" w:cs="宋体"/>
          <w:color w:val="FF0000"/>
          <w:sz w:val="24"/>
          <w:szCs w:val="24"/>
          <w:highlight w:val="none"/>
          <w:shd w:val="clear" w:color="auto" w:fill="FFFFFF"/>
        </w:rPr>
        <w:t>年</w:t>
      </w:r>
      <w:r>
        <w:rPr>
          <w:rFonts w:hint="eastAsia" w:ascii="宋体" w:hAnsi="宋体" w:cs="宋体"/>
          <w:color w:val="FF0000"/>
          <w:sz w:val="24"/>
          <w:szCs w:val="24"/>
          <w:highlight w:val="none"/>
          <w:shd w:val="clear" w:color="auto" w:fill="FFFFFF"/>
          <w:lang w:val="en-US" w:eastAsia="zh-CN"/>
        </w:rPr>
        <w:t>2</w:t>
      </w:r>
      <w:r>
        <w:rPr>
          <w:rFonts w:hint="eastAsia" w:ascii="宋体" w:hAnsi="宋体" w:eastAsia="宋体" w:cs="宋体"/>
          <w:color w:val="FF0000"/>
          <w:sz w:val="24"/>
          <w:szCs w:val="24"/>
          <w:highlight w:val="none"/>
          <w:shd w:val="clear" w:color="auto" w:fill="FFFFFF"/>
        </w:rPr>
        <w:t>月</w:t>
      </w:r>
      <w:r>
        <w:rPr>
          <w:rFonts w:hint="eastAsia" w:ascii="宋体" w:hAnsi="宋体" w:cs="宋体"/>
          <w:color w:val="FF0000"/>
          <w:sz w:val="24"/>
          <w:szCs w:val="24"/>
          <w:highlight w:val="none"/>
          <w:shd w:val="clear" w:color="auto" w:fill="FFFFFF"/>
          <w:lang w:val="en-US" w:eastAsia="zh-CN"/>
        </w:rPr>
        <w:t>29</w:t>
      </w:r>
      <w:r>
        <w:rPr>
          <w:rFonts w:hint="eastAsia" w:ascii="宋体" w:hAnsi="宋体" w:eastAsia="宋体" w:cs="宋体"/>
          <w:color w:val="FF0000"/>
          <w:sz w:val="24"/>
          <w:szCs w:val="24"/>
          <w:highlight w:val="none"/>
          <w:shd w:val="clear" w:color="auto" w:fill="FFFFFF"/>
        </w:rPr>
        <w:t>日-</w:t>
      </w:r>
      <w:r>
        <w:rPr>
          <w:rFonts w:hint="eastAsia" w:ascii="宋体" w:hAnsi="宋体" w:cs="宋体"/>
          <w:color w:val="FF0000"/>
          <w:sz w:val="24"/>
          <w:szCs w:val="24"/>
          <w:highlight w:val="none"/>
          <w:shd w:val="clear" w:color="auto" w:fill="FFFFFF"/>
          <w:lang w:eastAsia="zh-CN"/>
        </w:rPr>
        <w:t>2024</w:t>
      </w:r>
      <w:r>
        <w:rPr>
          <w:rFonts w:hint="eastAsia" w:ascii="宋体" w:hAnsi="宋体" w:eastAsia="宋体" w:cs="宋体"/>
          <w:color w:val="FF0000"/>
          <w:sz w:val="24"/>
          <w:szCs w:val="24"/>
          <w:highlight w:val="none"/>
          <w:shd w:val="clear" w:color="auto" w:fill="FFFFFF"/>
        </w:rPr>
        <w:t>年</w:t>
      </w:r>
      <w:r>
        <w:rPr>
          <w:rFonts w:hint="eastAsia" w:ascii="宋体" w:hAnsi="宋体" w:cs="宋体"/>
          <w:color w:val="FF0000"/>
          <w:sz w:val="24"/>
          <w:szCs w:val="24"/>
          <w:highlight w:val="none"/>
          <w:shd w:val="clear" w:color="auto" w:fill="FFFFFF"/>
          <w:lang w:val="en-US" w:eastAsia="zh-CN"/>
        </w:rPr>
        <w:t>3</w:t>
      </w:r>
      <w:r>
        <w:rPr>
          <w:rFonts w:hint="eastAsia" w:ascii="宋体" w:hAnsi="宋体" w:eastAsia="宋体" w:cs="宋体"/>
          <w:color w:val="FF0000"/>
          <w:sz w:val="24"/>
          <w:szCs w:val="24"/>
          <w:highlight w:val="none"/>
          <w:shd w:val="clear" w:color="auto" w:fill="FFFFFF"/>
        </w:rPr>
        <w:t>月</w:t>
      </w:r>
      <w:r>
        <w:rPr>
          <w:rFonts w:hint="eastAsia" w:ascii="宋体" w:hAnsi="宋体" w:cs="宋体"/>
          <w:color w:val="FF0000"/>
          <w:sz w:val="24"/>
          <w:szCs w:val="24"/>
          <w:highlight w:val="none"/>
          <w:shd w:val="clear" w:color="auto" w:fill="FFFFFF"/>
          <w:lang w:val="en-US" w:eastAsia="zh-CN"/>
        </w:rPr>
        <w:t>4</w:t>
      </w:r>
      <w:r>
        <w:rPr>
          <w:rFonts w:hint="eastAsia" w:ascii="宋体" w:hAnsi="宋体" w:eastAsia="宋体" w:cs="宋体"/>
          <w:color w:val="FF0000"/>
          <w:sz w:val="24"/>
          <w:szCs w:val="24"/>
          <w:highlight w:val="none"/>
          <w:shd w:val="clear" w:color="auto" w:fill="FFFFFF"/>
        </w:rPr>
        <w:t>日，上</w:t>
      </w:r>
      <w:r>
        <w:rPr>
          <w:rFonts w:hint="eastAsia" w:ascii="宋体" w:hAnsi="宋体" w:eastAsia="宋体" w:cs="宋体"/>
          <w:color w:val="FF0000"/>
          <w:sz w:val="24"/>
          <w:szCs w:val="24"/>
          <w:shd w:val="clear" w:color="auto" w:fill="FFFFFF"/>
        </w:rPr>
        <w:t>午8：30-11:30，下午14:30-17:30</w:t>
      </w:r>
      <w:r>
        <w:rPr>
          <w:rFonts w:hint="eastAsia" w:ascii="宋体" w:hAnsi="宋体" w:eastAsia="宋体" w:cs="宋体"/>
          <w:color w:val="000000" w:themeColor="text1"/>
          <w:sz w:val="24"/>
          <w:szCs w:val="24"/>
          <w:shd w:val="clear" w:color="auto" w:fill="FFFFFF"/>
          <w14:textFill>
            <w14:solidFill>
              <w14:schemeClr w14:val="tx1"/>
            </w14:solidFill>
          </w14:textFill>
        </w:rPr>
        <w:t>（北京时间，法定节假日除外）</w:t>
      </w:r>
      <w:r>
        <w:rPr>
          <w:rFonts w:hint="eastAsia" w:ascii="宋体" w:hAnsi="宋体" w:eastAsia="宋体" w:cs="宋体"/>
          <w:color w:val="000000" w:themeColor="text1"/>
          <w:sz w:val="24"/>
          <w:szCs w:val="24"/>
          <w:shd w:val="clear" w:color="auto" w:fill="FFFFFF"/>
          <w:lang w:val="en-US" w:eastAsia="zh-CN"/>
          <w14:textFill>
            <w14:solidFill>
              <w14:schemeClr w14:val="tx1"/>
            </w14:solidFill>
          </w14:textFill>
        </w:rPr>
        <w:t>。</w:t>
      </w:r>
    </w:p>
    <w:p>
      <w:pPr>
        <w:keepNext w:val="0"/>
        <w:keepLines w:val="0"/>
        <w:pageBreakBefore w:val="0"/>
        <w:widowControl/>
        <w:kinsoku/>
        <w:overflowPunct/>
        <w:topLinePunct w:val="0"/>
        <w:bidi w:val="0"/>
        <w:snapToGrid w:val="0"/>
        <w:spacing w:beforeAutospacing="0" w:afterAutospacing="0" w:line="360" w:lineRule="auto"/>
        <w:ind w:firstLine="480" w:firstLineChars="200"/>
        <w:jc w:val="left"/>
        <w:textAlignment w:val="auto"/>
        <w:rPr>
          <w:rFonts w:hint="eastAsia"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t xml:space="preserve">2.凡报名成功的供应商无故不来参与投标的列入我院黑名单，一年内不得参与我院任何采购活动。中标供应商缴纳相应服务费。 </w:t>
      </w:r>
    </w:p>
    <w:p>
      <w:pPr>
        <w:keepNext w:val="0"/>
        <w:keepLines w:val="0"/>
        <w:pageBreakBefore w:val="0"/>
        <w:widowControl/>
        <w:kinsoku/>
        <w:wordWrap w:val="0"/>
        <w:overflowPunct/>
        <w:topLinePunct w:val="0"/>
        <w:bidi w:val="0"/>
        <w:snapToGrid w:val="0"/>
        <w:spacing w:beforeAutospacing="0" w:afterAutospacing="0" w:line="360" w:lineRule="auto"/>
        <w:ind w:left="0" w:leftChars="0" w:firstLine="480" w:firstLineChars="200"/>
        <w:jc w:val="left"/>
        <w:textAlignment w:val="auto"/>
        <w:rPr>
          <w:rFonts w:hint="eastAsia" w:ascii="宋体" w:hAnsi="宋体" w:eastAsia="宋体" w:cs="宋体"/>
          <w:color w:val="000000" w:themeColor="text1"/>
          <w:kern w:val="0"/>
          <w:sz w:val="24"/>
          <w:szCs w:val="24"/>
          <w:u w:val="single"/>
          <w:shd w:val="clear" w:color="auto" w:fill="FFFFFF"/>
          <w:lang w:val="en-US" w:eastAsia="zh-CN" w:bidi="ar-SA"/>
          <w14:textFill>
            <w14:solidFill>
              <w14:schemeClr w14:val="tx1"/>
            </w14:solidFill>
          </w14:textFill>
        </w:rPr>
      </w:pPr>
      <w:r>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t>3.采购文件获取方式：供应商须把填写完整的报名登记表及报名登记表要求提供的相关资料扫描件按序排版为PDF格式文件，发送至以下邮箱：</w:t>
      </w:r>
      <w:r>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fldChar w:fldCharType="begin"/>
      </w:r>
      <w:r>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instrText xml:space="preserve"> HYPERLINK "mailto:hnwxzb2@163.com并标明XX" </w:instrText>
      </w:r>
      <w:r>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fldChar w:fldCharType="separate"/>
      </w:r>
      <w:r>
        <w:rPr>
          <w:rFonts w:hint="eastAsia" w:ascii="宋体" w:hAnsi="宋体" w:cs="宋体"/>
          <w:color w:val="000000" w:themeColor="text1"/>
          <w:kern w:val="0"/>
          <w:sz w:val="24"/>
          <w:szCs w:val="24"/>
          <w:highlight w:val="none"/>
          <w:shd w:val="clear" w:color="auto" w:fill="FFFFFF"/>
          <w:lang w:val="en-US" w:eastAsia="zh-CN" w:bidi="ar-SA"/>
          <w14:textFill>
            <w14:solidFill>
              <w14:schemeClr w14:val="tx1"/>
            </w14:solidFill>
          </w14:textFill>
        </w:rPr>
        <w:t>1150105437</w:t>
      </w:r>
      <w:r>
        <w:rPr>
          <w:rFonts w:hint="eastAsia" w:ascii="宋体" w:hAnsi="宋体" w:eastAsia="宋体" w:cs="宋体"/>
          <w:color w:val="000000" w:themeColor="text1"/>
          <w:kern w:val="0"/>
          <w:sz w:val="24"/>
          <w:szCs w:val="24"/>
          <w:highlight w:val="none"/>
          <w:shd w:val="clear" w:color="auto" w:fill="FFFFFF"/>
          <w:lang w:val="en-US" w:eastAsia="zh-CN" w:bidi="ar-SA"/>
          <w14:textFill>
            <w14:solidFill>
              <w14:schemeClr w14:val="tx1"/>
            </w14:solidFill>
          </w14:textFill>
        </w:rPr>
        <w:t>@qq.com</w:t>
      </w:r>
      <w:r>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t>并标明XX公司XX</w:t>
      </w:r>
      <w:r>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fldChar w:fldCharType="end"/>
      </w:r>
      <w:r>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t>项目报名资料。</w:t>
      </w:r>
    </w:p>
    <w:p>
      <w:pPr>
        <w:keepNext w:val="0"/>
        <w:keepLines w:val="0"/>
        <w:pageBreakBefore w:val="0"/>
        <w:widowControl/>
        <w:kinsoku/>
        <w:wordWrap w:val="0"/>
        <w:overflowPunct/>
        <w:topLinePunct w:val="0"/>
        <w:bidi w:val="0"/>
        <w:snapToGrid w:val="0"/>
        <w:spacing w:beforeAutospacing="0" w:afterAutospacing="0" w:line="360" w:lineRule="auto"/>
        <w:ind w:left="420" w:leftChars="200"/>
        <w:jc w:val="left"/>
        <w:textAlignment w:val="auto"/>
        <w:rPr>
          <w:rFonts w:hint="eastAsia"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t>4.报名登记表：请从附件中下载。</w:t>
      </w:r>
    </w:p>
    <w:p>
      <w:pPr>
        <w:keepNext w:val="0"/>
        <w:keepLines w:val="0"/>
        <w:pageBreakBefore w:val="0"/>
        <w:widowControl/>
        <w:kinsoku/>
        <w:overflowPunct/>
        <w:topLinePunct w:val="0"/>
        <w:bidi w:val="0"/>
        <w:snapToGrid w:val="0"/>
        <w:spacing w:beforeAutospacing="0" w:afterAutospacing="0" w:line="360" w:lineRule="auto"/>
        <w:jc w:val="left"/>
        <w:textAlignment w:val="auto"/>
        <w:outlineLvl w:val="1"/>
        <w:rPr>
          <w:rFonts w:hint="eastAsia" w:ascii="宋体" w:hAnsi="宋体" w:eastAsia="宋体" w:cs="宋体"/>
          <w:b/>
          <w:bCs/>
          <w:color w:val="000000" w:themeColor="text1"/>
          <w:kern w:val="2"/>
          <w:sz w:val="24"/>
          <w:szCs w:val="24"/>
          <w:lang w:val="en-US" w:eastAsia="zh-CN" w:bidi="ar-SA"/>
          <w14:textFill>
            <w14:solidFill>
              <w14:schemeClr w14:val="tx1"/>
            </w14:solidFill>
          </w14:textFill>
        </w:rPr>
      </w:pPr>
      <w:bookmarkStart w:id="23" w:name="_Toc15135"/>
      <w:bookmarkStart w:id="24" w:name="_Toc25869"/>
      <w:bookmarkStart w:id="25" w:name="_Toc15111"/>
      <w:bookmarkStart w:id="26" w:name="_Toc10738"/>
      <w:bookmarkStart w:id="27" w:name="_Toc27480"/>
      <w:r>
        <w:rPr>
          <w:rFonts w:hint="eastAsia" w:ascii="宋体" w:hAnsi="宋体" w:eastAsia="宋体" w:cs="宋体"/>
          <w:b/>
          <w:bCs/>
          <w:color w:val="000000" w:themeColor="text1"/>
          <w:kern w:val="2"/>
          <w:sz w:val="24"/>
          <w:szCs w:val="24"/>
          <w:shd w:val="clear" w:color="auto" w:fill="FFFFFF"/>
          <w:lang w:val="en-US" w:eastAsia="zh-CN" w:bidi="ar-SA"/>
          <w14:textFill>
            <w14:solidFill>
              <w14:schemeClr w14:val="tx1"/>
            </w14:solidFill>
          </w14:textFill>
        </w:rPr>
        <w:t>四、投标截止时间及地点</w:t>
      </w:r>
      <w:bookmarkEnd w:id="23"/>
      <w:bookmarkEnd w:id="24"/>
      <w:bookmarkEnd w:id="25"/>
      <w:bookmarkEnd w:id="26"/>
      <w:bookmarkEnd w:id="27"/>
    </w:p>
    <w:p>
      <w:pPr>
        <w:keepNext w:val="0"/>
        <w:keepLines w:val="0"/>
        <w:pageBreakBefore w:val="0"/>
        <w:widowControl/>
        <w:kinsoku/>
        <w:overflowPunct/>
        <w:topLinePunct w:val="0"/>
        <w:bidi w:val="0"/>
        <w:snapToGrid w:val="0"/>
        <w:spacing w:beforeAutospacing="0" w:afterAutospacing="0" w:line="360" w:lineRule="auto"/>
        <w:ind w:firstLine="480" w:firstLineChars="200"/>
        <w:jc w:val="left"/>
        <w:textAlignment w:val="auto"/>
        <w:rPr>
          <w:rFonts w:hint="eastAsia"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t>1.时间：</w:t>
      </w:r>
      <w:r>
        <w:rPr>
          <w:rFonts w:hint="eastAsia" w:ascii="宋体" w:hAnsi="宋体" w:eastAsia="宋体" w:cs="宋体"/>
          <w:color w:val="000000" w:themeColor="text1"/>
          <w:sz w:val="24"/>
          <w:szCs w:val="24"/>
          <w:shd w:val="clear" w:color="auto" w:fill="auto"/>
          <w:lang w:val="en-US" w:eastAsia="zh-CN"/>
          <w14:textFill>
            <w14:solidFill>
              <w14:schemeClr w14:val="tx1"/>
            </w14:solidFill>
          </w14:textFill>
        </w:rPr>
        <w:t>另行通知</w:t>
      </w:r>
      <w:r>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t>。</w:t>
      </w:r>
    </w:p>
    <w:p>
      <w:pPr>
        <w:keepNext w:val="0"/>
        <w:keepLines w:val="0"/>
        <w:pageBreakBefore w:val="0"/>
        <w:widowControl/>
        <w:kinsoku/>
        <w:overflowPunct/>
        <w:topLinePunct w:val="0"/>
        <w:bidi w:val="0"/>
        <w:snapToGrid w:val="0"/>
        <w:spacing w:beforeAutospacing="0" w:afterAutospacing="0" w:line="360" w:lineRule="auto"/>
        <w:ind w:firstLine="480" w:firstLineChars="200"/>
        <w:jc w:val="left"/>
        <w:textAlignment w:val="auto"/>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pPr>
      <w:r>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t>2.地点：</w:t>
      </w:r>
      <w:r>
        <w:rPr>
          <w:rFonts w:hint="eastAsia" w:ascii="宋体" w:hAnsi="宋体" w:eastAsia="宋体" w:cs="宋体"/>
          <w:color w:val="000000" w:themeColor="text1"/>
          <w:sz w:val="24"/>
          <w:szCs w:val="24"/>
          <w:shd w:val="clear" w:color="auto" w:fill="auto"/>
          <w:lang w:val="en-US" w:eastAsia="zh-CN"/>
          <w14:textFill>
            <w14:solidFill>
              <w14:schemeClr w14:val="tx1"/>
            </w14:solidFill>
          </w14:textFill>
        </w:rPr>
        <w:t>另行通知</w:t>
      </w:r>
      <w:r>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t>。</w:t>
      </w:r>
    </w:p>
    <w:p>
      <w:pPr>
        <w:keepNext w:val="0"/>
        <w:keepLines w:val="0"/>
        <w:pageBreakBefore w:val="0"/>
        <w:widowControl/>
        <w:kinsoku/>
        <w:overflowPunct/>
        <w:topLinePunct w:val="0"/>
        <w:bidi w:val="0"/>
        <w:snapToGrid w:val="0"/>
        <w:spacing w:beforeAutospacing="0" w:afterAutospacing="0" w:line="360" w:lineRule="auto"/>
        <w:jc w:val="left"/>
        <w:textAlignment w:val="auto"/>
        <w:outlineLvl w:val="1"/>
        <w:rPr>
          <w:rFonts w:hint="eastAsia" w:ascii="宋体" w:hAnsi="宋体" w:eastAsia="宋体" w:cs="宋体"/>
          <w:b/>
          <w:bCs/>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bCs/>
          <w:color w:val="000000" w:themeColor="text1"/>
          <w:kern w:val="2"/>
          <w:sz w:val="24"/>
          <w:szCs w:val="24"/>
          <w:shd w:val="clear" w:color="auto" w:fill="FFFFFF"/>
          <w:lang w:val="en-US" w:eastAsia="zh-CN" w:bidi="ar-SA"/>
          <w14:textFill>
            <w14:solidFill>
              <w14:schemeClr w14:val="tx1"/>
            </w14:solidFill>
          </w14:textFill>
        </w:rPr>
        <w:t>五、开标时间及地点</w:t>
      </w:r>
    </w:p>
    <w:p>
      <w:pPr>
        <w:keepNext w:val="0"/>
        <w:keepLines w:val="0"/>
        <w:pageBreakBefore w:val="0"/>
        <w:widowControl/>
        <w:kinsoku/>
        <w:overflowPunct/>
        <w:topLinePunct w:val="0"/>
        <w:bidi w:val="0"/>
        <w:snapToGrid w:val="0"/>
        <w:spacing w:beforeAutospacing="0" w:afterAutospacing="0" w:line="360" w:lineRule="auto"/>
        <w:ind w:firstLine="480" w:firstLineChars="200"/>
        <w:jc w:val="left"/>
        <w:textAlignment w:val="auto"/>
        <w:rPr>
          <w:rFonts w:hint="eastAsia"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t>1.时间：</w:t>
      </w:r>
      <w:r>
        <w:rPr>
          <w:rFonts w:hint="eastAsia" w:ascii="宋体" w:hAnsi="宋体" w:eastAsia="宋体" w:cs="宋体"/>
          <w:color w:val="000000" w:themeColor="text1"/>
          <w:sz w:val="24"/>
          <w:szCs w:val="24"/>
          <w:shd w:val="clear" w:color="auto" w:fill="auto"/>
          <w:lang w:val="en-US" w:eastAsia="zh-CN"/>
          <w14:textFill>
            <w14:solidFill>
              <w14:schemeClr w14:val="tx1"/>
            </w14:solidFill>
          </w14:textFill>
        </w:rPr>
        <w:t>另行通知</w:t>
      </w:r>
      <w:r>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t>。</w:t>
      </w:r>
    </w:p>
    <w:p>
      <w:pPr>
        <w:keepNext w:val="0"/>
        <w:keepLines w:val="0"/>
        <w:pageBreakBefore w:val="0"/>
        <w:widowControl/>
        <w:kinsoku/>
        <w:overflowPunct/>
        <w:topLinePunct w:val="0"/>
        <w:bidi w:val="0"/>
        <w:snapToGrid w:val="0"/>
        <w:spacing w:beforeAutospacing="0" w:afterAutospacing="0" w:line="360" w:lineRule="auto"/>
        <w:ind w:firstLine="480" w:firstLineChars="200"/>
        <w:jc w:val="left"/>
        <w:textAlignment w:val="auto"/>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pPr>
      <w:r>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t>2.地点：</w:t>
      </w:r>
      <w:r>
        <w:rPr>
          <w:rFonts w:hint="eastAsia" w:ascii="宋体" w:hAnsi="宋体" w:eastAsia="宋体" w:cs="宋体"/>
          <w:color w:val="000000" w:themeColor="text1"/>
          <w:sz w:val="24"/>
          <w:szCs w:val="24"/>
          <w:shd w:val="clear" w:color="auto" w:fill="auto"/>
          <w:lang w:val="en-US" w:eastAsia="zh-CN"/>
          <w14:textFill>
            <w14:solidFill>
              <w14:schemeClr w14:val="tx1"/>
            </w14:solidFill>
          </w14:textFill>
        </w:rPr>
        <w:t>另行通知</w:t>
      </w:r>
      <w:r>
        <w:rPr>
          <w:rFonts w:hint="eastAsia" w:ascii="宋体" w:hAnsi="宋体" w:eastAsia="宋体" w:cs="宋体"/>
          <w:color w:val="000000" w:themeColor="text1"/>
          <w:kern w:val="0"/>
          <w:sz w:val="24"/>
          <w:szCs w:val="24"/>
          <w:u w:val="none"/>
          <w:shd w:val="clear" w:color="auto" w:fill="FFFFFF"/>
          <w:lang w:val="en-US" w:eastAsia="zh-CN" w:bidi="ar-SA"/>
          <w14:textFill>
            <w14:solidFill>
              <w14:schemeClr w14:val="tx1"/>
            </w14:solidFill>
          </w14:textFill>
        </w:rPr>
        <w:t>。</w:t>
      </w:r>
    </w:p>
    <w:p>
      <w:pPr>
        <w:keepNext w:val="0"/>
        <w:keepLines w:val="0"/>
        <w:pageBreakBefore w:val="0"/>
        <w:widowControl/>
        <w:kinsoku/>
        <w:overflowPunct/>
        <w:topLinePunct w:val="0"/>
        <w:bidi w:val="0"/>
        <w:snapToGrid w:val="0"/>
        <w:spacing w:beforeAutospacing="0" w:afterAutospacing="0" w:line="360" w:lineRule="auto"/>
        <w:jc w:val="left"/>
        <w:textAlignment w:val="auto"/>
        <w:outlineLvl w:val="1"/>
        <w:rPr>
          <w:rFonts w:hint="eastAsia" w:ascii="宋体" w:hAnsi="宋体" w:eastAsia="宋体" w:cs="宋体"/>
          <w:b/>
          <w:bCs/>
          <w:color w:val="000000" w:themeColor="text1"/>
          <w:kern w:val="2"/>
          <w:sz w:val="24"/>
          <w:szCs w:val="24"/>
          <w:lang w:val="en-US" w:eastAsia="zh-CN" w:bidi="ar-SA"/>
          <w14:textFill>
            <w14:solidFill>
              <w14:schemeClr w14:val="tx1"/>
            </w14:solidFill>
          </w14:textFill>
        </w:rPr>
      </w:pPr>
      <w:bookmarkStart w:id="28" w:name="_Toc29784"/>
      <w:bookmarkStart w:id="29" w:name="_Toc6523"/>
      <w:bookmarkStart w:id="30" w:name="_Toc30918"/>
      <w:bookmarkStart w:id="31" w:name="_Toc20287"/>
      <w:r>
        <w:rPr>
          <w:rFonts w:hint="eastAsia" w:ascii="宋体" w:hAnsi="宋体" w:eastAsia="宋体" w:cs="宋体"/>
          <w:b/>
          <w:bCs/>
          <w:color w:val="000000" w:themeColor="text1"/>
          <w:kern w:val="2"/>
          <w:sz w:val="24"/>
          <w:szCs w:val="24"/>
          <w:shd w:val="clear" w:color="auto" w:fill="FFFFFF"/>
          <w:lang w:val="en-US" w:eastAsia="zh-CN" w:bidi="ar-SA"/>
          <w14:textFill>
            <w14:solidFill>
              <w14:schemeClr w14:val="tx1"/>
            </w14:solidFill>
          </w14:textFill>
        </w:rPr>
        <w:t>六、发布公告的媒介及</w:t>
      </w:r>
      <w:r>
        <w:rPr>
          <w:rFonts w:hint="eastAsia" w:ascii="宋体" w:hAnsi="宋体" w:eastAsia="宋体" w:cs="宋体"/>
          <w:b/>
          <w:bCs/>
          <w:color w:val="000000" w:themeColor="text1"/>
          <w:sz w:val="24"/>
          <w:szCs w:val="24"/>
          <w:shd w:val="clear" w:color="auto" w:fill="auto"/>
          <w:lang w:val="en-US" w:eastAsia="zh-CN"/>
          <w14:textFill>
            <w14:solidFill>
              <w14:schemeClr w14:val="tx1"/>
            </w14:solidFill>
          </w14:textFill>
        </w:rPr>
        <w:t>采购</w:t>
      </w:r>
      <w:r>
        <w:rPr>
          <w:rFonts w:hint="eastAsia" w:ascii="宋体" w:hAnsi="宋体" w:eastAsia="宋体" w:cs="宋体"/>
          <w:b/>
          <w:bCs/>
          <w:color w:val="000000" w:themeColor="text1"/>
          <w:kern w:val="2"/>
          <w:sz w:val="24"/>
          <w:szCs w:val="24"/>
          <w:shd w:val="clear" w:color="auto" w:fill="FFFFFF"/>
          <w:lang w:val="en-US" w:eastAsia="zh-CN" w:bidi="ar-SA"/>
          <w14:textFill>
            <w14:solidFill>
              <w14:schemeClr w14:val="tx1"/>
            </w14:solidFill>
          </w14:textFill>
        </w:rPr>
        <w:t>公告期限</w:t>
      </w:r>
      <w:bookmarkEnd w:id="28"/>
      <w:bookmarkEnd w:id="29"/>
      <w:bookmarkEnd w:id="30"/>
      <w:bookmarkEnd w:id="31"/>
    </w:p>
    <w:p>
      <w:pPr>
        <w:keepNext w:val="0"/>
        <w:keepLines w:val="0"/>
        <w:pageBreakBefore w:val="0"/>
        <w:widowControl/>
        <w:kinsoku/>
        <w:overflowPunct/>
        <w:topLinePunct w:val="0"/>
        <w:bidi w:val="0"/>
        <w:snapToGrid w:val="0"/>
        <w:spacing w:beforeAutospacing="0" w:afterAutospacing="0" w:line="360" w:lineRule="auto"/>
        <w:ind w:firstLine="480" w:firstLineChars="200"/>
        <w:jc w:val="left"/>
        <w:textAlignment w:val="auto"/>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pPr>
      <w:r>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t>本次</w:t>
      </w:r>
      <w:r>
        <w:rPr>
          <w:rFonts w:hint="eastAsia" w:ascii="宋体" w:hAnsi="宋体" w:eastAsia="宋体" w:cs="宋体"/>
          <w:color w:val="000000" w:themeColor="text1"/>
          <w:sz w:val="24"/>
          <w:szCs w:val="24"/>
          <w:shd w:val="clear" w:color="auto" w:fill="auto"/>
          <w:lang w:val="en-US" w:eastAsia="zh-CN"/>
          <w14:textFill>
            <w14:solidFill>
              <w14:schemeClr w14:val="tx1"/>
            </w14:solidFill>
          </w14:textFill>
        </w:rPr>
        <w:t>采购</w:t>
      </w:r>
      <w:r>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t>公告在《驻马店市中心医院》院内网</w:t>
      </w:r>
      <w:r>
        <w:rPr>
          <w:rFonts w:hint="eastAsia" w:ascii="宋体" w:hAnsi="宋体" w:eastAsia="宋体" w:cs="宋体"/>
          <w:color w:val="000000" w:themeColor="text1"/>
          <w:sz w:val="24"/>
          <w:szCs w:val="24"/>
          <w:shd w:val="clear" w:color="auto" w:fill="auto"/>
          <w14:textFill>
            <w14:solidFill>
              <w14:schemeClr w14:val="tx1"/>
            </w14:solidFill>
          </w14:textFill>
        </w:rPr>
        <w:t>上发布</w:t>
      </w:r>
      <w:r>
        <w:rPr>
          <w:rFonts w:hint="eastAsia" w:ascii="宋体" w:hAnsi="宋体" w:eastAsia="宋体" w:cs="宋体"/>
          <w:color w:val="000000" w:themeColor="text1"/>
          <w:sz w:val="24"/>
          <w:szCs w:val="24"/>
          <w:highlight w:val="none"/>
          <w:shd w:val="clear" w:color="auto" w:fill="auto"/>
          <w:lang w:eastAsia="zh-CN"/>
          <w14:textFill>
            <w14:solidFill>
              <w14:schemeClr w14:val="tx1"/>
            </w14:solidFill>
          </w14:textFill>
        </w:rPr>
        <w:t>，</w:t>
      </w:r>
      <w:r>
        <w:rPr>
          <w:rFonts w:hint="eastAsia" w:ascii="宋体" w:hAnsi="宋体" w:eastAsia="宋体" w:cs="宋体"/>
          <w:color w:val="000000" w:themeColor="text1"/>
          <w:sz w:val="24"/>
          <w:szCs w:val="24"/>
          <w:shd w:val="clear" w:color="auto" w:fill="auto"/>
          <w:lang w:val="en-US" w:eastAsia="zh-CN"/>
          <w14:textFill>
            <w14:solidFill>
              <w14:schemeClr w14:val="tx1"/>
            </w14:solidFill>
          </w14:textFill>
        </w:rPr>
        <w:t>采购</w:t>
      </w:r>
      <w:r>
        <w:rPr>
          <w:rFonts w:hint="eastAsia" w:ascii="宋体" w:hAnsi="宋体" w:eastAsia="宋体" w:cs="宋体"/>
          <w:color w:val="000000" w:themeColor="text1"/>
          <w:sz w:val="24"/>
          <w:szCs w:val="24"/>
          <w:highlight w:val="none"/>
          <w:shd w:val="clear" w:color="auto" w:fill="auto"/>
          <w:lang w:eastAsia="zh-CN"/>
          <w14:textFill>
            <w14:solidFill>
              <w14:schemeClr w14:val="tx1"/>
            </w14:solidFill>
          </w14:textFill>
        </w:rPr>
        <w:t>公告期限为</w:t>
      </w:r>
      <w:r>
        <w:rPr>
          <w:rFonts w:hint="eastAsia" w:ascii="宋体" w:hAnsi="宋体" w:eastAsia="宋体" w:cs="宋体"/>
          <w:color w:val="000000" w:themeColor="text1"/>
          <w:sz w:val="24"/>
          <w:szCs w:val="24"/>
          <w:highlight w:val="none"/>
          <w:shd w:val="clear" w:color="auto" w:fill="auto"/>
          <w:lang w:val="en-US" w:eastAsia="zh-CN"/>
          <w14:textFill>
            <w14:solidFill>
              <w14:schemeClr w14:val="tx1"/>
            </w14:solidFill>
          </w14:textFill>
        </w:rPr>
        <w:t>三</w:t>
      </w:r>
      <w:r>
        <w:rPr>
          <w:rFonts w:hint="eastAsia" w:ascii="宋体" w:hAnsi="宋体" w:eastAsia="宋体" w:cs="宋体"/>
          <w:color w:val="000000" w:themeColor="text1"/>
          <w:sz w:val="24"/>
          <w:szCs w:val="24"/>
          <w:highlight w:val="none"/>
          <w:shd w:val="clear" w:color="auto" w:fill="auto"/>
          <w:lang w:eastAsia="zh-CN"/>
          <w14:textFill>
            <w14:solidFill>
              <w14:schemeClr w14:val="tx1"/>
            </w14:solidFill>
          </w14:textFill>
        </w:rPr>
        <w:t>个工作日</w:t>
      </w:r>
      <w:r>
        <w:rPr>
          <w:rFonts w:hint="eastAsia" w:ascii="宋体" w:hAnsi="宋体" w:eastAsia="宋体" w:cs="宋体"/>
          <w:color w:val="000000" w:themeColor="text1"/>
          <w:kern w:val="0"/>
          <w:sz w:val="24"/>
          <w:szCs w:val="24"/>
          <w:highlight w:val="none"/>
          <w:shd w:val="clear" w:color="auto" w:fill="FFFFFF"/>
          <w:lang w:val="en-US" w:eastAsia="zh-CN" w:bidi="ar-SA"/>
          <w14:textFill>
            <w14:solidFill>
              <w14:schemeClr w14:val="tx1"/>
            </w14:solidFill>
          </w14:textFill>
        </w:rPr>
        <w:t>。</w:t>
      </w:r>
    </w:p>
    <w:bookmarkEnd w:id="3"/>
    <w:bookmarkEnd w:id="4"/>
    <w:p>
      <w:pPr>
        <w:keepNext w:val="0"/>
        <w:keepLines w:val="0"/>
        <w:pageBreakBefore w:val="0"/>
        <w:widowControl/>
        <w:kinsoku/>
        <w:overflowPunct/>
        <w:topLinePunct w:val="0"/>
        <w:bidi w:val="0"/>
        <w:snapToGrid w:val="0"/>
        <w:spacing w:beforeAutospacing="0" w:afterAutospacing="0" w:line="360" w:lineRule="auto"/>
        <w:jc w:val="left"/>
        <w:textAlignment w:val="auto"/>
        <w:outlineLvl w:val="1"/>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pPr>
      <w:bookmarkStart w:id="32" w:name="_Toc16291"/>
      <w:bookmarkStart w:id="33" w:name="_Toc27370"/>
      <w:bookmarkStart w:id="34" w:name="_Toc3604"/>
      <w:bookmarkStart w:id="35" w:name="_Toc24274"/>
      <w:bookmarkStart w:id="36" w:name="_Toc31928"/>
      <w:r>
        <w:rPr>
          <w:rFonts w:hint="eastAsia" w:ascii="宋体" w:hAnsi="宋体" w:cs="宋体"/>
          <w:b/>
          <w:bCs/>
          <w:color w:val="000000" w:themeColor="text1"/>
          <w:kern w:val="2"/>
          <w:sz w:val="24"/>
          <w:szCs w:val="24"/>
          <w:shd w:val="clear" w:color="auto" w:fill="FFFFFF"/>
          <w:lang w:val="en-US" w:eastAsia="zh-CN" w:bidi="ar-SA"/>
          <w14:textFill>
            <w14:solidFill>
              <w14:schemeClr w14:val="tx1"/>
            </w14:solidFill>
          </w14:textFill>
        </w:rPr>
        <w:t>七</w:t>
      </w:r>
      <w:r>
        <w:rPr>
          <w:rFonts w:hint="eastAsia" w:ascii="宋体" w:hAnsi="宋体" w:eastAsia="宋体" w:cs="宋体"/>
          <w:b/>
          <w:bCs/>
          <w:color w:val="000000" w:themeColor="text1"/>
          <w:kern w:val="2"/>
          <w:sz w:val="24"/>
          <w:szCs w:val="24"/>
          <w:shd w:val="clear" w:color="auto" w:fill="FFFFFF"/>
          <w:lang w:val="en-US" w:eastAsia="zh-CN" w:bidi="ar-SA"/>
          <w14:textFill>
            <w14:solidFill>
              <w14:schemeClr w14:val="tx1"/>
            </w14:solidFill>
          </w14:textFill>
        </w:rPr>
        <w:t>、</w:t>
      </w:r>
      <w:bookmarkEnd w:id="32"/>
      <w:bookmarkEnd w:id="33"/>
      <w:bookmarkEnd w:id="34"/>
      <w:bookmarkEnd w:id="35"/>
      <w:bookmarkEnd w:id="36"/>
      <w:r>
        <w:rPr>
          <w:rFonts w:hint="eastAsia" w:ascii="宋体" w:hAnsi="宋体" w:eastAsia="宋体" w:cs="宋体"/>
          <w:b/>
          <w:bCs/>
          <w:color w:val="000000" w:themeColor="text1"/>
          <w:kern w:val="2"/>
          <w:sz w:val="24"/>
          <w:szCs w:val="24"/>
          <w:highlight w:val="none"/>
          <w:shd w:val="clear" w:color="auto" w:fill="FFFFFF"/>
          <w:lang w:val="en-US" w:eastAsia="zh-CN" w:bidi="ar-SA"/>
          <w14:textFill>
            <w14:solidFill>
              <w14:schemeClr w14:val="tx1"/>
            </w14:solidFill>
          </w14:textFill>
        </w:rPr>
        <w:t>凡对本次招标提出询问，请按照以下方式联系</w:t>
      </w:r>
    </w:p>
    <w:p>
      <w:pPr>
        <w:keepNext w:val="0"/>
        <w:keepLines w:val="0"/>
        <w:pageBreakBefore w:val="0"/>
        <w:widowControl/>
        <w:kinsoku/>
        <w:overflowPunct/>
        <w:topLinePunct w:val="0"/>
        <w:bidi w:val="0"/>
        <w:snapToGrid w:val="0"/>
        <w:spacing w:beforeAutospacing="0" w:afterAutospacing="0" w:line="360" w:lineRule="auto"/>
        <w:ind w:firstLine="480" w:firstLineChars="200"/>
        <w:jc w:val="left"/>
        <w:textAlignment w:val="auto"/>
        <w:rPr>
          <w:rFonts w:hint="default"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pPr>
      <w:r>
        <w:rPr>
          <w:rFonts w:hint="default"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t>报名联系人</w:t>
      </w:r>
      <w:r>
        <w:rPr>
          <w:rFonts w:hint="eastAsia" w:ascii="宋体" w:hAnsi="宋体" w:cs="宋体"/>
          <w:color w:val="000000" w:themeColor="text1"/>
          <w:kern w:val="0"/>
          <w:sz w:val="24"/>
          <w:szCs w:val="24"/>
          <w:shd w:val="clear" w:color="auto" w:fill="FFFFFF"/>
          <w:lang w:val="en-US" w:eastAsia="zh-CN" w:bidi="ar-SA"/>
          <w14:textFill>
            <w14:solidFill>
              <w14:schemeClr w14:val="tx1"/>
            </w14:solidFill>
          </w14:textFill>
        </w:rPr>
        <w:t>1</w:t>
      </w:r>
      <w:r>
        <w:rPr>
          <w:rFonts w:hint="default"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t>：王女士</w:t>
      </w:r>
    </w:p>
    <w:p>
      <w:pPr>
        <w:keepNext w:val="0"/>
        <w:keepLines w:val="0"/>
        <w:pageBreakBefore w:val="0"/>
        <w:widowControl/>
        <w:kinsoku/>
        <w:overflowPunct/>
        <w:topLinePunct w:val="0"/>
        <w:bidi w:val="0"/>
        <w:snapToGrid w:val="0"/>
        <w:spacing w:beforeAutospacing="0" w:afterAutospacing="0" w:line="360" w:lineRule="auto"/>
        <w:ind w:firstLine="480" w:firstLineChars="200"/>
        <w:jc w:val="left"/>
        <w:textAlignment w:val="auto"/>
        <w:rPr>
          <w:rFonts w:hint="default"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pPr>
      <w:r>
        <w:rPr>
          <w:rFonts w:hint="default"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t>联系电话：18639627370</w:t>
      </w:r>
    </w:p>
    <w:p>
      <w:pPr>
        <w:keepNext w:val="0"/>
        <w:keepLines w:val="0"/>
        <w:pageBreakBefore w:val="0"/>
        <w:widowControl/>
        <w:kinsoku/>
        <w:overflowPunct/>
        <w:topLinePunct w:val="0"/>
        <w:bidi w:val="0"/>
        <w:snapToGrid w:val="0"/>
        <w:spacing w:beforeAutospacing="0" w:afterAutospacing="0" w:line="360" w:lineRule="auto"/>
        <w:ind w:firstLine="480" w:firstLineChars="200"/>
        <w:jc w:val="left"/>
        <w:textAlignment w:val="auto"/>
        <w:rPr>
          <w:rFonts w:hint="eastAsia" w:ascii="宋体" w:hAnsi="宋体" w:cs="宋体"/>
          <w:color w:val="000000" w:themeColor="text1"/>
          <w:kern w:val="0"/>
          <w:sz w:val="24"/>
          <w:szCs w:val="24"/>
          <w:shd w:val="clear" w:color="auto" w:fill="FFFFFF"/>
          <w:lang w:val="en-US" w:eastAsia="zh-CN" w:bidi="ar-SA"/>
          <w14:textFill>
            <w14:solidFill>
              <w14:schemeClr w14:val="tx1"/>
            </w14:solidFill>
          </w14:textFill>
        </w:rPr>
      </w:pPr>
      <w:r>
        <w:rPr>
          <w:rFonts w:hint="eastAsia" w:ascii="宋体" w:hAnsi="宋体" w:cs="宋体"/>
          <w:color w:val="000000" w:themeColor="text1"/>
          <w:kern w:val="0"/>
          <w:sz w:val="24"/>
          <w:szCs w:val="24"/>
          <w:shd w:val="clear" w:color="auto" w:fill="FFFFFF"/>
          <w:lang w:val="en-US" w:eastAsia="zh-CN" w:bidi="ar-SA"/>
          <w14:textFill>
            <w14:solidFill>
              <w14:schemeClr w14:val="tx1"/>
            </w14:solidFill>
          </w14:textFill>
        </w:rPr>
        <w:t>报名联系人2：吴先生</w:t>
      </w:r>
    </w:p>
    <w:p>
      <w:pPr>
        <w:keepNext w:val="0"/>
        <w:keepLines w:val="0"/>
        <w:pageBreakBefore w:val="0"/>
        <w:widowControl/>
        <w:kinsoku/>
        <w:overflowPunct/>
        <w:topLinePunct w:val="0"/>
        <w:bidi w:val="0"/>
        <w:snapToGrid w:val="0"/>
        <w:spacing w:beforeAutospacing="0" w:afterAutospacing="0" w:line="360" w:lineRule="auto"/>
        <w:ind w:firstLine="480" w:firstLineChars="200"/>
        <w:jc w:val="left"/>
        <w:textAlignment w:val="auto"/>
        <w:rPr>
          <w:rFonts w:hint="default" w:ascii="宋体" w:hAnsi="宋体" w:cs="宋体"/>
          <w:color w:val="000000" w:themeColor="text1"/>
          <w:kern w:val="0"/>
          <w:sz w:val="24"/>
          <w:szCs w:val="24"/>
          <w:shd w:val="clear" w:color="auto" w:fill="FFFFFF"/>
          <w:lang w:val="en-US" w:eastAsia="zh-CN" w:bidi="ar-SA"/>
          <w14:textFill>
            <w14:solidFill>
              <w14:schemeClr w14:val="tx1"/>
            </w14:solidFill>
          </w14:textFill>
        </w:rPr>
      </w:pPr>
      <w:r>
        <w:rPr>
          <w:rFonts w:hint="default"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t>联系电话：</w:t>
      </w:r>
      <w:r>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t>0396-2858369</w:t>
      </w:r>
    </w:p>
    <w:p>
      <w:pPr>
        <w:keepNext w:val="0"/>
        <w:keepLines w:val="0"/>
        <w:pageBreakBefore w:val="0"/>
        <w:widowControl/>
        <w:kinsoku/>
        <w:overflowPunct/>
        <w:topLinePunct w:val="0"/>
        <w:bidi w:val="0"/>
        <w:snapToGrid w:val="0"/>
        <w:spacing w:beforeAutospacing="0" w:afterAutospacing="0" w:line="360" w:lineRule="auto"/>
        <w:ind w:firstLine="480" w:firstLineChars="200"/>
        <w:jc w:val="left"/>
        <w:textAlignment w:val="auto"/>
        <w:rPr>
          <w:rFonts w:hint="default"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pPr>
      <w:r>
        <w:rPr>
          <w:rFonts w:hint="default"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t>联系人：陈先生</w:t>
      </w:r>
    </w:p>
    <w:p>
      <w:pPr>
        <w:keepNext w:val="0"/>
        <w:keepLines w:val="0"/>
        <w:pageBreakBefore w:val="0"/>
        <w:widowControl/>
        <w:kinsoku/>
        <w:overflowPunct/>
        <w:topLinePunct w:val="0"/>
        <w:bidi w:val="0"/>
        <w:snapToGrid w:val="0"/>
        <w:spacing w:beforeAutospacing="0" w:afterAutospacing="0" w:line="360" w:lineRule="auto"/>
        <w:ind w:firstLine="480" w:firstLineChars="200"/>
        <w:jc w:val="left"/>
        <w:textAlignment w:val="auto"/>
        <w:rPr>
          <w:rFonts w:hint="default"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pPr>
      <w:r>
        <w:rPr>
          <w:rFonts w:hint="default"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t>联系电话：0396-2726379</w:t>
      </w:r>
    </w:p>
    <w:p>
      <w:pPr>
        <w:keepNext w:val="0"/>
        <w:keepLines w:val="0"/>
        <w:pageBreakBefore w:val="0"/>
        <w:widowControl/>
        <w:kinsoku/>
        <w:overflowPunct/>
        <w:topLinePunct w:val="0"/>
        <w:bidi w:val="0"/>
        <w:snapToGrid w:val="0"/>
        <w:spacing w:beforeAutospacing="0" w:afterAutospacing="0" w:line="360" w:lineRule="auto"/>
        <w:ind w:firstLine="480" w:firstLineChars="200"/>
        <w:jc w:val="left"/>
        <w:textAlignment w:val="auto"/>
        <w:rPr>
          <w:rFonts w:hint="default"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pPr>
      <w:r>
        <w:rPr>
          <w:rFonts w:hint="default"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t>联系邮箱：zxyyjzcgbgs@163.com</w:t>
      </w:r>
    </w:p>
    <w:p>
      <w:pPr>
        <w:keepNext w:val="0"/>
        <w:keepLines w:val="0"/>
        <w:pageBreakBefore w:val="0"/>
        <w:widowControl/>
        <w:kinsoku/>
        <w:overflowPunct/>
        <w:topLinePunct w:val="0"/>
        <w:bidi w:val="0"/>
        <w:snapToGrid w:val="0"/>
        <w:spacing w:beforeAutospacing="0" w:afterAutospacing="0" w:line="360" w:lineRule="auto"/>
        <w:ind w:firstLine="480" w:firstLineChars="200"/>
        <w:jc w:val="left"/>
        <w:textAlignment w:val="auto"/>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pPr>
      <w:r>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t xml:space="preserve">监督部门：驻马店市中心医院纪检监察室 </w:t>
      </w:r>
    </w:p>
    <w:p>
      <w:pPr>
        <w:keepNext w:val="0"/>
        <w:keepLines w:val="0"/>
        <w:pageBreakBefore w:val="0"/>
        <w:widowControl/>
        <w:kinsoku/>
        <w:overflowPunct/>
        <w:topLinePunct w:val="0"/>
        <w:bidi w:val="0"/>
        <w:snapToGrid w:val="0"/>
        <w:spacing w:beforeAutospacing="0" w:afterAutospacing="0" w:line="360" w:lineRule="auto"/>
        <w:ind w:firstLine="480" w:firstLineChars="200"/>
        <w:jc w:val="left"/>
        <w:textAlignment w:val="auto"/>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pPr>
      <w:r>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t xml:space="preserve">监督电话：0396-2726678 </w:t>
      </w:r>
    </w:p>
    <w:p>
      <w:pPr>
        <w:keepNext w:val="0"/>
        <w:keepLines w:val="0"/>
        <w:pageBreakBefore w:val="0"/>
        <w:widowControl/>
        <w:kinsoku/>
        <w:overflowPunct/>
        <w:topLinePunct w:val="0"/>
        <w:bidi w:val="0"/>
        <w:snapToGrid w:val="0"/>
        <w:spacing w:beforeAutospacing="0" w:afterAutospacing="0" w:line="360" w:lineRule="auto"/>
        <w:ind w:firstLine="480" w:firstLineChars="200"/>
        <w:jc w:val="right"/>
        <w:textAlignment w:val="auto"/>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pPr>
      <w:r>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t>驻马店市中心医院采购科</w:t>
      </w:r>
    </w:p>
    <w:p>
      <w:pPr>
        <w:keepNext w:val="0"/>
        <w:keepLines w:val="0"/>
        <w:pageBreakBefore w:val="0"/>
        <w:kinsoku/>
        <w:overflowPunct/>
        <w:topLinePunct w:val="0"/>
        <w:bidi w:val="0"/>
        <w:spacing w:beforeAutospacing="0" w:afterAutospacing="0" w:line="360" w:lineRule="auto"/>
        <w:jc w:val="right"/>
        <w:textAlignment w:val="auto"/>
        <w:rPr>
          <w:rFonts w:hint="eastAsia"/>
        </w:rPr>
      </w:pPr>
      <w:r>
        <w:rPr>
          <w:rFonts w:hint="eastAsia" w:ascii="宋体" w:hAnsi="宋体" w:cs="宋体"/>
          <w:color w:val="FF0000"/>
          <w:kern w:val="0"/>
          <w:sz w:val="24"/>
          <w:szCs w:val="24"/>
          <w:shd w:val="clear" w:color="auto" w:fill="FFFFFF"/>
          <w:lang w:val="en-US" w:eastAsia="zh-CN" w:bidi="ar-SA"/>
        </w:rPr>
        <w:t>2024</w:t>
      </w:r>
      <w:r>
        <w:rPr>
          <w:rFonts w:hint="eastAsia" w:ascii="宋体" w:hAnsi="宋体" w:eastAsia="宋体" w:cs="宋体"/>
          <w:color w:val="FF0000"/>
          <w:kern w:val="0"/>
          <w:sz w:val="24"/>
          <w:szCs w:val="24"/>
          <w:shd w:val="clear" w:color="auto" w:fill="FFFFFF"/>
          <w:lang w:val="en-US" w:eastAsia="zh-CN" w:bidi="ar-SA"/>
        </w:rPr>
        <w:t>年</w:t>
      </w:r>
      <w:r>
        <w:rPr>
          <w:rFonts w:hint="eastAsia" w:ascii="宋体" w:hAnsi="宋体" w:cs="宋体"/>
          <w:color w:val="FF0000"/>
          <w:kern w:val="0"/>
          <w:sz w:val="24"/>
          <w:szCs w:val="24"/>
          <w:highlight w:val="none"/>
          <w:shd w:val="clear" w:color="auto" w:fill="FFFFFF"/>
          <w:lang w:val="en-US" w:eastAsia="zh-CN" w:bidi="ar-SA"/>
        </w:rPr>
        <w:t>2</w:t>
      </w:r>
      <w:r>
        <w:rPr>
          <w:rFonts w:hint="eastAsia" w:ascii="宋体" w:hAnsi="宋体" w:eastAsia="宋体" w:cs="宋体"/>
          <w:color w:val="FF0000"/>
          <w:kern w:val="0"/>
          <w:sz w:val="24"/>
          <w:szCs w:val="24"/>
          <w:highlight w:val="none"/>
          <w:shd w:val="clear" w:color="auto" w:fill="FFFFFF"/>
          <w:lang w:val="en-US" w:eastAsia="zh-CN" w:bidi="ar-SA"/>
        </w:rPr>
        <w:t>月</w:t>
      </w:r>
      <w:r>
        <w:rPr>
          <w:rFonts w:hint="eastAsia" w:ascii="宋体" w:hAnsi="宋体" w:cs="宋体"/>
          <w:color w:val="FF0000"/>
          <w:kern w:val="0"/>
          <w:sz w:val="24"/>
          <w:szCs w:val="24"/>
          <w:highlight w:val="none"/>
          <w:shd w:val="clear" w:color="auto" w:fill="FFFFFF"/>
          <w:lang w:val="en-US" w:eastAsia="zh-CN" w:bidi="ar-SA"/>
        </w:rPr>
        <w:t>28</w:t>
      </w:r>
      <w:bookmarkStart w:id="91" w:name="_GoBack"/>
      <w:bookmarkEnd w:id="91"/>
      <w:r>
        <w:rPr>
          <w:rFonts w:hint="eastAsia" w:ascii="宋体" w:hAnsi="宋体" w:eastAsia="宋体" w:cs="宋体"/>
          <w:color w:val="FF0000"/>
          <w:kern w:val="0"/>
          <w:sz w:val="24"/>
          <w:szCs w:val="24"/>
          <w:highlight w:val="none"/>
          <w:shd w:val="clear" w:color="auto" w:fill="FFFFFF"/>
          <w:lang w:val="en-US" w:eastAsia="zh-CN" w:bidi="ar-SA"/>
        </w:rPr>
        <w:t>日</w:t>
      </w:r>
    </w:p>
    <w:p>
      <w:pPr>
        <w:pageBreakBefore w:val="0"/>
        <w:kinsoku/>
        <w:overflowPunct/>
        <w:topLinePunct w:val="0"/>
        <w:bidi w:val="0"/>
        <w:spacing w:beforeAutospacing="0" w:afterAutospacing="0" w:line="360" w:lineRule="auto"/>
        <w:rPr>
          <w:rFonts w:hint="eastAsia" w:ascii="宋体" w:hAnsi="宋体"/>
          <w:b/>
          <w:color w:val="auto"/>
          <w:sz w:val="32"/>
          <w:szCs w:val="32"/>
          <w:highlight w:val="none"/>
        </w:rPr>
      </w:pPr>
      <w:r>
        <w:rPr>
          <w:rFonts w:hint="eastAsia" w:ascii="宋体" w:hAnsi="宋体"/>
          <w:b/>
          <w:color w:val="auto"/>
          <w:sz w:val="32"/>
          <w:szCs w:val="32"/>
          <w:highlight w:val="none"/>
        </w:rPr>
        <w:br w:type="page"/>
      </w:r>
    </w:p>
    <w:p>
      <w:pPr>
        <w:pageBreakBefore w:val="0"/>
        <w:kinsoku/>
        <w:overflowPunct/>
        <w:topLinePunct w:val="0"/>
        <w:bidi w:val="0"/>
        <w:spacing w:beforeAutospacing="0" w:afterAutospacing="0" w:line="360" w:lineRule="auto"/>
        <w:jc w:val="center"/>
        <w:rPr>
          <w:rFonts w:ascii="宋体" w:hAnsi="宋体"/>
          <w:b/>
          <w:color w:val="auto"/>
          <w:sz w:val="32"/>
          <w:szCs w:val="32"/>
          <w:highlight w:val="none"/>
        </w:rPr>
      </w:pPr>
      <w:r>
        <w:rPr>
          <w:rFonts w:hint="eastAsia" w:ascii="宋体" w:hAnsi="宋体"/>
          <w:b/>
          <w:color w:val="auto"/>
          <w:sz w:val="32"/>
          <w:szCs w:val="32"/>
          <w:highlight w:val="none"/>
        </w:rPr>
        <w:t xml:space="preserve">第二章  </w:t>
      </w:r>
      <w:r>
        <w:rPr>
          <w:rFonts w:hint="eastAsia" w:ascii="宋体" w:hAnsi="宋体"/>
          <w:b/>
          <w:color w:val="auto"/>
          <w:sz w:val="32"/>
          <w:szCs w:val="32"/>
          <w:highlight w:val="none"/>
          <w:lang w:eastAsia="zh-CN"/>
        </w:rPr>
        <w:t>采购</w:t>
      </w:r>
      <w:r>
        <w:rPr>
          <w:rFonts w:hint="eastAsia" w:ascii="宋体" w:hAnsi="宋体"/>
          <w:b/>
          <w:color w:val="auto"/>
          <w:sz w:val="32"/>
          <w:szCs w:val="32"/>
          <w:highlight w:val="none"/>
        </w:rPr>
        <w:t>需求</w:t>
      </w:r>
      <w:bookmarkEnd w:id="5"/>
      <w:bookmarkStart w:id="37" w:name="_Toc31536"/>
      <w:bookmarkStart w:id="38" w:name="_Toc23610"/>
      <w:bookmarkStart w:id="39" w:name="_Toc9989"/>
    </w:p>
    <w:bookmarkEnd w:id="37"/>
    <w:bookmarkEnd w:id="38"/>
    <w:bookmarkEnd w:id="39"/>
    <w:p>
      <w:pPr>
        <w:keepNext w:val="0"/>
        <w:keepLines w:val="0"/>
        <w:pageBreakBefore w:val="0"/>
        <w:widowControl/>
        <w:kinsoku/>
        <w:wordWrap/>
        <w:overflowPunct/>
        <w:topLinePunct w:val="0"/>
        <w:autoSpaceDE/>
        <w:autoSpaceDN/>
        <w:bidi w:val="0"/>
        <w:adjustRightInd/>
        <w:snapToGrid w:val="0"/>
        <w:spacing w:beforeAutospacing="0" w:afterAutospacing="0" w:line="360" w:lineRule="auto"/>
        <w:ind w:left="0" w:leftChars="0" w:firstLine="0" w:firstLineChars="0"/>
        <w:jc w:val="left"/>
        <w:textAlignment w:val="auto"/>
        <w:rPr>
          <w:rFonts w:hint="eastAsia" w:ascii="宋体" w:hAnsi="宋体" w:eastAsia="宋体" w:cs="宋体"/>
          <w:b/>
          <w:bCs/>
          <w:color w:val="auto"/>
          <w:kern w:val="0"/>
          <w:sz w:val="24"/>
          <w:szCs w:val="24"/>
          <w:highlight w:val="none"/>
          <w:shd w:val="clear" w:color="auto" w:fill="FFFFFF"/>
          <w:lang w:val="en-US" w:eastAsia="zh-CN" w:bidi="ar-SA"/>
        </w:rPr>
      </w:pPr>
      <w:r>
        <w:rPr>
          <w:rFonts w:hint="eastAsia" w:ascii="宋体" w:hAnsi="宋体" w:eastAsia="宋体" w:cs="宋体"/>
          <w:b/>
          <w:bCs/>
          <w:color w:val="auto"/>
          <w:kern w:val="0"/>
          <w:sz w:val="24"/>
          <w:szCs w:val="24"/>
          <w:highlight w:val="none"/>
          <w:shd w:val="clear" w:color="auto" w:fill="FFFFFF"/>
          <w:lang w:val="en-US" w:eastAsia="zh-CN" w:bidi="ar-SA"/>
        </w:rPr>
        <w:t>一、项目名称、数量：</w:t>
      </w:r>
      <w:r>
        <w:rPr>
          <w:rFonts w:hint="eastAsia" w:ascii="宋体" w:hAnsi="宋体" w:eastAsia="宋体" w:cs="宋体"/>
          <w:b w:val="0"/>
          <w:bCs w:val="0"/>
          <w:color w:val="auto"/>
          <w:kern w:val="0"/>
          <w:sz w:val="24"/>
          <w:szCs w:val="24"/>
          <w:highlight w:val="none"/>
          <w:u w:val="single"/>
          <w:shd w:val="clear" w:color="auto" w:fill="FFFFFF"/>
          <w:lang w:val="en-US" w:eastAsia="zh-CN" w:bidi="ar-SA"/>
        </w:rPr>
        <w:t>驻马店市中心医院</w:t>
      </w:r>
      <w:r>
        <w:rPr>
          <w:rFonts w:hint="eastAsia" w:ascii="宋体" w:hAnsi="宋体" w:cs="宋体"/>
          <w:b w:val="0"/>
          <w:bCs w:val="0"/>
          <w:color w:val="auto"/>
          <w:kern w:val="0"/>
          <w:sz w:val="24"/>
          <w:szCs w:val="24"/>
          <w:highlight w:val="none"/>
          <w:u w:val="single"/>
          <w:shd w:val="clear" w:color="auto" w:fill="FFFFFF"/>
          <w:lang w:val="en-US" w:eastAsia="zh-CN" w:bidi="ar-SA"/>
        </w:rPr>
        <w:t>核酸扩增分析仪、呼气分析仪采购项目</w:t>
      </w:r>
      <w:r>
        <w:rPr>
          <w:rFonts w:hint="eastAsia" w:ascii="宋体" w:hAnsi="宋体" w:eastAsia="宋体" w:cs="宋体"/>
          <w:b w:val="0"/>
          <w:bCs w:val="0"/>
          <w:color w:val="auto"/>
          <w:kern w:val="0"/>
          <w:sz w:val="24"/>
          <w:szCs w:val="24"/>
          <w:highlight w:val="none"/>
          <w:u w:val="single"/>
          <w:shd w:val="clear" w:color="auto" w:fill="FFFFFF"/>
          <w:lang w:val="en-US" w:eastAsia="zh-CN" w:bidi="ar-SA"/>
        </w:rPr>
        <w:t>。</w:t>
      </w:r>
      <w:r>
        <w:rPr>
          <w:rFonts w:hint="eastAsia" w:ascii="宋体" w:hAnsi="宋体" w:eastAsia="宋体" w:cs="宋体"/>
          <w:b/>
          <w:bCs/>
          <w:color w:val="auto"/>
          <w:kern w:val="0"/>
          <w:sz w:val="24"/>
          <w:szCs w:val="24"/>
          <w:highlight w:val="none"/>
          <w:shd w:val="clear" w:color="auto" w:fill="FFFFFF"/>
          <w:lang w:val="en-US" w:eastAsia="zh-CN" w:bidi="ar-SA"/>
        </w:rPr>
        <w:t xml:space="preserve"> </w:t>
      </w:r>
    </w:p>
    <w:p>
      <w:pPr>
        <w:keepNext w:val="0"/>
        <w:keepLines w:val="0"/>
        <w:pageBreakBefore w:val="0"/>
        <w:widowControl/>
        <w:kinsoku/>
        <w:wordWrap/>
        <w:overflowPunct/>
        <w:topLinePunct w:val="0"/>
        <w:autoSpaceDE/>
        <w:autoSpaceDN/>
        <w:bidi w:val="0"/>
        <w:adjustRightInd/>
        <w:snapToGrid w:val="0"/>
        <w:spacing w:beforeAutospacing="0" w:afterAutospacing="0" w:line="360" w:lineRule="auto"/>
        <w:ind w:left="0" w:leftChars="0" w:firstLine="0" w:firstLineChars="0"/>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b/>
          <w:bCs/>
          <w:kern w:val="2"/>
          <w:sz w:val="24"/>
          <w:szCs w:val="24"/>
          <w:lang w:val="en-US" w:eastAsia="zh-CN" w:bidi="ar-SA"/>
        </w:rPr>
        <w:t>二、项目用途说明：</w:t>
      </w:r>
      <w:r>
        <w:rPr>
          <w:rFonts w:hint="eastAsia" w:ascii="宋体" w:hAnsi="宋体" w:eastAsia="宋体" w:cs="宋体"/>
          <w:b w:val="0"/>
          <w:bCs w:val="0"/>
          <w:kern w:val="2"/>
          <w:sz w:val="24"/>
          <w:szCs w:val="24"/>
          <w:u w:val="single"/>
          <w:lang w:val="en-US" w:eastAsia="zh-CN" w:bidi="ar-SA"/>
        </w:rPr>
        <w:t>/</w:t>
      </w:r>
      <w:r>
        <w:rPr>
          <w:rFonts w:hint="eastAsia" w:ascii="宋体" w:hAnsi="宋体" w:eastAsia="宋体" w:cs="宋体"/>
          <w:kern w:val="2"/>
          <w:sz w:val="24"/>
          <w:szCs w:val="24"/>
          <w:lang w:val="en-US" w:eastAsia="zh-CN" w:bidi="ar-SA"/>
        </w:rPr>
        <w:t xml:space="preserve">                      </w:t>
      </w:r>
    </w:p>
    <w:p>
      <w:pPr>
        <w:keepNext w:val="0"/>
        <w:keepLines w:val="0"/>
        <w:pageBreakBefore w:val="0"/>
        <w:widowControl/>
        <w:kinsoku/>
        <w:wordWrap/>
        <w:overflowPunct/>
        <w:topLinePunct w:val="0"/>
        <w:autoSpaceDE/>
        <w:autoSpaceDN/>
        <w:bidi w:val="0"/>
        <w:adjustRightInd/>
        <w:snapToGrid w:val="0"/>
        <w:spacing w:beforeAutospacing="0" w:afterAutospacing="0" w:line="360" w:lineRule="auto"/>
        <w:ind w:left="420" w:hanging="482" w:hangingChars="200"/>
        <w:jc w:val="left"/>
        <w:textAlignment w:val="auto"/>
        <w:rPr>
          <w:rFonts w:hint="eastAsia" w:ascii="宋体" w:hAnsi="宋体" w:eastAsia="宋体" w:cs="宋体"/>
          <w:b/>
          <w:bCs/>
          <w:color w:val="auto"/>
          <w:kern w:val="0"/>
          <w:sz w:val="24"/>
          <w:szCs w:val="24"/>
          <w:shd w:val="clear" w:color="auto" w:fill="FFFFFF"/>
          <w:lang w:val="en-US" w:eastAsia="zh-CN" w:bidi="ar-SA"/>
        </w:rPr>
      </w:pPr>
      <w:r>
        <w:rPr>
          <w:rFonts w:hint="eastAsia" w:ascii="宋体" w:hAnsi="宋体" w:eastAsia="宋体" w:cs="宋体"/>
          <w:b/>
          <w:bCs/>
          <w:color w:val="auto"/>
          <w:kern w:val="0"/>
          <w:sz w:val="24"/>
          <w:szCs w:val="24"/>
          <w:shd w:val="clear" w:color="auto" w:fill="FFFFFF"/>
          <w:lang w:val="en-US" w:eastAsia="zh-CN" w:bidi="ar-SA"/>
        </w:rPr>
        <w:t>三、配置规格、附件及零配件（包括专用工具）：</w:t>
      </w:r>
    </w:p>
    <w:tbl>
      <w:tblPr>
        <w:tblStyle w:val="33"/>
        <w:tblW w:w="9113" w:type="dxa"/>
        <w:tblInd w:w="5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4"/>
        <w:gridCol w:w="730"/>
        <w:gridCol w:w="2267"/>
        <w:gridCol w:w="1000"/>
        <w:gridCol w:w="1027"/>
        <w:gridCol w:w="1933"/>
        <w:gridCol w:w="1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7" w:hRule="atLeast"/>
        </w:trPr>
        <w:tc>
          <w:tcPr>
            <w:tcW w:w="744" w:type="dxa"/>
            <w:vAlign w:val="center"/>
          </w:tcPr>
          <w:p>
            <w:pPr>
              <w:pStyle w:val="11"/>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sz w:val="24"/>
                <w:szCs w:val="24"/>
                <w:vertAlign w:val="baseline"/>
                <w:lang w:val="en-US" w:eastAsia="zh-CN"/>
              </w:rPr>
            </w:pPr>
            <w:r>
              <w:rPr>
                <w:rFonts w:hint="eastAsia" w:ascii="仿宋" w:hAnsi="仿宋" w:eastAsia="仿宋" w:cs="仿宋"/>
                <w:b/>
                <w:bCs/>
                <w:sz w:val="24"/>
                <w:szCs w:val="24"/>
                <w:lang w:val="en-US" w:eastAsia="zh-CN"/>
              </w:rPr>
              <w:t>包号</w:t>
            </w:r>
          </w:p>
        </w:tc>
        <w:tc>
          <w:tcPr>
            <w:tcW w:w="730" w:type="dxa"/>
            <w:vAlign w:val="center"/>
          </w:tcPr>
          <w:p>
            <w:pPr>
              <w:pStyle w:val="11"/>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sz w:val="24"/>
                <w:szCs w:val="24"/>
                <w:vertAlign w:val="baseline"/>
                <w:lang w:val="en-US" w:eastAsia="zh-CN"/>
              </w:rPr>
            </w:pPr>
            <w:r>
              <w:rPr>
                <w:rFonts w:hint="eastAsia" w:ascii="仿宋" w:hAnsi="仿宋" w:eastAsia="仿宋" w:cs="仿宋"/>
                <w:b/>
                <w:bCs/>
                <w:sz w:val="24"/>
                <w:szCs w:val="24"/>
              </w:rPr>
              <w:t>序号</w:t>
            </w:r>
          </w:p>
        </w:tc>
        <w:tc>
          <w:tcPr>
            <w:tcW w:w="2267" w:type="dxa"/>
            <w:vAlign w:val="center"/>
          </w:tcPr>
          <w:p>
            <w:pPr>
              <w:pStyle w:val="11"/>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sz w:val="24"/>
                <w:szCs w:val="24"/>
                <w:vertAlign w:val="baseline"/>
                <w:lang w:val="en-US" w:eastAsia="zh-CN"/>
              </w:rPr>
            </w:pPr>
            <w:r>
              <w:rPr>
                <w:rFonts w:hint="eastAsia" w:ascii="仿宋" w:hAnsi="仿宋" w:eastAsia="仿宋" w:cs="仿宋"/>
                <w:b/>
                <w:bCs/>
                <w:sz w:val="24"/>
                <w:szCs w:val="24"/>
              </w:rPr>
              <w:t>标的名称</w:t>
            </w:r>
          </w:p>
        </w:tc>
        <w:tc>
          <w:tcPr>
            <w:tcW w:w="1000" w:type="dxa"/>
            <w:vAlign w:val="center"/>
          </w:tcPr>
          <w:p>
            <w:pPr>
              <w:pStyle w:val="11"/>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sz w:val="24"/>
                <w:szCs w:val="24"/>
                <w:vertAlign w:val="baseline"/>
                <w:lang w:val="en-US" w:eastAsia="zh-CN"/>
              </w:rPr>
            </w:pPr>
            <w:r>
              <w:rPr>
                <w:rFonts w:hint="eastAsia" w:ascii="仿宋" w:hAnsi="仿宋" w:eastAsia="仿宋" w:cs="仿宋"/>
                <w:b/>
                <w:bCs/>
                <w:sz w:val="24"/>
                <w:szCs w:val="24"/>
                <w:lang w:val="en-US" w:eastAsia="zh-CN"/>
              </w:rPr>
              <w:t>单位</w:t>
            </w:r>
          </w:p>
        </w:tc>
        <w:tc>
          <w:tcPr>
            <w:tcW w:w="1027" w:type="dxa"/>
            <w:vAlign w:val="center"/>
          </w:tcPr>
          <w:p>
            <w:pPr>
              <w:pStyle w:val="11"/>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sz w:val="24"/>
                <w:szCs w:val="24"/>
                <w:vertAlign w:val="baseline"/>
                <w:lang w:val="en-US" w:eastAsia="zh-CN"/>
              </w:rPr>
            </w:pPr>
            <w:r>
              <w:rPr>
                <w:rFonts w:hint="eastAsia" w:ascii="仿宋" w:hAnsi="仿宋" w:eastAsia="仿宋" w:cs="仿宋"/>
                <w:b/>
                <w:bCs/>
                <w:sz w:val="24"/>
                <w:szCs w:val="24"/>
              </w:rPr>
              <w:t>数量</w:t>
            </w:r>
          </w:p>
        </w:tc>
        <w:tc>
          <w:tcPr>
            <w:tcW w:w="1933" w:type="dxa"/>
            <w:vAlign w:val="center"/>
          </w:tcPr>
          <w:p>
            <w:pPr>
              <w:pStyle w:val="11"/>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sz w:val="24"/>
                <w:szCs w:val="24"/>
                <w:vertAlign w:val="baseline"/>
                <w:lang w:val="en-US" w:eastAsia="zh-CN"/>
              </w:rPr>
            </w:pPr>
            <w:r>
              <w:rPr>
                <w:rFonts w:hint="eastAsia" w:ascii="仿宋" w:hAnsi="仿宋" w:eastAsia="仿宋" w:cs="仿宋"/>
                <w:b/>
                <w:bCs/>
                <w:sz w:val="24"/>
                <w:szCs w:val="24"/>
              </w:rPr>
              <w:t>资金预算</w:t>
            </w:r>
          </w:p>
        </w:tc>
        <w:tc>
          <w:tcPr>
            <w:tcW w:w="1412" w:type="dxa"/>
            <w:vAlign w:val="center"/>
          </w:tcPr>
          <w:p>
            <w:pPr>
              <w:pStyle w:val="11"/>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b/>
                <w:bCs/>
                <w:sz w:val="24"/>
                <w:szCs w:val="24"/>
                <w:lang w:val="en-US" w:eastAsia="zh-CN"/>
              </w:rPr>
            </w:pPr>
            <w:r>
              <w:rPr>
                <w:rFonts w:hint="eastAsia" w:ascii="仿宋" w:hAnsi="仿宋" w:eastAsia="仿宋" w:cs="仿宋"/>
                <w:b/>
                <w:bCs/>
                <w:sz w:val="24"/>
                <w:szCs w:val="24"/>
                <w:lang w:val="en-US" w:eastAsia="zh-CN"/>
              </w:rPr>
              <w:t>资金性质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744"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A</w:t>
            </w:r>
          </w:p>
        </w:tc>
        <w:tc>
          <w:tcPr>
            <w:tcW w:w="73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w:t>
            </w:r>
          </w:p>
        </w:tc>
        <w:tc>
          <w:tcPr>
            <w:tcW w:w="226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核酸扩增分析仪</w:t>
            </w:r>
          </w:p>
        </w:tc>
        <w:tc>
          <w:tcPr>
            <w:tcW w:w="100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台</w:t>
            </w:r>
          </w:p>
        </w:tc>
        <w:tc>
          <w:tcPr>
            <w:tcW w:w="102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w:t>
            </w:r>
          </w:p>
        </w:tc>
        <w:tc>
          <w:tcPr>
            <w:tcW w:w="1933"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2.56万元</w:t>
            </w:r>
          </w:p>
        </w:tc>
        <w:tc>
          <w:tcPr>
            <w:tcW w:w="141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自筹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744"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B</w:t>
            </w:r>
          </w:p>
        </w:tc>
        <w:tc>
          <w:tcPr>
            <w:tcW w:w="73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w:t>
            </w:r>
          </w:p>
        </w:tc>
        <w:tc>
          <w:tcPr>
            <w:tcW w:w="226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呼气分析仪</w:t>
            </w:r>
          </w:p>
        </w:tc>
        <w:tc>
          <w:tcPr>
            <w:tcW w:w="100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台</w:t>
            </w:r>
          </w:p>
        </w:tc>
        <w:tc>
          <w:tcPr>
            <w:tcW w:w="102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w:t>
            </w:r>
          </w:p>
        </w:tc>
        <w:tc>
          <w:tcPr>
            <w:tcW w:w="1933"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3.8万元</w:t>
            </w:r>
          </w:p>
        </w:tc>
        <w:tc>
          <w:tcPr>
            <w:tcW w:w="141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自筹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4"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合计</w:t>
            </w:r>
          </w:p>
        </w:tc>
        <w:tc>
          <w:tcPr>
            <w:tcW w:w="73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b/>
                <w:bCs/>
                <w:sz w:val="24"/>
                <w:szCs w:val="24"/>
                <w:vertAlign w:val="baseline"/>
                <w:lang w:val="en-US" w:eastAsia="zh-CN"/>
              </w:rPr>
            </w:pPr>
          </w:p>
        </w:tc>
        <w:tc>
          <w:tcPr>
            <w:tcW w:w="226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b/>
                <w:bCs/>
                <w:sz w:val="24"/>
                <w:szCs w:val="24"/>
                <w:vertAlign w:val="baseline"/>
                <w:lang w:val="en-US" w:eastAsia="zh-CN"/>
              </w:rPr>
            </w:pPr>
          </w:p>
        </w:tc>
        <w:tc>
          <w:tcPr>
            <w:tcW w:w="100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b/>
                <w:bCs/>
                <w:sz w:val="24"/>
                <w:szCs w:val="24"/>
                <w:vertAlign w:val="baseline"/>
                <w:lang w:val="en-US" w:eastAsia="zh-CN"/>
              </w:rPr>
            </w:pPr>
          </w:p>
        </w:tc>
        <w:tc>
          <w:tcPr>
            <w:tcW w:w="102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b/>
                <w:bCs/>
                <w:sz w:val="24"/>
                <w:szCs w:val="24"/>
                <w:vertAlign w:val="baseline"/>
                <w:lang w:val="en-US" w:eastAsia="zh-CN"/>
              </w:rPr>
            </w:pPr>
          </w:p>
        </w:tc>
        <w:tc>
          <w:tcPr>
            <w:tcW w:w="1933"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b/>
                <w:bCs/>
                <w:sz w:val="24"/>
                <w:szCs w:val="24"/>
                <w:vertAlign w:val="baseline"/>
                <w:lang w:val="en-US" w:eastAsia="zh-CN"/>
              </w:rPr>
            </w:pPr>
            <w:r>
              <w:rPr>
                <w:rFonts w:hint="eastAsia" w:ascii="宋体" w:hAnsi="宋体" w:cs="宋体"/>
                <w:sz w:val="24"/>
                <w:szCs w:val="24"/>
                <w:vertAlign w:val="baseline"/>
                <w:lang w:val="en-US" w:eastAsia="zh-CN"/>
              </w:rPr>
              <w:t>6.36</w:t>
            </w:r>
            <w:r>
              <w:rPr>
                <w:rFonts w:hint="eastAsia" w:ascii="宋体" w:hAnsi="宋体" w:eastAsia="宋体" w:cs="宋体"/>
                <w:sz w:val="24"/>
                <w:szCs w:val="24"/>
                <w:vertAlign w:val="baseline"/>
                <w:lang w:val="en-US" w:eastAsia="zh-CN"/>
              </w:rPr>
              <w:t>万元</w:t>
            </w:r>
          </w:p>
        </w:tc>
        <w:tc>
          <w:tcPr>
            <w:tcW w:w="141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b/>
                <w:bCs/>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4"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备注</w:t>
            </w:r>
          </w:p>
        </w:tc>
        <w:tc>
          <w:tcPr>
            <w:tcW w:w="6957" w:type="dxa"/>
            <w:gridSpan w:val="5"/>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b/>
                <w:bCs/>
                <w:sz w:val="24"/>
                <w:szCs w:val="24"/>
                <w:vertAlign w:val="baseline"/>
                <w:lang w:val="en-US" w:eastAsia="zh-CN"/>
              </w:rPr>
            </w:pPr>
          </w:p>
        </w:tc>
        <w:tc>
          <w:tcPr>
            <w:tcW w:w="141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b/>
                <w:bCs/>
                <w:sz w:val="24"/>
                <w:szCs w:val="24"/>
                <w:vertAlign w:val="baseline"/>
                <w:lang w:val="en-US" w:eastAsia="zh-CN"/>
              </w:rPr>
            </w:pPr>
          </w:p>
        </w:tc>
      </w:tr>
    </w:tbl>
    <w:p>
      <w:pPr>
        <w:keepNext w:val="0"/>
        <w:keepLines w:val="0"/>
        <w:pageBreakBefore w:val="0"/>
        <w:numPr>
          <w:ilvl w:val="0"/>
          <w:numId w:val="0"/>
        </w:numPr>
        <w:kinsoku/>
        <w:wordWrap/>
        <w:overflowPunct/>
        <w:topLinePunct w:val="0"/>
        <w:autoSpaceDE/>
        <w:autoSpaceDN/>
        <w:bidi w:val="0"/>
        <w:adjustRightInd/>
        <w:spacing w:beforeAutospacing="0" w:afterAutospacing="0" w:line="360" w:lineRule="auto"/>
        <w:textAlignment w:val="auto"/>
        <w:rPr>
          <w:rFonts w:hint="eastAsia" w:ascii="宋体" w:hAnsi="宋体" w:eastAsia="宋体" w:cs="宋体"/>
          <w:b/>
          <w:bCs/>
          <w:color w:val="auto"/>
          <w:kern w:val="0"/>
          <w:sz w:val="24"/>
          <w:szCs w:val="24"/>
          <w:highlight w:val="none"/>
          <w:shd w:val="clear" w:color="auto" w:fill="FFFFFF"/>
          <w:lang w:val="en-US" w:eastAsia="zh-CN" w:bidi="ar-SA"/>
        </w:rPr>
      </w:pPr>
      <w:r>
        <w:rPr>
          <w:rFonts w:hint="eastAsia" w:ascii="宋体" w:hAnsi="宋体" w:eastAsia="宋体" w:cs="宋体"/>
          <w:b/>
          <w:bCs/>
          <w:kern w:val="2"/>
          <w:sz w:val="24"/>
          <w:szCs w:val="24"/>
          <w:highlight w:val="none"/>
          <w:lang w:val="en-US" w:eastAsia="zh-CN" w:bidi="ar-SA"/>
        </w:rPr>
        <w:t>四、技术</w:t>
      </w:r>
      <w:r>
        <w:rPr>
          <w:rFonts w:hint="eastAsia" w:ascii="宋体" w:hAnsi="宋体" w:cs="宋体"/>
          <w:b/>
          <w:bCs/>
          <w:kern w:val="2"/>
          <w:sz w:val="24"/>
          <w:szCs w:val="24"/>
          <w:highlight w:val="none"/>
          <w:lang w:val="en-US" w:eastAsia="zh-CN" w:bidi="ar-SA"/>
        </w:rPr>
        <w:t>参数</w:t>
      </w:r>
      <w:r>
        <w:rPr>
          <w:rFonts w:hint="eastAsia" w:ascii="宋体" w:hAnsi="宋体" w:eastAsia="宋体" w:cs="宋体"/>
          <w:b/>
          <w:bCs/>
          <w:kern w:val="2"/>
          <w:sz w:val="24"/>
          <w:szCs w:val="24"/>
          <w:highlight w:val="none"/>
          <w:lang w:val="en-US" w:eastAsia="zh-CN" w:bidi="ar-SA"/>
        </w:rPr>
        <w:t>要求</w:t>
      </w:r>
      <w:r>
        <w:rPr>
          <w:rFonts w:hint="eastAsia" w:ascii="宋体" w:hAnsi="宋体" w:eastAsia="宋体" w:cs="宋体"/>
          <w:b/>
          <w:bCs/>
          <w:color w:val="auto"/>
          <w:kern w:val="0"/>
          <w:sz w:val="24"/>
          <w:szCs w:val="24"/>
          <w:highlight w:val="none"/>
          <w:shd w:val="clear" w:color="auto" w:fill="FFFFFF"/>
          <w:lang w:val="en-US" w:eastAsia="zh-CN" w:bidi="ar-SA"/>
        </w:rPr>
        <w:t>：</w:t>
      </w:r>
      <w:bookmarkEnd w:id="6"/>
      <w:bookmarkEnd w:id="7"/>
    </w:p>
    <w:p>
      <w:pPr>
        <w:keepNext w:val="0"/>
        <w:keepLines w:val="0"/>
        <w:pageBreakBefore w:val="0"/>
        <w:kinsoku/>
        <w:wordWrap/>
        <w:overflowPunct/>
        <w:topLinePunct w:val="0"/>
        <w:autoSpaceDE/>
        <w:autoSpaceDN/>
        <w:bidi w:val="0"/>
        <w:adjustRightInd/>
        <w:spacing w:beforeAutospacing="0" w:afterAutospacing="0" w:line="360" w:lineRule="auto"/>
        <w:ind w:left="99" w:leftChars="47" w:right="84" w:rightChars="40" w:firstLine="241" w:firstLineChars="100"/>
        <w:jc w:val="center"/>
        <w:textAlignment w:val="auto"/>
        <w:rPr>
          <w:rFonts w:hint="eastAsia" w:ascii="宋体" w:hAnsi="宋体" w:eastAsia="宋体" w:cs="宋体"/>
          <w:b/>
          <w:bCs/>
          <w:kern w:val="2"/>
          <w:sz w:val="24"/>
          <w:szCs w:val="24"/>
          <w:lang w:val="zh-CN" w:eastAsia="zh-CN" w:bidi="ar-SA"/>
        </w:rPr>
      </w:pPr>
      <w:r>
        <w:rPr>
          <w:rFonts w:hint="eastAsia" w:ascii="宋体" w:hAnsi="宋体" w:cs="宋体"/>
          <w:b/>
          <w:bCs/>
          <w:kern w:val="2"/>
          <w:sz w:val="24"/>
          <w:szCs w:val="24"/>
          <w:lang w:val="en-US" w:eastAsia="zh-CN" w:bidi="ar-SA"/>
        </w:rPr>
        <w:t>A包：</w:t>
      </w:r>
      <w:r>
        <w:rPr>
          <w:rFonts w:hint="eastAsia" w:ascii="宋体" w:hAnsi="宋体" w:eastAsia="宋体" w:cs="宋体"/>
          <w:b/>
          <w:bCs/>
          <w:kern w:val="2"/>
          <w:sz w:val="24"/>
          <w:szCs w:val="24"/>
          <w:lang w:val="zh-CN" w:eastAsia="zh-CN" w:bidi="ar-SA"/>
        </w:rPr>
        <w:t>核酸扩增分析仪技术参数</w:t>
      </w:r>
    </w:p>
    <w:p>
      <w:pPr>
        <w:keepNext w:val="0"/>
        <w:keepLines w:val="0"/>
        <w:pageBreakBefore w:val="0"/>
        <w:kinsoku/>
        <w:wordWrap/>
        <w:overflowPunct/>
        <w:topLinePunct w:val="0"/>
        <w:autoSpaceDE/>
        <w:autoSpaceDN/>
        <w:bidi w:val="0"/>
        <w:adjustRightInd/>
        <w:spacing w:beforeAutospacing="0" w:afterAutospacing="0" w:line="360" w:lineRule="auto"/>
        <w:ind w:left="99" w:leftChars="47" w:right="84" w:rightChars="40" w:firstLine="240" w:firstLineChars="100"/>
        <w:textAlignment w:val="auto"/>
        <w:rPr>
          <w:rFonts w:hint="eastAsia" w:ascii="宋体" w:hAnsi="宋体" w:eastAsia="宋体" w:cs="宋体"/>
          <w:kern w:val="2"/>
          <w:sz w:val="24"/>
          <w:szCs w:val="24"/>
          <w:lang w:val="zh-CN" w:eastAsia="zh-CN" w:bidi="ar-SA"/>
        </w:rPr>
      </w:pPr>
      <w:r>
        <w:rPr>
          <w:rFonts w:hint="eastAsia" w:ascii="宋体" w:hAnsi="宋体" w:eastAsia="宋体" w:cs="宋体"/>
          <w:kern w:val="2"/>
          <w:sz w:val="24"/>
          <w:szCs w:val="24"/>
          <w:lang w:val="zh-CN" w:eastAsia="zh-CN" w:bidi="ar-SA"/>
        </w:rPr>
        <w:t>1、样本为：人口腔黏膜脱落细胞；一次检测数量：≥12个位点；检测项目：CYP2C19基因多态性检测，</w:t>
      </w:r>
    </w:p>
    <w:p>
      <w:pPr>
        <w:keepNext w:val="0"/>
        <w:keepLines w:val="0"/>
        <w:pageBreakBefore w:val="0"/>
        <w:kinsoku/>
        <w:wordWrap/>
        <w:overflowPunct/>
        <w:topLinePunct w:val="0"/>
        <w:autoSpaceDE/>
        <w:autoSpaceDN/>
        <w:bidi w:val="0"/>
        <w:adjustRightInd/>
        <w:spacing w:beforeAutospacing="0" w:afterAutospacing="0" w:line="360" w:lineRule="auto"/>
        <w:ind w:left="99" w:leftChars="47" w:right="84" w:rightChars="40" w:firstLine="240" w:firstLineChars="100"/>
        <w:textAlignment w:val="auto"/>
        <w:rPr>
          <w:rFonts w:hint="eastAsia" w:ascii="宋体" w:hAnsi="宋体" w:eastAsia="宋体" w:cs="宋体"/>
          <w:kern w:val="2"/>
          <w:sz w:val="24"/>
          <w:szCs w:val="24"/>
          <w:lang w:val="zh-CN" w:eastAsia="zh-CN" w:bidi="ar-SA"/>
        </w:rPr>
      </w:pPr>
      <w:r>
        <w:rPr>
          <w:rFonts w:hint="eastAsia" w:ascii="宋体" w:hAnsi="宋体" w:eastAsia="宋体" w:cs="宋体"/>
          <w:kern w:val="2"/>
          <w:sz w:val="24"/>
          <w:szCs w:val="24"/>
          <w:lang w:val="zh-CN" w:eastAsia="zh-CN" w:bidi="ar-SA"/>
        </w:rPr>
        <w:t>2、配备PCR医用分析软件系统、智能分析软件。</w:t>
      </w:r>
    </w:p>
    <w:p>
      <w:pPr>
        <w:keepNext w:val="0"/>
        <w:keepLines w:val="0"/>
        <w:pageBreakBefore w:val="0"/>
        <w:kinsoku/>
        <w:wordWrap/>
        <w:overflowPunct/>
        <w:topLinePunct w:val="0"/>
        <w:autoSpaceDE/>
        <w:autoSpaceDN/>
        <w:bidi w:val="0"/>
        <w:adjustRightInd/>
        <w:spacing w:beforeAutospacing="0" w:afterAutospacing="0" w:line="360" w:lineRule="auto"/>
        <w:ind w:left="99" w:leftChars="47" w:right="84" w:rightChars="40" w:firstLine="240" w:firstLineChars="100"/>
        <w:textAlignment w:val="auto"/>
        <w:rPr>
          <w:rFonts w:hint="eastAsia" w:ascii="宋体" w:hAnsi="宋体" w:eastAsia="宋体" w:cs="宋体"/>
          <w:kern w:val="2"/>
          <w:sz w:val="24"/>
          <w:szCs w:val="24"/>
          <w:lang w:val="zh-CN" w:eastAsia="zh-CN" w:bidi="ar-SA"/>
        </w:rPr>
      </w:pPr>
      <w:r>
        <w:rPr>
          <w:rFonts w:hint="eastAsia" w:ascii="宋体" w:hAnsi="宋体" w:eastAsia="宋体" w:cs="宋体"/>
          <w:kern w:val="2"/>
          <w:sz w:val="24"/>
          <w:szCs w:val="24"/>
          <w:lang w:val="zh-CN" w:eastAsia="zh-CN" w:bidi="ar-SA"/>
        </w:rPr>
        <w:t>3、温度特性</w:t>
      </w:r>
    </w:p>
    <w:p>
      <w:pPr>
        <w:keepNext w:val="0"/>
        <w:keepLines w:val="0"/>
        <w:pageBreakBefore w:val="0"/>
        <w:kinsoku/>
        <w:wordWrap/>
        <w:overflowPunct/>
        <w:topLinePunct w:val="0"/>
        <w:autoSpaceDE/>
        <w:autoSpaceDN/>
        <w:bidi w:val="0"/>
        <w:adjustRightInd/>
        <w:spacing w:beforeAutospacing="0" w:afterAutospacing="0" w:line="360" w:lineRule="auto"/>
        <w:ind w:left="99" w:leftChars="47" w:right="84" w:rightChars="40" w:firstLine="240" w:firstLineChars="100"/>
        <w:textAlignment w:val="auto"/>
        <w:rPr>
          <w:rFonts w:hint="eastAsia" w:ascii="宋体" w:hAnsi="宋体" w:eastAsia="宋体" w:cs="宋体"/>
          <w:kern w:val="2"/>
          <w:sz w:val="24"/>
          <w:szCs w:val="24"/>
          <w:lang w:val="zh-CN" w:eastAsia="zh-CN" w:bidi="ar-SA"/>
        </w:rPr>
      </w:pPr>
      <w:r>
        <w:rPr>
          <w:rFonts w:hint="eastAsia" w:ascii="宋体" w:hAnsi="宋体" w:eastAsia="宋体" w:cs="宋体"/>
          <w:kern w:val="2"/>
          <w:sz w:val="24"/>
          <w:szCs w:val="24"/>
          <w:lang w:val="zh-CN" w:eastAsia="zh-CN" w:bidi="ar-SA"/>
        </w:rPr>
        <w:t xml:space="preserve">控温范围 34.9℃～99.9℃ </w:t>
      </w:r>
    </w:p>
    <w:p>
      <w:pPr>
        <w:keepNext w:val="0"/>
        <w:keepLines w:val="0"/>
        <w:pageBreakBefore w:val="0"/>
        <w:kinsoku/>
        <w:wordWrap/>
        <w:overflowPunct/>
        <w:topLinePunct w:val="0"/>
        <w:autoSpaceDE/>
        <w:autoSpaceDN/>
        <w:bidi w:val="0"/>
        <w:adjustRightInd/>
        <w:spacing w:beforeAutospacing="0" w:afterAutospacing="0" w:line="360" w:lineRule="auto"/>
        <w:ind w:left="99" w:leftChars="47" w:right="84" w:rightChars="40" w:firstLine="240" w:firstLineChars="100"/>
        <w:textAlignment w:val="auto"/>
        <w:rPr>
          <w:rFonts w:hint="eastAsia" w:ascii="宋体" w:hAnsi="宋体" w:eastAsia="宋体" w:cs="宋体"/>
          <w:kern w:val="2"/>
          <w:sz w:val="24"/>
          <w:szCs w:val="24"/>
          <w:lang w:val="zh-CN" w:eastAsia="zh-CN" w:bidi="ar-SA"/>
        </w:rPr>
      </w:pPr>
      <w:r>
        <w:rPr>
          <w:rFonts w:hint="eastAsia" w:ascii="宋体" w:hAnsi="宋体" w:eastAsia="宋体" w:cs="宋体"/>
          <w:kern w:val="2"/>
          <w:sz w:val="24"/>
          <w:szCs w:val="24"/>
          <w:lang w:val="zh-CN" w:eastAsia="zh-CN" w:bidi="ar-SA"/>
        </w:rPr>
        <w:t xml:space="preserve"> 平均升温速率 ≥1.5℃/S (从 50℃～90℃) </w:t>
      </w:r>
    </w:p>
    <w:p>
      <w:pPr>
        <w:keepNext w:val="0"/>
        <w:keepLines w:val="0"/>
        <w:pageBreakBefore w:val="0"/>
        <w:kinsoku/>
        <w:wordWrap/>
        <w:overflowPunct/>
        <w:topLinePunct w:val="0"/>
        <w:autoSpaceDE/>
        <w:autoSpaceDN/>
        <w:bidi w:val="0"/>
        <w:adjustRightInd/>
        <w:spacing w:beforeAutospacing="0" w:afterAutospacing="0" w:line="360" w:lineRule="auto"/>
        <w:ind w:left="99" w:leftChars="47" w:right="84" w:rightChars="40" w:firstLine="240" w:firstLineChars="100"/>
        <w:textAlignment w:val="auto"/>
        <w:rPr>
          <w:rFonts w:hint="eastAsia" w:ascii="宋体" w:hAnsi="宋体" w:eastAsia="宋体" w:cs="宋体"/>
          <w:kern w:val="2"/>
          <w:sz w:val="24"/>
          <w:szCs w:val="24"/>
          <w:lang w:val="zh-CN" w:eastAsia="zh-CN" w:bidi="ar-SA"/>
        </w:rPr>
      </w:pPr>
      <w:r>
        <w:rPr>
          <w:rFonts w:hint="eastAsia" w:ascii="宋体" w:hAnsi="宋体" w:eastAsia="宋体" w:cs="宋体"/>
          <w:kern w:val="2"/>
          <w:sz w:val="24"/>
          <w:szCs w:val="24"/>
          <w:lang w:val="zh-CN" w:eastAsia="zh-CN" w:bidi="ar-SA"/>
        </w:rPr>
        <w:t xml:space="preserve"> 最大升温速率 ≥5℃/S (从 50℃～90℃) </w:t>
      </w:r>
    </w:p>
    <w:p>
      <w:pPr>
        <w:keepNext w:val="0"/>
        <w:keepLines w:val="0"/>
        <w:pageBreakBefore w:val="0"/>
        <w:kinsoku/>
        <w:wordWrap/>
        <w:overflowPunct/>
        <w:topLinePunct w:val="0"/>
        <w:autoSpaceDE/>
        <w:autoSpaceDN/>
        <w:bidi w:val="0"/>
        <w:adjustRightInd/>
        <w:spacing w:beforeAutospacing="0" w:afterAutospacing="0" w:line="360" w:lineRule="auto"/>
        <w:ind w:left="99" w:leftChars="47" w:right="84" w:rightChars="40" w:firstLine="240" w:firstLineChars="100"/>
        <w:textAlignment w:val="auto"/>
        <w:rPr>
          <w:rFonts w:hint="eastAsia" w:ascii="宋体" w:hAnsi="宋体" w:eastAsia="宋体" w:cs="宋体"/>
          <w:kern w:val="2"/>
          <w:sz w:val="24"/>
          <w:szCs w:val="24"/>
          <w:lang w:val="zh-CN" w:eastAsia="zh-CN" w:bidi="ar-SA"/>
        </w:rPr>
      </w:pPr>
      <w:r>
        <w:rPr>
          <w:rFonts w:hint="eastAsia" w:ascii="宋体" w:hAnsi="宋体" w:eastAsia="宋体" w:cs="宋体"/>
          <w:kern w:val="2"/>
          <w:sz w:val="24"/>
          <w:szCs w:val="24"/>
          <w:lang w:val="zh-CN" w:eastAsia="zh-CN" w:bidi="ar-SA"/>
        </w:rPr>
        <w:t xml:space="preserve"> 平均降温速率 ≥1.5℃/S (从 90℃～50℃) </w:t>
      </w:r>
    </w:p>
    <w:p>
      <w:pPr>
        <w:keepNext w:val="0"/>
        <w:keepLines w:val="0"/>
        <w:pageBreakBefore w:val="0"/>
        <w:kinsoku/>
        <w:wordWrap/>
        <w:overflowPunct/>
        <w:topLinePunct w:val="0"/>
        <w:autoSpaceDE/>
        <w:autoSpaceDN/>
        <w:bidi w:val="0"/>
        <w:adjustRightInd/>
        <w:spacing w:beforeAutospacing="0" w:afterAutospacing="0" w:line="360" w:lineRule="auto"/>
        <w:ind w:left="99" w:leftChars="47" w:right="84" w:rightChars="40" w:firstLine="240" w:firstLineChars="100"/>
        <w:textAlignment w:val="auto"/>
        <w:rPr>
          <w:rFonts w:hint="eastAsia" w:ascii="宋体" w:hAnsi="宋体" w:eastAsia="宋体" w:cs="宋体"/>
          <w:kern w:val="2"/>
          <w:sz w:val="24"/>
          <w:szCs w:val="24"/>
          <w:lang w:val="zh-CN" w:eastAsia="zh-CN" w:bidi="ar-SA"/>
        </w:rPr>
      </w:pPr>
      <w:r>
        <w:rPr>
          <w:rFonts w:hint="eastAsia" w:ascii="宋体" w:hAnsi="宋体" w:eastAsia="宋体" w:cs="宋体"/>
          <w:kern w:val="2"/>
          <w:sz w:val="24"/>
          <w:szCs w:val="24"/>
          <w:lang w:val="zh-CN" w:eastAsia="zh-CN" w:bidi="ar-SA"/>
        </w:rPr>
        <w:t xml:space="preserve"> 最大降温速率 ≥4℃/S (从 90℃～50℃) </w:t>
      </w:r>
    </w:p>
    <w:p>
      <w:pPr>
        <w:keepNext w:val="0"/>
        <w:keepLines w:val="0"/>
        <w:pageBreakBefore w:val="0"/>
        <w:kinsoku/>
        <w:wordWrap/>
        <w:overflowPunct/>
        <w:topLinePunct w:val="0"/>
        <w:autoSpaceDE/>
        <w:autoSpaceDN/>
        <w:bidi w:val="0"/>
        <w:adjustRightInd/>
        <w:spacing w:beforeAutospacing="0" w:afterAutospacing="0" w:line="360" w:lineRule="auto"/>
        <w:ind w:left="99" w:leftChars="47" w:right="84" w:rightChars="40" w:firstLine="240" w:firstLineChars="100"/>
        <w:textAlignment w:val="auto"/>
        <w:rPr>
          <w:rFonts w:hint="eastAsia" w:ascii="宋体" w:hAnsi="宋体" w:eastAsia="宋体" w:cs="宋体"/>
          <w:kern w:val="2"/>
          <w:sz w:val="24"/>
          <w:szCs w:val="24"/>
          <w:lang w:val="zh-CN" w:eastAsia="zh-CN" w:bidi="ar-SA"/>
        </w:rPr>
      </w:pPr>
      <w:r>
        <w:rPr>
          <w:rFonts w:hint="eastAsia" w:ascii="宋体" w:hAnsi="宋体" w:eastAsia="宋体" w:cs="宋体"/>
          <w:kern w:val="2"/>
          <w:sz w:val="24"/>
          <w:szCs w:val="24"/>
          <w:lang w:val="zh-CN" w:eastAsia="zh-CN" w:bidi="ar-SA"/>
        </w:rPr>
        <w:t xml:space="preserve"> 模块控温精度 ≤0.3℃ </w:t>
      </w:r>
    </w:p>
    <w:p>
      <w:pPr>
        <w:keepNext w:val="0"/>
        <w:keepLines w:val="0"/>
        <w:pageBreakBefore w:val="0"/>
        <w:kinsoku/>
        <w:wordWrap/>
        <w:overflowPunct/>
        <w:topLinePunct w:val="0"/>
        <w:autoSpaceDE/>
        <w:autoSpaceDN/>
        <w:bidi w:val="0"/>
        <w:adjustRightInd/>
        <w:spacing w:beforeAutospacing="0" w:afterAutospacing="0" w:line="360" w:lineRule="auto"/>
        <w:ind w:left="99" w:leftChars="47" w:right="84" w:rightChars="40" w:firstLine="240" w:firstLineChars="100"/>
        <w:textAlignment w:val="auto"/>
        <w:rPr>
          <w:rFonts w:hint="eastAsia" w:ascii="宋体" w:hAnsi="宋体" w:eastAsia="宋体" w:cs="宋体"/>
          <w:kern w:val="2"/>
          <w:sz w:val="24"/>
          <w:szCs w:val="24"/>
          <w:lang w:val="zh-CN" w:eastAsia="zh-CN" w:bidi="ar-SA"/>
        </w:rPr>
      </w:pPr>
      <w:r>
        <w:rPr>
          <w:rFonts w:hint="eastAsia" w:ascii="宋体" w:hAnsi="宋体" w:eastAsia="宋体" w:cs="宋体"/>
          <w:kern w:val="2"/>
          <w:sz w:val="24"/>
          <w:szCs w:val="24"/>
          <w:lang w:val="zh-CN" w:eastAsia="zh-CN" w:bidi="ar-SA"/>
        </w:rPr>
        <w:t xml:space="preserve"> 温度准确度 ±0.3℃ </w:t>
      </w:r>
    </w:p>
    <w:p>
      <w:pPr>
        <w:keepNext w:val="0"/>
        <w:keepLines w:val="0"/>
        <w:pageBreakBefore w:val="0"/>
        <w:kinsoku/>
        <w:wordWrap/>
        <w:overflowPunct/>
        <w:topLinePunct w:val="0"/>
        <w:autoSpaceDE/>
        <w:autoSpaceDN/>
        <w:bidi w:val="0"/>
        <w:adjustRightInd/>
        <w:spacing w:beforeAutospacing="0" w:afterAutospacing="0" w:line="360" w:lineRule="auto"/>
        <w:ind w:left="99" w:leftChars="47" w:right="84" w:rightChars="40" w:firstLine="240" w:firstLineChars="100"/>
        <w:textAlignment w:val="auto"/>
        <w:rPr>
          <w:rFonts w:hint="eastAsia" w:ascii="宋体" w:hAnsi="宋体" w:eastAsia="宋体" w:cs="宋体"/>
          <w:kern w:val="2"/>
          <w:sz w:val="24"/>
          <w:szCs w:val="24"/>
          <w:lang w:val="zh-CN" w:eastAsia="zh-CN" w:bidi="ar-SA"/>
        </w:rPr>
      </w:pPr>
      <w:r>
        <w:rPr>
          <w:rFonts w:hint="eastAsia" w:ascii="宋体" w:hAnsi="宋体" w:eastAsia="宋体" w:cs="宋体"/>
          <w:kern w:val="2"/>
          <w:sz w:val="24"/>
          <w:szCs w:val="24"/>
          <w:lang w:val="zh-CN" w:eastAsia="zh-CN" w:bidi="ar-SA"/>
        </w:rPr>
        <w:t xml:space="preserve"> 模块温度均匀性 ±0.5℃ </w:t>
      </w:r>
    </w:p>
    <w:p>
      <w:pPr>
        <w:keepNext w:val="0"/>
        <w:keepLines w:val="0"/>
        <w:pageBreakBefore w:val="0"/>
        <w:kinsoku/>
        <w:wordWrap/>
        <w:overflowPunct/>
        <w:topLinePunct w:val="0"/>
        <w:autoSpaceDE/>
        <w:autoSpaceDN/>
        <w:bidi w:val="0"/>
        <w:adjustRightInd/>
        <w:spacing w:beforeAutospacing="0" w:afterAutospacing="0" w:line="360" w:lineRule="auto"/>
        <w:ind w:left="99" w:leftChars="47" w:right="84" w:rightChars="40" w:firstLine="240" w:firstLineChars="100"/>
        <w:textAlignment w:val="auto"/>
        <w:rPr>
          <w:rFonts w:hint="eastAsia" w:ascii="宋体" w:hAnsi="宋体" w:eastAsia="宋体" w:cs="宋体"/>
          <w:kern w:val="2"/>
          <w:sz w:val="24"/>
          <w:szCs w:val="24"/>
          <w:lang w:val="zh-CN" w:eastAsia="zh-CN" w:bidi="ar-SA"/>
        </w:rPr>
      </w:pPr>
      <w:r>
        <w:rPr>
          <w:rFonts w:hint="eastAsia" w:ascii="宋体" w:hAnsi="宋体" w:eastAsia="宋体" w:cs="宋体"/>
          <w:kern w:val="2"/>
          <w:sz w:val="24"/>
          <w:szCs w:val="24"/>
          <w:lang w:val="zh-CN" w:eastAsia="zh-CN" w:bidi="ar-SA"/>
        </w:rPr>
        <w:t xml:space="preserve"> 温度持续时间准确度 偏差±5%以内 </w:t>
      </w:r>
    </w:p>
    <w:p>
      <w:pPr>
        <w:keepNext w:val="0"/>
        <w:keepLines w:val="0"/>
        <w:pageBreakBefore w:val="0"/>
        <w:kinsoku/>
        <w:wordWrap/>
        <w:overflowPunct/>
        <w:topLinePunct w:val="0"/>
        <w:autoSpaceDE/>
        <w:autoSpaceDN/>
        <w:bidi w:val="0"/>
        <w:adjustRightInd/>
        <w:spacing w:beforeAutospacing="0" w:afterAutospacing="0" w:line="360" w:lineRule="auto"/>
        <w:ind w:left="99" w:leftChars="47" w:right="84" w:rightChars="40" w:firstLine="240" w:firstLineChars="100"/>
        <w:textAlignment w:val="auto"/>
        <w:rPr>
          <w:rFonts w:hint="eastAsia" w:ascii="宋体" w:hAnsi="宋体" w:eastAsia="宋体" w:cs="宋体"/>
          <w:kern w:val="2"/>
          <w:sz w:val="24"/>
          <w:szCs w:val="24"/>
          <w:lang w:val="zh-CN" w:eastAsia="zh-CN" w:bidi="ar-SA"/>
        </w:rPr>
      </w:pPr>
      <w:r>
        <w:rPr>
          <w:rFonts w:hint="eastAsia" w:ascii="宋体" w:hAnsi="宋体" w:eastAsia="宋体" w:cs="宋体"/>
          <w:kern w:val="2"/>
          <w:sz w:val="24"/>
          <w:szCs w:val="24"/>
          <w:lang w:val="zh-CN" w:eastAsia="zh-CN" w:bidi="ar-SA"/>
        </w:rPr>
        <w:t>4、荧光检测</w:t>
      </w:r>
    </w:p>
    <w:p>
      <w:pPr>
        <w:keepNext w:val="0"/>
        <w:keepLines w:val="0"/>
        <w:pageBreakBefore w:val="0"/>
        <w:kinsoku/>
        <w:wordWrap/>
        <w:overflowPunct/>
        <w:topLinePunct w:val="0"/>
        <w:autoSpaceDE/>
        <w:autoSpaceDN/>
        <w:bidi w:val="0"/>
        <w:adjustRightInd/>
        <w:spacing w:beforeAutospacing="0" w:afterAutospacing="0" w:line="360" w:lineRule="auto"/>
        <w:ind w:left="99" w:leftChars="47" w:right="84" w:rightChars="40" w:firstLine="240" w:firstLineChars="100"/>
        <w:textAlignment w:val="auto"/>
        <w:rPr>
          <w:rFonts w:hint="eastAsia" w:ascii="宋体" w:hAnsi="宋体" w:eastAsia="宋体" w:cs="宋体"/>
          <w:kern w:val="2"/>
          <w:sz w:val="24"/>
          <w:szCs w:val="24"/>
          <w:lang w:val="zh-CN" w:eastAsia="zh-CN" w:bidi="ar-SA"/>
        </w:rPr>
      </w:pPr>
      <w:r>
        <w:rPr>
          <w:rFonts w:hint="eastAsia" w:ascii="宋体" w:hAnsi="宋体" w:eastAsia="宋体" w:cs="宋体"/>
          <w:kern w:val="2"/>
          <w:sz w:val="24"/>
          <w:szCs w:val="24"/>
          <w:lang w:val="zh-CN" w:eastAsia="zh-CN" w:bidi="ar-SA"/>
        </w:rPr>
        <w:t xml:space="preserve">荧光强度检测重复性 CV≤3% </w:t>
      </w:r>
    </w:p>
    <w:p>
      <w:pPr>
        <w:keepNext w:val="0"/>
        <w:keepLines w:val="0"/>
        <w:pageBreakBefore w:val="0"/>
        <w:kinsoku/>
        <w:wordWrap/>
        <w:overflowPunct/>
        <w:topLinePunct w:val="0"/>
        <w:autoSpaceDE/>
        <w:autoSpaceDN/>
        <w:bidi w:val="0"/>
        <w:adjustRightInd/>
        <w:spacing w:beforeAutospacing="0" w:afterAutospacing="0" w:line="360" w:lineRule="auto"/>
        <w:ind w:left="99" w:leftChars="47" w:right="84" w:rightChars="40" w:firstLine="240" w:firstLineChars="100"/>
        <w:textAlignment w:val="auto"/>
        <w:rPr>
          <w:rFonts w:hint="eastAsia" w:ascii="宋体" w:hAnsi="宋体" w:eastAsia="宋体" w:cs="宋体"/>
          <w:kern w:val="2"/>
          <w:sz w:val="24"/>
          <w:szCs w:val="24"/>
          <w:lang w:val="zh-CN" w:eastAsia="zh-CN" w:bidi="ar-SA"/>
        </w:rPr>
      </w:pPr>
      <w:r>
        <w:rPr>
          <w:rFonts w:hint="eastAsia" w:ascii="宋体" w:hAnsi="宋体" w:eastAsia="宋体" w:cs="宋体"/>
          <w:kern w:val="2"/>
          <w:sz w:val="24"/>
          <w:szCs w:val="24"/>
          <w:lang w:val="zh-CN" w:eastAsia="zh-CN" w:bidi="ar-SA"/>
        </w:rPr>
        <w:t xml:space="preserve">荧光强度检测精密度 CV≤5%  </w:t>
      </w:r>
    </w:p>
    <w:p>
      <w:pPr>
        <w:keepNext w:val="0"/>
        <w:keepLines w:val="0"/>
        <w:pageBreakBefore w:val="0"/>
        <w:kinsoku/>
        <w:wordWrap/>
        <w:overflowPunct/>
        <w:topLinePunct w:val="0"/>
        <w:autoSpaceDE/>
        <w:autoSpaceDN/>
        <w:bidi w:val="0"/>
        <w:adjustRightInd/>
        <w:spacing w:beforeAutospacing="0" w:afterAutospacing="0" w:line="360" w:lineRule="auto"/>
        <w:ind w:left="99" w:leftChars="47" w:right="84" w:rightChars="40" w:firstLine="240" w:firstLineChars="100"/>
        <w:textAlignment w:val="auto"/>
        <w:rPr>
          <w:rFonts w:hint="eastAsia" w:ascii="宋体" w:hAnsi="宋体" w:eastAsia="宋体" w:cs="宋体"/>
          <w:kern w:val="2"/>
          <w:sz w:val="24"/>
          <w:szCs w:val="24"/>
          <w:lang w:val="zh-CN" w:eastAsia="zh-CN" w:bidi="ar-SA"/>
        </w:rPr>
      </w:pPr>
      <w:r>
        <w:rPr>
          <w:rFonts w:hint="eastAsia" w:ascii="宋体" w:hAnsi="宋体" w:eastAsia="宋体" w:cs="宋体"/>
          <w:kern w:val="2"/>
          <w:sz w:val="24"/>
          <w:szCs w:val="24"/>
          <w:lang w:val="zh-CN" w:eastAsia="zh-CN" w:bidi="ar-SA"/>
        </w:rPr>
        <w:t xml:space="preserve">不同通道荧光干扰 其他通道荧光检测强度不高于目标通道荧光阈值 </w:t>
      </w:r>
    </w:p>
    <w:p>
      <w:pPr>
        <w:keepNext w:val="0"/>
        <w:keepLines w:val="0"/>
        <w:pageBreakBefore w:val="0"/>
        <w:kinsoku/>
        <w:wordWrap/>
        <w:overflowPunct/>
        <w:topLinePunct w:val="0"/>
        <w:autoSpaceDE/>
        <w:autoSpaceDN/>
        <w:bidi w:val="0"/>
        <w:adjustRightInd/>
        <w:spacing w:beforeAutospacing="0" w:afterAutospacing="0" w:line="360" w:lineRule="auto"/>
        <w:ind w:left="99" w:leftChars="47" w:right="84" w:rightChars="40" w:firstLine="240" w:firstLineChars="100"/>
        <w:textAlignment w:val="auto"/>
        <w:rPr>
          <w:rFonts w:hint="eastAsia" w:ascii="宋体" w:hAnsi="宋体" w:eastAsia="宋体" w:cs="宋体"/>
          <w:kern w:val="2"/>
          <w:sz w:val="24"/>
          <w:szCs w:val="24"/>
          <w:lang w:val="zh-CN" w:eastAsia="zh-CN" w:bidi="ar-SA"/>
        </w:rPr>
      </w:pPr>
      <w:r>
        <w:rPr>
          <w:rFonts w:hint="eastAsia" w:ascii="宋体" w:hAnsi="宋体" w:eastAsia="宋体" w:cs="宋体"/>
          <w:kern w:val="2"/>
          <w:sz w:val="24"/>
          <w:szCs w:val="24"/>
          <w:lang w:val="zh-CN" w:eastAsia="zh-CN" w:bidi="ar-SA"/>
        </w:rPr>
        <w:t xml:space="preserve">样本检测重复性 CV≤3% </w:t>
      </w:r>
    </w:p>
    <w:p>
      <w:pPr>
        <w:keepNext w:val="0"/>
        <w:keepLines w:val="0"/>
        <w:pageBreakBefore w:val="0"/>
        <w:kinsoku/>
        <w:wordWrap/>
        <w:overflowPunct/>
        <w:topLinePunct w:val="0"/>
        <w:autoSpaceDE/>
        <w:autoSpaceDN/>
        <w:bidi w:val="0"/>
        <w:adjustRightInd/>
        <w:spacing w:beforeAutospacing="0" w:afterAutospacing="0" w:line="360" w:lineRule="auto"/>
        <w:ind w:left="99" w:leftChars="47" w:right="84" w:rightChars="40" w:firstLine="240" w:firstLineChars="100"/>
        <w:textAlignment w:val="auto"/>
        <w:rPr>
          <w:rFonts w:hint="eastAsia" w:ascii="宋体" w:hAnsi="宋体" w:eastAsia="宋体" w:cs="宋体"/>
          <w:kern w:val="2"/>
          <w:sz w:val="24"/>
          <w:szCs w:val="24"/>
          <w:lang w:val="zh-CN" w:eastAsia="zh-CN" w:bidi="ar-SA"/>
        </w:rPr>
      </w:pPr>
      <w:r>
        <w:rPr>
          <w:rFonts w:hint="eastAsia" w:ascii="宋体" w:hAnsi="宋体" w:eastAsia="宋体" w:cs="宋体"/>
          <w:kern w:val="2"/>
          <w:sz w:val="24"/>
          <w:szCs w:val="24"/>
          <w:lang w:val="zh-CN" w:eastAsia="zh-CN" w:bidi="ar-SA"/>
        </w:rPr>
        <w:t xml:space="preserve"> 样本线性 ≥0.980 </w:t>
      </w:r>
    </w:p>
    <w:p>
      <w:pPr>
        <w:keepNext w:val="0"/>
        <w:keepLines w:val="0"/>
        <w:pageBreakBefore w:val="0"/>
        <w:kinsoku/>
        <w:wordWrap/>
        <w:overflowPunct/>
        <w:topLinePunct w:val="0"/>
        <w:autoSpaceDE/>
        <w:autoSpaceDN/>
        <w:bidi w:val="0"/>
        <w:adjustRightInd/>
        <w:spacing w:beforeAutospacing="0" w:afterAutospacing="0" w:line="360" w:lineRule="auto"/>
        <w:ind w:left="99" w:leftChars="47" w:right="84" w:rightChars="40" w:firstLine="240" w:firstLineChars="100"/>
        <w:textAlignment w:val="auto"/>
        <w:rPr>
          <w:rFonts w:hint="eastAsia" w:ascii="宋体" w:hAnsi="宋体" w:eastAsia="宋体" w:cs="宋体"/>
          <w:kern w:val="2"/>
          <w:sz w:val="24"/>
          <w:szCs w:val="24"/>
          <w:lang w:val="zh-CN" w:eastAsia="zh-CN" w:bidi="ar-SA"/>
        </w:rPr>
      </w:pPr>
      <w:r>
        <w:rPr>
          <w:rFonts w:hint="eastAsia" w:ascii="宋体" w:hAnsi="宋体" w:eastAsia="宋体" w:cs="宋体"/>
          <w:kern w:val="2"/>
          <w:sz w:val="24"/>
          <w:szCs w:val="24"/>
          <w:lang w:val="zh-CN" w:eastAsia="zh-CN" w:bidi="ar-SA"/>
        </w:rPr>
        <w:t xml:space="preserve"> 荧光线性 ≥0.990 </w:t>
      </w:r>
    </w:p>
    <w:p>
      <w:pPr>
        <w:keepNext w:val="0"/>
        <w:keepLines w:val="0"/>
        <w:pageBreakBefore w:val="0"/>
        <w:kinsoku/>
        <w:wordWrap/>
        <w:overflowPunct/>
        <w:topLinePunct w:val="0"/>
        <w:autoSpaceDE/>
        <w:autoSpaceDN/>
        <w:bidi w:val="0"/>
        <w:adjustRightInd/>
        <w:spacing w:beforeAutospacing="0" w:afterAutospacing="0" w:line="360" w:lineRule="auto"/>
        <w:ind w:left="99" w:leftChars="47" w:right="84" w:rightChars="40" w:firstLine="240" w:firstLineChars="100"/>
        <w:textAlignment w:val="auto"/>
        <w:rPr>
          <w:rFonts w:hint="eastAsia" w:ascii="宋体" w:hAnsi="宋体" w:eastAsia="宋体" w:cs="宋体"/>
          <w:kern w:val="2"/>
          <w:sz w:val="24"/>
          <w:szCs w:val="24"/>
          <w:lang w:val="zh-CN" w:eastAsia="zh-CN" w:bidi="ar-SA"/>
        </w:rPr>
      </w:pPr>
      <w:r>
        <w:rPr>
          <w:rFonts w:hint="eastAsia" w:ascii="宋体" w:hAnsi="宋体" w:eastAsia="宋体" w:cs="宋体"/>
          <w:kern w:val="2"/>
          <w:sz w:val="24"/>
          <w:szCs w:val="24"/>
          <w:lang w:val="zh-CN" w:eastAsia="zh-CN" w:bidi="ar-SA"/>
        </w:rPr>
        <w:t xml:space="preserve"> 激发光波长 通道 1：470～492nm，通道 2：555～584nm </w:t>
      </w:r>
    </w:p>
    <w:p>
      <w:pPr>
        <w:keepNext w:val="0"/>
        <w:keepLines w:val="0"/>
        <w:pageBreakBefore w:val="0"/>
        <w:kinsoku/>
        <w:wordWrap/>
        <w:overflowPunct/>
        <w:topLinePunct w:val="0"/>
        <w:autoSpaceDE/>
        <w:autoSpaceDN/>
        <w:bidi w:val="0"/>
        <w:adjustRightInd/>
        <w:spacing w:beforeAutospacing="0" w:afterAutospacing="0" w:line="360" w:lineRule="auto"/>
        <w:ind w:left="99" w:leftChars="47" w:right="84" w:rightChars="40" w:firstLine="240" w:firstLineChars="100"/>
        <w:textAlignment w:val="auto"/>
        <w:rPr>
          <w:rFonts w:hint="eastAsia" w:ascii="宋体" w:hAnsi="宋体" w:eastAsia="宋体" w:cs="宋体"/>
          <w:kern w:val="2"/>
          <w:sz w:val="24"/>
          <w:szCs w:val="24"/>
          <w:lang w:val="zh-CN" w:eastAsia="zh-CN" w:bidi="ar-SA"/>
        </w:rPr>
      </w:pPr>
      <w:r>
        <w:rPr>
          <w:rFonts w:hint="eastAsia" w:ascii="宋体" w:hAnsi="宋体" w:eastAsia="宋体" w:cs="宋体"/>
          <w:kern w:val="2"/>
          <w:sz w:val="24"/>
          <w:szCs w:val="24"/>
          <w:lang w:val="zh-CN" w:eastAsia="zh-CN" w:bidi="ar-SA"/>
        </w:rPr>
        <w:t> 荧光检测波长 通道 1：520～532nm，通道 2：620～680nm</w:t>
      </w:r>
    </w:p>
    <w:p>
      <w:pPr>
        <w:keepNext w:val="0"/>
        <w:keepLines w:val="0"/>
        <w:pageBreakBefore w:val="0"/>
        <w:kinsoku/>
        <w:wordWrap/>
        <w:overflowPunct/>
        <w:topLinePunct w:val="0"/>
        <w:autoSpaceDE/>
        <w:autoSpaceDN/>
        <w:bidi w:val="0"/>
        <w:adjustRightInd/>
        <w:spacing w:beforeAutospacing="0" w:afterAutospacing="0" w:line="360" w:lineRule="auto"/>
        <w:ind w:left="99" w:leftChars="47" w:right="84" w:rightChars="40" w:firstLine="240" w:firstLineChars="100"/>
        <w:textAlignment w:val="auto"/>
        <w:rPr>
          <w:rFonts w:hint="eastAsia" w:ascii="宋体" w:hAnsi="宋体" w:eastAsia="宋体" w:cs="宋体"/>
          <w:kern w:val="2"/>
          <w:sz w:val="24"/>
          <w:szCs w:val="24"/>
          <w:lang w:val="zh-CN" w:eastAsia="zh-CN" w:bidi="ar-SA"/>
        </w:rPr>
      </w:pPr>
      <w:r>
        <w:rPr>
          <w:rFonts w:hint="eastAsia" w:ascii="宋体" w:hAnsi="宋体" w:eastAsia="宋体" w:cs="宋体"/>
          <w:kern w:val="2"/>
          <w:sz w:val="24"/>
          <w:szCs w:val="24"/>
          <w:lang w:val="zh-CN" w:eastAsia="zh-CN" w:bidi="ar-SA"/>
        </w:rPr>
        <w:t>5、取样至出结果全过程≤90分钟；</w:t>
      </w:r>
    </w:p>
    <w:p>
      <w:pPr>
        <w:keepNext w:val="0"/>
        <w:keepLines w:val="0"/>
        <w:pageBreakBefore w:val="0"/>
        <w:kinsoku/>
        <w:wordWrap/>
        <w:overflowPunct/>
        <w:topLinePunct w:val="0"/>
        <w:autoSpaceDE/>
        <w:autoSpaceDN/>
        <w:bidi w:val="0"/>
        <w:adjustRightInd/>
        <w:spacing w:beforeAutospacing="0" w:afterAutospacing="0" w:line="360" w:lineRule="auto"/>
        <w:ind w:left="99" w:leftChars="47" w:right="84" w:rightChars="40" w:firstLine="240" w:firstLineChars="100"/>
        <w:textAlignment w:val="auto"/>
        <w:rPr>
          <w:rFonts w:hint="eastAsia" w:ascii="宋体" w:hAnsi="宋体" w:eastAsia="宋体" w:cs="宋体"/>
          <w:b/>
          <w:bCs/>
          <w:kern w:val="2"/>
          <w:sz w:val="24"/>
          <w:szCs w:val="24"/>
          <w:lang w:val="zh-CN" w:eastAsia="zh-CN" w:bidi="ar-SA"/>
        </w:rPr>
      </w:pPr>
      <w:r>
        <w:rPr>
          <w:rFonts w:hint="eastAsia" w:ascii="宋体" w:hAnsi="宋体" w:eastAsia="宋体" w:cs="宋体"/>
          <w:b w:val="0"/>
          <w:bCs w:val="0"/>
          <w:kern w:val="2"/>
          <w:sz w:val="24"/>
          <w:szCs w:val="24"/>
          <w:lang w:val="zh-CN" w:eastAsia="zh-CN" w:bidi="ar-SA"/>
        </w:rPr>
        <w:t>6、需报价耗材：检测试剂盒；一次性使用无菌拭子。</w:t>
      </w:r>
    </w:p>
    <w:p>
      <w:pPr>
        <w:keepNext w:val="0"/>
        <w:keepLines w:val="0"/>
        <w:pageBreakBefore w:val="0"/>
        <w:kinsoku/>
        <w:wordWrap/>
        <w:overflowPunct/>
        <w:topLinePunct w:val="0"/>
        <w:autoSpaceDE/>
        <w:autoSpaceDN/>
        <w:bidi w:val="0"/>
        <w:adjustRightInd/>
        <w:spacing w:beforeAutospacing="0" w:afterAutospacing="0" w:line="360" w:lineRule="auto"/>
        <w:ind w:left="99" w:leftChars="47" w:right="84" w:rightChars="40" w:firstLine="241" w:firstLineChars="100"/>
        <w:jc w:val="center"/>
        <w:textAlignment w:val="auto"/>
        <w:rPr>
          <w:rFonts w:hint="eastAsia" w:ascii="宋体" w:hAnsi="宋体" w:eastAsia="宋体" w:cs="宋体"/>
          <w:b/>
          <w:bCs/>
          <w:kern w:val="2"/>
          <w:sz w:val="24"/>
          <w:szCs w:val="24"/>
          <w:lang w:val="zh-CN" w:eastAsia="zh-CN" w:bidi="ar-SA"/>
        </w:rPr>
      </w:pPr>
      <w:r>
        <w:rPr>
          <w:rFonts w:hint="eastAsia" w:ascii="宋体" w:hAnsi="宋体" w:cs="宋体"/>
          <w:b/>
          <w:bCs/>
          <w:kern w:val="2"/>
          <w:sz w:val="24"/>
          <w:szCs w:val="24"/>
          <w:lang w:val="en-US" w:eastAsia="zh-CN" w:bidi="ar-SA"/>
        </w:rPr>
        <w:t>B包：</w:t>
      </w:r>
      <w:r>
        <w:rPr>
          <w:rFonts w:hint="eastAsia" w:ascii="宋体" w:hAnsi="宋体" w:eastAsia="宋体" w:cs="宋体"/>
          <w:b/>
          <w:bCs/>
          <w:kern w:val="2"/>
          <w:sz w:val="24"/>
          <w:szCs w:val="24"/>
          <w:lang w:val="zh-CN" w:eastAsia="zh-CN" w:bidi="ar-SA"/>
        </w:rPr>
        <w:t>呼气分析仪技术参数</w:t>
      </w:r>
    </w:p>
    <w:p>
      <w:pPr>
        <w:keepNext w:val="0"/>
        <w:keepLines w:val="0"/>
        <w:pageBreakBefore w:val="0"/>
        <w:kinsoku/>
        <w:wordWrap/>
        <w:overflowPunct/>
        <w:topLinePunct w:val="0"/>
        <w:autoSpaceDE/>
        <w:autoSpaceDN/>
        <w:bidi w:val="0"/>
        <w:adjustRightInd/>
        <w:spacing w:beforeAutospacing="0" w:afterAutospacing="0" w:line="360" w:lineRule="auto"/>
        <w:ind w:left="99" w:leftChars="47" w:right="84" w:rightChars="40" w:firstLine="240" w:firstLineChars="100"/>
        <w:textAlignment w:val="auto"/>
        <w:rPr>
          <w:rFonts w:hint="eastAsia" w:ascii="宋体" w:hAnsi="宋体" w:eastAsia="宋体" w:cs="宋体"/>
          <w:kern w:val="2"/>
          <w:sz w:val="24"/>
          <w:szCs w:val="24"/>
          <w:lang w:val="zh-CN" w:eastAsia="zh-CN" w:bidi="ar-SA"/>
        </w:rPr>
      </w:pPr>
      <w:r>
        <w:rPr>
          <w:rFonts w:hint="eastAsia" w:ascii="宋体" w:hAnsi="宋体" w:eastAsia="宋体" w:cs="宋体"/>
          <w:kern w:val="2"/>
          <w:sz w:val="24"/>
          <w:szCs w:val="24"/>
          <w:lang w:val="zh-CN" w:eastAsia="zh-CN" w:bidi="ar-SA"/>
        </w:rPr>
        <w:t>1.测试范围：NO：0ppb－3000ppb；</w:t>
      </w:r>
    </w:p>
    <w:p>
      <w:pPr>
        <w:keepNext w:val="0"/>
        <w:keepLines w:val="0"/>
        <w:pageBreakBefore w:val="0"/>
        <w:kinsoku/>
        <w:wordWrap/>
        <w:overflowPunct/>
        <w:topLinePunct w:val="0"/>
        <w:autoSpaceDE/>
        <w:autoSpaceDN/>
        <w:bidi w:val="0"/>
        <w:adjustRightInd/>
        <w:spacing w:beforeAutospacing="0" w:afterAutospacing="0" w:line="360" w:lineRule="auto"/>
        <w:ind w:left="99" w:leftChars="47" w:right="84" w:rightChars="40" w:firstLine="240" w:firstLineChars="100"/>
        <w:textAlignment w:val="auto"/>
        <w:rPr>
          <w:rFonts w:hint="eastAsia" w:ascii="宋体" w:hAnsi="宋体" w:eastAsia="宋体" w:cs="宋体"/>
          <w:kern w:val="2"/>
          <w:sz w:val="24"/>
          <w:szCs w:val="24"/>
          <w:lang w:val="zh-CN" w:eastAsia="zh-CN" w:bidi="ar-SA"/>
        </w:rPr>
      </w:pPr>
      <w:r>
        <w:rPr>
          <w:rFonts w:hint="eastAsia" w:ascii="宋体" w:hAnsi="宋体" w:eastAsia="宋体" w:cs="宋体"/>
          <w:kern w:val="2"/>
          <w:sz w:val="24"/>
          <w:szCs w:val="24"/>
          <w:lang w:val="zh-CN" w:eastAsia="zh-CN" w:bidi="ar-SA"/>
        </w:rPr>
        <w:t>2.准确性（与标准配气的比较）：呼气NO: 当测定值＜50ppb，误差＜±3ppb；                              当测定值≥50ppb，误差＜±10%；</w:t>
      </w:r>
    </w:p>
    <w:p>
      <w:pPr>
        <w:keepNext w:val="0"/>
        <w:keepLines w:val="0"/>
        <w:pageBreakBefore w:val="0"/>
        <w:kinsoku/>
        <w:wordWrap/>
        <w:overflowPunct/>
        <w:topLinePunct w:val="0"/>
        <w:autoSpaceDE/>
        <w:autoSpaceDN/>
        <w:bidi w:val="0"/>
        <w:adjustRightInd/>
        <w:spacing w:beforeAutospacing="0" w:afterAutospacing="0" w:line="360" w:lineRule="auto"/>
        <w:ind w:left="99" w:leftChars="47" w:right="84" w:rightChars="40" w:firstLine="240" w:firstLineChars="100"/>
        <w:textAlignment w:val="auto"/>
        <w:rPr>
          <w:rFonts w:hint="eastAsia" w:ascii="宋体" w:hAnsi="宋体" w:eastAsia="宋体" w:cs="宋体"/>
          <w:kern w:val="2"/>
          <w:sz w:val="24"/>
          <w:szCs w:val="24"/>
          <w:lang w:val="zh-CN" w:eastAsia="zh-CN" w:bidi="ar-SA"/>
        </w:rPr>
      </w:pPr>
      <w:r>
        <w:rPr>
          <w:rFonts w:hint="eastAsia" w:ascii="宋体" w:hAnsi="宋体" w:eastAsia="宋体" w:cs="宋体"/>
          <w:kern w:val="2"/>
          <w:sz w:val="24"/>
          <w:szCs w:val="24"/>
          <w:lang w:val="zh-CN" w:eastAsia="zh-CN" w:bidi="ar-SA"/>
        </w:rPr>
        <w:t>*3.干扰气体：不少于16种常见呼气分子（包含NO2）干扰程度＜3ppb。</w:t>
      </w:r>
    </w:p>
    <w:p>
      <w:pPr>
        <w:keepNext w:val="0"/>
        <w:keepLines w:val="0"/>
        <w:pageBreakBefore w:val="0"/>
        <w:kinsoku/>
        <w:wordWrap/>
        <w:overflowPunct/>
        <w:topLinePunct w:val="0"/>
        <w:autoSpaceDE/>
        <w:autoSpaceDN/>
        <w:bidi w:val="0"/>
        <w:adjustRightInd/>
        <w:spacing w:beforeAutospacing="0" w:afterAutospacing="0" w:line="360" w:lineRule="auto"/>
        <w:ind w:left="99" w:leftChars="47" w:right="84" w:rightChars="40" w:firstLine="240" w:firstLineChars="100"/>
        <w:textAlignment w:val="auto"/>
        <w:rPr>
          <w:rFonts w:hint="eastAsia" w:ascii="宋体" w:hAnsi="宋体" w:eastAsia="宋体" w:cs="宋体"/>
          <w:kern w:val="2"/>
          <w:sz w:val="24"/>
          <w:szCs w:val="24"/>
          <w:lang w:val="zh-CN" w:eastAsia="zh-CN" w:bidi="ar-SA"/>
        </w:rPr>
      </w:pPr>
      <w:r>
        <w:rPr>
          <w:rFonts w:hint="eastAsia" w:ascii="宋体" w:hAnsi="宋体" w:eastAsia="宋体" w:cs="宋体"/>
          <w:kern w:val="2"/>
          <w:sz w:val="24"/>
          <w:szCs w:val="24"/>
          <w:lang w:val="zh-CN" w:eastAsia="zh-CN" w:bidi="ar-SA"/>
        </w:rPr>
        <w:t>4.重复性：相对偏差CV应在10％内；</w:t>
      </w:r>
    </w:p>
    <w:p>
      <w:pPr>
        <w:keepNext w:val="0"/>
        <w:keepLines w:val="0"/>
        <w:pageBreakBefore w:val="0"/>
        <w:kinsoku/>
        <w:wordWrap/>
        <w:overflowPunct/>
        <w:topLinePunct w:val="0"/>
        <w:autoSpaceDE/>
        <w:autoSpaceDN/>
        <w:bidi w:val="0"/>
        <w:adjustRightInd/>
        <w:spacing w:beforeAutospacing="0" w:afterAutospacing="0" w:line="360" w:lineRule="auto"/>
        <w:ind w:left="99" w:leftChars="47" w:right="84" w:rightChars="40" w:firstLine="240" w:firstLineChars="100"/>
        <w:textAlignment w:val="auto"/>
        <w:rPr>
          <w:rFonts w:hint="eastAsia" w:ascii="宋体" w:hAnsi="宋体" w:eastAsia="宋体" w:cs="宋体"/>
          <w:kern w:val="2"/>
          <w:sz w:val="24"/>
          <w:szCs w:val="24"/>
          <w:lang w:val="zh-CN" w:eastAsia="zh-CN" w:bidi="ar-SA"/>
        </w:rPr>
      </w:pPr>
      <w:r>
        <w:rPr>
          <w:rFonts w:hint="eastAsia" w:ascii="宋体" w:hAnsi="宋体" w:eastAsia="宋体" w:cs="宋体"/>
          <w:kern w:val="2"/>
          <w:sz w:val="24"/>
          <w:szCs w:val="24"/>
          <w:lang w:val="zh-CN" w:eastAsia="zh-CN" w:bidi="ar-SA"/>
        </w:rPr>
        <w:t>5.稳定性：测量间隔在2小时内的相对漂移即浓度变化率在±10%内；</w:t>
      </w:r>
    </w:p>
    <w:p>
      <w:pPr>
        <w:keepNext w:val="0"/>
        <w:keepLines w:val="0"/>
        <w:pageBreakBefore w:val="0"/>
        <w:kinsoku/>
        <w:wordWrap/>
        <w:overflowPunct/>
        <w:topLinePunct w:val="0"/>
        <w:autoSpaceDE/>
        <w:autoSpaceDN/>
        <w:bidi w:val="0"/>
        <w:adjustRightInd/>
        <w:spacing w:beforeAutospacing="0" w:afterAutospacing="0" w:line="360" w:lineRule="auto"/>
        <w:ind w:left="99" w:leftChars="47" w:right="84" w:rightChars="40" w:firstLine="240" w:firstLineChars="100"/>
        <w:textAlignment w:val="auto"/>
        <w:rPr>
          <w:rFonts w:hint="eastAsia" w:ascii="宋体" w:hAnsi="宋体" w:eastAsia="宋体" w:cs="宋体"/>
          <w:kern w:val="2"/>
          <w:sz w:val="24"/>
          <w:szCs w:val="24"/>
          <w:lang w:val="zh-CN" w:eastAsia="zh-CN" w:bidi="ar-SA"/>
        </w:rPr>
      </w:pPr>
      <w:r>
        <w:rPr>
          <w:rFonts w:hint="eastAsia" w:ascii="宋体" w:hAnsi="宋体" w:eastAsia="宋体" w:cs="宋体"/>
          <w:kern w:val="2"/>
          <w:sz w:val="24"/>
          <w:szCs w:val="24"/>
          <w:lang w:val="zh-CN" w:eastAsia="zh-CN" w:bidi="ar-SA"/>
        </w:rPr>
        <w:t>6.仪器寿命：≥5年或50000次检测。</w:t>
      </w:r>
    </w:p>
    <w:p>
      <w:pPr>
        <w:keepNext w:val="0"/>
        <w:keepLines w:val="0"/>
        <w:pageBreakBefore w:val="0"/>
        <w:kinsoku/>
        <w:wordWrap/>
        <w:overflowPunct/>
        <w:topLinePunct w:val="0"/>
        <w:autoSpaceDE/>
        <w:autoSpaceDN/>
        <w:bidi w:val="0"/>
        <w:adjustRightInd/>
        <w:spacing w:beforeAutospacing="0" w:afterAutospacing="0" w:line="360" w:lineRule="auto"/>
        <w:ind w:left="99" w:leftChars="47" w:right="84" w:rightChars="40" w:firstLine="240" w:firstLineChars="100"/>
        <w:textAlignment w:val="auto"/>
        <w:rPr>
          <w:rFonts w:hint="eastAsia" w:ascii="宋体" w:hAnsi="宋体" w:eastAsia="宋体" w:cs="宋体"/>
          <w:kern w:val="2"/>
          <w:sz w:val="24"/>
          <w:szCs w:val="24"/>
          <w:lang w:val="zh-CN" w:eastAsia="zh-CN" w:bidi="ar-SA"/>
        </w:rPr>
      </w:pPr>
      <w:r>
        <w:rPr>
          <w:rFonts w:hint="eastAsia" w:ascii="宋体" w:hAnsi="宋体" w:eastAsia="宋体" w:cs="宋体"/>
          <w:kern w:val="2"/>
          <w:sz w:val="24"/>
          <w:szCs w:val="24"/>
          <w:lang w:val="zh-CN" w:eastAsia="zh-CN" w:bidi="ar-SA"/>
        </w:rPr>
        <w:t>*7.采样方式：至少在线、离线和潮气三种采样方式。</w:t>
      </w:r>
    </w:p>
    <w:p>
      <w:pPr>
        <w:keepNext w:val="0"/>
        <w:keepLines w:val="0"/>
        <w:pageBreakBefore w:val="0"/>
        <w:kinsoku/>
        <w:wordWrap/>
        <w:overflowPunct/>
        <w:topLinePunct w:val="0"/>
        <w:autoSpaceDE/>
        <w:autoSpaceDN/>
        <w:bidi w:val="0"/>
        <w:adjustRightInd/>
        <w:spacing w:beforeAutospacing="0" w:afterAutospacing="0" w:line="360" w:lineRule="auto"/>
        <w:ind w:left="99" w:leftChars="47" w:right="84" w:rightChars="40" w:firstLine="240" w:firstLineChars="100"/>
        <w:textAlignment w:val="auto"/>
        <w:rPr>
          <w:rFonts w:hint="eastAsia" w:ascii="宋体" w:hAnsi="宋体" w:eastAsia="宋体" w:cs="宋体"/>
          <w:kern w:val="2"/>
          <w:sz w:val="24"/>
          <w:szCs w:val="24"/>
          <w:lang w:val="zh-CN" w:eastAsia="zh-CN" w:bidi="ar-SA"/>
        </w:rPr>
      </w:pPr>
      <w:r>
        <w:rPr>
          <w:rFonts w:hint="eastAsia" w:ascii="宋体" w:hAnsi="宋体" w:eastAsia="宋体" w:cs="宋体"/>
          <w:kern w:val="2"/>
          <w:sz w:val="24"/>
          <w:szCs w:val="24"/>
          <w:lang w:val="zh-CN" w:eastAsia="zh-CN" w:bidi="ar-SA"/>
        </w:rPr>
        <w:t>8.智能化呼气采样。</w:t>
      </w:r>
    </w:p>
    <w:p>
      <w:pPr>
        <w:keepNext w:val="0"/>
        <w:keepLines w:val="0"/>
        <w:pageBreakBefore w:val="0"/>
        <w:kinsoku/>
        <w:wordWrap/>
        <w:overflowPunct/>
        <w:topLinePunct w:val="0"/>
        <w:autoSpaceDE/>
        <w:autoSpaceDN/>
        <w:bidi w:val="0"/>
        <w:adjustRightInd/>
        <w:spacing w:beforeAutospacing="0" w:afterAutospacing="0" w:line="360" w:lineRule="auto"/>
        <w:ind w:left="99" w:leftChars="47" w:right="84" w:rightChars="40" w:firstLine="240" w:firstLineChars="100"/>
        <w:textAlignment w:val="auto"/>
        <w:rPr>
          <w:rFonts w:hint="eastAsia" w:ascii="宋体" w:hAnsi="宋体" w:eastAsia="宋体" w:cs="宋体"/>
          <w:kern w:val="2"/>
          <w:sz w:val="24"/>
          <w:szCs w:val="24"/>
          <w:lang w:val="zh-CN" w:eastAsia="zh-CN" w:bidi="ar-SA"/>
        </w:rPr>
      </w:pPr>
      <w:r>
        <w:rPr>
          <w:rFonts w:hint="eastAsia" w:ascii="宋体" w:hAnsi="宋体" w:eastAsia="宋体" w:cs="宋体"/>
          <w:kern w:val="2"/>
          <w:sz w:val="24"/>
          <w:szCs w:val="24"/>
          <w:lang w:val="zh-CN" w:eastAsia="zh-CN" w:bidi="ar-SA"/>
        </w:rPr>
        <w:t>9.检测需要的有效分析气体量：≤30 毫升。</w:t>
      </w:r>
    </w:p>
    <w:p>
      <w:pPr>
        <w:keepNext w:val="0"/>
        <w:keepLines w:val="0"/>
        <w:pageBreakBefore w:val="0"/>
        <w:kinsoku/>
        <w:wordWrap/>
        <w:overflowPunct/>
        <w:topLinePunct w:val="0"/>
        <w:autoSpaceDE/>
        <w:autoSpaceDN/>
        <w:bidi w:val="0"/>
        <w:adjustRightInd/>
        <w:spacing w:beforeAutospacing="0" w:afterAutospacing="0" w:line="360" w:lineRule="auto"/>
        <w:ind w:left="99" w:leftChars="47" w:right="84" w:rightChars="40" w:firstLine="240" w:firstLineChars="100"/>
        <w:textAlignment w:val="auto"/>
        <w:rPr>
          <w:rFonts w:hint="eastAsia" w:ascii="宋体" w:hAnsi="宋体" w:eastAsia="宋体" w:cs="宋体"/>
          <w:kern w:val="2"/>
          <w:sz w:val="24"/>
          <w:szCs w:val="24"/>
          <w:lang w:val="zh-CN" w:eastAsia="zh-CN" w:bidi="ar-SA"/>
        </w:rPr>
      </w:pPr>
      <w:r>
        <w:rPr>
          <w:rFonts w:hint="eastAsia" w:ascii="宋体" w:hAnsi="宋体" w:eastAsia="宋体" w:cs="宋体"/>
          <w:kern w:val="2"/>
          <w:sz w:val="24"/>
          <w:szCs w:val="24"/>
          <w:lang w:val="zh-CN" w:eastAsia="zh-CN" w:bidi="ar-SA"/>
        </w:rPr>
        <w:t>10.呼气流速。口呼气流速50±10%ml/s、200±10%ml/s、鼻呼气流速 10ml/s，可分段测试支气管、肺泡及鼻腔NO浓度。</w:t>
      </w:r>
    </w:p>
    <w:p>
      <w:pPr>
        <w:keepNext w:val="0"/>
        <w:keepLines w:val="0"/>
        <w:pageBreakBefore w:val="0"/>
        <w:kinsoku/>
        <w:wordWrap/>
        <w:overflowPunct/>
        <w:topLinePunct w:val="0"/>
        <w:autoSpaceDE/>
        <w:autoSpaceDN/>
        <w:bidi w:val="0"/>
        <w:adjustRightInd/>
        <w:spacing w:beforeAutospacing="0" w:afterAutospacing="0" w:line="360" w:lineRule="auto"/>
        <w:ind w:left="99" w:leftChars="47" w:right="84" w:rightChars="40" w:firstLine="240" w:firstLineChars="100"/>
        <w:textAlignment w:val="auto"/>
        <w:rPr>
          <w:rFonts w:hint="eastAsia" w:ascii="宋体" w:hAnsi="宋体" w:eastAsia="宋体" w:cs="宋体"/>
          <w:kern w:val="2"/>
          <w:sz w:val="24"/>
          <w:szCs w:val="24"/>
          <w:lang w:val="zh-CN" w:eastAsia="zh-CN" w:bidi="ar-SA"/>
        </w:rPr>
      </w:pPr>
      <w:r>
        <w:rPr>
          <w:rFonts w:hint="eastAsia" w:ascii="宋体" w:hAnsi="宋体" w:eastAsia="宋体" w:cs="宋体"/>
          <w:kern w:val="2"/>
          <w:sz w:val="24"/>
          <w:szCs w:val="24"/>
          <w:lang w:val="zh-CN" w:eastAsia="zh-CN" w:bidi="ar-SA"/>
        </w:rPr>
        <w:t>11.仪器具备联检功能，可检测指标FeNO50、FeNO200，（FeNO+CaNO）、上下气道（FeNO+FnNO）。</w:t>
      </w:r>
    </w:p>
    <w:p>
      <w:pPr>
        <w:keepNext w:val="0"/>
        <w:keepLines w:val="0"/>
        <w:pageBreakBefore w:val="0"/>
        <w:kinsoku/>
        <w:wordWrap/>
        <w:overflowPunct/>
        <w:topLinePunct w:val="0"/>
        <w:autoSpaceDE/>
        <w:autoSpaceDN/>
        <w:bidi w:val="0"/>
        <w:adjustRightInd/>
        <w:spacing w:beforeAutospacing="0" w:afterAutospacing="0" w:line="360" w:lineRule="auto"/>
        <w:ind w:left="99" w:leftChars="47" w:right="84" w:rightChars="40" w:firstLine="240" w:firstLineChars="100"/>
        <w:textAlignment w:val="auto"/>
        <w:rPr>
          <w:rFonts w:hint="eastAsia" w:ascii="宋体" w:hAnsi="宋体" w:eastAsia="宋体" w:cs="宋体"/>
          <w:b w:val="0"/>
          <w:bCs w:val="0"/>
          <w:kern w:val="2"/>
          <w:sz w:val="24"/>
          <w:szCs w:val="24"/>
          <w:lang w:val="zh-CN" w:eastAsia="zh-CN" w:bidi="ar-SA"/>
        </w:rPr>
      </w:pPr>
      <w:r>
        <w:rPr>
          <w:rFonts w:hint="eastAsia" w:ascii="宋体" w:hAnsi="宋体" w:eastAsia="宋体" w:cs="宋体"/>
          <w:b w:val="0"/>
          <w:bCs w:val="0"/>
          <w:kern w:val="2"/>
          <w:sz w:val="24"/>
          <w:szCs w:val="24"/>
          <w:lang w:val="zh-CN" w:eastAsia="zh-CN" w:bidi="ar-SA"/>
        </w:rPr>
        <w:t>12、需报价耗材：一氧化氮检测器、过滤器、采样气袋、鼻呼头</w:t>
      </w:r>
    </w:p>
    <w:p>
      <w:pPr>
        <w:keepNext w:val="0"/>
        <w:keepLines w:val="0"/>
        <w:pageBreakBefore w:val="0"/>
        <w:numPr>
          <w:ilvl w:val="0"/>
          <w:numId w:val="0"/>
        </w:numPr>
        <w:kinsoku/>
        <w:wordWrap/>
        <w:overflowPunct/>
        <w:topLinePunct w:val="0"/>
        <w:autoSpaceDE/>
        <w:autoSpaceDN/>
        <w:bidi w:val="0"/>
        <w:adjustRightInd/>
        <w:spacing w:beforeAutospacing="0" w:afterAutospacing="0" w:line="360" w:lineRule="auto"/>
        <w:textAlignment w:val="auto"/>
        <w:rPr>
          <w:rFonts w:hint="eastAsia" w:ascii="宋体" w:hAnsi="宋体" w:cs="宋体"/>
          <w:b/>
          <w:bCs/>
          <w:kern w:val="2"/>
          <w:sz w:val="24"/>
          <w:szCs w:val="24"/>
          <w:highlight w:val="none"/>
          <w:lang w:val="en-US" w:eastAsia="zh-CN" w:bidi="ar-SA"/>
        </w:rPr>
      </w:pPr>
      <w:r>
        <w:rPr>
          <w:rFonts w:hint="eastAsia" w:ascii="宋体" w:hAnsi="宋体" w:cs="宋体"/>
          <w:b/>
          <w:bCs/>
          <w:kern w:val="2"/>
          <w:sz w:val="24"/>
          <w:szCs w:val="24"/>
          <w:highlight w:val="none"/>
          <w:lang w:val="en-US" w:eastAsia="zh-CN" w:bidi="ar-SA"/>
        </w:rPr>
        <w:t>五、服务要求：</w:t>
      </w:r>
    </w:p>
    <w:p>
      <w:pPr>
        <w:pageBreakBefore w:val="0"/>
        <w:numPr>
          <w:ilvl w:val="0"/>
          <w:numId w:val="0"/>
        </w:numPr>
        <w:kinsoku/>
        <w:wordWrap/>
        <w:overflowPunct/>
        <w:topLinePunct w:val="0"/>
        <w:bidi w:val="0"/>
        <w:snapToGrid w:val="0"/>
        <w:spacing w:beforeAutospacing="0" w:afterAutospacing="0" w:line="360" w:lineRule="auto"/>
        <w:ind w:firstLine="480" w:firstLineChars="200"/>
        <w:jc w:val="lef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 xml:space="preserve">1、质量要求：投标人须提供符合国家质量标准、部颁标准、行业标准或本招标文件规定标准的、供货渠道合法的全新原装合格正品（包括零部件），如安装或配置软件的，须为正版软件。所提供的货物应当同时符合国家有关安全、卫生、环保规定。本项目中所投产品涉及纳入国家认证认可监督管理委员会现行《强制性产品认证目录描述与界定表》管理的强制性认 证产品（简称 3C 认证产品）的，该产品应具有由认证机构颁发给制造商的该产品强制性认证证书。 </w:t>
      </w:r>
    </w:p>
    <w:p>
      <w:pPr>
        <w:pageBreakBefore w:val="0"/>
        <w:numPr>
          <w:ilvl w:val="0"/>
          <w:numId w:val="0"/>
        </w:numPr>
        <w:kinsoku/>
        <w:wordWrap/>
        <w:overflowPunct/>
        <w:topLinePunct w:val="0"/>
        <w:bidi w:val="0"/>
        <w:snapToGrid w:val="0"/>
        <w:spacing w:beforeAutospacing="0" w:afterAutospacing="0" w:line="360" w:lineRule="auto"/>
        <w:ind w:firstLine="480" w:firstLineChars="200"/>
        <w:jc w:val="left"/>
        <w:textAlignment w:val="auto"/>
        <w:rPr>
          <w:rFonts w:hint="eastAsia" w:ascii="宋体" w:hAnsi="宋体" w:eastAsia="宋体" w:cs="宋体"/>
          <w:sz w:val="24"/>
          <w:szCs w:val="32"/>
          <w:lang w:val="en-US" w:eastAsia="zh-CN"/>
        </w:rPr>
      </w:pPr>
      <w:r>
        <w:rPr>
          <w:rFonts w:hint="eastAsia" w:ascii="宋体" w:hAnsi="宋体" w:eastAsia="宋体" w:cs="宋体"/>
          <w:b w:val="0"/>
          <w:bCs w:val="0"/>
          <w:color w:val="auto"/>
          <w:sz w:val="24"/>
          <w:szCs w:val="24"/>
          <w:highlight w:val="none"/>
          <w:lang w:val="en-US" w:eastAsia="zh-CN"/>
        </w:rPr>
        <w:t>2、采购人使用中标人中标的货物、技术、资料、服务或其他任何一部分时，享有无偿使用权。免受第三方提出的侵犯其专利权、著作权、商标权或其它知识产权的起诉。如果第三方提出侵权指控，中标人应承担由此而引起的一切法律责任和费用。</w:t>
      </w:r>
    </w:p>
    <w:p>
      <w:pPr>
        <w:keepNext w:val="0"/>
        <w:keepLines w:val="0"/>
        <w:pageBreakBefore w:val="0"/>
        <w:kinsoku/>
        <w:wordWrap/>
        <w:overflowPunct/>
        <w:topLinePunct w:val="0"/>
        <w:autoSpaceDE/>
        <w:autoSpaceDN/>
        <w:bidi w:val="0"/>
        <w:adjustRightInd/>
        <w:snapToGrid w:val="0"/>
        <w:spacing w:beforeAutospacing="0" w:afterAutospacing="0" w:line="360" w:lineRule="auto"/>
        <w:jc w:val="center"/>
        <w:textAlignment w:val="auto"/>
        <w:rPr>
          <w:rFonts w:hint="eastAsia"/>
        </w:rPr>
      </w:pPr>
      <w:r>
        <w:rPr>
          <w:rFonts w:hint="eastAsia" w:ascii="宋体" w:hAnsi="宋体" w:eastAsia="宋体" w:cs="宋体"/>
          <w:b/>
          <w:bCs/>
          <w:color w:val="auto"/>
          <w:sz w:val="24"/>
          <w:szCs w:val="24"/>
          <w:highlight w:val="none"/>
        </w:rPr>
        <w:t>商务要求</w:t>
      </w:r>
    </w:p>
    <w:tbl>
      <w:tblPr>
        <w:tblStyle w:val="32"/>
        <w:tblpPr w:leftFromText="180" w:rightFromText="180" w:vertAnchor="text" w:tblpXSpec="center" w:tblpY="1"/>
        <w:tblOverlap w:val="never"/>
        <w:tblW w:w="9115"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06"/>
        <w:gridCol w:w="700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0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360" w:lineRule="auto"/>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合同签订时间</w:t>
            </w:r>
          </w:p>
        </w:tc>
        <w:tc>
          <w:tcPr>
            <w:tcW w:w="700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360" w:lineRule="auto"/>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自</w:t>
            </w:r>
            <w:r>
              <w:rPr>
                <w:rFonts w:hint="eastAsia" w:ascii="宋体" w:hAnsi="宋体" w:eastAsia="宋体" w:cs="宋体"/>
                <w:color w:val="auto"/>
                <w:kern w:val="0"/>
                <w:sz w:val="24"/>
                <w:szCs w:val="24"/>
                <w:highlight w:val="none"/>
                <w:lang w:eastAsia="zh-CN"/>
              </w:rPr>
              <w:t>成交通知书</w:t>
            </w:r>
            <w:r>
              <w:rPr>
                <w:rFonts w:hint="eastAsia" w:ascii="宋体" w:hAnsi="宋体" w:eastAsia="宋体" w:cs="宋体"/>
                <w:color w:val="auto"/>
                <w:kern w:val="0"/>
                <w:sz w:val="24"/>
                <w:szCs w:val="24"/>
                <w:highlight w:val="none"/>
              </w:rPr>
              <w:t>发出之日起</w:t>
            </w:r>
            <w:r>
              <w:rPr>
                <w:rFonts w:hint="eastAsia" w:ascii="宋体" w:hAnsi="宋体" w:eastAsia="宋体" w:cs="宋体"/>
                <w:color w:val="auto"/>
                <w:kern w:val="0"/>
                <w:sz w:val="24"/>
                <w:szCs w:val="24"/>
                <w:highlight w:val="none"/>
                <w:lang w:val="en-US" w:eastAsia="zh-CN"/>
              </w:rPr>
              <w:t>三十</w:t>
            </w:r>
            <w:r>
              <w:rPr>
                <w:rFonts w:hint="eastAsia" w:ascii="宋体" w:hAnsi="宋体" w:eastAsia="宋体" w:cs="宋体"/>
                <w:color w:val="auto"/>
                <w:kern w:val="0"/>
                <w:sz w:val="24"/>
                <w:szCs w:val="24"/>
                <w:highlight w:val="none"/>
              </w:rPr>
              <w:t>个</w:t>
            </w:r>
            <w:r>
              <w:rPr>
                <w:rFonts w:hint="eastAsia" w:ascii="宋体" w:hAnsi="宋体" w:eastAsia="宋体" w:cs="宋体"/>
                <w:color w:val="auto"/>
                <w:kern w:val="0"/>
                <w:sz w:val="24"/>
                <w:szCs w:val="24"/>
                <w:highlight w:val="none"/>
                <w:lang w:val="en-US" w:eastAsia="zh-CN"/>
              </w:rPr>
              <w:t>日历日</w:t>
            </w:r>
            <w:r>
              <w:rPr>
                <w:rFonts w:hint="eastAsia" w:ascii="宋体" w:hAnsi="宋体" w:eastAsia="宋体" w:cs="宋体"/>
                <w:color w:val="auto"/>
                <w:kern w:val="0"/>
                <w:sz w:val="24"/>
                <w:szCs w:val="24"/>
                <w:highlight w:val="none"/>
              </w:rPr>
              <w:t>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0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360" w:lineRule="auto"/>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交货地点</w:t>
            </w:r>
          </w:p>
        </w:tc>
        <w:tc>
          <w:tcPr>
            <w:tcW w:w="700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360" w:lineRule="auto"/>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sz w:val="24"/>
                <w:szCs w:val="24"/>
                <w:highlight w:val="none"/>
                <w:lang w:val="en-US" w:eastAsia="zh-CN"/>
              </w:rPr>
              <w:t>采购人指定地点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0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360" w:lineRule="auto"/>
              <w:jc w:val="center"/>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交货期</w:t>
            </w:r>
          </w:p>
        </w:tc>
        <w:tc>
          <w:tcPr>
            <w:tcW w:w="700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360" w:lineRule="auto"/>
              <w:textAlignment w:val="auto"/>
              <w:rPr>
                <w:rFonts w:hint="eastAsia"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合同签订后30日内交货，最终以合同约定内容为准。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0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360" w:lineRule="auto"/>
              <w:jc w:val="center"/>
              <w:textAlignment w:val="auto"/>
              <w:rPr>
                <w:rFonts w:hint="default"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质保期</w:t>
            </w:r>
          </w:p>
        </w:tc>
        <w:tc>
          <w:tcPr>
            <w:tcW w:w="700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360" w:lineRule="auto"/>
              <w:textAlignment w:val="auto"/>
              <w:rPr>
                <w:rFonts w:hint="default"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三年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0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360" w:lineRule="auto"/>
              <w:jc w:val="center"/>
              <w:textAlignment w:val="auto"/>
              <w:rPr>
                <w:rFonts w:hint="default"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售后服务</w:t>
            </w:r>
          </w:p>
        </w:tc>
        <w:tc>
          <w:tcPr>
            <w:tcW w:w="700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360" w:lineRule="auto"/>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从产品入库之日起，整机保修三年，出具相关服务承诺书。（2）质保期内应当为采购人提供以下技术支持和服务：a、现场响应：供应商应保证在12小时内对用户提出的问题或故障予以响应及处理。可提供备用设备或核心部件应急使用。b、中标人应当应每季度对该设备进行保养不少于一次,并出具保养报告，具体保养内容见合同。c、质保期内该设备应保证大于95%（含）的开机率，如达不到要求，每少于一天质保期顺延7天，如造成严重损失需赔偿用户经济损失或换货或退货。d、技术升级，如果制造商的产品技术升级，中标人应及时通知采购人，如采购人有相应要求，中标人和制造商应对采购人购买的产品进行免费升级服务。e、投标人交付设备时，应按照《国家食品药品监督管理总局》第18号令第17条的要求提供相应的维护手册、维修手册、软件备份、故障代码表、备件清单、零部件、维修密码等维护维修必需的材料和信息。f、除火灾、洪水、地震等天灾外，在保修期内，由于货物故障所产生的所有费用均由供应商负责。</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0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360" w:lineRule="auto"/>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验  收</w:t>
            </w:r>
          </w:p>
        </w:tc>
        <w:tc>
          <w:tcPr>
            <w:tcW w:w="700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360" w:lineRule="auto"/>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由采购人按照有关规定组织验收</w:t>
            </w:r>
            <w:r>
              <w:rPr>
                <w:rFonts w:hint="eastAsia" w:ascii="宋体" w:hAnsi="宋体" w:cs="宋体"/>
                <w:color w:val="auto"/>
                <w:kern w:val="0"/>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0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360" w:lineRule="auto"/>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质量要求</w:t>
            </w:r>
          </w:p>
        </w:tc>
        <w:tc>
          <w:tcPr>
            <w:tcW w:w="700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360" w:lineRule="auto"/>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合格</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0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360" w:lineRule="auto"/>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付款方式</w:t>
            </w:r>
          </w:p>
        </w:tc>
        <w:tc>
          <w:tcPr>
            <w:tcW w:w="700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360" w:lineRule="auto"/>
              <w:textAlignment w:val="auto"/>
              <w:rPr>
                <w:rFonts w:hint="default" w:ascii="宋体" w:hAnsi="宋体" w:eastAsia="宋体" w:cs="宋体"/>
                <w:color w:val="auto"/>
                <w:kern w:val="0"/>
                <w:sz w:val="24"/>
                <w:szCs w:val="24"/>
                <w:highlight w:val="none"/>
                <w:lang w:val="en-US" w:eastAsia="zh-CN"/>
              </w:rPr>
            </w:pPr>
            <w:r>
              <w:rPr>
                <w:rFonts w:hint="default" w:ascii="宋体" w:hAnsi="宋体" w:eastAsia="宋体" w:cs="宋体"/>
                <w:color w:val="auto"/>
                <w:kern w:val="0"/>
                <w:sz w:val="24"/>
                <w:szCs w:val="24"/>
                <w:highlight w:val="none"/>
                <w:lang w:val="en-US" w:eastAsia="zh-CN"/>
              </w:rPr>
              <w:t>以合同约定为准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0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360" w:lineRule="auto"/>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培训</w:t>
            </w:r>
          </w:p>
        </w:tc>
        <w:tc>
          <w:tcPr>
            <w:tcW w:w="700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360" w:lineRule="auto"/>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免费提供操作培训和维修培训</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0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360" w:lineRule="auto"/>
              <w:jc w:val="center"/>
              <w:textAlignment w:val="auto"/>
              <w:rPr>
                <w:rFonts w:hint="eastAsia"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其他要求</w:t>
            </w:r>
          </w:p>
        </w:tc>
        <w:tc>
          <w:tcPr>
            <w:tcW w:w="700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360" w:lineRule="auto"/>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（1）所有设备按照医院实际要求免费开放端口，免费为医院对接院内信息系统。质保期内免费进行软件升级</w:t>
            </w:r>
          </w:p>
          <w:p>
            <w:pPr>
              <w:keepNext w:val="0"/>
              <w:keepLines w:val="0"/>
              <w:pageBreakBefore w:val="0"/>
              <w:widowControl/>
              <w:kinsoku/>
              <w:wordWrap/>
              <w:overflowPunct/>
              <w:topLinePunct w:val="0"/>
              <w:autoSpaceDE/>
              <w:autoSpaceDN/>
              <w:bidi w:val="0"/>
              <w:adjustRightInd/>
              <w:snapToGrid w:val="0"/>
              <w:spacing w:beforeAutospacing="0" w:afterAutospacing="0" w:line="360" w:lineRule="auto"/>
              <w:textAlignment w:val="auto"/>
              <w:rPr>
                <w:rFonts w:hint="eastAsia"/>
              </w:rPr>
            </w:pPr>
            <w:r>
              <w:rPr>
                <w:rFonts w:hint="eastAsia" w:ascii="宋体" w:hAnsi="宋体" w:eastAsia="宋体" w:cs="宋体"/>
                <w:color w:val="auto"/>
                <w:kern w:val="0"/>
                <w:sz w:val="24"/>
                <w:szCs w:val="24"/>
                <w:highlight w:val="none"/>
                <w:lang w:val="en-US" w:eastAsia="zh-CN"/>
              </w:rPr>
              <w:t>（2）商品包装和快递包装应符合《商品包装政府采购需求标准（试行）》和《快递包装政府采购需求标准（试行）》规定。</w:t>
            </w:r>
          </w:p>
        </w:tc>
      </w:tr>
    </w:tbl>
    <w:p>
      <w:pPr>
        <w:keepNext w:val="0"/>
        <w:keepLines w:val="0"/>
        <w:pageBreakBefore w:val="0"/>
        <w:kinsoku/>
        <w:wordWrap/>
        <w:overflowPunct/>
        <w:topLinePunct w:val="0"/>
        <w:autoSpaceDE/>
        <w:autoSpaceDN/>
        <w:bidi w:val="0"/>
        <w:adjustRightInd/>
        <w:snapToGrid w:val="0"/>
        <w:spacing w:beforeAutospacing="0" w:afterAutospacing="0" w:line="360" w:lineRule="auto"/>
        <w:jc w:val="center"/>
        <w:textAlignment w:val="auto"/>
        <w:rPr>
          <w:rFonts w:hint="eastAsia" w:ascii="宋体" w:hAnsi="宋体" w:eastAsia="宋体" w:cs="宋体"/>
          <w:b/>
          <w:bCs/>
          <w:color w:val="auto"/>
          <w:sz w:val="24"/>
          <w:szCs w:val="24"/>
          <w:highlight w:val="none"/>
        </w:rPr>
      </w:pPr>
    </w:p>
    <w:p>
      <w:pPr>
        <w:keepNext w:val="0"/>
        <w:keepLines w:val="0"/>
        <w:pageBreakBefore w:val="0"/>
        <w:kinsoku/>
        <w:wordWrap/>
        <w:overflowPunct/>
        <w:topLinePunct w:val="0"/>
        <w:autoSpaceDE/>
        <w:autoSpaceDN/>
        <w:bidi w:val="0"/>
        <w:adjustRightInd/>
        <w:snapToGrid w:val="0"/>
        <w:spacing w:beforeAutospacing="0" w:afterAutospacing="0" w:line="360" w:lineRule="auto"/>
        <w:jc w:val="center"/>
        <w:textAlignment w:val="auto"/>
        <w:rPr>
          <w:rFonts w:hint="eastAsia" w:ascii="宋体" w:hAnsi="宋体" w:eastAsia="宋体" w:cs="宋体"/>
          <w:b/>
          <w:bCs/>
          <w:color w:val="auto"/>
          <w:sz w:val="24"/>
          <w:szCs w:val="24"/>
          <w:highlight w:val="none"/>
        </w:rPr>
      </w:pPr>
    </w:p>
    <w:p>
      <w:pPr>
        <w:keepNext w:val="0"/>
        <w:keepLines w:val="0"/>
        <w:pageBreakBefore w:val="0"/>
        <w:kinsoku/>
        <w:wordWrap/>
        <w:overflowPunct/>
        <w:topLinePunct w:val="0"/>
        <w:autoSpaceDE/>
        <w:autoSpaceDN/>
        <w:bidi w:val="0"/>
        <w:adjustRightInd/>
        <w:snapToGrid w:val="0"/>
        <w:spacing w:beforeAutospacing="0" w:afterAutospacing="0" w:line="360" w:lineRule="auto"/>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采购人对项目的特殊要求及说明</w:t>
      </w:r>
    </w:p>
    <w:tbl>
      <w:tblPr>
        <w:tblStyle w:val="32"/>
        <w:tblW w:w="9090" w:type="dxa"/>
        <w:tblInd w:w="61"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055"/>
        <w:gridCol w:w="703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76" w:hRule="atLeast"/>
        </w:trPr>
        <w:tc>
          <w:tcPr>
            <w:tcW w:w="205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360" w:lineRule="auto"/>
              <w:jc w:val="center"/>
              <w:textAlignment w:val="auto"/>
              <w:rPr>
                <w:rFonts w:hint="eastAsia" w:ascii="宋体" w:hAnsi="宋体" w:eastAsia="宋体" w:cs="宋体"/>
                <w:color w:val="auto"/>
                <w:spacing w:val="0"/>
                <w:kern w:val="0"/>
                <w:sz w:val="24"/>
                <w:szCs w:val="24"/>
                <w:highlight w:val="none"/>
              </w:rPr>
            </w:pPr>
            <w:r>
              <w:rPr>
                <w:rFonts w:hint="eastAsia" w:ascii="宋体" w:hAnsi="宋体" w:eastAsia="宋体" w:cs="宋体"/>
                <w:color w:val="auto"/>
                <w:spacing w:val="0"/>
                <w:kern w:val="0"/>
                <w:sz w:val="24"/>
                <w:szCs w:val="24"/>
                <w:highlight w:val="none"/>
              </w:rPr>
              <w:t>采购人的特殊要求及说明理由</w:t>
            </w:r>
          </w:p>
        </w:tc>
        <w:tc>
          <w:tcPr>
            <w:tcW w:w="703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numPr>
                <w:ilvl w:val="0"/>
                <w:numId w:val="1"/>
              </w:numPr>
              <w:kinsoku/>
              <w:wordWrap/>
              <w:overflowPunct/>
              <w:topLinePunct w:val="0"/>
              <w:autoSpaceDE/>
              <w:autoSpaceDN/>
              <w:bidi w:val="0"/>
              <w:adjustRightInd/>
              <w:snapToGrid w:val="0"/>
              <w:spacing w:beforeAutospacing="0" w:afterAutospacing="0" w:line="360" w:lineRule="auto"/>
              <w:textAlignment w:val="auto"/>
              <w:rPr>
                <w:rFonts w:hint="eastAsia" w:ascii="宋体" w:hAnsi="宋体" w:eastAsia="宋体" w:cs="宋体"/>
                <w:color w:val="auto"/>
                <w:spacing w:val="0"/>
                <w:kern w:val="0"/>
                <w:sz w:val="24"/>
                <w:szCs w:val="24"/>
                <w:highlight w:val="none"/>
              </w:rPr>
            </w:pPr>
            <w:r>
              <w:rPr>
                <w:rFonts w:hint="eastAsia" w:ascii="宋体" w:hAnsi="宋体" w:eastAsia="宋体" w:cs="宋体"/>
                <w:color w:val="auto"/>
                <w:spacing w:val="0"/>
                <w:kern w:val="0"/>
                <w:sz w:val="24"/>
                <w:szCs w:val="24"/>
                <w:highlight w:val="none"/>
              </w:rPr>
              <w:t>不接受联合体投标，不允许转包和分包。</w:t>
            </w:r>
          </w:p>
          <w:p>
            <w:pPr>
              <w:keepNext w:val="0"/>
              <w:keepLines w:val="0"/>
              <w:pageBreakBefore w:val="0"/>
              <w:widowControl/>
              <w:kinsoku/>
              <w:wordWrap/>
              <w:overflowPunct/>
              <w:topLinePunct w:val="0"/>
              <w:autoSpaceDE/>
              <w:autoSpaceDN/>
              <w:bidi w:val="0"/>
              <w:adjustRightInd/>
              <w:snapToGrid w:val="0"/>
              <w:spacing w:beforeAutospacing="0" w:afterAutospacing="0" w:line="360" w:lineRule="auto"/>
              <w:textAlignment w:val="auto"/>
              <w:rPr>
                <w:rFonts w:hint="eastAsia" w:ascii="宋体" w:hAnsi="宋体" w:eastAsia="宋体" w:cs="宋体"/>
                <w:color w:val="auto"/>
                <w:spacing w:val="0"/>
                <w:kern w:val="0"/>
                <w:sz w:val="24"/>
                <w:szCs w:val="24"/>
                <w:highlight w:val="none"/>
              </w:rPr>
            </w:pPr>
            <w:r>
              <w:rPr>
                <w:rFonts w:hint="eastAsia" w:ascii="宋体" w:hAnsi="宋体" w:eastAsia="宋体" w:cs="宋体"/>
                <w:color w:val="auto"/>
                <w:spacing w:val="0"/>
                <w:kern w:val="0"/>
                <w:sz w:val="24"/>
                <w:szCs w:val="24"/>
                <w:highlight w:val="none"/>
                <w:lang w:val="en-US" w:eastAsia="zh-CN"/>
              </w:rPr>
              <w:t>2</w:t>
            </w:r>
            <w:r>
              <w:rPr>
                <w:rFonts w:hint="eastAsia" w:ascii="宋体" w:hAnsi="宋体" w:eastAsia="宋体" w:cs="宋体"/>
                <w:color w:val="auto"/>
                <w:spacing w:val="0"/>
                <w:kern w:val="0"/>
                <w:sz w:val="24"/>
                <w:szCs w:val="24"/>
                <w:highlight w:val="none"/>
              </w:rPr>
              <w:t>、授权评标委员会确定一名中标人并推荐</w:t>
            </w:r>
            <w:r>
              <w:rPr>
                <w:rFonts w:hint="eastAsia" w:ascii="宋体" w:hAnsi="宋体" w:cs="宋体"/>
                <w:color w:val="auto"/>
                <w:spacing w:val="0"/>
                <w:kern w:val="0"/>
                <w:sz w:val="24"/>
                <w:szCs w:val="24"/>
                <w:highlight w:val="none"/>
                <w:lang w:eastAsia="zh-CN"/>
              </w:rPr>
              <w:t>一名中标候选人</w:t>
            </w:r>
            <w:r>
              <w:rPr>
                <w:rFonts w:hint="eastAsia" w:ascii="宋体" w:hAnsi="宋体" w:eastAsia="宋体" w:cs="宋体"/>
                <w:color w:val="auto"/>
                <w:spacing w:val="0"/>
                <w:kern w:val="0"/>
                <w:sz w:val="24"/>
                <w:szCs w:val="24"/>
                <w:highlight w:val="none"/>
              </w:rPr>
              <w:t>。</w:t>
            </w:r>
          </w:p>
          <w:p>
            <w:pPr>
              <w:keepNext w:val="0"/>
              <w:keepLines w:val="0"/>
              <w:pageBreakBefore w:val="0"/>
              <w:widowControl/>
              <w:kinsoku/>
              <w:wordWrap/>
              <w:overflowPunct/>
              <w:topLinePunct w:val="0"/>
              <w:autoSpaceDE/>
              <w:autoSpaceDN/>
              <w:bidi w:val="0"/>
              <w:adjustRightInd/>
              <w:snapToGrid w:val="0"/>
              <w:spacing w:beforeAutospacing="0" w:afterAutospacing="0" w:line="360" w:lineRule="auto"/>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lang w:val="en-US" w:eastAsia="zh-CN"/>
              </w:rPr>
              <w:t>3</w:t>
            </w:r>
            <w:r>
              <w:rPr>
                <w:rFonts w:hint="eastAsia" w:ascii="宋体" w:hAnsi="宋体" w:eastAsia="宋体" w:cs="宋体"/>
                <w:color w:val="auto"/>
                <w:spacing w:val="0"/>
                <w:sz w:val="24"/>
                <w:szCs w:val="24"/>
                <w:highlight w:val="none"/>
              </w:rPr>
              <w:t>、供应商应根据</w:t>
            </w:r>
            <w:r>
              <w:rPr>
                <w:rFonts w:hint="eastAsia" w:ascii="宋体" w:hAnsi="宋体" w:eastAsia="宋体" w:cs="宋体"/>
                <w:color w:val="auto"/>
                <w:spacing w:val="0"/>
                <w:sz w:val="24"/>
                <w:szCs w:val="24"/>
                <w:highlight w:val="none"/>
                <w:lang w:eastAsia="zh-CN"/>
              </w:rPr>
              <w:t>采购</w:t>
            </w:r>
            <w:r>
              <w:rPr>
                <w:rFonts w:hint="eastAsia" w:ascii="宋体" w:hAnsi="宋体" w:eastAsia="宋体" w:cs="宋体"/>
                <w:color w:val="auto"/>
                <w:spacing w:val="0"/>
                <w:sz w:val="24"/>
                <w:szCs w:val="24"/>
                <w:highlight w:val="none"/>
              </w:rPr>
              <w:t>文件的要求提供技术响应表、商务响应表等内容以对</w:t>
            </w:r>
            <w:r>
              <w:rPr>
                <w:rFonts w:hint="eastAsia" w:ascii="宋体" w:hAnsi="宋体" w:eastAsia="宋体" w:cs="宋体"/>
                <w:color w:val="auto"/>
                <w:spacing w:val="0"/>
                <w:sz w:val="24"/>
                <w:szCs w:val="24"/>
                <w:highlight w:val="none"/>
                <w:lang w:eastAsia="zh-CN"/>
              </w:rPr>
              <w:t>采购</w:t>
            </w:r>
            <w:r>
              <w:rPr>
                <w:rFonts w:hint="eastAsia" w:ascii="宋体" w:hAnsi="宋体" w:eastAsia="宋体" w:cs="宋体"/>
                <w:color w:val="auto"/>
                <w:spacing w:val="0"/>
                <w:sz w:val="24"/>
                <w:szCs w:val="24"/>
                <w:highlight w:val="none"/>
              </w:rPr>
              <w:t>文件作出响应。</w:t>
            </w:r>
          </w:p>
        </w:tc>
      </w:tr>
    </w:tbl>
    <w:p>
      <w:pPr>
        <w:pageBreakBefore w:val="0"/>
        <w:kinsoku/>
        <w:overflowPunct/>
        <w:topLinePunct w:val="0"/>
        <w:bidi w:val="0"/>
        <w:spacing w:beforeAutospacing="0" w:afterAutospacing="0" w:line="360" w:lineRule="auto"/>
        <w:rPr>
          <w:rFonts w:hint="eastAsia"/>
          <w:b/>
          <w:bCs/>
          <w:color w:val="auto"/>
          <w:sz w:val="32"/>
          <w:szCs w:val="32"/>
          <w:highlight w:val="none"/>
        </w:rPr>
      </w:pPr>
      <w:bookmarkStart w:id="40" w:name="_Toc14504"/>
      <w:r>
        <w:rPr>
          <w:rFonts w:hint="eastAsia"/>
          <w:b/>
          <w:bCs/>
          <w:color w:val="auto"/>
          <w:sz w:val="32"/>
          <w:szCs w:val="32"/>
          <w:highlight w:val="none"/>
        </w:rPr>
        <w:br w:type="page"/>
      </w:r>
    </w:p>
    <w:p>
      <w:pPr>
        <w:pageBreakBefore w:val="0"/>
        <w:kinsoku/>
        <w:overflowPunct/>
        <w:topLinePunct w:val="0"/>
        <w:bidi w:val="0"/>
        <w:spacing w:beforeAutospacing="0" w:afterAutospacing="0" w:line="360" w:lineRule="auto"/>
        <w:jc w:val="center"/>
        <w:rPr>
          <w:b/>
          <w:bCs/>
          <w:color w:val="auto"/>
          <w:sz w:val="32"/>
          <w:szCs w:val="32"/>
          <w:highlight w:val="none"/>
        </w:rPr>
      </w:pPr>
      <w:r>
        <w:rPr>
          <w:rFonts w:hint="eastAsia"/>
          <w:b/>
          <w:bCs/>
          <w:color w:val="auto"/>
          <w:sz w:val="32"/>
          <w:szCs w:val="32"/>
          <w:highlight w:val="none"/>
        </w:rPr>
        <w:t>第三章  投标人须知</w:t>
      </w:r>
      <w:bookmarkEnd w:id="40"/>
    </w:p>
    <w:p>
      <w:pPr>
        <w:pageBreakBefore w:val="0"/>
        <w:kinsoku/>
        <w:overflowPunct/>
        <w:topLinePunct w:val="0"/>
        <w:bidi w:val="0"/>
        <w:snapToGrid w:val="0"/>
        <w:spacing w:beforeAutospacing="0" w:afterAutospacing="0" w:line="360" w:lineRule="auto"/>
        <w:jc w:val="center"/>
        <w:rPr>
          <w:rFonts w:ascii="宋体" w:hAnsi="宋体"/>
          <w:color w:val="auto"/>
          <w:sz w:val="28"/>
          <w:szCs w:val="28"/>
          <w:highlight w:val="none"/>
        </w:rPr>
      </w:pPr>
      <w:r>
        <w:rPr>
          <w:rFonts w:hint="eastAsia" w:ascii="宋体" w:hAnsi="宋体"/>
          <w:color w:val="auto"/>
          <w:sz w:val="28"/>
          <w:szCs w:val="28"/>
          <w:highlight w:val="none"/>
        </w:rPr>
        <w:t>投标人须知前附表</w:t>
      </w:r>
    </w:p>
    <w:tbl>
      <w:tblPr>
        <w:tblStyle w:val="32"/>
        <w:tblW w:w="9183" w:type="dxa"/>
        <w:jc w:val="center"/>
        <w:tblLayout w:type="fixed"/>
        <w:tblCellMar>
          <w:top w:w="0" w:type="dxa"/>
          <w:left w:w="0" w:type="dxa"/>
          <w:bottom w:w="0" w:type="dxa"/>
          <w:right w:w="0" w:type="dxa"/>
        </w:tblCellMar>
      </w:tblPr>
      <w:tblGrid>
        <w:gridCol w:w="696"/>
        <w:gridCol w:w="8487"/>
      </w:tblGrid>
      <w:tr>
        <w:tblPrEx>
          <w:tblCellMar>
            <w:top w:w="0" w:type="dxa"/>
            <w:left w:w="0" w:type="dxa"/>
            <w:bottom w:w="0" w:type="dxa"/>
            <w:right w:w="0" w:type="dxa"/>
          </w:tblCellMar>
        </w:tblPrEx>
        <w:trPr>
          <w:trHeight w:val="450" w:hRule="atLeast"/>
          <w:jc w:val="center"/>
        </w:trPr>
        <w:tc>
          <w:tcPr>
            <w:tcW w:w="696" w:type="dxa"/>
            <w:tcBorders>
              <w:top w:val="single" w:color="auto" w:sz="8" w:space="0"/>
              <w:left w:val="single" w:color="auto" w:sz="8" w:space="0"/>
              <w:bottom w:val="single" w:color="auto" w:sz="4" w:space="0"/>
              <w:right w:val="single" w:color="auto" w:sz="4" w:space="0"/>
            </w:tcBorders>
            <w:tcMar>
              <w:top w:w="0" w:type="dxa"/>
              <w:left w:w="108" w:type="dxa"/>
              <w:bottom w:w="0" w:type="dxa"/>
              <w:right w:w="108" w:type="dxa"/>
            </w:tcMar>
            <w:vAlign w:val="center"/>
          </w:tcPr>
          <w:p>
            <w:pPr>
              <w:pageBreakBefore w:val="0"/>
              <w:widowControl/>
              <w:kinsoku/>
              <w:overflowPunct/>
              <w:topLinePunct w:val="0"/>
              <w:bidi w:val="0"/>
              <w:spacing w:beforeAutospacing="0" w:afterAutospacing="0"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序号</w:t>
            </w:r>
          </w:p>
        </w:tc>
        <w:tc>
          <w:tcPr>
            <w:tcW w:w="8487" w:type="dxa"/>
            <w:tcBorders>
              <w:top w:val="single" w:color="auto" w:sz="8" w:space="0"/>
              <w:left w:val="single" w:color="auto" w:sz="4" w:space="0"/>
              <w:bottom w:val="single" w:color="auto" w:sz="4" w:space="0"/>
              <w:right w:val="single" w:color="auto" w:sz="8" w:space="0"/>
            </w:tcBorders>
            <w:tcMar>
              <w:top w:w="0" w:type="dxa"/>
              <w:left w:w="108" w:type="dxa"/>
              <w:bottom w:w="0" w:type="dxa"/>
              <w:right w:w="108" w:type="dxa"/>
            </w:tcMar>
            <w:vAlign w:val="center"/>
          </w:tcPr>
          <w:p>
            <w:pPr>
              <w:pageBreakBefore w:val="0"/>
              <w:widowControl/>
              <w:kinsoku/>
              <w:overflowPunct/>
              <w:topLinePunct w:val="0"/>
              <w:bidi w:val="0"/>
              <w:spacing w:beforeAutospacing="0" w:afterAutospacing="0"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内容、要求</w:t>
            </w:r>
          </w:p>
        </w:tc>
      </w:tr>
      <w:tr>
        <w:tblPrEx>
          <w:tblCellMar>
            <w:top w:w="0" w:type="dxa"/>
            <w:left w:w="0" w:type="dxa"/>
            <w:bottom w:w="0" w:type="dxa"/>
            <w:right w:w="0" w:type="dxa"/>
          </w:tblCellMar>
        </w:tblPrEx>
        <w:trPr>
          <w:trHeight w:val="680" w:hRule="atLeast"/>
          <w:jc w:val="center"/>
        </w:trPr>
        <w:tc>
          <w:tcPr>
            <w:tcW w:w="696" w:type="dxa"/>
            <w:tcBorders>
              <w:top w:val="single" w:color="auto" w:sz="4" w:space="0"/>
              <w:left w:val="single" w:color="auto" w:sz="8" w:space="0"/>
              <w:bottom w:val="single" w:color="auto" w:sz="4" w:space="0"/>
              <w:right w:val="single" w:color="auto" w:sz="4" w:space="0"/>
            </w:tcBorders>
            <w:tcMar>
              <w:top w:w="0" w:type="dxa"/>
              <w:left w:w="108" w:type="dxa"/>
              <w:bottom w:w="0" w:type="dxa"/>
              <w:right w:w="108" w:type="dxa"/>
            </w:tcMar>
            <w:vAlign w:val="center"/>
          </w:tcPr>
          <w:p>
            <w:pPr>
              <w:pageBreakBefore w:val="0"/>
              <w:widowControl/>
              <w:kinsoku/>
              <w:overflowPunct/>
              <w:topLinePunct w:val="0"/>
              <w:bidi w:val="0"/>
              <w:spacing w:beforeAutospacing="0" w:afterAutospacing="0"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p>
        </w:tc>
        <w:tc>
          <w:tcPr>
            <w:tcW w:w="8487" w:type="dxa"/>
            <w:tcBorders>
              <w:top w:val="single" w:color="auto" w:sz="4" w:space="0"/>
              <w:left w:val="single" w:color="auto" w:sz="4" w:space="0"/>
              <w:bottom w:val="single" w:color="auto" w:sz="4" w:space="0"/>
              <w:right w:val="single" w:color="auto" w:sz="8" w:space="0"/>
            </w:tcBorders>
            <w:tcMar>
              <w:top w:w="0" w:type="dxa"/>
              <w:left w:w="108" w:type="dxa"/>
              <w:bottom w:w="0" w:type="dxa"/>
              <w:right w:w="108" w:type="dxa"/>
            </w:tcMar>
            <w:vAlign w:val="center"/>
          </w:tcPr>
          <w:p>
            <w:pPr>
              <w:pageBreakBefore w:val="0"/>
              <w:widowControl/>
              <w:kinsoku/>
              <w:overflowPunct/>
              <w:topLinePunct w:val="0"/>
              <w:bidi w:val="0"/>
              <w:snapToGrid w:val="0"/>
              <w:spacing w:beforeAutospacing="0" w:afterAutospacing="0" w:line="360" w:lineRule="auto"/>
              <w:jc w:val="left"/>
              <w:outlineLvl w:val="0"/>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rPr>
              <w:t>1.1</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项目名称：</w:t>
            </w:r>
            <w:r>
              <w:rPr>
                <w:rFonts w:hint="eastAsia" w:ascii="宋体" w:hAnsi="宋体" w:cs="宋体"/>
                <w:color w:val="auto"/>
                <w:sz w:val="24"/>
                <w:szCs w:val="24"/>
                <w:highlight w:val="none"/>
                <w:lang w:eastAsia="zh-CN"/>
              </w:rPr>
              <w:t>驻马店市中心医院核酸扩增分析仪、呼气分析仪采购项目</w:t>
            </w:r>
            <w:r>
              <w:rPr>
                <w:rFonts w:hint="eastAsia" w:ascii="宋体" w:hAnsi="宋体" w:eastAsia="宋体" w:cs="宋体"/>
                <w:color w:val="auto"/>
                <w:sz w:val="24"/>
                <w:szCs w:val="24"/>
                <w:highlight w:val="none"/>
                <w:lang w:val="en-US" w:eastAsia="zh-CN"/>
              </w:rPr>
              <w:t>。</w:t>
            </w:r>
          </w:p>
          <w:p>
            <w:pPr>
              <w:pageBreakBefore w:val="0"/>
              <w:widowControl/>
              <w:kinsoku/>
              <w:overflowPunct/>
              <w:topLinePunct w:val="0"/>
              <w:bidi w:val="0"/>
              <w:snapToGrid w:val="0"/>
              <w:spacing w:beforeAutospacing="0" w:afterAutospacing="0" w:line="360" w:lineRule="auto"/>
              <w:jc w:val="left"/>
              <w:outlineLvl w:val="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1.2</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采购人名称：</w:t>
            </w:r>
            <w:r>
              <w:rPr>
                <w:rFonts w:hint="eastAsia" w:ascii="宋体" w:hAnsi="宋体" w:eastAsia="宋体" w:cs="宋体"/>
                <w:sz w:val="24"/>
                <w:szCs w:val="24"/>
                <w:highlight w:val="none"/>
              </w:rPr>
              <w:t>驻马店市中心医院</w:t>
            </w:r>
            <w:r>
              <w:rPr>
                <w:rFonts w:hint="eastAsia" w:ascii="宋体" w:hAnsi="宋体" w:eastAsia="宋体" w:cs="宋体"/>
                <w:sz w:val="24"/>
                <w:szCs w:val="24"/>
                <w:highlight w:val="none"/>
                <w:lang w:eastAsia="zh-CN"/>
              </w:rPr>
              <w:t>。</w:t>
            </w:r>
          </w:p>
          <w:p>
            <w:pPr>
              <w:pageBreakBefore w:val="0"/>
              <w:widowControl/>
              <w:kinsoku/>
              <w:overflowPunct/>
              <w:topLinePunct w:val="0"/>
              <w:bidi w:val="0"/>
              <w:snapToGrid w:val="0"/>
              <w:spacing w:beforeAutospacing="0" w:afterAutospacing="0" w:line="360" w:lineRule="auto"/>
              <w:jc w:val="left"/>
              <w:outlineLvl w:val="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3</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采购范围：详</w:t>
            </w:r>
            <w:r>
              <w:rPr>
                <w:rFonts w:hint="eastAsia" w:ascii="宋体" w:hAnsi="宋体" w:eastAsia="宋体" w:cs="宋体"/>
                <w:color w:val="auto"/>
                <w:sz w:val="24"/>
                <w:szCs w:val="24"/>
                <w:highlight w:val="none"/>
                <w:lang w:val="en-US" w:eastAsia="zh-CN"/>
              </w:rPr>
              <w:t>见第二章采购</w:t>
            </w:r>
            <w:r>
              <w:rPr>
                <w:rFonts w:hint="eastAsia" w:ascii="宋体" w:hAnsi="宋体" w:eastAsia="宋体" w:cs="宋体"/>
                <w:color w:val="auto"/>
                <w:sz w:val="24"/>
                <w:szCs w:val="24"/>
                <w:highlight w:val="none"/>
              </w:rPr>
              <w:t>需求</w:t>
            </w:r>
            <w:r>
              <w:rPr>
                <w:rFonts w:hint="eastAsia" w:ascii="宋体" w:hAnsi="宋体" w:eastAsia="宋体" w:cs="宋体"/>
                <w:color w:val="auto"/>
                <w:sz w:val="24"/>
                <w:szCs w:val="24"/>
                <w:highlight w:val="none"/>
                <w:lang w:eastAsia="zh-CN"/>
              </w:rPr>
              <w:t>。</w:t>
            </w:r>
          </w:p>
        </w:tc>
      </w:tr>
      <w:tr>
        <w:tblPrEx>
          <w:tblCellMar>
            <w:top w:w="0" w:type="dxa"/>
            <w:left w:w="0" w:type="dxa"/>
            <w:bottom w:w="0" w:type="dxa"/>
            <w:right w:w="0" w:type="dxa"/>
          </w:tblCellMar>
        </w:tblPrEx>
        <w:trPr>
          <w:trHeight w:val="680" w:hRule="atLeast"/>
          <w:jc w:val="center"/>
        </w:trPr>
        <w:tc>
          <w:tcPr>
            <w:tcW w:w="696" w:type="dxa"/>
            <w:tcBorders>
              <w:top w:val="single" w:color="auto" w:sz="4" w:space="0"/>
              <w:left w:val="single" w:color="auto" w:sz="8" w:space="0"/>
              <w:bottom w:val="single" w:color="auto" w:sz="4" w:space="0"/>
              <w:right w:val="single" w:color="auto" w:sz="4" w:space="0"/>
            </w:tcBorders>
            <w:tcMar>
              <w:top w:w="0" w:type="dxa"/>
              <w:left w:w="108" w:type="dxa"/>
              <w:bottom w:w="0" w:type="dxa"/>
              <w:right w:w="108" w:type="dxa"/>
            </w:tcMar>
            <w:vAlign w:val="center"/>
          </w:tcPr>
          <w:p>
            <w:pPr>
              <w:pageBreakBefore w:val="0"/>
              <w:widowControl/>
              <w:kinsoku/>
              <w:overflowPunct/>
              <w:topLinePunct w:val="0"/>
              <w:bidi w:val="0"/>
              <w:spacing w:beforeAutospacing="0" w:afterAutospacing="0"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p>
        </w:tc>
        <w:tc>
          <w:tcPr>
            <w:tcW w:w="8487" w:type="dxa"/>
            <w:tcBorders>
              <w:top w:val="single" w:color="auto" w:sz="4" w:space="0"/>
              <w:left w:val="single" w:color="auto" w:sz="4" w:space="0"/>
              <w:bottom w:val="single" w:color="auto" w:sz="4" w:space="0"/>
              <w:right w:val="single" w:color="auto" w:sz="8" w:space="0"/>
            </w:tcBorders>
            <w:tcMar>
              <w:top w:w="0" w:type="dxa"/>
              <w:left w:w="108" w:type="dxa"/>
              <w:bottom w:w="0" w:type="dxa"/>
              <w:right w:w="108" w:type="dxa"/>
            </w:tcMar>
            <w:vAlign w:val="center"/>
          </w:tcPr>
          <w:p>
            <w:pPr>
              <w:pageBreakBefore w:val="0"/>
              <w:widowControl/>
              <w:kinsoku/>
              <w:overflowPunct/>
              <w:topLinePunct w:val="0"/>
              <w:bidi w:val="0"/>
              <w:spacing w:beforeAutospacing="0" w:afterAutospacing="0"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合格投标人：具备</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公告第二项规定的条件。</w:t>
            </w:r>
          </w:p>
        </w:tc>
      </w:tr>
      <w:tr>
        <w:tblPrEx>
          <w:tblCellMar>
            <w:top w:w="0" w:type="dxa"/>
            <w:left w:w="0" w:type="dxa"/>
            <w:bottom w:w="0" w:type="dxa"/>
            <w:right w:w="0" w:type="dxa"/>
          </w:tblCellMar>
        </w:tblPrEx>
        <w:trPr>
          <w:trHeight w:val="680" w:hRule="atLeast"/>
          <w:jc w:val="center"/>
        </w:trPr>
        <w:tc>
          <w:tcPr>
            <w:tcW w:w="696" w:type="dxa"/>
            <w:tcBorders>
              <w:top w:val="single" w:color="auto" w:sz="4" w:space="0"/>
              <w:left w:val="single" w:color="auto" w:sz="8" w:space="0"/>
              <w:bottom w:val="single" w:color="auto" w:sz="4" w:space="0"/>
              <w:right w:val="single" w:color="auto" w:sz="4" w:space="0"/>
            </w:tcBorders>
            <w:tcMar>
              <w:top w:w="0" w:type="dxa"/>
              <w:left w:w="108" w:type="dxa"/>
              <w:bottom w:w="0" w:type="dxa"/>
              <w:right w:w="108" w:type="dxa"/>
            </w:tcMar>
            <w:vAlign w:val="center"/>
          </w:tcPr>
          <w:p>
            <w:pPr>
              <w:pageBreakBefore w:val="0"/>
              <w:widowControl/>
              <w:kinsoku/>
              <w:overflowPunct/>
              <w:topLinePunct w:val="0"/>
              <w:bidi w:val="0"/>
              <w:snapToGrid w:val="0"/>
              <w:spacing w:beforeAutospacing="0" w:afterAutospacing="0"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w:t>
            </w:r>
          </w:p>
        </w:tc>
        <w:tc>
          <w:tcPr>
            <w:tcW w:w="8487" w:type="dxa"/>
            <w:tcBorders>
              <w:top w:val="single" w:color="auto" w:sz="4" w:space="0"/>
              <w:left w:val="single" w:color="auto" w:sz="4" w:space="0"/>
              <w:bottom w:val="single" w:color="auto" w:sz="4" w:space="0"/>
              <w:right w:val="single" w:color="auto" w:sz="8" w:space="0"/>
            </w:tcBorders>
            <w:tcMar>
              <w:top w:w="0" w:type="dxa"/>
              <w:left w:w="108" w:type="dxa"/>
              <w:bottom w:w="0" w:type="dxa"/>
              <w:right w:w="108" w:type="dxa"/>
            </w:tcMar>
            <w:vAlign w:val="center"/>
          </w:tcPr>
          <w:p>
            <w:pPr>
              <w:pageBreakBefore w:val="0"/>
              <w:widowControl/>
              <w:kinsoku/>
              <w:overflowPunct/>
              <w:topLinePunct w:val="0"/>
              <w:bidi w:val="0"/>
              <w:snapToGrid w:val="0"/>
              <w:spacing w:beforeAutospacing="0" w:afterAutospacing="0" w:line="360" w:lineRule="auto"/>
              <w:jc w:val="left"/>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采购预算（最高投标限价）：</w:t>
            </w:r>
            <w:r>
              <w:rPr>
                <w:rFonts w:hint="eastAsia" w:ascii="宋体" w:hAnsi="宋体" w:cs="宋体"/>
                <w:color w:val="auto"/>
                <w:kern w:val="0"/>
                <w:sz w:val="24"/>
                <w:szCs w:val="24"/>
                <w:highlight w:val="none"/>
                <w:lang w:val="en-US" w:eastAsia="zh-CN"/>
              </w:rPr>
              <w:t>6.36</w:t>
            </w:r>
            <w:r>
              <w:rPr>
                <w:rFonts w:hint="eastAsia" w:ascii="宋体" w:hAnsi="宋体" w:eastAsia="宋体" w:cs="宋体"/>
                <w:color w:val="auto"/>
                <w:kern w:val="0"/>
                <w:sz w:val="24"/>
                <w:szCs w:val="24"/>
                <w:highlight w:val="none"/>
                <w:lang w:val="en-US" w:eastAsia="zh-CN"/>
              </w:rPr>
              <w:t>万</w:t>
            </w:r>
            <w:r>
              <w:rPr>
                <w:rFonts w:hint="eastAsia" w:ascii="宋体" w:hAnsi="宋体" w:eastAsia="宋体" w:cs="宋体"/>
                <w:color w:val="auto"/>
                <w:kern w:val="0"/>
                <w:sz w:val="24"/>
                <w:szCs w:val="24"/>
                <w:highlight w:val="none"/>
              </w:rPr>
              <w:t>元</w:t>
            </w: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highlight w:val="none"/>
                <w:lang w:val="en-US" w:eastAsia="zh-CN"/>
              </w:rPr>
              <w:t>A包：2.56万元，B包：3.8万元</w:t>
            </w:r>
            <w:r>
              <w:rPr>
                <w:rFonts w:hint="eastAsia" w:ascii="宋体" w:hAnsi="宋体" w:eastAsia="宋体" w:cs="宋体"/>
                <w:color w:val="auto"/>
                <w:kern w:val="0"/>
                <w:sz w:val="24"/>
                <w:szCs w:val="24"/>
                <w:highlight w:val="none"/>
                <w:lang w:eastAsia="zh-CN"/>
              </w:rPr>
              <w:t>。</w:t>
            </w:r>
          </w:p>
          <w:p>
            <w:pPr>
              <w:pageBreakBefore w:val="0"/>
              <w:widowControl/>
              <w:kinsoku/>
              <w:overflowPunct/>
              <w:topLinePunct w:val="0"/>
              <w:bidi w:val="0"/>
              <w:snapToGrid w:val="0"/>
              <w:spacing w:beforeAutospacing="0" w:afterAutospacing="0"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3.1 本项目投标以人民币报价。</w:t>
            </w:r>
          </w:p>
          <w:p>
            <w:pPr>
              <w:pageBreakBefore w:val="0"/>
              <w:widowControl/>
              <w:kinsoku/>
              <w:overflowPunct/>
              <w:topLinePunct w:val="0"/>
              <w:bidi w:val="0"/>
              <w:snapToGrid w:val="0"/>
              <w:spacing w:beforeAutospacing="0" w:afterAutospacing="0"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3.2 供应商的报价超过采购预算，采购人不能支付的，按废标处理。</w:t>
            </w:r>
          </w:p>
          <w:p>
            <w:pPr>
              <w:pageBreakBefore w:val="0"/>
              <w:widowControl/>
              <w:kinsoku/>
              <w:overflowPunct/>
              <w:topLinePunct w:val="0"/>
              <w:bidi w:val="0"/>
              <w:snapToGrid w:val="0"/>
              <w:spacing w:beforeAutospacing="0" w:afterAutospacing="0"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3.3 本项目</w:t>
            </w:r>
            <w:r>
              <w:rPr>
                <w:rFonts w:hint="eastAsia" w:ascii="宋体" w:hAnsi="宋体" w:eastAsia="宋体" w:cs="宋体"/>
                <w:color w:val="auto"/>
                <w:kern w:val="0"/>
                <w:sz w:val="24"/>
                <w:szCs w:val="24"/>
                <w:highlight w:val="none"/>
                <w:lang w:val="en-US" w:eastAsia="zh-CN"/>
              </w:rPr>
              <w:t>由成交供应商缴纳</w:t>
            </w:r>
            <w:r>
              <w:rPr>
                <w:rFonts w:hint="eastAsia" w:ascii="宋体" w:hAnsi="宋体" w:eastAsia="宋体" w:cs="宋体"/>
                <w:color w:val="auto"/>
                <w:kern w:val="0"/>
                <w:sz w:val="24"/>
                <w:szCs w:val="24"/>
                <w:highlight w:val="none"/>
              </w:rPr>
              <w:t>招标代理服务费。</w:t>
            </w:r>
          </w:p>
        </w:tc>
      </w:tr>
      <w:tr>
        <w:tblPrEx>
          <w:tblCellMar>
            <w:top w:w="0" w:type="dxa"/>
            <w:left w:w="0" w:type="dxa"/>
            <w:bottom w:w="0" w:type="dxa"/>
            <w:right w:w="0" w:type="dxa"/>
          </w:tblCellMar>
        </w:tblPrEx>
        <w:trPr>
          <w:trHeight w:val="680" w:hRule="atLeast"/>
          <w:jc w:val="center"/>
        </w:trPr>
        <w:tc>
          <w:tcPr>
            <w:tcW w:w="696" w:type="dxa"/>
            <w:tcBorders>
              <w:top w:val="single" w:color="auto" w:sz="4" w:space="0"/>
              <w:left w:val="single" w:color="auto" w:sz="8" w:space="0"/>
              <w:bottom w:val="single" w:color="auto" w:sz="4" w:space="0"/>
              <w:right w:val="single" w:color="auto" w:sz="4" w:space="0"/>
            </w:tcBorders>
            <w:tcMar>
              <w:top w:w="0" w:type="dxa"/>
              <w:left w:w="108" w:type="dxa"/>
              <w:bottom w:w="0" w:type="dxa"/>
              <w:right w:w="108" w:type="dxa"/>
            </w:tcMar>
            <w:vAlign w:val="center"/>
          </w:tcPr>
          <w:p>
            <w:pPr>
              <w:pageBreakBefore w:val="0"/>
              <w:widowControl/>
              <w:kinsoku/>
              <w:overflowPunct/>
              <w:topLinePunct w:val="0"/>
              <w:bidi w:val="0"/>
              <w:snapToGrid w:val="0"/>
              <w:spacing w:beforeAutospacing="0" w:afterAutospacing="0"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w:t>
            </w:r>
          </w:p>
        </w:tc>
        <w:tc>
          <w:tcPr>
            <w:tcW w:w="8487" w:type="dxa"/>
            <w:tcBorders>
              <w:top w:val="single" w:color="auto" w:sz="4" w:space="0"/>
              <w:left w:val="single" w:color="auto" w:sz="4" w:space="0"/>
              <w:bottom w:val="single" w:color="auto" w:sz="4" w:space="0"/>
              <w:right w:val="single" w:color="auto" w:sz="8" w:space="0"/>
            </w:tcBorders>
            <w:tcMar>
              <w:top w:w="0" w:type="dxa"/>
              <w:left w:w="108" w:type="dxa"/>
              <w:bottom w:w="0" w:type="dxa"/>
              <w:right w:w="108" w:type="dxa"/>
            </w:tcMar>
            <w:vAlign w:val="center"/>
          </w:tcPr>
          <w:p>
            <w:pPr>
              <w:pageBreakBefore w:val="0"/>
              <w:widowControl/>
              <w:kinsoku/>
              <w:overflowPunct/>
              <w:topLinePunct w:val="0"/>
              <w:bidi w:val="0"/>
              <w:spacing w:beforeAutospacing="0" w:afterAutospacing="0"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现场踏勘或标前答疑：本项目不组织现场踏勘或标前答疑会。</w:t>
            </w:r>
          </w:p>
        </w:tc>
      </w:tr>
      <w:tr>
        <w:tblPrEx>
          <w:tblCellMar>
            <w:top w:w="0" w:type="dxa"/>
            <w:left w:w="0" w:type="dxa"/>
            <w:bottom w:w="0" w:type="dxa"/>
            <w:right w:w="0" w:type="dxa"/>
          </w:tblCellMar>
        </w:tblPrEx>
        <w:trPr>
          <w:trHeight w:val="680" w:hRule="atLeast"/>
          <w:jc w:val="center"/>
        </w:trPr>
        <w:tc>
          <w:tcPr>
            <w:tcW w:w="696" w:type="dxa"/>
            <w:tcBorders>
              <w:top w:val="single" w:color="auto" w:sz="4" w:space="0"/>
              <w:left w:val="single" w:color="auto" w:sz="8" w:space="0"/>
              <w:bottom w:val="single" w:color="auto" w:sz="4" w:space="0"/>
              <w:right w:val="single" w:color="auto" w:sz="4" w:space="0"/>
            </w:tcBorders>
            <w:tcMar>
              <w:top w:w="0" w:type="dxa"/>
              <w:left w:w="108" w:type="dxa"/>
              <w:bottom w:w="0" w:type="dxa"/>
              <w:right w:w="108" w:type="dxa"/>
            </w:tcMar>
            <w:vAlign w:val="center"/>
          </w:tcPr>
          <w:p>
            <w:pPr>
              <w:pageBreakBefore w:val="0"/>
              <w:widowControl/>
              <w:kinsoku/>
              <w:overflowPunct/>
              <w:topLinePunct w:val="0"/>
              <w:bidi w:val="0"/>
              <w:snapToGrid w:val="0"/>
              <w:spacing w:beforeAutospacing="0" w:afterAutospacing="0"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w:t>
            </w:r>
          </w:p>
        </w:tc>
        <w:tc>
          <w:tcPr>
            <w:tcW w:w="8487" w:type="dxa"/>
            <w:tcBorders>
              <w:top w:val="single" w:color="auto" w:sz="4" w:space="0"/>
              <w:left w:val="single" w:color="auto" w:sz="4" w:space="0"/>
              <w:bottom w:val="single" w:color="auto" w:sz="4" w:space="0"/>
              <w:right w:val="single" w:color="auto" w:sz="8" w:space="0"/>
            </w:tcBorders>
            <w:tcMar>
              <w:top w:w="0" w:type="dxa"/>
              <w:left w:w="108" w:type="dxa"/>
              <w:bottom w:w="0" w:type="dxa"/>
              <w:right w:w="108" w:type="dxa"/>
            </w:tcMar>
            <w:vAlign w:val="center"/>
          </w:tcPr>
          <w:p>
            <w:pPr>
              <w:pageBreakBefore w:val="0"/>
              <w:widowControl/>
              <w:kinsoku/>
              <w:overflowPunct/>
              <w:topLinePunct w:val="0"/>
              <w:bidi w:val="0"/>
              <w:snapToGrid w:val="0"/>
              <w:spacing w:beforeAutospacing="0" w:afterAutospacing="0" w:line="36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投标文件组成：纸质投标文件正本1份</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副本2份</w:t>
            </w:r>
            <w:r>
              <w:rPr>
                <w:rFonts w:hint="eastAsia" w:ascii="宋体" w:hAnsi="宋体" w:eastAsia="宋体" w:cs="宋体"/>
                <w:sz w:val="24"/>
                <w:szCs w:val="24"/>
                <w:highlight w:val="none"/>
              </w:rPr>
              <w:t>。</w:t>
            </w:r>
          </w:p>
        </w:tc>
      </w:tr>
      <w:tr>
        <w:tblPrEx>
          <w:tblCellMar>
            <w:top w:w="0" w:type="dxa"/>
            <w:left w:w="0" w:type="dxa"/>
            <w:bottom w:w="0" w:type="dxa"/>
            <w:right w:w="0" w:type="dxa"/>
          </w:tblCellMar>
        </w:tblPrEx>
        <w:trPr>
          <w:trHeight w:val="680" w:hRule="atLeast"/>
          <w:jc w:val="center"/>
        </w:trPr>
        <w:tc>
          <w:tcPr>
            <w:tcW w:w="696" w:type="dxa"/>
            <w:tcBorders>
              <w:top w:val="single" w:color="auto" w:sz="4" w:space="0"/>
              <w:left w:val="single" w:color="auto" w:sz="8" w:space="0"/>
              <w:bottom w:val="single" w:color="auto" w:sz="4" w:space="0"/>
              <w:right w:val="single" w:color="auto" w:sz="4" w:space="0"/>
            </w:tcBorders>
            <w:tcMar>
              <w:top w:w="0" w:type="dxa"/>
              <w:left w:w="108" w:type="dxa"/>
              <w:bottom w:w="0" w:type="dxa"/>
              <w:right w:w="108" w:type="dxa"/>
            </w:tcMar>
            <w:vAlign w:val="center"/>
          </w:tcPr>
          <w:p>
            <w:pPr>
              <w:pageBreakBefore w:val="0"/>
              <w:widowControl/>
              <w:kinsoku/>
              <w:overflowPunct/>
              <w:topLinePunct w:val="0"/>
              <w:bidi w:val="0"/>
              <w:snapToGrid w:val="0"/>
              <w:spacing w:beforeAutospacing="0" w:afterAutospacing="0"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6</w:t>
            </w:r>
          </w:p>
        </w:tc>
        <w:tc>
          <w:tcPr>
            <w:tcW w:w="8487" w:type="dxa"/>
            <w:tcBorders>
              <w:top w:val="single" w:color="auto" w:sz="4" w:space="0"/>
              <w:left w:val="single" w:color="auto" w:sz="4" w:space="0"/>
              <w:bottom w:val="single" w:color="auto" w:sz="4" w:space="0"/>
              <w:right w:val="single" w:color="auto" w:sz="8" w:space="0"/>
            </w:tcBorders>
            <w:tcMar>
              <w:top w:w="0" w:type="dxa"/>
              <w:left w:w="108" w:type="dxa"/>
              <w:bottom w:w="0" w:type="dxa"/>
              <w:right w:w="108" w:type="dxa"/>
            </w:tcMar>
            <w:vAlign w:val="center"/>
          </w:tcPr>
          <w:p>
            <w:pPr>
              <w:pageBreakBefore w:val="0"/>
              <w:widowControl/>
              <w:kinsoku/>
              <w:overflowPunct/>
              <w:topLinePunct w:val="0"/>
              <w:bidi w:val="0"/>
              <w:snapToGrid w:val="0"/>
              <w:spacing w:beforeAutospacing="0" w:afterAutospacing="0"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投标截止时间</w:t>
            </w:r>
            <w:r>
              <w:rPr>
                <w:rFonts w:hint="eastAsia" w:ascii="宋体" w:hAnsi="宋体" w:eastAsia="宋体" w:cs="宋体"/>
                <w:color w:val="auto"/>
                <w:kern w:val="0"/>
                <w:sz w:val="24"/>
                <w:szCs w:val="24"/>
                <w:highlight w:val="none"/>
                <w:lang w:val="en-US" w:eastAsia="zh-CN"/>
              </w:rPr>
              <w:t>及开标时间</w:t>
            </w:r>
            <w:r>
              <w:rPr>
                <w:rFonts w:hint="eastAsia" w:ascii="宋体" w:hAnsi="宋体" w:eastAsia="宋体" w:cs="宋体"/>
                <w:color w:val="auto"/>
                <w:kern w:val="0"/>
                <w:sz w:val="24"/>
                <w:szCs w:val="24"/>
                <w:highlight w:val="none"/>
              </w:rPr>
              <w:t>：</w:t>
            </w:r>
            <w:r>
              <w:rPr>
                <w:rFonts w:hint="eastAsia" w:ascii="宋体" w:hAnsi="宋体" w:eastAsia="宋体" w:cs="宋体"/>
                <w:color w:val="000000"/>
                <w:sz w:val="24"/>
                <w:szCs w:val="24"/>
                <w:highlight w:val="none"/>
                <w:lang w:val="en-US" w:eastAsia="zh-CN"/>
              </w:rPr>
              <w:t>另行通知</w:t>
            </w:r>
          </w:p>
          <w:p>
            <w:pPr>
              <w:pageBreakBefore w:val="0"/>
              <w:widowControl/>
              <w:kinsoku/>
              <w:overflowPunct/>
              <w:topLinePunct w:val="0"/>
              <w:bidi w:val="0"/>
              <w:snapToGrid w:val="0"/>
              <w:spacing w:beforeAutospacing="0" w:afterAutospacing="0"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投标文件递交地点</w:t>
            </w:r>
            <w:r>
              <w:rPr>
                <w:rFonts w:hint="eastAsia" w:ascii="宋体" w:hAnsi="宋体" w:eastAsia="宋体" w:cs="宋体"/>
                <w:color w:val="auto"/>
                <w:kern w:val="0"/>
                <w:sz w:val="24"/>
                <w:szCs w:val="24"/>
                <w:highlight w:val="none"/>
                <w:lang w:val="en-US" w:eastAsia="zh-CN"/>
              </w:rPr>
              <w:t>及开标地点</w:t>
            </w:r>
            <w:r>
              <w:rPr>
                <w:rFonts w:hint="eastAsia" w:ascii="宋体" w:hAnsi="宋体" w:eastAsia="宋体" w:cs="宋体"/>
                <w:color w:val="auto"/>
                <w:kern w:val="0"/>
                <w:sz w:val="24"/>
                <w:szCs w:val="24"/>
                <w:highlight w:val="none"/>
              </w:rPr>
              <w:t>：</w:t>
            </w:r>
            <w:r>
              <w:rPr>
                <w:rFonts w:hint="eastAsia" w:ascii="宋体" w:hAnsi="宋体" w:eastAsia="宋体" w:cs="宋体"/>
                <w:color w:val="000000"/>
                <w:sz w:val="24"/>
                <w:szCs w:val="24"/>
                <w:highlight w:val="none"/>
                <w:lang w:val="en-US" w:eastAsia="zh-CN"/>
              </w:rPr>
              <w:t>另行通知</w:t>
            </w:r>
            <w:r>
              <w:rPr>
                <w:rFonts w:hint="eastAsia" w:ascii="宋体" w:hAnsi="宋体" w:eastAsia="宋体" w:cs="宋体"/>
                <w:color w:val="auto"/>
                <w:kern w:val="0"/>
                <w:sz w:val="24"/>
                <w:szCs w:val="24"/>
                <w:highlight w:val="none"/>
              </w:rPr>
              <w:t>。</w:t>
            </w:r>
          </w:p>
        </w:tc>
      </w:tr>
      <w:tr>
        <w:tblPrEx>
          <w:tblCellMar>
            <w:top w:w="0" w:type="dxa"/>
            <w:left w:w="0" w:type="dxa"/>
            <w:bottom w:w="0" w:type="dxa"/>
            <w:right w:w="0" w:type="dxa"/>
          </w:tblCellMar>
        </w:tblPrEx>
        <w:trPr>
          <w:trHeight w:val="680" w:hRule="atLeast"/>
          <w:jc w:val="center"/>
        </w:trPr>
        <w:tc>
          <w:tcPr>
            <w:tcW w:w="696" w:type="dxa"/>
            <w:tcBorders>
              <w:top w:val="single" w:color="auto" w:sz="4" w:space="0"/>
              <w:left w:val="single" w:color="auto" w:sz="8" w:space="0"/>
              <w:bottom w:val="single" w:color="auto" w:sz="4" w:space="0"/>
              <w:right w:val="single" w:color="auto" w:sz="4" w:space="0"/>
            </w:tcBorders>
            <w:tcMar>
              <w:top w:w="0" w:type="dxa"/>
              <w:left w:w="108" w:type="dxa"/>
              <w:bottom w:w="0" w:type="dxa"/>
              <w:right w:w="108" w:type="dxa"/>
            </w:tcMar>
            <w:vAlign w:val="center"/>
          </w:tcPr>
          <w:p>
            <w:pPr>
              <w:pageBreakBefore w:val="0"/>
              <w:widowControl/>
              <w:kinsoku/>
              <w:overflowPunct/>
              <w:topLinePunct w:val="0"/>
              <w:bidi w:val="0"/>
              <w:snapToGrid w:val="0"/>
              <w:spacing w:beforeAutospacing="0" w:afterAutospacing="0"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7</w:t>
            </w:r>
          </w:p>
        </w:tc>
        <w:tc>
          <w:tcPr>
            <w:tcW w:w="8487" w:type="dxa"/>
            <w:tcBorders>
              <w:top w:val="single" w:color="auto" w:sz="4" w:space="0"/>
              <w:left w:val="single" w:color="auto" w:sz="4" w:space="0"/>
              <w:bottom w:val="single" w:color="auto" w:sz="4" w:space="0"/>
              <w:right w:val="single" w:color="auto" w:sz="8" w:space="0"/>
            </w:tcBorders>
            <w:tcMar>
              <w:top w:w="0" w:type="dxa"/>
              <w:left w:w="108" w:type="dxa"/>
              <w:bottom w:w="0" w:type="dxa"/>
              <w:right w:w="108" w:type="dxa"/>
            </w:tcMar>
            <w:vAlign w:val="center"/>
          </w:tcPr>
          <w:p>
            <w:pPr>
              <w:pageBreakBefore w:val="0"/>
              <w:kinsoku/>
              <w:overflowPunct/>
              <w:topLinePunct w:val="0"/>
              <w:bidi w:val="0"/>
              <w:spacing w:beforeAutospacing="0" w:afterAutospacing="0"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评审委员会成</w:t>
            </w:r>
            <w:r>
              <w:rPr>
                <w:rFonts w:hint="eastAsia" w:ascii="宋体" w:hAnsi="宋体" w:eastAsia="宋体" w:cs="宋体"/>
                <w:color w:val="auto"/>
                <w:kern w:val="0"/>
                <w:sz w:val="24"/>
                <w:szCs w:val="24"/>
                <w:highlight w:val="none"/>
              </w:rPr>
              <w:t>员：</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人</w:t>
            </w:r>
            <w:r>
              <w:rPr>
                <w:rFonts w:hint="eastAsia" w:ascii="宋体" w:hAnsi="宋体" w:eastAsia="宋体" w:cs="宋体"/>
                <w:color w:val="auto"/>
                <w:sz w:val="24"/>
                <w:szCs w:val="24"/>
                <w:highlight w:val="none"/>
                <w:lang w:val="en-US" w:eastAsia="zh-CN"/>
              </w:rPr>
              <w:t>及以上单数</w:t>
            </w:r>
            <w:r>
              <w:rPr>
                <w:rFonts w:hint="eastAsia" w:ascii="宋体" w:hAnsi="宋体" w:eastAsia="宋体" w:cs="宋体"/>
                <w:color w:val="auto"/>
                <w:kern w:val="0"/>
                <w:sz w:val="24"/>
                <w:szCs w:val="24"/>
                <w:highlight w:val="none"/>
              </w:rPr>
              <w:t>。</w:t>
            </w:r>
          </w:p>
          <w:p>
            <w:pPr>
              <w:pageBreakBefore w:val="0"/>
              <w:widowControl/>
              <w:kinsoku/>
              <w:overflowPunct/>
              <w:topLinePunct w:val="0"/>
              <w:bidi w:val="0"/>
              <w:spacing w:beforeAutospacing="0" w:afterAutospacing="0"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专家确定方式：</w:t>
            </w:r>
            <w:r>
              <w:rPr>
                <w:rFonts w:hint="eastAsia" w:ascii="宋体" w:hAnsi="宋体" w:eastAsia="宋体" w:cs="宋体"/>
                <w:color w:val="auto"/>
                <w:kern w:val="0"/>
                <w:sz w:val="24"/>
                <w:szCs w:val="24"/>
                <w:highlight w:val="none"/>
              </w:rPr>
              <w:t>由采购人</w:t>
            </w:r>
            <w:r>
              <w:rPr>
                <w:rFonts w:hint="eastAsia" w:ascii="宋体" w:hAnsi="宋体" w:eastAsia="宋体" w:cs="宋体"/>
                <w:color w:val="auto"/>
                <w:kern w:val="0"/>
                <w:sz w:val="24"/>
                <w:szCs w:val="24"/>
                <w:highlight w:val="none"/>
                <w:lang w:val="en-US" w:eastAsia="zh-CN"/>
              </w:rPr>
              <w:t>抽取相关的技术人员组成</w:t>
            </w:r>
            <w:r>
              <w:rPr>
                <w:rFonts w:hint="eastAsia" w:ascii="宋体" w:hAnsi="宋体" w:eastAsia="宋体" w:cs="宋体"/>
                <w:color w:val="auto"/>
                <w:kern w:val="0"/>
                <w:sz w:val="24"/>
                <w:szCs w:val="24"/>
                <w:highlight w:val="none"/>
              </w:rPr>
              <w:t>。</w:t>
            </w:r>
          </w:p>
        </w:tc>
      </w:tr>
      <w:tr>
        <w:tblPrEx>
          <w:tblCellMar>
            <w:top w:w="0" w:type="dxa"/>
            <w:left w:w="0" w:type="dxa"/>
            <w:bottom w:w="0" w:type="dxa"/>
            <w:right w:w="0" w:type="dxa"/>
          </w:tblCellMar>
        </w:tblPrEx>
        <w:trPr>
          <w:trHeight w:val="680" w:hRule="atLeast"/>
          <w:jc w:val="center"/>
        </w:trPr>
        <w:tc>
          <w:tcPr>
            <w:tcW w:w="696" w:type="dxa"/>
            <w:tcBorders>
              <w:top w:val="single" w:color="auto" w:sz="4" w:space="0"/>
              <w:left w:val="single" w:color="auto" w:sz="8" w:space="0"/>
              <w:bottom w:val="single" w:color="auto" w:sz="4" w:space="0"/>
              <w:right w:val="single" w:color="auto" w:sz="4" w:space="0"/>
            </w:tcBorders>
            <w:tcMar>
              <w:top w:w="0" w:type="dxa"/>
              <w:left w:w="108" w:type="dxa"/>
              <w:bottom w:w="0" w:type="dxa"/>
              <w:right w:w="108" w:type="dxa"/>
            </w:tcMar>
            <w:vAlign w:val="center"/>
          </w:tcPr>
          <w:p>
            <w:pPr>
              <w:pageBreakBefore w:val="0"/>
              <w:widowControl/>
              <w:kinsoku/>
              <w:overflowPunct/>
              <w:topLinePunct w:val="0"/>
              <w:bidi w:val="0"/>
              <w:spacing w:beforeAutospacing="0" w:afterAutospacing="0"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8 </w:t>
            </w:r>
          </w:p>
        </w:tc>
        <w:tc>
          <w:tcPr>
            <w:tcW w:w="8487" w:type="dxa"/>
            <w:tcBorders>
              <w:top w:val="single" w:color="auto" w:sz="4" w:space="0"/>
              <w:left w:val="single" w:color="auto" w:sz="4" w:space="0"/>
              <w:bottom w:val="single" w:color="auto" w:sz="4" w:space="0"/>
              <w:right w:val="single" w:color="auto" w:sz="8" w:space="0"/>
            </w:tcBorders>
            <w:tcMar>
              <w:top w:w="0" w:type="dxa"/>
              <w:left w:w="108" w:type="dxa"/>
              <w:bottom w:w="0" w:type="dxa"/>
              <w:right w:w="108" w:type="dxa"/>
            </w:tcMar>
            <w:vAlign w:val="center"/>
          </w:tcPr>
          <w:p>
            <w:pPr>
              <w:pageBreakBefore w:val="0"/>
              <w:kinsoku/>
              <w:overflowPunct/>
              <w:topLinePunct w:val="0"/>
              <w:bidi w:val="0"/>
              <w:spacing w:beforeAutospacing="0" w:afterAutospacing="0"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评标办法：</w:t>
            </w:r>
            <w:r>
              <w:rPr>
                <w:rFonts w:hint="eastAsia" w:ascii="宋体" w:hAnsi="宋体" w:eastAsia="宋体" w:cs="宋体"/>
                <w:color w:val="auto"/>
                <w:kern w:val="0"/>
                <w:sz w:val="24"/>
                <w:szCs w:val="24"/>
                <w:highlight w:val="none"/>
              </w:rPr>
              <w:t>本项目采用</w:t>
            </w:r>
            <w:r>
              <w:rPr>
                <w:rFonts w:hint="eastAsia" w:ascii="宋体" w:hAnsi="宋体" w:eastAsia="宋体" w:cs="宋体"/>
                <w:color w:val="auto"/>
                <w:sz w:val="24"/>
                <w:szCs w:val="24"/>
                <w:highlight w:val="none"/>
              </w:rPr>
              <w:t>综合评分法</w:t>
            </w:r>
            <w:r>
              <w:rPr>
                <w:rFonts w:hint="eastAsia" w:ascii="宋体" w:hAnsi="宋体" w:eastAsia="宋体" w:cs="宋体"/>
                <w:color w:val="auto"/>
                <w:kern w:val="0"/>
                <w:sz w:val="24"/>
                <w:szCs w:val="24"/>
                <w:highlight w:val="none"/>
              </w:rPr>
              <w:t>。</w:t>
            </w:r>
          </w:p>
        </w:tc>
      </w:tr>
      <w:tr>
        <w:tblPrEx>
          <w:tblCellMar>
            <w:top w:w="0" w:type="dxa"/>
            <w:left w:w="0" w:type="dxa"/>
            <w:bottom w:w="0" w:type="dxa"/>
            <w:right w:w="0" w:type="dxa"/>
          </w:tblCellMar>
        </w:tblPrEx>
        <w:trPr>
          <w:trHeight w:val="680" w:hRule="atLeast"/>
          <w:jc w:val="center"/>
        </w:trPr>
        <w:tc>
          <w:tcPr>
            <w:tcW w:w="696" w:type="dxa"/>
            <w:tcBorders>
              <w:top w:val="single" w:color="auto" w:sz="4" w:space="0"/>
              <w:left w:val="single" w:color="auto" w:sz="8" w:space="0"/>
              <w:bottom w:val="single" w:color="auto" w:sz="4" w:space="0"/>
              <w:right w:val="single" w:color="auto" w:sz="4" w:space="0"/>
            </w:tcBorders>
            <w:tcMar>
              <w:top w:w="0" w:type="dxa"/>
              <w:left w:w="108" w:type="dxa"/>
              <w:bottom w:w="0" w:type="dxa"/>
              <w:right w:w="108" w:type="dxa"/>
            </w:tcMar>
            <w:vAlign w:val="center"/>
          </w:tcPr>
          <w:p>
            <w:pPr>
              <w:pageBreakBefore w:val="0"/>
              <w:widowControl/>
              <w:kinsoku/>
              <w:overflowPunct/>
              <w:topLinePunct w:val="0"/>
              <w:bidi w:val="0"/>
              <w:spacing w:beforeAutospacing="0" w:afterAutospacing="0"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9</w:t>
            </w:r>
          </w:p>
        </w:tc>
        <w:tc>
          <w:tcPr>
            <w:tcW w:w="8487" w:type="dxa"/>
            <w:tcBorders>
              <w:top w:val="single" w:color="auto" w:sz="4" w:space="0"/>
              <w:left w:val="single" w:color="auto" w:sz="4" w:space="0"/>
              <w:bottom w:val="single" w:color="auto" w:sz="4" w:space="0"/>
              <w:right w:val="single" w:color="auto" w:sz="8" w:space="0"/>
            </w:tcBorders>
            <w:tcMar>
              <w:top w:w="0" w:type="dxa"/>
              <w:left w:w="108" w:type="dxa"/>
              <w:bottom w:w="0" w:type="dxa"/>
              <w:right w:w="108" w:type="dxa"/>
            </w:tcMar>
            <w:vAlign w:val="center"/>
          </w:tcPr>
          <w:p>
            <w:pPr>
              <w:pageBreakBefore w:val="0"/>
              <w:widowControl/>
              <w:kinsoku/>
              <w:overflowPunct/>
              <w:topLinePunct w:val="0"/>
              <w:bidi w:val="0"/>
              <w:spacing w:beforeAutospacing="0" w:afterAutospacing="0" w:line="360" w:lineRule="auto"/>
              <w:jc w:val="left"/>
              <w:textAlignment w:val="bottom"/>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eastAsia="zh-CN"/>
              </w:rPr>
              <w:t>成交公告</w:t>
            </w:r>
            <w:r>
              <w:rPr>
                <w:rFonts w:hint="eastAsia" w:ascii="宋体" w:hAnsi="宋体" w:eastAsia="宋体" w:cs="宋体"/>
                <w:color w:val="auto"/>
                <w:kern w:val="0"/>
                <w:sz w:val="24"/>
                <w:szCs w:val="24"/>
                <w:highlight w:val="none"/>
              </w:rPr>
              <w:t>及</w:t>
            </w:r>
            <w:r>
              <w:rPr>
                <w:rFonts w:hint="eastAsia" w:ascii="宋体" w:hAnsi="宋体" w:cs="宋体"/>
                <w:color w:val="auto"/>
                <w:kern w:val="0"/>
                <w:sz w:val="24"/>
                <w:szCs w:val="24"/>
                <w:highlight w:val="none"/>
                <w:lang w:eastAsia="zh-CN"/>
              </w:rPr>
              <w:t>成交通知书</w:t>
            </w:r>
            <w:r>
              <w:rPr>
                <w:rFonts w:hint="eastAsia" w:ascii="宋体" w:hAnsi="宋体" w:eastAsia="宋体" w:cs="宋体"/>
                <w:color w:val="auto"/>
                <w:kern w:val="0"/>
                <w:sz w:val="24"/>
                <w:szCs w:val="24"/>
                <w:highlight w:val="none"/>
              </w:rPr>
              <w:t>：由采购人授权评标委员会确定一名中标人并推荐</w:t>
            </w:r>
            <w:r>
              <w:rPr>
                <w:rFonts w:hint="eastAsia" w:ascii="宋体" w:hAnsi="宋体" w:cs="宋体"/>
                <w:color w:val="auto"/>
                <w:kern w:val="0"/>
                <w:sz w:val="24"/>
                <w:szCs w:val="24"/>
                <w:highlight w:val="none"/>
                <w:lang w:eastAsia="zh-CN"/>
              </w:rPr>
              <w:t>一名中标候选人</w:t>
            </w:r>
            <w:r>
              <w:rPr>
                <w:rFonts w:hint="eastAsia" w:ascii="宋体" w:hAnsi="宋体" w:eastAsia="宋体" w:cs="宋体"/>
                <w:color w:val="auto"/>
                <w:kern w:val="0"/>
                <w:sz w:val="24"/>
                <w:szCs w:val="24"/>
                <w:highlight w:val="none"/>
              </w:rPr>
              <w:t>。评审结束后</w:t>
            </w:r>
            <w:r>
              <w:rPr>
                <w:rFonts w:hint="eastAsia" w:ascii="宋体" w:hAnsi="宋体" w:eastAsia="宋体" w:cs="宋体"/>
                <w:color w:val="auto"/>
                <w:kern w:val="0"/>
                <w:sz w:val="24"/>
                <w:szCs w:val="24"/>
                <w:highlight w:val="none"/>
                <w:lang w:val="en-US" w:eastAsia="zh-CN"/>
              </w:rPr>
              <w:t>在</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驻马店市中心医院网</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上发布</w:t>
            </w:r>
            <w:r>
              <w:rPr>
                <w:rFonts w:hint="eastAsia" w:ascii="宋体" w:hAnsi="宋体" w:cs="宋体"/>
                <w:color w:val="auto"/>
                <w:kern w:val="0"/>
                <w:sz w:val="24"/>
                <w:szCs w:val="24"/>
                <w:highlight w:val="none"/>
                <w:lang w:eastAsia="zh-CN"/>
              </w:rPr>
              <w:t>成交公告</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公示期结束后</w:t>
            </w:r>
            <w:r>
              <w:rPr>
                <w:rFonts w:hint="eastAsia" w:ascii="宋体" w:hAnsi="宋体" w:eastAsia="宋体" w:cs="宋体"/>
                <w:color w:val="auto"/>
                <w:kern w:val="0"/>
                <w:sz w:val="24"/>
                <w:szCs w:val="24"/>
                <w:highlight w:val="none"/>
              </w:rPr>
              <w:t>向中标人发出</w:t>
            </w:r>
            <w:r>
              <w:rPr>
                <w:rFonts w:hint="eastAsia" w:ascii="宋体" w:hAnsi="宋体" w:cs="宋体"/>
                <w:color w:val="auto"/>
                <w:kern w:val="0"/>
                <w:sz w:val="24"/>
                <w:szCs w:val="24"/>
                <w:highlight w:val="none"/>
                <w:lang w:eastAsia="zh-CN"/>
              </w:rPr>
              <w:t>成交通知书</w:t>
            </w:r>
            <w:r>
              <w:rPr>
                <w:rFonts w:hint="eastAsia" w:ascii="宋体" w:hAnsi="宋体" w:eastAsia="宋体" w:cs="宋体"/>
                <w:color w:val="auto"/>
                <w:kern w:val="0"/>
                <w:sz w:val="24"/>
                <w:szCs w:val="24"/>
                <w:highlight w:val="none"/>
              </w:rPr>
              <w:t>。</w:t>
            </w:r>
          </w:p>
        </w:tc>
      </w:tr>
      <w:tr>
        <w:tblPrEx>
          <w:tblCellMar>
            <w:top w:w="0" w:type="dxa"/>
            <w:left w:w="0" w:type="dxa"/>
            <w:bottom w:w="0" w:type="dxa"/>
            <w:right w:w="0" w:type="dxa"/>
          </w:tblCellMar>
        </w:tblPrEx>
        <w:trPr>
          <w:trHeight w:val="680" w:hRule="atLeast"/>
          <w:jc w:val="center"/>
        </w:trPr>
        <w:tc>
          <w:tcPr>
            <w:tcW w:w="696" w:type="dxa"/>
            <w:tcBorders>
              <w:top w:val="single" w:color="auto" w:sz="4" w:space="0"/>
              <w:left w:val="single" w:color="auto" w:sz="8" w:space="0"/>
              <w:bottom w:val="single" w:color="auto" w:sz="4" w:space="0"/>
              <w:right w:val="single" w:color="auto" w:sz="4" w:space="0"/>
            </w:tcBorders>
            <w:tcMar>
              <w:top w:w="0" w:type="dxa"/>
              <w:left w:w="108" w:type="dxa"/>
              <w:bottom w:w="0" w:type="dxa"/>
              <w:right w:w="108" w:type="dxa"/>
            </w:tcMar>
            <w:vAlign w:val="center"/>
          </w:tcPr>
          <w:p>
            <w:pPr>
              <w:pageBreakBefore w:val="0"/>
              <w:widowControl/>
              <w:kinsoku/>
              <w:overflowPunct/>
              <w:topLinePunct w:val="0"/>
              <w:bidi w:val="0"/>
              <w:spacing w:beforeAutospacing="0" w:afterAutospacing="0"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w:t>
            </w:r>
          </w:p>
        </w:tc>
        <w:tc>
          <w:tcPr>
            <w:tcW w:w="8487" w:type="dxa"/>
            <w:tcBorders>
              <w:top w:val="single" w:color="auto" w:sz="4" w:space="0"/>
              <w:left w:val="single" w:color="auto" w:sz="4" w:space="0"/>
              <w:bottom w:val="single" w:color="auto" w:sz="4" w:space="0"/>
              <w:right w:val="single" w:color="auto" w:sz="8" w:space="0"/>
            </w:tcBorders>
            <w:tcMar>
              <w:top w:w="0" w:type="dxa"/>
              <w:left w:w="108" w:type="dxa"/>
              <w:bottom w:w="0" w:type="dxa"/>
              <w:right w:w="108" w:type="dxa"/>
            </w:tcMar>
            <w:vAlign w:val="center"/>
          </w:tcPr>
          <w:p>
            <w:pPr>
              <w:pageBreakBefore w:val="0"/>
              <w:widowControl/>
              <w:kinsoku/>
              <w:overflowPunct/>
              <w:topLinePunct w:val="0"/>
              <w:bidi w:val="0"/>
              <w:spacing w:beforeAutospacing="0" w:afterAutospacing="0" w:line="360" w:lineRule="auto"/>
              <w:jc w:val="left"/>
              <w:textAlignment w:val="bottom"/>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签订合同：自</w:t>
            </w:r>
            <w:r>
              <w:rPr>
                <w:rFonts w:hint="eastAsia" w:ascii="宋体" w:hAnsi="宋体" w:cs="宋体"/>
                <w:color w:val="auto"/>
                <w:kern w:val="0"/>
                <w:sz w:val="24"/>
                <w:szCs w:val="24"/>
                <w:highlight w:val="none"/>
                <w:lang w:eastAsia="zh-CN"/>
              </w:rPr>
              <w:t>成交通知书</w:t>
            </w:r>
            <w:r>
              <w:rPr>
                <w:rFonts w:hint="eastAsia" w:ascii="宋体" w:hAnsi="宋体" w:eastAsia="宋体" w:cs="宋体"/>
                <w:color w:val="auto"/>
                <w:kern w:val="0"/>
                <w:sz w:val="24"/>
                <w:szCs w:val="24"/>
                <w:highlight w:val="none"/>
              </w:rPr>
              <w:t>发出之日起</w:t>
            </w:r>
            <w:r>
              <w:rPr>
                <w:rFonts w:hint="eastAsia" w:ascii="宋体" w:hAnsi="宋体" w:eastAsia="宋体" w:cs="宋体"/>
                <w:color w:val="auto"/>
                <w:kern w:val="0"/>
                <w:sz w:val="24"/>
                <w:szCs w:val="24"/>
                <w:highlight w:val="none"/>
                <w:lang w:val="en-US" w:eastAsia="zh-CN"/>
              </w:rPr>
              <w:t>三十</w:t>
            </w:r>
            <w:r>
              <w:rPr>
                <w:rFonts w:hint="eastAsia" w:ascii="宋体" w:hAnsi="宋体" w:eastAsia="宋体" w:cs="宋体"/>
                <w:color w:val="auto"/>
                <w:kern w:val="0"/>
                <w:sz w:val="24"/>
                <w:szCs w:val="24"/>
                <w:highlight w:val="none"/>
              </w:rPr>
              <w:t>个</w:t>
            </w:r>
            <w:r>
              <w:rPr>
                <w:rFonts w:hint="eastAsia" w:ascii="宋体" w:hAnsi="宋体" w:eastAsia="宋体" w:cs="宋体"/>
                <w:color w:val="auto"/>
                <w:kern w:val="0"/>
                <w:sz w:val="24"/>
                <w:szCs w:val="24"/>
                <w:highlight w:val="none"/>
                <w:lang w:val="en-US" w:eastAsia="zh-CN"/>
              </w:rPr>
              <w:t>日历</w:t>
            </w:r>
            <w:r>
              <w:rPr>
                <w:rFonts w:hint="eastAsia" w:ascii="宋体" w:hAnsi="宋体" w:eastAsia="宋体" w:cs="宋体"/>
                <w:color w:val="auto"/>
                <w:kern w:val="0"/>
                <w:sz w:val="24"/>
                <w:szCs w:val="24"/>
                <w:highlight w:val="none"/>
              </w:rPr>
              <w:t>日内。</w:t>
            </w:r>
          </w:p>
        </w:tc>
      </w:tr>
      <w:tr>
        <w:tblPrEx>
          <w:tblCellMar>
            <w:top w:w="0" w:type="dxa"/>
            <w:left w:w="0" w:type="dxa"/>
            <w:bottom w:w="0" w:type="dxa"/>
            <w:right w:w="0" w:type="dxa"/>
          </w:tblCellMar>
        </w:tblPrEx>
        <w:trPr>
          <w:trHeight w:val="680" w:hRule="atLeast"/>
          <w:jc w:val="center"/>
        </w:trPr>
        <w:tc>
          <w:tcPr>
            <w:tcW w:w="696" w:type="dxa"/>
            <w:tcBorders>
              <w:top w:val="single" w:color="auto" w:sz="4" w:space="0"/>
              <w:left w:val="single" w:color="auto" w:sz="8" w:space="0"/>
              <w:bottom w:val="single" w:color="auto" w:sz="4" w:space="0"/>
              <w:right w:val="single" w:color="auto" w:sz="4" w:space="0"/>
            </w:tcBorders>
            <w:tcMar>
              <w:top w:w="0" w:type="dxa"/>
              <w:left w:w="108" w:type="dxa"/>
              <w:bottom w:w="0" w:type="dxa"/>
              <w:right w:w="108" w:type="dxa"/>
            </w:tcMar>
            <w:vAlign w:val="center"/>
          </w:tcPr>
          <w:p>
            <w:pPr>
              <w:pageBreakBefore w:val="0"/>
              <w:widowControl/>
              <w:kinsoku/>
              <w:overflowPunct/>
              <w:topLinePunct w:val="0"/>
              <w:bidi w:val="0"/>
              <w:spacing w:beforeAutospacing="0" w:afterAutospacing="0" w:line="360" w:lineRule="auto"/>
              <w:jc w:val="center"/>
              <w:rPr>
                <w:rFonts w:hint="eastAsia" w:ascii="宋体" w:hAnsi="宋体" w:eastAsia="宋体" w:cs="宋体"/>
                <w:color w:val="FF0000"/>
                <w:kern w:val="0"/>
                <w:sz w:val="24"/>
                <w:szCs w:val="24"/>
                <w:highlight w:val="none"/>
              </w:rPr>
            </w:pPr>
            <w:r>
              <w:rPr>
                <w:rFonts w:hint="eastAsia" w:ascii="宋体" w:hAnsi="宋体" w:eastAsia="宋体" w:cs="宋体"/>
                <w:color w:val="auto"/>
                <w:kern w:val="0"/>
                <w:sz w:val="24"/>
                <w:szCs w:val="24"/>
                <w:highlight w:val="none"/>
              </w:rPr>
              <w:t>11</w:t>
            </w:r>
          </w:p>
        </w:tc>
        <w:tc>
          <w:tcPr>
            <w:tcW w:w="8487" w:type="dxa"/>
            <w:tcBorders>
              <w:top w:val="single" w:color="auto" w:sz="4" w:space="0"/>
              <w:left w:val="single" w:color="auto" w:sz="4" w:space="0"/>
              <w:bottom w:val="single" w:color="auto" w:sz="4" w:space="0"/>
              <w:right w:val="single" w:color="auto" w:sz="8" w:space="0"/>
            </w:tcBorders>
            <w:tcMar>
              <w:top w:w="0" w:type="dxa"/>
              <w:left w:w="108" w:type="dxa"/>
              <w:bottom w:w="0" w:type="dxa"/>
              <w:right w:w="108" w:type="dxa"/>
            </w:tcMar>
            <w:vAlign w:val="center"/>
          </w:tcPr>
          <w:p>
            <w:pPr>
              <w:pageBreakBefore w:val="0"/>
              <w:widowControl/>
              <w:kinsoku/>
              <w:overflowPunct/>
              <w:topLinePunct w:val="0"/>
              <w:bidi w:val="0"/>
              <w:spacing w:beforeAutospacing="0" w:afterAutospacing="0" w:line="360" w:lineRule="auto"/>
              <w:jc w:val="left"/>
              <w:textAlignment w:val="bottom"/>
              <w:rPr>
                <w:rFonts w:hint="eastAsia" w:ascii="宋体" w:hAnsi="宋体" w:eastAsia="宋体" w:cs="宋体"/>
                <w:color w:val="FF0000"/>
                <w:kern w:val="0"/>
                <w:sz w:val="24"/>
                <w:szCs w:val="24"/>
                <w:highlight w:val="none"/>
              </w:rPr>
            </w:pPr>
            <w:r>
              <w:rPr>
                <w:rFonts w:hint="eastAsia" w:ascii="宋体" w:hAnsi="宋体" w:eastAsia="宋体" w:cs="宋体"/>
                <w:color w:val="auto"/>
                <w:kern w:val="0"/>
                <w:sz w:val="24"/>
                <w:szCs w:val="24"/>
                <w:highlight w:val="none"/>
              </w:rPr>
              <w:t>采购资金来源：自筹资金。</w:t>
            </w:r>
          </w:p>
        </w:tc>
      </w:tr>
      <w:tr>
        <w:tblPrEx>
          <w:tblCellMar>
            <w:top w:w="0" w:type="dxa"/>
            <w:left w:w="0" w:type="dxa"/>
            <w:bottom w:w="0" w:type="dxa"/>
            <w:right w:w="0" w:type="dxa"/>
          </w:tblCellMar>
        </w:tblPrEx>
        <w:trPr>
          <w:trHeight w:val="680" w:hRule="atLeast"/>
          <w:jc w:val="center"/>
        </w:trPr>
        <w:tc>
          <w:tcPr>
            <w:tcW w:w="696" w:type="dxa"/>
            <w:tcBorders>
              <w:top w:val="single" w:color="auto" w:sz="4" w:space="0"/>
              <w:left w:val="single" w:color="auto" w:sz="8" w:space="0"/>
              <w:bottom w:val="single" w:color="auto" w:sz="4" w:space="0"/>
              <w:right w:val="single" w:color="auto" w:sz="4" w:space="0"/>
            </w:tcBorders>
            <w:tcMar>
              <w:top w:w="0" w:type="dxa"/>
              <w:left w:w="108" w:type="dxa"/>
              <w:bottom w:w="0" w:type="dxa"/>
              <w:right w:w="108" w:type="dxa"/>
            </w:tcMar>
            <w:vAlign w:val="center"/>
          </w:tcPr>
          <w:p>
            <w:pPr>
              <w:pageBreakBefore w:val="0"/>
              <w:widowControl/>
              <w:kinsoku/>
              <w:overflowPunct/>
              <w:topLinePunct w:val="0"/>
              <w:bidi w:val="0"/>
              <w:spacing w:beforeAutospacing="0" w:afterAutospacing="0"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12</w:t>
            </w:r>
          </w:p>
        </w:tc>
        <w:tc>
          <w:tcPr>
            <w:tcW w:w="8487" w:type="dxa"/>
            <w:tcBorders>
              <w:top w:val="single" w:color="auto" w:sz="4" w:space="0"/>
              <w:left w:val="single" w:color="auto" w:sz="4" w:space="0"/>
              <w:bottom w:val="single" w:color="auto" w:sz="4" w:space="0"/>
              <w:right w:val="single" w:color="auto" w:sz="8" w:space="0"/>
            </w:tcBorders>
            <w:tcMar>
              <w:top w:w="0" w:type="dxa"/>
              <w:left w:w="108" w:type="dxa"/>
              <w:bottom w:w="0" w:type="dxa"/>
              <w:right w:w="108" w:type="dxa"/>
            </w:tcMar>
            <w:vAlign w:val="center"/>
          </w:tcPr>
          <w:p>
            <w:pPr>
              <w:pageBreakBefore w:val="0"/>
              <w:widowControl/>
              <w:kinsoku/>
              <w:overflowPunct/>
              <w:topLinePunct w:val="0"/>
              <w:bidi w:val="0"/>
              <w:spacing w:beforeAutospacing="0" w:afterAutospacing="0" w:line="360" w:lineRule="auto"/>
              <w:jc w:val="left"/>
              <w:textAlignment w:val="bottom"/>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付款方式：详见第二章</w:t>
            </w:r>
            <w:r>
              <w:rPr>
                <w:rFonts w:hint="eastAsia" w:ascii="宋体" w:hAnsi="宋体" w:eastAsia="宋体" w:cs="宋体"/>
                <w:color w:val="auto"/>
                <w:kern w:val="0"/>
                <w:sz w:val="24"/>
                <w:szCs w:val="24"/>
                <w:highlight w:val="none"/>
                <w:lang w:eastAsia="zh-CN"/>
              </w:rPr>
              <w:t>采购</w:t>
            </w:r>
            <w:r>
              <w:rPr>
                <w:rFonts w:hint="eastAsia" w:ascii="宋体" w:hAnsi="宋体" w:eastAsia="宋体" w:cs="宋体"/>
                <w:color w:val="auto"/>
                <w:kern w:val="0"/>
                <w:sz w:val="24"/>
                <w:szCs w:val="24"/>
                <w:highlight w:val="none"/>
              </w:rPr>
              <w:t>需求。</w:t>
            </w:r>
          </w:p>
        </w:tc>
      </w:tr>
      <w:tr>
        <w:tblPrEx>
          <w:tblCellMar>
            <w:top w:w="0" w:type="dxa"/>
            <w:left w:w="0" w:type="dxa"/>
            <w:bottom w:w="0" w:type="dxa"/>
            <w:right w:w="0" w:type="dxa"/>
          </w:tblCellMar>
        </w:tblPrEx>
        <w:trPr>
          <w:trHeight w:val="678" w:hRule="atLeast"/>
          <w:jc w:val="center"/>
        </w:trPr>
        <w:tc>
          <w:tcPr>
            <w:tcW w:w="696" w:type="dxa"/>
            <w:tcBorders>
              <w:top w:val="single" w:color="auto" w:sz="4" w:space="0"/>
              <w:left w:val="single" w:color="auto" w:sz="8" w:space="0"/>
              <w:bottom w:val="single" w:color="auto" w:sz="4" w:space="0"/>
              <w:right w:val="single" w:color="auto" w:sz="4" w:space="0"/>
            </w:tcBorders>
            <w:tcMar>
              <w:top w:w="0" w:type="dxa"/>
              <w:left w:w="108" w:type="dxa"/>
              <w:bottom w:w="0" w:type="dxa"/>
              <w:right w:w="108" w:type="dxa"/>
            </w:tcMar>
            <w:vAlign w:val="center"/>
          </w:tcPr>
          <w:p>
            <w:pPr>
              <w:pageBreakBefore w:val="0"/>
              <w:widowControl/>
              <w:kinsoku/>
              <w:overflowPunct/>
              <w:topLinePunct w:val="0"/>
              <w:bidi w:val="0"/>
              <w:snapToGrid w:val="0"/>
              <w:spacing w:beforeAutospacing="0" w:afterAutospacing="0"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13</w:t>
            </w:r>
          </w:p>
        </w:tc>
        <w:tc>
          <w:tcPr>
            <w:tcW w:w="8487" w:type="dxa"/>
            <w:tcBorders>
              <w:top w:val="single" w:color="auto" w:sz="4" w:space="0"/>
              <w:left w:val="single" w:color="auto" w:sz="4" w:space="0"/>
              <w:bottom w:val="single" w:color="auto" w:sz="4" w:space="0"/>
              <w:right w:val="single" w:color="auto" w:sz="8" w:space="0"/>
            </w:tcBorders>
            <w:tcMar>
              <w:top w:w="0" w:type="dxa"/>
              <w:left w:w="108" w:type="dxa"/>
              <w:bottom w:w="0" w:type="dxa"/>
              <w:right w:w="108" w:type="dxa"/>
            </w:tcMar>
            <w:vAlign w:val="center"/>
          </w:tcPr>
          <w:p>
            <w:pPr>
              <w:pageBreakBefore w:val="0"/>
              <w:widowControl/>
              <w:kinsoku/>
              <w:overflowPunct/>
              <w:topLinePunct w:val="0"/>
              <w:bidi w:val="0"/>
              <w:spacing w:beforeAutospacing="0" w:afterAutospacing="0" w:line="360" w:lineRule="auto"/>
              <w:jc w:val="left"/>
              <w:textAlignment w:val="bottom"/>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投标文件有效期：投标</w:t>
            </w:r>
            <w:r>
              <w:rPr>
                <w:rFonts w:hint="eastAsia" w:ascii="宋体" w:hAnsi="宋体" w:eastAsia="宋体" w:cs="宋体"/>
                <w:color w:val="auto"/>
                <w:kern w:val="0"/>
                <w:sz w:val="24"/>
                <w:szCs w:val="24"/>
                <w:highlight w:val="none"/>
                <w:lang w:val="en-US" w:eastAsia="zh-CN"/>
              </w:rPr>
              <w:t>文件递交</w:t>
            </w:r>
            <w:r>
              <w:rPr>
                <w:rFonts w:hint="eastAsia" w:ascii="宋体" w:hAnsi="宋体" w:eastAsia="宋体" w:cs="宋体"/>
                <w:color w:val="auto"/>
                <w:kern w:val="0"/>
                <w:sz w:val="24"/>
                <w:szCs w:val="24"/>
                <w:highlight w:val="none"/>
              </w:rPr>
              <w:t>截止期结束后</w:t>
            </w:r>
            <w:r>
              <w:rPr>
                <w:rFonts w:hint="eastAsia" w:ascii="宋体" w:hAnsi="宋体" w:eastAsia="宋体" w:cs="宋体"/>
                <w:color w:val="auto"/>
                <w:kern w:val="0"/>
                <w:sz w:val="24"/>
                <w:szCs w:val="24"/>
                <w:highlight w:val="none"/>
                <w:lang w:val="en-US" w:eastAsia="zh-CN"/>
              </w:rPr>
              <w:t>90</w:t>
            </w:r>
            <w:r>
              <w:rPr>
                <w:rFonts w:hint="eastAsia" w:ascii="宋体" w:hAnsi="宋体" w:eastAsia="宋体" w:cs="宋体"/>
                <w:color w:val="auto"/>
                <w:kern w:val="0"/>
                <w:sz w:val="24"/>
                <w:szCs w:val="24"/>
                <w:highlight w:val="none"/>
              </w:rPr>
              <w:t>日。中标人的投标文件是合同的组成部分,有效期至合同完全履行止。 </w:t>
            </w:r>
          </w:p>
        </w:tc>
      </w:tr>
      <w:tr>
        <w:tblPrEx>
          <w:tblCellMar>
            <w:top w:w="0" w:type="dxa"/>
            <w:left w:w="0" w:type="dxa"/>
            <w:bottom w:w="0" w:type="dxa"/>
            <w:right w:w="0" w:type="dxa"/>
          </w:tblCellMar>
        </w:tblPrEx>
        <w:trPr>
          <w:trHeight w:val="678" w:hRule="atLeast"/>
          <w:jc w:val="center"/>
        </w:trPr>
        <w:tc>
          <w:tcPr>
            <w:tcW w:w="696" w:type="dxa"/>
            <w:tcBorders>
              <w:top w:val="single" w:color="auto" w:sz="4" w:space="0"/>
              <w:left w:val="single" w:color="auto" w:sz="8" w:space="0"/>
              <w:bottom w:val="single" w:color="auto" w:sz="4" w:space="0"/>
              <w:right w:val="single" w:color="auto" w:sz="4" w:space="0"/>
            </w:tcBorders>
            <w:tcMar>
              <w:top w:w="0" w:type="dxa"/>
              <w:left w:w="108" w:type="dxa"/>
              <w:bottom w:w="0" w:type="dxa"/>
              <w:right w:w="108" w:type="dxa"/>
            </w:tcMar>
            <w:vAlign w:val="center"/>
          </w:tcPr>
          <w:p>
            <w:pPr>
              <w:pageBreakBefore w:val="0"/>
              <w:widowControl/>
              <w:kinsoku/>
              <w:overflowPunct/>
              <w:topLinePunct w:val="0"/>
              <w:bidi w:val="0"/>
              <w:spacing w:beforeAutospacing="0" w:afterAutospacing="0"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14</w:t>
            </w:r>
          </w:p>
        </w:tc>
        <w:tc>
          <w:tcPr>
            <w:tcW w:w="8487" w:type="dxa"/>
            <w:tcBorders>
              <w:top w:val="single" w:color="auto" w:sz="4" w:space="0"/>
              <w:left w:val="single" w:color="auto" w:sz="4" w:space="0"/>
              <w:bottom w:val="single" w:color="auto" w:sz="4" w:space="0"/>
              <w:right w:val="single" w:color="auto" w:sz="8" w:space="0"/>
            </w:tcBorders>
            <w:tcMar>
              <w:top w:w="0" w:type="dxa"/>
              <w:left w:w="108" w:type="dxa"/>
              <w:bottom w:w="0" w:type="dxa"/>
              <w:right w:w="108" w:type="dxa"/>
            </w:tcMar>
            <w:vAlign w:val="center"/>
          </w:tcPr>
          <w:p>
            <w:pPr>
              <w:pageBreakBefore w:val="0"/>
              <w:widowControl/>
              <w:kinsoku/>
              <w:overflowPunct/>
              <w:topLinePunct w:val="0"/>
              <w:bidi w:val="0"/>
              <w:spacing w:beforeAutospacing="0" w:afterAutospacing="0"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供应商须提供信用中国网站、中国政府采购网网站查询的网页截图。</w:t>
            </w:r>
          </w:p>
        </w:tc>
      </w:tr>
      <w:tr>
        <w:tblPrEx>
          <w:tblCellMar>
            <w:top w:w="0" w:type="dxa"/>
            <w:left w:w="0" w:type="dxa"/>
            <w:bottom w:w="0" w:type="dxa"/>
            <w:right w:w="0" w:type="dxa"/>
          </w:tblCellMar>
        </w:tblPrEx>
        <w:trPr>
          <w:trHeight w:val="678" w:hRule="atLeast"/>
          <w:jc w:val="center"/>
        </w:trPr>
        <w:tc>
          <w:tcPr>
            <w:tcW w:w="696" w:type="dxa"/>
            <w:tcBorders>
              <w:top w:val="single" w:color="auto" w:sz="4" w:space="0"/>
              <w:left w:val="single" w:color="auto" w:sz="8" w:space="0"/>
              <w:bottom w:val="single" w:color="auto" w:sz="4" w:space="0"/>
              <w:right w:val="single" w:color="auto" w:sz="4" w:space="0"/>
            </w:tcBorders>
            <w:tcMar>
              <w:top w:w="0" w:type="dxa"/>
              <w:left w:w="108" w:type="dxa"/>
              <w:bottom w:w="0" w:type="dxa"/>
              <w:right w:w="108" w:type="dxa"/>
            </w:tcMar>
            <w:vAlign w:val="center"/>
          </w:tcPr>
          <w:p>
            <w:pPr>
              <w:pageBreakBefore w:val="0"/>
              <w:widowControl/>
              <w:kinsoku/>
              <w:overflowPunct/>
              <w:topLinePunct w:val="0"/>
              <w:bidi w:val="0"/>
              <w:spacing w:beforeAutospacing="0" w:afterAutospacing="0"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15</w:t>
            </w:r>
          </w:p>
        </w:tc>
        <w:tc>
          <w:tcPr>
            <w:tcW w:w="8487" w:type="dxa"/>
            <w:tcBorders>
              <w:top w:val="single" w:color="auto" w:sz="4" w:space="0"/>
              <w:left w:val="single" w:color="auto" w:sz="4" w:space="0"/>
              <w:bottom w:val="single" w:color="auto" w:sz="4" w:space="0"/>
              <w:right w:val="single" w:color="auto" w:sz="8" w:space="0"/>
            </w:tcBorders>
            <w:tcMar>
              <w:top w:w="0" w:type="dxa"/>
              <w:left w:w="108" w:type="dxa"/>
              <w:bottom w:w="0" w:type="dxa"/>
              <w:right w:w="108" w:type="dxa"/>
            </w:tcMar>
            <w:vAlign w:val="center"/>
          </w:tcPr>
          <w:p>
            <w:pPr>
              <w:pageBreakBefore w:val="0"/>
              <w:widowControl/>
              <w:kinsoku/>
              <w:overflowPunct/>
              <w:topLinePunct w:val="0"/>
              <w:bidi w:val="0"/>
              <w:spacing w:beforeAutospacing="0" w:afterAutospacing="0"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lang w:val="en-US" w:eastAsia="zh-CN"/>
              </w:rPr>
              <w:t>商品包装和快递包装应符合《商品包装政府采购需求标准（试行）》和《快递包装政府采购需求标准（试行）》规定，商品的包装和快递包装验收标准应符合《商品包装政府采购需求标准（试行）》和《快递包装政府采购需求标准（试行）》规定，并提供相关的检测报告</w:t>
            </w:r>
            <w:r>
              <w:rPr>
                <w:rFonts w:hint="eastAsia" w:ascii="宋体" w:hAnsi="宋体" w:eastAsia="宋体" w:cs="宋体"/>
                <w:color w:val="auto"/>
                <w:sz w:val="24"/>
                <w:szCs w:val="24"/>
                <w:highlight w:val="none"/>
              </w:rPr>
              <w:t>。</w:t>
            </w:r>
          </w:p>
        </w:tc>
      </w:tr>
      <w:tr>
        <w:tblPrEx>
          <w:tblCellMar>
            <w:top w:w="0" w:type="dxa"/>
            <w:left w:w="0" w:type="dxa"/>
            <w:bottom w:w="0" w:type="dxa"/>
            <w:right w:w="0" w:type="dxa"/>
          </w:tblCellMar>
        </w:tblPrEx>
        <w:trPr>
          <w:trHeight w:val="699" w:hRule="atLeast"/>
          <w:jc w:val="center"/>
        </w:trPr>
        <w:tc>
          <w:tcPr>
            <w:tcW w:w="696" w:type="dxa"/>
            <w:tcBorders>
              <w:top w:val="single" w:color="auto" w:sz="4" w:space="0"/>
              <w:left w:val="single" w:color="auto" w:sz="8" w:space="0"/>
              <w:bottom w:val="single" w:color="auto" w:sz="4" w:space="0"/>
              <w:right w:val="single" w:color="auto" w:sz="4" w:space="0"/>
            </w:tcBorders>
            <w:tcMar>
              <w:top w:w="0" w:type="dxa"/>
              <w:left w:w="108" w:type="dxa"/>
              <w:bottom w:w="0" w:type="dxa"/>
              <w:right w:w="108" w:type="dxa"/>
            </w:tcMar>
            <w:vAlign w:val="center"/>
          </w:tcPr>
          <w:p>
            <w:pPr>
              <w:pageBreakBefore w:val="0"/>
              <w:widowControl/>
              <w:kinsoku/>
              <w:overflowPunct/>
              <w:topLinePunct w:val="0"/>
              <w:bidi w:val="0"/>
              <w:snapToGrid w:val="0"/>
              <w:spacing w:beforeAutospacing="0" w:afterAutospacing="0"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16</w:t>
            </w:r>
          </w:p>
        </w:tc>
        <w:tc>
          <w:tcPr>
            <w:tcW w:w="8487" w:type="dxa"/>
            <w:tcBorders>
              <w:top w:val="single" w:color="auto" w:sz="4" w:space="0"/>
              <w:left w:val="single" w:color="auto" w:sz="4" w:space="0"/>
              <w:bottom w:val="single" w:color="auto" w:sz="4" w:space="0"/>
              <w:right w:val="single" w:color="auto" w:sz="8" w:space="0"/>
            </w:tcBorders>
            <w:tcMar>
              <w:top w:w="0" w:type="dxa"/>
              <w:left w:w="108" w:type="dxa"/>
              <w:bottom w:w="0" w:type="dxa"/>
              <w:right w:w="108" w:type="dxa"/>
            </w:tcMar>
            <w:vAlign w:val="center"/>
          </w:tcPr>
          <w:p>
            <w:pPr>
              <w:pageBreakBefore w:val="0"/>
              <w:kinsoku/>
              <w:overflowPunct/>
              <w:topLinePunct w:val="0"/>
              <w:bidi w:val="0"/>
              <w:spacing w:beforeAutospacing="0" w:afterAutospacing="0" w:line="360" w:lineRule="auto"/>
              <w:rPr>
                <w:rFonts w:hint="eastAsia" w:ascii="宋体" w:hAnsi="宋体" w:eastAsia="宋体" w:cs="宋体"/>
                <w:color w:val="auto"/>
                <w:kern w:val="0"/>
                <w:sz w:val="24"/>
                <w:szCs w:val="24"/>
                <w:highlight w:val="none"/>
              </w:rPr>
            </w:pPr>
            <w:r>
              <w:rPr>
                <w:rFonts w:hint="eastAsia" w:ascii="宋体" w:hAnsi="宋体" w:eastAsia="宋体" w:cs="宋体"/>
                <w:bCs/>
                <w:color w:val="auto"/>
                <w:kern w:val="0"/>
                <w:sz w:val="24"/>
                <w:szCs w:val="24"/>
                <w:highlight w:val="none"/>
              </w:rPr>
              <w:t>质疑和投诉：供应商认为</w:t>
            </w:r>
            <w:r>
              <w:rPr>
                <w:rFonts w:hint="eastAsia" w:ascii="宋体" w:hAnsi="宋体" w:eastAsia="宋体" w:cs="宋体"/>
                <w:bCs/>
                <w:color w:val="auto"/>
                <w:kern w:val="0"/>
                <w:sz w:val="24"/>
                <w:szCs w:val="24"/>
                <w:highlight w:val="none"/>
                <w:lang w:val="en-US" w:eastAsia="zh-CN"/>
              </w:rPr>
              <w:t>采购</w:t>
            </w:r>
            <w:r>
              <w:rPr>
                <w:rFonts w:hint="eastAsia" w:ascii="宋体" w:hAnsi="宋体" w:eastAsia="宋体" w:cs="宋体"/>
                <w:bCs/>
                <w:color w:val="auto"/>
                <w:kern w:val="0"/>
                <w:sz w:val="24"/>
                <w:szCs w:val="24"/>
                <w:highlight w:val="none"/>
              </w:rPr>
              <w:t>文件使自己的合法权益受到损害的，</w:t>
            </w:r>
            <w:r>
              <w:rPr>
                <w:rFonts w:hint="eastAsia" w:ascii="宋体" w:hAnsi="宋体" w:eastAsia="宋体" w:cs="宋体"/>
                <w:color w:val="auto"/>
                <w:kern w:val="0"/>
                <w:sz w:val="24"/>
                <w:szCs w:val="24"/>
                <w:highlight w:val="none"/>
              </w:rPr>
              <w:t>应当在</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公告期限届满之日(或收到</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文件之日)起</w:t>
            </w: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个工作日之内向</w:t>
            </w:r>
            <w:r>
              <w:rPr>
                <w:rFonts w:hint="eastAsia" w:ascii="宋体" w:hAnsi="宋体" w:eastAsia="宋体" w:cs="宋体"/>
                <w:bCs/>
                <w:color w:val="auto"/>
                <w:kern w:val="0"/>
                <w:sz w:val="24"/>
                <w:szCs w:val="24"/>
                <w:highlight w:val="none"/>
              </w:rPr>
              <w:t>采购人提出质疑；供应商认为</w:t>
            </w:r>
            <w:r>
              <w:rPr>
                <w:rFonts w:hint="eastAsia" w:ascii="宋体" w:hAnsi="宋体" w:eastAsia="宋体" w:cs="宋体"/>
                <w:bCs/>
                <w:color w:val="auto"/>
                <w:kern w:val="0"/>
                <w:sz w:val="24"/>
                <w:szCs w:val="24"/>
                <w:highlight w:val="none"/>
                <w:lang w:eastAsia="zh-CN"/>
              </w:rPr>
              <w:t>磋商</w:t>
            </w:r>
            <w:r>
              <w:rPr>
                <w:rFonts w:hint="eastAsia" w:ascii="宋体" w:hAnsi="宋体" w:eastAsia="宋体" w:cs="宋体"/>
                <w:bCs/>
                <w:color w:val="auto"/>
                <w:kern w:val="0"/>
                <w:sz w:val="24"/>
                <w:szCs w:val="24"/>
                <w:highlight w:val="none"/>
              </w:rPr>
              <w:t>过程和中标结果使自己的合法权益受到损害的，应当在知道或者应知其权益受到损害之日起</w:t>
            </w:r>
            <w:r>
              <w:rPr>
                <w:rFonts w:hint="eastAsia" w:ascii="宋体" w:hAnsi="宋体" w:eastAsia="宋体" w:cs="宋体"/>
                <w:bCs/>
                <w:color w:val="auto"/>
                <w:kern w:val="0"/>
                <w:sz w:val="24"/>
                <w:szCs w:val="24"/>
                <w:highlight w:val="none"/>
                <w:lang w:val="en-US" w:eastAsia="zh-CN"/>
              </w:rPr>
              <w:t>3</w:t>
            </w:r>
            <w:r>
              <w:rPr>
                <w:rFonts w:hint="eastAsia" w:ascii="宋体" w:hAnsi="宋体" w:eastAsia="宋体" w:cs="宋体"/>
                <w:bCs/>
                <w:color w:val="auto"/>
                <w:kern w:val="0"/>
                <w:sz w:val="24"/>
                <w:szCs w:val="24"/>
                <w:highlight w:val="none"/>
              </w:rPr>
              <w:t>个工作日内提出质疑。</w:t>
            </w:r>
            <w:r>
              <w:rPr>
                <w:rFonts w:hint="eastAsia" w:ascii="宋体" w:hAnsi="宋体" w:eastAsia="宋体" w:cs="宋体"/>
                <w:color w:val="auto"/>
                <w:kern w:val="0"/>
                <w:sz w:val="24"/>
                <w:szCs w:val="24"/>
                <w:highlight w:val="none"/>
              </w:rPr>
              <w:t>逾期不再受理,</w:t>
            </w:r>
            <w:r>
              <w:rPr>
                <w:rFonts w:hint="eastAsia" w:ascii="宋体" w:hAnsi="宋体" w:eastAsia="宋体" w:cs="宋体"/>
                <w:bCs/>
                <w:color w:val="auto"/>
                <w:kern w:val="0"/>
                <w:sz w:val="24"/>
                <w:szCs w:val="24"/>
                <w:highlight w:val="none"/>
              </w:rPr>
              <w:t>供应商在法定质疑期内应一次性提出针对同一采购环节的质疑</w:t>
            </w:r>
            <w:r>
              <w:rPr>
                <w:rFonts w:hint="eastAsia" w:ascii="宋体" w:hAnsi="宋体" w:eastAsia="宋体" w:cs="宋体"/>
                <w:bCs/>
                <w:color w:val="auto"/>
                <w:kern w:val="0"/>
                <w:sz w:val="24"/>
                <w:szCs w:val="24"/>
                <w:highlight w:val="none"/>
                <w:lang w:eastAsia="zh-CN"/>
              </w:rPr>
              <w:t>。</w:t>
            </w:r>
            <w:r>
              <w:rPr>
                <w:rFonts w:hint="eastAsia" w:ascii="宋体" w:hAnsi="宋体" w:eastAsia="宋体" w:cs="宋体"/>
                <w:color w:val="auto"/>
                <w:kern w:val="0"/>
                <w:sz w:val="24"/>
                <w:szCs w:val="24"/>
                <w:highlight w:val="none"/>
              </w:rPr>
              <w:t>供应商对</w:t>
            </w:r>
            <w:r>
              <w:rPr>
                <w:rFonts w:hint="eastAsia" w:ascii="宋体" w:hAnsi="宋体" w:eastAsia="宋体" w:cs="宋体"/>
                <w:bCs/>
                <w:color w:val="auto"/>
                <w:kern w:val="0"/>
                <w:sz w:val="24"/>
                <w:szCs w:val="24"/>
                <w:highlight w:val="none"/>
              </w:rPr>
              <w:t>采购人</w:t>
            </w:r>
            <w:r>
              <w:rPr>
                <w:rFonts w:hint="eastAsia" w:ascii="宋体" w:hAnsi="宋体" w:eastAsia="宋体" w:cs="宋体"/>
                <w:color w:val="auto"/>
                <w:kern w:val="0"/>
                <w:sz w:val="24"/>
                <w:szCs w:val="24"/>
                <w:highlight w:val="none"/>
              </w:rPr>
              <w:t>的质疑答复不满意,或</w:t>
            </w:r>
            <w:r>
              <w:rPr>
                <w:rFonts w:hint="eastAsia" w:ascii="宋体" w:hAnsi="宋体" w:eastAsia="宋体" w:cs="宋体"/>
                <w:bCs/>
                <w:color w:val="auto"/>
                <w:kern w:val="0"/>
                <w:sz w:val="24"/>
                <w:szCs w:val="24"/>
                <w:highlight w:val="none"/>
              </w:rPr>
              <w:t>采购人</w:t>
            </w:r>
            <w:r>
              <w:rPr>
                <w:rFonts w:hint="eastAsia" w:ascii="宋体" w:hAnsi="宋体" w:eastAsia="宋体" w:cs="宋体"/>
                <w:color w:val="auto"/>
                <w:kern w:val="0"/>
                <w:sz w:val="24"/>
                <w:szCs w:val="24"/>
                <w:highlight w:val="none"/>
              </w:rPr>
              <w:t>未在规定时间内作出答复的，可以在答复期满后15个工作日内向同级财政部门投诉。</w:t>
            </w:r>
          </w:p>
        </w:tc>
      </w:tr>
      <w:tr>
        <w:tblPrEx>
          <w:tblCellMar>
            <w:top w:w="0" w:type="dxa"/>
            <w:left w:w="0" w:type="dxa"/>
            <w:bottom w:w="0" w:type="dxa"/>
            <w:right w:w="0" w:type="dxa"/>
          </w:tblCellMar>
        </w:tblPrEx>
        <w:trPr>
          <w:trHeight w:val="851" w:hRule="atLeast"/>
          <w:jc w:val="center"/>
        </w:trPr>
        <w:tc>
          <w:tcPr>
            <w:tcW w:w="696" w:type="dxa"/>
            <w:tcBorders>
              <w:top w:val="single" w:color="auto" w:sz="4" w:space="0"/>
              <w:left w:val="single" w:color="auto" w:sz="8" w:space="0"/>
              <w:bottom w:val="single" w:color="auto" w:sz="4" w:space="0"/>
              <w:right w:val="single" w:color="auto" w:sz="4" w:space="0"/>
            </w:tcBorders>
            <w:tcMar>
              <w:top w:w="0" w:type="dxa"/>
              <w:left w:w="108" w:type="dxa"/>
              <w:bottom w:w="0" w:type="dxa"/>
              <w:right w:w="108" w:type="dxa"/>
            </w:tcMar>
            <w:vAlign w:val="center"/>
          </w:tcPr>
          <w:p>
            <w:pPr>
              <w:pageBreakBefore w:val="0"/>
              <w:widowControl/>
              <w:kinsoku/>
              <w:overflowPunct/>
              <w:topLinePunct w:val="0"/>
              <w:bidi w:val="0"/>
              <w:spacing w:beforeAutospacing="0" w:afterAutospacing="0"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17</w:t>
            </w:r>
          </w:p>
        </w:tc>
        <w:tc>
          <w:tcPr>
            <w:tcW w:w="8487" w:type="dxa"/>
            <w:tcBorders>
              <w:top w:val="single" w:color="auto" w:sz="4" w:space="0"/>
              <w:left w:val="single" w:color="auto" w:sz="4" w:space="0"/>
              <w:bottom w:val="single" w:color="auto" w:sz="4" w:space="0"/>
              <w:right w:val="single" w:color="auto" w:sz="8" w:space="0"/>
            </w:tcBorders>
            <w:tcMar>
              <w:top w:w="0" w:type="dxa"/>
              <w:left w:w="108" w:type="dxa"/>
              <w:bottom w:w="0" w:type="dxa"/>
              <w:right w:w="108" w:type="dxa"/>
            </w:tcMar>
            <w:vAlign w:val="center"/>
          </w:tcPr>
          <w:p>
            <w:pPr>
              <w:pageBreakBefore w:val="0"/>
              <w:widowControl/>
              <w:kinsoku/>
              <w:overflowPunct/>
              <w:topLinePunct w:val="0"/>
              <w:bidi w:val="0"/>
              <w:spacing w:beforeAutospacing="0" w:afterAutospacing="0" w:line="360" w:lineRule="auto"/>
              <w:jc w:val="left"/>
              <w:textAlignment w:val="bottom"/>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解释：1、构成本</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文件的各个组成文件应互为解释，互为说明；如有不明确或不一致，构成合同文件组成内容的，以合同文件约定内容为准；除</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文件中有特殊规定外，仅适用于招标投标阶段的规定，按</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公告、供应商须知、评标办法、投标文件格式的先后顺序解释；同一组成文件中就同一事项的规定或约定不一致的，以编排顺序在后者为准；当</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文件与</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文件的澄清、修改或补充通知就同一内容的表述不一致时，以最后发出的书面文件为准。合同文件约定或后者明显错误的除外。</w:t>
            </w:r>
          </w:p>
          <w:p>
            <w:pPr>
              <w:pageBreakBefore w:val="0"/>
              <w:widowControl/>
              <w:kinsoku/>
              <w:overflowPunct/>
              <w:topLinePunct w:val="0"/>
              <w:bidi w:val="0"/>
              <w:spacing w:beforeAutospacing="0" w:afterAutospacing="0" w:line="360" w:lineRule="auto"/>
              <w:jc w:val="left"/>
              <w:textAlignment w:val="bottom"/>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2、本</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文件解释权归采购人。</w:t>
            </w:r>
          </w:p>
        </w:tc>
      </w:tr>
    </w:tbl>
    <w:p>
      <w:pPr>
        <w:pageBreakBefore w:val="0"/>
        <w:kinsoku/>
        <w:overflowPunct/>
        <w:topLinePunct w:val="0"/>
        <w:bidi w:val="0"/>
        <w:spacing w:beforeAutospacing="0" w:afterAutospacing="0" w:line="360" w:lineRule="auto"/>
        <w:rPr>
          <w:color w:val="auto"/>
          <w:highlight w:val="none"/>
        </w:rPr>
      </w:pPr>
    </w:p>
    <w:p>
      <w:pPr>
        <w:keepNext w:val="0"/>
        <w:keepLines w:val="0"/>
        <w:pageBreakBefore w:val="0"/>
        <w:widowControl/>
        <w:kinsoku/>
        <w:wordWrap/>
        <w:overflowPunct/>
        <w:topLinePunct w:val="0"/>
        <w:bidi w:val="0"/>
        <w:snapToGrid w:val="0"/>
        <w:spacing w:beforeAutospacing="0" w:afterAutospacing="0" w:line="360" w:lineRule="auto"/>
        <w:jc w:val="center"/>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一 、说 明</w:t>
      </w:r>
    </w:p>
    <w:p>
      <w:pPr>
        <w:keepNext w:val="0"/>
        <w:keepLines w:val="0"/>
        <w:pageBreakBefore w:val="0"/>
        <w:widowControl/>
        <w:kinsoku/>
        <w:wordWrap/>
        <w:overflowPunct/>
        <w:topLinePunct w:val="0"/>
        <w:bidi w:val="0"/>
        <w:snapToGrid w:val="0"/>
        <w:spacing w:beforeAutospacing="0" w:afterAutospacing="0" w:line="360" w:lineRule="auto"/>
        <w:ind w:firstLine="420"/>
        <w:jc w:val="lef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1.适用范围</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本</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文件仅适用于</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公告中所叙述项目的货物采购。</w:t>
      </w:r>
    </w:p>
    <w:p>
      <w:pPr>
        <w:keepNext w:val="0"/>
        <w:keepLines w:val="0"/>
        <w:pageBreakBefore w:val="0"/>
        <w:widowControl/>
        <w:kinsoku/>
        <w:wordWrap/>
        <w:overflowPunct/>
        <w:topLinePunct w:val="0"/>
        <w:bidi w:val="0"/>
        <w:snapToGrid w:val="0"/>
        <w:spacing w:beforeAutospacing="0" w:afterAutospacing="0" w:line="360" w:lineRule="auto"/>
        <w:ind w:firstLine="420"/>
        <w:jc w:val="lef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2.定义</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2.1 “采购人”系指本次采购项目的业主方。</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2.2 “投标人”系指</w:t>
      </w:r>
      <w:r>
        <w:rPr>
          <w:rFonts w:hint="eastAsia" w:ascii="宋体" w:hAnsi="宋体" w:eastAsia="宋体" w:cs="宋体"/>
          <w:color w:val="auto"/>
          <w:kern w:val="0"/>
          <w:sz w:val="24"/>
          <w:szCs w:val="24"/>
          <w:highlight w:val="none"/>
          <w:lang w:val="en-US" w:eastAsia="zh-CN"/>
        </w:rPr>
        <w:t>领取</w:t>
      </w:r>
      <w:r>
        <w:rPr>
          <w:rFonts w:hint="eastAsia" w:ascii="宋体" w:hAnsi="宋体" w:eastAsia="宋体" w:cs="宋体"/>
          <w:color w:val="auto"/>
          <w:kern w:val="0"/>
          <w:sz w:val="24"/>
          <w:szCs w:val="24"/>
          <w:highlight w:val="none"/>
        </w:rPr>
        <w:t>了本</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文件，且已经提交本次投标文件的投标人。</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2.3 “投标人代表”系指代表投标人参加本次</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活动的投标人的法定代表人或其委托代理人。</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2.4 “货物”系指投标人按</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文件规定向采购人提供的一切设备、机械、仪器仪表、备品备件、工具、手册及其它有关技术资料和材料。</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2.5 “相关服务”系指</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文件规定投标人须承担的与本次采购货物相关的安装、调试、技术协助、校准、培训以及其他类似的义务。</w:t>
      </w:r>
    </w:p>
    <w:p>
      <w:pPr>
        <w:keepNext w:val="0"/>
        <w:keepLines w:val="0"/>
        <w:pageBreakBefore w:val="0"/>
        <w:widowControl/>
        <w:kinsoku/>
        <w:wordWrap/>
        <w:overflowPunct/>
        <w:topLinePunct w:val="0"/>
        <w:bidi w:val="0"/>
        <w:snapToGrid w:val="0"/>
        <w:spacing w:beforeAutospacing="0" w:afterAutospacing="0" w:line="360" w:lineRule="auto"/>
        <w:ind w:firstLine="420"/>
        <w:jc w:val="left"/>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3.本次采购预算（最高限价）为</w:t>
      </w:r>
      <w:r>
        <w:rPr>
          <w:rFonts w:hint="eastAsia" w:ascii="宋体" w:hAnsi="宋体" w:cs="宋体"/>
          <w:b/>
          <w:bCs/>
          <w:color w:val="auto"/>
          <w:kern w:val="0"/>
          <w:sz w:val="24"/>
          <w:szCs w:val="24"/>
          <w:highlight w:val="none"/>
          <w:lang w:val="en-US" w:eastAsia="zh-CN"/>
        </w:rPr>
        <w:t>6.36</w:t>
      </w:r>
      <w:r>
        <w:rPr>
          <w:rFonts w:hint="eastAsia" w:ascii="宋体" w:hAnsi="宋体" w:eastAsia="宋体" w:cs="宋体"/>
          <w:b/>
          <w:bCs/>
          <w:color w:val="auto"/>
          <w:kern w:val="0"/>
          <w:sz w:val="24"/>
          <w:szCs w:val="24"/>
          <w:highlight w:val="none"/>
          <w:lang w:val="en-US" w:eastAsia="zh-CN"/>
        </w:rPr>
        <w:t>万</w:t>
      </w:r>
      <w:r>
        <w:rPr>
          <w:rFonts w:hint="eastAsia" w:ascii="宋体" w:hAnsi="宋体" w:eastAsia="宋体" w:cs="宋体"/>
          <w:b/>
          <w:bCs/>
          <w:color w:val="auto"/>
          <w:kern w:val="0"/>
          <w:sz w:val="24"/>
          <w:szCs w:val="24"/>
          <w:highlight w:val="none"/>
        </w:rPr>
        <w:t>元</w:t>
      </w:r>
      <w:r>
        <w:rPr>
          <w:rFonts w:hint="eastAsia" w:ascii="宋体" w:hAnsi="宋体" w:cs="宋体"/>
          <w:b/>
          <w:bCs/>
          <w:color w:val="auto"/>
          <w:kern w:val="0"/>
          <w:sz w:val="24"/>
          <w:szCs w:val="24"/>
          <w:highlight w:val="none"/>
          <w:lang w:eastAsia="zh-CN"/>
        </w:rPr>
        <w:t>，A包：2.56万元，B包：3.8万元</w:t>
      </w:r>
      <w:r>
        <w:rPr>
          <w:rFonts w:hint="eastAsia" w:ascii="宋体" w:hAnsi="宋体" w:eastAsia="宋体" w:cs="宋体"/>
          <w:color w:val="auto"/>
          <w:kern w:val="0"/>
          <w:sz w:val="24"/>
          <w:szCs w:val="24"/>
          <w:highlight w:val="none"/>
        </w:rPr>
        <w:t>。</w:t>
      </w:r>
    </w:p>
    <w:p>
      <w:pPr>
        <w:keepNext w:val="0"/>
        <w:keepLines w:val="0"/>
        <w:pageBreakBefore w:val="0"/>
        <w:widowControl/>
        <w:kinsoku/>
        <w:wordWrap/>
        <w:overflowPunct/>
        <w:topLinePunct w:val="0"/>
        <w:bidi w:val="0"/>
        <w:snapToGrid w:val="0"/>
        <w:spacing w:beforeAutospacing="0" w:afterAutospacing="0" w:line="360" w:lineRule="auto"/>
        <w:ind w:firstLine="420"/>
        <w:jc w:val="left"/>
        <w:rPr>
          <w:rFonts w:hint="eastAsia" w:ascii="宋体" w:hAnsi="宋体" w:eastAsia="宋体" w:cs="宋体"/>
          <w:color w:val="auto"/>
          <w:sz w:val="24"/>
          <w:szCs w:val="24"/>
          <w:highlight w:val="none"/>
        </w:rPr>
      </w:pPr>
      <w:r>
        <w:rPr>
          <w:rFonts w:hint="eastAsia" w:ascii="宋体" w:hAnsi="宋体" w:eastAsia="宋体" w:cs="宋体"/>
          <w:b/>
          <w:bCs/>
          <w:color w:val="auto"/>
          <w:kern w:val="0"/>
          <w:sz w:val="24"/>
          <w:szCs w:val="24"/>
          <w:highlight w:val="none"/>
        </w:rPr>
        <w:t>4.投标人应提交的证明文件</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4.1供应商应为注册在中华人民共和国境内的，且具有独立承担民事责任能力，提供法人或者其他组织的营业执照等证明文件。单位负责人为同一人或者存在直接控股、管理关系的不同供应商，不得参加同一合同项下的投标。一经发现，将导致投标同时被拒绝。</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4.2供应商应提供2022年度经审计的财务报告或者其基本开户银行出具的资信证明；采购活动前近三个月内或上个季度任一个月的依法缴纳税收的凭据和缴纳社会保险的凭据；依法免税或不需要缴纳社会保障资金的供应商，应提供相应文件证明其依法免税或不需要缴纳社会保障资金。（新成立企业从成立之日起计算）。</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4.3具有履行合同所必需的设备和专业技术能力（提供书面声明函）。</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4.4参加本采购活动前三年内，在经营活动中没有重大违法记录（提供书面声明函）。</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4.5符合法律、行政法规规定的其他条件。</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4.6根据《关于在政府采购活动中查询及使用信用记录有关问题的通知》（财库【2016】125号）的规定，对列入失信被执行人、重大税收违法失信主体、政府采购严重违法失信行为记录名单的供应商，拒绝参与本项目政府采购活动，参与采购的供应商应提供查询企业信用记录的网页打印页并加盖供应商公章，查询时间应在采购公告发布日期之后，【查询渠道：“信用中国”网站、中国政府采购网】；</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4.7所投产品属于一类医疗器械的，须提供医疗器械生产备案凭证和医疗器械备案凭证；所投产品属于二类医疗器械的，须提供医疗器械生产许可证、经营备案凭证、医疗器械注册证；所投产品属于三类医疗器械的，须提供医疗器械生产许可证、经营许可证、医疗器械注册证。（投标产品不属于医疗器械的，投标人可不提供）。（复印件须加盖单位公章）</w:t>
      </w:r>
    </w:p>
    <w:p>
      <w:pPr>
        <w:keepNext w:val="0"/>
        <w:keepLines w:val="0"/>
        <w:pageBreakBefore w:val="0"/>
        <w:widowControl/>
        <w:kinsoku/>
        <w:wordWrap/>
        <w:overflowPunct/>
        <w:topLinePunct w:val="0"/>
        <w:bidi w:val="0"/>
        <w:snapToGrid w:val="0"/>
        <w:spacing w:beforeAutospacing="0" w:afterAutospacing="0" w:line="360" w:lineRule="auto"/>
        <w:ind w:firstLine="420"/>
        <w:jc w:val="left"/>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5.投标费用</w:t>
      </w:r>
    </w:p>
    <w:p>
      <w:pPr>
        <w:keepNext w:val="0"/>
        <w:keepLines w:val="0"/>
        <w:pageBreakBefore w:val="0"/>
        <w:widowControl/>
        <w:kinsoku/>
        <w:wordWrap/>
        <w:overflowPunct/>
        <w:topLinePunct w:val="0"/>
        <w:bidi w:val="0"/>
        <w:snapToGrid w:val="0"/>
        <w:spacing w:beforeAutospacing="0" w:afterAutospacing="0" w:line="360" w:lineRule="auto"/>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不论投标结果如何，投标人均应自行承担所有与投标有关的全部费用。</w:t>
      </w:r>
    </w:p>
    <w:p>
      <w:pPr>
        <w:keepNext w:val="0"/>
        <w:keepLines w:val="0"/>
        <w:pageBreakBefore w:val="0"/>
        <w:widowControl/>
        <w:kinsoku/>
        <w:wordWrap/>
        <w:overflowPunct/>
        <w:topLinePunct w:val="0"/>
        <w:bidi w:val="0"/>
        <w:snapToGrid w:val="0"/>
        <w:spacing w:beforeAutospacing="0" w:afterAutospacing="0" w:line="360" w:lineRule="auto"/>
        <w:ind w:firstLine="420"/>
        <w:jc w:val="left"/>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6.联合体投标：本项目不接受联合体投标。</w:t>
      </w:r>
    </w:p>
    <w:p>
      <w:pPr>
        <w:keepNext w:val="0"/>
        <w:keepLines w:val="0"/>
        <w:pageBreakBefore w:val="0"/>
        <w:widowControl/>
        <w:kinsoku/>
        <w:wordWrap/>
        <w:overflowPunct/>
        <w:topLinePunct w:val="0"/>
        <w:bidi w:val="0"/>
        <w:snapToGrid w:val="0"/>
        <w:spacing w:beforeAutospacing="0" w:afterAutospacing="0" w:line="360" w:lineRule="auto"/>
        <w:ind w:firstLine="420"/>
        <w:jc w:val="left"/>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7.关联企业投标</w:t>
      </w:r>
    </w:p>
    <w:p>
      <w:pPr>
        <w:keepNext w:val="0"/>
        <w:keepLines w:val="0"/>
        <w:pageBreakBefore w:val="0"/>
        <w:widowControl/>
        <w:kinsoku/>
        <w:wordWrap/>
        <w:overflowPunct/>
        <w:topLinePunct w:val="0"/>
        <w:bidi w:val="0"/>
        <w:snapToGrid w:val="0"/>
        <w:spacing w:beforeAutospacing="0" w:afterAutospacing="0" w:line="360" w:lineRule="auto"/>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7.1 本</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文件所称关联企业,是指存在关联关系的企业。“关联关系”的界定适用《中华人民共和国公司法》第二百一十六条、《中华人民共和国政府采购法实施条例》第十八条之规定。</w:t>
      </w:r>
    </w:p>
    <w:p>
      <w:pPr>
        <w:keepNext w:val="0"/>
        <w:keepLines w:val="0"/>
        <w:pageBreakBefore w:val="0"/>
        <w:widowControl/>
        <w:kinsoku/>
        <w:wordWrap/>
        <w:overflowPunct/>
        <w:topLinePunct w:val="0"/>
        <w:bidi w:val="0"/>
        <w:snapToGrid w:val="0"/>
        <w:spacing w:beforeAutospacing="0" w:afterAutospacing="0" w:line="360" w:lineRule="auto"/>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7.2 关联企业中, 同一个法定代表人的两个及两个以上法人，母公司、全资子公司及其控股公司，都不得同时投标。单位负责人为同一人或者存在直接控股、管理关系的不同供应商，不得参加同一合同项下的投标。一经发现，将导致投标同时被拒绝（提供加盖供应商公章的“国家企业信用信息公示系统”网站查询结果网页截图，须显示公司基本信息、主要人员信息、股东信息)。</w:t>
      </w:r>
    </w:p>
    <w:p>
      <w:pPr>
        <w:keepNext w:val="0"/>
        <w:keepLines w:val="0"/>
        <w:pageBreakBefore w:val="0"/>
        <w:widowControl/>
        <w:kinsoku/>
        <w:wordWrap/>
        <w:overflowPunct/>
        <w:topLinePunct w:val="0"/>
        <w:bidi w:val="0"/>
        <w:snapToGrid w:val="0"/>
        <w:spacing w:beforeAutospacing="0" w:afterAutospacing="0" w:line="360" w:lineRule="auto"/>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7.3 为采购项目提供整体设计、规范编制或者项目管理、监理、检测等服务的供应商，不得再参加该采购项目的投标活动。</w:t>
      </w:r>
    </w:p>
    <w:p>
      <w:pPr>
        <w:keepNext w:val="0"/>
        <w:keepLines w:val="0"/>
        <w:pageBreakBefore w:val="0"/>
        <w:widowControl/>
        <w:kinsoku/>
        <w:wordWrap/>
        <w:overflowPunct/>
        <w:topLinePunct w:val="0"/>
        <w:bidi w:val="0"/>
        <w:snapToGrid w:val="0"/>
        <w:spacing w:beforeAutospacing="0" w:afterAutospacing="0" w:line="360" w:lineRule="auto"/>
        <w:ind w:firstLine="420"/>
        <w:jc w:val="left"/>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8.转包与分包</w:t>
      </w:r>
    </w:p>
    <w:p>
      <w:pPr>
        <w:keepNext w:val="0"/>
        <w:keepLines w:val="0"/>
        <w:pageBreakBefore w:val="0"/>
        <w:widowControl/>
        <w:kinsoku/>
        <w:wordWrap/>
        <w:overflowPunct/>
        <w:topLinePunct w:val="0"/>
        <w:bidi w:val="0"/>
        <w:snapToGrid w:val="0"/>
        <w:spacing w:beforeAutospacing="0" w:afterAutospacing="0" w:line="360" w:lineRule="auto"/>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8.1本项目不允许采取转包方式履行合同。</w:t>
      </w:r>
    </w:p>
    <w:p>
      <w:pPr>
        <w:keepNext w:val="0"/>
        <w:keepLines w:val="0"/>
        <w:pageBreakBefore w:val="0"/>
        <w:widowControl/>
        <w:kinsoku/>
        <w:wordWrap/>
        <w:overflowPunct/>
        <w:topLinePunct w:val="0"/>
        <w:bidi w:val="0"/>
        <w:snapToGrid w:val="0"/>
        <w:spacing w:beforeAutospacing="0" w:afterAutospacing="0" w:line="360" w:lineRule="auto"/>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8.2本项目不允许采取分包方式履行合同。</w:t>
      </w:r>
    </w:p>
    <w:p>
      <w:pPr>
        <w:keepNext w:val="0"/>
        <w:keepLines w:val="0"/>
        <w:pageBreakBefore w:val="0"/>
        <w:widowControl/>
        <w:kinsoku/>
        <w:wordWrap/>
        <w:overflowPunct/>
        <w:topLinePunct w:val="0"/>
        <w:bidi w:val="0"/>
        <w:snapToGrid w:val="0"/>
        <w:spacing w:beforeAutospacing="0" w:afterAutospacing="0" w:line="360" w:lineRule="auto"/>
        <w:ind w:firstLine="420"/>
        <w:jc w:val="left"/>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9.特别说明：</w:t>
      </w:r>
    </w:p>
    <w:p>
      <w:pPr>
        <w:keepNext w:val="0"/>
        <w:keepLines w:val="0"/>
        <w:pageBreakBefore w:val="0"/>
        <w:widowControl/>
        <w:kinsoku/>
        <w:wordWrap/>
        <w:overflowPunct/>
        <w:topLinePunct w:val="0"/>
        <w:bidi w:val="0"/>
        <w:snapToGrid w:val="0"/>
        <w:spacing w:beforeAutospacing="0" w:afterAutospacing="0" w:line="360" w:lineRule="auto"/>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9.1 投标人投标所使用的资格、信誉、荣誉、业绩与企业认证必须为本法人所拥有。  </w:t>
      </w:r>
    </w:p>
    <w:p>
      <w:pPr>
        <w:keepNext w:val="0"/>
        <w:keepLines w:val="0"/>
        <w:pageBreakBefore w:val="0"/>
        <w:widowControl/>
        <w:kinsoku/>
        <w:wordWrap/>
        <w:overflowPunct/>
        <w:topLinePunct w:val="0"/>
        <w:bidi w:val="0"/>
        <w:snapToGrid w:val="0"/>
        <w:spacing w:beforeAutospacing="0" w:afterAutospacing="0" w:line="360" w:lineRule="auto"/>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9.2</w:t>
      </w:r>
      <w:r>
        <w:rPr>
          <w:rFonts w:hint="eastAsia" w:ascii="宋体" w:hAnsi="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rPr>
        <w:t>投标人代表只能接受一个投标人的委托参加投标。</w:t>
      </w:r>
    </w:p>
    <w:p>
      <w:pPr>
        <w:keepNext w:val="0"/>
        <w:keepLines w:val="0"/>
        <w:pageBreakBefore w:val="0"/>
        <w:widowControl/>
        <w:kinsoku/>
        <w:wordWrap/>
        <w:overflowPunct/>
        <w:topLinePunct w:val="0"/>
        <w:bidi w:val="0"/>
        <w:snapToGrid w:val="0"/>
        <w:spacing w:beforeAutospacing="0" w:afterAutospacing="0" w:line="360" w:lineRule="auto"/>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9.3《政府采购法》第二十二条第五款“参加政府采购活动前三年内，在经营活动中没有重大违法记录”，“重大违法记录”包括投标人或者其法定代表人、董事、监事、高级管理人员因经营活动中的违法行为受到行政处罚，但警告和罚款额在人民币3万元以下的行政处罚除外；投标人或其法定代表人、董事、监事、高级管理人员因经营活动中的违法行为受到刑事处罚。</w:t>
      </w:r>
    </w:p>
    <w:p>
      <w:pPr>
        <w:keepNext w:val="0"/>
        <w:keepLines w:val="0"/>
        <w:pageBreakBefore w:val="0"/>
        <w:widowControl/>
        <w:kinsoku/>
        <w:wordWrap/>
        <w:overflowPunct/>
        <w:topLinePunct w:val="0"/>
        <w:bidi w:val="0"/>
        <w:snapToGrid w:val="0"/>
        <w:spacing w:beforeAutospacing="0" w:afterAutospacing="0" w:line="360" w:lineRule="auto"/>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9.4投标人在投标活动中提供虚假材料或从事其他违法活动的,其投标无效，由相关部门查处。</w:t>
      </w:r>
    </w:p>
    <w:p>
      <w:pPr>
        <w:keepNext w:val="0"/>
        <w:keepLines w:val="0"/>
        <w:pageBreakBefore w:val="0"/>
        <w:widowControl/>
        <w:kinsoku/>
        <w:wordWrap/>
        <w:overflowPunct/>
        <w:topLinePunct w:val="0"/>
        <w:bidi w:val="0"/>
        <w:snapToGrid w:val="0"/>
        <w:spacing w:beforeAutospacing="0" w:afterAutospacing="0" w:line="360" w:lineRule="auto"/>
        <w:ind w:firstLine="420"/>
        <w:jc w:val="left"/>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10.质疑和投诉</w:t>
      </w:r>
    </w:p>
    <w:p>
      <w:pPr>
        <w:keepNext w:val="0"/>
        <w:keepLines w:val="0"/>
        <w:pageBreakBefore w:val="0"/>
        <w:widowControl/>
        <w:kinsoku/>
        <w:wordWrap/>
        <w:overflowPunct/>
        <w:topLinePunct w:val="0"/>
        <w:bidi w:val="0"/>
        <w:snapToGrid w:val="0"/>
        <w:spacing w:beforeAutospacing="0" w:afterAutospacing="0" w:line="360" w:lineRule="auto"/>
        <w:ind w:firstLine="470" w:firstLineChars="196"/>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10.1 </w:t>
      </w:r>
      <w:r>
        <w:rPr>
          <w:rFonts w:hint="eastAsia" w:ascii="宋体" w:hAnsi="宋体" w:eastAsia="宋体" w:cs="宋体"/>
          <w:bCs/>
          <w:color w:val="auto"/>
          <w:kern w:val="0"/>
          <w:sz w:val="24"/>
          <w:szCs w:val="24"/>
          <w:highlight w:val="none"/>
        </w:rPr>
        <w:t>供应商认为</w:t>
      </w:r>
      <w:r>
        <w:rPr>
          <w:rFonts w:hint="eastAsia" w:ascii="宋体" w:hAnsi="宋体" w:eastAsia="宋体" w:cs="宋体"/>
          <w:bCs/>
          <w:color w:val="auto"/>
          <w:kern w:val="0"/>
          <w:sz w:val="24"/>
          <w:szCs w:val="24"/>
          <w:highlight w:val="none"/>
          <w:lang w:val="en-US" w:eastAsia="zh-CN"/>
        </w:rPr>
        <w:t>采购</w:t>
      </w:r>
      <w:r>
        <w:rPr>
          <w:rFonts w:hint="eastAsia" w:ascii="宋体" w:hAnsi="宋体" w:eastAsia="宋体" w:cs="宋体"/>
          <w:bCs/>
          <w:color w:val="auto"/>
          <w:kern w:val="0"/>
          <w:sz w:val="24"/>
          <w:szCs w:val="24"/>
          <w:highlight w:val="none"/>
        </w:rPr>
        <w:t>文件使自己的合法权益受到损害的，</w:t>
      </w:r>
      <w:r>
        <w:rPr>
          <w:rFonts w:hint="eastAsia" w:ascii="宋体" w:hAnsi="宋体" w:eastAsia="宋体" w:cs="宋体"/>
          <w:color w:val="auto"/>
          <w:kern w:val="0"/>
          <w:sz w:val="24"/>
          <w:szCs w:val="24"/>
          <w:highlight w:val="none"/>
        </w:rPr>
        <w:t>应当在</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公告期限届满之日(或收到</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文件之日)起</w:t>
      </w: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个工作日之内向</w:t>
      </w:r>
      <w:r>
        <w:rPr>
          <w:rFonts w:hint="eastAsia" w:ascii="宋体" w:hAnsi="宋体" w:eastAsia="宋体" w:cs="宋体"/>
          <w:bCs/>
          <w:color w:val="auto"/>
          <w:kern w:val="0"/>
          <w:sz w:val="24"/>
          <w:szCs w:val="24"/>
          <w:highlight w:val="none"/>
        </w:rPr>
        <w:t>采购人提出质疑；供应商认为</w:t>
      </w:r>
      <w:r>
        <w:rPr>
          <w:rFonts w:hint="eastAsia" w:ascii="宋体" w:hAnsi="宋体" w:eastAsia="宋体" w:cs="宋体"/>
          <w:bCs/>
          <w:color w:val="auto"/>
          <w:kern w:val="0"/>
          <w:sz w:val="24"/>
          <w:szCs w:val="24"/>
          <w:highlight w:val="none"/>
          <w:lang w:eastAsia="zh-CN"/>
        </w:rPr>
        <w:t>磋商</w:t>
      </w:r>
      <w:r>
        <w:rPr>
          <w:rFonts w:hint="eastAsia" w:ascii="宋体" w:hAnsi="宋体" w:eastAsia="宋体" w:cs="宋体"/>
          <w:bCs/>
          <w:color w:val="auto"/>
          <w:kern w:val="0"/>
          <w:sz w:val="24"/>
          <w:szCs w:val="24"/>
          <w:highlight w:val="none"/>
        </w:rPr>
        <w:t>过程和中标结果使自己的合法权益受到损害的，应当在知道或者应知其权益受到损害之日起</w:t>
      </w:r>
      <w:r>
        <w:rPr>
          <w:rFonts w:hint="eastAsia" w:ascii="宋体" w:hAnsi="宋体" w:eastAsia="宋体" w:cs="宋体"/>
          <w:bCs/>
          <w:color w:val="auto"/>
          <w:kern w:val="0"/>
          <w:sz w:val="24"/>
          <w:szCs w:val="24"/>
          <w:highlight w:val="none"/>
          <w:lang w:val="en-US" w:eastAsia="zh-CN"/>
        </w:rPr>
        <w:t>3</w:t>
      </w:r>
      <w:r>
        <w:rPr>
          <w:rFonts w:hint="eastAsia" w:ascii="宋体" w:hAnsi="宋体" w:eastAsia="宋体" w:cs="宋体"/>
          <w:bCs/>
          <w:color w:val="auto"/>
          <w:kern w:val="0"/>
          <w:sz w:val="24"/>
          <w:szCs w:val="24"/>
          <w:highlight w:val="none"/>
        </w:rPr>
        <w:t>个工作日内提出质疑。</w:t>
      </w:r>
      <w:r>
        <w:rPr>
          <w:rFonts w:hint="eastAsia" w:ascii="宋体" w:hAnsi="宋体" w:eastAsia="宋体" w:cs="宋体"/>
          <w:color w:val="auto"/>
          <w:kern w:val="0"/>
          <w:sz w:val="24"/>
          <w:szCs w:val="24"/>
          <w:highlight w:val="none"/>
        </w:rPr>
        <w:t>逾期不再受理,</w:t>
      </w:r>
      <w:r>
        <w:rPr>
          <w:rFonts w:hint="eastAsia" w:ascii="宋体" w:hAnsi="宋体" w:eastAsia="宋体" w:cs="宋体"/>
          <w:bCs/>
          <w:color w:val="auto"/>
          <w:kern w:val="0"/>
          <w:sz w:val="24"/>
          <w:szCs w:val="24"/>
          <w:highlight w:val="none"/>
        </w:rPr>
        <w:t>供应商在法定质疑期内应一次性提出针对同一采购环节的质疑。</w:t>
      </w:r>
      <w:r>
        <w:rPr>
          <w:rFonts w:hint="eastAsia" w:ascii="宋体" w:hAnsi="宋体" w:eastAsia="宋体" w:cs="宋体"/>
          <w:color w:val="auto"/>
          <w:kern w:val="0"/>
          <w:sz w:val="24"/>
          <w:szCs w:val="24"/>
          <w:highlight w:val="none"/>
        </w:rPr>
        <w:t>供应商对</w:t>
      </w:r>
      <w:r>
        <w:rPr>
          <w:rFonts w:hint="eastAsia" w:ascii="宋体" w:hAnsi="宋体" w:eastAsia="宋体" w:cs="宋体"/>
          <w:bCs/>
          <w:color w:val="auto"/>
          <w:kern w:val="0"/>
          <w:sz w:val="24"/>
          <w:szCs w:val="24"/>
          <w:highlight w:val="none"/>
        </w:rPr>
        <w:t>采购人</w:t>
      </w:r>
      <w:r>
        <w:rPr>
          <w:rFonts w:hint="eastAsia" w:ascii="宋体" w:hAnsi="宋体" w:eastAsia="宋体" w:cs="宋体"/>
          <w:color w:val="auto"/>
          <w:kern w:val="0"/>
          <w:sz w:val="24"/>
          <w:szCs w:val="24"/>
          <w:highlight w:val="none"/>
        </w:rPr>
        <w:t>的质疑答复不满意,或</w:t>
      </w:r>
      <w:r>
        <w:rPr>
          <w:rFonts w:hint="eastAsia" w:ascii="宋体" w:hAnsi="宋体" w:eastAsia="宋体" w:cs="宋体"/>
          <w:bCs/>
          <w:color w:val="auto"/>
          <w:kern w:val="0"/>
          <w:sz w:val="24"/>
          <w:szCs w:val="24"/>
          <w:highlight w:val="none"/>
        </w:rPr>
        <w:t>采购人</w:t>
      </w:r>
      <w:r>
        <w:rPr>
          <w:rFonts w:hint="eastAsia" w:ascii="宋体" w:hAnsi="宋体" w:eastAsia="宋体" w:cs="宋体"/>
          <w:color w:val="auto"/>
          <w:kern w:val="0"/>
          <w:sz w:val="24"/>
          <w:szCs w:val="24"/>
          <w:highlight w:val="none"/>
        </w:rPr>
        <w:t>未在规定时间内作出答复的，可以在答复期满后15个工作日内向</w:t>
      </w:r>
      <w:r>
        <w:rPr>
          <w:rFonts w:hint="eastAsia" w:ascii="宋体" w:hAnsi="宋体" w:eastAsia="宋体" w:cs="宋体"/>
          <w:color w:val="auto"/>
          <w:kern w:val="0"/>
          <w:sz w:val="24"/>
          <w:szCs w:val="24"/>
          <w:highlight w:val="none"/>
          <w:lang w:val="en-US" w:eastAsia="zh-CN"/>
        </w:rPr>
        <w:t>医院纪检</w:t>
      </w:r>
      <w:r>
        <w:rPr>
          <w:rFonts w:hint="eastAsia" w:ascii="宋体" w:hAnsi="宋体" w:eastAsia="宋体" w:cs="宋体"/>
          <w:color w:val="auto"/>
          <w:kern w:val="0"/>
          <w:sz w:val="24"/>
          <w:szCs w:val="24"/>
          <w:highlight w:val="none"/>
        </w:rPr>
        <w:t>部门投诉。</w:t>
      </w:r>
    </w:p>
    <w:p>
      <w:pPr>
        <w:keepNext w:val="0"/>
        <w:keepLines w:val="0"/>
        <w:pageBreakBefore w:val="0"/>
        <w:widowControl/>
        <w:shd w:val="clear" w:color="auto"/>
        <w:kinsoku/>
        <w:wordWrap/>
        <w:overflowPunct/>
        <w:topLinePunct w:val="0"/>
        <w:bidi w:val="0"/>
        <w:snapToGrid w:val="0"/>
        <w:spacing w:beforeAutospacing="0" w:afterAutospacing="0" w:line="360" w:lineRule="auto"/>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10.2 </w:t>
      </w:r>
      <w:r>
        <w:rPr>
          <w:rFonts w:hint="eastAsia" w:ascii="宋体" w:hAnsi="宋体" w:eastAsia="宋体" w:cs="宋体"/>
          <w:bCs/>
          <w:color w:val="auto"/>
          <w:kern w:val="0"/>
          <w:sz w:val="24"/>
          <w:szCs w:val="24"/>
          <w:highlight w:val="none"/>
        </w:rPr>
        <w:t>质疑、投诉应当采用书面形式，质疑书、投诉书均应明确阐述</w:t>
      </w:r>
      <w:r>
        <w:rPr>
          <w:rFonts w:hint="eastAsia" w:ascii="宋体" w:hAnsi="宋体" w:eastAsia="宋体" w:cs="宋体"/>
          <w:bCs/>
          <w:color w:val="auto"/>
          <w:kern w:val="0"/>
          <w:sz w:val="24"/>
          <w:szCs w:val="24"/>
          <w:highlight w:val="none"/>
          <w:lang w:val="en-US" w:eastAsia="zh-CN"/>
        </w:rPr>
        <w:t>采购</w:t>
      </w:r>
      <w:r>
        <w:rPr>
          <w:rFonts w:hint="eastAsia" w:ascii="宋体" w:hAnsi="宋体" w:eastAsia="宋体" w:cs="宋体"/>
          <w:bCs/>
          <w:color w:val="auto"/>
          <w:kern w:val="0"/>
          <w:sz w:val="24"/>
          <w:szCs w:val="24"/>
          <w:highlight w:val="none"/>
        </w:rPr>
        <w:t>文件、</w:t>
      </w:r>
      <w:r>
        <w:rPr>
          <w:rFonts w:hint="eastAsia" w:ascii="宋体" w:hAnsi="宋体" w:eastAsia="宋体" w:cs="宋体"/>
          <w:bCs/>
          <w:color w:val="auto"/>
          <w:kern w:val="0"/>
          <w:sz w:val="24"/>
          <w:szCs w:val="24"/>
          <w:highlight w:val="none"/>
          <w:lang w:eastAsia="zh-CN"/>
        </w:rPr>
        <w:t>磋商</w:t>
      </w:r>
      <w:r>
        <w:rPr>
          <w:rFonts w:hint="eastAsia" w:ascii="宋体" w:hAnsi="宋体" w:eastAsia="宋体" w:cs="宋体"/>
          <w:bCs/>
          <w:color w:val="auto"/>
          <w:kern w:val="0"/>
          <w:sz w:val="24"/>
          <w:szCs w:val="24"/>
          <w:highlight w:val="none"/>
        </w:rPr>
        <w:t>过程和中标结果中使自己合法权益受到损害的实质性内容，提供相关事实、依据和证据及其来源或线索，便于有关单位调查、答复和处理。</w:t>
      </w:r>
    </w:p>
    <w:p>
      <w:pPr>
        <w:keepNext w:val="0"/>
        <w:keepLines w:val="0"/>
        <w:pageBreakBefore w:val="0"/>
        <w:widowControl/>
        <w:kinsoku/>
        <w:wordWrap/>
        <w:overflowPunct/>
        <w:topLinePunct w:val="0"/>
        <w:bidi w:val="0"/>
        <w:snapToGrid w:val="0"/>
        <w:spacing w:beforeAutospacing="0" w:afterAutospacing="0" w:line="360" w:lineRule="auto"/>
        <w:ind w:firstLine="420"/>
        <w:jc w:val="left"/>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11.投标人的风险</w:t>
      </w:r>
    </w:p>
    <w:p>
      <w:pPr>
        <w:keepNext w:val="0"/>
        <w:keepLines w:val="0"/>
        <w:pageBreakBefore w:val="0"/>
        <w:widowControl/>
        <w:kinsoku/>
        <w:wordWrap/>
        <w:overflowPunct/>
        <w:topLinePunct w:val="0"/>
        <w:bidi w:val="0"/>
        <w:snapToGrid w:val="0"/>
        <w:spacing w:beforeAutospacing="0" w:afterAutospacing="0" w:line="360" w:lineRule="auto"/>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投标人没有按照</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文件要求提供全部资料，或者投标人没有对</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文件在各方面都作出实质性响应是投标人的风险，并可能导致其投标被拒绝。</w:t>
      </w:r>
    </w:p>
    <w:p>
      <w:pPr>
        <w:keepNext w:val="0"/>
        <w:keepLines w:val="0"/>
        <w:pageBreakBefore w:val="0"/>
        <w:widowControl/>
        <w:kinsoku/>
        <w:wordWrap/>
        <w:overflowPunct/>
        <w:topLinePunct w:val="0"/>
        <w:bidi w:val="0"/>
        <w:snapToGrid w:val="0"/>
        <w:spacing w:beforeAutospacing="0" w:afterAutospacing="0" w:line="360" w:lineRule="auto"/>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二、</w:t>
      </w:r>
      <w:r>
        <w:rPr>
          <w:rFonts w:hint="eastAsia" w:ascii="宋体" w:hAnsi="宋体" w:eastAsia="宋体" w:cs="宋体"/>
          <w:b/>
          <w:bCs/>
          <w:color w:val="auto"/>
          <w:kern w:val="0"/>
          <w:sz w:val="24"/>
          <w:szCs w:val="24"/>
          <w:highlight w:val="none"/>
          <w:lang w:val="en-US" w:eastAsia="zh-CN"/>
        </w:rPr>
        <w:t>采购</w:t>
      </w:r>
      <w:r>
        <w:rPr>
          <w:rFonts w:hint="eastAsia" w:ascii="宋体" w:hAnsi="宋体" w:eastAsia="宋体" w:cs="宋体"/>
          <w:b/>
          <w:bCs/>
          <w:color w:val="auto"/>
          <w:kern w:val="0"/>
          <w:sz w:val="24"/>
          <w:szCs w:val="24"/>
          <w:highlight w:val="none"/>
        </w:rPr>
        <w:t>文件</w:t>
      </w:r>
    </w:p>
    <w:p>
      <w:pPr>
        <w:keepNext w:val="0"/>
        <w:keepLines w:val="0"/>
        <w:pageBreakBefore w:val="0"/>
        <w:widowControl/>
        <w:kinsoku/>
        <w:wordWrap/>
        <w:overflowPunct/>
        <w:topLinePunct w:val="0"/>
        <w:bidi w:val="0"/>
        <w:snapToGrid w:val="0"/>
        <w:spacing w:beforeAutospacing="0" w:afterAutospacing="0" w:line="360" w:lineRule="auto"/>
        <w:ind w:firstLine="477" w:firstLineChars="198"/>
        <w:rPr>
          <w:rFonts w:ascii="宋体" w:hAnsi="宋体" w:cs="宋体"/>
          <w:color w:val="auto"/>
          <w:kern w:val="0"/>
          <w:sz w:val="24"/>
          <w:szCs w:val="24"/>
          <w:highlight w:val="none"/>
        </w:rPr>
      </w:pPr>
      <w:r>
        <w:rPr>
          <w:rFonts w:hint="eastAsia" w:ascii="宋体" w:hAnsi="宋体" w:cs="宋体"/>
          <w:b/>
          <w:bCs/>
          <w:color w:val="auto"/>
          <w:kern w:val="0"/>
          <w:sz w:val="24"/>
          <w:szCs w:val="24"/>
          <w:highlight w:val="none"/>
        </w:rPr>
        <w:t>12.</w:t>
      </w:r>
      <w:r>
        <w:rPr>
          <w:rFonts w:hint="eastAsia" w:ascii="宋体" w:hAnsi="宋体" w:cs="宋体"/>
          <w:b/>
          <w:bCs/>
          <w:color w:val="auto"/>
          <w:kern w:val="0"/>
          <w:sz w:val="24"/>
          <w:szCs w:val="24"/>
          <w:highlight w:val="none"/>
          <w:lang w:val="en-US" w:eastAsia="zh-CN"/>
        </w:rPr>
        <w:t>采购</w:t>
      </w:r>
      <w:r>
        <w:rPr>
          <w:rFonts w:hint="eastAsia" w:ascii="宋体" w:hAnsi="宋体" w:cs="宋体"/>
          <w:b/>
          <w:bCs/>
          <w:color w:val="auto"/>
          <w:kern w:val="0"/>
          <w:sz w:val="24"/>
          <w:szCs w:val="24"/>
          <w:highlight w:val="none"/>
        </w:rPr>
        <w:t>文件的构成。本</w:t>
      </w:r>
      <w:r>
        <w:rPr>
          <w:rFonts w:hint="eastAsia" w:ascii="宋体" w:hAnsi="宋体" w:cs="宋体"/>
          <w:b/>
          <w:bCs/>
          <w:color w:val="auto"/>
          <w:kern w:val="0"/>
          <w:sz w:val="24"/>
          <w:szCs w:val="24"/>
          <w:highlight w:val="none"/>
          <w:lang w:val="en-US" w:eastAsia="zh-CN"/>
        </w:rPr>
        <w:t>采购</w:t>
      </w:r>
      <w:r>
        <w:rPr>
          <w:rFonts w:hint="eastAsia" w:ascii="宋体" w:hAnsi="宋体" w:cs="宋体"/>
          <w:b/>
          <w:bCs/>
          <w:color w:val="auto"/>
          <w:kern w:val="0"/>
          <w:sz w:val="24"/>
          <w:szCs w:val="24"/>
          <w:highlight w:val="none"/>
        </w:rPr>
        <w:t>文件由以下部分组成：</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12.1 </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公告</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12.2 </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需求</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12.3 投标人须知</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12.4 评标办法</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12.5 </w:t>
      </w:r>
      <w:r>
        <w:rPr>
          <w:rFonts w:hint="eastAsia" w:ascii="宋体" w:hAnsi="宋体" w:cs="宋体"/>
          <w:color w:val="auto"/>
          <w:kern w:val="0"/>
          <w:sz w:val="24"/>
          <w:szCs w:val="24"/>
          <w:highlight w:val="none"/>
          <w:lang w:eastAsia="zh-CN"/>
        </w:rPr>
        <w:t>采购</w:t>
      </w:r>
      <w:r>
        <w:rPr>
          <w:rFonts w:hint="eastAsia" w:ascii="宋体" w:hAnsi="宋体" w:cs="宋体"/>
          <w:color w:val="auto"/>
          <w:kern w:val="0"/>
          <w:sz w:val="24"/>
          <w:szCs w:val="24"/>
          <w:highlight w:val="none"/>
        </w:rPr>
        <w:t>合同</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12.6 投标文件格式</w:t>
      </w:r>
    </w:p>
    <w:p>
      <w:pPr>
        <w:keepNext w:val="0"/>
        <w:keepLines w:val="0"/>
        <w:pageBreakBefore w:val="0"/>
        <w:widowControl/>
        <w:kinsoku/>
        <w:wordWrap/>
        <w:overflowPunct/>
        <w:topLinePunct w:val="0"/>
        <w:bidi w:val="0"/>
        <w:snapToGrid w:val="0"/>
        <w:spacing w:beforeAutospacing="0" w:afterAutospacing="0" w:line="360" w:lineRule="auto"/>
        <w:ind w:firstLine="477" w:firstLineChars="198"/>
        <w:rPr>
          <w:rFonts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13.</w:t>
      </w:r>
      <w:r>
        <w:rPr>
          <w:rFonts w:hint="eastAsia" w:ascii="宋体" w:hAnsi="宋体" w:cs="宋体"/>
          <w:b/>
          <w:bCs/>
          <w:color w:val="auto"/>
          <w:kern w:val="0"/>
          <w:sz w:val="24"/>
          <w:szCs w:val="24"/>
          <w:highlight w:val="none"/>
          <w:lang w:val="en-US" w:eastAsia="zh-CN"/>
        </w:rPr>
        <w:t>采购</w:t>
      </w:r>
      <w:r>
        <w:rPr>
          <w:rFonts w:hint="eastAsia" w:ascii="宋体" w:hAnsi="宋体" w:cs="宋体"/>
          <w:b/>
          <w:bCs/>
          <w:color w:val="auto"/>
          <w:kern w:val="0"/>
          <w:sz w:val="24"/>
          <w:szCs w:val="24"/>
          <w:highlight w:val="none"/>
        </w:rPr>
        <w:t>文件的澄清与修改</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13.1 </w:t>
      </w:r>
      <w:r>
        <w:rPr>
          <w:rFonts w:hint="eastAsia" w:ascii="宋体" w:hAnsi="宋体" w:cs="宋体"/>
          <w:color w:val="auto"/>
          <w:kern w:val="0"/>
          <w:sz w:val="24"/>
          <w:szCs w:val="24"/>
          <w:highlight w:val="none"/>
          <w:lang w:eastAsia="zh-CN"/>
        </w:rPr>
        <w:t>采购人</w:t>
      </w:r>
      <w:r>
        <w:rPr>
          <w:rFonts w:hint="eastAsia" w:ascii="宋体" w:hAnsi="宋体" w:cs="宋体"/>
          <w:color w:val="auto"/>
          <w:kern w:val="0"/>
          <w:sz w:val="24"/>
          <w:szCs w:val="24"/>
          <w:highlight w:val="none"/>
        </w:rPr>
        <w:t>对已发出的</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文件进行必要澄清、修改或补充的，应当在</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文件要求提交投标文件截止时间</w:t>
      </w:r>
      <w:r>
        <w:rPr>
          <w:rFonts w:hint="eastAsia" w:ascii="宋体" w:hAnsi="宋体" w:cs="宋体"/>
          <w:color w:val="auto"/>
          <w:kern w:val="0"/>
          <w:sz w:val="24"/>
          <w:szCs w:val="24"/>
          <w:highlight w:val="none"/>
          <w:lang w:val="en-US" w:eastAsia="zh-CN"/>
        </w:rPr>
        <w:t>3</w:t>
      </w:r>
      <w:r>
        <w:rPr>
          <w:rFonts w:hint="eastAsia" w:ascii="宋体" w:hAnsi="宋体" w:cs="宋体"/>
          <w:bCs/>
          <w:color w:val="auto"/>
          <w:kern w:val="0"/>
          <w:sz w:val="24"/>
          <w:szCs w:val="24"/>
          <w:highlight w:val="none"/>
        </w:rPr>
        <w:t>日</w:t>
      </w:r>
      <w:r>
        <w:rPr>
          <w:rFonts w:hint="eastAsia" w:ascii="宋体" w:hAnsi="宋体" w:cs="宋体"/>
          <w:color w:val="auto"/>
          <w:kern w:val="0"/>
          <w:sz w:val="24"/>
          <w:szCs w:val="24"/>
          <w:highlight w:val="none"/>
        </w:rPr>
        <w:t>前，在</w:t>
      </w:r>
      <w:r>
        <w:rPr>
          <w:rFonts w:hint="eastAsia" w:ascii="宋体" w:hAnsi="宋体" w:cs="宋体"/>
          <w:color w:val="auto"/>
          <w:kern w:val="0"/>
          <w:sz w:val="24"/>
          <w:szCs w:val="24"/>
          <w:highlight w:val="none"/>
          <w:lang w:val="en-US" w:eastAsia="zh-CN"/>
        </w:rPr>
        <w:t>原采购公告发布</w:t>
      </w:r>
      <w:r>
        <w:rPr>
          <w:rFonts w:hint="eastAsia" w:ascii="宋体" w:hAnsi="宋体" w:cs="宋体"/>
          <w:color w:val="auto"/>
          <w:kern w:val="0"/>
          <w:sz w:val="24"/>
          <w:szCs w:val="24"/>
          <w:highlight w:val="none"/>
        </w:rPr>
        <w:t>相关媒体上发布更正公告或变更公告。</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文件公示期间对</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文件进行的澄清、修改或补充不受上述限制。</w:t>
      </w:r>
    </w:p>
    <w:p>
      <w:pPr>
        <w:keepNext w:val="0"/>
        <w:keepLines w:val="0"/>
        <w:pageBreakBefore w:val="0"/>
        <w:widowControl/>
        <w:kinsoku/>
        <w:wordWrap/>
        <w:overflowPunct/>
        <w:topLinePunct w:val="0"/>
        <w:bidi w:val="0"/>
        <w:snapToGrid w:val="0"/>
        <w:spacing w:beforeAutospacing="0" w:afterAutospacing="0" w:line="360" w:lineRule="auto"/>
        <w:ind w:firstLine="48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13.2 </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文件澄清、修改或补充的内容为</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文件的组成部分。</w:t>
      </w:r>
    </w:p>
    <w:p>
      <w:pPr>
        <w:keepNext w:val="0"/>
        <w:keepLines w:val="0"/>
        <w:pageBreakBefore w:val="0"/>
        <w:widowControl/>
        <w:kinsoku/>
        <w:wordWrap/>
        <w:overflowPunct/>
        <w:topLinePunct w:val="0"/>
        <w:bidi w:val="0"/>
        <w:snapToGrid w:val="0"/>
        <w:spacing w:beforeAutospacing="0" w:afterAutospacing="0" w:line="360" w:lineRule="auto"/>
        <w:ind w:firstLine="48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13.3 </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文件的澄清、修改或补充都应以法定形式发布。采购人未对</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文件进行的澄清、修改或补充无效，评标时不予认可。</w:t>
      </w:r>
    </w:p>
    <w:p>
      <w:pPr>
        <w:keepNext w:val="0"/>
        <w:keepLines w:val="0"/>
        <w:pageBreakBefore w:val="0"/>
        <w:widowControl/>
        <w:kinsoku/>
        <w:wordWrap/>
        <w:overflowPunct/>
        <w:topLinePunct w:val="0"/>
        <w:bidi w:val="0"/>
        <w:snapToGrid w:val="0"/>
        <w:spacing w:beforeAutospacing="0" w:afterAutospacing="0" w:line="360" w:lineRule="auto"/>
        <w:ind w:firstLine="48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13.4 </w:t>
      </w:r>
      <w:r>
        <w:rPr>
          <w:rFonts w:hint="eastAsia" w:ascii="宋体" w:hAnsi="宋体" w:cs="宋体"/>
          <w:bCs/>
          <w:color w:val="auto"/>
          <w:kern w:val="0"/>
          <w:sz w:val="24"/>
          <w:szCs w:val="24"/>
          <w:highlight w:val="none"/>
        </w:rPr>
        <w:t>采购人</w:t>
      </w:r>
      <w:r>
        <w:rPr>
          <w:rFonts w:hint="eastAsia" w:ascii="宋体" w:hAnsi="宋体" w:cs="宋体"/>
          <w:color w:val="auto"/>
          <w:kern w:val="0"/>
          <w:sz w:val="24"/>
          <w:szCs w:val="24"/>
          <w:highlight w:val="none"/>
        </w:rPr>
        <w:t>可以视招标具体情况延长投标截止时间和开标时间，但至少应当在</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文件要求提交投标文件的截止时间3</w:t>
      </w:r>
      <w:r>
        <w:rPr>
          <w:rFonts w:hint="eastAsia" w:ascii="宋体" w:hAnsi="宋体" w:cs="宋体"/>
          <w:bCs/>
          <w:color w:val="auto"/>
          <w:kern w:val="0"/>
          <w:sz w:val="24"/>
          <w:szCs w:val="24"/>
          <w:highlight w:val="none"/>
        </w:rPr>
        <w:t>日</w:t>
      </w:r>
      <w:r>
        <w:rPr>
          <w:rFonts w:hint="eastAsia" w:ascii="宋体" w:hAnsi="宋体" w:cs="宋体"/>
          <w:color w:val="auto"/>
          <w:kern w:val="0"/>
          <w:sz w:val="24"/>
          <w:szCs w:val="24"/>
          <w:highlight w:val="none"/>
        </w:rPr>
        <w:t>前，将变更时间</w:t>
      </w:r>
      <w:r>
        <w:rPr>
          <w:rFonts w:hint="eastAsia" w:ascii="宋体" w:hAnsi="宋体" w:cs="宋体"/>
          <w:color w:val="auto"/>
          <w:kern w:val="0"/>
          <w:sz w:val="24"/>
          <w:szCs w:val="24"/>
          <w:highlight w:val="none"/>
          <w:lang w:val="en-US" w:eastAsia="zh-CN"/>
        </w:rPr>
        <w:t>通知所有潜在投标人</w:t>
      </w:r>
      <w:r>
        <w:rPr>
          <w:rFonts w:hint="eastAsia" w:ascii="宋体" w:hAnsi="宋体" w:cs="宋体"/>
          <w:color w:val="auto"/>
          <w:kern w:val="0"/>
          <w:sz w:val="24"/>
          <w:szCs w:val="24"/>
          <w:highlight w:val="none"/>
        </w:rPr>
        <w:t>。</w:t>
      </w:r>
    </w:p>
    <w:p>
      <w:pPr>
        <w:keepNext w:val="0"/>
        <w:keepLines w:val="0"/>
        <w:pageBreakBefore w:val="0"/>
        <w:widowControl/>
        <w:kinsoku/>
        <w:wordWrap/>
        <w:overflowPunct/>
        <w:topLinePunct w:val="0"/>
        <w:bidi w:val="0"/>
        <w:snapToGrid w:val="0"/>
        <w:spacing w:beforeAutospacing="0" w:afterAutospacing="0" w:line="360" w:lineRule="auto"/>
        <w:jc w:val="center"/>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三、投标文件的编制</w:t>
      </w:r>
    </w:p>
    <w:p>
      <w:pPr>
        <w:keepNext w:val="0"/>
        <w:keepLines w:val="0"/>
        <w:pageBreakBefore w:val="0"/>
        <w:widowControl/>
        <w:kinsoku/>
        <w:wordWrap/>
        <w:overflowPunct/>
        <w:topLinePunct w:val="0"/>
        <w:bidi w:val="0"/>
        <w:snapToGrid w:val="0"/>
        <w:spacing w:beforeAutospacing="0" w:afterAutospacing="0" w:line="360" w:lineRule="auto"/>
        <w:ind w:firstLine="477" w:firstLineChars="198"/>
        <w:rPr>
          <w:rFonts w:ascii="宋体" w:hAnsi="宋体" w:cs="宋体"/>
          <w:color w:val="auto"/>
          <w:kern w:val="0"/>
          <w:sz w:val="24"/>
          <w:szCs w:val="24"/>
          <w:highlight w:val="none"/>
        </w:rPr>
      </w:pPr>
      <w:r>
        <w:rPr>
          <w:rFonts w:hint="eastAsia" w:ascii="宋体" w:hAnsi="宋体" w:cs="宋体"/>
          <w:b/>
          <w:bCs/>
          <w:color w:val="auto"/>
          <w:kern w:val="0"/>
          <w:sz w:val="24"/>
          <w:szCs w:val="24"/>
          <w:highlight w:val="none"/>
        </w:rPr>
        <w:t>14.要求</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14.1 投标人应仔细阅读</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文件的所有内容，按照</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文件提供的格式编写投标文件，不得缺少或留空任何</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文件要求填写的表格或提交的资料。</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文件提供格式的按格式填列，未提供格式的可自行拟定。投标文件应对</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文件的要求作出实质性响应（包括投标人资格要求、技术要求、商务要求和投标文件格式中对投标的要求），投标人对所提供的全部资料的合法性、真实性负责。</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14.2 投标人应完整签署投标文件格式附件中《投标书》和《抵制商业贿赂承诺》，不得增减或修改内容。否则视为对</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文件未作出实质性响应。</w:t>
      </w:r>
    </w:p>
    <w:p>
      <w:pPr>
        <w:keepNext w:val="0"/>
        <w:keepLines w:val="0"/>
        <w:pageBreakBefore w:val="0"/>
        <w:widowControl/>
        <w:kinsoku/>
        <w:wordWrap/>
        <w:overflowPunct/>
        <w:topLinePunct w:val="0"/>
        <w:bidi w:val="0"/>
        <w:snapToGrid w:val="0"/>
        <w:spacing w:beforeAutospacing="0" w:afterAutospacing="0" w:line="360" w:lineRule="auto"/>
        <w:ind w:firstLine="477" w:firstLineChars="198"/>
        <w:rPr>
          <w:rFonts w:ascii="宋体" w:hAnsi="宋体" w:cs="宋体"/>
          <w:color w:val="auto"/>
          <w:kern w:val="0"/>
          <w:sz w:val="24"/>
          <w:szCs w:val="24"/>
          <w:highlight w:val="none"/>
        </w:rPr>
      </w:pPr>
      <w:r>
        <w:rPr>
          <w:rFonts w:hint="eastAsia" w:ascii="宋体" w:hAnsi="宋体" w:cs="宋体"/>
          <w:b/>
          <w:bCs/>
          <w:color w:val="auto"/>
          <w:kern w:val="0"/>
          <w:sz w:val="24"/>
          <w:szCs w:val="24"/>
          <w:highlight w:val="none"/>
        </w:rPr>
        <w:t>15.投标文件的语言和计量单位</w:t>
      </w:r>
    </w:p>
    <w:p>
      <w:pPr>
        <w:keepNext w:val="0"/>
        <w:keepLines w:val="0"/>
        <w:pageBreakBefore w:val="0"/>
        <w:widowControl/>
        <w:kinsoku/>
        <w:wordWrap/>
        <w:overflowPunct/>
        <w:topLinePunct w:val="0"/>
        <w:bidi w:val="0"/>
        <w:snapToGrid w:val="0"/>
        <w:spacing w:beforeAutospacing="0" w:afterAutospacing="0" w:line="360" w:lineRule="auto"/>
        <w:ind w:firstLine="48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15.1投标文件以及投标人与采购人就有关投标事宜的所有来往函电均应使用简体中文书写。</w:t>
      </w:r>
    </w:p>
    <w:p>
      <w:pPr>
        <w:keepNext w:val="0"/>
        <w:keepLines w:val="0"/>
        <w:pageBreakBefore w:val="0"/>
        <w:widowControl/>
        <w:kinsoku/>
        <w:wordWrap/>
        <w:overflowPunct/>
        <w:topLinePunct w:val="0"/>
        <w:bidi w:val="0"/>
        <w:snapToGrid w:val="0"/>
        <w:spacing w:beforeAutospacing="0" w:afterAutospacing="0" w:line="360" w:lineRule="auto"/>
        <w:ind w:firstLine="48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15.2 关于投标计量单位，</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文件已有明确规定的，使用</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文件规定的计量单位；</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文件没有规定的，应采用中华人民共和国法定计量单位。否则视为对</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文件未作出实质性响应。</w:t>
      </w:r>
    </w:p>
    <w:p>
      <w:pPr>
        <w:keepNext w:val="0"/>
        <w:keepLines w:val="0"/>
        <w:pageBreakBefore w:val="0"/>
        <w:widowControl/>
        <w:kinsoku/>
        <w:wordWrap/>
        <w:overflowPunct/>
        <w:topLinePunct w:val="0"/>
        <w:bidi w:val="0"/>
        <w:snapToGrid w:val="0"/>
        <w:spacing w:beforeAutospacing="0" w:afterAutospacing="0" w:line="360" w:lineRule="auto"/>
        <w:ind w:firstLine="48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15.3 原版为外文的证书类文件，以及由外国人做出的本人签名、外国公司的名称或外国印章等可以是外文，但应当提供中文翻译文件并加盖投标人公章。必要时评标委员会可以要求投标人提供附有公证书的中文翻译文件或者与原版文件签章相一致的中文翻译文件。</w:t>
      </w:r>
    </w:p>
    <w:p>
      <w:pPr>
        <w:keepNext w:val="0"/>
        <w:keepLines w:val="0"/>
        <w:pageBreakBefore w:val="0"/>
        <w:widowControl/>
        <w:kinsoku/>
        <w:wordWrap/>
        <w:overflowPunct/>
        <w:topLinePunct w:val="0"/>
        <w:bidi w:val="0"/>
        <w:snapToGrid w:val="0"/>
        <w:spacing w:beforeAutospacing="0" w:afterAutospacing="0" w:line="360" w:lineRule="auto"/>
        <w:ind w:firstLine="477" w:firstLineChars="198"/>
        <w:rPr>
          <w:rFonts w:ascii="宋体" w:hAnsi="宋体" w:cs="宋体"/>
          <w:color w:val="auto"/>
          <w:kern w:val="0"/>
          <w:sz w:val="24"/>
          <w:szCs w:val="24"/>
          <w:highlight w:val="none"/>
        </w:rPr>
      </w:pPr>
      <w:r>
        <w:rPr>
          <w:rFonts w:hint="eastAsia" w:ascii="宋体" w:hAnsi="宋体" w:cs="宋体"/>
          <w:b/>
          <w:bCs/>
          <w:color w:val="auto"/>
          <w:kern w:val="0"/>
          <w:sz w:val="24"/>
          <w:szCs w:val="24"/>
          <w:highlight w:val="none"/>
        </w:rPr>
        <w:t>16.投标文件的组成</w:t>
      </w:r>
      <w:r>
        <w:rPr>
          <w:rFonts w:hint="eastAsia" w:ascii="宋体" w:hAnsi="宋体" w:cs="宋体"/>
          <w:color w:val="auto"/>
          <w:kern w:val="0"/>
          <w:sz w:val="24"/>
          <w:szCs w:val="24"/>
          <w:highlight w:val="none"/>
        </w:rPr>
        <w:t>。</w:t>
      </w:r>
      <w:r>
        <w:rPr>
          <w:rFonts w:hint="eastAsia" w:ascii="宋体" w:hAnsi="宋体" w:cs="宋体"/>
          <w:b/>
          <w:bCs/>
          <w:color w:val="auto"/>
          <w:kern w:val="0"/>
          <w:sz w:val="24"/>
          <w:szCs w:val="24"/>
          <w:highlight w:val="none"/>
        </w:rPr>
        <w:t>投标文件应包括下列部分：</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16.1、投标书及开标一览表</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16.2、</w:t>
      </w:r>
      <w:r>
        <w:rPr>
          <w:rFonts w:hint="eastAsia" w:ascii="宋体" w:hAnsi="宋体" w:eastAsia="宋体" w:cs="宋体"/>
          <w:color w:val="auto"/>
          <w:kern w:val="0"/>
          <w:sz w:val="24"/>
          <w:szCs w:val="24"/>
          <w:highlight w:val="none"/>
        </w:rPr>
        <w:t>报价明细表</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16.</w:t>
      </w: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w:t>
      </w:r>
      <w:r>
        <w:rPr>
          <w:rFonts w:hint="eastAsia"/>
          <w:color w:val="auto"/>
          <w:sz w:val="24"/>
          <w:highlight w:val="none"/>
        </w:rPr>
        <w:t>技术响应</w:t>
      </w:r>
      <w:r>
        <w:rPr>
          <w:rFonts w:hint="eastAsia"/>
          <w:color w:val="auto"/>
          <w:sz w:val="24"/>
          <w:highlight w:val="none"/>
          <w:lang w:val="en-US" w:eastAsia="zh-CN"/>
        </w:rPr>
        <w:t>部分</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16.</w:t>
      </w:r>
      <w:r>
        <w:rPr>
          <w:rFonts w:hint="eastAsia" w:ascii="宋体" w:hAnsi="宋体" w:eastAsia="宋体" w:cs="宋体"/>
          <w:color w:val="auto"/>
          <w:kern w:val="0"/>
          <w:sz w:val="24"/>
          <w:szCs w:val="24"/>
          <w:highlight w:val="none"/>
          <w:lang w:val="en-US" w:eastAsia="zh-CN"/>
        </w:rPr>
        <w:t>4</w:t>
      </w:r>
      <w:r>
        <w:rPr>
          <w:rFonts w:hint="eastAsia" w:ascii="宋体" w:hAnsi="宋体" w:eastAsia="宋体" w:cs="宋体"/>
          <w:color w:val="auto"/>
          <w:kern w:val="0"/>
          <w:sz w:val="24"/>
          <w:szCs w:val="24"/>
          <w:highlight w:val="none"/>
        </w:rPr>
        <w:t>、</w:t>
      </w:r>
      <w:r>
        <w:rPr>
          <w:rFonts w:hint="eastAsia"/>
          <w:color w:val="auto"/>
          <w:sz w:val="24"/>
          <w:highlight w:val="none"/>
        </w:rPr>
        <w:t>商务响应</w:t>
      </w:r>
      <w:r>
        <w:rPr>
          <w:rFonts w:hint="eastAsia"/>
          <w:color w:val="auto"/>
          <w:sz w:val="24"/>
          <w:highlight w:val="none"/>
          <w:lang w:val="en-US" w:eastAsia="zh-CN"/>
        </w:rPr>
        <w:t>部分</w:t>
      </w:r>
    </w:p>
    <w:p>
      <w:pPr>
        <w:keepNext w:val="0"/>
        <w:keepLines w:val="0"/>
        <w:pageBreakBefore w:val="0"/>
        <w:widowControl/>
        <w:kinsoku/>
        <w:wordWrap/>
        <w:overflowPunct/>
        <w:topLinePunct w:val="0"/>
        <w:bidi w:val="0"/>
        <w:snapToGrid w:val="0"/>
        <w:spacing w:beforeAutospacing="0" w:afterAutospacing="0" w:line="360" w:lineRule="auto"/>
        <w:ind w:left="208" w:leftChars="99" w:firstLine="240" w:firstLineChars="1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16.</w:t>
      </w:r>
      <w:r>
        <w:rPr>
          <w:rFonts w:hint="eastAsia" w:ascii="宋体" w:hAnsi="宋体" w:eastAsia="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、法定代表人身份证明</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16.</w:t>
      </w:r>
      <w:r>
        <w:rPr>
          <w:rFonts w:hint="eastAsia" w:ascii="宋体" w:hAnsi="宋体" w:eastAsia="宋体" w:cs="宋体"/>
          <w:color w:val="auto"/>
          <w:kern w:val="0"/>
          <w:sz w:val="24"/>
          <w:szCs w:val="24"/>
          <w:highlight w:val="none"/>
          <w:lang w:val="en-US" w:eastAsia="zh-CN"/>
        </w:rPr>
        <w:t>6</w:t>
      </w:r>
      <w:r>
        <w:rPr>
          <w:rFonts w:hint="eastAsia" w:ascii="宋体" w:hAnsi="宋体" w:eastAsia="宋体" w:cs="宋体"/>
          <w:color w:val="auto"/>
          <w:kern w:val="0"/>
          <w:sz w:val="24"/>
          <w:szCs w:val="24"/>
          <w:highlight w:val="none"/>
        </w:rPr>
        <w:t>、法定代表人授权书</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16.</w:t>
      </w:r>
      <w:r>
        <w:rPr>
          <w:rFonts w:hint="eastAsia" w:ascii="宋体" w:hAnsi="宋体" w:eastAsia="宋体" w:cs="宋体"/>
          <w:color w:val="auto"/>
          <w:kern w:val="0"/>
          <w:sz w:val="24"/>
          <w:szCs w:val="24"/>
          <w:highlight w:val="none"/>
          <w:lang w:val="en-US" w:eastAsia="zh-CN"/>
        </w:rPr>
        <w:t>7</w:t>
      </w:r>
      <w:r>
        <w:rPr>
          <w:rFonts w:hint="eastAsia" w:ascii="宋体" w:hAnsi="宋体" w:eastAsia="宋体" w:cs="宋体"/>
          <w:color w:val="auto"/>
          <w:kern w:val="0"/>
          <w:sz w:val="24"/>
          <w:szCs w:val="24"/>
          <w:highlight w:val="none"/>
        </w:rPr>
        <w:t>、证明文件</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16.</w:t>
      </w:r>
      <w:r>
        <w:rPr>
          <w:rFonts w:hint="eastAsia" w:ascii="宋体" w:hAnsi="宋体" w:eastAsia="宋体" w:cs="宋体"/>
          <w:color w:val="auto"/>
          <w:kern w:val="0"/>
          <w:sz w:val="24"/>
          <w:szCs w:val="24"/>
          <w:highlight w:val="none"/>
          <w:lang w:val="en-US" w:eastAsia="zh-CN"/>
        </w:rPr>
        <w:t>8</w:t>
      </w:r>
      <w:r>
        <w:rPr>
          <w:rFonts w:hint="eastAsia" w:ascii="宋体" w:hAnsi="宋体" w:eastAsia="宋体" w:cs="宋体"/>
          <w:color w:val="auto"/>
          <w:kern w:val="0"/>
          <w:sz w:val="24"/>
          <w:szCs w:val="24"/>
          <w:highlight w:val="none"/>
        </w:rPr>
        <w:t>、</w:t>
      </w:r>
      <w:r>
        <w:rPr>
          <w:rFonts w:hint="eastAsia"/>
          <w:color w:val="auto"/>
          <w:sz w:val="24"/>
          <w:highlight w:val="none"/>
        </w:rPr>
        <w:t>供应商承诺书</w:t>
      </w:r>
    </w:p>
    <w:p>
      <w:pPr>
        <w:pStyle w:val="10"/>
        <w:keepNext w:val="0"/>
        <w:keepLines w:val="0"/>
        <w:pageBreakBefore w:val="0"/>
        <w:kinsoku/>
        <w:wordWrap/>
        <w:overflowPunct/>
        <w:topLinePunct w:val="0"/>
        <w:bidi w:val="0"/>
        <w:snapToGrid w:val="0"/>
        <w:spacing w:beforeAutospacing="0" w:afterAutospacing="0" w:line="360" w:lineRule="auto"/>
        <w:rPr>
          <w:rFonts w:hint="eastAsia" w:ascii="Times New Roman" w:hAnsi="Times New Roman" w:eastAsia="宋体" w:cs="Times New Roman"/>
          <w:color w:val="auto"/>
          <w:sz w:val="24"/>
          <w:highlight w:val="none"/>
          <w:lang w:val="en-US" w:eastAsia="zh-CN"/>
        </w:rPr>
      </w:pPr>
      <w:r>
        <w:rPr>
          <w:rFonts w:hint="eastAsia" w:ascii="宋体" w:hAnsi="宋体" w:eastAsia="宋体" w:cs="宋体"/>
          <w:color w:val="auto"/>
          <w:sz w:val="24"/>
          <w:szCs w:val="24"/>
          <w:highlight w:val="none"/>
        </w:rPr>
        <w:t>16.</w:t>
      </w: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rPr>
        <w:t>、</w:t>
      </w:r>
      <w:r>
        <w:rPr>
          <w:rFonts w:hint="eastAsia" w:ascii="Times New Roman" w:hAnsi="Times New Roman" w:eastAsia="宋体" w:cs="Times New Roman"/>
          <w:color w:val="auto"/>
          <w:sz w:val="24"/>
          <w:highlight w:val="none"/>
          <w:lang w:val="en-US" w:eastAsia="zh-CN"/>
        </w:rPr>
        <w:t>供应商信用承诺函</w:t>
      </w:r>
    </w:p>
    <w:p>
      <w:pPr>
        <w:pStyle w:val="10"/>
        <w:keepNext w:val="0"/>
        <w:keepLines w:val="0"/>
        <w:pageBreakBefore w:val="0"/>
        <w:kinsoku/>
        <w:wordWrap/>
        <w:overflowPunct/>
        <w:topLinePunct w:val="0"/>
        <w:bidi w:val="0"/>
        <w:snapToGrid w:val="0"/>
        <w:spacing w:beforeAutospacing="0" w:afterAutospacing="0"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highlight w:val="none"/>
          <w:lang w:val="en-US" w:eastAsia="zh-CN"/>
        </w:rPr>
        <w:t>16.10、</w:t>
      </w:r>
      <w:r>
        <w:rPr>
          <w:rFonts w:hint="eastAsia" w:ascii="宋体" w:hAnsi="宋体" w:eastAsia="宋体" w:cs="宋体"/>
          <w:color w:val="auto"/>
          <w:sz w:val="24"/>
          <w:szCs w:val="24"/>
          <w:highlight w:val="none"/>
        </w:rPr>
        <w:t>投标人认为有必要的其他资料</w:t>
      </w:r>
    </w:p>
    <w:p>
      <w:pPr>
        <w:keepNext w:val="0"/>
        <w:keepLines w:val="0"/>
        <w:pageBreakBefore w:val="0"/>
        <w:widowControl/>
        <w:kinsoku/>
        <w:wordWrap/>
        <w:overflowPunct/>
        <w:topLinePunct w:val="0"/>
        <w:bidi w:val="0"/>
        <w:snapToGrid w:val="0"/>
        <w:spacing w:beforeAutospacing="0" w:afterAutospacing="0" w:line="360" w:lineRule="auto"/>
        <w:ind w:firstLine="477" w:firstLineChars="198"/>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17.投标有效期</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17.1 投标文件从</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公告所规定的投标截止期之后开始生效，在</w:t>
      </w:r>
      <w:r>
        <w:rPr>
          <w:rFonts w:hint="eastAsia" w:ascii="宋体" w:hAnsi="宋体" w:cs="宋体"/>
          <w:bCs/>
          <w:color w:val="auto"/>
          <w:kern w:val="0"/>
          <w:sz w:val="24"/>
          <w:szCs w:val="24"/>
          <w:highlight w:val="none"/>
        </w:rPr>
        <w:t>投标人须知前附表</w:t>
      </w:r>
      <w:r>
        <w:rPr>
          <w:rFonts w:hint="eastAsia" w:ascii="宋体" w:hAnsi="宋体" w:cs="宋体"/>
          <w:color w:val="auto"/>
          <w:kern w:val="0"/>
          <w:sz w:val="24"/>
          <w:szCs w:val="24"/>
          <w:highlight w:val="none"/>
        </w:rPr>
        <w:t>第1</w:t>
      </w:r>
      <w:r>
        <w:rPr>
          <w:rFonts w:hint="eastAsia" w:ascii="宋体" w:hAnsi="宋体" w:cs="宋体"/>
          <w:color w:val="auto"/>
          <w:kern w:val="0"/>
          <w:sz w:val="24"/>
          <w:szCs w:val="24"/>
          <w:highlight w:val="none"/>
          <w:lang w:val="en-US" w:eastAsia="zh-CN"/>
        </w:rPr>
        <w:t>3</w:t>
      </w:r>
      <w:r>
        <w:rPr>
          <w:rFonts w:hint="eastAsia" w:ascii="宋体" w:hAnsi="宋体" w:cs="宋体"/>
          <w:color w:val="auto"/>
          <w:kern w:val="0"/>
          <w:sz w:val="24"/>
          <w:szCs w:val="24"/>
          <w:highlight w:val="none"/>
        </w:rPr>
        <w:t>项所规定的期限内保持有效。有效期不足将导致其投标文件被拒绝。中标人的投标文件有效期至合同完全履行止。</w:t>
      </w:r>
    </w:p>
    <w:p>
      <w:pPr>
        <w:keepNext w:val="0"/>
        <w:keepLines w:val="0"/>
        <w:pageBreakBefore w:val="0"/>
        <w:widowControl/>
        <w:kinsoku/>
        <w:wordWrap/>
        <w:overflowPunct/>
        <w:topLinePunct w:val="0"/>
        <w:bidi w:val="0"/>
        <w:snapToGrid w:val="0"/>
        <w:spacing w:beforeAutospacing="0" w:afterAutospacing="0" w:line="360" w:lineRule="auto"/>
        <w:ind w:firstLine="48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17.2特殊情况下</w:t>
      </w:r>
      <w:r>
        <w:rPr>
          <w:rFonts w:hint="eastAsia" w:ascii="宋体" w:hAnsi="宋体" w:cs="宋体"/>
          <w:color w:val="auto"/>
          <w:kern w:val="0"/>
          <w:sz w:val="24"/>
          <w:szCs w:val="24"/>
          <w:highlight w:val="none"/>
          <w:lang w:eastAsia="zh-CN"/>
        </w:rPr>
        <w:t>采购人</w:t>
      </w:r>
      <w:r>
        <w:rPr>
          <w:rFonts w:hint="eastAsia" w:ascii="宋体" w:hAnsi="宋体" w:cs="宋体"/>
          <w:color w:val="auto"/>
          <w:kern w:val="0"/>
          <w:sz w:val="24"/>
          <w:szCs w:val="24"/>
          <w:highlight w:val="none"/>
        </w:rPr>
        <w:t>可于投标有效期满之前书面要求投标人同意延长有效期，投标人应在</w:t>
      </w:r>
      <w:r>
        <w:rPr>
          <w:rFonts w:hint="eastAsia" w:ascii="宋体" w:hAnsi="宋体" w:cs="宋体"/>
          <w:color w:val="auto"/>
          <w:kern w:val="0"/>
          <w:sz w:val="24"/>
          <w:szCs w:val="24"/>
          <w:highlight w:val="none"/>
          <w:lang w:eastAsia="zh-CN"/>
        </w:rPr>
        <w:t>采购人</w:t>
      </w:r>
      <w:r>
        <w:rPr>
          <w:rFonts w:hint="eastAsia" w:ascii="宋体" w:hAnsi="宋体" w:cs="宋体"/>
          <w:color w:val="auto"/>
          <w:kern w:val="0"/>
          <w:sz w:val="24"/>
          <w:szCs w:val="24"/>
          <w:highlight w:val="none"/>
        </w:rPr>
        <w:t>规定的期限内以书面形式予以答复。投标人可以拒绝上述要求。投标人答复不明确或者逾期未答复的，均视为拒绝上述要求。对于接受该要求的投标人，既不要求也不允许其修改投标文件。</w:t>
      </w:r>
    </w:p>
    <w:p>
      <w:pPr>
        <w:keepNext w:val="0"/>
        <w:keepLines w:val="0"/>
        <w:pageBreakBefore w:val="0"/>
        <w:widowControl/>
        <w:kinsoku/>
        <w:wordWrap/>
        <w:overflowPunct/>
        <w:topLinePunct w:val="0"/>
        <w:bidi w:val="0"/>
        <w:snapToGrid w:val="0"/>
        <w:spacing w:beforeAutospacing="0" w:afterAutospacing="0" w:line="360" w:lineRule="auto"/>
        <w:ind w:firstLine="477" w:firstLineChars="198"/>
        <w:rPr>
          <w:rFonts w:ascii="宋体" w:hAnsi="宋体" w:cs="宋体"/>
          <w:color w:val="auto"/>
          <w:kern w:val="0"/>
          <w:sz w:val="24"/>
          <w:szCs w:val="24"/>
          <w:highlight w:val="none"/>
        </w:rPr>
      </w:pPr>
      <w:r>
        <w:rPr>
          <w:rFonts w:hint="eastAsia" w:ascii="宋体" w:hAnsi="宋体" w:cs="宋体"/>
          <w:b/>
          <w:bCs/>
          <w:color w:val="auto"/>
          <w:kern w:val="0"/>
          <w:sz w:val="24"/>
          <w:szCs w:val="24"/>
          <w:highlight w:val="none"/>
        </w:rPr>
        <w:t>18.投标报价</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18.1 所有投标报价均以人民币元为计算单位。投标人的投标报价为交货地点交货价格，包括货物、随配附件、备品备件、工具、厂家赠品、运抵指定交货地点费用、保险费、安装调试费、服务费、售后服务、税金及其他所有费用的总和。</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18.2 投标人要按开标一览表的内容填写。</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18.3 </w:t>
      </w:r>
      <w:r>
        <w:rPr>
          <w:rFonts w:hint="eastAsia" w:ascii="宋体" w:hAnsi="宋体" w:cs="宋体"/>
          <w:color w:val="auto"/>
          <w:spacing w:val="10"/>
          <w:kern w:val="0"/>
          <w:sz w:val="24"/>
          <w:szCs w:val="24"/>
          <w:highlight w:val="none"/>
        </w:rPr>
        <w:t>投标人投报多标包的，应对每标包分别报价并分别填报开标一览表。</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18.4 开标一览表中标明的价格在政府采购合同执行过程中是固定不变的，投标人不得以任何理由予以变更。以可调整的价格提交的投标将被作为无效投标处理。</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18.5 </w:t>
      </w:r>
      <w:r>
        <w:rPr>
          <w:rFonts w:hint="eastAsia" w:ascii="宋体" w:hAnsi="宋体" w:cs="宋体"/>
          <w:color w:val="auto"/>
          <w:kern w:val="0"/>
          <w:sz w:val="24"/>
          <w:szCs w:val="24"/>
          <w:highlight w:val="none"/>
          <w:lang w:eastAsia="zh-CN"/>
        </w:rPr>
        <w:t>采购人</w:t>
      </w:r>
      <w:r>
        <w:rPr>
          <w:rFonts w:hint="eastAsia" w:ascii="宋体" w:hAnsi="宋体" w:cs="宋体"/>
          <w:color w:val="auto"/>
          <w:kern w:val="0"/>
          <w:sz w:val="24"/>
          <w:szCs w:val="24"/>
          <w:highlight w:val="none"/>
        </w:rPr>
        <w:t>不接受可选择的投标报价。</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18.6 对于投标人在开标一览表和投标文件中列出的赠送条款，在评审时不得作为价格评分因素或者调整评标价格的依据。</w:t>
      </w:r>
    </w:p>
    <w:p>
      <w:pPr>
        <w:keepNext w:val="0"/>
        <w:keepLines w:val="0"/>
        <w:pageBreakBefore w:val="0"/>
        <w:widowControl/>
        <w:kinsoku/>
        <w:wordWrap/>
        <w:overflowPunct/>
        <w:topLinePunct w:val="0"/>
        <w:bidi w:val="0"/>
        <w:snapToGrid w:val="0"/>
        <w:spacing w:beforeAutospacing="0" w:afterAutospacing="0" w:line="360" w:lineRule="auto"/>
        <w:ind w:firstLine="477" w:firstLineChars="198"/>
        <w:rPr>
          <w:rFonts w:hint="eastAsia" w:ascii="宋体" w:hAnsi="宋体" w:cs="宋体"/>
          <w:b/>
          <w:color w:val="auto"/>
          <w:kern w:val="0"/>
          <w:sz w:val="24"/>
          <w:szCs w:val="24"/>
          <w:highlight w:val="none"/>
        </w:rPr>
      </w:pPr>
      <w:r>
        <w:rPr>
          <w:rFonts w:hint="eastAsia" w:ascii="宋体" w:hAnsi="宋体" w:cs="宋体"/>
          <w:b/>
          <w:color w:val="auto"/>
          <w:kern w:val="0"/>
          <w:sz w:val="24"/>
          <w:szCs w:val="24"/>
          <w:highlight w:val="none"/>
        </w:rPr>
        <w:t>19.投标保证金（详见采购公告）</w:t>
      </w:r>
    </w:p>
    <w:p>
      <w:pPr>
        <w:keepNext w:val="0"/>
        <w:keepLines w:val="0"/>
        <w:pageBreakBefore w:val="0"/>
        <w:widowControl/>
        <w:kinsoku/>
        <w:wordWrap/>
        <w:overflowPunct/>
        <w:topLinePunct w:val="0"/>
        <w:bidi w:val="0"/>
        <w:snapToGrid w:val="0"/>
        <w:spacing w:beforeAutospacing="0" w:afterAutospacing="0" w:line="360" w:lineRule="auto"/>
        <w:ind w:firstLine="477" w:firstLineChars="198"/>
        <w:rPr>
          <w:rFonts w:hint="default" w:ascii="宋体" w:hAnsi="宋体" w:eastAsia="宋体" w:cs="宋体"/>
          <w:b/>
          <w:color w:val="auto"/>
          <w:kern w:val="0"/>
          <w:sz w:val="24"/>
          <w:szCs w:val="24"/>
          <w:highlight w:val="none"/>
          <w:lang w:val="en-US" w:eastAsia="zh-CN"/>
        </w:rPr>
      </w:pPr>
      <w:r>
        <w:rPr>
          <w:rFonts w:hint="eastAsia" w:ascii="宋体" w:hAnsi="宋体" w:cs="宋体"/>
          <w:b/>
          <w:color w:val="auto"/>
          <w:kern w:val="0"/>
          <w:sz w:val="24"/>
          <w:szCs w:val="24"/>
          <w:highlight w:val="none"/>
        </w:rPr>
        <w:t>20.投标文件的签署</w:t>
      </w:r>
      <w:r>
        <w:rPr>
          <w:rFonts w:hint="eastAsia" w:ascii="宋体" w:hAnsi="宋体" w:cs="宋体"/>
          <w:b/>
          <w:color w:val="auto"/>
          <w:kern w:val="0"/>
          <w:sz w:val="24"/>
          <w:szCs w:val="24"/>
          <w:highlight w:val="none"/>
          <w:lang w:val="en-US" w:eastAsia="zh-CN"/>
        </w:rPr>
        <w:t>及其他规定</w:t>
      </w:r>
    </w:p>
    <w:p>
      <w:pPr>
        <w:keepNext w:val="0"/>
        <w:keepLines w:val="0"/>
        <w:pageBreakBefore w:val="0"/>
        <w:widowControl/>
        <w:kinsoku/>
        <w:wordWrap/>
        <w:overflowPunct/>
        <w:topLinePunct w:val="0"/>
        <w:autoSpaceDE/>
        <w:autoSpaceDN/>
        <w:bidi w:val="0"/>
        <w:adjustRightInd/>
        <w:snapToGrid w:val="0"/>
        <w:spacing w:beforeAutospacing="0" w:afterAutospacing="0" w:line="360" w:lineRule="auto"/>
        <w:ind w:firstLine="475" w:firstLineChars="198"/>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20</w:t>
      </w:r>
      <w:r>
        <w:rPr>
          <w:rFonts w:hint="eastAsia" w:ascii="宋体" w:hAnsi="宋体" w:eastAsia="宋体" w:cs="宋体"/>
          <w:color w:val="auto"/>
          <w:kern w:val="0"/>
          <w:sz w:val="24"/>
          <w:szCs w:val="24"/>
          <w:highlight w:val="none"/>
        </w:rPr>
        <w:t>.1投标文件应按第六章“投标文件格式”进行编写，如有必要，可以增加附页，作为投标文件的组成部分。其中，投标报价一览表在满足</w:t>
      </w:r>
      <w:r>
        <w:rPr>
          <w:rFonts w:hint="eastAsia" w:ascii="宋体" w:hAnsi="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文件实质性要求的基础上，可以提出比</w:t>
      </w:r>
      <w:r>
        <w:rPr>
          <w:rFonts w:hint="eastAsia" w:ascii="宋体" w:hAnsi="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文件要求更有利于采购人的承诺。</w:t>
      </w:r>
    </w:p>
    <w:p>
      <w:pPr>
        <w:keepNext w:val="0"/>
        <w:keepLines w:val="0"/>
        <w:pageBreakBefore w:val="0"/>
        <w:widowControl/>
        <w:kinsoku/>
        <w:wordWrap/>
        <w:overflowPunct/>
        <w:topLinePunct w:val="0"/>
        <w:autoSpaceDE/>
        <w:autoSpaceDN/>
        <w:bidi w:val="0"/>
        <w:adjustRightInd/>
        <w:snapToGrid w:val="0"/>
        <w:spacing w:beforeAutospacing="0" w:afterAutospacing="0" w:line="360" w:lineRule="auto"/>
        <w:ind w:firstLine="475" w:firstLineChars="198"/>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20</w:t>
      </w:r>
      <w:r>
        <w:rPr>
          <w:rFonts w:hint="eastAsia" w:ascii="宋体" w:hAnsi="宋体" w:eastAsia="宋体" w:cs="宋体"/>
          <w:color w:val="auto"/>
          <w:kern w:val="0"/>
          <w:sz w:val="24"/>
          <w:szCs w:val="24"/>
          <w:highlight w:val="none"/>
        </w:rPr>
        <w:t>.2 投标文件应当对</w:t>
      </w:r>
      <w:r>
        <w:rPr>
          <w:rFonts w:hint="eastAsia" w:ascii="宋体" w:hAnsi="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文件有关</w:t>
      </w:r>
      <w:r>
        <w:rPr>
          <w:rFonts w:hint="eastAsia" w:ascii="宋体" w:hAnsi="宋体" w:cs="宋体"/>
          <w:color w:val="auto"/>
          <w:kern w:val="0"/>
          <w:sz w:val="24"/>
          <w:szCs w:val="24"/>
          <w:highlight w:val="none"/>
          <w:lang w:val="en-US" w:eastAsia="zh-CN"/>
        </w:rPr>
        <w:t>交货</w:t>
      </w:r>
      <w:r>
        <w:rPr>
          <w:rFonts w:hint="eastAsia" w:ascii="宋体" w:hAnsi="宋体" w:eastAsia="宋体" w:cs="宋体"/>
          <w:color w:val="auto"/>
          <w:kern w:val="0"/>
          <w:sz w:val="24"/>
          <w:szCs w:val="24"/>
          <w:highlight w:val="none"/>
        </w:rPr>
        <w:t>期、投标有效期、质量要求、技术标准和要求、</w:t>
      </w:r>
      <w:r>
        <w:rPr>
          <w:rFonts w:hint="eastAsia" w:ascii="宋体" w:hAnsi="宋体" w:cs="宋体"/>
          <w:color w:val="auto"/>
          <w:kern w:val="0"/>
          <w:sz w:val="24"/>
          <w:szCs w:val="24"/>
          <w:highlight w:val="none"/>
          <w:lang w:eastAsia="zh-CN"/>
        </w:rPr>
        <w:t>磋商</w:t>
      </w:r>
      <w:r>
        <w:rPr>
          <w:rFonts w:hint="eastAsia" w:ascii="宋体" w:hAnsi="宋体" w:eastAsia="宋体" w:cs="宋体"/>
          <w:color w:val="auto"/>
          <w:kern w:val="0"/>
          <w:sz w:val="24"/>
          <w:szCs w:val="24"/>
          <w:highlight w:val="none"/>
        </w:rPr>
        <w:t>范围等实质性内容作出响应。</w:t>
      </w:r>
    </w:p>
    <w:p>
      <w:pPr>
        <w:keepNext w:val="0"/>
        <w:keepLines w:val="0"/>
        <w:pageBreakBefore w:val="0"/>
        <w:widowControl/>
        <w:kinsoku/>
        <w:wordWrap/>
        <w:overflowPunct/>
        <w:topLinePunct w:val="0"/>
        <w:autoSpaceDE/>
        <w:autoSpaceDN/>
        <w:bidi w:val="0"/>
        <w:adjustRightInd/>
        <w:snapToGrid w:val="0"/>
        <w:spacing w:beforeAutospacing="0" w:afterAutospacing="0" w:line="360" w:lineRule="auto"/>
        <w:ind w:firstLine="475" w:firstLineChars="198"/>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20</w:t>
      </w:r>
      <w:r>
        <w:rPr>
          <w:rFonts w:hint="eastAsia" w:ascii="宋体" w:hAnsi="宋体" w:eastAsia="宋体" w:cs="宋体"/>
          <w:color w:val="auto"/>
          <w:kern w:val="0"/>
          <w:sz w:val="24"/>
          <w:szCs w:val="24"/>
          <w:highlight w:val="none"/>
        </w:rPr>
        <w:t>.3投标文件应用不褪色的材料书写或打印，并由投标人的法定代表人盖章或盖单位公章；投标文件应尽量避免涂改、行间插字或删除，如果出现上述情况，改动之处应加盖单位公章或由投标人的法定代表人盖章确认。签字或盖章的具体要求见投标人须知前附表。</w:t>
      </w:r>
    </w:p>
    <w:p>
      <w:pPr>
        <w:keepNext w:val="0"/>
        <w:keepLines w:val="0"/>
        <w:pageBreakBefore w:val="0"/>
        <w:widowControl/>
        <w:kinsoku/>
        <w:wordWrap/>
        <w:overflowPunct/>
        <w:topLinePunct w:val="0"/>
        <w:autoSpaceDE/>
        <w:autoSpaceDN/>
        <w:bidi w:val="0"/>
        <w:adjustRightInd/>
        <w:snapToGrid w:val="0"/>
        <w:spacing w:beforeAutospacing="0" w:afterAutospacing="0" w:line="360" w:lineRule="auto"/>
        <w:ind w:firstLine="475" w:firstLineChars="198"/>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20</w:t>
      </w:r>
      <w:r>
        <w:rPr>
          <w:rFonts w:hint="eastAsia" w:ascii="宋体" w:hAnsi="宋体" w:eastAsia="宋体" w:cs="宋体"/>
          <w:color w:val="auto"/>
          <w:kern w:val="0"/>
          <w:sz w:val="24"/>
          <w:szCs w:val="24"/>
          <w:highlight w:val="none"/>
        </w:rPr>
        <w:t>.4投标文件份数见投标人须知前附表。投标文件正本和副本的封面上应清楚地标记“正本”或“副本”的字样。</w:t>
      </w:r>
    </w:p>
    <w:p>
      <w:pPr>
        <w:keepNext w:val="0"/>
        <w:keepLines w:val="0"/>
        <w:pageBreakBefore w:val="0"/>
        <w:widowControl/>
        <w:kinsoku/>
        <w:wordWrap/>
        <w:overflowPunct/>
        <w:topLinePunct w:val="0"/>
        <w:autoSpaceDE/>
        <w:autoSpaceDN/>
        <w:bidi w:val="0"/>
        <w:adjustRightInd/>
        <w:snapToGrid w:val="0"/>
        <w:spacing w:beforeAutospacing="0" w:afterAutospacing="0" w:line="360" w:lineRule="auto"/>
        <w:ind w:firstLine="475" w:firstLineChars="198"/>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20</w:t>
      </w:r>
      <w:r>
        <w:rPr>
          <w:rFonts w:hint="eastAsia" w:ascii="宋体" w:hAnsi="宋体" w:eastAsia="宋体" w:cs="宋体"/>
          <w:color w:val="auto"/>
          <w:kern w:val="0"/>
          <w:sz w:val="24"/>
          <w:szCs w:val="24"/>
          <w:highlight w:val="none"/>
        </w:rPr>
        <w:t>.5投标文件的具体装订要求见投标人须知前附表规定。</w:t>
      </w:r>
    </w:p>
    <w:p>
      <w:pPr>
        <w:keepNext w:val="0"/>
        <w:keepLines w:val="0"/>
        <w:pageBreakBefore w:val="0"/>
        <w:widowControl/>
        <w:kinsoku/>
        <w:wordWrap/>
        <w:overflowPunct/>
        <w:topLinePunct w:val="0"/>
        <w:bidi w:val="0"/>
        <w:snapToGrid w:val="0"/>
        <w:spacing w:beforeAutospacing="0" w:afterAutospacing="0" w:line="360" w:lineRule="auto"/>
        <w:jc w:val="center"/>
        <w:rPr>
          <w:rFonts w:hint="eastAsia" w:ascii="宋体" w:hAnsi="宋体" w:eastAsia="宋体" w:cs="宋体"/>
          <w:b/>
          <w:color w:val="auto"/>
          <w:kern w:val="0"/>
          <w:sz w:val="28"/>
          <w:szCs w:val="28"/>
          <w:highlight w:val="none"/>
        </w:rPr>
      </w:pPr>
      <w:r>
        <w:rPr>
          <w:rFonts w:hint="eastAsia" w:ascii="宋体" w:hAnsi="宋体" w:eastAsia="宋体" w:cs="宋体"/>
          <w:b/>
          <w:color w:val="auto"/>
          <w:kern w:val="0"/>
          <w:sz w:val="28"/>
          <w:szCs w:val="28"/>
          <w:highlight w:val="none"/>
        </w:rPr>
        <w:t>四、投标文件的递交</w:t>
      </w:r>
    </w:p>
    <w:p>
      <w:pPr>
        <w:keepNext w:val="0"/>
        <w:keepLines w:val="0"/>
        <w:pageBreakBefore w:val="0"/>
        <w:widowControl/>
        <w:kinsoku/>
        <w:wordWrap/>
        <w:overflowPunct/>
        <w:topLinePunct w:val="0"/>
        <w:autoSpaceDE/>
        <w:autoSpaceDN/>
        <w:bidi w:val="0"/>
        <w:adjustRightInd/>
        <w:snapToGrid w:val="0"/>
        <w:spacing w:beforeAutospacing="0" w:afterAutospacing="0" w:line="360" w:lineRule="auto"/>
        <w:ind w:firstLine="477" w:firstLineChars="198"/>
        <w:textAlignment w:val="auto"/>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21. 投标文件的密封、标记</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21.1响应文件应密封包装，并在封套的封口处加盖供应商单位章或由供应商的法定代表人（单位负责人）或其授权的代理人签字。</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hint="eastAsia" w:ascii="宋体" w:hAnsi="宋体" w:cs="宋体"/>
          <w:color w:val="auto"/>
          <w:kern w:val="0"/>
          <w:sz w:val="24"/>
          <w:szCs w:val="24"/>
          <w:highlight w:val="none"/>
          <w:lang w:eastAsia="zh-CN"/>
        </w:rPr>
      </w:pPr>
      <w:r>
        <w:rPr>
          <w:rFonts w:hint="eastAsia" w:ascii="宋体" w:hAnsi="宋体" w:cs="宋体"/>
          <w:color w:val="auto"/>
          <w:kern w:val="0"/>
          <w:sz w:val="24"/>
          <w:szCs w:val="24"/>
          <w:highlight w:val="none"/>
        </w:rPr>
        <w:t>21.2 投标文件的封套上应清楚地标记“正本”或“副本”字样，封套上应写明的其他内容见投标人须知前附表</w:t>
      </w:r>
      <w:r>
        <w:rPr>
          <w:rFonts w:hint="eastAsia" w:ascii="宋体" w:hAnsi="宋体" w:cs="宋体"/>
          <w:color w:val="auto"/>
          <w:kern w:val="0"/>
          <w:sz w:val="24"/>
          <w:szCs w:val="24"/>
          <w:highlight w:val="none"/>
          <w:lang w:eastAsia="zh-CN"/>
        </w:rPr>
        <w:t>。</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hint="eastAsia"/>
          <w:sz w:val="24"/>
          <w:szCs w:val="24"/>
          <w:highlight w:val="none"/>
          <w:lang w:eastAsia="zh-CN"/>
        </w:rPr>
      </w:pPr>
      <w:r>
        <w:rPr>
          <w:rFonts w:hint="eastAsia"/>
          <w:sz w:val="24"/>
          <w:szCs w:val="24"/>
          <w:highlight w:val="none"/>
          <w:lang w:eastAsia="zh-CN"/>
        </w:rPr>
        <w:t>2</w:t>
      </w:r>
      <w:r>
        <w:rPr>
          <w:rFonts w:hint="eastAsia"/>
          <w:sz w:val="24"/>
          <w:szCs w:val="24"/>
          <w:highlight w:val="none"/>
          <w:lang w:val="en-US" w:eastAsia="zh-CN"/>
        </w:rPr>
        <w:t>1</w:t>
      </w:r>
      <w:r>
        <w:rPr>
          <w:rFonts w:hint="eastAsia"/>
          <w:sz w:val="24"/>
          <w:szCs w:val="24"/>
          <w:highlight w:val="none"/>
          <w:lang w:eastAsia="zh-CN"/>
        </w:rPr>
        <w:t>.3 未按本章第2</w:t>
      </w:r>
      <w:r>
        <w:rPr>
          <w:rFonts w:hint="eastAsia"/>
          <w:sz w:val="24"/>
          <w:szCs w:val="24"/>
          <w:highlight w:val="none"/>
          <w:lang w:val="en-US" w:eastAsia="zh-CN"/>
        </w:rPr>
        <w:t>1</w:t>
      </w:r>
      <w:r>
        <w:rPr>
          <w:rFonts w:hint="eastAsia"/>
          <w:sz w:val="24"/>
          <w:szCs w:val="24"/>
          <w:highlight w:val="none"/>
          <w:lang w:eastAsia="zh-CN"/>
        </w:rPr>
        <w:t>.1项或第2</w:t>
      </w:r>
      <w:r>
        <w:rPr>
          <w:rFonts w:hint="eastAsia"/>
          <w:sz w:val="24"/>
          <w:szCs w:val="24"/>
          <w:highlight w:val="none"/>
          <w:lang w:val="en-US" w:eastAsia="zh-CN"/>
        </w:rPr>
        <w:t>1</w:t>
      </w:r>
      <w:r>
        <w:rPr>
          <w:rFonts w:hint="eastAsia"/>
          <w:sz w:val="24"/>
          <w:szCs w:val="24"/>
          <w:highlight w:val="none"/>
          <w:lang w:eastAsia="zh-CN"/>
        </w:rPr>
        <w:t>.2项要求密封和加写标记的投标文件，采购人不予受理。</w:t>
      </w:r>
    </w:p>
    <w:p>
      <w:pPr>
        <w:keepNext w:val="0"/>
        <w:keepLines w:val="0"/>
        <w:pageBreakBefore w:val="0"/>
        <w:widowControl/>
        <w:kinsoku/>
        <w:wordWrap/>
        <w:overflowPunct/>
        <w:topLinePunct w:val="0"/>
        <w:bidi w:val="0"/>
        <w:snapToGrid w:val="0"/>
        <w:spacing w:beforeAutospacing="0" w:afterAutospacing="0" w:line="360" w:lineRule="auto"/>
        <w:ind w:firstLine="477" w:firstLineChars="198"/>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22. 投标文件的递交</w:t>
      </w:r>
    </w:p>
    <w:p>
      <w:pPr>
        <w:keepNext w:val="0"/>
        <w:keepLines w:val="0"/>
        <w:pageBreakBefore w:val="0"/>
        <w:kinsoku/>
        <w:wordWrap/>
        <w:overflowPunct/>
        <w:topLinePunct w:val="0"/>
        <w:autoSpaceDE w:val="0"/>
        <w:autoSpaceDN w:val="0"/>
        <w:bidi w:val="0"/>
        <w:adjustRightInd w:val="0"/>
        <w:snapToGrid w:val="0"/>
        <w:spacing w:beforeAutospacing="0" w:afterAutospacing="0" w:line="360" w:lineRule="auto"/>
        <w:ind w:right="-34" w:rightChars="-16" w:firstLine="480" w:firstLineChars="200"/>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2</w:t>
      </w:r>
      <w:r>
        <w:rPr>
          <w:rFonts w:hint="eastAsia" w:ascii="宋体" w:hAnsi="宋体" w:cs="宋体"/>
          <w:color w:val="auto"/>
          <w:kern w:val="0"/>
          <w:sz w:val="24"/>
          <w:szCs w:val="24"/>
          <w:highlight w:val="none"/>
          <w:lang w:val="en-US" w:eastAsia="zh-CN"/>
        </w:rPr>
        <w:t>2</w:t>
      </w:r>
      <w:r>
        <w:rPr>
          <w:rFonts w:hint="eastAsia" w:ascii="宋体" w:hAnsi="宋体" w:cs="宋体"/>
          <w:color w:val="auto"/>
          <w:kern w:val="0"/>
          <w:sz w:val="24"/>
          <w:szCs w:val="24"/>
          <w:highlight w:val="none"/>
        </w:rPr>
        <w:t>.1 投标人应在规定的投标截止时间前</w:t>
      </w:r>
      <w:r>
        <w:rPr>
          <w:rFonts w:hint="eastAsia" w:ascii="宋体" w:hAnsi="宋体" w:cs="宋体"/>
          <w:color w:val="auto"/>
          <w:kern w:val="0"/>
          <w:sz w:val="24"/>
          <w:szCs w:val="24"/>
          <w:highlight w:val="none"/>
          <w:lang w:eastAsia="zh-CN"/>
        </w:rPr>
        <w:t>递交</w:t>
      </w:r>
      <w:r>
        <w:rPr>
          <w:rFonts w:hint="eastAsia" w:ascii="宋体" w:hAnsi="宋体" w:cs="宋体"/>
          <w:color w:val="auto"/>
          <w:kern w:val="0"/>
          <w:sz w:val="24"/>
          <w:szCs w:val="24"/>
          <w:highlight w:val="none"/>
        </w:rPr>
        <w:t>投标文件。</w:t>
      </w:r>
    </w:p>
    <w:p>
      <w:pPr>
        <w:keepNext w:val="0"/>
        <w:keepLines w:val="0"/>
        <w:pageBreakBefore w:val="0"/>
        <w:kinsoku/>
        <w:wordWrap/>
        <w:overflowPunct/>
        <w:topLinePunct w:val="0"/>
        <w:autoSpaceDE w:val="0"/>
        <w:autoSpaceDN w:val="0"/>
        <w:bidi w:val="0"/>
        <w:adjustRightInd w:val="0"/>
        <w:snapToGrid w:val="0"/>
        <w:spacing w:beforeAutospacing="0" w:afterAutospacing="0" w:line="360" w:lineRule="auto"/>
        <w:ind w:right="-34" w:rightChars="-16" w:firstLine="480" w:firstLineChars="200"/>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2</w:t>
      </w:r>
      <w:r>
        <w:rPr>
          <w:rFonts w:hint="eastAsia" w:ascii="宋体" w:hAnsi="宋体" w:cs="宋体"/>
          <w:color w:val="auto"/>
          <w:kern w:val="0"/>
          <w:sz w:val="24"/>
          <w:szCs w:val="24"/>
          <w:highlight w:val="none"/>
          <w:lang w:val="en-US" w:eastAsia="zh-CN"/>
        </w:rPr>
        <w:t>2</w:t>
      </w:r>
      <w:r>
        <w:rPr>
          <w:rFonts w:hint="eastAsia" w:ascii="宋体" w:hAnsi="宋体" w:cs="宋体"/>
          <w:color w:val="auto"/>
          <w:kern w:val="0"/>
          <w:sz w:val="24"/>
          <w:szCs w:val="24"/>
          <w:highlight w:val="none"/>
        </w:rPr>
        <w:t>.2 投标人递交投标文件的地点：见投标人须知前附表。</w:t>
      </w:r>
    </w:p>
    <w:p>
      <w:pPr>
        <w:keepNext w:val="0"/>
        <w:keepLines w:val="0"/>
        <w:pageBreakBefore w:val="0"/>
        <w:kinsoku/>
        <w:wordWrap/>
        <w:overflowPunct/>
        <w:topLinePunct w:val="0"/>
        <w:autoSpaceDE w:val="0"/>
        <w:autoSpaceDN w:val="0"/>
        <w:bidi w:val="0"/>
        <w:adjustRightInd w:val="0"/>
        <w:snapToGrid w:val="0"/>
        <w:spacing w:beforeAutospacing="0" w:afterAutospacing="0" w:line="360" w:lineRule="auto"/>
        <w:ind w:right="-34" w:rightChars="-16" w:firstLine="480" w:firstLineChars="200"/>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2</w:t>
      </w:r>
      <w:r>
        <w:rPr>
          <w:rFonts w:hint="eastAsia" w:ascii="宋体" w:hAnsi="宋体" w:cs="宋体"/>
          <w:color w:val="auto"/>
          <w:kern w:val="0"/>
          <w:sz w:val="24"/>
          <w:szCs w:val="24"/>
          <w:highlight w:val="none"/>
          <w:lang w:val="en-US" w:eastAsia="zh-CN"/>
        </w:rPr>
        <w:t>2</w:t>
      </w:r>
      <w:r>
        <w:rPr>
          <w:rFonts w:hint="eastAsia" w:ascii="宋体" w:hAnsi="宋体" w:cs="宋体"/>
          <w:color w:val="auto"/>
          <w:kern w:val="0"/>
          <w:sz w:val="24"/>
          <w:szCs w:val="24"/>
          <w:highlight w:val="none"/>
        </w:rPr>
        <w:t>.3 除投标人须知前附表另有规定外，投标人所递交的投标文件不予退还。</w:t>
      </w:r>
    </w:p>
    <w:p>
      <w:pPr>
        <w:keepNext w:val="0"/>
        <w:keepLines w:val="0"/>
        <w:pageBreakBefore w:val="0"/>
        <w:kinsoku/>
        <w:wordWrap/>
        <w:overflowPunct/>
        <w:topLinePunct w:val="0"/>
        <w:autoSpaceDE w:val="0"/>
        <w:autoSpaceDN w:val="0"/>
        <w:bidi w:val="0"/>
        <w:adjustRightInd w:val="0"/>
        <w:snapToGrid w:val="0"/>
        <w:spacing w:beforeAutospacing="0" w:afterAutospacing="0" w:line="360" w:lineRule="auto"/>
        <w:ind w:right="-34" w:rightChars="-16"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2</w:t>
      </w:r>
      <w:r>
        <w:rPr>
          <w:rFonts w:hint="eastAsia" w:ascii="宋体" w:hAnsi="宋体" w:cs="宋体"/>
          <w:color w:val="auto"/>
          <w:kern w:val="0"/>
          <w:sz w:val="24"/>
          <w:szCs w:val="24"/>
          <w:highlight w:val="none"/>
          <w:lang w:val="en-US" w:eastAsia="zh-CN"/>
        </w:rPr>
        <w:t>2</w:t>
      </w:r>
      <w:r>
        <w:rPr>
          <w:rFonts w:hint="eastAsia" w:ascii="宋体" w:hAnsi="宋体" w:cs="宋体"/>
          <w:color w:val="auto"/>
          <w:kern w:val="0"/>
          <w:sz w:val="24"/>
          <w:szCs w:val="24"/>
          <w:highlight w:val="none"/>
        </w:rPr>
        <w:t>.4 逾期送达的或者未送达指定地点的投标文件，采购人不予受理。</w:t>
      </w:r>
    </w:p>
    <w:p>
      <w:pPr>
        <w:keepNext w:val="0"/>
        <w:keepLines w:val="0"/>
        <w:pageBreakBefore w:val="0"/>
        <w:widowControl/>
        <w:kinsoku/>
        <w:wordWrap/>
        <w:overflowPunct/>
        <w:topLinePunct w:val="0"/>
        <w:bidi w:val="0"/>
        <w:snapToGrid w:val="0"/>
        <w:spacing w:beforeAutospacing="0" w:afterAutospacing="0" w:line="360" w:lineRule="auto"/>
        <w:ind w:firstLine="477" w:firstLineChars="198"/>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23. 投标文件的修改和撤回</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23.1 投标人在投标截止时间前，可以对所提交的投标文件进行补充、修改或者撤回，并书面通知</w:t>
      </w:r>
      <w:r>
        <w:rPr>
          <w:rFonts w:hint="eastAsia" w:ascii="宋体" w:hAnsi="宋体" w:cs="宋体"/>
          <w:color w:val="auto"/>
          <w:kern w:val="0"/>
          <w:sz w:val="24"/>
          <w:szCs w:val="24"/>
          <w:highlight w:val="none"/>
          <w:lang w:eastAsia="zh-CN"/>
        </w:rPr>
        <w:t>采购人</w:t>
      </w:r>
      <w:r>
        <w:rPr>
          <w:rFonts w:hint="eastAsia" w:ascii="宋体" w:hAnsi="宋体" w:cs="宋体"/>
          <w:color w:val="auto"/>
          <w:kern w:val="0"/>
          <w:sz w:val="24"/>
          <w:szCs w:val="24"/>
          <w:highlight w:val="none"/>
        </w:rPr>
        <w:t>。补充、修改的内容和撤回通知应当按本须知要求签署、盖章、密封，并作为投标文件的组成部分。</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23.2 投标人在投标截止期后不得修改、撤回投标文件。投标人在投标截止期后修改投标文件的，其投标将被拒绝。</w:t>
      </w:r>
    </w:p>
    <w:p>
      <w:pPr>
        <w:keepNext w:val="0"/>
        <w:keepLines w:val="0"/>
        <w:pageBreakBefore w:val="0"/>
        <w:widowControl/>
        <w:kinsoku/>
        <w:wordWrap/>
        <w:overflowPunct/>
        <w:topLinePunct w:val="0"/>
        <w:bidi w:val="0"/>
        <w:snapToGrid w:val="0"/>
        <w:spacing w:beforeAutospacing="0" w:afterAutospacing="0" w:line="360" w:lineRule="auto"/>
        <w:jc w:val="center"/>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lang w:val="en-US" w:eastAsia="zh-CN"/>
        </w:rPr>
        <w:t>五</w:t>
      </w:r>
      <w:r>
        <w:rPr>
          <w:rFonts w:hint="eastAsia" w:ascii="宋体" w:hAnsi="宋体" w:eastAsia="宋体" w:cs="宋体"/>
          <w:b/>
          <w:bCs/>
          <w:color w:val="auto"/>
          <w:kern w:val="0"/>
          <w:sz w:val="28"/>
          <w:szCs w:val="28"/>
          <w:highlight w:val="none"/>
        </w:rPr>
        <w:t>、评标</w:t>
      </w:r>
    </w:p>
    <w:p>
      <w:pPr>
        <w:keepNext w:val="0"/>
        <w:keepLines w:val="0"/>
        <w:pageBreakBefore w:val="0"/>
        <w:widowControl/>
        <w:kinsoku/>
        <w:wordWrap/>
        <w:overflowPunct/>
        <w:topLinePunct w:val="0"/>
        <w:bidi w:val="0"/>
        <w:snapToGrid w:val="0"/>
        <w:spacing w:beforeAutospacing="0" w:afterAutospacing="0" w:line="360" w:lineRule="auto"/>
        <w:ind w:firstLine="482" w:firstLineChars="200"/>
        <w:jc w:val="left"/>
        <w:rPr>
          <w:rFonts w:ascii="宋体" w:hAnsi="宋体" w:cs="宋体"/>
          <w:color w:val="auto"/>
          <w:kern w:val="0"/>
          <w:sz w:val="24"/>
          <w:szCs w:val="24"/>
          <w:highlight w:val="none"/>
        </w:rPr>
      </w:pPr>
      <w:r>
        <w:rPr>
          <w:rFonts w:hint="eastAsia" w:ascii="宋体" w:hAnsi="宋体" w:cs="宋体"/>
          <w:b/>
          <w:bCs/>
          <w:color w:val="auto"/>
          <w:kern w:val="0"/>
          <w:sz w:val="24"/>
          <w:szCs w:val="24"/>
          <w:highlight w:val="none"/>
        </w:rPr>
        <w:t>2</w:t>
      </w:r>
      <w:r>
        <w:rPr>
          <w:rFonts w:hint="eastAsia" w:ascii="宋体" w:hAnsi="宋体" w:cs="宋体"/>
          <w:b/>
          <w:bCs/>
          <w:color w:val="auto"/>
          <w:kern w:val="0"/>
          <w:sz w:val="24"/>
          <w:szCs w:val="24"/>
          <w:highlight w:val="none"/>
          <w:lang w:val="en-US" w:eastAsia="zh-CN"/>
        </w:rPr>
        <w:t>4</w:t>
      </w:r>
      <w:r>
        <w:rPr>
          <w:rFonts w:hint="eastAsia" w:ascii="宋体" w:hAnsi="宋体" w:cs="宋体"/>
          <w:b/>
          <w:bCs/>
          <w:color w:val="auto"/>
          <w:kern w:val="0"/>
          <w:sz w:val="24"/>
          <w:szCs w:val="24"/>
          <w:highlight w:val="none"/>
        </w:rPr>
        <w:t>. 组建评标委员会</w:t>
      </w:r>
    </w:p>
    <w:p>
      <w:pPr>
        <w:keepNext w:val="0"/>
        <w:keepLines w:val="0"/>
        <w:pageBreakBefore w:val="0"/>
        <w:kinsoku/>
        <w:wordWrap/>
        <w:overflowPunct/>
        <w:topLinePunct w:val="0"/>
        <w:bidi w:val="0"/>
        <w:snapToGrid w:val="0"/>
        <w:spacing w:beforeAutospacing="0" w:afterAutospacing="0"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2</w:t>
      </w:r>
      <w:r>
        <w:rPr>
          <w:rFonts w:hint="eastAsia" w:ascii="宋体" w:hAnsi="宋体" w:cs="宋体"/>
          <w:color w:val="auto"/>
          <w:kern w:val="0"/>
          <w:sz w:val="24"/>
          <w:szCs w:val="24"/>
          <w:highlight w:val="none"/>
          <w:lang w:val="en-US" w:eastAsia="zh-CN"/>
        </w:rPr>
        <w:t>4</w:t>
      </w:r>
      <w:r>
        <w:rPr>
          <w:rFonts w:hint="eastAsia" w:ascii="宋体" w:hAnsi="宋体" w:cs="宋体"/>
          <w:color w:val="auto"/>
          <w:kern w:val="0"/>
          <w:sz w:val="24"/>
          <w:szCs w:val="24"/>
          <w:highlight w:val="none"/>
        </w:rPr>
        <w:t>.1 评标委员会由采购人代表和评审专家组成。成员由</w:t>
      </w:r>
      <w:r>
        <w:rPr>
          <w:rFonts w:hint="eastAsia" w:ascii="宋体" w:hAnsi="宋体" w:cs="宋体"/>
          <w:color w:val="auto"/>
          <w:kern w:val="0"/>
          <w:sz w:val="24"/>
          <w:szCs w:val="24"/>
          <w:highlight w:val="none"/>
          <w:lang w:val="en-US" w:eastAsia="zh-CN"/>
        </w:rPr>
        <w:t>3</w:t>
      </w:r>
      <w:r>
        <w:rPr>
          <w:rFonts w:hint="eastAsia" w:ascii="宋体" w:hAnsi="宋体" w:cs="宋体"/>
          <w:color w:val="auto"/>
          <w:kern w:val="0"/>
          <w:sz w:val="24"/>
          <w:szCs w:val="24"/>
          <w:highlight w:val="none"/>
        </w:rPr>
        <w:t>人以上单数组成。</w:t>
      </w:r>
      <w:r>
        <w:rPr>
          <w:rFonts w:hint="eastAsia" w:ascii="宋体" w:hAnsi="宋体" w:cs="宋体"/>
          <w:color w:val="auto"/>
          <w:sz w:val="24"/>
          <w:szCs w:val="24"/>
          <w:highlight w:val="none"/>
        </w:rPr>
        <w:t>在开标后由评标委员会对投标文件进行审查、质疑、评估和比较，并做合理的建议。</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ascii="宋体" w:hAnsi="宋体" w:cs="宋体"/>
          <w:color w:val="auto"/>
          <w:sz w:val="24"/>
          <w:szCs w:val="24"/>
          <w:highlight w:val="none"/>
        </w:rPr>
      </w:pPr>
      <w:r>
        <w:rPr>
          <w:rFonts w:hint="eastAsia" w:ascii="宋体" w:hAnsi="宋体" w:cs="宋体"/>
          <w:color w:val="auto"/>
          <w:kern w:val="0"/>
          <w:sz w:val="24"/>
          <w:szCs w:val="24"/>
          <w:highlight w:val="none"/>
        </w:rPr>
        <w:t>2</w:t>
      </w:r>
      <w:r>
        <w:rPr>
          <w:rFonts w:hint="eastAsia" w:ascii="宋体" w:hAnsi="宋体" w:cs="宋体"/>
          <w:color w:val="auto"/>
          <w:kern w:val="0"/>
          <w:sz w:val="24"/>
          <w:szCs w:val="24"/>
          <w:highlight w:val="none"/>
          <w:lang w:val="en-US" w:eastAsia="zh-CN"/>
        </w:rPr>
        <w:t>4</w:t>
      </w:r>
      <w:r>
        <w:rPr>
          <w:rFonts w:hint="eastAsia" w:ascii="宋体" w:hAnsi="宋体" w:cs="宋体"/>
          <w:color w:val="auto"/>
          <w:kern w:val="0"/>
          <w:sz w:val="24"/>
          <w:szCs w:val="24"/>
          <w:highlight w:val="none"/>
        </w:rPr>
        <w:t>.2评标委员会成员要依法独立评审，并对评审意见承担个人责任。</w:t>
      </w:r>
      <w:r>
        <w:rPr>
          <w:rFonts w:hint="eastAsia" w:ascii="宋体" w:hAnsi="宋体" w:cs="宋体"/>
          <w:color w:val="auto"/>
          <w:sz w:val="24"/>
          <w:szCs w:val="24"/>
          <w:highlight w:val="none"/>
        </w:rPr>
        <w:t>评标委员会成员对需要共同认定的事项存在争议的，按照少数服从多数的原则</w:t>
      </w:r>
      <w:r>
        <w:rPr>
          <w:rFonts w:hint="eastAsia" w:ascii="宋体" w:hAnsi="宋体" w:cs="宋体"/>
          <w:color w:val="auto"/>
          <w:kern w:val="0"/>
          <w:sz w:val="24"/>
          <w:szCs w:val="24"/>
          <w:highlight w:val="none"/>
        </w:rPr>
        <w:t>做</w:t>
      </w:r>
      <w:r>
        <w:rPr>
          <w:rFonts w:hint="eastAsia" w:ascii="宋体" w:hAnsi="宋体" w:cs="宋体"/>
          <w:color w:val="auto"/>
          <w:sz w:val="24"/>
          <w:szCs w:val="24"/>
          <w:highlight w:val="none"/>
        </w:rPr>
        <w:t>出结论。持不同意见的评标委员会成员应当在评标报告上签署不同意见</w:t>
      </w:r>
      <w:r>
        <w:rPr>
          <w:rFonts w:hint="eastAsia" w:ascii="宋体" w:hAnsi="宋体" w:cs="宋体"/>
          <w:color w:val="auto"/>
          <w:kern w:val="0"/>
          <w:sz w:val="24"/>
          <w:szCs w:val="24"/>
          <w:highlight w:val="none"/>
        </w:rPr>
        <w:t>并说明</w:t>
      </w:r>
      <w:r>
        <w:rPr>
          <w:rFonts w:hint="eastAsia" w:ascii="宋体" w:hAnsi="宋体" w:cs="宋体"/>
          <w:color w:val="auto"/>
          <w:sz w:val="24"/>
          <w:szCs w:val="24"/>
          <w:highlight w:val="none"/>
        </w:rPr>
        <w:t>理由，否则视为同意。</w:t>
      </w:r>
    </w:p>
    <w:p>
      <w:pPr>
        <w:keepNext w:val="0"/>
        <w:keepLines w:val="0"/>
        <w:pageBreakBefore w:val="0"/>
        <w:widowControl/>
        <w:kinsoku/>
        <w:wordWrap/>
        <w:overflowPunct/>
        <w:topLinePunct w:val="0"/>
        <w:bidi w:val="0"/>
        <w:snapToGrid w:val="0"/>
        <w:spacing w:beforeAutospacing="0" w:afterAutospacing="0" w:line="360" w:lineRule="auto"/>
        <w:ind w:firstLine="482" w:firstLineChars="200"/>
        <w:jc w:val="left"/>
        <w:rPr>
          <w:rFonts w:ascii="宋体" w:hAnsi="宋体" w:cs="宋体"/>
          <w:b/>
          <w:bCs/>
          <w:color w:val="auto"/>
          <w:sz w:val="24"/>
          <w:szCs w:val="24"/>
          <w:highlight w:val="none"/>
        </w:rPr>
      </w:pPr>
      <w:r>
        <w:rPr>
          <w:rFonts w:hint="eastAsia" w:ascii="宋体" w:hAnsi="宋体" w:cs="宋体"/>
          <w:b/>
          <w:bCs/>
          <w:color w:val="auto"/>
          <w:sz w:val="24"/>
          <w:szCs w:val="24"/>
          <w:highlight w:val="none"/>
        </w:rPr>
        <w:t>2</w:t>
      </w:r>
      <w:r>
        <w:rPr>
          <w:rFonts w:hint="eastAsia" w:ascii="宋体" w:hAnsi="宋体" w:cs="宋体"/>
          <w:b/>
          <w:bCs/>
          <w:color w:val="auto"/>
          <w:sz w:val="24"/>
          <w:szCs w:val="24"/>
          <w:highlight w:val="none"/>
          <w:lang w:val="en-US" w:eastAsia="zh-CN"/>
        </w:rPr>
        <w:t>5</w:t>
      </w:r>
      <w:r>
        <w:rPr>
          <w:rFonts w:hint="eastAsia" w:ascii="宋体" w:hAnsi="宋体" w:cs="宋体"/>
          <w:b/>
          <w:bCs/>
          <w:color w:val="auto"/>
          <w:sz w:val="24"/>
          <w:szCs w:val="24"/>
          <w:highlight w:val="none"/>
        </w:rPr>
        <w:t>. 投标文件的初审</w:t>
      </w:r>
    </w:p>
    <w:p>
      <w:pPr>
        <w:pStyle w:val="29"/>
        <w:keepNext w:val="0"/>
        <w:keepLines w:val="0"/>
        <w:pageBreakBefore w:val="0"/>
        <w:widowControl/>
        <w:kinsoku/>
        <w:wordWrap/>
        <w:overflowPunct/>
        <w:topLinePunct w:val="0"/>
        <w:bidi w:val="0"/>
        <w:snapToGrid w:val="0"/>
        <w:spacing w:before="0" w:beforeAutospacing="0" w:after="0" w:afterAutospacing="0" w:line="360" w:lineRule="auto"/>
        <w:ind w:firstLine="480" w:firstLineChars="200"/>
        <w:jc w:val="both"/>
        <w:rPr>
          <w:rFonts w:ascii="宋体" w:hAnsi="宋体" w:cs="宋体"/>
          <w:color w:val="auto"/>
          <w:sz w:val="24"/>
          <w:szCs w:val="24"/>
          <w:highlight w:val="none"/>
        </w:rPr>
      </w:pPr>
      <w:r>
        <w:rPr>
          <w:rFonts w:hint="eastAsia" w:ascii="宋体" w:hAnsi="宋体" w:cs="宋体"/>
          <w:color w:val="auto"/>
          <w:sz w:val="24"/>
          <w:szCs w:val="24"/>
          <w:highlight w:val="none"/>
        </w:rPr>
        <w:t>2</w:t>
      </w:r>
      <w:r>
        <w:rPr>
          <w:rFonts w:hint="eastAsia" w:ascii="宋体" w:hAnsi="宋体" w:cs="宋体"/>
          <w:color w:val="auto"/>
          <w:sz w:val="24"/>
          <w:szCs w:val="24"/>
          <w:highlight w:val="none"/>
          <w:lang w:val="en-US" w:eastAsia="zh-CN"/>
        </w:rPr>
        <w:t>5</w:t>
      </w:r>
      <w:r>
        <w:rPr>
          <w:rFonts w:hint="eastAsia" w:ascii="宋体" w:hAnsi="宋体" w:cs="宋体"/>
          <w:color w:val="auto"/>
          <w:sz w:val="24"/>
          <w:szCs w:val="24"/>
          <w:highlight w:val="none"/>
        </w:rPr>
        <w:t>.1对所有投标人的评估，都采用相同的程序和标准。评标过程将严格按照</w:t>
      </w:r>
      <w:r>
        <w:rPr>
          <w:rFonts w:hint="eastAsia" w:ascii="宋体" w:hAnsi="宋体" w:cs="宋体"/>
          <w:color w:val="auto"/>
          <w:sz w:val="24"/>
          <w:szCs w:val="24"/>
          <w:highlight w:val="none"/>
          <w:lang w:val="en-US" w:eastAsia="zh-CN"/>
        </w:rPr>
        <w:t>采购</w:t>
      </w:r>
      <w:r>
        <w:rPr>
          <w:rFonts w:hint="eastAsia" w:ascii="宋体" w:hAnsi="宋体" w:cs="宋体"/>
          <w:color w:val="auto"/>
          <w:sz w:val="24"/>
          <w:szCs w:val="24"/>
          <w:highlight w:val="none"/>
        </w:rPr>
        <w:t>文件的要求和条件进行。</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2</w:t>
      </w:r>
      <w:r>
        <w:rPr>
          <w:rFonts w:hint="eastAsia" w:ascii="宋体" w:hAnsi="宋体" w:cs="宋体"/>
          <w:color w:val="auto"/>
          <w:kern w:val="0"/>
          <w:sz w:val="24"/>
          <w:szCs w:val="24"/>
          <w:highlight w:val="none"/>
          <w:lang w:val="en-US" w:eastAsia="zh-CN"/>
        </w:rPr>
        <w:t>5</w:t>
      </w:r>
      <w:r>
        <w:rPr>
          <w:rFonts w:hint="eastAsia" w:ascii="宋体" w:hAnsi="宋体" w:cs="宋体"/>
          <w:color w:val="auto"/>
          <w:kern w:val="0"/>
          <w:sz w:val="24"/>
          <w:szCs w:val="24"/>
          <w:highlight w:val="none"/>
        </w:rPr>
        <w:t>.2 评标委员会将对投标文件进行检查，以确定投标文件是否完整、有无计算上的错误、文件是否已正确签署等。</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ascii="宋体" w:hAnsi="宋体" w:cs="宋体"/>
          <w:color w:val="auto"/>
          <w:kern w:val="0"/>
          <w:sz w:val="24"/>
          <w:szCs w:val="24"/>
          <w:highlight w:val="none"/>
        </w:rPr>
      </w:pPr>
      <w:r>
        <w:rPr>
          <w:rFonts w:ascii="宋体" w:hAnsi="宋体" w:cs="宋体"/>
          <w:color w:val="auto"/>
          <w:kern w:val="0"/>
          <w:sz w:val="24"/>
          <w:szCs w:val="24"/>
          <w:highlight w:val="none"/>
        </w:rPr>
        <w:t>2</w:t>
      </w:r>
      <w:r>
        <w:rPr>
          <w:rFonts w:hint="eastAsia" w:ascii="宋体" w:hAnsi="宋体" w:cs="宋体"/>
          <w:color w:val="auto"/>
          <w:kern w:val="0"/>
          <w:sz w:val="24"/>
          <w:szCs w:val="24"/>
          <w:highlight w:val="none"/>
          <w:lang w:val="en-US" w:eastAsia="zh-CN"/>
        </w:rPr>
        <w:t>5</w:t>
      </w:r>
      <w:r>
        <w:rPr>
          <w:rFonts w:ascii="宋体" w:hAnsi="宋体" w:cs="宋体"/>
          <w:color w:val="auto"/>
          <w:kern w:val="0"/>
          <w:sz w:val="24"/>
          <w:szCs w:val="24"/>
          <w:highlight w:val="none"/>
        </w:rPr>
        <w:t>.</w:t>
      </w:r>
      <w:r>
        <w:rPr>
          <w:rFonts w:hint="eastAsia" w:ascii="宋体" w:hAnsi="宋体" w:cs="宋体"/>
          <w:color w:val="auto"/>
          <w:kern w:val="0"/>
          <w:sz w:val="24"/>
          <w:szCs w:val="24"/>
          <w:highlight w:val="none"/>
        </w:rPr>
        <w:t>3</w:t>
      </w:r>
      <w:r>
        <w:rPr>
          <w:rFonts w:hint="eastAsia" w:ascii="宋体" w:hAnsi="宋体" w:cs="宋体"/>
          <w:color w:val="auto"/>
          <w:kern w:val="0"/>
          <w:sz w:val="24"/>
          <w:szCs w:val="24"/>
          <w:highlight w:val="none"/>
          <w:lang w:val="en-US" w:eastAsia="zh-CN"/>
        </w:rPr>
        <w:t xml:space="preserve"> </w:t>
      </w:r>
      <w:r>
        <w:rPr>
          <w:rFonts w:hint="eastAsia"/>
          <w:color w:val="auto"/>
          <w:kern w:val="0"/>
          <w:sz w:val="24"/>
          <w:szCs w:val="24"/>
          <w:highlight w:val="none"/>
        </w:rPr>
        <w:t>投标文件报价出现前后不一致的，除</w:t>
      </w:r>
      <w:r>
        <w:rPr>
          <w:rFonts w:hint="eastAsia"/>
          <w:color w:val="auto"/>
          <w:kern w:val="0"/>
          <w:sz w:val="24"/>
          <w:szCs w:val="24"/>
          <w:highlight w:val="none"/>
          <w:lang w:val="en-US" w:eastAsia="zh-CN"/>
        </w:rPr>
        <w:t>采购</w:t>
      </w:r>
      <w:r>
        <w:rPr>
          <w:rFonts w:hint="eastAsia"/>
          <w:color w:val="auto"/>
          <w:kern w:val="0"/>
          <w:sz w:val="24"/>
          <w:szCs w:val="24"/>
          <w:highlight w:val="none"/>
        </w:rPr>
        <w:t>文件另有规定外，</w:t>
      </w:r>
      <w:r>
        <w:rPr>
          <w:rFonts w:hint="eastAsia" w:cs="宋体"/>
          <w:color w:val="auto"/>
          <w:kern w:val="0"/>
          <w:sz w:val="24"/>
          <w:szCs w:val="24"/>
          <w:highlight w:val="none"/>
        </w:rPr>
        <w:t>修正错误的原则如下：</w:t>
      </w:r>
    </w:p>
    <w:p>
      <w:pPr>
        <w:pStyle w:val="29"/>
        <w:keepNext w:val="0"/>
        <w:keepLines w:val="0"/>
        <w:pageBreakBefore w:val="0"/>
        <w:widowControl/>
        <w:shd w:val="clear" w:color="auto"/>
        <w:kinsoku/>
        <w:wordWrap/>
        <w:overflowPunct/>
        <w:topLinePunct w:val="0"/>
        <w:bidi w:val="0"/>
        <w:snapToGrid w:val="0"/>
        <w:spacing w:before="0" w:beforeAutospacing="0" w:after="0" w:afterAutospacing="0" w:line="360" w:lineRule="auto"/>
        <w:ind w:firstLine="480" w:firstLineChars="200"/>
        <w:jc w:val="both"/>
        <w:rPr>
          <w:rFonts w:ascii="宋体" w:hAnsi="宋体" w:cs="宋体"/>
          <w:color w:val="auto"/>
          <w:sz w:val="24"/>
          <w:szCs w:val="24"/>
          <w:highlight w:val="none"/>
        </w:rPr>
      </w:pPr>
      <w:r>
        <w:rPr>
          <w:rFonts w:hint="eastAsia" w:ascii="宋体" w:hAnsi="宋体" w:cs="宋体"/>
          <w:color w:val="auto"/>
          <w:sz w:val="24"/>
          <w:szCs w:val="24"/>
          <w:highlight w:val="none"/>
        </w:rPr>
        <w:t>2</w:t>
      </w:r>
      <w:r>
        <w:rPr>
          <w:rFonts w:hint="eastAsia" w:ascii="宋体" w:hAnsi="宋体" w:cs="宋体"/>
          <w:color w:val="auto"/>
          <w:sz w:val="24"/>
          <w:szCs w:val="24"/>
          <w:highlight w:val="none"/>
          <w:lang w:val="en-US" w:eastAsia="zh-CN"/>
        </w:rPr>
        <w:t>5</w:t>
      </w:r>
      <w:r>
        <w:rPr>
          <w:rFonts w:hint="eastAsia" w:ascii="宋体" w:hAnsi="宋体" w:cs="宋体"/>
          <w:color w:val="auto"/>
          <w:sz w:val="24"/>
          <w:szCs w:val="24"/>
          <w:highlight w:val="none"/>
        </w:rPr>
        <w:t>.3.1</w:t>
      </w:r>
      <w:r>
        <w:rPr>
          <w:rFonts w:hint="eastAsia" w:ascii="宋体" w:hAnsi="宋体" w:cs="宋体"/>
          <w:color w:val="auto"/>
          <w:sz w:val="24"/>
          <w:szCs w:val="24"/>
          <w:highlight w:val="none"/>
          <w:shd w:val="clear" w:color="auto" w:fill="FFFFFF"/>
        </w:rPr>
        <w:t>投标文件开标一览表（报价表）内容与投标文件中相应内容不一致的，以开标一览表（报价表）为准；</w:t>
      </w:r>
    </w:p>
    <w:p>
      <w:pPr>
        <w:pStyle w:val="29"/>
        <w:keepNext w:val="0"/>
        <w:keepLines w:val="0"/>
        <w:pageBreakBefore w:val="0"/>
        <w:widowControl/>
        <w:shd w:val="clear" w:color="auto"/>
        <w:kinsoku/>
        <w:wordWrap/>
        <w:overflowPunct/>
        <w:topLinePunct w:val="0"/>
        <w:bidi w:val="0"/>
        <w:snapToGrid w:val="0"/>
        <w:spacing w:before="0" w:beforeAutospacing="0" w:after="0" w:afterAutospacing="0" w:line="360" w:lineRule="auto"/>
        <w:ind w:firstLine="480" w:firstLineChars="200"/>
        <w:jc w:val="both"/>
        <w:rPr>
          <w:rFonts w:ascii="宋体" w:hAnsi="宋体" w:cs="宋体"/>
          <w:color w:val="auto"/>
          <w:sz w:val="24"/>
          <w:szCs w:val="24"/>
          <w:highlight w:val="none"/>
        </w:rPr>
      </w:pPr>
      <w:r>
        <w:rPr>
          <w:rFonts w:hint="eastAsia" w:ascii="宋体" w:hAnsi="宋体" w:cs="宋体"/>
          <w:color w:val="auto"/>
          <w:sz w:val="24"/>
          <w:szCs w:val="24"/>
          <w:highlight w:val="none"/>
        </w:rPr>
        <w:t>2</w:t>
      </w:r>
      <w:r>
        <w:rPr>
          <w:rFonts w:hint="eastAsia" w:ascii="宋体" w:hAnsi="宋体" w:cs="宋体"/>
          <w:color w:val="auto"/>
          <w:sz w:val="24"/>
          <w:szCs w:val="24"/>
          <w:highlight w:val="none"/>
          <w:lang w:val="en-US" w:eastAsia="zh-CN"/>
        </w:rPr>
        <w:t>5</w:t>
      </w:r>
      <w:r>
        <w:rPr>
          <w:rFonts w:hint="eastAsia" w:ascii="宋体" w:hAnsi="宋体" w:cs="宋体"/>
          <w:color w:val="auto"/>
          <w:sz w:val="24"/>
          <w:szCs w:val="24"/>
          <w:highlight w:val="none"/>
        </w:rPr>
        <w:t>.3.2</w:t>
      </w:r>
      <w:r>
        <w:rPr>
          <w:rFonts w:hint="eastAsia" w:ascii="宋体" w:hAnsi="宋体" w:cs="宋体"/>
          <w:color w:val="auto"/>
          <w:sz w:val="24"/>
          <w:szCs w:val="24"/>
          <w:highlight w:val="none"/>
          <w:shd w:val="clear" w:color="auto" w:fill="FFFFFF"/>
        </w:rPr>
        <w:t>大写金额</w:t>
      </w:r>
      <w:r>
        <w:rPr>
          <w:rFonts w:hint="eastAsia" w:ascii="宋体" w:hAnsi="宋体" w:cs="宋体"/>
          <w:color w:val="auto"/>
          <w:sz w:val="24"/>
          <w:szCs w:val="24"/>
          <w:highlight w:val="none"/>
        </w:rPr>
        <w:t>与</w:t>
      </w:r>
      <w:r>
        <w:rPr>
          <w:rFonts w:hint="eastAsia" w:ascii="宋体" w:hAnsi="宋体" w:cs="宋体"/>
          <w:color w:val="auto"/>
          <w:sz w:val="24"/>
          <w:szCs w:val="24"/>
          <w:highlight w:val="none"/>
          <w:shd w:val="clear" w:color="auto" w:fill="FFFFFF"/>
        </w:rPr>
        <w:t>小写金额不一致的，以大写金额为准；</w:t>
      </w:r>
    </w:p>
    <w:p>
      <w:pPr>
        <w:pStyle w:val="29"/>
        <w:keepNext w:val="0"/>
        <w:keepLines w:val="0"/>
        <w:pageBreakBefore w:val="0"/>
        <w:widowControl/>
        <w:shd w:val="clear" w:color="auto"/>
        <w:kinsoku/>
        <w:wordWrap/>
        <w:overflowPunct/>
        <w:topLinePunct w:val="0"/>
        <w:bidi w:val="0"/>
        <w:snapToGrid w:val="0"/>
        <w:spacing w:before="0" w:beforeAutospacing="0" w:after="0" w:afterAutospacing="0" w:line="360" w:lineRule="auto"/>
        <w:ind w:firstLine="480" w:firstLineChars="200"/>
        <w:jc w:val="both"/>
        <w:rPr>
          <w:rFonts w:ascii="宋体" w:hAnsi="宋体" w:cs="宋体"/>
          <w:color w:val="auto"/>
          <w:sz w:val="24"/>
          <w:szCs w:val="24"/>
          <w:highlight w:val="none"/>
        </w:rPr>
      </w:pPr>
      <w:r>
        <w:rPr>
          <w:rFonts w:hint="eastAsia" w:ascii="宋体" w:hAnsi="宋体" w:cs="宋体"/>
          <w:color w:val="auto"/>
          <w:sz w:val="24"/>
          <w:szCs w:val="24"/>
          <w:highlight w:val="none"/>
        </w:rPr>
        <w:t>2</w:t>
      </w:r>
      <w:r>
        <w:rPr>
          <w:rFonts w:hint="eastAsia" w:ascii="宋体" w:hAnsi="宋体" w:cs="宋体"/>
          <w:color w:val="auto"/>
          <w:sz w:val="24"/>
          <w:szCs w:val="24"/>
          <w:highlight w:val="none"/>
          <w:lang w:val="en-US" w:eastAsia="zh-CN"/>
        </w:rPr>
        <w:t>5</w:t>
      </w:r>
      <w:r>
        <w:rPr>
          <w:rFonts w:hint="eastAsia" w:ascii="宋体" w:hAnsi="宋体" w:cs="宋体"/>
          <w:color w:val="auto"/>
          <w:sz w:val="24"/>
          <w:szCs w:val="24"/>
          <w:highlight w:val="none"/>
        </w:rPr>
        <w:t>.3.3</w:t>
      </w:r>
      <w:r>
        <w:rPr>
          <w:rFonts w:hint="eastAsia" w:ascii="宋体" w:hAnsi="宋体" w:cs="宋体"/>
          <w:color w:val="auto"/>
          <w:sz w:val="24"/>
          <w:szCs w:val="24"/>
          <w:highlight w:val="none"/>
          <w:shd w:val="clear" w:color="auto" w:fill="FFFFFF"/>
        </w:rPr>
        <w:t>单价金额小数点或者百分比有明显错位的，以开标一览表的总价为准，并修改单价；</w:t>
      </w:r>
    </w:p>
    <w:p>
      <w:pPr>
        <w:pStyle w:val="29"/>
        <w:keepNext w:val="0"/>
        <w:keepLines w:val="0"/>
        <w:pageBreakBefore w:val="0"/>
        <w:widowControl/>
        <w:shd w:val="clear" w:color="auto"/>
        <w:kinsoku/>
        <w:wordWrap/>
        <w:overflowPunct/>
        <w:topLinePunct w:val="0"/>
        <w:bidi w:val="0"/>
        <w:snapToGrid w:val="0"/>
        <w:spacing w:before="0" w:beforeAutospacing="0" w:after="0" w:afterAutospacing="0" w:line="360" w:lineRule="auto"/>
        <w:ind w:firstLine="480" w:firstLineChars="200"/>
        <w:jc w:val="both"/>
        <w:rPr>
          <w:rFonts w:ascii="宋体" w:hAnsi="宋体" w:cs="宋体"/>
          <w:color w:val="auto"/>
          <w:sz w:val="24"/>
          <w:szCs w:val="24"/>
          <w:highlight w:val="none"/>
        </w:rPr>
      </w:pPr>
      <w:r>
        <w:rPr>
          <w:rFonts w:hint="eastAsia" w:ascii="宋体" w:hAnsi="宋体" w:cs="宋体"/>
          <w:color w:val="auto"/>
          <w:sz w:val="24"/>
          <w:szCs w:val="24"/>
          <w:highlight w:val="none"/>
        </w:rPr>
        <w:t>2</w:t>
      </w:r>
      <w:r>
        <w:rPr>
          <w:rFonts w:hint="eastAsia" w:ascii="宋体" w:hAnsi="宋体" w:cs="宋体"/>
          <w:color w:val="auto"/>
          <w:sz w:val="24"/>
          <w:szCs w:val="24"/>
          <w:highlight w:val="none"/>
          <w:lang w:val="en-US" w:eastAsia="zh-CN"/>
        </w:rPr>
        <w:t>5</w:t>
      </w:r>
      <w:r>
        <w:rPr>
          <w:rFonts w:hint="eastAsia" w:ascii="宋体" w:hAnsi="宋体" w:cs="宋体"/>
          <w:color w:val="auto"/>
          <w:sz w:val="24"/>
          <w:szCs w:val="24"/>
          <w:highlight w:val="none"/>
        </w:rPr>
        <w:t>.3.4</w:t>
      </w:r>
      <w:r>
        <w:rPr>
          <w:rFonts w:hint="eastAsia" w:ascii="宋体" w:hAnsi="宋体" w:cs="宋体"/>
          <w:color w:val="auto"/>
          <w:sz w:val="24"/>
          <w:szCs w:val="24"/>
          <w:highlight w:val="none"/>
          <w:shd w:val="clear" w:color="auto" w:fill="FFFFFF"/>
        </w:rPr>
        <w:t>总价金额与按单价汇总金额不一致的，以单价金额计算结果为准。</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2</w:t>
      </w:r>
      <w:r>
        <w:rPr>
          <w:rFonts w:hint="eastAsia" w:ascii="宋体" w:hAnsi="宋体" w:cs="宋体"/>
          <w:color w:val="auto"/>
          <w:kern w:val="0"/>
          <w:sz w:val="24"/>
          <w:szCs w:val="24"/>
          <w:highlight w:val="none"/>
          <w:lang w:val="en-US" w:eastAsia="zh-CN"/>
        </w:rPr>
        <w:t>5</w:t>
      </w:r>
      <w:r>
        <w:rPr>
          <w:rFonts w:hint="eastAsia" w:ascii="宋体" w:hAnsi="宋体" w:cs="宋体"/>
          <w:color w:val="auto"/>
          <w:kern w:val="0"/>
          <w:sz w:val="24"/>
          <w:szCs w:val="24"/>
          <w:highlight w:val="none"/>
        </w:rPr>
        <w:t>.3.5 对不同文字文本投标文件的解释发生异议的，以中文文本为准。</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2</w:t>
      </w:r>
      <w:r>
        <w:rPr>
          <w:rFonts w:hint="eastAsia" w:ascii="宋体" w:hAnsi="宋体" w:cs="宋体"/>
          <w:color w:val="auto"/>
          <w:kern w:val="0"/>
          <w:sz w:val="24"/>
          <w:szCs w:val="24"/>
          <w:highlight w:val="none"/>
          <w:lang w:val="en-US" w:eastAsia="zh-CN"/>
        </w:rPr>
        <w:t>5</w:t>
      </w:r>
      <w:r>
        <w:rPr>
          <w:rFonts w:hint="eastAsia" w:ascii="宋体" w:hAnsi="宋体" w:cs="宋体"/>
          <w:color w:val="auto"/>
          <w:kern w:val="0"/>
          <w:sz w:val="24"/>
          <w:szCs w:val="24"/>
          <w:highlight w:val="none"/>
        </w:rPr>
        <w:t>.3.6 同时出现两种以上不一致的，按照前款规定的顺序修正。修正后的报价按照财政部87号令第五十一条第二款的规定经投标人确认后产生约束力，投标人不确认的，其投标无效。</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2</w:t>
      </w:r>
      <w:r>
        <w:rPr>
          <w:rFonts w:hint="eastAsia" w:ascii="宋体" w:hAnsi="宋体" w:cs="宋体"/>
          <w:color w:val="auto"/>
          <w:kern w:val="0"/>
          <w:sz w:val="24"/>
          <w:szCs w:val="24"/>
          <w:highlight w:val="none"/>
          <w:lang w:val="en-US" w:eastAsia="zh-CN"/>
        </w:rPr>
        <w:t>5</w:t>
      </w:r>
      <w:r>
        <w:rPr>
          <w:rFonts w:hint="eastAsia" w:ascii="宋体" w:hAnsi="宋体" w:cs="宋体"/>
          <w:color w:val="auto"/>
          <w:kern w:val="0"/>
          <w:sz w:val="24"/>
          <w:szCs w:val="24"/>
          <w:highlight w:val="none"/>
        </w:rPr>
        <w:t>.4 资格性检查和符合性检查。</w:t>
      </w:r>
    </w:p>
    <w:p>
      <w:pPr>
        <w:keepNext w:val="0"/>
        <w:keepLines w:val="0"/>
        <w:pageBreakBefore w:val="0"/>
        <w:widowControl/>
        <w:tabs>
          <w:tab w:val="left" w:pos="0"/>
        </w:tabs>
        <w:kinsoku/>
        <w:wordWrap/>
        <w:overflowPunct/>
        <w:topLinePunct w:val="0"/>
        <w:bidi w:val="0"/>
        <w:snapToGrid w:val="0"/>
        <w:spacing w:beforeAutospacing="0" w:afterAutospacing="0" w:line="360" w:lineRule="auto"/>
        <w:ind w:firstLine="480" w:firstLineChars="200"/>
        <w:contextualSpacing/>
        <w:jc w:val="left"/>
        <w:rPr>
          <w:color w:val="auto"/>
          <w:sz w:val="24"/>
          <w:szCs w:val="24"/>
          <w:highlight w:val="none"/>
        </w:rPr>
      </w:pPr>
      <w:r>
        <w:rPr>
          <w:rFonts w:hint="eastAsia" w:ascii="宋体" w:hAnsi="宋体" w:cs="宋体"/>
          <w:color w:val="auto"/>
          <w:kern w:val="0"/>
          <w:sz w:val="24"/>
          <w:szCs w:val="24"/>
          <w:highlight w:val="none"/>
        </w:rPr>
        <w:t>2</w:t>
      </w:r>
      <w:r>
        <w:rPr>
          <w:rFonts w:hint="eastAsia" w:ascii="宋体" w:hAnsi="宋体" w:cs="宋体"/>
          <w:color w:val="auto"/>
          <w:kern w:val="0"/>
          <w:sz w:val="24"/>
          <w:szCs w:val="24"/>
          <w:highlight w:val="none"/>
          <w:lang w:val="en-US" w:eastAsia="zh-CN"/>
        </w:rPr>
        <w:t>5</w:t>
      </w:r>
      <w:r>
        <w:rPr>
          <w:rFonts w:hint="eastAsia" w:ascii="宋体" w:hAnsi="宋体" w:cs="宋体"/>
          <w:color w:val="auto"/>
          <w:kern w:val="0"/>
          <w:sz w:val="24"/>
          <w:szCs w:val="24"/>
          <w:highlight w:val="none"/>
        </w:rPr>
        <w:t>.4.1</w:t>
      </w:r>
      <w:r>
        <w:rPr>
          <w:rFonts w:hint="eastAsia" w:ascii="宋体" w:hAnsi="宋体"/>
          <w:color w:val="auto"/>
          <w:sz w:val="24"/>
          <w:szCs w:val="24"/>
          <w:highlight w:val="none"/>
        </w:rPr>
        <w:t>资格性检查。依据法规政策和</w:t>
      </w:r>
      <w:r>
        <w:rPr>
          <w:rFonts w:hint="eastAsia" w:ascii="宋体" w:hAnsi="宋体"/>
          <w:color w:val="auto"/>
          <w:sz w:val="24"/>
          <w:szCs w:val="24"/>
          <w:highlight w:val="none"/>
          <w:lang w:val="en-US" w:eastAsia="zh-CN"/>
        </w:rPr>
        <w:t>采购</w:t>
      </w:r>
      <w:r>
        <w:rPr>
          <w:rFonts w:hint="eastAsia" w:ascii="宋体" w:hAnsi="宋体"/>
          <w:color w:val="auto"/>
          <w:sz w:val="24"/>
          <w:szCs w:val="24"/>
          <w:highlight w:val="none"/>
        </w:rPr>
        <w:t>文件的规定，在对投标文件详细评估之前，采购人将依据投标人提交的投标文件按</w:t>
      </w:r>
      <w:r>
        <w:rPr>
          <w:rFonts w:hint="eastAsia" w:ascii="宋体" w:hAnsi="宋体"/>
          <w:color w:val="auto"/>
          <w:sz w:val="24"/>
          <w:szCs w:val="24"/>
          <w:highlight w:val="none"/>
          <w:lang w:val="en-US" w:eastAsia="zh-CN"/>
        </w:rPr>
        <w:t>采购</w:t>
      </w:r>
      <w:r>
        <w:rPr>
          <w:rFonts w:hint="eastAsia" w:ascii="宋体" w:hAnsi="宋体"/>
          <w:color w:val="auto"/>
          <w:sz w:val="24"/>
          <w:szCs w:val="24"/>
          <w:highlight w:val="none"/>
        </w:rPr>
        <w:t>公告第二项和</w:t>
      </w:r>
      <w:r>
        <w:rPr>
          <w:rFonts w:hint="eastAsia" w:ascii="宋体" w:hAnsi="宋体"/>
          <w:color w:val="auto"/>
          <w:sz w:val="24"/>
          <w:szCs w:val="24"/>
          <w:highlight w:val="none"/>
          <w:lang w:val="en-US" w:eastAsia="zh-CN"/>
        </w:rPr>
        <w:t>采购</w:t>
      </w:r>
      <w:r>
        <w:rPr>
          <w:rFonts w:hint="eastAsia" w:ascii="宋体" w:hAnsi="宋体"/>
          <w:color w:val="auto"/>
          <w:sz w:val="24"/>
          <w:szCs w:val="24"/>
          <w:highlight w:val="none"/>
        </w:rPr>
        <w:t>文件第三章4.投标人应提交的证明文件所述的资格标准对投标人进行资格审查,以确定其是否具备投标资格。如果投标人不具备投标资格、不满足</w:t>
      </w:r>
      <w:r>
        <w:rPr>
          <w:rFonts w:hint="eastAsia" w:ascii="宋体" w:hAnsi="宋体"/>
          <w:color w:val="auto"/>
          <w:sz w:val="24"/>
          <w:szCs w:val="24"/>
          <w:highlight w:val="none"/>
          <w:lang w:val="en-US" w:eastAsia="zh-CN"/>
        </w:rPr>
        <w:t>采购</w:t>
      </w:r>
      <w:r>
        <w:rPr>
          <w:rFonts w:hint="eastAsia" w:ascii="宋体" w:hAnsi="宋体"/>
          <w:color w:val="auto"/>
          <w:sz w:val="24"/>
          <w:szCs w:val="24"/>
          <w:highlight w:val="none"/>
        </w:rPr>
        <w:t>文件所规定的资格标准或提供资格证明文件不全,其投标将被作为无效投标。</w:t>
      </w:r>
      <w:r>
        <w:rPr>
          <w:rFonts w:hint="eastAsia" w:ascii="宋体" w:hAnsi="宋体" w:cs="Lucida Sans Unicode"/>
          <w:color w:val="auto"/>
          <w:sz w:val="24"/>
          <w:szCs w:val="24"/>
          <w:highlight w:val="none"/>
        </w:rPr>
        <w:t>在审查过程中，采购人有权要求投标人按</w:t>
      </w:r>
      <w:r>
        <w:rPr>
          <w:rFonts w:hint="eastAsia" w:ascii="宋体" w:hAnsi="宋体" w:cs="Lucida Sans Unicode"/>
          <w:color w:val="auto"/>
          <w:sz w:val="24"/>
          <w:szCs w:val="24"/>
          <w:highlight w:val="none"/>
          <w:lang w:val="en-US" w:eastAsia="zh-CN"/>
        </w:rPr>
        <w:t>采购</w:t>
      </w:r>
      <w:r>
        <w:rPr>
          <w:rFonts w:hint="eastAsia" w:ascii="宋体" w:hAnsi="宋体" w:cs="Lucida Sans Unicode"/>
          <w:color w:val="auto"/>
          <w:sz w:val="24"/>
          <w:szCs w:val="24"/>
          <w:highlight w:val="none"/>
        </w:rPr>
        <w:t>文件的规定提供相关资格证明材料的原件以供审查。投标人应在规定的时限内提供。投标人拒不提供的，或者不能在规定时限内提供的，视为其不具备该资格条件。</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ascii="宋体" w:hAnsi="宋体" w:cs="Lucida Sans Unicode"/>
          <w:color w:val="auto"/>
          <w:sz w:val="24"/>
          <w:szCs w:val="24"/>
          <w:highlight w:val="none"/>
        </w:rPr>
      </w:pPr>
      <w:r>
        <w:rPr>
          <w:rFonts w:hint="eastAsia" w:ascii="宋体" w:hAnsi="宋体" w:cs="Lucida Sans Unicode"/>
          <w:color w:val="auto"/>
          <w:sz w:val="24"/>
          <w:szCs w:val="24"/>
          <w:highlight w:val="none"/>
        </w:rPr>
        <w:t>2</w:t>
      </w:r>
      <w:r>
        <w:rPr>
          <w:rFonts w:hint="eastAsia" w:ascii="宋体" w:hAnsi="宋体" w:cs="Lucida Sans Unicode"/>
          <w:color w:val="auto"/>
          <w:sz w:val="24"/>
          <w:szCs w:val="24"/>
          <w:highlight w:val="none"/>
          <w:lang w:val="en-US" w:eastAsia="zh-CN"/>
        </w:rPr>
        <w:t>5</w:t>
      </w:r>
      <w:r>
        <w:rPr>
          <w:rFonts w:hint="eastAsia" w:ascii="宋体" w:hAnsi="宋体" w:cs="Lucida Sans Unicode"/>
          <w:color w:val="auto"/>
          <w:sz w:val="24"/>
          <w:szCs w:val="24"/>
          <w:highlight w:val="none"/>
        </w:rPr>
        <w:t>.4.2 资格审查后合格的投标人不足3家的，不得评标。</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color w:val="auto"/>
          <w:sz w:val="24"/>
          <w:szCs w:val="24"/>
          <w:highlight w:val="none"/>
        </w:rPr>
      </w:pPr>
      <w:r>
        <w:rPr>
          <w:rFonts w:hint="eastAsia" w:ascii="宋体" w:hAnsi="宋体" w:cs="宋体"/>
          <w:color w:val="auto"/>
          <w:kern w:val="0"/>
          <w:sz w:val="24"/>
          <w:szCs w:val="24"/>
          <w:highlight w:val="none"/>
        </w:rPr>
        <w:t>2</w:t>
      </w:r>
      <w:r>
        <w:rPr>
          <w:rFonts w:hint="eastAsia" w:ascii="宋体" w:hAnsi="宋体" w:cs="宋体"/>
          <w:color w:val="auto"/>
          <w:kern w:val="0"/>
          <w:sz w:val="24"/>
          <w:szCs w:val="24"/>
          <w:highlight w:val="none"/>
          <w:lang w:val="en-US" w:eastAsia="zh-CN"/>
        </w:rPr>
        <w:t>5</w:t>
      </w:r>
      <w:r>
        <w:rPr>
          <w:rFonts w:hint="eastAsia" w:ascii="宋体" w:hAnsi="宋体" w:cs="宋体"/>
          <w:color w:val="auto"/>
          <w:kern w:val="0"/>
          <w:sz w:val="24"/>
          <w:szCs w:val="24"/>
          <w:highlight w:val="none"/>
        </w:rPr>
        <w:t>.4.3 符合性检查。依据</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文件的规定，评标委员会将从投标文件的有效性、完整性和对</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文件的响应程度进行审查，以确定是否符合对</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文件的实质性要求作出响应。对没有实质性响应的投标文件将不进行评估，其投标被作为无效投标。凡有下列情况之一者，投标文件也将被视为未实质性响应</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文件要求：</w:t>
      </w:r>
    </w:p>
    <w:p>
      <w:pPr>
        <w:keepNext w:val="0"/>
        <w:keepLines w:val="0"/>
        <w:pageBreakBefore w:val="0"/>
        <w:widowControl/>
        <w:tabs>
          <w:tab w:val="left" w:pos="0"/>
        </w:tabs>
        <w:kinsoku/>
        <w:wordWrap/>
        <w:overflowPunct/>
        <w:topLinePunct w:val="0"/>
        <w:bidi w:val="0"/>
        <w:snapToGrid w:val="0"/>
        <w:spacing w:beforeAutospacing="0" w:afterAutospacing="0" w:line="360" w:lineRule="auto"/>
        <w:ind w:firstLine="480" w:firstLineChars="200"/>
        <w:contextualSpacing/>
        <w:jc w:val="left"/>
        <w:rPr>
          <w:rFonts w:ascii="宋体" w:hAnsi="宋体"/>
          <w:color w:val="auto"/>
          <w:sz w:val="24"/>
          <w:szCs w:val="24"/>
          <w:highlight w:val="none"/>
        </w:rPr>
      </w:pPr>
      <w:r>
        <w:rPr>
          <w:rFonts w:hint="eastAsia" w:ascii="宋体" w:hAnsi="宋体"/>
          <w:color w:val="auto"/>
          <w:sz w:val="24"/>
          <w:szCs w:val="24"/>
          <w:highlight w:val="none"/>
        </w:rPr>
        <w:t>（1）投标文件未按规定签字、盖章的。</w:t>
      </w:r>
    </w:p>
    <w:p>
      <w:pPr>
        <w:keepNext w:val="0"/>
        <w:keepLines w:val="0"/>
        <w:pageBreakBefore w:val="0"/>
        <w:widowControl/>
        <w:tabs>
          <w:tab w:val="left" w:pos="0"/>
        </w:tabs>
        <w:kinsoku/>
        <w:wordWrap/>
        <w:overflowPunct/>
        <w:topLinePunct w:val="0"/>
        <w:bidi w:val="0"/>
        <w:snapToGrid w:val="0"/>
        <w:spacing w:beforeAutospacing="0" w:afterAutospacing="0" w:line="360" w:lineRule="auto"/>
        <w:ind w:firstLine="480" w:firstLineChars="200"/>
        <w:contextualSpacing/>
        <w:jc w:val="left"/>
        <w:rPr>
          <w:rFonts w:ascii="宋体" w:hAnsi="宋体"/>
          <w:color w:val="auto"/>
          <w:sz w:val="24"/>
          <w:szCs w:val="24"/>
          <w:highlight w:val="none"/>
        </w:rPr>
      </w:pPr>
      <w:r>
        <w:rPr>
          <w:rFonts w:hint="eastAsia" w:ascii="宋体" w:hAnsi="宋体"/>
          <w:color w:val="auto"/>
          <w:sz w:val="24"/>
          <w:szCs w:val="24"/>
          <w:highlight w:val="none"/>
        </w:rPr>
        <w:t>（2）投标人未能出具有效身份证明，或与身份不符的。</w:t>
      </w:r>
    </w:p>
    <w:p>
      <w:pPr>
        <w:keepNext w:val="0"/>
        <w:keepLines w:val="0"/>
        <w:pageBreakBefore w:val="0"/>
        <w:widowControl/>
        <w:tabs>
          <w:tab w:val="left" w:pos="0"/>
        </w:tabs>
        <w:kinsoku/>
        <w:wordWrap/>
        <w:overflowPunct/>
        <w:topLinePunct w:val="0"/>
        <w:bidi w:val="0"/>
        <w:snapToGrid w:val="0"/>
        <w:spacing w:beforeAutospacing="0" w:afterAutospacing="0" w:line="360" w:lineRule="auto"/>
        <w:ind w:firstLine="480" w:firstLineChars="200"/>
        <w:contextualSpacing/>
        <w:jc w:val="left"/>
        <w:rPr>
          <w:rFonts w:ascii="宋体" w:hAnsi="宋体"/>
          <w:color w:val="auto"/>
          <w:sz w:val="24"/>
          <w:szCs w:val="24"/>
          <w:highlight w:val="none"/>
        </w:rPr>
      </w:pPr>
      <w:r>
        <w:rPr>
          <w:rFonts w:hint="eastAsia" w:ascii="宋体" w:hAnsi="宋体"/>
          <w:color w:val="auto"/>
          <w:sz w:val="24"/>
          <w:szCs w:val="24"/>
          <w:highlight w:val="none"/>
        </w:rPr>
        <w:t>（3）资格证明文件不全的，或不符合</w:t>
      </w:r>
      <w:r>
        <w:rPr>
          <w:rFonts w:hint="eastAsia" w:ascii="宋体" w:hAnsi="宋体"/>
          <w:color w:val="auto"/>
          <w:sz w:val="24"/>
          <w:szCs w:val="24"/>
          <w:highlight w:val="none"/>
          <w:lang w:val="en-US" w:eastAsia="zh-CN"/>
        </w:rPr>
        <w:t>采购</w:t>
      </w:r>
      <w:r>
        <w:rPr>
          <w:rFonts w:hint="eastAsia" w:ascii="宋体" w:hAnsi="宋体"/>
          <w:color w:val="auto"/>
          <w:sz w:val="24"/>
          <w:szCs w:val="24"/>
          <w:highlight w:val="none"/>
        </w:rPr>
        <w:t>文件标明的资格要求的。</w:t>
      </w:r>
    </w:p>
    <w:p>
      <w:pPr>
        <w:keepNext w:val="0"/>
        <w:keepLines w:val="0"/>
        <w:pageBreakBefore w:val="0"/>
        <w:widowControl/>
        <w:tabs>
          <w:tab w:val="left" w:pos="0"/>
        </w:tabs>
        <w:kinsoku/>
        <w:wordWrap/>
        <w:overflowPunct/>
        <w:topLinePunct w:val="0"/>
        <w:bidi w:val="0"/>
        <w:snapToGrid w:val="0"/>
        <w:spacing w:beforeAutospacing="0" w:afterAutospacing="0" w:line="360" w:lineRule="auto"/>
        <w:ind w:firstLine="480" w:firstLineChars="200"/>
        <w:contextualSpacing/>
        <w:jc w:val="left"/>
        <w:rPr>
          <w:rFonts w:ascii="宋体" w:hAnsi="宋体"/>
          <w:color w:val="auto"/>
          <w:sz w:val="24"/>
          <w:szCs w:val="24"/>
          <w:highlight w:val="none"/>
        </w:rPr>
      </w:pPr>
      <w:r>
        <w:rPr>
          <w:rFonts w:hint="eastAsia" w:ascii="宋体" w:hAnsi="宋体"/>
          <w:color w:val="auto"/>
          <w:sz w:val="24"/>
          <w:szCs w:val="24"/>
          <w:highlight w:val="none"/>
        </w:rPr>
        <w:t>（4）投标有效期、交货时间、质保期等不满足</w:t>
      </w:r>
      <w:r>
        <w:rPr>
          <w:rFonts w:hint="eastAsia" w:ascii="宋体" w:hAnsi="宋体"/>
          <w:color w:val="auto"/>
          <w:sz w:val="24"/>
          <w:szCs w:val="24"/>
          <w:highlight w:val="none"/>
          <w:lang w:val="en-US" w:eastAsia="zh-CN"/>
        </w:rPr>
        <w:t>采购</w:t>
      </w:r>
      <w:r>
        <w:rPr>
          <w:rFonts w:hint="eastAsia" w:ascii="宋体" w:hAnsi="宋体"/>
          <w:color w:val="auto"/>
          <w:sz w:val="24"/>
          <w:szCs w:val="24"/>
          <w:highlight w:val="none"/>
        </w:rPr>
        <w:t>文件要求的。</w:t>
      </w:r>
    </w:p>
    <w:p>
      <w:pPr>
        <w:keepNext w:val="0"/>
        <w:keepLines w:val="0"/>
        <w:pageBreakBefore w:val="0"/>
        <w:widowControl/>
        <w:tabs>
          <w:tab w:val="left" w:pos="0"/>
        </w:tabs>
        <w:kinsoku/>
        <w:wordWrap/>
        <w:overflowPunct/>
        <w:topLinePunct w:val="0"/>
        <w:bidi w:val="0"/>
        <w:snapToGrid w:val="0"/>
        <w:spacing w:beforeAutospacing="0" w:afterAutospacing="0" w:line="360" w:lineRule="auto"/>
        <w:ind w:firstLine="480" w:firstLineChars="200"/>
        <w:contextualSpacing/>
        <w:jc w:val="left"/>
        <w:rPr>
          <w:rFonts w:ascii="宋体" w:hAnsi="宋体"/>
          <w:color w:val="auto"/>
          <w:sz w:val="24"/>
          <w:szCs w:val="24"/>
          <w:highlight w:val="none"/>
        </w:rPr>
      </w:pPr>
      <w:r>
        <w:rPr>
          <w:rFonts w:hint="eastAsia" w:ascii="宋体" w:hAnsi="宋体"/>
          <w:color w:val="auto"/>
          <w:sz w:val="24"/>
          <w:szCs w:val="24"/>
          <w:highlight w:val="none"/>
        </w:rPr>
        <w:t>（5）未按</w:t>
      </w:r>
      <w:r>
        <w:rPr>
          <w:rFonts w:hint="eastAsia" w:ascii="宋体" w:hAnsi="宋体"/>
          <w:color w:val="auto"/>
          <w:sz w:val="24"/>
          <w:szCs w:val="24"/>
          <w:highlight w:val="none"/>
          <w:lang w:val="en-US" w:eastAsia="zh-CN"/>
        </w:rPr>
        <w:t>采购</w:t>
      </w:r>
      <w:r>
        <w:rPr>
          <w:rFonts w:hint="eastAsia" w:ascii="宋体" w:hAnsi="宋体"/>
          <w:color w:val="auto"/>
          <w:sz w:val="24"/>
          <w:szCs w:val="24"/>
          <w:highlight w:val="none"/>
        </w:rPr>
        <w:t>文件提供的格式填列、项目不齐全或内容虚假的。</w:t>
      </w:r>
    </w:p>
    <w:p>
      <w:pPr>
        <w:keepNext w:val="0"/>
        <w:keepLines w:val="0"/>
        <w:pageBreakBefore w:val="0"/>
        <w:widowControl/>
        <w:tabs>
          <w:tab w:val="left" w:pos="0"/>
        </w:tabs>
        <w:kinsoku/>
        <w:wordWrap/>
        <w:overflowPunct/>
        <w:topLinePunct w:val="0"/>
        <w:bidi w:val="0"/>
        <w:snapToGrid w:val="0"/>
        <w:spacing w:beforeAutospacing="0" w:afterAutospacing="0" w:line="360" w:lineRule="auto"/>
        <w:ind w:firstLine="480" w:firstLineChars="200"/>
        <w:contextualSpacing/>
        <w:jc w:val="left"/>
        <w:rPr>
          <w:rFonts w:ascii="宋体" w:hAnsi="宋体"/>
          <w:color w:val="auto"/>
          <w:sz w:val="24"/>
          <w:szCs w:val="24"/>
          <w:highlight w:val="none"/>
        </w:rPr>
      </w:pPr>
      <w:r>
        <w:rPr>
          <w:rFonts w:hint="eastAsia" w:ascii="宋体" w:hAnsi="宋体"/>
          <w:color w:val="auto"/>
          <w:sz w:val="24"/>
          <w:szCs w:val="24"/>
          <w:highlight w:val="none"/>
        </w:rPr>
        <w:t>（6）投标文件的实质性内容未使用中文表述，或意思表述不明确，或前后矛盾，或使用计量单位不符合</w:t>
      </w:r>
      <w:r>
        <w:rPr>
          <w:rFonts w:hint="eastAsia" w:ascii="宋体" w:hAnsi="宋体"/>
          <w:color w:val="auto"/>
          <w:sz w:val="24"/>
          <w:szCs w:val="24"/>
          <w:highlight w:val="none"/>
          <w:lang w:val="en-US" w:eastAsia="zh-CN"/>
        </w:rPr>
        <w:t>采购</w:t>
      </w:r>
      <w:r>
        <w:rPr>
          <w:rFonts w:hint="eastAsia" w:ascii="宋体" w:hAnsi="宋体"/>
          <w:color w:val="auto"/>
          <w:sz w:val="24"/>
          <w:szCs w:val="24"/>
          <w:highlight w:val="none"/>
        </w:rPr>
        <w:t>文件要求的。</w:t>
      </w:r>
    </w:p>
    <w:p>
      <w:pPr>
        <w:keepNext w:val="0"/>
        <w:keepLines w:val="0"/>
        <w:pageBreakBefore w:val="0"/>
        <w:widowControl/>
        <w:tabs>
          <w:tab w:val="left" w:pos="0"/>
        </w:tabs>
        <w:kinsoku/>
        <w:wordWrap/>
        <w:overflowPunct/>
        <w:topLinePunct w:val="0"/>
        <w:bidi w:val="0"/>
        <w:snapToGrid w:val="0"/>
        <w:spacing w:beforeAutospacing="0" w:afterAutospacing="0" w:line="360" w:lineRule="auto"/>
        <w:ind w:firstLine="480" w:firstLineChars="200"/>
        <w:contextualSpacing/>
        <w:jc w:val="left"/>
        <w:rPr>
          <w:rFonts w:ascii="宋体" w:hAnsi="宋体"/>
          <w:color w:val="auto"/>
          <w:sz w:val="24"/>
          <w:szCs w:val="24"/>
          <w:highlight w:val="none"/>
        </w:rPr>
      </w:pPr>
      <w:r>
        <w:rPr>
          <w:rFonts w:hint="eastAsia" w:ascii="宋体" w:hAnsi="宋体"/>
          <w:color w:val="auto"/>
          <w:sz w:val="24"/>
          <w:szCs w:val="24"/>
          <w:highlight w:val="none"/>
        </w:rPr>
        <w:t>（7）投标文件的关键内容字迹模糊、无法辨认,或投标文件中经修正的内容字迹模糊无法辩认，或修改处未按规定签名盖章的。</w:t>
      </w:r>
    </w:p>
    <w:p>
      <w:pPr>
        <w:keepNext w:val="0"/>
        <w:keepLines w:val="0"/>
        <w:pageBreakBefore w:val="0"/>
        <w:widowControl/>
        <w:tabs>
          <w:tab w:val="left" w:pos="0"/>
        </w:tabs>
        <w:kinsoku/>
        <w:wordWrap/>
        <w:overflowPunct/>
        <w:topLinePunct w:val="0"/>
        <w:bidi w:val="0"/>
        <w:snapToGrid w:val="0"/>
        <w:spacing w:beforeAutospacing="0" w:afterAutospacing="0" w:line="360" w:lineRule="auto"/>
        <w:ind w:firstLine="480" w:firstLineChars="200"/>
        <w:contextualSpacing/>
        <w:jc w:val="left"/>
        <w:rPr>
          <w:rFonts w:ascii="宋体" w:hAnsi="宋体" w:cs="宋体"/>
          <w:color w:val="auto"/>
          <w:kern w:val="0"/>
          <w:sz w:val="24"/>
          <w:szCs w:val="24"/>
          <w:highlight w:val="none"/>
        </w:rPr>
      </w:pPr>
      <w:r>
        <w:rPr>
          <w:rFonts w:hint="eastAsia" w:ascii="宋体" w:hAnsi="宋体"/>
          <w:color w:val="auto"/>
          <w:sz w:val="24"/>
          <w:szCs w:val="24"/>
          <w:highlight w:val="none"/>
        </w:rPr>
        <w:t>（8）投标文件内容未按</w:t>
      </w:r>
      <w:r>
        <w:rPr>
          <w:rFonts w:hint="eastAsia" w:ascii="宋体" w:hAnsi="宋体"/>
          <w:color w:val="auto"/>
          <w:sz w:val="24"/>
          <w:szCs w:val="24"/>
          <w:highlight w:val="none"/>
          <w:lang w:val="en-US" w:eastAsia="zh-CN"/>
        </w:rPr>
        <w:t>采购</w:t>
      </w:r>
      <w:r>
        <w:rPr>
          <w:rFonts w:hint="eastAsia" w:ascii="宋体" w:hAnsi="宋体"/>
          <w:color w:val="auto"/>
          <w:sz w:val="24"/>
          <w:szCs w:val="24"/>
          <w:highlight w:val="none"/>
        </w:rPr>
        <w:t>文件响应的。</w:t>
      </w:r>
    </w:p>
    <w:p>
      <w:pPr>
        <w:keepNext w:val="0"/>
        <w:keepLines w:val="0"/>
        <w:pageBreakBefore w:val="0"/>
        <w:widowControl/>
        <w:tabs>
          <w:tab w:val="left" w:pos="0"/>
        </w:tabs>
        <w:kinsoku/>
        <w:wordWrap/>
        <w:overflowPunct/>
        <w:topLinePunct w:val="0"/>
        <w:bidi w:val="0"/>
        <w:snapToGrid w:val="0"/>
        <w:spacing w:beforeAutospacing="0" w:afterAutospacing="0" w:line="360" w:lineRule="auto"/>
        <w:ind w:firstLine="480" w:firstLineChars="200"/>
        <w:contextualSpacing/>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（9）不符合</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文件中规定的其它实质性条款。</w:t>
      </w:r>
    </w:p>
    <w:p>
      <w:pPr>
        <w:keepNext w:val="0"/>
        <w:keepLines w:val="0"/>
        <w:pageBreakBefore w:val="0"/>
        <w:widowControl/>
        <w:tabs>
          <w:tab w:val="left" w:pos="0"/>
        </w:tabs>
        <w:kinsoku/>
        <w:wordWrap/>
        <w:overflowPunct/>
        <w:topLinePunct w:val="0"/>
        <w:bidi w:val="0"/>
        <w:snapToGrid w:val="0"/>
        <w:spacing w:beforeAutospacing="0" w:afterAutospacing="0" w:line="360" w:lineRule="auto"/>
        <w:ind w:firstLine="480" w:firstLineChars="200"/>
        <w:contextualSpacing/>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评标委员会决定投标的响应性只根据投标文件本身的内容，而不寻求其他的外部证据。</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2</w:t>
      </w:r>
      <w:r>
        <w:rPr>
          <w:rFonts w:hint="eastAsia" w:ascii="宋体" w:hAnsi="宋体" w:cs="宋体"/>
          <w:color w:val="auto"/>
          <w:kern w:val="0"/>
          <w:sz w:val="24"/>
          <w:szCs w:val="24"/>
          <w:highlight w:val="none"/>
          <w:lang w:eastAsia="zh-CN"/>
        </w:rPr>
        <w:t>5</w:t>
      </w:r>
      <w:r>
        <w:rPr>
          <w:rFonts w:hint="eastAsia" w:ascii="宋体" w:hAnsi="宋体" w:cs="宋体"/>
          <w:color w:val="auto"/>
          <w:kern w:val="0"/>
          <w:sz w:val="24"/>
          <w:szCs w:val="24"/>
          <w:highlight w:val="none"/>
        </w:rPr>
        <w:t>.4.4 对资格性检查和符合性检查不合格的投标人，将</w:t>
      </w:r>
      <w:r>
        <w:rPr>
          <w:rFonts w:hint="eastAsia" w:ascii="宋体" w:hAnsi="宋体" w:cs="宋体"/>
          <w:color w:val="auto"/>
          <w:kern w:val="0"/>
          <w:sz w:val="24"/>
          <w:szCs w:val="24"/>
          <w:highlight w:val="none"/>
          <w:lang w:val="en-US" w:eastAsia="zh-CN"/>
        </w:rPr>
        <w:t>通过评标系统</w:t>
      </w:r>
      <w:r>
        <w:rPr>
          <w:rFonts w:hint="eastAsia" w:ascii="宋体" w:hAnsi="宋体" w:cs="宋体"/>
          <w:color w:val="auto"/>
          <w:kern w:val="0"/>
          <w:sz w:val="24"/>
          <w:szCs w:val="24"/>
          <w:highlight w:val="none"/>
        </w:rPr>
        <w:t>告知其理由。</w:t>
      </w:r>
    </w:p>
    <w:p>
      <w:pPr>
        <w:pStyle w:val="29"/>
        <w:keepNext w:val="0"/>
        <w:keepLines w:val="0"/>
        <w:pageBreakBefore w:val="0"/>
        <w:widowControl/>
        <w:kinsoku/>
        <w:wordWrap/>
        <w:overflowPunct/>
        <w:topLinePunct w:val="0"/>
        <w:bidi w:val="0"/>
        <w:snapToGrid w:val="0"/>
        <w:spacing w:before="0" w:beforeAutospacing="0" w:after="0" w:afterAutospacing="0" w:line="360" w:lineRule="auto"/>
        <w:ind w:firstLine="480" w:firstLineChars="200"/>
        <w:jc w:val="both"/>
        <w:rPr>
          <w:rFonts w:ascii="宋体" w:hAnsi="宋体" w:cs="宋体"/>
          <w:color w:val="auto"/>
          <w:sz w:val="24"/>
          <w:szCs w:val="24"/>
          <w:highlight w:val="none"/>
        </w:rPr>
      </w:pPr>
      <w:r>
        <w:rPr>
          <w:rFonts w:hint="eastAsia" w:ascii="宋体" w:hAnsi="宋体" w:cs="宋体"/>
          <w:color w:val="auto"/>
          <w:sz w:val="24"/>
          <w:szCs w:val="24"/>
          <w:highlight w:val="none"/>
        </w:rPr>
        <w:t>2</w:t>
      </w:r>
      <w:r>
        <w:rPr>
          <w:rFonts w:hint="eastAsia" w:ascii="宋体" w:hAnsi="宋体" w:cs="宋体"/>
          <w:color w:val="auto"/>
          <w:sz w:val="24"/>
          <w:szCs w:val="24"/>
          <w:highlight w:val="none"/>
          <w:lang w:eastAsia="zh-CN"/>
        </w:rPr>
        <w:t>5</w:t>
      </w:r>
      <w:r>
        <w:rPr>
          <w:rFonts w:hint="eastAsia" w:ascii="宋体" w:hAnsi="宋体" w:cs="宋体"/>
          <w:color w:val="auto"/>
          <w:sz w:val="24"/>
          <w:szCs w:val="24"/>
          <w:highlight w:val="none"/>
        </w:rPr>
        <w:t>.5 在评审过程中，评标委员会发现投标人有下列情形之一的，视为投标人串通投标，其投标无效：</w:t>
      </w:r>
    </w:p>
    <w:p>
      <w:pPr>
        <w:keepNext w:val="0"/>
        <w:keepLines w:val="0"/>
        <w:pageBreakBefore w:val="0"/>
        <w:widowControl/>
        <w:tabs>
          <w:tab w:val="left" w:pos="0"/>
        </w:tabs>
        <w:kinsoku/>
        <w:wordWrap/>
        <w:overflowPunct/>
        <w:topLinePunct w:val="0"/>
        <w:bidi w:val="0"/>
        <w:snapToGrid w:val="0"/>
        <w:spacing w:beforeAutospacing="0" w:afterAutospacing="0" w:line="360" w:lineRule="auto"/>
        <w:ind w:left="105" w:leftChars="50" w:firstLine="360" w:firstLineChars="150"/>
        <w:contextualSpacing/>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2</w:t>
      </w:r>
      <w:r>
        <w:rPr>
          <w:rFonts w:hint="eastAsia" w:ascii="宋体" w:hAnsi="宋体" w:cs="宋体"/>
          <w:color w:val="auto"/>
          <w:kern w:val="0"/>
          <w:sz w:val="24"/>
          <w:szCs w:val="24"/>
          <w:highlight w:val="none"/>
          <w:lang w:eastAsia="zh-CN"/>
        </w:rPr>
        <w:t>5</w:t>
      </w:r>
      <w:r>
        <w:rPr>
          <w:rFonts w:hint="eastAsia" w:ascii="宋体" w:hAnsi="宋体" w:cs="宋体"/>
          <w:color w:val="auto"/>
          <w:kern w:val="0"/>
          <w:sz w:val="24"/>
          <w:szCs w:val="24"/>
          <w:highlight w:val="none"/>
        </w:rPr>
        <w:t>.5.1不同投标人的投标文件异常一致。</w:t>
      </w:r>
    </w:p>
    <w:p>
      <w:pPr>
        <w:keepNext w:val="0"/>
        <w:keepLines w:val="0"/>
        <w:pageBreakBefore w:val="0"/>
        <w:widowControl/>
        <w:tabs>
          <w:tab w:val="left" w:pos="0"/>
        </w:tabs>
        <w:kinsoku/>
        <w:wordWrap/>
        <w:overflowPunct/>
        <w:topLinePunct w:val="0"/>
        <w:bidi w:val="0"/>
        <w:snapToGrid w:val="0"/>
        <w:spacing w:beforeAutospacing="0" w:afterAutospacing="0" w:line="360" w:lineRule="auto"/>
        <w:ind w:left="105" w:leftChars="50" w:firstLine="360" w:firstLineChars="150"/>
        <w:contextualSpacing/>
        <w:jc w:val="left"/>
        <w:rPr>
          <w:rFonts w:ascii="宋体" w:hAnsi="宋体" w:cs="宋体"/>
          <w:color w:val="auto"/>
          <w:sz w:val="24"/>
          <w:szCs w:val="24"/>
          <w:highlight w:val="none"/>
        </w:rPr>
      </w:pPr>
      <w:r>
        <w:rPr>
          <w:rFonts w:hint="eastAsia" w:ascii="宋体" w:hAnsi="宋体" w:cs="宋体"/>
          <w:color w:val="auto"/>
          <w:sz w:val="24"/>
          <w:szCs w:val="24"/>
          <w:highlight w:val="none"/>
        </w:rPr>
        <w:t>2</w:t>
      </w:r>
      <w:r>
        <w:rPr>
          <w:rFonts w:hint="eastAsia" w:ascii="宋体" w:hAnsi="宋体" w:cs="宋体"/>
          <w:color w:val="auto"/>
          <w:sz w:val="24"/>
          <w:szCs w:val="24"/>
          <w:highlight w:val="none"/>
          <w:lang w:eastAsia="zh-CN"/>
        </w:rPr>
        <w:t>5</w:t>
      </w:r>
      <w:r>
        <w:rPr>
          <w:rFonts w:hint="eastAsia" w:ascii="宋体" w:hAnsi="宋体" w:cs="宋体"/>
          <w:color w:val="auto"/>
          <w:sz w:val="24"/>
          <w:szCs w:val="24"/>
          <w:highlight w:val="none"/>
        </w:rPr>
        <w:t>.5.2不同投标人的投标文件由同一单位或者个人编制；</w:t>
      </w:r>
    </w:p>
    <w:p>
      <w:pPr>
        <w:keepNext w:val="0"/>
        <w:keepLines w:val="0"/>
        <w:pageBreakBefore w:val="0"/>
        <w:widowControl/>
        <w:tabs>
          <w:tab w:val="left" w:pos="0"/>
        </w:tabs>
        <w:kinsoku/>
        <w:wordWrap/>
        <w:overflowPunct/>
        <w:topLinePunct w:val="0"/>
        <w:bidi w:val="0"/>
        <w:snapToGrid w:val="0"/>
        <w:spacing w:beforeAutospacing="0" w:afterAutospacing="0" w:line="360" w:lineRule="auto"/>
        <w:ind w:left="105" w:leftChars="50" w:firstLine="360" w:firstLineChars="150"/>
        <w:contextualSpacing/>
        <w:jc w:val="left"/>
        <w:rPr>
          <w:rFonts w:ascii="宋体" w:hAnsi="宋体" w:cs="宋体"/>
          <w:color w:val="auto"/>
          <w:sz w:val="24"/>
          <w:szCs w:val="24"/>
          <w:highlight w:val="none"/>
        </w:rPr>
      </w:pPr>
      <w:r>
        <w:rPr>
          <w:rFonts w:hint="eastAsia" w:ascii="宋体" w:hAnsi="宋体" w:cs="宋体"/>
          <w:color w:val="auto"/>
          <w:sz w:val="24"/>
          <w:szCs w:val="24"/>
          <w:highlight w:val="none"/>
        </w:rPr>
        <w:t>2</w:t>
      </w:r>
      <w:r>
        <w:rPr>
          <w:rFonts w:hint="eastAsia" w:ascii="宋体" w:hAnsi="宋体" w:cs="宋体"/>
          <w:color w:val="auto"/>
          <w:sz w:val="24"/>
          <w:szCs w:val="24"/>
          <w:highlight w:val="none"/>
          <w:lang w:eastAsia="zh-CN"/>
        </w:rPr>
        <w:t>5</w:t>
      </w:r>
      <w:r>
        <w:rPr>
          <w:rFonts w:hint="eastAsia" w:ascii="宋体" w:hAnsi="宋体" w:cs="宋体"/>
          <w:color w:val="auto"/>
          <w:sz w:val="24"/>
          <w:szCs w:val="24"/>
          <w:highlight w:val="none"/>
        </w:rPr>
        <w:t>.5.3不同投标人委托同一单位或者个人办理投标事宜；</w:t>
      </w:r>
    </w:p>
    <w:p>
      <w:pPr>
        <w:keepNext w:val="0"/>
        <w:keepLines w:val="0"/>
        <w:pageBreakBefore w:val="0"/>
        <w:widowControl/>
        <w:tabs>
          <w:tab w:val="left" w:pos="0"/>
        </w:tabs>
        <w:kinsoku/>
        <w:wordWrap/>
        <w:overflowPunct/>
        <w:topLinePunct w:val="0"/>
        <w:bidi w:val="0"/>
        <w:snapToGrid w:val="0"/>
        <w:spacing w:beforeAutospacing="0" w:afterAutospacing="0" w:line="360" w:lineRule="auto"/>
        <w:ind w:left="105" w:leftChars="50" w:firstLine="360" w:firstLineChars="150"/>
        <w:contextualSpacing/>
        <w:jc w:val="left"/>
        <w:rPr>
          <w:rFonts w:ascii="宋体" w:hAnsi="宋体" w:cs="宋体"/>
          <w:color w:val="auto"/>
          <w:sz w:val="24"/>
          <w:szCs w:val="24"/>
          <w:highlight w:val="none"/>
        </w:rPr>
      </w:pPr>
      <w:r>
        <w:rPr>
          <w:rFonts w:hint="eastAsia" w:ascii="宋体" w:hAnsi="宋体" w:cs="宋体"/>
          <w:color w:val="auto"/>
          <w:sz w:val="24"/>
          <w:szCs w:val="24"/>
          <w:highlight w:val="none"/>
        </w:rPr>
        <w:t>2</w:t>
      </w:r>
      <w:r>
        <w:rPr>
          <w:rFonts w:hint="eastAsia" w:ascii="宋体" w:hAnsi="宋体" w:cs="宋体"/>
          <w:color w:val="auto"/>
          <w:sz w:val="24"/>
          <w:szCs w:val="24"/>
          <w:highlight w:val="none"/>
          <w:lang w:eastAsia="zh-CN"/>
        </w:rPr>
        <w:t>5</w:t>
      </w:r>
      <w:r>
        <w:rPr>
          <w:rFonts w:hint="eastAsia" w:ascii="宋体" w:hAnsi="宋体" w:cs="宋体"/>
          <w:color w:val="auto"/>
          <w:sz w:val="24"/>
          <w:szCs w:val="24"/>
          <w:highlight w:val="none"/>
        </w:rPr>
        <w:t>.5.4不同投标人的投标文件载明的项目管理成员或者联系人员为同一人；　　</w:t>
      </w:r>
    </w:p>
    <w:p>
      <w:pPr>
        <w:keepNext w:val="0"/>
        <w:keepLines w:val="0"/>
        <w:pageBreakBefore w:val="0"/>
        <w:widowControl/>
        <w:tabs>
          <w:tab w:val="left" w:pos="0"/>
        </w:tabs>
        <w:kinsoku/>
        <w:wordWrap/>
        <w:overflowPunct/>
        <w:topLinePunct w:val="0"/>
        <w:bidi w:val="0"/>
        <w:snapToGrid w:val="0"/>
        <w:spacing w:beforeAutospacing="0" w:afterAutospacing="0" w:line="360" w:lineRule="auto"/>
        <w:ind w:left="105" w:leftChars="50" w:firstLine="360" w:firstLineChars="150"/>
        <w:contextualSpacing/>
        <w:jc w:val="left"/>
        <w:rPr>
          <w:rFonts w:ascii="宋体" w:hAnsi="宋体" w:cs="宋体"/>
          <w:color w:val="auto"/>
          <w:sz w:val="24"/>
          <w:szCs w:val="24"/>
          <w:highlight w:val="none"/>
        </w:rPr>
      </w:pPr>
      <w:r>
        <w:rPr>
          <w:rFonts w:hint="eastAsia" w:ascii="宋体" w:hAnsi="宋体" w:cs="宋体"/>
          <w:color w:val="auto"/>
          <w:sz w:val="24"/>
          <w:szCs w:val="24"/>
          <w:highlight w:val="none"/>
        </w:rPr>
        <w:t>2</w:t>
      </w:r>
      <w:r>
        <w:rPr>
          <w:rFonts w:hint="eastAsia" w:ascii="宋体" w:hAnsi="宋体" w:cs="宋体"/>
          <w:color w:val="auto"/>
          <w:sz w:val="24"/>
          <w:szCs w:val="24"/>
          <w:highlight w:val="none"/>
          <w:lang w:eastAsia="zh-CN"/>
        </w:rPr>
        <w:t>5</w:t>
      </w:r>
      <w:r>
        <w:rPr>
          <w:rFonts w:hint="eastAsia" w:ascii="宋体" w:hAnsi="宋体" w:cs="宋体"/>
          <w:color w:val="auto"/>
          <w:sz w:val="24"/>
          <w:szCs w:val="24"/>
          <w:highlight w:val="none"/>
        </w:rPr>
        <w:t>.5.5不同投标人的投标文件相互混装；</w:t>
      </w:r>
    </w:p>
    <w:p>
      <w:pPr>
        <w:keepNext w:val="0"/>
        <w:keepLines w:val="0"/>
        <w:pageBreakBefore w:val="0"/>
        <w:widowControl/>
        <w:tabs>
          <w:tab w:val="left" w:pos="0"/>
        </w:tabs>
        <w:kinsoku/>
        <w:wordWrap/>
        <w:overflowPunct/>
        <w:topLinePunct w:val="0"/>
        <w:bidi w:val="0"/>
        <w:snapToGrid w:val="0"/>
        <w:spacing w:beforeAutospacing="0" w:afterAutospacing="0" w:line="360" w:lineRule="auto"/>
        <w:ind w:left="105" w:leftChars="50" w:firstLine="360" w:firstLineChars="150"/>
        <w:contextualSpacing/>
        <w:jc w:val="left"/>
        <w:rPr>
          <w:rFonts w:ascii="宋体" w:hAnsi="宋体" w:cs="宋体"/>
          <w:color w:val="auto"/>
          <w:sz w:val="24"/>
          <w:szCs w:val="24"/>
          <w:highlight w:val="none"/>
        </w:rPr>
      </w:pPr>
      <w:r>
        <w:rPr>
          <w:rFonts w:hint="eastAsia" w:ascii="宋体" w:hAnsi="宋体" w:cs="宋体"/>
          <w:color w:val="auto"/>
          <w:sz w:val="24"/>
          <w:szCs w:val="24"/>
          <w:highlight w:val="none"/>
        </w:rPr>
        <w:t>2</w:t>
      </w:r>
      <w:r>
        <w:rPr>
          <w:rFonts w:hint="eastAsia" w:ascii="宋体" w:hAnsi="宋体" w:cs="宋体"/>
          <w:color w:val="auto"/>
          <w:sz w:val="24"/>
          <w:szCs w:val="24"/>
          <w:highlight w:val="none"/>
          <w:lang w:eastAsia="zh-CN"/>
        </w:rPr>
        <w:t>5</w:t>
      </w:r>
      <w:r>
        <w:rPr>
          <w:rFonts w:hint="eastAsia" w:ascii="宋体" w:hAnsi="宋体" w:cs="宋体"/>
          <w:color w:val="auto"/>
          <w:sz w:val="24"/>
          <w:szCs w:val="24"/>
          <w:highlight w:val="none"/>
        </w:rPr>
        <w:t>.5.6不同投标人的投标保证金从同一单位或者个人的账户转出（若收取）。</w:t>
      </w:r>
    </w:p>
    <w:p>
      <w:pPr>
        <w:keepNext w:val="0"/>
        <w:keepLines w:val="0"/>
        <w:pageBreakBefore w:val="0"/>
        <w:widowControl/>
        <w:kinsoku/>
        <w:wordWrap/>
        <w:overflowPunct/>
        <w:topLinePunct w:val="0"/>
        <w:bidi w:val="0"/>
        <w:adjustRightInd w:val="0"/>
        <w:snapToGrid w:val="0"/>
        <w:spacing w:beforeAutospacing="0" w:afterAutospacing="0" w:line="360" w:lineRule="auto"/>
        <w:ind w:left="19" w:leftChars="9" w:firstLine="456" w:firstLineChars="190"/>
        <w:jc w:val="left"/>
        <w:textAlignment w:val="baseline"/>
        <w:rPr>
          <w:color w:val="auto"/>
          <w:sz w:val="24"/>
          <w:szCs w:val="24"/>
          <w:highlight w:val="none"/>
        </w:rPr>
      </w:pPr>
      <w:r>
        <w:rPr>
          <w:rFonts w:hint="eastAsia" w:ascii="宋体" w:hAnsi="宋体" w:cs="宋体"/>
          <w:color w:val="auto"/>
          <w:kern w:val="0"/>
          <w:sz w:val="24"/>
          <w:szCs w:val="24"/>
          <w:highlight w:val="none"/>
        </w:rPr>
        <w:t>2</w:t>
      </w:r>
      <w:r>
        <w:rPr>
          <w:rFonts w:hint="eastAsia" w:ascii="宋体" w:hAnsi="宋体" w:cs="宋体"/>
          <w:color w:val="auto"/>
          <w:kern w:val="0"/>
          <w:sz w:val="24"/>
          <w:szCs w:val="24"/>
          <w:highlight w:val="none"/>
          <w:lang w:eastAsia="zh-CN"/>
        </w:rPr>
        <w:t>5</w:t>
      </w:r>
      <w:r>
        <w:rPr>
          <w:rFonts w:hint="eastAsia" w:ascii="宋体" w:hAnsi="宋体" w:cs="宋体"/>
          <w:color w:val="auto"/>
          <w:kern w:val="0"/>
          <w:sz w:val="24"/>
          <w:szCs w:val="24"/>
          <w:highlight w:val="none"/>
        </w:rPr>
        <w:t>.5.7 有证据证明投标人串通投标的其他情形的；</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2</w:t>
      </w:r>
      <w:r>
        <w:rPr>
          <w:rFonts w:hint="eastAsia" w:ascii="宋体" w:hAnsi="宋体" w:cs="宋体"/>
          <w:color w:val="auto"/>
          <w:kern w:val="0"/>
          <w:sz w:val="24"/>
          <w:szCs w:val="24"/>
          <w:highlight w:val="none"/>
          <w:lang w:eastAsia="zh-CN"/>
        </w:rPr>
        <w:t>5</w:t>
      </w:r>
      <w:r>
        <w:rPr>
          <w:rFonts w:hint="eastAsia" w:ascii="宋体" w:hAnsi="宋体" w:cs="宋体"/>
          <w:color w:val="auto"/>
          <w:kern w:val="0"/>
          <w:sz w:val="24"/>
          <w:szCs w:val="24"/>
          <w:highlight w:val="none"/>
        </w:rPr>
        <w:t>.5.8 不同投标人的投标文件制作机器码一致；</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color w:val="auto"/>
          <w:sz w:val="24"/>
          <w:szCs w:val="24"/>
          <w:highlight w:val="none"/>
        </w:rPr>
      </w:pPr>
      <w:r>
        <w:rPr>
          <w:rFonts w:hint="eastAsia" w:ascii="宋体" w:hAnsi="宋体" w:cs="宋体"/>
          <w:color w:val="auto"/>
          <w:kern w:val="0"/>
          <w:sz w:val="24"/>
          <w:szCs w:val="24"/>
          <w:highlight w:val="none"/>
        </w:rPr>
        <w:t>2</w:t>
      </w:r>
      <w:r>
        <w:rPr>
          <w:rFonts w:hint="eastAsia" w:ascii="宋体" w:hAnsi="宋体" w:cs="宋体"/>
          <w:color w:val="auto"/>
          <w:kern w:val="0"/>
          <w:sz w:val="24"/>
          <w:szCs w:val="24"/>
          <w:highlight w:val="none"/>
          <w:lang w:eastAsia="zh-CN"/>
        </w:rPr>
        <w:t>5</w:t>
      </w:r>
      <w:r>
        <w:rPr>
          <w:rFonts w:hint="eastAsia" w:ascii="宋体" w:hAnsi="宋体" w:cs="宋体"/>
          <w:color w:val="auto"/>
          <w:kern w:val="0"/>
          <w:sz w:val="24"/>
          <w:szCs w:val="24"/>
          <w:highlight w:val="none"/>
        </w:rPr>
        <w:t>.5.9 评标委员会认定的其他串通投标情形。</w:t>
      </w:r>
    </w:p>
    <w:p>
      <w:pPr>
        <w:keepNext w:val="0"/>
        <w:keepLines w:val="0"/>
        <w:pageBreakBefore w:val="0"/>
        <w:widowControl/>
        <w:kinsoku/>
        <w:wordWrap/>
        <w:overflowPunct/>
        <w:topLinePunct w:val="0"/>
        <w:bidi w:val="0"/>
        <w:snapToGrid w:val="0"/>
        <w:spacing w:beforeAutospacing="0" w:afterAutospacing="0" w:line="360" w:lineRule="auto"/>
        <w:ind w:firstLine="482" w:firstLineChars="200"/>
        <w:jc w:val="left"/>
        <w:rPr>
          <w:rFonts w:ascii="宋体" w:hAnsi="宋体" w:cs="宋体"/>
          <w:color w:val="auto"/>
          <w:kern w:val="0"/>
          <w:sz w:val="24"/>
          <w:szCs w:val="24"/>
          <w:highlight w:val="none"/>
        </w:rPr>
      </w:pPr>
      <w:r>
        <w:rPr>
          <w:rFonts w:hint="eastAsia" w:ascii="宋体" w:hAnsi="宋体" w:cs="宋体"/>
          <w:b/>
          <w:bCs/>
          <w:color w:val="auto"/>
          <w:kern w:val="0"/>
          <w:sz w:val="24"/>
          <w:szCs w:val="24"/>
          <w:highlight w:val="none"/>
        </w:rPr>
        <w:t>2</w:t>
      </w:r>
      <w:r>
        <w:rPr>
          <w:rFonts w:hint="eastAsia" w:ascii="宋体" w:hAnsi="宋体" w:cs="宋体"/>
          <w:b/>
          <w:bCs/>
          <w:color w:val="auto"/>
          <w:kern w:val="0"/>
          <w:sz w:val="24"/>
          <w:szCs w:val="24"/>
          <w:highlight w:val="none"/>
          <w:lang w:val="en-US" w:eastAsia="zh-CN"/>
        </w:rPr>
        <w:t>6</w:t>
      </w:r>
      <w:r>
        <w:rPr>
          <w:rFonts w:hint="eastAsia" w:ascii="宋体" w:hAnsi="宋体" w:cs="宋体"/>
          <w:b/>
          <w:bCs/>
          <w:color w:val="auto"/>
          <w:kern w:val="0"/>
          <w:sz w:val="24"/>
          <w:szCs w:val="24"/>
          <w:highlight w:val="none"/>
        </w:rPr>
        <w:t>. 投标文件的澄清</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color w:val="auto"/>
          <w:sz w:val="24"/>
          <w:szCs w:val="24"/>
          <w:highlight w:val="none"/>
        </w:rPr>
      </w:pPr>
      <w:r>
        <w:rPr>
          <w:rFonts w:hint="eastAsia" w:ascii="宋体" w:hAnsi="宋体" w:cs="宋体"/>
          <w:color w:val="auto"/>
          <w:kern w:val="0"/>
          <w:sz w:val="24"/>
          <w:szCs w:val="24"/>
          <w:highlight w:val="none"/>
        </w:rPr>
        <w:t>对投标文件中含义不明确、同类问题表述不一致或者有明显文字和计算错误的内容，评标委员会可以书面形式要求投标人作出必要的澄清。投标人的澄清应当在评标委员会规定的时间内以书面形式作出，由其投标人代表签字。但澄清事项不得超出投标文件的范围，不得实质性改变投标文件的内容，不得通过澄清等方式对投标人实行差别对待。评标委员会不得接受投标人主动提出的澄清和解释。</w:t>
      </w:r>
    </w:p>
    <w:p>
      <w:pPr>
        <w:keepNext w:val="0"/>
        <w:keepLines w:val="0"/>
        <w:pageBreakBefore w:val="0"/>
        <w:widowControl/>
        <w:kinsoku/>
        <w:wordWrap/>
        <w:overflowPunct/>
        <w:topLinePunct w:val="0"/>
        <w:bidi w:val="0"/>
        <w:snapToGrid w:val="0"/>
        <w:spacing w:beforeAutospacing="0" w:afterAutospacing="0" w:line="360" w:lineRule="auto"/>
        <w:ind w:firstLine="482" w:firstLineChars="200"/>
        <w:jc w:val="left"/>
        <w:rPr>
          <w:rFonts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2</w:t>
      </w:r>
      <w:r>
        <w:rPr>
          <w:rFonts w:hint="eastAsia" w:ascii="宋体" w:hAnsi="宋体" w:cs="宋体"/>
          <w:b/>
          <w:bCs/>
          <w:color w:val="auto"/>
          <w:kern w:val="0"/>
          <w:sz w:val="24"/>
          <w:szCs w:val="24"/>
          <w:highlight w:val="none"/>
          <w:lang w:val="en-US" w:eastAsia="zh-CN"/>
        </w:rPr>
        <w:t>7</w:t>
      </w:r>
      <w:r>
        <w:rPr>
          <w:rFonts w:hint="eastAsia" w:ascii="宋体" w:hAnsi="宋体" w:cs="宋体"/>
          <w:b/>
          <w:bCs/>
          <w:color w:val="auto"/>
          <w:kern w:val="0"/>
          <w:sz w:val="24"/>
          <w:szCs w:val="24"/>
          <w:highlight w:val="none"/>
        </w:rPr>
        <w:t>. 比较与评价</w:t>
      </w:r>
    </w:p>
    <w:p>
      <w:pPr>
        <w:pStyle w:val="29"/>
        <w:keepNext w:val="0"/>
        <w:keepLines w:val="0"/>
        <w:pageBreakBefore w:val="0"/>
        <w:widowControl/>
        <w:kinsoku/>
        <w:wordWrap/>
        <w:overflowPunct/>
        <w:topLinePunct w:val="0"/>
        <w:bidi w:val="0"/>
        <w:snapToGrid w:val="0"/>
        <w:spacing w:before="0" w:beforeAutospacing="0" w:after="0" w:afterAutospacing="0" w:line="360" w:lineRule="auto"/>
        <w:ind w:firstLine="480" w:firstLineChars="200"/>
        <w:jc w:val="both"/>
        <w:rPr>
          <w:rFonts w:ascii="宋体" w:hAnsi="宋体" w:cs="宋体"/>
          <w:color w:val="auto"/>
          <w:sz w:val="24"/>
          <w:szCs w:val="24"/>
          <w:highlight w:val="none"/>
        </w:rPr>
      </w:pPr>
      <w:r>
        <w:rPr>
          <w:rFonts w:hint="eastAsia" w:ascii="宋体" w:hAnsi="宋体" w:cs="宋体"/>
          <w:color w:val="auto"/>
          <w:sz w:val="24"/>
          <w:szCs w:val="24"/>
          <w:highlight w:val="none"/>
        </w:rPr>
        <w:t>2</w:t>
      </w:r>
      <w:r>
        <w:rPr>
          <w:rFonts w:hint="eastAsia" w:ascii="宋体" w:hAnsi="宋体" w:cs="宋体"/>
          <w:color w:val="auto"/>
          <w:sz w:val="24"/>
          <w:szCs w:val="24"/>
          <w:highlight w:val="none"/>
          <w:lang w:eastAsia="zh-CN"/>
        </w:rPr>
        <w:t>7</w:t>
      </w:r>
      <w:r>
        <w:rPr>
          <w:rFonts w:hint="eastAsia" w:ascii="宋体" w:hAnsi="宋体" w:cs="宋体"/>
          <w:color w:val="auto"/>
          <w:sz w:val="24"/>
          <w:szCs w:val="24"/>
          <w:highlight w:val="none"/>
        </w:rPr>
        <w:t>.1 评标委员会将按本</w:t>
      </w:r>
      <w:r>
        <w:rPr>
          <w:rFonts w:hint="eastAsia" w:ascii="宋体" w:hAnsi="宋体" w:cs="宋体"/>
          <w:color w:val="auto"/>
          <w:sz w:val="24"/>
          <w:szCs w:val="24"/>
          <w:highlight w:val="none"/>
          <w:lang w:val="en-US" w:eastAsia="zh-CN"/>
        </w:rPr>
        <w:t>采购</w:t>
      </w:r>
      <w:r>
        <w:rPr>
          <w:rFonts w:hint="eastAsia" w:ascii="宋体" w:hAnsi="宋体" w:cs="宋体"/>
          <w:color w:val="auto"/>
          <w:sz w:val="24"/>
          <w:szCs w:val="24"/>
          <w:highlight w:val="none"/>
        </w:rPr>
        <w:t>文件规定的评标方法与标准，对资格性检查和符合性检查合格的投标文件进行商务和技术评估，综合比较与评价。</w:t>
      </w:r>
    </w:p>
    <w:p>
      <w:pPr>
        <w:pStyle w:val="29"/>
        <w:keepNext w:val="0"/>
        <w:keepLines w:val="0"/>
        <w:pageBreakBefore w:val="0"/>
        <w:widowControl/>
        <w:kinsoku/>
        <w:wordWrap/>
        <w:overflowPunct/>
        <w:topLinePunct w:val="0"/>
        <w:bidi w:val="0"/>
        <w:snapToGrid w:val="0"/>
        <w:spacing w:before="0" w:beforeAutospacing="0" w:after="0" w:afterAutospacing="0" w:line="360" w:lineRule="auto"/>
        <w:ind w:firstLine="480" w:firstLineChars="200"/>
        <w:jc w:val="both"/>
        <w:rPr>
          <w:rFonts w:ascii="宋体" w:hAnsi="宋体" w:cs="宋体"/>
          <w:color w:val="auto"/>
          <w:sz w:val="24"/>
          <w:szCs w:val="24"/>
          <w:highlight w:val="none"/>
        </w:rPr>
      </w:pPr>
      <w:r>
        <w:rPr>
          <w:rFonts w:hint="eastAsia" w:ascii="宋体" w:hAnsi="宋体" w:cs="宋体"/>
          <w:color w:val="auto"/>
          <w:sz w:val="24"/>
          <w:szCs w:val="24"/>
          <w:highlight w:val="none"/>
        </w:rPr>
        <w:t>2</w:t>
      </w:r>
      <w:r>
        <w:rPr>
          <w:rFonts w:hint="eastAsia" w:ascii="宋体" w:hAnsi="宋体" w:cs="宋体"/>
          <w:color w:val="auto"/>
          <w:sz w:val="24"/>
          <w:szCs w:val="24"/>
          <w:highlight w:val="none"/>
          <w:lang w:eastAsia="zh-CN"/>
        </w:rPr>
        <w:t>7</w:t>
      </w:r>
      <w:r>
        <w:rPr>
          <w:rFonts w:hint="eastAsia" w:ascii="宋体" w:hAnsi="宋体" w:cs="宋体"/>
          <w:color w:val="auto"/>
          <w:sz w:val="24"/>
          <w:szCs w:val="24"/>
          <w:highlight w:val="none"/>
        </w:rPr>
        <w:t>.2对漏（缺）报项的处理：</w:t>
      </w:r>
      <w:r>
        <w:rPr>
          <w:rFonts w:hint="eastAsia" w:ascii="宋体" w:hAnsi="宋体" w:cs="宋体"/>
          <w:color w:val="auto"/>
          <w:sz w:val="24"/>
          <w:szCs w:val="24"/>
          <w:highlight w:val="none"/>
          <w:lang w:val="en-US" w:eastAsia="zh-CN"/>
        </w:rPr>
        <w:t>采购</w:t>
      </w:r>
      <w:r>
        <w:rPr>
          <w:rFonts w:hint="eastAsia" w:ascii="宋体" w:hAnsi="宋体" w:cs="宋体"/>
          <w:color w:val="auto"/>
          <w:sz w:val="24"/>
          <w:szCs w:val="24"/>
          <w:highlight w:val="none"/>
        </w:rPr>
        <w:t>文件中要求列入报价的费用（含配置、功能），漏（缺）报的视同已含在投标总价中。</w:t>
      </w:r>
    </w:p>
    <w:p>
      <w:pPr>
        <w:pStyle w:val="29"/>
        <w:keepNext w:val="0"/>
        <w:keepLines w:val="0"/>
        <w:pageBreakBefore w:val="0"/>
        <w:widowControl/>
        <w:kinsoku/>
        <w:wordWrap/>
        <w:overflowPunct/>
        <w:topLinePunct w:val="0"/>
        <w:bidi w:val="0"/>
        <w:snapToGrid w:val="0"/>
        <w:spacing w:before="0" w:beforeAutospacing="0" w:after="0" w:afterAutospacing="0" w:line="360" w:lineRule="auto"/>
        <w:ind w:firstLine="480" w:firstLineChars="200"/>
        <w:jc w:val="both"/>
        <w:rPr>
          <w:rFonts w:ascii="宋体" w:hAnsi="宋体" w:cs="宋体"/>
          <w:b/>
          <w:bCs/>
          <w:color w:val="auto"/>
          <w:sz w:val="24"/>
          <w:szCs w:val="24"/>
          <w:highlight w:val="none"/>
        </w:rPr>
      </w:pPr>
      <w:r>
        <w:rPr>
          <w:rFonts w:hint="eastAsia" w:ascii="宋体" w:hAnsi="宋体" w:cs="宋体"/>
          <w:color w:val="auto"/>
          <w:sz w:val="24"/>
          <w:szCs w:val="24"/>
          <w:highlight w:val="none"/>
        </w:rPr>
        <w:t>2</w:t>
      </w:r>
      <w:r>
        <w:rPr>
          <w:rFonts w:hint="eastAsia" w:ascii="宋体" w:hAnsi="宋体" w:cs="宋体"/>
          <w:color w:val="auto"/>
          <w:sz w:val="24"/>
          <w:szCs w:val="24"/>
          <w:highlight w:val="none"/>
          <w:lang w:eastAsia="zh-CN"/>
        </w:rPr>
        <w:t>7</w:t>
      </w:r>
      <w:r>
        <w:rPr>
          <w:rFonts w:hint="eastAsia" w:ascii="宋体" w:hAnsi="宋体" w:cs="宋体"/>
          <w:color w:val="auto"/>
          <w:sz w:val="24"/>
          <w:szCs w:val="24"/>
          <w:highlight w:val="none"/>
        </w:rPr>
        <w:t>.3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keepNext w:val="0"/>
        <w:keepLines w:val="0"/>
        <w:pageBreakBefore w:val="0"/>
        <w:widowControl/>
        <w:kinsoku/>
        <w:wordWrap/>
        <w:overflowPunct/>
        <w:topLinePunct w:val="0"/>
        <w:bidi w:val="0"/>
        <w:snapToGrid w:val="0"/>
        <w:spacing w:beforeAutospacing="0" w:afterAutospacing="0" w:line="360" w:lineRule="auto"/>
        <w:ind w:firstLine="482" w:firstLineChars="200"/>
        <w:jc w:val="left"/>
        <w:rPr>
          <w:rFonts w:ascii="宋体" w:hAnsi="宋体" w:cs="宋体"/>
          <w:color w:val="auto"/>
          <w:kern w:val="0"/>
          <w:sz w:val="24"/>
          <w:szCs w:val="24"/>
          <w:highlight w:val="none"/>
        </w:rPr>
      </w:pPr>
      <w:r>
        <w:rPr>
          <w:rFonts w:hint="eastAsia" w:ascii="宋体" w:hAnsi="宋体" w:cs="宋体"/>
          <w:b/>
          <w:bCs/>
          <w:color w:val="auto"/>
          <w:kern w:val="0"/>
          <w:sz w:val="24"/>
          <w:szCs w:val="24"/>
          <w:highlight w:val="none"/>
        </w:rPr>
        <w:t>2</w:t>
      </w:r>
      <w:r>
        <w:rPr>
          <w:rFonts w:hint="eastAsia" w:ascii="宋体" w:hAnsi="宋体" w:cs="宋体"/>
          <w:b/>
          <w:bCs/>
          <w:color w:val="auto"/>
          <w:kern w:val="0"/>
          <w:sz w:val="24"/>
          <w:szCs w:val="24"/>
          <w:highlight w:val="none"/>
          <w:lang w:val="en-US" w:eastAsia="zh-CN"/>
        </w:rPr>
        <w:t>8</w:t>
      </w:r>
      <w:r>
        <w:rPr>
          <w:rFonts w:hint="eastAsia" w:ascii="宋体" w:hAnsi="宋体" w:cs="宋体"/>
          <w:b/>
          <w:bCs/>
          <w:color w:val="auto"/>
          <w:kern w:val="0"/>
          <w:sz w:val="24"/>
          <w:szCs w:val="24"/>
          <w:highlight w:val="none"/>
        </w:rPr>
        <w:t>. 评标过程及保密原则</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2</w:t>
      </w:r>
      <w:r>
        <w:rPr>
          <w:rFonts w:hint="eastAsia" w:ascii="宋体" w:hAnsi="宋体" w:cs="宋体"/>
          <w:color w:val="auto"/>
          <w:kern w:val="0"/>
          <w:sz w:val="24"/>
          <w:szCs w:val="24"/>
          <w:highlight w:val="none"/>
          <w:lang w:val="en-US" w:eastAsia="zh-CN"/>
        </w:rPr>
        <w:t>8</w:t>
      </w:r>
      <w:r>
        <w:rPr>
          <w:rFonts w:hint="eastAsia" w:ascii="宋体" w:hAnsi="宋体" w:cs="宋体"/>
          <w:color w:val="auto"/>
          <w:kern w:val="0"/>
          <w:sz w:val="24"/>
          <w:szCs w:val="24"/>
          <w:highlight w:val="none"/>
        </w:rPr>
        <w:t>.1 凡与本次</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有关人员对属于审查、澄清、评价和比较投标的有关资料以及定标意向等，均不得向投标人或其他人员透露。否则,将按有关规定追究相关人员的责任。</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color w:val="auto"/>
          <w:sz w:val="24"/>
          <w:szCs w:val="24"/>
          <w:highlight w:val="none"/>
        </w:rPr>
      </w:pPr>
      <w:r>
        <w:rPr>
          <w:rFonts w:hint="eastAsia" w:ascii="宋体" w:hAnsi="宋体" w:cs="宋体"/>
          <w:color w:val="auto"/>
          <w:kern w:val="0"/>
          <w:sz w:val="24"/>
          <w:szCs w:val="24"/>
          <w:highlight w:val="none"/>
        </w:rPr>
        <w:t>2</w:t>
      </w:r>
      <w:r>
        <w:rPr>
          <w:rFonts w:hint="eastAsia" w:ascii="宋体" w:hAnsi="宋体" w:cs="宋体"/>
          <w:color w:val="auto"/>
          <w:kern w:val="0"/>
          <w:sz w:val="24"/>
          <w:szCs w:val="24"/>
          <w:highlight w:val="none"/>
          <w:lang w:val="en-US" w:eastAsia="zh-CN"/>
        </w:rPr>
        <w:t>8</w:t>
      </w:r>
      <w:r>
        <w:rPr>
          <w:rFonts w:hint="eastAsia" w:ascii="宋体" w:hAnsi="宋体" w:cs="宋体"/>
          <w:color w:val="auto"/>
          <w:kern w:val="0"/>
          <w:sz w:val="24"/>
          <w:szCs w:val="24"/>
          <w:highlight w:val="none"/>
        </w:rPr>
        <w:t>.2 在评标期间，投标人试图影响或干预评审的任何行为，将导致其投标被作为无效投标，并承担相应的法律责任。</w:t>
      </w:r>
    </w:p>
    <w:p>
      <w:pPr>
        <w:keepNext w:val="0"/>
        <w:keepLines w:val="0"/>
        <w:pageBreakBefore w:val="0"/>
        <w:widowControl/>
        <w:kinsoku/>
        <w:wordWrap/>
        <w:overflowPunct/>
        <w:topLinePunct w:val="0"/>
        <w:bidi w:val="0"/>
        <w:snapToGrid w:val="0"/>
        <w:spacing w:beforeAutospacing="0" w:afterAutospacing="0" w:line="360" w:lineRule="auto"/>
        <w:ind w:firstLine="482" w:firstLineChars="200"/>
        <w:jc w:val="left"/>
        <w:rPr>
          <w:rFonts w:ascii="宋体" w:hAnsi="宋体" w:cs="宋体"/>
          <w:b/>
          <w:color w:val="auto"/>
          <w:kern w:val="0"/>
          <w:sz w:val="24"/>
          <w:szCs w:val="24"/>
          <w:highlight w:val="none"/>
        </w:rPr>
      </w:pPr>
      <w:r>
        <w:rPr>
          <w:rFonts w:hint="eastAsia" w:ascii="宋体" w:hAnsi="宋体" w:cs="宋体"/>
          <w:b/>
          <w:color w:val="auto"/>
          <w:kern w:val="0"/>
          <w:sz w:val="24"/>
          <w:szCs w:val="24"/>
          <w:highlight w:val="none"/>
          <w:lang w:val="en-US" w:eastAsia="zh-CN"/>
        </w:rPr>
        <w:t>29</w:t>
      </w:r>
      <w:r>
        <w:rPr>
          <w:rFonts w:hint="eastAsia" w:ascii="宋体" w:hAnsi="宋体" w:cs="宋体"/>
          <w:b/>
          <w:color w:val="auto"/>
          <w:kern w:val="0"/>
          <w:sz w:val="24"/>
          <w:szCs w:val="24"/>
          <w:highlight w:val="none"/>
        </w:rPr>
        <w:t>.评标异议登记</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ascii="宋体" w:hAnsi="宋体" w:cs="宋体"/>
          <w:color w:val="auto"/>
          <w:kern w:val="0"/>
          <w:sz w:val="24"/>
          <w:highlight w:val="none"/>
        </w:rPr>
      </w:pPr>
      <w:r>
        <w:rPr>
          <w:rFonts w:hint="eastAsia" w:ascii="宋体" w:hAnsi="宋体" w:cs="宋体"/>
          <w:bCs/>
          <w:color w:val="auto"/>
          <w:kern w:val="0"/>
          <w:sz w:val="24"/>
          <w:szCs w:val="24"/>
          <w:highlight w:val="none"/>
        </w:rPr>
        <w:t>采购人</w:t>
      </w:r>
      <w:r>
        <w:rPr>
          <w:rFonts w:hint="eastAsia" w:ascii="宋体" w:hAnsi="宋体" w:cs="宋体"/>
          <w:color w:val="auto"/>
          <w:kern w:val="0"/>
          <w:sz w:val="24"/>
          <w:szCs w:val="24"/>
          <w:highlight w:val="none"/>
        </w:rPr>
        <w:t>工作人员对评审专家等相关人员在评审过程中发现、提出的异议进行逐项登记。</w:t>
      </w:r>
    </w:p>
    <w:p>
      <w:pPr>
        <w:keepNext w:val="0"/>
        <w:keepLines w:val="0"/>
        <w:pageBreakBefore w:val="0"/>
        <w:widowControl/>
        <w:kinsoku/>
        <w:wordWrap/>
        <w:overflowPunct/>
        <w:topLinePunct w:val="0"/>
        <w:bidi w:val="0"/>
        <w:snapToGrid w:val="0"/>
        <w:spacing w:beforeAutospacing="0" w:afterAutospacing="0" w:line="360" w:lineRule="auto"/>
        <w:jc w:val="center"/>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lang w:val="en-US" w:eastAsia="zh-CN"/>
        </w:rPr>
        <w:t>六</w:t>
      </w:r>
      <w:r>
        <w:rPr>
          <w:rFonts w:hint="eastAsia" w:ascii="宋体" w:hAnsi="宋体" w:eastAsia="宋体" w:cs="宋体"/>
          <w:b/>
          <w:bCs/>
          <w:color w:val="auto"/>
          <w:kern w:val="0"/>
          <w:sz w:val="28"/>
          <w:szCs w:val="28"/>
          <w:highlight w:val="none"/>
        </w:rPr>
        <w:t>、定标</w:t>
      </w:r>
    </w:p>
    <w:p>
      <w:pPr>
        <w:keepNext w:val="0"/>
        <w:keepLines w:val="0"/>
        <w:pageBreakBefore w:val="0"/>
        <w:widowControl/>
        <w:kinsoku/>
        <w:wordWrap/>
        <w:overflowPunct/>
        <w:topLinePunct w:val="0"/>
        <w:bidi w:val="0"/>
        <w:snapToGrid w:val="0"/>
        <w:spacing w:beforeAutospacing="0" w:afterAutospacing="0" w:line="360" w:lineRule="auto"/>
        <w:ind w:firstLine="482" w:firstLineChars="200"/>
        <w:rPr>
          <w:rFonts w:ascii="宋体" w:hAnsi="宋体" w:cs="宋体"/>
          <w:color w:val="auto"/>
          <w:kern w:val="0"/>
          <w:sz w:val="24"/>
          <w:szCs w:val="24"/>
          <w:highlight w:val="none"/>
        </w:rPr>
      </w:pPr>
      <w:r>
        <w:rPr>
          <w:rFonts w:hint="eastAsia" w:ascii="宋体" w:hAnsi="宋体" w:cs="宋体"/>
          <w:b/>
          <w:bCs/>
          <w:color w:val="auto"/>
          <w:kern w:val="0"/>
          <w:sz w:val="24"/>
          <w:szCs w:val="24"/>
          <w:highlight w:val="none"/>
        </w:rPr>
        <w:t>3</w:t>
      </w:r>
      <w:r>
        <w:rPr>
          <w:rFonts w:hint="eastAsia" w:ascii="宋体" w:hAnsi="宋体" w:cs="宋体"/>
          <w:b/>
          <w:bCs/>
          <w:color w:val="auto"/>
          <w:kern w:val="0"/>
          <w:sz w:val="24"/>
          <w:szCs w:val="24"/>
          <w:highlight w:val="none"/>
          <w:lang w:val="en-US" w:eastAsia="zh-CN"/>
        </w:rPr>
        <w:t>0</w:t>
      </w:r>
      <w:r>
        <w:rPr>
          <w:rFonts w:hint="eastAsia" w:ascii="宋体" w:hAnsi="宋体" w:cs="宋体"/>
          <w:b/>
          <w:bCs/>
          <w:color w:val="auto"/>
          <w:kern w:val="0"/>
          <w:sz w:val="24"/>
          <w:szCs w:val="24"/>
          <w:highlight w:val="none"/>
        </w:rPr>
        <w:t>. 定标原则</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3</w:t>
      </w:r>
      <w:r>
        <w:rPr>
          <w:rFonts w:hint="eastAsia" w:ascii="宋体" w:hAnsi="宋体" w:cs="宋体"/>
          <w:bCs/>
          <w:color w:val="auto"/>
          <w:kern w:val="0"/>
          <w:sz w:val="24"/>
          <w:szCs w:val="24"/>
          <w:highlight w:val="none"/>
          <w:lang w:val="en-US" w:eastAsia="zh-CN"/>
        </w:rPr>
        <w:t>0</w:t>
      </w:r>
      <w:r>
        <w:rPr>
          <w:rFonts w:hint="eastAsia" w:ascii="宋体" w:hAnsi="宋体" w:cs="宋体"/>
          <w:bCs/>
          <w:color w:val="auto"/>
          <w:kern w:val="0"/>
          <w:sz w:val="24"/>
          <w:szCs w:val="24"/>
          <w:highlight w:val="none"/>
        </w:rPr>
        <w:t>.1 最低投标价不作为中标的保证。</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3</w:t>
      </w:r>
      <w:r>
        <w:rPr>
          <w:rFonts w:hint="eastAsia" w:ascii="宋体" w:hAnsi="宋体" w:cs="宋体"/>
          <w:bCs/>
          <w:color w:val="auto"/>
          <w:kern w:val="0"/>
          <w:sz w:val="24"/>
          <w:szCs w:val="24"/>
          <w:highlight w:val="none"/>
          <w:lang w:val="en-US" w:eastAsia="zh-CN"/>
        </w:rPr>
        <w:t>0</w:t>
      </w:r>
      <w:r>
        <w:rPr>
          <w:rFonts w:hint="eastAsia" w:ascii="宋体" w:hAnsi="宋体" w:cs="宋体"/>
          <w:bCs/>
          <w:color w:val="auto"/>
          <w:kern w:val="0"/>
          <w:sz w:val="24"/>
          <w:szCs w:val="24"/>
          <w:highlight w:val="none"/>
        </w:rPr>
        <w:t>.2 确定实质上响应</w:t>
      </w:r>
      <w:r>
        <w:rPr>
          <w:rFonts w:hint="eastAsia" w:ascii="宋体" w:hAnsi="宋体" w:cs="宋体"/>
          <w:bCs/>
          <w:color w:val="auto"/>
          <w:kern w:val="0"/>
          <w:sz w:val="24"/>
          <w:szCs w:val="24"/>
          <w:highlight w:val="none"/>
          <w:lang w:val="en-US" w:eastAsia="zh-CN"/>
        </w:rPr>
        <w:t>采购</w:t>
      </w:r>
      <w:r>
        <w:rPr>
          <w:rFonts w:hint="eastAsia" w:ascii="宋体" w:hAnsi="宋体" w:cs="宋体"/>
          <w:bCs/>
          <w:color w:val="auto"/>
          <w:kern w:val="0"/>
          <w:sz w:val="24"/>
          <w:szCs w:val="24"/>
          <w:highlight w:val="none"/>
        </w:rPr>
        <w:t>文件且满足下列条件的为中标候选人（或中标人）</w:t>
      </w:r>
    </w:p>
    <w:p>
      <w:pPr>
        <w:keepNext w:val="0"/>
        <w:keepLines w:val="0"/>
        <w:pageBreakBefore w:val="0"/>
        <w:kinsoku/>
        <w:wordWrap/>
        <w:overflowPunct/>
        <w:topLinePunct w:val="0"/>
        <w:bidi w:val="0"/>
        <w:snapToGrid w:val="0"/>
        <w:spacing w:beforeAutospacing="0" w:afterAutospacing="0" w:line="360" w:lineRule="auto"/>
        <w:ind w:firstLine="480" w:firstLineChars="200"/>
        <w:rPr>
          <w:rFonts w:ascii="宋体" w:hAnsi="宋体" w:cs="宋体"/>
          <w:color w:val="auto"/>
          <w:sz w:val="24"/>
          <w:szCs w:val="24"/>
          <w:highlight w:val="none"/>
        </w:rPr>
      </w:pPr>
      <w:bookmarkStart w:id="41" w:name="_Toc32200"/>
      <w:r>
        <w:rPr>
          <w:rFonts w:hint="eastAsia" w:ascii="宋体" w:hAnsi="宋体" w:cs="宋体"/>
          <w:bCs/>
          <w:color w:val="auto"/>
          <w:kern w:val="0"/>
          <w:sz w:val="24"/>
          <w:szCs w:val="24"/>
          <w:highlight w:val="none"/>
        </w:rPr>
        <w:t>3</w:t>
      </w:r>
      <w:r>
        <w:rPr>
          <w:rFonts w:hint="eastAsia" w:ascii="宋体" w:hAnsi="宋体" w:cs="宋体"/>
          <w:bCs/>
          <w:color w:val="auto"/>
          <w:kern w:val="0"/>
          <w:sz w:val="24"/>
          <w:szCs w:val="24"/>
          <w:highlight w:val="none"/>
          <w:lang w:val="en-US" w:eastAsia="zh-CN"/>
        </w:rPr>
        <w:t>0</w:t>
      </w:r>
      <w:r>
        <w:rPr>
          <w:rFonts w:hint="eastAsia" w:ascii="宋体" w:hAnsi="宋体" w:cs="宋体"/>
          <w:bCs/>
          <w:color w:val="auto"/>
          <w:kern w:val="0"/>
          <w:sz w:val="24"/>
          <w:szCs w:val="24"/>
          <w:highlight w:val="none"/>
        </w:rPr>
        <w:t>.2.1</w:t>
      </w:r>
      <w:bookmarkEnd w:id="41"/>
      <w:r>
        <w:rPr>
          <w:rFonts w:hint="eastAsia" w:ascii="宋体" w:hAnsi="宋体" w:cs="宋体"/>
          <w:bCs/>
          <w:color w:val="auto"/>
          <w:kern w:val="0"/>
          <w:sz w:val="24"/>
          <w:szCs w:val="24"/>
          <w:highlight w:val="none"/>
        </w:rPr>
        <w:t>本次评标采用</w:t>
      </w:r>
      <w:r>
        <w:rPr>
          <w:rFonts w:hint="eastAsia" w:ascii="宋体" w:hAnsi="宋体" w:cs="宋体"/>
          <w:color w:val="auto"/>
          <w:sz w:val="24"/>
          <w:szCs w:val="24"/>
          <w:highlight w:val="none"/>
        </w:rPr>
        <w:t>综合评分法，是指响应文件满足采购文件全部实质性要求，且按照评审因素的量化指标评审得分最高的投标人为中标候选人的评标方法。</w:t>
      </w:r>
    </w:p>
    <w:p>
      <w:pPr>
        <w:keepNext w:val="0"/>
        <w:keepLines w:val="0"/>
        <w:pageBreakBefore w:val="0"/>
        <w:kinsoku/>
        <w:wordWrap/>
        <w:overflowPunct/>
        <w:topLinePunct w:val="0"/>
        <w:bidi w:val="0"/>
        <w:snapToGrid w:val="0"/>
        <w:spacing w:beforeAutospacing="0" w:afterAutospacing="0"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采用综合评分法的，评标结果按评审后得分由高到低顺序排列。投标文件满足</w:t>
      </w:r>
      <w:r>
        <w:rPr>
          <w:rFonts w:hint="eastAsia" w:ascii="宋体" w:hAnsi="宋体" w:cs="宋体"/>
          <w:color w:val="auto"/>
          <w:sz w:val="24"/>
          <w:szCs w:val="24"/>
          <w:highlight w:val="none"/>
          <w:lang w:val="en-US" w:eastAsia="zh-CN"/>
        </w:rPr>
        <w:t>采购</w:t>
      </w:r>
      <w:r>
        <w:rPr>
          <w:rFonts w:hint="eastAsia" w:ascii="宋体" w:hAnsi="宋体" w:cs="宋体"/>
          <w:color w:val="auto"/>
          <w:sz w:val="24"/>
          <w:szCs w:val="24"/>
          <w:highlight w:val="none"/>
        </w:rPr>
        <w:t>文件全部实质性要求，且按照评审因素的量化指标评审得分最高的投标人为排名第一的中标候选人，以此类推。得分相同的，按投标报价由低到高顺序排列。得分且投标报价相同的，按技术部分得分顺序排列。得分与技术指标优劣均相同的，通过随机抽取产生。</w:t>
      </w:r>
    </w:p>
    <w:p>
      <w:pPr>
        <w:keepNext w:val="0"/>
        <w:keepLines w:val="0"/>
        <w:pageBreakBefore w:val="0"/>
        <w:widowControl/>
        <w:kinsoku/>
        <w:wordWrap/>
        <w:overflowPunct/>
        <w:topLinePunct w:val="0"/>
        <w:bidi w:val="0"/>
        <w:snapToGrid w:val="0"/>
        <w:spacing w:beforeAutospacing="0" w:afterAutospacing="0" w:line="360" w:lineRule="auto"/>
        <w:ind w:firstLine="482" w:firstLineChars="200"/>
        <w:rPr>
          <w:rFonts w:ascii="宋体" w:hAnsi="宋体" w:cs="宋体"/>
          <w:color w:val="auto"/>
          <w:kern w:val="0"/>
          <w:sz w:val="24"/>
          <w:szCs w:val="24"/>
          <w:highlight w:val="none"/>
        </w:rPr>
      </w:pPr>
      <w:r>
        <w:rPr>
          <w:rFonts w:hint="eastAsia" w:ascii="宋体" w:hAnsi="宋体" w:cs="宋体"/>
          <w:b/>
          <w:bCs/>
          <w:color w:val="auto"/>
          <w:kern w:val="0"/>
          <w:sz w:val="24"/>
          <w:szCs w:val="24"/>
          <w:highlight w:val="none"/>
        </w:rPr>
        <w:t>3</w:t>
      </w:r>
      <w:r>
        <w:rPr>
          <w:rFonts w:hint="eastAsia" w:ascii="宋体" w:hAnsi="宋体" w:cs="宋体"/>
          <w:b/>
          <w:bCs/>
          <w:color w:val="auto"/>
          <w:kern w:val="0"/>
          <w:sz w:val="24"/>
          <w:szCs w:val="24"/>
          <w:highlight w:val="none"/>
          <w:lang w:val="en-US" w:eastAsia="zh-CN"/>
        </w:rPr>
        <w:t>1</w:t>
      </w:r>
      <w:r>
        <w:rPr>
          <w:rFonts w:hint="eastAsia" w:ascii="宋体" w:hAnsi="宋体" w:cs="宋体"/>
          <w:b/>
          <w:bCs/>
          <w:color w:val="auto"/>
          <w:kern w:val="0"/>
          <w:sz w:val="24"/>
          <w:szCs w:val="24"/>
          <w:highlight w:val="none"/>
        </w:rPr>
        <w:t>. 确定中标人和中标候选人</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ascii="宋体" w:hAnsi="宋体" w:cs="宋体"/>
          <w:color w:val="auto"/>
          <w:kern w:val="0"/>
          <w:sz w:val="24"/>
          <w:szCs w:val="24"/>
          <w:highlight w:val="none"/>
        </w:rPr>
      </w:pPr>
      <w:r>
        <w:rPr>
          <w:rFonts w:hint="eastAsia" w:ascii="宋体" w:hAnsi="宋体" w:cs="宋体"/>
          <w:bCs/>
          <w:color w:val="auto"/>
          <w:kern w:val="0"/>
          <w:sz w:val="24"/>
          <w:szCs w:val="24"/>
          <w:highlight w:val="none"/>
        </w:rPr>
        <w:t>本项目由采购人授权评标委员会确定一名中标人并推荐</w:t>
      </w:r>
      <w:r>
        <w:rPr>
          <w:rFonts w:hint="eastAsia" w:ascii="宋体" w:hAnsi="宋体" w:cs="宋体"/>
          <w:bCs/>
          <w:color w:val="auto"/>
          <w:kern w:val="0"/>
          <w:sz w:val="24"/>
          <w:szCs w:val="24"/>
          <w:highlight w:val="none"/>
          <w:lang w:eastAsia="zh-CN"/>
        </w:rPr>
        <w:t>一名中标候选人</w:t>
      </w:r>
      <w:r>
        <w:rPr>
          <w:rFonts w:hint="eastAsia" w:ascii="宋体" w:hAnsi="宋体" w:cs="宋体"/>
          <w:color w:val="auto"/>
          <w:kern w:val="0"/>
          <w:sz w:val="24"/>
          <w:szCs w:val="24"/>
          <w:highlight w:val="none"/>
        </w:rPr>
        <w:t>。</w:t>
      </w:r>
    </w:p>
    <w:p>
      <w:pPr>
        <w:keepNext w:val="0"/>
        <w:keepLines w:val="0"/>
        <w:pageBreakBefore w:val="0"/>
        <w:widowControl/>
        <w:kinsoku/>
        <w:wordWrap/>
        <w:overflowPunct/>
        <w:topLinePunct w:val="0"/>
        <w:bidi w:val="0"/>
        <w:snapToGrid w:val="0"/>
        <w:spacing w:beforeAutospacing="0" w:afterAutospacing="0" w:line="360" w:lineRule="auto"/>
        <w:ind w:firstLine="482" w:firstLineChars="200"/>
        <w:rPr>
          <w:rFonts w:hint="eastAsia" w:ascii="宋体" w:hAnsi="宋体" w:eastAsia="宋体" w:cs="宋体"/>
          <w:b/>
          <w:bCs/>
          <w:color w:val="auto"/>
          <w:kern w:val="0"/>
          <w:sz w:val="24"/>
          <w:szCs w:val="24"/>
          <w:highlight w:val="none"/>
          <w:lang w:eastAsia="zh-CN"/>
        </w:rPr>
      </w:pPr>
      <w:r>
        <w:rPr>
          <w:rFonts w:hint="eastAsia" w:ascii="宋体" w:hAnsi="宋体" w:cs="宋体"/>
          <w:b/>
          <w:bCs/>
          <w:color w:val="auto"/>
          <w:kern w:val="0"/>
          <w:sz w:val="24"/>
          <w:szCs w:val="24"/>
          <w:highlight w:val="none"/>
        </w:rPr>
        <w:t>3</w:t>
      </w:r>
      <w:r>
        <w:rPr>
          <w:rFonts w:hint="eastAsia" w:ascii="宋体" w:hAnsi="宋体" w:cs="宋体"/>
          <w:b/>
          <w:bCs/>
          <w:color w:val="auto"/>
          <w:kern w:val="0"/>
          <w:sz w:val="24"/>
          <w:szCs w:val="24"/>
          <w:highlight w:val="none"/>
          <w:lang w:val="en-US" w:eastAsia="zh-CN"/>
        </w:rPr>
        <w:t>2</w:t>
      </w:r>
      <w:r>
        <w:rPr>
          <w:rFonts w:hint="eastAsia" w:ascii="宋体" w:hAnsi="宋体" w:cs="宋体"/>
          <w:b/>
          <w:bCs/>
          <w:color w:val="auto"/>
          <w:kern w:val="0"/>
          <w:sz w:val="24"/>
          <w:szCs w:val="24"/>
          <w:highlight w:val="none"/>
        </w:rPr>
        <w:t xml:space="preserve">. </w:t>
      </w:r>
      <w:r>
        <w:rPr>
          <w:rFonts w:hint="eastAsia" w:ascii="宋体" w:hAnsi="宋体" w:cs="宋体"/>
          <w:b/>
          <w:bCs/>
          <w:color w:val="auto"/>
          <w:kern w:val="0"/>
          <w:sz w:val="24"/>
          <w:szCs w:val="24"/>
          <w:highlight w:val="none"/>
          <w:lang w:eastAsia="zh-CN"/>
        </w:rPr>
        <w:t>成交通知书</w:t>
      </w:r>
      <w:r>
        <w:rPr>
          <w:rFonts w:hint="eastAsia" w:ascii="宋体" w:hAnsi="宋体" w:cs="宋体"/>
          <w:b/>
          <w:bCs/>
          <w:color w:val="auto"/>
          <w:kern w:val="0"/>
          <w:sz w:val="24"/>
          <w:szCs w:val="24"/>
          <w:highlight w:val="none"/>
        </w:rPr>
        <w:t>及</w:t>
      </w:r>
      <w:r>
        <w:rPr>
          <w:rFonts w:hint="eastAsia" w:ascii="宋体" w:hAnsi="宋体" w:cs="宋体"/>
          <w:b/>
          <w:bCs/>
          <w:color w:val="auto"/>
          <w:kern w:val="0"/>
          <w:sz w:val="24"/>
          <w:szCs w:val="24"/>
          <w:highlight w:val="none"/>
          <w:lang w:eastAsia="zh-CN"/>
        </w:rPr>
        <w:t>成交公告</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3</w:t>
      </w:r>
      <w:r>
        <w:rPr>
          <w:rFonts w:hint="eastAsia" w:ascii="宋体" w:hAnsi="宋体" w:cs="宋体"/>
          <w:color w:val="auto"/>
          <w:kern w:val="0"/>
          <w:sz w:val="24"/>
          <w:szCs w:val="24"/>
          <w:highlight w:val="none"/>
          <w:lang w:val="en-US" w:eastAsia="zh-CN"/>
        </w:rPr>
        <w:t>2</w:t>
      </w:r>
      <w:r>
        <w:rPr>
          <w:rFonts w:hint="eastAsia" w:ascii="宋体" w:hAnsi="宋体" w:cs="宋体"/>
          <w:color w:val="auto"/>
          <w:kern w:val="0"/>
          <w:sz w:val="24"/>
          <w:szCs w:val="24"/>
          <w:highlight w:val="none"/>
        </w:rPr>
        <w:t>.1评审结束后，</w:t>
      </w:r>
      <w:r>
        <w:rPr>
          <w:rFonts w:hint="eastAsia" w:ascii="宋体" w:hAnsi="宋体" w:cs="宋体"/>
          <w:color w:val="auto"/>
          <w:kern w:val="0"/>
          <w:sz w:val="24"/>
          <w:szCs w:val="24"/>
          <w:highlight w:val="none"/>
          <w:lang w:eastAsia="zh-CN"/>
        </w:rPr>
        <w:t>采购</w:t>
      </w:r>
      <w:r>
        <w:rPr>
          <w:rFonts w:hint="eastAsia" w:ascii="宋体" w:hAnsi="宋体" w:cs="宋体"/>
          <w:color w:val="auto"/>
          <w:kern w:val="0"/>
          <w:sz w:val="24"/>
          <w:szCs w:val="24"/>
          <w:highlight w:val="none"/>
        </w:rPr>
        <w:t>人将中标候选人的情况在本</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项目</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公告发布的同一媒介予以公示，公示</w:t>
      </w:r>
      <w:r>
        <w:rPr>
          <w:rFonts w:hint="eastAsia" w:ascii="宋体" w:hAnsi="宋体" w:cs="宋体"/>
          <w:color w:val="auto"/>
          <w:kern w:val="0"/>
          <w:sz w:val="24"/>
          <w:szCs w:val="24"/>
          <w:highlight w:val="none"/>
          <w:lang w:eastAsia="zh-CN"/>
        </w:rPr>
        <w:t>期限</w:t>
      </w:r>
      <w:r>
        <w:rPr>
          <w:rFonts w:hint="eastAsia" w:ascii="宋体" w:hAnsi="宋体" w:cs="宋体"/>
          <w:color w:val="auto"/>
          <w:kern w:val="0"/>
          <w:sz w:val="24"/>
          <w:szCs w:val="24"/>
          <w:highlight w:val="none"/>
          <w:lang w:val="en-US" w:eastAsia="zh-CN"/>
        </w:rPr>
        <w:t>3</w:t>
      </w:r>
      <w:r>
        <w:rPr>
          <w:rFonts w:hint="eastAsia" w:ascii="宋体" w:hAnsi="宋体" w:cs="宋体"/>
          <w:color w:val="auto"/>
          <w:kern w:val="0"/>
          <w:sz w:val="24"/>
          <w:szCs w:val="24"/>
          <w:highlight w:val="none"/>
          <w:lang w:eastAsia="zh-CN"/>
        </w:rPr>
        <w:t>个工作日</w:t>
      </w:r>
      <w:r>
        <w:rPr>
          <w:rFonts w:hint="eastAsia" w:ascii="宋体" w:hAnsi="宋体" w:cs="宋体"/>
          <w:color w:val="auto"/>
          <w:kern w:val="0"/>
          <w:sz w:val="24"/>
          <w:szCs w:val="24"/>
          <w:highlight w:val="none"/>
        </w:rPr>
        <w:t>，</w:t>
      </w:r>
      <w:r>
        <w:rPr>
          <w:rFonts w:hint="eastAsia" w:ascii="宋体" w:hAnsi="宋体" w:cs="宋体"/>
          <w:color w:val="auto"/>
          <w:kern w:val="0"/>
          <w:sz w:val="24"/>
          <w:szCs w:val="24"/>
          <w:highlight w:val="none"/>
          <w:lang w:val="en-US" w:eastAsia="zh-CN"/>
        </w:rPr>
        <w:t>公示期结束后</w:t>
      </w:r>
      <w:r>
        <w:rPr>
          <w:rFonts w:hint="eastAsia" w:ascii="宋体" w:hAnsi="宋体" w:cs="宋体"/>
          <w:color w:val="auto"/>
          <w:kern w:val="0"/>
          <w:sz w:val="24"/>
          <w:szCs w:val="24"/>
          <w:highlight w:val="none"/>
        </w:rPr>
        <w:t>向中标人发出</w:t>
      </w:r>
      <w:r>
        <w:rPr>
          <w:rFonts w:hint="eastAsia" w:ascii="宋体" w:hAnsi="宋体" w:cs="宋体"/>
          <w:color w:val="auto"/>
          <w:kern w:val="0"/>
          <w:sz w:val="24"/>
          <w:szCs w:val="24"/>
          <w:highlight w:val="none"/>
          <w:lang w:eastAsia="zh-CN"/>
        </w:rPr>
        <w:t>成交通知书</w:t>
      </w:r>
      <w:r>
        <w:rPr>
          <w:rFonts w:hint="eastAsia" w:ascii="宋体" w:hAnsi="宋体" w:cs="宋体"/>
          <w:color w:val="auto"/>
          <w:kern w:val="0"/>
          <w:sz w:val="24"/>
          <w:szCs w:val="24"/>
          <w:highlight w:val="none"/>
        </w:rPr>
        <w:t>。</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3</w:t>
      </w:r>
      <w:r>
        <w:rPr>
          <w:rFonts w:hint="eastAsia" w:ascii="宋体" w:hAnsi="宋体" w:cs="宋体"/>
          <w:color w:val="auto"/>
          <w:kern w:val="0"/>
          <w:sz w:val="24"/>
          <w:szCs w:val="24"/>
          <w:highlight w:val="none"/>
          <w:lang w:val="en-US" w:eastAsia="zh-CN"/>
        </w:rPr>
        <w:t>2</w:t>
      </w:r>
      <w:r>
        <w:rPr>
          <w:rFonts w:hint="eastAsia" w:ascii="宋体" w:hAnsi="宋体" w:cs="宋体"/>
          <w:color w:val="auto"/>
          <w:kern w:val="0"/>
          <w:sz w:val="24"/>
          <w:szCs w:val="24"/>
          <w:highlight w:val="none"/>
        </w:rPr>
        <w:t>.2中标人在规定的时间内不领取</w:t>
      </w:r>
      <w:r>
        <w:rPr>
          <w:rFonts w:hint="eastAsia" w:ascii="宋体" w:hAnsi="宋体" w:cs="宋体"/>
          <w:color w:val="auto"/>
          <w:kern w:val="0"/>
          <w:sz w:val="24"/>
          <w:szCs w:val="24"/>
          <w:highlight w:val="none"/>
          <w:lang w:eastAsia="zh-CN"/>
        </w:rPr>
        <w:t>成交通知书</w:t>
      </w:r>
      <w:r>
        <w:rPr>
          <w:rFonts w:hint="eastAsia" w:ascii="宋体" w:hAnsi="宋体" w:cs="宋体"/>
          <w:color w:val="auto"/>
          <w:kern w:val="0"/>
          <w:sz w:val="24"/>
          <w:szCs w:val="24"/>
          <w:highlight w:val="none"/>
        </w:rPr>
        <w:t>的，视为中标后自动放弃中标资格；中标人在有效报价中报价最低,非不可抗力放弃中标资格的。发生上述情况的承担由此引起的一切后果。</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3</w:t>
      </w:r>
      <w:r>
        <w:rPr>
          <w:rFonts w:hint="eastAsia" w:ascii="宋体" w:hAnsi="宋体" w:cs="宋体"/>
          <w:color w:val="auto"/>
          <w:kern w:val="0"/>
          <w:sz w:val="24"/>
          <w:szCs w:val="24"/>
          <w:highlight w:val="none"/>
          <w:lang w:val="en-US" w:eastAsia="zh-CN"/>
        </w:rPr>
        <w:t>2</w:t>
      </w:r>
      <w:r>
        <w:rPr>
          <w:rFonts w:hint="eastAsia" w:ascii="宋体" w:hAnsi="宋体" w:cs="宋体"/>
          <w:color w:val="auto"/>
          <w:kern w:val="0"/>
          <w:sz w:val="24"/>
          <w:szCs w:val="24"/>
          <w:highlight w:val="none"/>
        </w:rPr>
        <w:t>.3</w:t>
      </w:r>
      <w:r>
        <w:rPr>
          <w:rFonts w:hint="eastAsia" w:ascii="宋体" w:hAnsi="宋体" w:cs="宋体"/>
          <w:color w:val="auto"/>
          <w:kern w:val="0"/>
          <w:sz w:val="24"/>
          <w:szCs w:val="24"/>
          <w:highlight w:val="none"/>
          <w:lang w:eastAsia="zh-CN"/>
        </w:rPr>
        <w:t>成交通知书</w:t>
      </w:r>
      <w:r>
        <w:rPr>
          <w:rFonts w:hint="eastAsia" w:ascii="宋体" w:hAnsi="宋体" w:cs="宋体"/>
          <w:color w:val="auto"/>
          <w:kern w:val="0"/>
          <w:sz w:val="24"/>
          <w:szCs w:val="24"/>
          <w:highlight w:val="none"/>
        </w:rPr>
        <w:t>对采购人和中标人具有同等法律效力。</w:t>
      </w:r>
      <w:r>
        <w:rPr>
          <w:rFonts w:hint="eastAsia" w:ascii="宋体" w:hAnsi="宋体" w:cs="宋体"/>
          <w:color w:val="auto"/>
          <w:kern w:val="0"/>
          <w:sz w:val="24"/>
          <w:szCs w:val="24"/>
          <w:highlight w:val="none"/>
          <w:lang w:eastAsia="zh-CN"/>
        </w:rPr>
        <w:t>成交通知书</w:t>
      </w:r>
      <w:r>
        <w:rPr>
          <w:rFonts w:hint="eastAsia" w:ascii="宋体" w:hAnsi="宋体" w:cs="宋体"/>
          <w:color w:val="auto"/>
          <w:kern w:val="0"/>
          <w:sz w:val="24"/>
          <w:szCs w:val="24"/>
          <w:highlight w:val="none"/>
        </w:rPr>
        <w:t>发出后，采购人改变中标结果，或者中标人放弃中标，应按相关法律、规章、规范性文件的要求承担相应的法律责任。</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ascii="宋体" w:hAnsi="宋体" w:cs="宋体"/>
          <w:bCs/>
          <w:color w:val="auto"/>
          <w:kern w:val="0"/>
          <w:sz w:val="24"/>
          <w:szCs w:val="24"/>
          <w:highlight w:val="none"/>
        </w:rPr>
      </w:pPr>
      <w:r>
        <w:rPr>
          <w:rFonts w:hint="eastAsia" w:ascii="宋体" w:hAnsi="宋体" w:cs="宋体"/>
          <w:color w:val="auto"/>
          <w:kern w:val="0"/>
          <w:sz w:val="24"/>
          <w:szCs w:val="24"/>
          <w:highlight w:val="none"/>
        </w:rPr>
        <w:t>3</w:t>
      </w:r>
      <w:r>
        <w:rPr>
          <w:rFonts w:hint="eastAsia" w:ascii="宋体" w:hAnsi="宋体" w:cs="宋体"/>
          <w:color w:val="auto"/>
          <w:kern w:val="0"/>
          <w:sz w:val="24"/>
          <w:szCs w:val="24"/>
          <w:highlight w:val="none"/>
          <w:lang w:val="en-US" w:eastAsia="zh-CN"/>
        </w:rPr>
        <w:t>2</w:t>
      </w:r>
      <w:r>
        <w:rPr>
          <w:rFonts w:hint="eastAsia" w:ascii="宋体" w:hAnsi="宋体" w:cs="宋体"/>
          <w:bCs/>
          <w:color w:val="auto"/>
          <w:kern w:val="0"/>
          <w:sz w:val="24"/>
          <w:szCs w:val="24"/>
          <w:highlight w:val="none"/>
        </w:rPr>
        <w:t>.4</w:t>
      </w:r>
      <w:r>
        <w:rPr>
          <w:rFonts w:hint="eastAsia" w:ascii="宋体" w:hAnsi="宋体" w:cs="宋体"/>
          <w:bCs/>
          <w:color w:val="auto"/>
          <w:kern w:val="0"/>
          <w:sz w:val="24"/>
          <w:szCs w:val="24"/>
          <w:highlight w:val="none"/>
          <w:lang w:eastAsia="zh-CN"/>
        </w:rPr>
        <w:t>成交通知书</w:t>
      </w:r>
      <w:r>
        <w:rPr>
          <w:rFonts w:hint="eastAsia" w:ascii="宋体" w:hAnsi="宋体" w:cs="宋体"/>
          <w:bCs/>
          <w:color w:val="auto"/>
          <w:kern w:val="0"/>
          <w:sz w:val="24"/>
          <w:szCs w:val="24"/>
          <w:highlight w:val="none"/>
        </w:rPr>
        <w:t>将作为签订合同的依据。合同签订后，</w:t>
      </w:r>
      <w:r>
        <w:rPr>
          <w:rFonts w:hint="eastAsia" w:ascii="宋体" w:hAnsi="宋体" w:cs="宋体"/>
          <w:bCs/>
          <w:color w:val="auto"/>
          <w:kern w:val="0"/>
          <w:sz w:val="24"/>
          <w:szCs w:val="24"/>
          <w:highlight w:val="none"/>
          <w:lang w:eastAsia="zh-CN"/>
        </w:rPr>
        <w:t>成交通知书</w:t>
      </w:r>
      <w:r>
        <w:rPr>
          <w:rFonts w:hint="eastAsia" w:ascii="宋体" w:hAnsi="宋体" w:cs="宋体"/>
          <w:bCs/>
          <w:color w:val="auto"/>
          <w:kern w:val="0"/>
          <w:sz w:val="24"/>
          <w:szCs w:val="24"/>
          <w:highlight w:val="none"/>
        </w:rPr>
        <w:t>成为合同的一部分。</w:t>
      </w:r>
    </w:p>
    <w:p>
      <w:pPr>
        <w:keepNext w:val="0"/>
        <w:keepLines w:val="0"/>
        <w:pageBreakBefore w:val="0"/>
        <w:widowControl/>
        <w:kinsoku/>
        <w:wordWrap/>
        <w:overflowPunct/>
        <w:topLinePunct w:val="0"/>
        <w:bidi w:val="0"/>
        <w:snapToGrid w:val="0"/>
        <w:spacing w:beforeAutospacing="0" w:afterAutospacing="0" w:line="360" w:lineRule="auto"/>
        <w:ind w:firstLine="482" w:firstLineChars="200"/>
        <w:rPr>
          <w:rFonts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3</w:t>
      </w:r>
      <w:r>
        <w:rPr>
          <w:rFonts w:hint="eastAsia" w:ascii="宋体" w:hAnsi="宋体" w:cs="宋体"/>
          <w:b/>
          <w:bCs/>
          <w:color w:val="auto"/>
          <w:kern w:val="0"/>
          <w:sz w:val="24"/>
          <w:szCs w:val="24"/>
          <w:highlight w:val="none"/>
          <w:lang w:val="en-US" w:eastAsia="zh-CN"/>
        </w:rPr>
        <w:t>3</w:t>
      </w:r>
      <w:r>
        <w:rPr>
          <w:rFonts w:hint="eastAsia" w:ascii="宋体" w:hAnsi="宋体" w:cs="宋体"/>
          <w:b/>
          <w:bCs/>
          <w:color w:val="auto"/>
          <w:kern w:val="0"/>
          <w:sz w:val="24"/>
          <w:szCs w:val="24"/>
          <w:highlight w:val="none"/>
        </w:rPr>
        <w:t>. 采购人宣布废标的权利</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3</w:t>
      </w:r>
      <w:r>
        <w:rPr>
          <w:rFonts w:hint="eastAsia" w:ascii="宋体" w:hAnsi="宋体" w:cs="宋体"/>
          <w:bCs/>
          <w:color w:val="auto"/>
          <w:kern w:val="0"/>
          <w:sz w:val="24"/>
          <w:szCs w:val="24"/>
          <w:highlight w:val="none"/>
          <w:lang w:val="en-US" w:eastAsia="zh-CN"/>
        </w:rPr>
        <w:t>3</w:t>
      </w:r>
      <w:r>
        <w:rPr>
          <w:rFonts w:hint="eastAsia" w:ascii="宋体" w:hAnsi="宋体" w:cs="宋体"/>
          <w:bCs/>
          <w:color w:val="auto"/>
          <w:kern w:val="0"/>
          <w:sz w:val="24"/>
          <w:szCs w:val="24"/>
          <w:highlight w:val="none"/>
        </w:rPr>
        <w:t>.1出现下列情况之一时，采购人有权宣布废标，并将理由通知所有投标人：</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3</w:t>
      </w:r>
      <w:r>
        <w:rPr>
          <w:rFonts w:hint="eastAsia" w:ascii="宋体" w:hAnsi="宋体" w:cs="宋体"/>
          <w:bCs/>
          <w:color w:val="auto"/>
          <w:kern w:val="0"/>
          <w:sz w:val="24"/>
          <w:szCs w:val="24"/>
          <w:highlight w:val="none"/>
          <w:lang w:val="en-US" w:eastAsia="zh-CN"/>
        </w:rPr>
        <w:t>3</w:t>
      </w:r>
      <w:r>
        <w:rPr>
          <w:rFonts w:hint="eastAsia" w:ascii="宋体" w:hAnsi="宋体" w:cs="宋体"/>
          <w:bCs/>
          <w:color w:val="auto"/>
          <w:kern w:val="0"/>
          <w:sz w:val="24"/>
          <w:szCs w:val="24"/>
          <w:highlight w:val="none"/>
        </w:rPr>
        <w:t>.1.1出现影响采购公正的违法、违规行为的。</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3</w:t>
      </w:r>
      <w:r>
        <w:rPr>
          <w:rFonts w:hint="eastAsia" w:ascii="宋体" w:hAnsi="宋体" w:cs="宋体"/>
          <w:bCs/>
          <w:color w:val="auto"/>
          <w:kern w:val="0"/>
          <w:sz w:val="24"/>
          <w:szCs w:val="24"/>
          <w:highlight w:val="none"/>
          <w:lang w:val="en-US" w:eastAsia="zh-CN"/>
        </w:rPr>
        <w:t>3</w:t>
      </w:r>
      <w:r>
        <w:rPr>
          <w:rFonts w:hint="eastAsia" w:ascii="宋体" w:hAnsi="宋体" w:cs="宋体"/>
          <w:bCs/>
          <w:color w:val="auto"/>
          <w:kern w:val="0"/>
          <w:sz w:val="24"/>
          <w:szCs w:val="24"/>
          <w:highlight w:val="none"/>
        </w:rPr>
        <w:t>.1.2投标人的报价均超过了</w:t>
      </w:r>
      <w:r>
        <w:rPr>
          <w:rFonts w:hint="eastAsia" w:ascii="宋体" w:hAnsi="宋体" w:cs="宋体"/>
          <w:bCs/>
          <w:color w:val="auto"/>
          <w:kern w:val="0"/>
          <w:sz w:val="24"/>
          <w:szCs w:val="24"/>
          <w:highlight w:val="none"/>
          <w:lang w:val="en-US" w:eastAsia="zh-CN"/>
        </w:rPr>
        <w:t>采购预算金额</w:t>
      </w:r>
      <w:r>
        <w:rPr>
          <w:rFonts w:hint="eastAsia" w:ascii="宋体" w:hAnsi="宋体" w:cs="宋体"/>
          <w:bCs/>
          <w:color w:val="auto"/>
          <w:kern w:val="0"/>
          <w:sz w:val="24"/>
          <w:szCs w:val="24"/>
          <w:highlight w:val="none"/>
        </w:rPr>
        <w:t>，采购人不能支付的。</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3</w:t>
      </w:r>
      <w:r>
        <w:rPr>
          <w:rFonts w:hint="eastAsia" w:ascii="宋体" w:hAnsi="宋体" w:cs="宋体"/>
          <w:bCs/>
          <w:color w:val="auto"/>
          <w:kern w:val="0"/>
          <w:sz w:val="24"/>
          <w:szCs w:val="24"/>
          <w:highlight w:val="none"/>
          <w:lang w:val="en-US" w:eastAsia="zh-CN"/>
        </w:rPr>
        <w:t>3</w:t>
      </w:r>
      <w:r>
        <w:rPr>
          <w:rFonts w:hint="eastAsia" w:ascii="宋体" w:hAnsi="宋体" w:cs="宋体"/>
          <w:bCs/>
          <w:color w:val="auto"/>
          <w:kern w:val="0"/>
          <w:sz w:val="24"/>
          <w:szCs w:val="24"/>
          <w:highlight w:val="none"/>
        </w:rPr>
        <w:t>.1.3因重大变故，采购任务取消的。</w:t>
      </w:r>
    </w:p>
    <w:p>
      <w:pPr>
        <w:keepNext w:val="0"/>
        <w:keepLines w:val="0"/>
        <w:pageBreakBefore w:val="0"/>
        <w:kinsoku/>
        <w:wordWrap/>
        <w:overflowPunct/>
        <w:topLinePunct w:val="0"/>
        <w:bidi w:val="0"/>
        <w:snapToGrid w:val="0"/>
        <w:spacing w:beforeAutospacing="0" w:afterAutospacing="0" w:line="360" w:lineRule="auto"/>
        <w:ind w:firstLine="480" w:firstLineChars="200"/>
        <w:rPr>
          <w:rFonts w:ascii="宋体" w:hAnsi="宋体" w:cs="宋体"/>
          <w:color w:val="auto"/>
          <w:sz w:val="24"/>
          <w:szCs w:val="24"/>
          <w:highlight w:val="none"/>
        </w:rPr>
      </w:pPr>
      <w:r>
        <w:rPr>
          <w:rFonts w:hint="eastAsia" w:ascii="宋体" w:hAnsi="宋体" w:cs="宋体"/>
          <w:bCs/>
          <w:color w:val="auto"/>
          <w:kern w:val="0"/>
          <w:sz w:val="24"/>
          <w:szCs w:val="24"/>
          <w:highlight w:val="none"/>
        </w:rPr>
        <w:t>3</w:t>
      </w:r>
      <w:r>
        <w:rPr>
          <w:rFonts w:hint="eastAsia" w:ascii="宋体" w:hAnsi="宋体" w:cs="宋体"/>
          <w:bCs/>
          <w:color w:val="auto"/>
          <w:kern w:val="0"/>
          <w:sz w:val="24"/>
          <w:szCs w:val="24"/>
          <w:highlight w:val="none"/>
          <w:lang w:val="en-US" w:eastAsia="zh-CN"/>
        </w:rPr>
        <w:t>3</w:t>
      </w:r>
      <w:r>
        <w:rPr>
          <w:rFonts w:hint="eastAsia" w:ascii="宋体" w:hAnsi="宋体" w:cs="宋体"/>
          <w:color w:val="auto"/>
          <w:kern w:val="0"/>
          <w:sz w:val="24"/>
          <w:szCs w:val="24"/>
          <w:highlight w:val="none"/>
        </w:rPr>
        <w:t xml:space="preserve">.2 </w:t>
      </w:r>
      <w:r>
        <w:rPr>
          <w:rFonts w:hint="eastAsia" w:ascii="宋体" w:hAnsi="宋体" w:cs="宋体"/>
          <w:color w:val="auto"/>
          <w:sz w:val="24"/>
          <w:szCs w:val="24"/>
          <w:highlight w:val="none"/>
        </w:rPr>
        <w:t>投标截止后投标人不足3家或通过资格性检查或符合性检查的投标人不足3家的，除采购任务取消情形外，按照以下方式处理：</w:t>
      </w:r>
    </w:p>
    <w:p>
      <w:pPr>
        <w:keepNext w:val="0"/>
        <w:keepLines w:val="0"/>
        <w:pageBreakBefore w:val="0"/>
        <w:numPr>
          <w:ilvl w:val="0"/>
          <w:numId w:val="2"/>
        </w:numPr>
        <w:kinsoku/>
        <w:wordWrap/>
        <w:overflowPunct/>
        <w:topLinePunct w:val="0"/>
        <w:bidi w:val="0"/>
        <w:snapToGrid w:val="0"/>
        <w:spacing w:beforeAutospacing="0" w:afterAutospacing="0"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采购</w:t>
      </w:r>
      <w:r>
        <w:rPr>
          <w:rFonts w:hint="eastAsia" w:ascii="宋体" w:hAnsi="宋体" w:cs="宋体"/>
          <w:color w:val="auto"/>
          <w:sz w:val="24"/>
          <w:szCs w:val="24"/>
          <w:highlight w:val="none"/>
        </w:rPr>
        <w:t>文件存在不合理条款或者招标程序不符合规定的，采购人正后依法重新招标；　</w:t>
      </w:r>
    </w:p>
    <w:p>
      <w:pPr>
        <w:keepNext w:val="0"/>
        <w:keepLines w:val="0"/>
        <w:pageBreakBefore w:val="0"/>
        <w:kinsoku/>
        <w:wordWrap/>
        <w:overflowPunct/>
        <w:topLinePunct w:val="0"/>
        <w:bidi w:val="0"/>
        <w:snapToGrid w:val="0"/>
        <w:spacing w:beforeAutospacing="0" w:afterAutospacing="0" w:line="360" w:lineRule="auto"/>
        <w:ind w:firstLine="480" w:firstLineChars="200"/>
        <w:rPr>
          <w:rFonts w:ascii="宋体" w:hAnsi="宋体" w:cs="宋体"/>
          <w:b/>
          <w:color w:val="auto"/>
          <w:kern w:val="0"/>
          <w:sz w:val="24"/>
          <w:szCs w:val="24"/>
          <w:highlight w:val="none"/>
        </w:rPr>
      </w:pPr>
      <w:r>
        <w:rPr>
          <w:rFonts w:hint="eastAsia" w:ascii="宋体" w:hAnsi="宋体" w:cs="宋体"/>
          <w:color w:val="auto"/>
          <w:sz w:val="24"/>
          <w:szCs w:val="24"/>
          <w:highlight w:val="none"/>
        </w:rPr>
        <w:t>（2）</w:t>
      </w:r>
      <w:r>
        <w:rPr>
          <w:rFonts w:hint="eastAsia" w:ascii="宋体" w:hAnsi="宋体" w:cs="宋体"/>
          <w:color w:val="auto"/>
          <w:sz w:val="24"/>
          <w:szCs w:val="24"/>
          <w:highlight w:val="none"/>
          <w:lang w:val="en-US" w:eastAsia="zh-CN"/>
        </w:rPr>
        <w:t>采购</w:t>
      </w:r>
      <w:r>
        <w:rPr>
          <w:rFonts w:hint="eastAsia" w:ascii="宋体" w:hAnsi="宋体" w:cs="宋体"/>
          <w:color w:val="auto"/>
          <w:sz w:val="24"/>
          <w:szCs w:val="24"/>
          <w:highlight w:val="none"/>
        </w:rPr>
        <w:t>文件没有不合理条款、招标程序符合规定，需要采用其他采购方式采购的，采购人应当依法报财政部门批准。</w:t>
      </w:r>
    </w:p>
    <w:p>
      <w:pPr>
        <w:keepNext w:val="0"/>
        <w:keepLines w:val="0"/>
        <w:pageBreakBefore w:val="0"/>
        <w:widowControl/>
        <w:kinsoku/>
        <w:wordWrap/>
        <w:overflowPunct/>
        <w:topLinePunct w:val="0"/>
        <w:bidi w:val="0"/>
        <w:snapToGrid w:val="0"/>
        <w:spacing w:beforeAutospacing="0" w:afterAutospacing="0" w:line="360" w:lineRule="auto"/>
        <w:jc w:val="center"/>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lang w:val="en-US" w:eastAsia="zh-CN"/>
        </w:rPr>
        <w:t>七</w:t>
      </w:r>
      <w:r>
        <w:rPr>
          <w:rFonts w:hint="eastAsia" w:ascii="宋体" w:hAnsi="宋体" w:eastAsia="宋体" w:cs="宋体"/>
          <w:b/>
          <w:bCs/>
          <w:color w:val="auto"/>
          <w:kern w:val="0"/>
          <w:sz w:val="28"/>
          <w:szCs w:val="28"/>
          <w:highlight w:val="none"/>
        </w:rPr>
        <w:t>、合同授予</w:t>
      </w:r>
    </w:p>
    <w:p>
      <w:pPr>
        <w:keepNext w:val="0"/>
        <w:keepLines w:val="0"/>
        <w:pageBreakBefore w:val="0"/>
        <w:widowControl/>
        <w:kinsoku/>
        <w:wordWrap/>
        <w:overflowPunct/>
        <w:topLinePunct w:val="0"/>
        <w:bidi w:val="0"/>
        <w:snapToGrid w:val="0"/>
        <w:spacing w:beforeAutospacing="0" w:afterAutospacing="0" w:line="360" w:lineRule="auto"/>
        <w:ind w:firstLine="540" w:firstLineChars="224"/>
        <w:rPr>
          <w:rFonts w:ascii="宋体" w:hAnsi="宋体" w:cs="宋体"/>
          <w:color w:val="auto"/>
          <w:kern w:val="0"/>
          <w:sz w:val="24"/>
          <w:szCs w:val="24"/>
          <w:highlight w:val="none"/>
        </w:rPr>
      </w:pPr>
      <w:r>
        <w:rPr>
          <w:rFonts w:hint="eastAsia" w:ascii="宋体" w:hAnsi="宋体" w:cs="宋体"/>
          <w:b/>
          <w:bCs/>
          <w:color w:val="auto"/>
          <w:kern w:val="0"/>
          <w:sz w:val="24"/>
          <w:szCs w:val="24"/>
          <w:highlight w:val="none"/>
        </w:rPr>
        <w:t>3</w:t>
      </w:r>
      <w:r>
        <w:rPr>
          <w:rFonts w:hint="eastAsia" w:ascii="宋体" w:hAnsi="宋体" w:cs="宋体"/>
          <w:b/>
          <w:bCs/>
          <w:color w:val="auto"/>
          <w:kern w:val="0"/>
          <w:sz w:val="24"/>
          <w:szCs w:val="24"/>
          <w:highlight w:val="none"/>
          <w:lang w:val="en-US" w:eastAsia="zh-CN"/>
        </w:rPr>
        <w:t>4</w:t>
      </w:r>
      <w:r>
        <w:rPr>
          <w:rFonts w:hint="eastAsia" w:ascii="宋体" w:hAnsi="宋体" w:cs="宋体"/>
          <w:b/>
          <w:bCs/>
          <w:color w:val="auto"/>
          <w:kern w:val="0"/>
          <w:sz w:val="24"/>
          <w:szCs w:val="24"/>
          <w:highlight w:val="none"/>
        </w:rPr>
        <w:t>.合同签订</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ascii="宋体" w:hAnsi="宋体" w:cs="宋体"/>
          <w:color w:val="auto"/>
          <w:kern w:val="0"/>
          <w:sz w:val="24"/>
          <w:szCs w:val="24"/>
          <w:highlight w:val="none"/>
          <w:u w:val="single"/>
        </w:rPr>
      </w:pPr>
      <w:bookmarkStart w:id="42" w:name="_Toc8594"/>
      <w:r>
        <w:rPr>
          <w:rFonts w:hint="eastAsia" w:ascii="宋体" w:hAnsi="宋体" w:cs="宋体"/>
          <w:color w:val="auto"/>
          <w:kern w:val="0"/>
          <w:sz w:val="24"/>
          <w:szCs w:val="24"/>
          <w:highlight w:val="none"/>
        </w:rPr>
        <w:t>3</w:t>
      </w:r>
      <w:r>
        <w:rPr>
          <w:rFonts w:hint="eastAsia" w:ascii="宋体" w:hAnsi="宋体" w:cs="宋体"/>
          <w:color w:val="auto"/>
          <w:kern w:val="0"/>
          <w:sz w:val="24"/>
          <w:szCs w:val="24"/>
          <w:highlight w:val="none"/>
          <w:lang w:val="en-US" w:eastAsia="zh-CN"/>
        </w:rPr>
        <w:t>4</w:t>
      </w:r>
      <w:r>
        <w:rPr>
          <w:rFonts w:hint="eastAsia" w:ascii="宋体" w:hAnsi="宋体" w:cs="宋体"/>
          <w:color w:val="auto"/>
          <w:kern w:val="0"/>
          <w:sz w:val="24"/>
          <w:szCs w:val="24"/>
          <w:highlight w:val="none"/>
        </w:rPr>
        <w:t>.1 采购人、中标人自</w:t>
      </w:r>
      <w:r>
        <w:rPr>
          <w:rFonts w:hint="eastAsia" w:ascii="宋体" w:hAnsi="宋体" w:cs="宋体"/>
          <w:color w:val="auto"/>
          <w:kern w:val="0"/>
          <w:sz w:val="24"/>
          <w:szCs w:val="24"/>
          <w:highlight w:val="none"/>
          <w:lang w:eastAsia="zh-CN"/>
        </w:rPr>
        <w:t>成交通知书</w:t>
      </w:r>
      <w:r>
        <w:rPr>
          <w:rFonts w:hint="eastAsia" w:ascii="宋体" w:hAnsi="宋体" w:cs="宋体"/>
          <w:color w:val="auto"/>
          <w:kern w:val="0"/>
          <w:sz w:val="24"/>
          <w:szCs w:val="24"/>
          <w:highlight w:val="none"/>
        </w:rPr>
        <w:t>发出之日起，在</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文件第三章《投标人须知前附表》规定的时间内，根据</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文件确定的事项和中标人投标文件签订合同。双方所签订的合同不得对</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文件和中标人投标文件作实质性修改。</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3</w:t>
      </w:r>
      <w:r>
        <w:rPr>
          <w:rFonts w:hint="eastAsia" w:ascii="宋体" w:hAnsi="宋体" w:cs="宋体"/>
          <w:color w:val="auto"/>
          <w:kern w:val="0"/>
          <w:sz w:val="24"/>
          <w:szCs w:val="24"/>
          <w:highlight w:val="none"/>
          <w:lang w:val="en-US" w:eastAsia="zh-CN"/>
        </w:rPr>
        <w:t>4</w:t>
      </w:r>
      <w:r>
        <w:rPr>
          <w:rFonts w:hint="eastAsia" w:ascii="宋体" w:hAnsi="宋体" w:cs="宋体"/>
          <w:color w:val="auto"/>
          <w:kern w:val="0"/>
          <w:sz w:val="24"/>
          <w:szCs w:val="24"/>
          <w:highlight w:val="none"/>
        </w:rPr>
        <w:t xml:space="preserve">.2 </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文件、</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文件的修改文件、中标人的投标文件、补充或修改的文件及澄清或承诺文件等，均为双方签订合同的组成部分，并与合同一并作为本</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文件所列采购项目的互补性法律文件，与合同具有同等法律效力。</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3</w:t>
      </w:r>
      <w:r>
        <w:rPr>
          <w:rFonts w:hint="eastAsia" w:ascii="宋体" w:hAnsi="宋体" w:cs="宋体"/>
          <w:color w:val="auto"/>
          <w:kern w:val="0"/>
          <w:sz w:val="24"/>
          <w:szCs w:val="24"/>
          <w:highlight w:val="none"/>
          <w:lang w:val="en-US" w:eastAsia="zh-CN"/>
        </w:rPr>
        <w:t>4</w:t>
      </w:r>
      <w:r>
        <w:rPr>
          <w:rFonts w:hint="eastAsia" w:ascii="宋体" w:hAnsi="宋体" w:cs="宋体"/>
          <w:color w:val="auto"/>
          <w:kern w:val="0"/>
          <w:sz w:val="24"/>
          <w:szCs w:val="24"/>
          <w:highlight w:val="none"/>
        </w:rPr>
        <w:t>.3 中标人</w:t>
      </w:r>
      <w:r>
        <w:rPr>
          <w:rFonts w:hint="eastAsia" w:cs="宋体"/>
          <w:color w:val="auto"/>
          <w:kern w:val="0"/>
          <w:sz w:val="24"/>
          <w:szCs w:val="24"/>
          <w:highlight w:val="none"/>
        </w:rPr>
        <w:t>放弃中标、因不可抗力不能履行合同、不按照</w:t>
      </w:r>
      <w:r>
        <w:rPr>
          <w:rFonts w:hint="eastAsia" w:cs="宋体"/>
          <w:color w:val="auto"/>
          <w:kern w:val="0"/>
          <w:sz w:val="24"/>
          <w:szCs w:val="24"/>
          <w:highlight w:val="none"/>
          <w:lang w:val="en-US" w:eastAsia="zh-CN"/>
        </w:rPr>
        <w:t>采购</w:t>
      </w:r>
      <w:r>
        <w:rPr>
          <w:rFonts w:hint="eastAsia" w:cs="宋体"/>
          <w:color w:val="auto"/>
          <w:kern w:val="0"/>
          <w:sz w:val="24"/>
          <w:szCs w:val="24"/>
          <w:highlight w:val="none"/>
        </w:rPr>
        <w:t>文件要求提交履约保证金，或者被查实存在影响中标结果的违法行为等情形，不符合中标条件的，</w:t>
      </w:r>
      <w:r>
        <w:rPr>
          <w:rFonts w:hint="eastAsia" w:ascii="宋体" w:hAnsi="宋体" w:cs="宋体"/>
          <w:color w:val="auto"/>
          <w:kern w:val="0"/>
          <w:sz w:val="24"/>
          <w:szCs w:val="24"/>
          <w:highlight w:val="none"/>
        </w:rPr>
        <w:t>采购人可以</w:t>
      </w:r>
      <w:r>
        <w:rPr>
          <w:rFonts w:hint="eastAsia" w:cs="宋体"/>
          <w:color w:val="auto"/>
          <w:kern w:val="0"/>
          <w:sz w:val="24"/>
          <w:szCs w:val="24"/>
          <w:highlight w:val="none"/>
        </w:rPr>
        <w:t>按照评标委员会提出的中标候选</w:t>
      </w:r>
      <w:r>
        <w:rPr>
          <w:rFonts w:hint="eastAsia" w:ascii="宋体" w:hAnsi="宋体" w:cs="宋体"/>
          <w:color w:val="auto"/>
          <w:kern w:val="0"/>
          <w:sz w:val="24"/>
          <w:szCs w:val="24"/>
          <w:highlight w:val="none"/>
        </w:rPr>
        <w:t>人</w:t>
      </w:r>
      <w:r>
        <w:rPr>
          <w:rFonts w:hint="eastAsia" w:cs="宋体"/>
          <w:color w:val="auto"/>
          <w:kern w:val="0"/>
          <w:sz w:val="24"/>
          <w:szCs w:val="24"/>
          <w:highlight w:val="none"/>
        </w:rPr>
        <w:t>名单排序依次确定其他中标候选</w:t>
      </w:r>
      <w:r>
        <w:rPr>
          <w:rFonts w:hint="eastAsia" w:ascii="宋体" w:hAnsi="宋体" w:cs="宋体"/>
          <w:color w:val="auto"/>
          <w:kern w:val="0"/>
          <w:sz w:val="24"/>
          <w:szCs w:val="24"/>
          <w:highlight w:val="none"/>
        </w:rPr>
        <w:t>人</w:t>
      </w:r>
      <w:r>
        <w:rPr>
          <w:rFonts w:hint="eastAsia" w:cs="宋体"/>
          <w:color w:val="auto"/>
          <w:kern w:val="0"/>
          <w:sz w:val="24"/>
          <w:szCs w:val="24"/>
          <w:highlight w:val="none"/>
        </w:rPr>
        <w:t>为中标</w:t>
      </w:r>
      <w:r>
        <w:rPr>
          <w:rFonts w:hint="eastAsia" w:ascii="宋体" w:hAnsi="宋体" w:cs="宋体"/>
          <w:color w:val="auto"/>
          <w:kern w:val="0"/>
          <w:sz w:val="24"/>
          <w:szCs w:val="24"/>
          <w:highlight w:val="none"/>
        </w:rPr>
        <w:t>人</w:t>
      </w:r>
      <w:r>
        <w:rPr>
          <w:rFonts w:hint="eastAsia" w:cs="宋体"/>
          <w:color w:val="auto"/>
          <w:kern w:val="0"/>
          <w:sz w:val="24"/>
          <w:szCs w:val="24"/>
          <w:highlight w:val="none"/>
        </w:rPr>
        <w:t>，也可以重新招标。</w:t>
      </w:r>
    </w:p>
    <w:bookmarkEnd w:id="42"/>
    <w:p>
      <w:pPr>
        <w:pageBreakBefore w:val="0"/>
        <w:kinsoku/>
        <w:overflowPunct/>
        <w:topLinePunct w:val="0"/>
        <w:bidi w:val="0"/>
        <w:spacing w:beforeAutospacing="0" w:afterAutospacing="0" w:line="360" w:lineRule="auto"/>
        <w:rPr>
          <w:rFonts w:hint="eastAsia" w:ascii="黑体" w:hAnsi="宋体" w:eastAsia="黑体" w:cs="宋体"/>
          <w:b/>
          <w:bCs/>
          <w:color w:val="auto"/>
          <w:kern w:val="0"/>
          <w:sz w:val="32"/>
          <w:szCs w:val="32"/>
          <w:highlight w:val="none"/>
        </w:rPr>
      </w:pPr>
      <w:bookmarkStart w:id="43" w:name="_Toc4700"/>
      <w:bookmarkStart w:id="44" w:name="_Toc9022"/>
      <w:bookmarkStart w:id="45" w:name="_Toc16669"/>
      <w:r>
        <w:rPr>
          <w:rFonts w:hint="eastAsia" w:ascii="黑体" w:hAnsi="宋体" w:eastAsia="黑体" w:cs="宋体"/>
          <w:b/>
          <w:bCs/>
          <w:color w:val="auto"/>
          <w:kern w:val="0"/>
          <w:sz w:val="32"/>
          <w:szCs w:val="32"/>
          <w:highlight w:val="none"/>
        </w:rPr>
        <w:br w:type="page"/>
      </w:r>
    </w:p>
    <w:p>
      <w:pPr>
        <w:pageBreakBefore w:val="0"/>
        <w:kinsoku/>
        <w:overflowPunct/>
        <w:topLinePunct w:val="0"/>
        <w:bidi w:val="0"/>
        <w:spacing w:beforeAutospacing="0" w:afterAutospacing="0" w:line="360" w:lineRule="auto"/>
        <w:jc w:val="center"/>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rPr>
        <w:t>第四章  评标办法及评分标准</w:t>
      </w:r>
      <w:bookmarkEnd w:id="43"/>
      <w:bookmarkEnd w:id="44"/>
    </w:p>
    <w:p>
      <w:pPr>
        <w:pageBreakBefore w:val="0"/>
        <w:kinsoku/>
        <w:overflowPunct/>
        <w:topLinePunct w:val="0"/>
        <w:bidi w:val="0"/>
        <w:spacing w:beforeAutospacing="0" w:afterAutospacing="0" w:line="360" w:lineRule="auto"/>
        <w:rPr>
          <w:color w:val="auto"/>
          <w:highlight w:val="none"/>
        </w:rPr>
      </w:pPr>
    </w:p>
    <w:p>
      <w:pPr>
        <w:keepNext w:val="0"/>
        <w:keepLines w:val="0"/>
        <w:pageBreakBefore w:val="0"/>
        <w:tabs>
          <w:tab w:val="left" w:pos="1620"/>
        </w:tabs>
        <w:kinsoku/>
        <w:overflowPunct/>
        <w:topLinePunct w:val="0"/>
        <w:bidi w:val="0"/>
        <w:snapToGrid w:val="0"/>
        <w:spacing w:beforeAutospacing="0" w:afterAutospacing="0" w:line="360" w:lineRule="auto"/>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（一）评标原则</w:t>
      </w:r>
    </w:p>
    <w:p>
      <w:pPr>
        <w:keepNext w:val="0"/>
        <w:keepLines w:val="0"/>
        <w:pageBreakBefore w:val="0"/>
        <w:tabs>
          <w:tab w:val="left" w:pos="1620"/>
        </w:tabs>
        <w:kinsoku/>
        <w:overflowPunct/>
        <w:topLinePunct w:val="0"/>
        <w:bidi w:val="0"/>
        <w:snapToGrid w:val="0"/>
        <w:spacing w:beforeAutospacing="0" w:afterAutospacing="0" w:line="360" w:lineRule="auto"/>
        <w:ind w:firstLine="528" w:firstLineChars="22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按照“公平、公正”的原则对待所有投标人</w:t>
      </w:r>
      <w:r>
        <w:rPr>
          <w:rFonts w:hint="eastAsia" w:ascii="宋体" w:hAnsi="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按照</w:t>
      </w:r>
      <w:r>
        <w:rPr>
          <w:rFonts w:hint="eastAsia" w:ascii="宋体" w:hAnsi="宋体" w:cs="宋体"/>
          <w:b w:val="0"/>
          <w:bCs w:val="0"/>
          <w:color w:val="auto"/>
          <w:sz w:val="24"/>
          <w:szCs w:val="24"/>
          <w:highlight w:val="none"/>
          <w:lang w:val="en-US" w:eastAsia="zh-CN"/>
        </w:rPr>
        <w:t>采购</w:t>
      </w:r>
      <w:r>
        <w:rPr>
          <w:rFonts w:hint="eastAsia" w:ascii="宋体" w:hAnsi="宋体" w:eastAsia="宋体" w:cs="宋体"/>
          <w:b w:val="0"/>
          <w:bCs w:val="0"/>
          <w:color w:val="auto"/>
          <w:sz w:val="24"/>
          <w:szCs w:val="24"/>
          <w:highlight w:val="none"/>
        </w:rPr>
        <w:t>文件的相关规定进行评标、定标。</w:t>
      </w:r>
    </w:p>
    <w:p>
      <w:pPr>
        <w:keepNext w:val="0"/>
        <w:keepLines w:val="0"/>
        <w:pageBreakBefore w:val="0"/>
        <w:tabs>
          <w:tab w:val="left" w:pos="1620"/>
        </w:tabs>
        <w:kinsoku/>
        <w:overflowPunct/>
        <w:topLinePunct w:val="0"/>
        <w:bidi w:val="0"/>
        <w:snapToGrid w:val="0"/>
        <w:spacing w:beforeAutospacing="0" w:afterAutospacing="0" w:line="360" w:lineRule="auto"/>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w:t>
      </w:r>
      <w:r>
        <w:rPr>
          <w:rFonts w:hint="eastAsia" w:ascii="宋体" w:hAnsi="宋体" w:cs="宋体"/>
          <w:b w:val="0"/>
          <w:bCs w:val="0"/>
          <w:color w:val="auto"/>
          <w:sz w:val="24"/>
          <w:szCs w:val="24"/>
          <w:highlight w:val="none"/>
          <w:lang w:val="en-US" w:eastAsia="zh-CN"/>
        </w:rPr>
        <w:t>二</w:t>
      </w:r>
      <w:r>
        <w:rPr>
          <w:rFonts w:hint="eastAsia" w:ascii="宋体" w:hAnsi="宋体" w:eastAsia="宋体" w:cs="宋体"/>
          <w:b w:val="0"/>
          <w:bCs w:val="0"/>
          <w:color w:val="auto"/>
          <w:sz w:val="24"/>
          <w:szCs w:val="24"/>
          <w:highlight w:val="none"/>
        </w:rPr>
        <w:t>）评标办法</w:t>
      </w:r>
    </w:p>
    <w:p>
      <w:pPr>
        <w:keepNext w:val="0"/>
        <w:keepLines w:val="0"/>
        <w:pageBreakBefore w:val="0"/>
        <w:tabs>
          <w:tab w:val="left" w:pos="1620"/>
        </w:tabs>
        <w:kinsoku/>
        <w:overflowPunct/>
        <w:topLinePunct w:val="0"/>
        <w:bidi w:val="0"/>
        <w:snapToGrid w:val="0"/>
        <w:spacing w:beforeAutospacing="0" w:afterAutospacing="0" w:line="360" w:lineRule="auto"/>
        <w:ind w:firstLine="528" w:firstLineChars="22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1．本项目采用综合评分法，总分为100分。</w:t>
      </w:r>
    </w:p>
    <w:p>
      <w:pPr>
        <w:keepNext w:val="0"/>
        <w:keepLines w:val="0"/>
        <w:pageBreakBefore w:val="0"/>
        <w:tabs>
          <w:tab w:val="left" w:pos="1620"/>
        </w:tabs>
        <w:kinsoku/>
        <w:overflowPunct/>
        <w:topLinePunct w:val="0"/>
        <w:bidi w:val="0"/>
        <w:snapToGrid w:val="0"/>
        <w:spacing w:beforeAutospacing="0" w:afterAutospacing="0" w:line="360" w:lineRule="auto"/>
        <w:ind w:firstLine="528" w:firstLineChars="22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2．评标委员会按照</w:t>
      </w:r>
      <w:r>
        <w:rPr>
          <w:rFonts w:hint="eastAsia" w:ascii="宋体" w:hAnsi="宋体" w:cs="宋体"/>
          <w:b w:val="0"/>
          <w:bCs w:val="0"/>
          <w:color w:val="auto"/>
          <w:sz w:val="24"/>
          <w:szCs w:val="24"/>
          <w:highlight w:val="none"/>
          <w:lang w:val="en-US" w:eastAsia="zh-CN"/>
        </w:rPr>
        <w:t>采购</w:t>
      </w:r>
      <w:r>
        <w:rPr>
          <w:rFonts w:hint="eastAsia" w:ascii="宋体" w:hAnsi="宋体" w:eastAsia="宋体" w:cs="宋体"/>
          <w:b w:val="0"/>
          <w:bCs w:val="0"/>
          <w:color w:val="auto"/>
          <w:sz w:val="24"/>
          <w:szCs w:val="24"/>
          <w:highlight w:val="none"/>
        </w:rPr>
        <w:t>文件中规定的评标方法和标准，对投标文件进行综合比较与评价。</w:t>
      </w:r>
    </w:p>
    <w:p>
      <w:pPr>
        <w:keepNext w:val="0"/>
        <w:keepLines w:val="0"/>
        <w:pageBreakBefore w:val="0"/>
        <w:tabs>
          <w:tab w:val="left" w:pos="1620"/>
        </w:tabs>
        <w:kinsoku/>
        <w:overflowPunct/>
        <w:topLinePunct w:val="0"/>
        <w:bidi w:val="0"/>
        <w:snapToGrid w:val="0"/>
        <w:spacing w:beforeAutospacing="0" w:afterAutospacing="0" w:line="360" w:lineRule="auto"/>
        <w:ind w:firstLine="528" w:firstLineChars="22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3.</w:t>
      </w:r>
      <w:r>
        <w:rPr>
          <w:rFonts w:hint="eastAsia" w:ascii="宋体" w:hAnsi="宋体" w:cs="宋体"/>
          <w:b w:val="0"/>
          <w:bCs w:val="0"/>
          <w:color w:val="auto"/>
          <w:sz w:val="24"/>
          <w:szCs w:val="24"/>
          <w:highlight w:val="none"/>
          <w:lang w:val="en-US" w:eastAsia="zh-CN"/>
        </w:rPr>
        <w:t xml:space="preserve"> </w:t>
      </w:r>
      <w:r>
        <w:rPr>
          <w:rFonts w:hint="eastAsia" w:ascii="宋体" w:hAnsi="宋体" w:eastAsia="宋体" w:cs="宋体"/>
          <w:b w:val="0"/>
          <w:bCs w:val="0"/>
          <w:color w:val="auto"/>
          <w:sz w:val="24"/>
          <w:szCs w:val="24"/>
          <w:highlight w:val="none"/>
        </w:rPr>
        <w:t>评标结果按评审后得分由高到低顺序排列，得分相同的，按投标报价由低到高顺序排列。得分且投标报价相同的，按技术部分得分顺序排列。</w:t>
      </w:r>
    </w:p>
    <w:p>
      <w:pPr>
        <w:keepNext w:val="0"/>
        <w:keepLines w:val="0"/>
        <w:pageBreakBefore w:val="0"/>
        <w:tabs>
          <w:tab w:val="left" w:pos="1620"/>
        </w:tabs>
        <w:kinsoku/>
        <w:overflowPunct/>
        <w:topLinePunct w:val="0"/>
        <w:bidi w:val="0"/>
        <w:snapToGrid w:val="0"/>
        <w:spacing w:beforeAutospacing="0" w:afterAutospacing="0" w:line="360" w:lineRule="auto"/>
        <w:ind w:firstLine="528" w:firstLineChars="220"/>
        <w:textAlignment w:val="auto"/>
        <w:rPr>
          <w:rFonts w:hint="eastAsia" w:ascii="宋体" w:hAnsi="宋体" w:eastAsia="宋体" w:cs="宋体"/>
          <w:b w:val="0"/>
          <w:bCs w:val="0"/>
          <w:color w:val="auto"/>
          <w:sz w:val="24"/>
          <w:szCs w:val="24"/>
          <w:highlight w:val="none"/>
        </w:rPr>
      </w:pPr>
      <w:r>
        <w:rPr>
          <w:rFonts w:hint="eastAsia" w:ascii="宋体" w:hAnsi="宋体" w:cs="宋体"/>
          <w:b w:val="0"/>
          <w:bCs w:val="0"/>
          <w:color w:val="auto"/>
          <w:sz w:val="24"/>
          <w:szCs w:val="24"/>
          <w:highlight w:val="none"/>
          <w:lang w:val="en-US" w:eastAsia="zh-CN"/>
        </w:rPr>
        <w:t>4</w:t>
      </w:r>
      <w:r>
        <w:rPr>
          <w:rFonts w:hint="eastAsia" w:ascii="宋体" w:hAnsi="宋体" w:eastAsia="宋体" w:cs="宋体"/>
          <w:b w:val="0"/>
          <w:bCs w:val="0"/>
          <w:color w:val="auto"/>
          <w:sz w:val="24"/>
          <w:szCs w:val="24"/>
          <w:highlight w:val="none"/>
        </w:rPr>
        <w:t>.投标文件满足</w:t>
      </w:r>
      <w:r>
        <w:rPr>
          <w:rFonts w:hint="eastAsia" w:ascii="宋体" w:hAnsi="宋体" w:cs="宋体"/>
          <w:b w:val="0"/>
          <w:bCs w:val="0"/>
          <w:color w:val="auto"/>
          <w:sz w:val="24"/>
          <w:szCs w:val="24"/>
          <w:highlight w:val="none"/>
          <w:lang w:val="en-US" w:eastAsia="zh-CN"/>
        </w:rPr>
        <w:t>采购</w:t>
      </w:r>
      <w:r>
        <w:rPr>
          <w:rFonts w:hint="eastAsia" w:ascii="宋体" w:hAnsi="宋体" w:eastAsia="宋体" w:cs="宋体"/>
          <w:b w:val="0"/>
          <w:bCs w:val="0"/>
          <w:color w:val="auto"/>
          <w:sz w:val="24"/>
          <w:szCs w:val="24"/>
          <w:highlight w:val="none"/>
        </w:rPr>
        <w:t>文件全部实质性要求，且评审得分最高的投标人为第一中标候选人。</w:t>
      </w:r>
    </w:p>
    <w:p>
      <w:pPr>
        <w:keepNext w:val="0"/>
        <w:keepLines w:val="0"/>
        <w:pageBreakBefore w:val="0"/>
        <w:tabs>
          <w:tab w:val="left" w:pos="1620"/>
        </w:tabs>
        <w:kinsoku/>
        <w:overflowPunct/>
        <w:topLinePunct w:val="0"/>
        <w:bidi w:val="0"/>
        <w:snapToGrid w:val="0"/>
        <w:spacing w:beforeAutospacing="0" w:afterAutospacing="0" w:line="360" w:lineRule="auto"/>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w:t>
      </w:r>
      <w:r>
        <w:rPr>
          <w:rFonts w:hint="eastAsia" w:ascii="宋体" w:hAnsi="宋体" w:cs="宋体"/>
          <w:b w:val="0"/>
          <w:bCs w:val="0"/>
          <w:color w:val="auto"/>
          <w:sz w:val="24"/>
          <w:szCs w:val="24"/>
          <w:highlight w:val="none"/>
          <w:lang w:val="en-US" w:eastAsia="zh-CN"/>
        </w:rPr>
        <w:t>三</w:t>
      </w:r>
      <w:r>
        <w:rPr>
          <w:rFonts w:hint="eastAsia" w:ascii="宋体" w:hAnsi="宋体" w:eastAsia="宋体" w:cs="宋体"/>
          <w:b w:val="0"/>
          <w:bCs w:val="0"/>
          <w:color w:val="auto"/>
          <w:sz w:val="24"/>
          <w:szCs w:val="24"/>
          <w:highlight w:val="none"/>
        </w:rPr>
        <w:t>）评标程序</w:t>
      </w:r>
    </w:p>
    <w:p>
      <w:pPr>
        <w:keepNext w:val="0"/>
        <w:keepLines w:val="0"/>
        <w:pageBreakBefore w:val="0"/>
        <w:numPr>
          <w:ilvl w:val="0"/>
          <w:numId w:val="3"/>
        </w:numPr>
        <w:kinsoku/>
        <w:overflowPunct/>
        <w:topLinePunct w:val="0"/>
        <w:bidi w:val="0"/>
        <w:snapToGrid w:val="0"/>
        <w:spacing w:beforeAutospacing="0" w:afterAutospacing="0" w:line="360" w:lineRule="auto"/>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详细评审（100分）</w:t>
      </w:r>
    </w:p>
    <w:tbl>
      <w:tblPr>
        <w:tblStyle w:val="32"/>
        <w:tblW w:w="94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9"/>
        <w:gridCol w:w="1925"/>
        <w:gridCol w:w="215"/>
        <w:gridCol w:w="61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482" w:type="dxa"/>
            <w:gridSpan w:val="4"/>
            <w:vAlign w:val="center"/>
          </w:tcPr>
          <w:p>
            <w:pPr>
              <w:keepNext w:val="0"/>
              <w:keepLines w:val="0"/>
              <w:pageBreakBefore w:val="0"/>
              <w:widowControl w:val="0"/>
              <w:tabs>
                <w:tab w:val="left" w:pos="3000"/>
              </w:tabs>
              <w:kinsoku/>
              <w:wordWrap/>
              <w:overflowPunct/>
              <w:topLinePunct w:val="0"/>
              <w:autoSpaceDE/>
              <w:autoSpaceDN/>
              <w:bidi w:val="0"/>
              <w:adjustRightInd/>
              <w:snapToGrid w:val="0"/>
              <w:spacing w:beforeAutospacing="0" w:afterAutospacing="0" w:line="360" w:lineRule="auto"/>
              <w:jc w:val="center"/>
              <w:textAlignment w:val="auto"/>
              <w:rPr>
                <w:rFonts w:hint="eastAsia" w:ascii="宋体" w:hAnsi="宋体" w:eastAsia="宋体" w:cs="宋体"/>
                <w:b w:val="0"/>
                <w:bCs w:val="0"/>
                <w:color w:val="auto"/>
                <w:sz w:val="24"/>
                <w:szCs w:val="24"/>
                <w:highlight w:val="none"/>
              </w:rPr>
            </w:pPr>
            <w:r>
              <w:rPr>
                <w:rFonts w:hint="eastAsia" w:ascii="宋体" w:hAnsi="宋体" w:cs="宋体"/>
                <w:b/>
                <w:bCs/>
                <w:color w:val="auto"/>
                <w:sz w:val="24"/>
                <w:szCs w:val="24"/>
                <w:highlight w:val="none"/>
                <w:lang w:val="en-US" w:eastAsia="zh-CN"/>
              </w:rPr>
              <w:t>A包</w:t>
            </w:r>
            <w:r>
              <w:rPr>
                <w:rFonts w:hint="eastAsia" w:ascii="宋体" w:hAnsi="宋体" w:eastAsia="宋体" w:cs="宋体"/>
                <w:b/>
                <w:bCs/>
                <w:color w:val="auto"/>
                <w:sz w:val="24"/>
                <w:szCs w:val="24"/>
                <w:highlight w:val="none"/>
              </w:rPr>
              <w:t>评审内容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5" w:hRule="atLeast"/>
          <w:jc w:val="center"/>
        </w:trPr>
        <w:tc>
          <w:tcPr>
            <w:tcW w:w="1239" w:type="dxa"/>
            <w:vMerge w:val="restart"/>
            <w:vAlign w:val="center"/>
          </w:tcPr>
          <w:p>
            <w:pPr>
              <w:keepNext w:val="0"/>
              <w:keepLines w:val="0"/>
              <w:pageBreakBefore w:val="0"/>
              <w:kinsoku/>
              <w:wordWrap/>
              <w:overflowPunct/>
              <w:topLinePunct w:val="0"/>
              <w:bidi w:val="0"/>
              <w:snapToGrid w:val="0"/>
              <w:spacing w:beforeAutospacing="0" w:afterAutospacing="0" w:line="360" w:lineRule="auto"/>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价格标部分(</w:t>
            </w:r>
            <w:r>
              <w:rPr>
                <w:rFonts w:hint="eastAsia" w:ascii="宋体" w:hAnsi="宋体" w:cs="宋体"/>
                <w:b w:val="0"/>
                <w:bCs w:val="0"/>
                <w:color w:val="auto"/>
                <w:sz w:val="24"/>
                <w:szCs w:val="24"/>
                <w:highlight w:val="none"/>
                <w:lang w:val="en-US" w:eastAsia="zh-CN"/>
              </w:rPr>
              <w:t>30</w:t>
            </w:r>
            <w:r>
              <w:rPr>
                <w:rFonts w:hint="eastAsia" w:ascii="宋体" w:hAnsi="宋体" w:eastAsia="宋体" w:cs="宋体"/>
                <w:b w:val="0"/>
                <w:bCs w:val="0"/>
                <w:color w:val="auto"/>
                <w:sz w:val="24"/>
                <w:szCs w:val="24"/>
                <w:highlight w:val="none"/>
              </w:rPr>
              <w:t>分)</w:t>
            </w:r>
          </w:p>
        </w:tc>
        <w:tc>
          <w:tcPr>
            <w:tcW w:w="8243" w:type="dxa"/>
            <w:gridSpan w:val="3"/>
            <w:vAlign w:val="center"/>
          </w:tcPr>
          <w:p>
            <w:pPr>
              <w:pStyle w:val="49"/>
              <w:keepNext w:val="0"/>
              <w:keepLines w:val="0"/>
              <w:pageBreakBefore w:val="0"/>
              <w:kinsoku/>
              <w:wordWrap/>
              <w:overflowPunct/>
              <w:topLinePunct w:val="0"/>
              <w:bidi w:val="0"/>
              <w:snapToGrid w:val="0"/>
              <w:spacing w:beforeAutospacing="0" w:afterAutospacing="0" w:line="360" w:lineRule="auto"/>
              <w:jc w:val="both"/>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u w:val="none"/>
              </w:rPr>
              <w:t>说明：当评标委员会发现投标人的投标报价明显低于其他投标报价，使其投标报价可能低于其个别成本的，评标委员会可对其质询，并要求该投标人做出书面说明和提供相关的证明材料；该投标人不能合理说明或提供证明材料的，评标委员会应按无效投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8" w:hRule="atLeast"/>
          <w:jc w:val="center"/>
        </w:trPr>
        <w:tc>
          <w:tcPr>
            <w:tcW w:w="1239" w:type="dxa"/>
            <w:vMerge w:val="continue"/>
            <w:vAlign w:val="center"/>
          </w:tcPr>
          <w:p>
            <w:pPr>
              <w:keepNext w:val="0"/>
              <w:keepLines w:val="0"/>
              <w:pageBreakBefore w:val="0"/>
              <w:kinsoku/>
              <w:wordWrap/>
              <w:overflowPunct/>
              <w:topLinePunct w:val="0"/>
              <w:bidi w:val="0"/>
              <w:snapToGrid w:val="0"/>
              <w:spacing w:beforeAutospacing="0" w:afterAutospacing="0" w:line="360" w:lineRule="auto"/>
              <w:jc w:val="center"/>
              <w:textAlignment w:val="auto"/>
              <w:rPr>
                <w:rFonts w:hint="eastAsia" w:ascii="宋体" w:hAnsi="宋体" w:cs="宋体"/>
                <w:b w:val="0"/>
                <w:bCs w:val="0"/>
                <w:color w:val="auto"/>
                <w:sz w:val="24"/>
                <w:szCs w:val="24"/>
                <w:highlight w:val="none"/>
                <w:lang w:val="en-US" w:eastAsia="zh-CN"/>
              </w:rPr>
            </w:pPr>
          </w:p>
        </w:tc>
        <w:tc>
          <w:tcPr>
            <w:tcW w:w="1925" w:type="dxa"/>
            <w:vAlign w:val="center"/>
          </w:tcPr>
          <w:p>
            <w:pPr>
              <w:keepNext w:val="0"/>
              <w:keepLines w:val="0"/>
              <w:pageBreakBefore w:val="0"/>
              <w:widowControl/>
              <w:kinsoku/>
              <w:wordWrap/>
              <w:overflowPunct/>
              <w:topLinePunct w:val="0"/>
              <w:bidi w:val="0"/>
              <w:snapToGrid w:val="0"/>
              <w:spacing w:beforeAutospacing="0" w:afterAutospacing="0" w:line="360" w:lineRule="auto"/>
              <w:jc w:val="center"/>
              <w:textAlignment w:val="auto"/>
              <w:rPr>
                <w:rFonts w:hint="eastAsia" w:ascii="宋体" w:hAnsi="宋体" w:eastAsia="宋体" w:cs="宋体"/>
                <w:b w:val="0"/>
                <w:bCs w:val="0"/>
                <w:color w:val="auto"/>
                <w:kern w:val="0"/>
                <w:sz w:val="24"/>
                <w:szCs w:val="24"/>
                <w:highlight w:val="none"/>
                <w:u w:val="none"/>
                <w:lang w:val="en-US" w:eastAsia="zh-CN" w:bidi="ar-SA"/>
              </w:rPr>
            </w:pPr>
            <w:r>
              <w:rPr>
                <w:rFonts w:hint="eastAsia" w:ascii="宋体" w:hAnsi="宋体" w:eastAsia="宋体" w:cs="宋体"/>
                <w:b w:val="0"/>
                <w:bCs w:val="0"/>
                <w:color w:val="auto"/>
                <w:kern w:val="0"/>
                <w:sz w:val="24"/>
                <w:szCs w:val="24"/>
                <w:highlight w:val="none"/>
                <w:u w:val="none"/>
                <w:lang w:val="en-US" w:eastAsia="zh-CN" w:bidi="ar-SA"/>
              </w:rPr>
              <w:t>设备部分</w:t>
            </w:r>
          </w:p>
          <w:p>
            <w:pPr>
              <w:keepNext w:val="0"/>
              <w:keepLines w:val="0"/>
              <w:pageBreakBefore w:val="0"/>
              <w:widowControl/>
              <w:kinsoku/>
              <w:wordWrap/>
              <w:overflowPunct/>
              <w:topLinePunct w:val="0"/>
              <w:bidi w:val="0"/>
              <w:snapToGrid w:val="0"/>
              <w:spacing w:beforeAutospacing="0" w:afterAutospacing="0" w:line="360" w:lineRule="auto"/>
              <w:jc w:val="center"/>
              <w:textAlignment w:val="auto"/>
              <w:rPr>
                <w:rFonts w:hint="default" w:ascii="宋体" w:hAnsi="宋体" w:eastAsia="宋体" w:cs="宋体"/>
                <w:b w:val="0"/>
                <w:bCs w:val="0"/>
                <w:color w:val="auto"/>
                <w:kern w:val="0"/>
                <w:sz w:val="24"/>
                <w:szCs w:val="24"/>
                <w:highlight w:val="none"/>
                <w:u w:val="none"/>
                <w:lang w:val="en-US" w:eastAsia="zh-CN" w:bidi="ar-SA"/>
              </w:rPr>
            </w:pPr>
            <w:r>
              <w:rPr>
                <w:rFonts w:hint="eastAsia" w:ascii="宋体" w:hAnsi="宋体" w:eastAsia="宋体" w:cs="宋体"/>
                <w:b w:val="0"/>
                <w:bCs w:val="0"/>
                <w:color w:val="auto"/>
                <w:kern w:val="0"/>
                <w:sz w:val="24"/>
                <w:szCs w:val="24"/>
                <w:highlight w:val="none"/>
                <w:u w:val="none"/>
                <w:lang w:val="en-US" w:eastAsia="zh-CN" w:bidi="ar-SA"/>
              </w:rPr>
              <w:t>（15分）</w:t>
            </w:r>
          </w:p>
        </w:tc>
        <w:tc>
          <w:tcPr>
            <w:tcW w:w="6318" w:type="dxa"/>
            <w:gridSpan w:val="2"/>
            <w:vAlign w:val="center"/>
          </w:tcPr>
          <w:p>
            <w:pPr>
              <w:pStyle w:val="49"/>
              <w:keepNext w:val="0"/>
              <w:keepLines w:val="0"/>
              <w:pageBreakBefore w:val="0"/>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val="0"/>
                <w:color w:val="auto"/>
                <w:kern w:val="0"/>
                <w:sz w:val="24"/>
                <w:szCs w:val="24"/>
                <w:highlight w:val="none"/>
                <w:u w:val="none"/>
                <w:lang w:val="en-US" w:eastAsia="zh-CN" w:bidi="ar-SA"/>
              </w:rPr>
            </w:pPr>
            <w:r>
              <w:rPr>
                <w:rFonts w:hint="eastAsia" w:ascii="宋体" w:hAnsi="宋体" w:eastAsia="宋体" w:cs="宋体"/>
                <w:b w:val="0"/>
                <w:bCs w:val="0"/>
                <w:color w:val="auto"/>
                <w:kern w:val="0"/>
                <w:sz w:val="24"/>
                <w:szCs w:val="24"/>
                <w:highlight w:val="none"/>
                <w:u w:val="none"/>
                <w:lang w:val="en-US" w:eastAsia="zh-CN" w:bidi="ar-SA"/>
              </w:rPr>
              <w:t>有效磋商报价：磋商报价不高于采购预算价的为有效磋商报价。</w:t>
            </w:r>
          </w:p>
          <w:p>
            <w:pPr>
              <w:pStyle w:val="49"/>
              <w:keepNext w:val="0"/>
              <w:keepLines w:val="0"/>
              <w:pageBreakBefore w:val="0"/>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val="0"/>
                <w:color w:val="auto"/>
                <w:kern w:val="0"/>
                <w:sz w:val="24"/>
                <w:szCs w:val="24"/>
                <w:highlight w:val="none"/>
                <w:u w:val="none"/>
                <w:lang w:val="en-US" w:eastAsia="zh-CN" w:bidi="ar-SA"/>
              </w:rPr>
            </w:pPr>
            <w:r>
              <w:rPr>
                <w:rFonts w:hint="eastAsia" w:ascii="宋体" w:hAnsi="宋体" w:eastAsia="宋体" w:cs="宋体"/>
                <w:b w:val="0"/>
                <w:bCs w:val="0"/>
                <w:color w:val="auto"/>
                <w:kern w:val="0"/>
                <w:sz w:val="24"/>
                <w:szCs w:val="24"/>
                <w:highlight w:val="none"/>
                <w:u w:val="none"/>
                <w:lang w:val="en-US" w:eastAsia="zh-CN" w:bidi="ar-SA"/>
              </w:rPr>
              <w:t>评标基准值的确定：满足采购文件要求且磋商价格最低的有效磋商报价为评标基准价。</w:t>
            </w:r>
          </w:p>
          <w:p>
            <w:pPr>
              <w:keepNext w:val="0"/>
              <w:keepLines w:val="0"/>
              <w:pageBreakBefore w:val="0"/>
              <w:widowControl/>
              <w:kinsoku/>
              <w:wordWrap/>
              <w:overflowPunct/>
              <w:topLinePunct w:val="0"/>
              <w:bidi w:val="0"/>
              <w:snapToGrid w:val="0"/>
              <w:spacing w:beforeAutospacing="0" w:afterAutospacing="0" w:line="360" w:lineRule="auto"/>
              <w:textAlignment w:val="auto"/>
              <w:rPr>
                <w:rFonts w:hint="eastAsia" w:ascii="宋体" w:hAnsi="宋体" w:eastAsia="宋体" w:cs="宋体"/>
                <w:b w:val="0"/>
                <w:bCs w:val="0"/>
                <w:color w:val="auto"/>
                <w:kern w:val="0"/>
                <w:sz w:val="24"/>
                <w:szCs w:val="24"/>
                <w:highlight w:val="none"/>
                <w:u w:val="none"/>
                <w:lang w:val="en-US" w:eastAsia="zh-CN" w:bidi="ar-SA"/>
              </w:rPr>
            </w:pPr>
            <w:r>
              <w:rPr>
                <w:rFonts w:hint="eastAsia" w:ascii="宋体" w:hAnsi="宋体" w:eastAsia="宋体" w:cs="宋体"/>
                <w:b w:val="0"/>
                <w:bCs w:val="0"/>
                <w:color w:val="auto"/>
                <w:kern w:val="0"/>
                <w:sz w:val="24"/>
                <w:szCs w:val="24"/>
                <w:highlight w:val="none"/>
                <w:u w:val="none"/>
                <w:lang w:val="en-US" w:eastAsia="zh-CN" w:bidi="ar-SA"/>
              </w:rPr>
              <w:t>磋商报价得分=（评标基准价/有效磋商报价）×15分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8" w:hRule="atLeast"/>
          <w:jc w:val="center"/>
        </w:trPr>
        <w:tc>
          <w:tcPr>
            <w:tcW w:w="1239" w:type="dxa"/>
            <w:vMerge w:val="continue"/>
            <w:vAlign w:val="center"/>
          </w:tcPr>
          <w:p>
            <w:pPr>
              <w:keepNext w:val="0"/>
              <w:keepLines w:val="0"/>
              <w:pageBreakBefore w:val="0"/>
              <w:kinsoku/>
              <w:wordWrap/>
              <w:overflowPunct/>
              <w:topLinePunct w:val="0"/>
              <w:bidi w:val="0"/>
              <w:snapToGrid w:val="0"/>
              <w:spacing w:beforeAutospacing="0" w:afterAutospacing="0" w:line="360" w:lineRule="auto"/>
              <w:jc w:val="center"/>
              <w:textAlignment w:val="auto"/>
              <w:rPr>
                <w:rFonts w:hint="eastAsia" w:ascii="宋体" w:hAnsi="宋体" w:cs="宋体"/>
                <w:b w:val="0"/>
                <w:bCs w:val="0"/>
                <w:color w:val="auto"/>
                <w:sz w:val="24"/>
                <w:szCs w:val="24"/>
                <w:highlight w:val="none"/>
                <w:lang w:val="en-US" w:eastAsia="zh-CN"/>
              </w:rPr>
            </w:pPr>
          </w:p>
        </w:tc>
        <w:tc>
          <w:tcPr>
            <w:tcW w:w="1925"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color w:val="auto"/>
                <w:kern w:val="0"/>
                <w:sz w:val="24"/>
                <w:szCs w:val="24"/>
                <w:highlight w:val="none"/>
                <w:u w:val="none"/>
                <w:lang w:val="en-US" w:eastAsia="zh-CN" w:bidi="ar-SA"/>
              </w:rPr>
            </w:pPr>
            <w:r>
              <w:rPr>
                <w:rFonts w:hint="eastAsia" w:ascii="宋体" w:hAnsi="宋体" w:eastAsia="宋体" w:cs="宋体"/>
                <w:b w:val="0"/>
                <w:bCs w:val="0"/>
                <w:color w:val="auto"/>
                <w:kern w:val="0"/>
                <w:sz w:val="24"/>
                <w:szCs w:val="24"/>
                <w:highlight w:val="none"/>
                <w:u w:val="none"/>
                <w:lang w:val="en-US" w:eastAsia="zh-CN" w:bidi="ar-SA"/>
              </w:rPr>
              <w:t>耗材报价</w:t>
            </w:r>
          </w:p>
          <w:p>
            <w:pPr>
              <w:keepNext w:val="0"/>
              <w:keepLines w:val="0"/>
              <w:pageBreakBefore w:val="0"/>
              <w:widowControl/>
              <w:kinsoku/>
              <w:wordWrap/>
              <w:overflowPunct/>
              <w:topLinePunct w:val="0"/>
              <w:bidi w:val="0"/>
              <w:snapToGrid w:val="0"/>
              <w:spacing w:beforeAutospacing="0" w:afterAutospacing="0" w:line="360" w:lineRule="auto"/>
              <w:jc w:val="center"/>
              <w:textAlignment w:val="auto"/>
              <w:rPr>
                <w:rFonts w:hint="eastAsia" w:ascii="宋体" w:hAnsi="宋体" w:eastAsia="宋体" w:cs="宋体"/>
                <w:b w:val="0"/>
                <w:bCs w:val="0"/>
                <w:color w:val="auto"/>
                <w:kern w:val="0"/>
                <w:sz w:val="24"/>
                <w:szCs w:val="24"/>
                <w:highlight w:val="none"/>
                <w:u w:val="none"/>
                <w:lang w:val="en-US" w:eastAsia="zh-CN" w:bidi="ar-SA"/>
              </w:rPr>
            </w:pPr>
            <w:r>
              <w:rPr>
                <w:rFonts w:hint="eastAsia" w:ascii="宋体" w:hAnsi="宋体" w:eastAsia="宋体" w:cs="宋体"/>
                <w:b w:val="0"/>
                <w:bCs w:val="0"/>
                <w:color w:val="auto"/>
                <w:kern w:val="0"/>
                <w:sz w:val="24"/>
                <w:szCs w:val="24"/>
                <w:highlight w:val="none"/>
                <w:u w:val="none"/>
                <w:lang w:val="en-US" w:eastAsia="zh-CN" w:bidi="ar-SA"/>
              </w:rPr>
              <w:t>（15分）</w:t>
            </w:r>
          </w:p>
        </w:tc>
        <w:tc>
          <w:tcPr>
            <w:tcW w:w="6318" w:type="dxa"/>
            <w:gridSpan w:val="2"/>
            <w:vAlign w:val="center"/>
          </w:tcPr>
          <w:p>
            <w:pPr>
              <w:pStyle w:val="49"/>
              <w:keepNext w:val="0"/>
              <w:keepLines w:val="0"/>
              <w:pageBreakBefore w:val="0"/>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val="0"/>
                <w:color w:val="auto"/>
                <w:kern w:val="0"/>
                <w:sz w:val="24"/>
                <w:szCs w:val="24"/>
                <w:highlight w:val="none"/>
                <w:u w:val="none"/>
                <w:lang w:val="en-US" w:eastAsia="zh-CN" w:bidi="ar-SA"/>
              </w:rPr>
            </w:pPr>
            <w:r>
              <w:rPr>
                <w:rFonts w:hint="eastAsia" w:ascii="宋体" w:hAnsi="宋体" w:eastAsia="宋体" w:cs="宋体"/>
                <w:b w:val="0"/>
                <w:bCs w:val="0"/>
                <w:color w:val="auto"/>
                <w:kern w:val="0"/>
                <w:sz w:val="24"/>
                <w:szCs w:val="24"/>
                <w:highlight w:val="none"/>
                <w:u w:val="none"/>
                <w:lang w:val="en-US" w:eastAsia="zh-CN" w:bidi="ar-SA"/>
              </w:rPr>
              <w:t>有效磋商报价：磋商报价不高于采购预算价的为有效磋商报价。</w:t>
            </w:r>
          </w:p>
          <w:p>
            <w:pPr>
              <w:pStyle w:val="49"/>
              <w:keepNext w:val="0"/>
              <w:keepLines w:val="0"/>
              <w:pageBreakBefore w:val="0"/>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val="0"/>
                <w:color w:val="auto"/>
                <w:kern w:val="0"/>
                <w:sz w:val="24"/>
                <w:szCs w:val="24"/>
                <w:highlight w:val="none"/>
                <w:u w:val="none"/>
                <w:lang w:val="en-US" w:eastAsia="zh-CN" w:bidi="ar-SA"/>
              </w:rPr>
            </w:pPr>
            <w:r>
              <w:rPr>
                <w:rFonts w:hint="eastAsia" w:ascii="宋体" w:hAnsi="宋体" w:eastAsia="宋体" w:cs="宋体"/>
                <w:b w:val="0"/>
                <w:bCs w:val="0"/>
                <w:color w:val="auto"/>
                <w:kern w:val="0"/>
                <w:sz w:val="24"/>
                <w:szCs w:val="24"/>
                <w:highlight w:val="none"/>
                <w:u w:val="none"/>
                <w:lang w:val="en-US" w:eastAsia="zh-CN" w:bidi="ar-SA"/>
              </w:rPr>
              <w:t>评标基准值的确定：满足采购文件要求且磋商价格最低的有效磋商报价为评标基准价。</w:t>
            </w:r>
          </w:p>
          <w:p>
            <w:pPr>
              <w:pStyle w:val="49"/>
              <w:keepNext w:val="0"/>
              <w:keepLines w:val="0"/>
              <w:pageBreakBefore w:val="0"/>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val="0"/>
                <w:color w:val="auto"/>
                <w:kern w:val="0"/>
                <w:sz w:val="24"/>
                <w:szCs w:val="24"/>
                <w:highlight w:val="none"/>
                <w:u w:val="none"/>
                <w:lang w:val="en-US" w:eastAsia="zh-CN" w:bidi="ar-SA"/>
              </w:rPr>
            </w:pPr>
            <w:r>
              <w:rPr>
                <w:rFonts w:hint="eastAsia" w:ascii="宋体" w:hAnsi="宋体" w:eastAsia="宋体" w:cs="宋体"/>
                <w:b w:val="0"/>
                <w:bCs w:val="0"/>
                <w:color w:val="auto"/>
                <w:kern w:val="0"/>
                <w:sz w:val="24"/>
                <w:szCs w:val="24"/>
                <w:highlight w:val="none"/>
                <w:u w:val="none"/>
                <w:lang w:val="en-US" w:eastAsia="zh-CN" w:bidi="ar-SA"/>
              </w:rPr>
              <w:t>磋商报价得分=（评标基准价/有效磋商报价）×15分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jc w:val="center"/>
        </w:trPr>
        <w:tc>
          <w:tcPr>
            <w:tcW w:w="1239" w:type="dxa"/>
            <w:vMerge w:val="restart"/>
            <w:vAlign w:val="center"/>
          </w:tcPr>
          <w:p>
            <w:pPr>
              <w:keepNext w:val="0"/>
              <w:keepLines w:val="0"/>
              <w:pageBreakBefore w:val="0"/>
              <w:kinsoku/>
              <w:wordWrap/>
              <w:overflowPunct/>
              <w:topLinePunct w:val="0"/>
              <w:bidi w:val="0"/>
              <w:snapToGrid w:val="0"/>
              <w:spacing w:beforeAutospacing="0" w:afterAutospacing="0" w:line="360" w:lineRule="auto"/>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技术部分</w:t>
            </w:r>
            <w:r>
              <w:rPr>
                <w:rFonts w:hint="eastAsia" w:ascii="宋体" w:hAnsi="宋体" w:eastAsia="宋体" w:cs="宋体"/>
                <w:b w:val="0"/>
                <w:bCs w:val="0"/>
                <w:color w:val="auto"/>
                <w:sz w:val="24"/>
                <w:szCs w:val="24"/>
                <w:highlight w:val="none"/>
                <w:lang w:eastAsia="zh-CN"/>
              </w:rPr>
              <w:t>（</w:t>
            </w:r>
            <w:r>
              <w:rPr>
                <w:rFonts w:hint="eastAsia" w:ascii="宋体" w:hAnsi="宋体" w:cs="宋体"/>
                <w:b w:val="0"/>
                <w:bCs w:val="0"/>
                <w:color w:val="auto"/>
                <w:sz w:val="24"/>
                <w:szCs w:val="24"/>
                <w:highlight w:val="none"/>
                <w:lang w:val="en-US" w:eastAsia="zh-CN"/>
              </w:rPr>
              <w:t>45</w:t>
            </w:r>
            <w:r>
              <w:rPr>
                <w:rFonts w:hint="eastAsia" w:ascii="宋体" w:hAnsi="宋体" w:eastAsia="宋体" w:cs="宋体"/>
                <w:b w:val="0"/>
                <w:bCs w:val="0"/>
                <w:color w:val="auto"/>
                <w:sz w:val="24"/>
                <w:szCs w:val="24"/>
                <w:highlight w:val="none"/>
                <w:lang w:eastAsia="zh-CN"/>
              </w:rPr>
              <w:t>分）</w:t>
            </w:r>
          </w:p>
        </w:tc>
        <w:tc>
          <w:tcPr>
            <w:tcW w:w="2140" w:type="dxa"/>
            <w:gridSpan w:val="2"/>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360" w:lineRule="auto"/>
              <w:jc w:val="center"/>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1.产品技术参数（</w:t>
            </w:r>
            <w:r>
              <w:rPr>
                <w:rFonts w:hint="eastAsia" w:ascii="宋体" w:hAnsi="宋体" w:cs="宋体"/>
                <w:b w:val="0"/>
                <w:bCs w:val="0"/>
                <w:color w:val="auto"/>
                <w:sz w:val="24"/>
                <w:szCs w:val="24"/>
                <w:highlight w:val="none"/>
                <w:lang w:val="en-US" w:eastAsia="zh-CN"/>
              </w:rPr>
              <w:t>30</w:t>
            </w:r>
            <w:r>
              <w:rPr>
                <w:rFonts w:hint="eastAsia" w:ascii="宋体" w:hAnsi="宋体" w:eastAsia="宋体" w:cs="宋体"/>
                <w:b w:val="0"/>
                <w:bCs w:val="0"/>
                <w:color w:val="auto"/>
                <w:sz w:val="24"/>
                <w:szCs w:val="24"/>
                <w:highlight w:val="none"/>
              </w:rPr>
              <w:t>分）</w:t>
            </w:r>
          </w:p>
        </w:tc>
        <w:tc>
          <w:tcPr>
            <w:tcW w:w="6103" w:type="dxa"/>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360" w:lineRule="auto"/>
              <w:jc w:val="both"/>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投标人对“第二章  采购需求”</w:t>
            </w:r>
            <w:r>
              <w:rPr>
                <w:rFonts w:hint="eastAsia" w:ascii="宋体" w:hAnsi="宋体" w:cs="宋体"/>
                <w:b w:val="0"/>
                <w:bCs w:val="0"/>
                <w:color w:val="auto"/>
                <w:sz w:val="24"/>
                <w:szCs w:val="24"/>
                <w:highlight w:val="none"/>
                <w:lang w:eastAsia="zh-CN"/>
              </w:rPr>
              <w:t>技术</w:t>
            </w:r>
            <w:r>
              <w:rPr>
                <w:rFonts w:hint="eastAsia" w:ascii="宋体" w:hAnsi="宋体" w:eastAsia="宋体" w:cs="宋体"/>
                <w:b w:val="0"/>
                <w:bCs w:val="0"/>
                <w:color w:val="auto"/>
                <w:sz w:val="24"/>
                <w:szCs w:val="24"/>
                <w:highlight w:val="none"/>
              </w:rPr>
              <w:t>参数</w:t>
            </w:r>
            <w:r>
              <w:rPr>
                <w:rFonts w:hint="eastAsia" w:ascii="宋体" w:hAnsi="宋体" w:cs="宋体"/>
                <w:b w:val="0"/>
                <w:bCs w:val="0"/>
                <w:color w:val="auto"/>
                <w:sz w:val="24"/>
                <w:szCs w:val="24"/>
                <w:highlight w:val="none"/>
                <w:lang w:eastAsia="zh-CN"/>
              </w:rPr>
              <w:t>要求</w:t>
            </w:r>
            <w:r>
              <w:rPr>
                <w:rFonts w:hint="eastAsia" w:ascii="宋体" w:hAnsi="宋体" w:eastAsia="宋体" w:cs="宋体"/>
                <w:b w:val="0"/>
                <w:bCs w:val="0"/>
                <w:color w:val="auto"/>
                <w:sz w:val="24"/>
                <w:szCs w:val="24"/>
                <w:highlight w:val="none"/>
              </w:rPr>
              <w:t>的响应，所投内容全部满足磋商文件要求得</w:t>
            </w:r>
            <w:r>
              <w:rPr>
                <w:rFonts w:hint="eastAsia" w:ascii="宋体" w:hAnsi="宋体" w:cs="宋体"/>
                <w:b w:val="0"/>
                <w:bCs w:val="0"/>
                <w:color w:val="auto"/>
                <w:sz w:val="24"/>
                <w:szCs w:val="24"/>
                <w:highlight w:val="none"/>
                <w:lang w:val="en-US" w:eastAsia="zh-CN"/>
              </w:rPr>
              <w:t>30</w:t>
            </w:r>
            <w:r>
              <w:rPr>
                <w:rFonts w:hint="eastAsia" w:ascii="宋体" w:hAnsi="宋体" w:eastAsia="宋体" w:cs="宋体"/>
                <w:b w:val="0"/>
                <w:bCs w:val="0"/>
                <w:color w:val="auto"/>
                <w:sz w:val="24"/>
                <w:szCs w:val="24"/>
                <w:highlight w:val="none"/>
              </w:rPr>
              <w:t>分，一项不满足扣</w:t>
            </w:r>
            <w:r>
              <w:rPr>
                <w:rFonts w:hint="eastAsia" w:ascii="宋体" w:hAnsi="宋体" w:cs="宋体"/>
                <w:b w:val="0"/>
                <w:bCs w:val="0"/>
                <w:color w:val="auto"/>
                <w:sz w:val="24"/>
                <w:szCs w:val="24"/>
                <w:highlight w:val="none"/>
                <w:lang w:val="en-US" w:eastAsia="zh-CN"/>
              </w:rPr>
              <w:t>5</w:t>
            </w:r>
            <w:r>
              <w:rPr>
                <w:rFonts w:hint="eastAsia" w:ascii="宋体" w:hAnsi="宋体" w:eastAsia="宋体" w:cs="宋体"/>
                <w:b w:val="0"/>
                <w:bCs w:val="0"/>
                <w:color w:val="auto"/>
                <w:sz w:val="24"/>
                <w:szCs w:val="24"/>
                <w:highlight w:val="none"/>
              </w:rPr>
              <w:t>分，如得分为0，则投标无效。</w:t>
            </w:r>
          </w:p>
          <w:p>
            <w:pPr>
              <w:keepNext w:val="0"/>
              <w:keepLines w:val="0"/>
              <w:pageBreakBefore w:val="0"/>
              <w:widowControl/>
              <w:kinsoku/>
              <w:wordWrap/>
              <w:overflowPunct/>
              <w:topLinePunct w:val="0"/>
              <w:autoSpaceDE/>
              <w:autoSpaceDN/>
              <w:bidi w:val="0"/>
              <w:adjustRightInd/>
              <w:snapToGrid w:val="0"/>
              <w:spacing w:beforeAutospacing="0" w:afterAutospacing="0" w:line="360" w:lineRule="auto"/>
              <w:jc w:val="both"/>
              <w:textAlignment w:val="auto"/>
              <w:rPr>
                <w:rFonts w:hint="eastAsia" w:ascii="宋体" w:hAnsi="宋体" w:eastAsia="宋体" w:cs="宋体"/>
                <w:b w:val="0"/>
                <w:bCs w:val="0"/>
                <w:color w:val="auto"/>
                <w:sz w:val="24"/>
                <w:szCs w:val="24"/>
                <w:highlight w:val="none"/>
                <w:lang w:eastAsia="zh-CN"/>
              </w:rPr>
            </w:pPr>
            <w:r>
              <w:rPr>
                <w:rFonts w:hint="eastAsia" w:ascii="宋体" w:hAnsi="宋体" w:cs="宋体"/>
                <w:b w:val="0"/>
                <w:bCs w:val="0"/>
                <w:color w:val="auto"/>
                <w:sz w:val="24"/>
                <w:szCs w:val="24"/>
                <w:highlight w:val="none"/>
                <w:lang w:eastAsia="zh-CN"/>
              </w:rPr>
              <w:t>注：附技术偏离表，需提供投标产品注册检验报告（完整版）及响应技术参数条款的技术白皮书和彩页等相关文件，并对响应技术参数部分做出明显标注。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1239" w:type="dxa"/>
            <w:vMerge w:val="continue"/>
            <w:vAlign w:val="center"/>
          </w:tcPr>
          <w:p>
            <w:pPr>
              <w:keepNext w:val="0"/>
              <w:keepLines w:val="0"/>
              <w:pageBreakBefore w:val="0"/>
              <w:kinsoku/>
              <w:wordWrap/>
              <w:overflowPunct/>
              <w:topLinePunct w:val="0"/>
              <w:bidi w:val="0"/>
              <w:snapToGrid w:val="0"/>
              <w:spacing w:beforeAutospacing="0" w:afterAutospacing="0" w:line="360" w:lineRule="auto"/>
              <w:jc w:val="left"/>
              <w:textAlignment w:val="auto"/>
              <w:rPr>
                <w:rFonts w:hint="eastAsia" w:ascii="宋体" w:hAnsi="宋体" w:eastAsia="宋体" w:cs="宋体"/>
                <w:b w:val="0"/>
                <w:bCs w:val="0"/>
                <w:color w:val="auto"/>
                <w:sz w:val="24"/>
                <w:szCs w:val="24"/>
                <w:highlight w:val="none"/>
                <w:lang w:val="en-US" w:eastAsia="zh-CN"/>
              </w:rPr>
            </w:pPr>
          </w:p>
        </w:tc>
        <w:tc>
          <w:tcPr>
            <w:tcW w:w="2140" w:type="dxa"/>
            <w:gridSpan w:val="2"/>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360" w:lineRule="auto"/>
              <w:jc w:val="center"/>
              <w:textAlignment w:val="auto"/>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2.实施方案（</w:t>
            </w:r>
            <w:r>
              <w:rPr>
                <w:rFonts w:hint="eastAsia" w:ascii="宋体" w:hAnsi="宋体" w:cs="宋体"/>
                <w:b w:val="0"/>
                <w:bCs w:val="0"/>
                <w:color w:val="auto"/>
                <w:kern w:val="0"/>
                <w:sz w:val="24"/>
                <w:szCs w:val="24"/>
                <w:highlight w:val="none"/>
                <w:lang w:val="en-US" w:eastAsia="zh-CN"/>
              </w:rPr>
              <w:t>15</w:t>
            </w:r>
            <w:r>
              <w:rPr>
                <w:rFonts w:hint="eastAsia" w:ascii="宋体" w:hAnsi="宋体" w:eastAsia="宋体" w:cs="宋体"/>
                <w:b w:val="0"/>
                <w:bCs w:val="0"/>
                <w:color w:val="auto"/>
                <w:kern w:val="0"/>
                <w:sz w:val="24"/>
                <w:szCs w:val="24"/>
                <w:highlight w:val="none"/>
                <w:lang w:val="en-US" w:eastAsia="zh-CN"/>
              </w:rPr>
              <w:t>分）</w:t>
            </w:r>
          </w:p>
        </w:tc>
        <w:tc>
          <w:tcPr>
            <w:tcW w:w="6103" w:type="dxa"/>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360" w:lineRule="auto"/>
              <w:jc w:val="both"/>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供应商对项目实施方案的整体规划，包括设备对接方案、调试方案、交货期保证措施。</w:t>
            </w:r>
          </w:p>
          <w:p>
            <w:pPr>
              <w:keepNext w:val="0"/>
              <w:keepLines w:val="0"/>
              <w:pageBreakBefore w:val="0"/>
              <w:widowControl/>
              <w:kinsoku/>
              <w:wordWrap/>
              <w:overflowPunct/>
              <w:topLinePunct w:val="0"/>
              <w:autoSpaceDE/>
              <w:autoSpaceDN/>
              <w:bidi w:val="0"/>
              <w:adjustRightInd/>
              <w:snapToGrid w:val="0"/>
              <w:spacing w:beforeAutospacing="0" w:afterAutospacing="0" w:line="360" w:lineRule="auto"/>
              <w:jc w:val="both"/>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以上措施详细、合理、可行的</w:t>
            </w:r>
            <w:r>
              <w:rPr>
                <w:rFonts w:hint="eastAsia" w:ascii="宋体" w:hAnsi="宋体" w:cs="宋体"/>
                <w:b w:val="0"/>
                <w:bCs w:val="0"/>
                <w:color w:val="auto"/>
                <w:sz w:val="24"/>
                <w:szCs w:val="24"/>
                <w:highlight w:val="none"/>
                <w:lang w:val="en-US" w:eastAsia="zh-CN"/>
              </w:rPr>
              <w:t>11-15</w:t>
            </w:r>
            <w:r>
              <w:rPr>
                <w:rFonts w:hint="eastAsia" w:ascii="宋体" w:hAnsi="宋体" w:eastAsia="宋体" w:cs="宋体"/>
                <w:b w:val="0"/>
                <w:bCs w:val="0"/>
                <w:color w:val="auto"/>
                <w:sz w:val="24"/>
                <w:szCs w:val="24"/>
                <w:highlight w:val="none"/>
              </w:rPr>
              <w:t>分；基本详细、基本合理、基本可行的</w:t>
            </w:r>
            <w:r>
              <w:rPr>
                <w:rFonts w:hint="eastAsia" w:ascii="宋体" w:hAnsi="宋体" w:cs="宋体"/>
                <w:b w:val="0"/>
                <w:bCs w:val="0"/>
                <w:color w:val="auto"/>
                <w:sz w:val="24"/>
                <w:szCs w:val="24"/>
                <w:highlight w:val="none"/>
                <w:lang w:val="en-US" w:eastAsia="zh-CN"/>
              </w:rPr>
              <w:t>6-10</w:t>
            </w:r>
            <w:r>
              <w:rPr>
                <w:rFonts w:hint="eastAsia" w:ascii="宋体" w:hAnsi="宋体" w:eastAsia="宋体" w:cs="宋体"/>
                <w:b w:val="0"/>
                <w:bCs w:val="0"/>
                <w:color w:val="auto"/>
                <w:sz w:val="24"/>
                <w:szCs w:val="24"/>
                <w:highlight w:val="none"/>
              </w:rPr>
              <w:t>分；基本详细度、合理性差、可行性差的1-</w:t>
            </w:r>
            <w:r>
              <w:rPr>
                <w:rFonts w:hint="eastAsia" w:ascii="宋体" w:hAnsi="宋体" w:cs="宋体"/>
                <w:b w:val="0"/>
                <w:bCs w:val="0"/>
                <w:color w:val="auto"/>
                <w:sz w:val="24"/>
                <w:szCs w:val="24"/>
                <w:highlight w:val="none"/>
                <w:lang w:val="en-US" w:eastAsia="zh-CN"/>
              </w:rPr>
              <w:t>5</w:t>
            </w:r>
            <w:r>
              <w:rPr>
                <w:rFonts w:hint="eastAsia" w:ascii="宋体" w:hAnsi="宋体" w:eastAsia="宋体" w:cs="宋体"/>
                <w:b w:val="0"/>
                <w:bCs w:val="0"/>
                <w:color w:val="auto"/>
                <w:sz w:val="24"/>
                <w:szCs w:val="24"/>
                <w:highlight w:val="none"/>
              </w:rPr>
              <w:t>分；缺项得0分。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jc w:val="center"/>
        </w:trPr>
        <w:tc>
          <w:tcPr>
            <w:tcW w:w="1239" w:type="dxa"/>
            <w:vMerge w:val="restart"/>
            <w:vAlign w:val="center"/>
          </w:tcPr>
          <w:p>
            <w:pPr>
              <w:keepNext w:val="0"/>
              <w:keepLines w:val="0"/>
              <w:pageBreakBefore w:val="0"/>
              <w:kinsoku/>
              <w:wordWrap/>
              <w:overflowPunct/>
              <w:topLinePunct w:val="0"/>
              <w:bidi w:val="0"/>
              <w:snapToGrid w:val="0"/>
              <w:spacing w:beforeAutospacing="0" w:afterAutospacing="0" w:line="360" w:lineRule="auto"/>
              <w:jc w:val="center"/>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eastAsia="zh-CN"/>
              </w:rPr>
              <w:t>商务</w:t>
            </w:r>
            <w:r>
              <w:rPr>
                <w:rFonts w:hint="eastAsia" w:ascii="宋体" w:hAnsi="宋体" w:eastAsia="宋体" w:cs="宋体"/>
                <w:b w:val="0"/>
                <w:bCs w:val="0"/>
                <w:color w:val="auto"/>
                <w:sz w:val="24"/>
                <w:szCs w:val="24"/>
                <w:highlight w:val="none"/>
              </w:rPr>
              <w:t>部分（</w:t>
            </w:r>
            <w:r>
              <w:rPr>
                <w:rFonts w:hint="eastAsia" w:ascii="宋体" w:hAnsi="宋体" w:cs="宋体"/>
                <w:b w:val="0"/>
                <w:bCs w:val="0"/>
                <w:color w:val="auto"/>
                <w:sz w:val="24"/>
                <w:szCs w:val="24"/>
                <w:highlight w:val="none"/>
                <w:lang w:val="en-US" w:eastAsia="zh-CN"/>
              </w:rPr>
              <w:t>25</w:t>
            </w:r>
            <w:r>
              <w:rPr>
                <w:rFonts w:hint="eastAsia" w:ascii="宋体" w:hAnsi="宋体" w:eastAsia="宋体" w:cs="宋体"/>
                <w:b w:val="0"/>
                <w:bCs w:val="0"/>
                <w:color w:val="auto"/>
                <w:sz w:val="24"/>
                <w:szCs w:val="24"/>
                <w:highlight w:val="none"/>
              </w:rPr>
              <w:t>分）</w:t>
            </w:r>
          </w:p>
        </w:tc>
        <w:tc>
          <w:tcPr>
            <w:tcW w:w="2140" w:type="dxa"/>
            <w:gridSpan w:val="2"/>
            <w:tcBorders>
              <w:top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360" w:lineRule="auto"/>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kern w:val="0"/>
                <w:sz w:val="24"/>
                <w:szCs w:val="24"/>
                <w:highlight w:val="none"/>
                <w:lang w:val="en-US" w:eastAsia="zh-CN"/>
              </w:rPr>
              <w:t>1</w:t>
            </w:r>
            <w:r>
              <w:rPr>
                <w:rFonts w:hint="eastAsia" w:ascii="宋体" w:hAnsi="宋体" w:cs="宋体"/>
                <w:b w:val="0"/>
                <w:bCs w:val="0"/>
                <w:color w:val="auto"/>
                <w:kern w:val="0"/>
                <w:sz w:val="24"/>
                <w:szCs w:val="24"/>
                <w:highlight w:val="none"/>
                <w:lang w:val="en-US" w:eastAsia="zh-CN"/>
              </w:rPr>
              <w:t>.</w:t>
            </w:r>
            <w:r>
              <w:rPr>
                <w:rFonts w:hint="eastAsia" w:ascii="宋体" w:hAnsi="宋体" w:eastAsia="宋体" w:cs="宋体"/>
                <w:b w:val="0"/>
                <w:bCs w:val="0"/>
                <w:color w:val="auto"/>
                <w:kern w:val="0"/>
                <w:sz w:val="24"/>
                <w:szCs w:val="24"/>
                <w:highlight w:val="none"/>
              </w:rPr>
              <w:t>质保期</w:t>
            </w:r>
            <w:r>
              <w:rPr>
                <w:rFonts w:hint="eastAsia" w:ascii="宋体" w:hAnsi="宋体" w:eastAsia="宋体" w:cs="宋体"/>
                <w:b w:val="0"/>
                <w:bCs w:val="0"/>
                <w:color w:val="auto"/>
                <w:kern w:val="0"/>
                <w:sz w:val="24"/>
                <w:szCs w:val="24"/>
                <w:highlight w:val="none"/>
                <w:lang w:eastAsia="zh-CN"/>
              </w:rPr>
              <w:t>（</w:t>
            </w:r>
            <w:r>
              <w:rPr>
                <w:rFonts w:hint="eastAsia" w:ascii="宋体" w:hAnsi="宋体" w:eastAsia="宋体" w:cs="宋体"/>
                <w:b w:val="0"/>
                <w:bCs w:val="0"/>
                <w:color w:val="auto"/>
                <w:kern w:val="0"/>
                <w:sz w:val="24"/>
                <w:szCs w:val="24"/>
                <w:highlight w:val="none"/>
                <w:lang w:val="en-US" w:eastAsia="zh-CN"/>
              </w:rPr>
              <w:t>6分</w:t>
            </w:r>
            <w:r>
              <w:rPr>
                <w:rFonts w:hint="eastAsia" w:ascii="宋体" w:hAnsi="宋体" w:eastAsia="宋体" w:cs="宋体"/>
                <w:b w:val="0"/>
                <w:bCs w:val="0"/>
                <w:color w:val="auto"/>
                <w:kern w:val="0"/>
                <w:sz w:val="24"/>
                <w:szCs w:val="24"/>
                <w:highlight w:val="none"/>
                <w:lang w:eastAsia="zh-CN"/>
              </w:rPr>
              <w:t>）</w:t>
            </w:r>
          </w:p>
        </w:tc>
        <w:tc>
          <w:tcPr>
            <w:tcW w:w="6103" w:type="dxa"/>
            <w:vAlign w:val="top"/>
          </w:tcPr>
          <w:p>
            <w:pPr>
              <w:keepNext w:val="0"/>
              <w:keepLines w:val="0"/>
              <w:pageBreakBefore w:val="0"/>
              <w:widowControl/>
              <w:kinsoku/>
              <w:wordWrap/>
              <w:overflowPunct/>
              <w:topLinePunct w:val="0"/>
              <w:autoSpaceDE/>
              <w:autoSpaceDN/>
              <w:bidi w:val="0"/>
              <w:adjustRightInd/>
              <w:snapToGrid w:val="0"/>
              <w:spacing w:beforeAutospacing="0" w:afterAutospacing="0" w:line="360" w:lineRule="auto"/>
              <w:textAlignment w:val="auto"/>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质保期达到招标要求的，得基础分2分，超过招标文件规定的，每增加半年加1分,最多加4分（出具相关服务承诺书）；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jc w:val="center"/>
        </w:trPr>
        <w:tc>
          <w:tcPr>
            <w:tcW w:w="1239" w:type="dxa"/>
            <w:vMerge w:val="continue"/>
            <w:vAlign w:val="center"/>
          </w:tcPr>
          <w:p>
            <w:pPr>
              <w:keepNext w:val="0"/>
              <w:keepLines w:val="0"/>
              <w:pageBreakBefore w:val="0"/>
              <w:kinsoku/>
              <w:wordWrap/>
              <w:overflowPunct/>
              <w:topLinePunct w:val="0"/>
              <w:bidi w:val="0"/>
              <w:snapToGrid w:val="0"/>
              <w:spacing w:beforeAutospacing="0" w:afterAutospacing="0" w:line="360" w:lineRule="auto"/>
              <w:jc w:val="center"/>
              <w:textAlignment w:val="auto"/>
              <w:rPr>
                <w:rFonts w:hint="eastAsia" w:ascii="宋体" w:hAnsi="宋体" w:eastAsia="宋体" w:cs="宋体"/>
                <w:b w:val="0"/>
                <w:bCs w:val="0"/>
                <w:color w:val="auto"/>
                <w:sz w:val="24"/>
                <w:szCs w:val="24"/>
                <w:highlight w:val="none"/>
              </w:rPr>
            </w:pPr>
          </w:p>
        </w:tc>
        <w:tc>
          <w:tcPr>
            <w:tcW w:w="2140" w:type="dxa"/>
            <w:gridSpan w:val="2"/>
            <w:vAlign w:val="center"/>
          </w:tcPr>
          <w:p>
            <w:pPr>
              <w:keepNext w:val="0"/>
              <w:keepLines w:val="0"/>
              <w:pageBreakBefore w:val="0"/>
              <w:kinsoku/>
              <w:wordWrap/>
              <w:overflowPunct/>
              <w:topLinePunct w:val="0"/>
              <w:bidi w:val="0"/>
              <w:snapToGrid w:val="0"/>
              <w:spacing w:beforeAutospacing="0" w:afterAutospacing="0" w:line="360" w:lineRule="auto"/>
              <w:jc w:val="both"/>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2.类似业绩（4分）</w:t>
            </w:r>
          </w:p>
        </w:tc>
        <w:tc>
          <w:tcPr>
            <w:tcW w:w="6103" w:type="dxa"/>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360" w:lineRule="auto"/>
              <w:jc w:val="both"/>
              <w:textAlignment w:val="auto"/>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自2020年1月1日以来具有的类似项目(以合同文件为准），每提供一份得2分，最多得4分。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jc w:val="center"/>
        </w:trPr>
        <w:tc>
          <w:tcPr>
            <w:tcW w:w="1239" w:type="dxa"/>
            <w:vMerge w:val="continue"/>
            <w:vAlign w:val="center"/>
          </w:tcPr>
          <w:p>
            <w:pPr>
              <w:keepNext w:val="0"/>
              <w:keepLines w:val="0"/>
              <w:pageBreakBefore w:val="0"/>
              <w:kinsoku/>
              <w:wordWrap/>
              <w:overflowPunct/>
              <w:topLinePunct w:val="0"/>
              <w:bidi w:val="0"/>
              <w:snapToGrid w:val="0"/>
              <w:spacing w:beforeAutospacing="0" w:afterAutospacing="0" w:line="360" w:lineRule="auto"/>
              <w:jc w:val="center"/>
              <w:textAlignment w:val="auto"/>
              <w:rPr>
                <w:rFonts w:hint="eastAsia" w:ascii="宋体" w:hAnsi="宋体" w:eastAsia="宋体" w:cs="宋体"/>
                <w:b w:val="0"/>
                <w:bCs w:val="0"/>
                <w:color w:val="auto"/>
                <w:sz w:val="24"/>
                <w:szCs w:val="24"/>
                <w:highlight w:val="none"/>
              </w:rPr>
            </w:pPr>
          </w:p>
        </w:tc>
        <w:tc>
          <w:tcPr>
            <w:tcW w:w="2140" w:type="dxa"/>
            <w:gridSpan w:val="2"/>
            <w:vAlign w:val="center"/>
          </w:tcPr>
          <w:p>
            <w:pPr>
              <w:keepNext w:val="0"/>
              <w:keepLines w:val="0"/>
              <w:pageBreakBefore w:val="0"/>
              <w:kinsoku/>
              <w:wordWrap/>
              <w:overflowPunct/>
              <w:topLinePunct w:val="0"/>
              <w:bidi w:val="0"/>
              <w:snapToGrid w:val="0"/>
              <w:spacing w:beforeAutospacing="0" w:afterAutospacing="0" w:line="360" w:lineRule="auto"/>
              <w:jc w:val="center"/>
              <w:textAlignment w:val="auto"/>
              <w:rPr>
                <w:rFonts w:hint="eastAsia" w:ascii="宋体" w:hAnsi="宋体" w:eastAsia="宋体" w:cs="宋体"/>
                <w:b w:val="0"/>
                <w:bCs w:val="0"/>
                <w:color w:val="auto"/>
                <w:kern w:val="2"/>
                <w:sz w:val="24"/>
                <w:szCs w:val="24"/>
                <w:highlight w:val="none"/>
                <w:lang w:val="en-US" w:eastAsia="zh-CN"/>
              </w:rPr>
            </w:pPr>
            <w:r>
              <w:rPr>
                <w:rFonts w:hint="eastAsia" w:ascii="宋体" w:hAnsi="宋体" w:eastAsia="宋体" w:cs="宋体"/>
                <w:b w:val="0"/>
                <w:bCs w:val="0"/>
                <w:color w:val="auto"/>
                <w:kern w:val="2"/>
                <w:sz w:val="24"/>
                <w:szCs w:val="24"/>
                <w:highlight w:val="none"/>
                <w:lang w:val="en-US" w:eastAsia="zh-CN"/>
              </w:rPr>
              <w:t>3.售后服务体系（</w:t>
            </w:r>
            <w:r>
              <w:rPr>
                <w:rFonts w:hint="eastAsia" w:ascii="宋体" w:hAnsi="宋体" w:cs="宋体"/>
                <w:b w:val="0"/>
                <w:bCs w:val="0"/>
                <w:color w:val="auto"/>
                <w:kern w:val="2"/>
                <w:sz w:val="24"/>
                <w:szCs w:val="24"/>
                <w:highlight w:val="none"/>
                <w:lang w:val="en-US" w:eastAsia="zh-CN"/>
              </w:rPr>
              <w:t>15</w:t>
            </w:r>
            <w:r>
              <w:rPr>
                <w:rFonts w:hint="eastAsia" w:ascii="宋体" w:hAnsi="宋体" w:eastAsia="宋体" w:cs="宋体"/>
                <w:b w:val="0"/>
                <w:bCs w:val="0"/>
                <w:color w:val="auto"/>
                <w:kern w:val="2"/>
                <w:sz w:val="24"/>
                <w:szCs w:val="24"/>
                <w:highlight w:val="none"/>
                <w:lang w:val="en-US" w:eastAsia="zh-CN"/>
              </w:rPr>
              <w:t>分）</w:t>
            </w:r>
          </w:p>
        </w:tc>
        <w:tc>
          <w:tcPr>
            <w:tcW w:w="6103" w:type="dxa"/>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360" w:lineRule="auto"/>
              <w:jc w:val="both"/>
              <w:textAlignment w:val="auto"/>
              <w:rPr>
                <w:rFonts w:hint="eastAsia" w:ascii="宋体" w:hAnsi="宋体" w:eastAsia="宋体" w:cs="宋体"/>
                <w:b w:val="0"/>
                <w:bCs w:val="0"/>
                <w:color w:val="auto"/>
                <w:kern w:val="2"/>
                <w:sz w:val="24"/>
                <w:szCs w:val="24"/>
                <w:highlight w:val="none"/>
              </w:rPr>
            </w:pPr>
            <w:r>
              <w:rPr>
                <w:rFonts w:hint="eastAsia" w:ascii="宋体" w:hAnsi="宋体" w:eastAsia="宋体" w:cs="宋体"/>
                <w:b w:val="0"/>
                <w:bCs w:val="0"/>
                <w:color w:val="auto"/>
                <w:kern w:val="2"/>
                <w:sz w:val="24"/>
                <w:szCs w:val="24"/>
                <w:highlight w:val="none"/>
              </w:rPr>
              <w:t>根据</w:t>
            </w:r>
            <w:r>
              <w:rPr>
                <w:rFonts w:hint="eastAsia" w:ascii="宋体" w:hAnsi="宋体" w:cs="宋体"/>
                <w:b w:val="0"/>
                <w:bCs w:val="0"/>
                <w:color w:val="auto"/>
                <w:kern w:val="2"/>
                <w:sz w:val="24"/>
                <w:szCs w:val="24"/>
                <w:highlight w:val="none"/>
                <w:lang w:eastAsia="zh-CN"/>
              </w:rPr>
              <w:t>供应商</w:t>
            </w:r>
            <w:r>
              <w:rPr>
                <w:rFonts w:hint="eastAsia" w:ascii="宋体" w:hAnsi="宋体" w:eastAsia="宋体" w:cs="宋体"/>
                <w:b w:val="0"/>
                <w:bCs w:val="0"/>
                <w:color w:val="auto"/>
                <w:kern w:val="2"/>
                <w:sz w:val="24"/>
                <w:szCs w:val="24"/>
                <w:highlight w:val="none"/>
              </w:rPr>
              <w:t>服务团队设立情况、备品备件供应、售后服务及时率、详细的维修时间和处理方案、售后服务承诺等内容进行综合对比评分。</w:t>
            </w:r>
          </w:p>
          <w:p>
            <w:pPr>
              <w:keepNext w:val="0"/>
              <w:keepLines w:val="0"/>
              <w:pageBreakBefore w:val="0"/>
              <w:widowControl/>
              <w:kinsoku/>
              <w:wordWrap/>
              <w:overflowPunct/>
              <w:topLinePunct w:val="0"/>
              <w:autoSpaceDE/>
              <w:autoSpaceDN/>
              <w:bidi w:val="0"/>
              <w:adjustRightInd/>
              <w:snapToGrid w:val="0"/>
              <w:spacing w:beforeAutospacing="0" w:afterAutospacing="0" w:line="360" w:lineRule="auto"/>
              <w:jc w:val="both"/>
              <w:textAlignment w:val="auto"/>
              <w:rPr>
                <w:rFonts w:hint="eastAsia" w:ascii="宋体" w:hAnsi="宋体" w:eastAsia="宋体" w:cs="宋体"/>
                <w:b w:val="0"/>
                <w:bCs w:val="0"/>
                <w:color w:val="auto"/>
                <w:kern w:val="2"/>
                <w:sz w:val="24"/>
                <w:szCs w:val="24"/>
                <w:highlight w:val="none"/>
              </w:rPr>
            </w:pPr>
            <w:r>
              <w:rPr>
                <w:rFonts w:hint="eastAsia" w:ascii="宋体" w:hAnsi="宋体" w:eastAsia="宋体" w:cs="宋体"/>
                <w:b w:val="0"/>
                <w:bCs w:val="0"/>
                <w:color w:val="auto"/>
                <w:kern w:val="2"/>
                <w:sz w:val="24"/>
                <w:szCs w:val="24"/>
                <w:highlight w:val="none"/>
              </w:rPr>
              <w:t>售后服务承诺内容具体、完善、合理性程度强得</w:t>
            </w:r>
            <w:r>
              <w:rPr>
                <w:rFonts w:hint="eastAsia" w:ascii="宋体" w:hAnsi="宋体" w:cs="宋体"/>
                <w:b w:val="0"/>
                <w:bCs w:val="0"/>
                <w:color w:val="auto"/>
                <w:kern w:val="2"/>
                <w:sz w:val="24"/>
                <w:szCs w:val="24"/>
                <w:highlight w:val="none"/>
                <w:lang w:val="en-US" w:eastAsia="zh-CN"/>
              </w:rPr>
              <w:t>11</w:t>
            </w:r>
            <w:r>
              <w:rPr>
                <w:rFonts w:hint="eastAsia" w:ascii="宋体" w:hAnsi="宋体" w:eastAsia="宋体" w:cs="宋体"/>
                <w:b w:val="0"/>
                <w:bCs w:val="0"/>
                <w:color w:val="auto"/>
                <w:kern w:val="2"/>
                <w:sz w:val="24"/>
                <w:szCs w:val="24"/>
                <w:highlight w:val="none"/>
              </w:rPr>
              <w:t>-</w:t>
            </w:r>
            <w:r>
              <w:rPr>
                <w:rFonts w:hint="eastAsia" w:ascii="宋体" w:hAnsi="宋体" w:cs="宋体"/>
                <w:b w:val="0"/>
                <w:bCs w:val="0"/>
                <w:color w:val="auto"/>
                <w:kern w:val="2"/>
                <w:sz w:val="24"/>
                <w:szCs w:val="24"/>
                <w:highlight w:val="none"/>
                <w:lang w:val="en-US" w:eastAsia="zh-CN"/>
              </w:rPr>
              <w:t>15</w:t>
            </w:r>
            <w:r>
              <w:rPr>
                <w:rFonts w:hint="eastAsia" w:ascii="宋体" w:hAnsi="宋体" w:eastAsia="宋体" w:cs="宋体"/>
                <w:b w:val="0"/>
                <w:bCs w:val="0"/>
                <w:color w:val="auto"/>
                <w:kern w:val="2"/>
                <w:sz w:val="24"/>
                <w:szCs w:val="24"/>
                <w:highlight w:val="none"/>
              </w:rPr>
              <w:t>分，具体、完善、合理性程度一般得</w:t>
            </w:r>
            <w:r>
              <w:rPr>
                <w:rFonts w:hint="eastAsia" w:ascii="宋体" w:hAnsi="宋体" w:cs="宋体"/>
                <w:b w:val="0"/>
                <w:bCs w:val="0"/>
                <w:color w:val="auto"/>
                <w:kern w:val="2"/>
                <w:sz w:val="24"/>
                <w:szCs w:val="24"/>
                <w:highlight w:val="none"/>
                <w:lang w:val="en-US" w:eastAsia="zh-CN"/>
              </w:rPr>
              <w:t>6</w:t>
            </w:r>
            <w:r>
              <w:rPr>
                <w:rFonts w:hint="eastAsia" w:ascii="宋体" w:hAnsi="宋体" w:eastAsia="宋体" w:cs="宋体"/>
                <w:b w:val="0"/>
                <w:bCs w:val="0"/>
                <w:color w:val="auto"/>
                <w:kern w:val="2"/>
                <w:sz w:val="24"/>
                <w:szCs w:val="24"/>
                <w:highlight w:val="none"/>
              </w:rPr>
              <w:t>-</w:t>
            </w:r>
            <w:r>
              <w:rPr>
                <w:rFonts w:hint="eastAsia" w:ascii="宋体" w:hAnsi="宋体" w:cs="宋体"/>
                <w:b w:val="0"/>
                <w:bCs w:val="0"/>
                <w:color w:val="auto"/>
                <w:kern w:val="2"/>
                <w:sz w:val="24"/>
                <w:szCs w:val="24"/>
                <w:highlight w:val="none"/>
                <w:lang w:val="en-US" w:eastAsia="zh-CN"/>
              </w:rPr>
              <w:t>10</w:t>
            </w:r>
            <w:r>
              <w:rPr>
                <w:rFonts w:hint="eastAsia" w:ascii="宋体" w:hAnsi="宋体" w:eastAsia="宋体" w:cs="宋体"/>
                <w:b w:val="0"/>
                <w:bCs w:val="0"/>
                <w:color w:val="auto"/>
                <w:kern w:val="2"/>
                <w:sz w:val="24"/>
                <w:szCs w:val="24"/>
                <w:highlight w:val="none"/>
              </w:rPr>
              <w:t>分，具体、完善、合理性程度差得1-</w:t>
            </w:r>
            <w:r>
              <w:rPr>
                <w:rFonts w:hint="eastAsia" w:ascii="宋体" w:hAnsi="宋体" w:cs="宋体"/>
                <w:b w:val="0"/>
                <w:bCs w:val="0"/>
                <w:color w:val="auto"/>
                <w:kern w:val="2"/>
                <w:sz w:val="24"/>
                <w:szCs w:val="24"/>
                <w:highlight w:val="none"/>
                <w:lang w:val="en-US" w:eastAsia="zh-CN"/>
              </w:rPr>
              <w:t>5</w:t>
            </w:r>
            <w:r>
              <w:rPr>
                <w:rFonts w:hint="eastAsia" w:ascii="宋体" w:hAnsi="宋体" w:eastAsia="宋体" w:cs="宋体"/>
                <w:b w:val="0"/>
                <w:bCs w:val="0"/>
                <w:color w:val="auto"/>
                <w:kern w:val="2"/>
                <w:sz w:val="24"/>
                <w:szCs w:val="24"/>
                <w:highlight w:val="none"/>
              </w:rPr>
              <w:t>分，缺项得0分。</w:t>
            </w:r>
          </w:p>
        </w:tc>
      </w:tr>
    </w:tbl>
    <w:p>
      <w:pPr>
        <w:pageBreakBefore w:val="0"/>
        <w:kinsoku/>
        <w:overflowPunct/>
        <w:topLinePunct w:val="0"/>
        <w:bidi w:val="0"/>
        <w:spacing w:beforeAutospacing="0" w:afterAutospacing="0" w:line="360" w:lineRule="auto"/>
        <w:ind w:firstLine="420" w:firstLineChars="200"/>
        <w:rPr>
          <w:rFonts w:ascii="宋体" w:hAnsi="宋体" w:cs="宋体"/>
          <w:color w:val="auto"/>
          <w:kern w:val="0"/>
          <w:szCs w:val="21"/>
          <w:highlight w:val="none"/>
        </w:rPr>
      </w:pPr>
    </w:p>
    <w:p>
      <w:pPr>
        <w:pageBreakBefore w:val="0"/>
        <w:kinsoku/>
        <w:overflowPunct/>
        <w:topLinePunct w:val="0"/>
        <w:bidi w:val="0"/>
        <w:spacing w:beforeAutospacing="0" w:afterAutospacing="0" w:line="360" w:lineRule="auto"/>
        <w:rPr>
          <w:b/>
          <w:color w:val="auto"/>
          <w:highlight w:val="none"/>
        </w:rPr>
      </w:pPr>
      <w:r>
        <w:rPr>
          <w:rFonts w:hint="eastAsia"/>
          <w:b/>
          <w:color w:val="auto"/>
          <w:highlight w:val="none"/>
        </w:rPr>
        <w:br w:type="page"/>
      </w:r>
    </w:p>
    <w:tbl>
      <w:tblPr>
        <w:tblStyle w:val="32"/>
        <w:tblW w:w="94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9"/>
        <w:gridCol w:w="2140"/>
        <w:gridCol w:w="61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482" w:type="dxa"/>
            <w:gridSpan w:val="3"/>
            <w:vAlign w:val="center"/>
          </w:tcPr>
          <w:p>
            <w:pPr>
              <w:keepNext w:val="0"/>
              <w:keepLines w:val="0"/>
              <w:pageBreakBefore w:val="0"/>
              <w:widowControl w:val="0"/>
              <w:tabs>
                <w:tab w:val="left" w:pos="3000"/>
              </w:tabs>
              <w:kinsoku/>
              <w:wordWrap/>
              <w:overflowPunct/>
              <w:topLinePunct w:val="0"/>
              <w:autoSpaceDE/>
              <w:autoSpaceDN/>
              <w:bidi w:val="0"/>
              <w:adjustRightInd/>
              <w:snapToGrid w:val="0"/>
              <w:spacing w:beforeAutospacing="0" w:afterAutospacing="0" w:line="360" w:lineRule="auto"/>
              <w:jc w:val="center"/>
              <w:textAlignment w:val="auto"/>
              <w:rPr>
                <w:rFonts w:hint="eastAsia" w:ascii="宋体" w:hAnsi="宋体" w:eastAsia="宋体" w:cs="宋体"/>
                <w:b w:val="0"/>
                <w:bCs w:val="0"/>
                <w:color w:val="auto"/>
                <w:sz w:val="24"/>
                <w:szCs w:val="24"/>
                <w:highlight w:val="none"/>
              </w:rPr>
            </w:pPr>
            <w:r>
              <w:rPr>
                <w:rFonts w:hint="eastAsia" w:ascii="宋体" w:hAnsi="宋体" w:cs="宋体"/>
                <w:b/>
                <w:bCs/>
                <w:color w:val="auto"/>
                <w:sz w:val="24"/>
                <w:szCs w:val="24"/>
                <w:highlight w:val="none"/>
                <w:lang w:val="en-US" w:eastAsia="zh-CN"/>
              </w:rPr>
              <w:t>B包</w:t>
            </w:r>
            <w:r>
              <w:rPr>
                <w:rFonts w:hint="eastAsia" w:ascii="宋体" w:hAnsi="宋体" w:eastAsia="宋体" w:cs="宋体"/>
                <w:b/>
                <w:bCs/>
                <w:color w:val="auto"/>
                <w:sz w:val="24"/>
                <w:szCs w:val="24"/>
                <w:highlight w:val="none"/>
              </w:rPr>
              <w:t>评审内容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5" w:hRule="atLeast"/>
          <w:jc w:val="center"/>
        </w:trPr>
        <w:tc>
          <w:tcPr>
            <w:tcW w:w="1239" w:type="dxa"/>
            <w:vAlign w:val="center"/>
          </w:tcPr>
          <w:p>
            <w:pPr>
              <w:keepNext w:val="0"/>
              <w:keepLines w:val="0"/>
              <w:pageBreakBefore w:val="0"/>
              <w:kinsoku/>
              <w:wordWrap/>
              <w:overflowPunct/>
              <w:topLinePunct w:val="0"/>
              <w:bidi w:val="0"/>
              <w:snapToGrid w:val="0"/>
              <w:spacing w:beforeAutospacing="0" w:afterAutospacing="0" w:line="360" w:lineRule="auto"/>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价格标部分(</w:t>
            </w:r>
            <w:r>
              <w:rPr>
                <w:rFonts w:hint="eastAsia" w:ascii="宋体" w:hAnsi="宋体" w:cs="宋体"/>
                <w:b w:val="0"/>
                <w:bCs w:val="0"/>
                <w:color w:val="auto"/>
                <w:sz w:val="24"/>
                <w:szCs w:val="24"/>
                <w:highlight w:val="none"/>
                <w:lang w:val="en-US" w:eastAsia="zh-CN"/>
              </w:rPr>
              <w:t>30</w:t>
            </w:r>
            <w:r>
              <w:rPr>
                <w:rFonts w:hint="eastAsia" w:ascii="宋体" w:hAnsi="宋体" w:eastAsia="宋体" w:cs="宋体"/>
                <w:b w:val="0"/>
                <w:bCs w:val="0"/>
                <w:color w:val="auto"/>
                <w:sz w:val="24"/>
                <w:szCs w:val="24"/>
                <w:highlight w:val="none"/>
              </w:rPr>
              <w:t>分)</w:t>
            </w:r>
          </w:p>
        </w:tc>
        <w:tc>
          <w:tcPr>
            <w:tcW w:w="8243" w:type="dxa"/>
            <w:gridSpan w:val="2"/>
            <w:vAlign w:val="center"/>
          </w:tcPr>
          <w:p>
            <w:pPr>
              <w:pStyle w:val="49"/>
              <w:keepNext w:val="0"/>
              <w:keepLines w:val="0"/>
              <w:pageBreakBefore w:val="0"/>
              <w:kinsoku/>
              <w:wordWrap/>
              <w:overflowPunct/>
              <w:topLinePunct w:val="0"/>
              <w:bidi w:val="0"/>
              <w:snapToGrid w:val="0"/>
              <w:spacing w:beforeAutospacing="0" w:afterAutospacing="0" w:line="360" w:lineRule="auto"/>
              <w:jc w:val="both"/>
              <w:textAlignment w:val="auto"/>
              <w:rPr>
                <w:rFonts w:hint="eastAsia" w:ascii="宋体" w:hAnsi="宋体" w:eastAsia="宋体" w:cs="宋体"/>
                <w:b w:val="0"/>
                <w:bCs w:val="0"/>
                <w:color w:val="auto"/>
                <w:sz w:val="24"/>
                <w:szCs w:val="24"/>
                <w:highlight w:val="none"/>
                <w:u w:val="none"/>
              </w:rPr>
            </w:pPr>
            <w:r>
              <w:rPr>
                <w:rFonts w:hint="eastAsia" w:ascii="宋体" w:hAnsi="宋体" w:eastAsia="宋体" w:cs="宋体"/>
                <w:b w:val="0"/>
                <w:bCs w:val="0"/>
                <w:color w:val="auto"/>
                <w:sz w:val="24"/>
                <w:szCs w:val="24"/>
                <w:highlight w:val="none"/>
                <w:u w:val="none"/>
              </w:rPr>
              <w:t>说明：当评标委员会发现投标人的投标报价明显低于其他投标报价，使其投标报价可能低于其个别成本的，评标委员会可对其质询，并要求该投标人做出书面说明和提供相关的证明材料；该投标人不能合理说明或提供证明材料的，评标委员会应按无效投标处理。</w:t>
            </w:r>
          </w:p>
          <w:p>
            <w:pPr>
              <w:pStyle w:val="49"/>
              <w:keepNext w:val="0"/>
              <w:keepLines w:val="0"/>
              <w:pageBreakBefore w:val="0"/>
              <w:kinsoku/>
              <w:wordWrap/>
              <w:overflowPunct/>
              <w:topLinePunct w:val="0"/>
              <w:bidi w:val="0"/>
              <w:snapToGrid w:val="0"/>
              <w:spacing w:beforeAutospacing="0" w:afterAutospacing="0" w:line="360" w:lineRule="auto"/>
              <w:jc w:val="both"/>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有效投标报价：投标报价</w:t>
            </w:r>
            <w:r>
              <w:rPr>
                <w:rFonts w:hint="eastAsia" w:ascii="宋体" w:hAnsi="宋体" w:eastAsia="宋体" w:cs="宋体"/>
                <w:b w:val="0"/>
                <w:bCs w:val="0"/>
                <w:color w:val="auto"/>
                <w:sz w:val="24"/>
                <w:szCs w:val="24"/>
                <w:highlight w:val="none"/>
                <w:lang w:val="en-US" w:eastAsia="zh-CN"/>
              </w:rPr>
              <w:t>不高于</w:t>
            </w:r>
            <w:r>
              <w:rPr>
                <w:rFonts w:hint="eastAsia" w:ascii="宋体" w:hAnsi="宋体" w:eastAsia="宋体" w:cs="宋体"/>
                <w:b w:val="0"/>
                <w:bCs w:val="0"/>
                <w:color w:val="auto"/>
                <w:sz w:val="24"/>
                <w:szCs w:val="24"/>
                <w:highlight w:val="none"/>
              </w:rPr>
              <w:t>采购预算价的为有效投标报价。</w:t>
            </w:r>
          </w:p>
          <w:p>
            <w:pPr>
              <w:pStyle w:val="49"/>
              <w:keepNext w:val="0"/>
              <w:keepLines w:val="0"/>
              <w:pageBreakBefore w:val="0"/>
              <w:kinsoku/>
              <w:wordWrap/>
              <w:overflowPunct/>
              <w:topLinePunct w:val="0"/>
              <w:bidi w:val="0"/>
              <w:snapToGrid w:val="0"/>
              <w:spacing w:beforeAutospacing="0" w:afterAutospacing="0" w:line="360" w:lineRule="auto"/>
              <w:jc w:val="both"/>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评标基准值的确定：满足</w:t>
            </w:r>
            <w:r>
              <w:rPr>
                <w:rFonts w:hint="eastAsia" w:ascii="宋体" w:hAnsi="宋体" w:eastAsia="宋体" w:cs="宋体"/>
                <w:b w:val="0"/>
                <w:bCs w:val="0"/>
                <w:color w:val="auto"/>
                <w:sz w:val="24"/>
                <w:szCs w:val="24"/>
                <w:highlight w:val="none"/>
                <w:lang w:val="en-US" w:eastAsia="zh-CN"/>
              </w:rPr>
              <w:t>采购</w:t>
            </w:r>
            <w:r>
              <w:rPr>
                <w:rFonts w:hint="eastAsia" w:ascii="宋体" w:hAnsi="宋体" w:eastAsia="宋体" w:cs="宋体"/>
                <w:b w:val="0"/>
                <w:bCs w:val="0"/>
                <w:color w:val="auto"/>
                <w:sz w:val="24"/>
                <w:szCs w:val="24"/>
                <w:highlight w:val="none"/>
              </w:rPr>
              <w:t>文件要求且投标价格最低的有效投标报价为评标基准价。</w:t>
            </w:r>
          </w:p>
          <w:p>
            <w:pPr>
              <w:keepNext w:val="0"/>
              <w:keepLines w:val="0"/>
              <w:pageBreakBefore w:val="0"/>
              <w:widowControl/>
              <w:kinsoku/>
              <w:wordWrap/>
              <w:overflowPunct/>
              <w:topLinePunct w:val="0"/>
              <w:bidi w:val="0"/>
              <w:snapToGrid w:val="0"/>
              <w:spacing w:beforeAutospacing="0" w:afterAutospacing="0" w:line="360" w:lineRule="auto"/>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投标报价得分=（评标基准价/有效投标报价）×</w:t>
            </w:r>
            <w:r>
              <w:rPr>
                <w:rFonts w:hint="eastAsia" w:ascii="宋体" w:hAnsi="宋体" w:cs="宋体"/>
                <w:b w:val="0"/>
                <w:bCs w:val="0"/>
                <w:color w:val="auto"/>
                <w:sz w:val="24"/>
                <w:szCs w:val="24"/>
                <w:highlight w:val="none"/>
                <w:lang w:val="en-US" w:eastAsia="zh-CN"/>
              </w:rPr>
              <w:t>3</w:t>
            </w:r>
            <w:r>
              <w:rPr>
                <w:rFonts w:hint="eastAsia" w:ascii="宋体" w:hAnsi="宋体" w:eastAsia="宋体" w:cs="宋体"/>
                <w:b w:val="0"/>
                <w:bCs w:val="0"/>
                <w:color w:val="auto"/>
                <w:sz w:val="24"/>
                <w:szCs w:val="24"/>
                <w:highlight w:val="none"/>
                <w:lang w:val="en-US" w:eastAsia="zh-CN"/>
              </w:rPr>
              <w:t>0</w:t>
            </w:r>
            <w:r>
              <w:rPr>
                <w:rFonts w:hint="eastAsia" w:ascii="宋体" w:hAnsi="宋体" w:eastAsia="宋体" w:cs="宋体"/>
                <w:b w:val="0"/>
                <w:bCs w:val="0"/>
                <w:color w:val="auto"/>
                <w:sz w:val="24"/>
                <w:szCs w:val="24"/>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jc w:val="center"/>
        </w:trPr>
        <w:tc>
          <w:tcPr>
            <w:tcW w:w="1239" w:type="dxa"/>
            <w:vMerge w:val="restart"/>
            <w:vAlign w:val="center"/>
          </w:tcPr>
          <w:p>
            <w:pPr>
              <w:keepNext w:val="0"/>
              <w:keepLines w:val="0"/>
              <w:pageBreakBefore w:val="0"/>
              <w:kinsoku/>
              <w:wordWrap/>
              <w:overflowPunct/>
              <w:topLinePunct w:val="0"/>
              <w:bidi w:val="0"/>
              <w:snapToGrid w:val="0"/>
              <w:spacing w:beforeAutospacing="0" w:afterAutospacing="0" w:line="360" w:lineRule="auto"/>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技术部分</w:t>
            </w:r>
            <w:r>
              <w:rPr>
                <w:rFonts w:hint="eastAsia" w:ascii="宋体" w:hAnsi="宋体" w:eastAsia="宋体" w:cs="宋体"/>
                <w:b w:val="0"/>
                <w:bCs w:val="0"/>
                <w:color w:val="auto"/>
                <w:sz w:val="24"/>
                <w:szCs w:val="24"/>
                <w:highlight w:val="none"/>
                <w:lang w:eastAsia="zh-CN"/>
              </w:rPr>
              <w:t>（</w:t>
            </w:r>
            <w:r>
              <w:rPr>
                <w:rFonts w:hint="eastAsia" w:ascii="宋体" w:hAnsi="宋体" w:cs="宋体"/>
                <w:b w:val="0"/>
                <w:bCs w:val="0"/>
                <w:color w:val="auto"/>
                <w:sz w:val="24"/>
                <w:szCs w:val="24"/>
                <w:highlight w:val="none"/>
                <w:lang w:val="en-US" w:eastAsia="zh-CN"/>
              </w:rPr>
              <w:t>45</w:t>
            </w:r>
            <w:r>
              <w:rPr>
                <w:rFonts w:hint="eastAsia" w:ascii="宋体" w:hAnsi="宋体" w:eastAsia="宋体" w:cs="宋体"/>
                <w:b w:val="0"/>
                <w:bCs w:val="0"/>
                <w:color w:val="auto"/>
                <w:sz w:val="24"/>
                <w:szCs w:val="24"/>
                <w:highlight w:val="none"/>
                <w:lang w:eastAsia="zh-CN"/>
              </w:rPr>
              <w:t>分）</w:t>
            </w:r>
          </w:p>
        </w:tc>
        <w:tc>
          <w:tcPr>
            <w:tcW w:w="2140" w:type="dxa"/>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360" w:lineRule="auto"/>
              <w:jc w:val="center"/>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1.产品技术参数（</w:t>
            </w:r>
            <w:r>
              <w:rPr>
                <w:rFonts w:hint="eastAsia" w:ascii="宋体" w:hAnsi="宋体" w:cs="宋体"/>
                <w:b w:val="0"/>
                <w:bCs w:val="0"/>
                <w:color w:val="auto"/>
                <w:sz w:val="24"/>
                <w:szCs w:val="24"/>
                <w:highlight w:val="none"/>
                <w:lang w:val="en-US" w:eastAsia="zh-CN"/>
              </w:rPr>
              <w:t>30</w:t>
            </w:r>
            <w:r>
              <w:rPr>
                <w:rFonts w:hint="eastAsia" w:ascii="宋体" w:hAnsi="宋体" w:eastAsia="宋体" w:cs="宋体"/>
                <w:b w:val="0"/>
                <w:bCs w:val="0"/>
                <w:color w:val="auto"/>
                <w:sz w:val="24"/>
                <w:szCs w:val="24"/>
                <w:highlight w:val="none"/>
              </w:rPr>
              <w:t>分）</w:t>
            </w:r>
          </w:p>
        </w:tc>
        <w:tc>
          <w:tcPr>
            <w:tcW w:w="6103" w:type="dxa"/>
            <w:vAlign w:val="center"/>
          </w:tcPr>
          <w:p>
            <w:pPr>
              <w:spacing w:line="360" w:lineRule="auto"/>
              <w:rPr>
                <w:rFonts w:hint="eastAsia" w:ascii="宋体" w:hAnsi="宋体" w:eastAsia="宋体" w:cs="宋体"/>
                <w:b w:val="0"/>
                <w:bCs w:val="0"/>
                <w:color w:val="auto"/>
                <w:kern w:val="0"/>
                <w:sz w:val="24"/>
                <w:szCs w:val="24"/>
                <w:highlight w:val="none"/>
                <w:lang w:val="en-US" w:eastAsia="zh-CN" w:bidi="ar-SA"/>
              </w:rPr>
            </w:pPr>
            <w:r>
              <w:rPr>
                <w:rFonts w:hint="eastAsia" w:ascii="宋体" w:hAnsi="宋体" w:eastAsia="宋体" w:cs="宋体"/>
                <w:b w:val="0"/>
                <w:bCs w:val="0"/>
                <w:color w:val="auto"/>
                <w:kern w:val="0"/>
                <w:sz w:val="24"/>
                <w:szCs w:val="24"/>
                <w:highlight w:val="none"/>
                <w:lang w:val="en-US" w:eastAsia="zh-CN" w:bidi="ar-SA"/>
              </w:rPr>
              <w:t>投标人对“第二章  采购需求”技术参数要求的响应，所投内容全部满足磋商文件要求得30分</w:t>
            </w:r>
            <w:r>
              <w:rPr>
                <w:rFonts w:hint="eastAsia" w:ascii="宋体" w:hAnsi="宋体" w:cs="宋体"/>
                <w:b w:val="0"/>
                <w:bCs w:val="0"/>
                <w:color w:val="auto"/>
                <w:kern w:val="0"/>
                <w:sz w:val="24"/>
                <w:szCs w:val="24"/>
                <w:highlight w:val="none"/>
                <w:lang w:val="en-US" w:eastAsia="zh-CN" w:bidi="ar-SA"/>
              </w:rPr>
              <w:t>。</w:t>
            </w:r>
          </w:p>
          <w:p>
            <w:pPr>
              <w:spacing w:line="360" w:lineRule="auto"/>
              <w:rPr>
                <w:rFonts w:hint="eastAsia" w:ascii="宋体" w:hAnsi="宋体" w:eastAsia="宋体" w:cs="宋体"/>
                <w:b w:val="0"/>
                <w:bCs w:val="0"/>
                <w:color w:val="auto"/>
                <w:kern w:val="0"/>
                <w:sz w:val="24"/>
                <w:szCs w:val="24"/>
                <w:highlight w:val="none"/>
                <w:lang w:val="en-US" w:eastAsia="zh-CN" w:bidi="ar-SA"/>
              </w:rPr>
            </w:pPr>
            <w:r>
              <w:rPr>
                <w:rFonts w:hint="eastAsia" w:ascii="宋体" w:hAnsi="宋体" w:eastAsia="宋体" w:cs="宋体"/>
                <w:b w:val="0"/>
                <w:bCs w:val="0"/>
                <w:color w:val="auto"/>
                <w:kern w:val="0"/>
                <w:sz w:val="24"/>
                <w:szCs w:val="24"/>
                <w:highlight w:val="none"/>
                <w:lang w:val="en-US" w:eastAsia="zh-CN" w:bidi="ar-SA"/>
              </w:rPr>
              <w:t>技术参数要求带“*”标注的为重要技术参数，若投标设备技术指标与该项要求相比出现负偏离者或提供证明文件不符，每项扣除技术分4分，扣完为止；</w:t>
            </w:r>
          </w:p>
          <w:p>
            <w:pPr>
              <w:spacing w:line="360" w:lineRule="auto"/>
              <w:rPr>
                <w:rFonts w:hint="eastAsia" w:ascii="宋体" w:hAnsi="宋体" w:eastAsia="宋体" w:cs="宋体"/>
                <w:b w:val="0"/>
                <w:bCs w:val="0"/>
                <w:color w:val="auto"/>
                <w:kern w:val="0"/>
                <w:sz w:val="24"/>
                <w:szCs w:val="24"/>
                <w:highlight w:val="none"/>
                <w:lang w:val="en-US" w:eastAsia="zh-CN" w:bidi="ar-SA"/>
              </w:rPr>
            </w:pPr>
            <w:r>
              <w:rPr>
                <w:rFonts w:hint="eastAsia" w:ascii="宋体" w:hAnsi="宋体" w:eastAsia="宋体" w:cs="宋体"/>
                <w:b w:val="0"/>
                <w:bCs w:val="0"/>
                <w:color w:val="auto"/>
                <w:kern w:val="0"/>
                <w:sz w:val="24"/>
                <w:szCs w:val="24"/>
                <w:highlight w:val="none"/>
                <w:lang w:val="en-US" w:eastAsia="zh-CN" w:bidi="ar-SA"/>
              </w:rPr>
              <w:t>技术参数要求未标注“*”的为一般性技术参数，投标设备技术指标与该项要求相比出现负偏离者或提供证明文件不符，每项扣除技术分2分，扣完为止。</w:t>
            </w:r>
          </w:p>
          <w:p>
            <w:pPr>
              <w:keepNext w:val="0"/>
              <w:keepLines w:val="0"/>
              <w:pageBreakBefore w:val="0"/>
              <w:widowControl/>
              <w:kinsoku/>
              <w:wordWrap/>
              <w:overflowPunct/>
              <w:topLinePunct w:val="0"/>
              <w:autoSpaceDE/>
              <w:autoSpaceDN/>
              <w:bidi w:val="0"/>
              <w:adjustRightInd/>
              <w:snapToGrid w:val="0"/>
              <w:spacing w:beforeAutospacing="0" w:afterAutospacing="0" w:line="360" w:lineRule="auto"/>
              <w:jc w:val="both"/>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kern w:val="0"/>
                <w:sz w:val="24"/>
                <w:szCs w:val="24"/>
                <w:highlight w:val="none"/>
                <w:lang w:val="en-US" w:eastAsia="zh-CN" w:bidi="ar-SA"/>
              </w:rPr>
              <w:t>注：附技术偏离表，需提供投标产品注册检验报告（完整版）及响应技术参数条款的技术白皮书和彩页等相关文件，并对响应技术参数部分做出明显标注。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39" w:type="dxa"/>
            <w:vMerge w:val="continue"/>
            <w:vAlign w:val="center"/>
          </w:tcPr>
          <w:p>
            <w:pPr>
              <w:keepNext w:val="0"/>
              <w:keepLines w:val="0"/>
              <w:pageBreakBefore w:val="0"/>
              <w:kinsoku/>
              <w:wordWrap/>
              <w:overflowPunct/>
              <w:topLinePunct w:val="0"/>
              <w:bidi w:val="0"/>
              <w:snapToGrid w:val="0"/>
              <w:spacing w:beforeAutospacing="0" w:afterAutospacing="0" w:line="360" w:lineRule="auto"/>
              <w:jc w:val="left"/>
              <w:textAlignment w:val="auto"/>
              <w:rPr>
                <w:rFonts w:hint="eastAsia" w:ascii="宋体" w:hAnsi="宋体" w:eastAsia="宋体" w:cs="宋体"/>
                <w:b w:val="0"/>
                <w:bCs w:val="0"/>
                <w:color w:val="auto"/>
                <w:sz w:val="24"/>
                <w:szCs w:val="24"/>
                <w:highlight w:val="none"/>
                <w:lang w:val="en-US" w:eastAsia="zh-CN"/>
              </w:rPr>
            </w:pPr>
          </w:p>
        </w:tc>
        <w:tc>
          <w:tcPr>
            <w:tcW w:w="2140" w:type="dxa"/>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360" w:lineRule="auto"/>
              <w:jc w:val="center"/>
              <w:textAlignment w:val="auto"/>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2.实施方案（</w:t>
            </w:r>
            <w:r>
              <w:rPr>
                <w:rFonts w:hint="eastAsia" w:ascii="宋体" w:hAnsi="宋体" w:cs="宋体"/>
                <w:b w:val="0"/>
                <w:bCs w:val="0"/>
                <w:color w:val="auto"/>
                <w:kern w:val="0"/>
                <w:sz w:val="24"/>
                <w:szCs w:val="24"/>
                <w:highlight w:val="none"/>
                <w:lang w:val="en-US" w:eastAsia="zh-CN"/>
              </w:rPr>
              <w:t>15</w:t>
            </w:r>
            <w:r>
              <w:rPr>
                <w:rFonts w:hint="eastAsia" w:ascii="宋体" w:hAnsi="宋体" w:eastAsia="宋体" w:cs="宋体"/>
                <w:b w:val="0"/>
                <w:bCs w:val="0"/>
                <w:color w:val="auto"/>
                <w:kern w:val="0"/>
                <w:sz w:val="24"/>
                <w:szCs w:val="24"/>
                <w:highlight w:val="none"/>
                <w:lang w:val="en-US" w:eastAsia="zh-CN"/>
              </w:rPr>
              <w:t>分）</w:t>
            </w:r>
          </w:p>
        </w:tc>
        <w:tc>
          <w:tcPr>
            <w:tcW w:w="6103" w:type="dxa"/>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360" w:lineRule="auto"/>
              <w:jc w:val="both"/>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供应商对项目实施方案的整体规划，包括设备对接方案、调试方案、交货期保证措施。</w:t>
            </w:r>
          </w:p>
          <w:p>
            <w:pPr>
              <w:keepNext w:val="0"/>
              <w:keepLines w:val="0"/>
              <w:pageBreakBefore w:val="0"/>
              <w:widowControl/>
              <w:kinsoku/>
              <w:wordWrap/>
              <w:overflowPunct/>
              <w:topLinePunct w:val="0"/>
              <w:autoSpaceDE/>
              <w:autoSpaceDN/>
              <w:bidi w:val="0"/>
              <w:adjustRightInd/>
              <w:snapToGrid w:val="0"/>
              <w:spacing w:beforeAutospacing="0" w:afterAutospacing="0" w:line="360" w:lineRule="auto"/>
              <w:jc w:val="both"/>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以上措施详细、合理、可行的11-15分；基本详细、基本合理、基本可行的6-10分；基本详细度、合理性差、可行性差的1-5分；缺项得0分。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jc w:val="center"/>
        </w:trPr>
        <w:tc>
          <w:tcPr>
            <w:tcW w:w="1239" w:type="dxa"/>
            <w:vMerge w:val="restart"/>
            <w:vAlign w:val="center"/>
          </w:tcPr>
          <w:p>
            <w:pPr>
              <w:keepNext w:val="0"/>
              <w:keepLines w:val="0"/>
              <w:pageBreakBefore w:val="0"/>
              <w:kinsoku/>
              <w:wordWrap/>
              <w:overflowPunct/>
              <w:topLinePunct w:val="0"/>
              <w:bidi w:val="0"/>
              <w:snapToGrid w:val="0"/>
              <w:spacing w:beforeAutospacing="0" w:afterAutospacing="0" w:line="360" w:lineRule="auto"/>
              <w:jc w:val="center"/>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eastAsia="zh-CN"/>
              </w:rPr>
              <w:t>商务</w:t>
            </w:r>
            <w:r>
              <w:rPr>
                <w:rFonts w:hint="eastAsia" w:ascii="宋体" w:hAnsi="宋体" w:eastAsia="宋体" w:cs="宋体"/>
                <w:b w:val="0"/>
                <w:bCs w:val="0"/>
                <w:color w:val="auto"/>
                <w:sz w:val="24"/>
                <w:szCs w:val="24"/>
                <w:highlight w:val="none"/>
              </w:rPr>
              <w:t>部分（</w:t>
            </w:r>
            <w:r>
              <w:rPr>
                <w:rFonts w:hint="eastAsia" w:ascii="宋体" w:hAnsi="宋体" w:cs="宋体"/>
                <w:b w:val="0"/>
                <w:bCs w:val="0"/>
                <w:color w:val="auto"/>
                <w:sz w:val="24"/>
                <w:szCs w:val="24"/>
                <w:highlight w:val="none"/>
                <w:lang w:val="en-US" w:eastAsia="zh-CN"/>
              </w:rPr>
              <w:t>35</w:t>
            </w:r>
            <w:r>
              <w:rPr>
                <w:rFonts w:hint="eastAsia" w:ascii="宋体" w:hAnsi="宋体" w:eastAsia="宋体" w:cs="宋体"/>
                <w:b w:val="0"/>
                <w:bCs w:val="0"/>
                <w:color w:val="auto"/>
                <w:sz w:val="24"/>
                <w:szCs w:val="24"/>
                <w:highlight w:val="none"/>
              </w:rPr>
              <w:t>分）</w:t>
            </w:r>
          </w:p>
        </w:tc>
        <w:tc>
          <w:tcPr>
            <w:tcW w:w="2140" w:type="dxa"/>
            <w:tcBorders>
              <w:top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360" w:lineRule="auto"/>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kern w:val="0"/>
                <w:sz w:val="24"/>
                <w:szCs w:val="24"/>
                <w:highlight w:val="none"/>
                <w:lang w:val="en-US" w:eastAsia="zh-CN"/>
              </w:rPr>
              <w:t>1、</w:t>
            </w:r>
            <w:r>
              <w:rPr>
                <w:rFonts w:hint="eastAsia" w:ascii="宋体" w:hAnsi="宋体" w:eastAsia="宋体" w:cs="宋体"/>
                <w:b w:val="0"/>
                <w:bCs w:val="0"/>
                <w:color w:val="auto"/>
                <w:kern w:val="0"/>
                <w:sz w:val="24"/>
                <w:szCs w:val="24"/>
                <w:highlight w:val="none"/>
              </w:rPr>
              <w:t>质保期</w:t>
            </w:r>
            <w:r>
              <w:rPr>
                <w:rFonts w:hint="eastAsia" w:ascii="宋体" w:hAnsi="宋体" w:eastAsia="宋体" w:cs="宋体"/>
                <w:b w:val="0"/>
                <w:bCs w:val="0"/>
                <w:color w:val="auto"/>
                <w:kern w:val="0"/>
                <w:sz w:val="24"/>
                <w:szCs w:val="24"/>
                <w:highlight w:val="none"/>
                <w:lang w:eastAsia="zh-CN"/>
              </w:rPr>
              <w:t>（</w:t>
            </w:r>
            <w:r>
              <w:rPr>
                <w:rFonts w:hint="eastAsia" w:ascii="宋体" w:hAnsi="宋体" w:eastAsia="宋体" w:cs="宋体"/>
                <w:b w:val="0"/>
                <w:bCs w:val="0"/>
                <w:color w:val="auto"/>
                <w:kern w:val="0"/>
                <w:sz w:val="24"/>
                <w:szCs w:val="24"/>
                <w:highlight w:val="none"/>
                <w:lang w:val="en-US" w:eastAsia="zh-CN"/>
              </w:rPr>
              <w:t>6分</w:t>
            </w:r>
            <w:r>
              <w:rPr>
                <w:rFonts w:hint="eastAsia" w:ascii="宋体" w:hAnsi="宋体" w:eastAsia="宋体" w:cs="宋体"/>
                <w:b w:val="0"/>
                <w:bCs w:val="0"/>
                <w:color w:val="auto"/>
                <w:kern w:val="0"/>
                <w:sz w:val="24"/>
                <w:szCs w:val="24"/>
                <w:highlight w:val="none"/>
                <w:lang w:eastAsia="zh-CN"/>
              </w:rPr>
              <w:t>）</w:t>
            </w:r>
          </w:p>
        </w:tc>
        <w:tc>
          <w:tcPr>
            <w:tcW w:w="6103" w:type="dxa"/>
            <w:vAlign w:val="top"/>
          </w:tcPr>
          <w:p>
            <w:pPr>
              <w:keepNext w:val="0"/>
              <w:keepLines w:val="0"/>
              <w:pageBreakBefore w:val="0"/>
              <w:widowControl/>
              <w:kinsoku/>
              <w:wordWrap/>
              <w:overflowPunct/>
              <w:topLinePunct w:val="0"/>
              <w:autoSpaceDE/>
              <w:autoSpaceDN/>
              <w:bidi w:val="0"/>
              <w:adjustRightInd/>
              <w:snapToGrid w:val="0"/>
              <w:spacing w:beforeAutospacing="0" w:afterAutospacing="0" w:line="360" w:lineRule="auto"/>
              <w:textAlignment w:val="auto"/>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质保期达到招标要求的，得基础分2分，超过招标文件规定的，每增加半年加1分,最多加4分（出具相关服务承诺书）；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jc w:val="center"/>
        </w:trPr>
        <w:tc>
          <w:tcPr>
            <w:tcW w:w="1239" w:type="dxa"/>
            <w:vMerge w:val="continue"/>
            <w:vAlign w:val="center"/>
          </w:tcPr>
          <w:p>
            <w:pPr>
              <w:keepNext w:val="0"/>
              <w:keepLines w:val="0"/>
              <w:pageBreakBefore w:val="0"/>
              <w:kinsoku/>
              <w:wordWrap/>
              <w:overflowPunct/>
              <w:topLinePunct w:val="0"/>
              <w:bidi w:val="0"/>
              <w:snapToGrid w:val="0"/>
              <w:spacing w:beforeAutospacing="0" w:afterAutospacing="0" w:line="360" w:lineRule="auto"/>
              <w:jc w:val="center"/>
              <w:textAlignment w:val="auto"/>
              <w:rPr>
                <w:rFonts w:hint="eastAsia" w:ascii="宋体" w:hAnsi="宋体" w:eastAsia="宋体" w:cs="宋体"/>
                <w:b w:val="0"/>
                <w:bCs w:val="0"/>
                <w:color w:val="auto"/>
                <w:sz w:val="24"/>
                <w:szCs w:val="24"/>
                <w:highlight w:val="none"/>
              </w:rPr>
            </w:pPr>
          </w:p>
        </w:tc>
        <w:tc>
          <w:tcPr>
            <w:tcW w:w="2140" w:type="dxa"/>
            <w:vAlign w:val="center"/>
          </w:tcPr>
          <w:p>
            <w:pPr>
              <w:keepNext w:val="0"/>
              <w:keepLines w:val="0"/>
              <w:pageBreakBefore w:val="0"/>
              <w:kinsoku/>
              <w:wordWrap/>
              <w:overflowPunct/>
              <w:topLinePunct w:val="0"/>
              <w:bidi w:val="0"/>
              <w:snapToGrid w:val="0"/>
              <w:spacing w:beforeAutospacing="0" w:afterAutospacing="0" w:line="360" w:lineRule="auto"/>
              <w:jc w:val="both"/>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2.类似业绩（4分）</w:t>
            </w:r>
          </w:p>
        </w:tc>
        <w:tc>
          <w:tcPr>
            <w:tcW w:w="6103" w:type="dxa"/>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360" w:lineRule="auto"/>
              <w:jc w:val="both"/>
              <w:textAlignment w:val="auto"/>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自202</w:t>
            </w:r>
            <w:r>
              <w:rPr>
                <w:rFonts w:hint="eastAsia" w:ascii="宋体" w:hAnsi="宋体" w:cs="宋体"/>
                <w:b w:val="0"/>
                <w:bCs w:val="0"/>
                <w:color w:val="auto"/>
                <w:kern w:val="0"/>
                <w:sz w:val="24"/>
                <w:szCs w:val="24"/>
                <w:highlight w:val="none"/>
                <w:lang w:val="en-US" w:eastAsia="zh-CN"/>
              </w:rPr>
              <w:t>1</w:t>
            </w:r>
            <w:r>
              <w:rPr>
                <w:rFonts w:hint="eastAsia" w:ascii="宋体" w:hAnsi="宋体" w:eastAsia="宋体" w:cs="宋体"/>
                <w:b w:val="0"/>
                <w:bCs w:val="0"/>
                <w:color w:val="auto"/>
                <w:kern w:val="0"/>
                <w:sz w:val="24"/>
                <w:szCs w:val="24"/>
                <w:highlight w:val="none"/>
                <w:lang w:val="en-US" w:eastAsia="zh-CN"/>
              </w:rPr>
              <w:t>年1月1日以来具有的类似项目(以合同文件为准），每提供一份得2分，最多得4分。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jc w:val="center"/>
        </w:trPr>
        <w:tc>
          <w:tcPr>
            <w:tcW w:w="1239" w:type="dxa"/>
            <w:vMerge w:val="continue"/>
            <w:vAlign w:val="center"/>
          </w:tcPr>
          <w:p>
            <w:pPr>
              <w:keepNext w:val="0"/>
              <w:keepLines w:val="0"/>
              <w:pageBreakBefore w:val="0"/>
              <w:kinsoku/>
              <w:wordWrap/>
              <w:overflowPunct/>
              <w:topLinePunct w:val="0"/>
              <w:bidi w:val="0"/>
              <w:snapToGrid w:val="0"/>
              <w:spacing w:beforeAutospacing="0" w:afterAutospacing="0" w:line="360" w:lineRule="auto"/>
              <w:jc w:val="center"/>
              <w:textAlignment w:val="auto"/>
              <w:rPr>
                <w:rFonts w:hint="eastAsia" w:ascii="宋体" w:hAnsi="宋体" w:eastAsia="宋体" w:cs="宋体"/>
                <w:b w:val="0"/>
                <w:bCs w:val="0"/>
                <w:color w:val="auto"/>
                <w:sz w:val="24"/>
                <w:szCs w:val="24"/>
                <w:highlight w:val="none"/>
              </w:rPr>
            </w:pPr>
          </w:p>
        </w:tc>
        <w:tc>
          <w:tcPr>
            <w:tcW w:w="2140" w:type="dxa"/>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360" w:lineRule="auto"/>
              <w:jc w:val="center"/>
              <w:textAlignment w:val="auto"/>
              <w:rPr>
                <w:rFonts w:hint="eastAsia" w:ascii="宋体" w:hAnsi="宋体" w:eastAsia="宋体" w:cs="宋体"/>
                <w:b w:val="0"/>
                <w:bCs w:val="0"/>
                <w:color w:val="auto"/>
                <w:kern w:val="2"/>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3.优惠承诺（10分）</w:t>
            </w:r>
          </w:p>
        </w:tc>
        <w:tc>
          <w:tcPr>
            <w:tcW w:w="6103" w:type="dxa"/>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360" w:lineRule="auto"/>
              <w:jc w:val="both"/>
              <w:textAlignment w:val="auto"/>
              <w:rPr>
                <w:rFonts w:hint="eastAsia" w:ascii="宋体" w:hAnsi="宋体" w:eastAsia="宋体" w:cs="宋体"/>
                <w:b w:val="0"/>
                <w:bCs w:val="0"/>
                <w:color w:val="auto"/>
                <w:kern w:val="2"/>
                <w:sz w:val="24"/>
                <w:szCs w:val="24"/>
                <w:highlight w:val="none"/>
              </w:rPr>
            </w:pPr>
            <w:r>
              <w:rPr>
                <w:rFonts w:hint="eastAsia" w:ascii="宋体" w:hAnsi="宋体" w:eastAsia="宋体" w:cs="宋体"/>
                <w:b w:val="0"/>
                <w:bCs w:val="0"/>
                <w:color w:val="auto"/>
                <w:sz w:val="24"/>
                <w:szCs w:val="24"/>
                <w:highlight w:val="none"/>
              </w:rPr>
              <w:t>磋商小组根据供应商所提出的</w:t>
            </w:r>
            <w:r>
              <w:rPr>
                <w:rFonts w:hint="eastAsia" w:ascii="宋体" w:hAnsi="宋体" w:eastAsia="宋体" w:cs="宋体"/>
                <w:b w:val="0"/>
                <w:bCs w:val="0"/>
                <w:color w:val="auto"/>
                <w:sz w:val="24"/>
                <w:szCs w:val="24"/>
                <w:highlight w:val="none"/>
                <w:lang w:eastAsia="zh-CN"/>
              </w:rPr>
              <w:t>耗材</w:t>
            </w:r>
            <w:r>
              <w:rPr>
                <w:rFonts w:hint="eastAsia" w:ascii="宋体" w:hAnsi="宋体" w:cs="宋体"/>
                <w:b w:val="0"/>
                <w:bCs w:val="0"/>
                <w:color w:val="auto"/>
                <w:sz w:val="24"/>
                <w:szCs w:val="24"/>
                <w:highlight w:val="none"/>
                <w:lang w:val="en-US" w:eastAsia="zh-CN"/>
              </w:rPr>
              <w:t>报价优惠情况</w:t>
            </w:r>
            <w:r>
              <w:rPr>
                <w:rFonts w:hint="eastAsia" w:ascii="宋体" w:hAnsi="宋体" w:eastAsia="宋体" w:cs="宋体"/>
                <w:b w:val="0"/>
                <w:bCs w:val="0"/>
                <w:color w:val="auto"/>
                <w:sz w:val="24"/>
                <w:szCs w:val="24"/>
                <w:highlight w:val="none"/>
              </w:rPr>
              <w:t>进行综合对比，内容具体、完善、合理、</w:t>
            </w:r>
            <w:r>
              <w:rPr>
                <w:rFonts w:hint="eastAsia" w:ascii="宋体" w:hAnsi="宋体" w:cs="宋体"/>
                <w:b w:val="0"/>
                <w:bCs w:val="0"/>
                <w:color w:val="auto"/>
                <w:sz w:val="24"/>
                <w:szCs w:val="24"/>
                <w:highlight w:val="none"/>
                <w:lang w:val="en-US" w:eastAsia="zh-CN"/>
              </w:rPr>
              <w:t>价格最优惠的</w:t>
            </w:r>
            <w:r>
              <w:rPr>
                <w:rFonts w:hint="eastAsia" w:ascii="宋体" w:hAnsi="宋体" w:eastAsia="宋体" w:cs="宋体"/>
                <w:b w:val="0"/>
                <w:bCs w:val="0"/>
                <w:color w:val="auto"/>
                <w:sz w:val="24"/>
                <w:szCs w:val="24"/>
                <w:highlight w:val="none"/>
              </w:rPr>
              <w:t>得</w:t>
            </w:r>
            <w:r>
              <w:rPr>
                <w:rFonts w:hint="eastAsia" w:ascii="宋体" w:hAnsi="宋体" w:cs="宋体"/>
                <w:b w:val="0"/>
                <w:bCs w:val="0"/>
                <w:color w:val="auto"/>
                <w:sz w:val="24"/>
                <w:szCs w:val="24"/>
                <w:highlight w:val="none"/>
                <w:lang w:val="en-US" w:eastAsia="zh-CN"/>
              </w:rPr>
              <w:t>8</w:t>
            </w:r>
            <w:r>
              <w:rPr>
                <w:rFonts w:hint="eastAsia" w:ascii="宋体" w:hAnsi="宋体" w:eastAsia="宋体" w:cs="宋体"/>
                <w:b w:val="0"/>
                <w:bCs w:val="0"/>
                <w:color w:val="auto"/>
                <w:sz w:val="24"/>
                <w:szCs w:val="24"/>
                <w:highlight w:val="none"/>
                <w:lang w:val="en-US" w:eastAsia="zh-CN"/>
              </w:rPr>
              <w:t>-10</w:t>
            </w:r>
            <w:r>
              <w:rPr>
                <w:rFonts w:hint="eastAsia" w:ascii="宋体" w:hAnsi="宋体" w:eastAsia="宋体" w:cs="宋体"/>
                <w:b w:val="0"/>
                <w:bCs w:val="0"/>
                <w:color w:val="auto"/>
                <w:sz w:val="24"/>
                <w:szCs w:val="24"/>
                <w:highlight w:val="none"/>
              </w:rPr>
              <w:t>分，具体、完善、合理、</w:t>
            </w:r>
            <w:r>
              <w:rPr>
                <w:rFonts w:hint="eastAsia" w:ascii="宋体" w:hAnsi="宋体" w:cs="宋体"/>
                <w:b w:val="0"/>
                <w:bCs w:val="0"/>
                <w:color w:val="auto"/>
                <w:sz w:val="24"/>
                <w:szCs w:val="24"/>
                <w:highlight w:val="none"/>
                <w:lang w:val="en-US" w:eastAsia="zh-CN"/>
              </w:rPr>
              <w:t>价格优惠</w:t>
            </w:r>
            <w:r>
              <w:rPr>
                <w:rFonts w:hint="eastAsia" w:ascii="宋体" w:hAnsi="宋体" w:eastAsia="宋体" w:cs="宋体"/>
                <w:b w:val="0"/>
                <w:bCs w:val="0"/>
                <w:color w:val="auto"/>
                <w:sz w:val="24"/>
                <w:szCs w:val="24"/>
                <w:highlight w:val="none"/>
              </w:rPr>
              <w:t>一般得</w:t>
            </w:r>
            <w:r>
              <w:rPr>
                <w:rFonts w:hint="eastAsia" w:ascii="宋体" w:hAnsi="宋体" w:eastAsia="宋体" w:cs="宋体"/>
                <w:b w:val="0"/>
                <w:bCs w:val="0"/>
                <w:color w:val="auto"/>
                <w:sz w:val="24"/>
                <w:szCs w:val="24"/>
                <w:highlight w:val="none"/>
                <w:lang w:val="en-US" w:eastAsia="zh-CN"/>
              </w:rPr>
              <w:t>4-</w:t>
            </w:r>
            <w:r>
              <w:rPr>
                <w:rFonts w:hint="eastAsia" w:ascii="宋体" w:hAnsi="宋体" w:cs="宋体"/>
                <w:b w:val="0"/>
                <w:bCs w:val="0"/>
                <w:color w:val="auto"/>
                <w:sz w:val="24"/>
                <w:szCs w:val="24"/>
                <w:highlight w:val="none"/>
                <w:lang w:val="en-US" w:eastAsia="zh-CN"/>
              </w:rPr>
              <w:t>7</w:t>
            </w:r>
            <w:r>
              <w:rPr>
                <w:rFonts w:hint="eastAsia" w:ascii="宋体" w:hAnsi="宋体" w:eastAsia="宋体" w:cs="宋体"/>
                <w:b w:val="0"/>
                <w:bCs w:val="0"/>
                <w:color w:val="auto"/>
                <w:sz w:val="24"/>
                <w:szCs w:val="24"/>
                <w:highlight w:val="none"/>
              </w:rPr>
              <w:t>分，具体、完善、合理、</w:t>
            </w:r>
            <w:r>
              <w:rPr>
                <w:rFonts w:hint="eastAsia" w:ascii="宋体" w:hAnsi="宋体" w:cs="宋体"/>
                <w:b w:val="0"/>
                <w:bCs w:val="0"/>
                <w:color w:val="auto"/>
                <w:sz w:val="24"/>
                <w:szCs w:val="24"/>
                <w:highlight w:val="none"/>
                <w:lang w:val="en-US" w:eastAsia="zh-CN"/>
              </w:rPr>
              <w:t>价格</w:t>
            </w:r>
            <w:r>
              <w:rPr>
                <w:rFonts w:hint="eastAsia" w:ascii="宋体" w:hAnsi="宋体" w:eastAsia="宋体" w:cs="宋体"/>
                <w:b w:val="0"/>
                <w:bCs w:val="0"/>
                <w:color w:val="auto"/>
                <w:sz w:val="24"/>
                <w:szCs w:val="24"/>
                <w:highlight w:val="none"/>
              </w:rPr>
              <w:t>优惠</w:t>
            </w:r>
            <w:r>
              <w:rPr>
                <w:rFonts w:hint="eastAsia" w:ascii="宋体" w:hAnsi="宋体" w:cs="宋体"/>
                <w:b w:val="0"/>
                <w:bCs w:val="0"/>
                <w:color w:val="auto"/>
                <w:sz w:val="24"/>
                <w:szCs w:val="24"/>
                <w:highlight w:val="none"/>
                <w:lang w:val="en-US" w:eastAsia="zh-CN"/>
              </w:rPr>
              <w:t>最低的</w:t>
            </w:r>
            <w:r>
              <w:rPr>
                <w:rFonts w:hint="eastAsia" w:ascii="宋体" w:hAnsi="宋体" w:eastAsia="宋体" w:cs="宋体"/>
                <w:b w:val="0"/>
                <w:bCs w:val="0"/>
                <w:color w:val="auto"/>
                <w:sz w:val="24"/>
                <w:szCs w:val="24"/>
                <w:highlight w:val="none"/>
              </w:rPr>
              <w:t>得1</w:t>
            </w:r>
            <w:r>
              <w:rPr>
                <w:rFonts w:hint="eastAsia" w:ascii="宋体" w:hAnsi="宋体" w:eastAsia="宋体" w:cs="宋体"/>
                <w:b w:val="0"/>
                <w:bCs w:val="0"/>
                <w:color w:val="auto"/>
                <w:sz w:val="24"/>
                <w:szCs w:val="24"/>
                <w:highlight w:val="none"/>
                <w:lang w:val="en-US" w:eastAsia="zh-CN"/>
              </w:rPr>
              <w:t>-3</w:t>
            </w:r>
            <w:r>
              <w:rPr>
                <w:rFonts w:hint="eastAsia" w:ascii="宋体" w:hAnsi="宋体" w:eastAsia="宋体" w:cs="宋体"/>
                <w:b w:val="0"/>
                <w:bCs w:val="0"/>
                <w:color w:val="auto"/>
                <w:sz w:val="24"/>
                <w:szCs w:val="24"/>
                <w:highlight w:val="none"/>
              </w:rPr>
              <w:t>分，</w:t>
            </w:r>
            <w:r>
              <w:rPr>
                <w:rFonts w:hint="eastAsia" w:ascii="宋体" w:hAnsi="宋体" w:eastAsia="宋体" w:cs="宋体"/>
                <w:b w:val="0"/>
                <w:bCs w:val="0"/>
                <w:sz w:val="24"/>
                <w:szCs w:val="24"/>
                <w:lang w:val="en-US" w:eastAsia="zh-CN"/>
              </w:rPr>
              <w:t>未提供或提供</w:t>
            </w:r>
            <w:r>
              <w:rPr>
                <w:rFonts w:hint="eastAsia" w:ascii="宋体" w:hAnsi="宋体" w:cs="宋体"/>
                <w:b w:val="0"/>
                <w:bCs w:val="0"/>
                <w:sz w:val="24"/>
                <w:szCs w:val="24"/>
                <w:lang w:val="en-US" w:eastAsia="zh-CN"/>
              </w:rPr>
              <w:t>耗材</w:t>
            </w:r>
            <w:r>
              <w:rPr>
                <w:rFonts w:hint="eastAsia" w:ascii="宋体" w:hAnsi="宋体" w:eastAsia="宋体" w:cs="宋体"/>
                <w:b w:val="0"/>
                <w:bCs w:val="0"/>
                <w:sz w:val="24"/>
                <w:szCs w:val="24"/>
                <w:lang w:val="en-US" w:eastAsia="zh-CN"/>
              </w:rPr>
              <w:t>不齐全不得分</w:t>
            </w:r>
            <w:r>
              <w:rPr>
                <w:rFonts w:hint="eastAsia" w:ascii="宋体" w:hAnsi="宋体" w:eastAsia="宋体" w:cs="宋体"/>
                <w:b w:val="0"/>
                <w:bCs w:val="0"/>
                <w:color w:val="auto"/>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jc w:val="center"/>
        </w:trPr>
        <w:tc>
          <w:tcPr>
            <w:tcW w:w="1239" w:type="dxa"/>
            <w:vMerge w:val="continue"/>
            <w:vAlign w:val="center"/>
          </w:tcPr>
          <w:p>
            <w:pPr>
              <w:keepNext w:val="0"/>
              <w:keepLines w:val="0"/>
              <w:pageBreakBefore w:val="0"/>
              <w:kinsoku/>
              <w:wordWrap/>
              <w:overflowPunct/>
              <w:topLinePunct w:val="0"/>
              <w:bidi w:val="0"/>
              <w:snapToGrid w:val="0"/>
              <w:spacing w:beforeAutospacing="0" w:afterAutospacing="0" w:line="360" w:lineRule="auto"/>
              <w:jc w:val="center"/>
              <w:textAlignment w:val="auto"/>
              <w:rPr>
                <w:rFonts w:hint="eastAsia" w:ascii="宋体" w:hAnsi="宋体" w:eastAsia="宋体" w:cs="宋体"/>
                <w:b w:val="0"/>
                <w:bCs w:val="0"/>
                <w:color w:val="auto"/>
                <w:sz w:val="24"/>
                <w:szCs w:val="24"/>
                <w:highlight w:val="none"/>
              </w:rPr>
            </w:pPr>
          </w:p>
        </w:tc>
        <w:tc>
          <w:tcPr>
            <w:tcW w:w="2140" w:type="dxa"/>
            <w:vAlign w:val="center"/>
          </w:tcPr>
          <w:p>
            <w:pPr>
              <w:keepNext w:val="0"/>
              <w:keepLines w:val="0"/>
              <w:pageBreakBefore w:val="0"/>
              <w:kinsoku/>
              <w:wordWrap/>
              <w:overflowPunct/>
              <w:topLinePunct w:val="0"/>
              <w:bidi w:val="0"/>
              <w:snapToGrid w:val="0"/>
              <w:spacing w:beforeAutospacing="0" w:afterAutospacing="0" w:line="360" w:lineRule="auto"/>
              <w:jc w:val="center"/>
              <w:textAlignment w:val="auto"/>
              <w:rPr>
                <w:rFonts w:hint="eastAsia" w:ascii="宋体" w:hAnsi="宋体" w:eastAsia="宋体" w:cs="宋体"/>
                <w:b w:val="0"/>
                <w:bCs w:val="0"/>
                <w:color w:val="auto"/>
                <w:kern w:val="2"/>
                <w:sz w:val="24"/>
                <w:szCs w:val="24"/>
                <w:highlight w:val="none"/>
                <w:lang w:val="en-US" w:eastAsia="zh-CN"/>
              </w:rPr>
            </w:pPr>
            <w:r>
              <w:rPr>
                <w:rFonts w:hint="eastAsia" w:ascii="宋体" w:hAnsi="宋体" w:cs="宋体"/>
                <w:b w:val="0"/>
                <w:bCs w:val="0"/>
                <w:color w:val="auto"/>
                <w:kern w:val="2"/>
                <w:sz w:val="24"/>
                <w:szCs w:val="24"/>
                <w:highlight w:val="none"/>
                <w:lang w:val="en-US" w:eastAsia="zh-CN"/>
              </w:rPr>
              <w:t>4.</w:t>
            </w:r>
            <w:r>
              <w:rPr>
                <w:rFonts w:hint="eastAsia" w:ascii="宋体" w:hAnsi="宋体" w:eastAsia="宋体" w:cs="宋体"/>
                <w:b w:val="0"/>
                <w:bCs w:val="0"/>
                <w:color w:val="auto"/>
                <w:kern w:val="2"/>
                <w:sz w:val="24"/>
                <w:szCs w:val="24"/>
                <w:highlight w:val="none"/>
                <w:lang w:val="en-US" w:eastAsia="zh-CN"/>
              </w:rPr>
              <w:t>售后服务体系（</w:t>
            </w:r>
            <w:r>
              <w:rPr>
                <w:rFonts w:hint="eastAsia" w:ascii="宋体" w:hAnsi="宋体" w:cs="宋体"/>
                <w:b w:val="0"/>
                <w:bCs w:val="0"/>
                <w:color w:val="auto"/>
                <w:kern w:val="2"/>
                <w:sz w:val="24"/>
                <w:szCs w:val="24"/>
                <w:highlight w:val="none"/>
                <w:lang w:val="en-US" w:eastAsia="zh-CN"/>
              </w:rPr>
              <w:t>15</w:t>
            </w:r>
            <w:r>
              <w:rPr>
                <w:rFonts w:hint="eastAsia" w:ascii="宋体" w:hAnsi="宋体" w:eastAsia="宋体" w:cs="宋体"/>
                <w:b w:val="0"/>
                <w:bCs w:val="0"/>
                <w:color w:val="auto"/>
                <w:kern w:val="2"/>
                <w:sz w:val="24"/>
                <w:szCs w:val="24"/>
                <w:highlight w:val="none"/>
                <w:lang w:val="en-US" w:eastAsia="zh-CN"/>
              </w:rPr>
              <w:t>分）</w:t>
            </w:r>
          </w:p>
        </w:tc>
        <w:tc>
          <w:tcPr>
            <w:tcW w:w="6103" w:type="dxa"/>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360" w:lineRule="auto"/>
              <w:jc w:val="both"/>
              <w:textAlignment w:val="auto"/>
              <w:rPr>
                <w:rFonts w:hint="eastAsia" w:ascii="宋体" w:hAnsi="宋体" w:eastAsia="宋体" w:cs="宋体"/>
                <w:b w:val="0"/>
                <w:bCs w:val="0"/>
                <w:color w:val="auto"/>
                <w:kern w:val="2"/>
                <w:sz w:val="24"/>
                <w:szCs w:val="24"/>
                <w:highlight w:val="none"/>
              </w:rPr>
            </w:pPr>
            <w:r>
              <w:rPr>
                <w:rFonts w:hint="eastAsia" w:ascii="宋体" w:hAnsi="宋体" w:eastAsia="宋体" w:cs="宋体"/>
                <w:b w:val="0"/>
                <w:bCs w:val="0"/>
                <w:color w:val="auto"/>
                <w:kern w:val="2"/>
                <w:sz w:val="24"/>
                <w:szCs w:val="24"/>
                <w:highlight w:val="none"/>
              </w:rPr>
              <w:t>根据</w:t>
            </w:r>
            <w:r>
              <w:rPr>
                <w:rFonts w:hint="eastAsia" w:ascii="宋体" w:hAnsi="宋体" w:cs="宋体"/>
                <w:b w:val="0"/>
                <w:bCs w:val="0"/>
                <w:color w:val="auto"/>
                <w:kern w:val="2"/>
                <w:sz w:val="24"/>
                <w:szCs w:val="24"/>
                <w:highlight w:val="none"/>
                <w:lang w:eastAsia="zh-CN"/>
              </w:rPr>
              <w:t>供应商</w:t>
            </w:r>
            <w:r>
              <w:rPr>
                <w:rFonts w:hint="eastAsia" w:ascii="宋体" w:hAnsi="宋体" w:eastAsia="宋体" w:cs="宋体"/>
                <w:b w:val="0"/>
                <w:bCs w:val="0"/>
                <w:color w:val="auto"/>
                <w:kern w:val="2"/>
                <w:sz w:val="24"/>
                <w:szCs w:val="24"/>
                <w:highlight w:val="none"/>
              </w:rPr>
              <w:t>服务团队设立情况、备品备件供应、售后服务及时率、详细的维修时间和处理方案、售后服务承诺等内容进行综合对比评分。</w:t>
            </w:r>
          </w:p>
          <w:p>
            <w:pPr>
              <w:keepNext w:val="0"/>
              <w:keepLines w:val="0"/>
              <w:pageBreakBefore w:val="0"/>
              <w:widowControl/>
              <w:kinsoku/>
              <w:wordWrap/>
              <w:overflowPunct/>
              <w:topLinePunct w:val="0"/>
              <w:autoSpaceDE/>
              <w:autoSpaceDN/>
              <w:bidi w:val="0"/>
              <w:adjustRightInd/>
              <w:snapToGrid w:val="0"/>
              <w:spacing w:beforeAutospacing="0" w:afterAutospacing="0" w:line="360" w:lineRule="auto"/>
              <w:jc w:val="both"/>
              <w:textAlignment w:val="auto"/>
              <w:rPr>
                <w:rFonts w:hint="eastAsia" w:ascii="宋体" w:hAnsi="宋体" w:eastAsia="宋体" w:cs="宋体"/>
                <w:b w:val="0"/>
                <w:bCs w:val="0"/>
                <w:color w:val="auto"/>
                <w:kern w:val="2"/>
                <w:sz w:val="24"/>
                <w:szCs w:val="24"/>
                <w:highlight w:val="none"/>
              </w:rPr>
            </w:pPr>
            <w:r>
              <w:rPr>
                <w:rFonts w:hint="eastAsia" w:ascii="宋体" w:hAnsi="宋体" w:eastAsia="宋体" w:cs="宋体"/>
                <w:b w:val="0"/>
                <w:bCs w:val="0"/>
                <w:color w:val="auto"/>
                <w:kern w:val="2"/>
                <w:sz w:val="24"/>
                <w:szCs w:val="24"/>
                <w:highlight w:val="none"/>
              </w:rPr>
              <w:t>售后服务承诺内容具体、完善、合理性程度强得11-15分，具体、完善、合理性程度一般得6-10分，具体、完善、合理性程度差得1-5分，缺项得0分。</w:t>
            </w:r>
          </w:p>
        </w:tc>
      </w:tr>
    </w:tbl>
    <w:p>
      <w:pPr>
        <w:pageBreakBefore w:val="0"/>
        <w:kinsoku/>
        <w:overflowPunct/>
        <w:topLinePunct w:val="0"/>
        <w:bidi w:val="0"/>
        <w:spacing w:beforeAutospacing="0" w:afterAutospacing="0" w:line="360" w:lineRule="auto"/>
        <w:rPr>
          <w:b/>
          <w:color w:val="auto"/>
          <w:highlight w:val="none"/>
        </w:rPr>
      </w:pPr>
    </w:p>
    <w:bookmarkEnd w:id="45"/>
    <w:p>
      <w:pPr>
        <w:pageBreakBefore w:val="0"/>
        <w:kinsoku/>
        <w:overflowPunct/>
        <w:topLinePunct w:val="0"/>
        <w:bidi w:val="0"/>
        <w:spacing w:beforeAutospacing="0" w:afterAutospacing="0" w:line="360" w:lineRule="auto"/>
        <w:rPr>
          <w:color w:val="auto"/>
          <w:highlight w:val="none"/>
        </w:rPr>
      </w:pPr>
      <w:bookmarkStart w:id="46" w:name="_Toc1482"/>
      <w:bookmarkStart w:id="47" w:name="_Toc1947"/>
      <w:bookmarkStart w:id="48" w:name="_Toc256519703"/>
      <w:bookmarkStart w:id="49" w:name="_Toc326786897"/>
    </w:p>
    <w:p>
      <w:pPr>
        <w:pStyle w:val="2"/>
        <w:rPr>
          <w:color w:val="auto"/>
          <w:highlight w:val="none"/>
        </w:rPr>
      </w:pPr>
    </w:p>
    <w:p>
      <w:pPr>
        <w:rPr>
          <w:color w:val="auto"/>
          <w:highlight w:val="none"/>
        </w:rPr>
      </w:pPr>
    </w:p>
    <w:p>
      <w:pPr>
        <w:pStyle w:val="2"/>
        <w:rPr>
          <w:color w:val="auto"/>
          <w:highlight w:val="none"/>
        </w:rPr>
      </w:pPr>
    </w:p>
    <w:p>
      <w:pPr>
        <w:rPr>
          <w:color w:val="auto"/>
          <w:highlight w:val="none"/>
        </w:rPr>
      </w:pPr>
    </w:p>
    <w:p>
      <w:pPr>
        <w:pStyle w:val="2"/>
        <w:rPr>
          <w:color w:val="auto"/>
          <w:highlight w:val="none"/>
        </w:rPr>
      </w:pPr>
    </w:p>
    <w:p>
      <w:pPr>
        <w:rPr>
          <w:color w:val="auto"/>
          <w:highlight w:val="none"/>
        </w:rPr>
      </w:pPr>
    </w:p>
    <w:p>
      <w:pPr>
        <w:pStyle w:val="2"/>
        <w:rPr>
          <w:color w:val="auto"/>
          <w:highlight w:val="none"/>
        </w:rPr>
      </w:pPr>
    </w:p>
    <w:p>
      <w:pPr>
        <w:rPr>
          <w:color w:val="auto"/>
          <w:highlight w:val="none"/>
        </w:rPr>
      </w:pPr>
    </w:p>
    <w:p>
      <w:pPr>
        <w:pageBreakBefore w:val="0"/>
        <w:kinsoku/>
        <w:overflowPunct/>
        <w:topLinePunct w:val="0"/>
        <w:bidi w:val="0"/>
        <w:spacing w:beforeAutospacing="0" w:afterAutospacing="0" w:line="360" w:lineRule="auto"/>
        <w:jc w:val="center"/>
        <w:rPr>
          <w:rFonts w:hint="eastAsia" w:ascii="宋体" w:hAnsi="宋体" w:eastAsia="宋体" w:cs="宋体"/>
          <w:b/>
          <w:bCs/>
          <w:color w:val="auto"/>
          <w:kern w:val="44"/>
          <w:sz w:val="28"/>
          <w:szCs w:val="28"/>
          <w:highlight w:val="none"/>
          <w:lang w:val="en-US" w:eastAsia="zh-CN" w:bidi="ar-SA"/>
        </w:rPr>
      </w:pPr>
      <w:bookmarkStart w:id="50" w:name="_Toc28988"/>
    </w:p>
    <w:p>
      <w:pPr>
        <w:pageBreakBefore w:val="0"/>
        <w:kinsoku/>
        <w:overflowPunct/>
        <w:topLinePunct w:val="0"/>
        <w:bidi w:val="0"/>
        <w:spacing w:beforeAutospacing="0" w:afterAutospacing="0" w:line="360" w:lineRule="auto"/>
        <w:jc w:val="center"/>
        <w:rPr>
          <w:rFonts w:hint="eastAsia" w:ascii="宋体" w:hAnsi="宋体" w:eastAsia="宋体" w:cs="宋体"/>
          <w:b/>
          <w:bCs/>
          <w:color w:val="auto"/>
          <w:kern w:val="44"/>
          <w:sz w:val="28"/>
          <w:szCs w:val="28"/>
          <w:highlight w:val="none"/>
          <w:lang w:val="en-US" w:eastAsia="zh-CN" w:bidi="ar-SA"/>
        </w:rPr>
      </w:pPr>
      <w:r>
        <w:rPr>
          <w:rFonts w:hint="eastAsia" w:ascii="宋体" w:hAnsi="宋体" w:eastAsia="宋体" w:cs="宋体"/>
          <w:b/>
          <w:bCs/>
          <w:color w:val="auto"/>
          <w:kern w:val="44"/>
          <w:sz w:val="28"/>
          <w:szCs w:val="28"/>
          <w:highlight w:val="none"/>
          <w:lang w:val="en-US" w:eastAsia="zh-CN" w:bidi="ar-SA"/>
        </w:rPr>
        <w:t>第五章  采购合同</w:t>
      </w:r>
      <w:bookmarkEnd w:id="50"/>
    </w:p>
    <w:p>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ind w:left="0" w:leftChars="0" w:firstLine="0" w:firstLineChars="0"/>
        <w:jc w:val="center"/>
        <w:textAlignment w:val="auto"/>
        <w:rPr>
          <w:rFonts w:hint="eastAsia" w:ascii="宋体" w:hAnsi="宋体" w:eastAsia="宋体"/>
          <w:sz w:val="21"/>
          <w:szCs w:val="21"/>
          <w:highlight w:val="none"/>
          <w:lang w:eastAsia="zh-CN"/>
        </w:rPr>
      </w:pPr>
      <w:r>
        <w:rPr>
          <w:rFonts w:hint="eastAsia" w:ascii="宋体" w:hAnsi="宋体"/>
          <w:sz w:val="21"/>
          <w:szCs w:val="21"/>
          <w:highlight w:val="none"/>
          <w:lang w:eastAsia="zh-CN"/>
        </w:rPr>
        <w:t>（</w:t>
      </w:r>
      <w:r>
        <w:rPr>
          <w:rFonts w:hint="eastAsia" w:ascii="宋体" w:hAnsi="宋体"/>
          <w:sz w:val="21"/>
          <w:szCs w:val="21"/>
          <w:highlight w:val="none"/>
          <w:lang w:val="en-US" w:eastAsia="zh-CN"/>
        </w:rPr>
        <w:t>以实际合同为准</w:t>
      </w:r>
      <w:r>
        <w:rPr>
          <w:rFonts w:hint="eastAsia" w:ascii="宋体" w:hAnsi="宋体"/>
          <w:sz w:val="21"/>
          <w:szCs w:val="21"/>
          <w:highlight w:val="none"/>
          <w:lang w:eastAsia="zh-CN"/>
        </w:rPr>
        <w:t>）</w:t>
      </w:r>
    </w:p>
    <w:p>
      <w:pPr>
        <w:pageBreakBefore w:val="0"/>
        <w:kinsoku/>
        <w:overflowPunct/>
        <w:topLinePunct w:val="0"/>
        <w:bidi w:val="0"/>
        <w:spacing w:beforeAutospacing="0" w:afterAutospacing="0" w:line="360" w:lineRule="auto"/>
        <w:rPr>
          <w:color w:val="auto"/>
          <w:sz w:val="32"/>
          <w:szCs w:val="32"/>
          <w:highlight w:val="none"/>
        </w:rPr>
      </w:pPr>
    </w:p>
    <w:p>
      <w:pPr>
        <w:pageBreakBefore w:val="0"/>
        <w:kinsoku/>
        <w:overflowPunct/>
        <w:topLinePunct w:val="0"/>
        <w:bidi w:val="0"/>
        <w:spacing w:beforeAutospacing="0" w:afterAutospacing="0" w:line="360" w:lineRule="auto"/>
        <w:rPr>
          <w:color w:val="auto"/>
          <w:highlight w:val="none"/>
        </w:rPr>
      </w:pPr>
      <w:r>
        <w:rPr>
          <w:color w:val="auto"/>
          <w:highlight w:val="none"/>
        </w:rPr>
        <w:br w:type="page"/>
      </w:r>
    </w:p>
    <w:p>
      <w:pPr>
        <w:pStyle w:val="31"/>
        <w:pageBreakBefore w:val="0"/>
        <w:kinsoku/>
        <w:overflowPunct/>
        <w:topLinePunct w:val="0"/>
        <w:bidi w:val="0"/>
        <w:spacing w:beforeAutospacing="0" w:afterAutospacing="0" w:line="360" w:lineRule="auto"/>
        <w:rPr>
          <w:highlight w:val="none"/>
        </w:rPr>
      </w:pPr>
    </w:p>
    <w:p>
      <w:pPr>
        <w:pageBreakBefore w:val="0"/>
        <w:kinsoku/>
        <w:overflowPunct/>
        <w:topLinePunct w:val="0"/>
        <w:bidi w:val="0"/>
        <w:spacing w:beforeAutospacing="0" w:afterAutospacing="0" w:line="360" w:lineRule="auto"/>
        <w:jc w:val="center"/>
        <w:rPr>
          <w:rFonts w:hint="eastAsia" w:ascii="宋体" w:hAnsi="宋体" w:eastAsia="宋体" w:cs="宋体"/>
          <w:b/>
          <w:bCs/>
          <w:color w:val="auto"/>
          <w:kern w:val="44"/>
          <w:sz w:val="32"/>
          <w:szCs w:val="32"/>
          <w:highlight w:val="none"/>
          <w:lang w:val="en-US" w:eastAsia="zh-CN" w:bidi="ar-SA"/>
        </w:rPr>
      </w:pPr>
      <w:bookmarkStart w:id="51" w:name="_Toc2638"/>
      <w:r>
        <w:rPr>
          <w:rFonts w:hint="eastAsia" w:ascii="宋体" w:hAnsi="宋体" w:eastAsia="宋体" w:cs="宋体"/>
          <w:b/>
          <w:bCs/>
          <w:color w:val="auto"/>
          <w:kern w:val="44"/>
          <w:sz w:val="32"/>
          <w:szCs w:val="32"/>
          <w:highlight w:val="none"/>
          <w:lang w:val="en-US" w:eastAsia="zh-CN" w:bidi="ar-SA"/>
        </w:rPr>
        <w:t>第六章  投标文件格式</w:t>
      </w:r>
      <w:bookmarkEnd w:id="46"/>
      <w:bookmarkEnd w:id="47"/>
      <w:bookmarkEnd w:id="51"/>
    </w:p>
    <w:p>
      <w:pPr>
        <w:pageBreakBefore w:val="0"/>
        <w:kinsoku/>
        <w:overflowPunct/>
        <w:topLinePunct w:val="0"/>
        <w:bidi w:val="0"/>
        <w:spacing w:beforeAutospacing="0" w:afterAutospacing="0" w:line="360" w:lineRule="auto"/>
        <w:rPr>
          <w:color w:val="auto"/>
          <w:sz w:val="24"/>
          <w:highlight w:val="none"/>
        </w:rPr>
      </w:pPr>
    </w:p>
    <w:p>
      <w:pPr>
        <w:pageBreakBefore w:val="0"/>
        <w:kinsoku/>
        <w:overflowPunct/>
        <w:topLinePunct w:val="0"/>
        <w:bidi w:val="0"/>
        <w:spacing w:beforeAutospacing="0" w:afterAutospacing="0" w:line="360" w:lineRule="auto"/>
        <w:jc w:val="center"/>
        <w:rPr>
          <w:b/>
          <w:bCs/>
          <w:color w:val="auto"/>
          <w:sz w:val="32"/>
          <w:szCs w:val="32"/>
          <w:highlight w:val="none"/>
        </w:rPr>
      </w:pPr>
      <w:bookmarkStart w:id="52" w:name="_Toc13604"/>
      <w:r>
        <w:rPr>
          <w:rFonts w:hint="eastAsia"/>
          <w:b/>
          <w:bCs/>
          <w:color w:val="auto"/>
          <w:sz w:val="32"/>
          <w:szCs w:val="32"/>
          <w:highlight w:val="none"/>
        </w:rPr>
        <w:t>目    录</w:t>
      </w:r>
      <w:bookmarkEnd w:id="52"/>
    </w:p>
    <w:p>
      <w:pPr>
        <w:pageBreakBefore w:val="0"/>
        <w:widowControl/>
        <w:kinsoku/>
        <w:wordWrap w:val="0"/>
        <w:overflowPunct/>
        <w:topLinePunct w:val="0"/>
        <w:bidi w:val="0"/>
        <w:spacing w:beforeAutospacing="0" w:afterAutospacing="0" w:line="360" w:lineRule="auto"/>
        <w:ind w:firstLine="480" w:firstLineChars="200"/>
        <w:jc w:val="left"/>
        <w:rPr>
          <w:rFonts w:ascii="宋体" w:hAnsi="宋体" w:cs="宋体"/>
          <w:color w:val="auto"/>
          <w:kern w:val="0"/>
          <w:sz w:val="24"/>
          <w:highlight w:val="none"/>
        </w:rPr>
      </w:pPr>
    </w:p>
    <w:p>
      <w:pPr>
        <w:pageBreakBefore w:val="0"/>
        <w:kinsoku/>
        <w:overflowPunct/>
        <w:topLinePunct w:val="0"/>
        <w:bidi w:val="0"/>
        <w:snapToGrid w:val="0"/>
        <w:spacing w:beforeAutospacing="0" w:afterAutospacing="0" w:line="360" w:lineRule="auto"/>
        <w:ind w:firstLine="480" w:firstLineChars="200"/>
        <w:rPr>
          <w:color w:val="auto"/>
          <w:sz w:val="24"/>
          <w:highlight w:val="none"/>
        </w:rPr>
      </w:pPr>
      <w:bookmarkStart w:id="53" w:name="_Toc11308"/>
      <w:r>
        <w:rPr>
          <w:rFonts w:hint="eastAsia"/>
          <w:color w:val="auto"/>
          <w:sz w:val="24"/>
          <w:highlight w:val="none"/>
        </w:rPr>
        <w:t>附件1投标文件封面（格式）</w:t>
      </w:r>
      <w:bookmarkEnd w:id="53"/>
    </w:p>
    <w:p>
      <w:pPr>
        <w:pageBreakBefore w:val="0"/>
        <w:kinsoku/>
        <w:overflowPunct/>
        <w:topLinePunct w:val="0"/>
        <w:bidi w:val="0"/>
        <w:snapToGrid w:val="0"/>
        <w:spacing w:beforeAutospacing="0" w:afterAutospacing="0" w:line="360" w:lineRule="auto"/>
        <w:ind w:firstLine="480" w:firstLineChars="200"/>
        <w:rPr>
          <w:color w:val="auto"/>
          <w:sz w:val="24"/>
          <w:highlight w:val="none"/>
        </w:rPr>
      </w:pPr>
      <w:bookmarkStart w:id="54" w:name="_Toc25345"/>
      <w:r>
        <w:rPr>
          <w:rFonts w:hint="eastAsia"/>
          <w:color w:val="auto"/>
          <w:sz w:val="24"/>
          <w:highlight w:val="none"/>
        </w:rPr>
        <w:t>附件2 投标书（格式）</w:t>
      </w:r>
      <w:bookmarkEnd w:id="54"/>
    </w:p>
    <w:p>
      <w:pPr>
        <w:pageBreakBefore w:val="0"/>
        <w:kinsoku/>
        <w:overflowPunct/>
        <w:topLinePunct w:val="0"/>
        <w:bidi w:val="0"/>
        <w:snapToGrid w:val="0"/>
        <w:spacing w:beforeAutospacing="0" w:afterAutospacing="0" w:line="360" w:lineRule="auto"/>
        <w:ind w:firstLine="480" w:firstLineChars="200"/>
        <w:rPr>
          <w:color w:val="auto"/>
          <w:sz w:val="24"/>
          <w:highlight w:val="none"/>
        </w:rPr>
      </w:pPr>
      <w:bookmarkStart w:id="55" w:name="_Toc10217"/>
      <w:r>
        <w:rPr>
          <w:rFonts w:hint="eastAsia"/>
          <w:color w:val="auto"/>
          <w:sz w:val="24"/>
          <w:highlight w:val="none"/>
        </w:rPr>
        <w:t>附件3 开标一览表（格式）</w:t>
      </w:r>
      <w:bookmarkEnd w:id="55"/>
    </w:p>
    <w:p>
      <w:pPr>
        <w:pageBreakBefore w:val="0"/>
        <w:kinsoku/>
        <w:overflowPunct/>
        <w:topLinePunct w:val="0"/>
        <w:bidi w:val="0"/>
        <w:snapToGrid w:val="0"/>
        <w:spacing w:beforeAutospacing="0" w:afterAutospacing="0" w:line="360" w:lineRule="auto"/>
        <w:ind w:firstLine="480" w:firstLineChars="200"/>
        <w:rPr>
          <w:color w:val="auto"/>
          <w:sz w:val="24"/>
          <w:highlight w:val="none"/>
        </w:rPr>
      </w:pPr>
      <w:bookmarkStart w:id="56" w:name="_Toc9579"/>
      <w:r>
        <w:rPr>
          <w:rFonts w:hint="eastAsia"/>
          <w:color w:val="auto"/>
          <w:sz w:val="24"/>
          <w:highlight w:val="none"/>
        </w:rPr>
        <w:t>附件4 报价明细表（格式）</w:t>
      </w:r>
      <w:bookmarkEnd w:id="56"/>
    </w:p>
    <w:p>
      <w:pPr>
        <w:pageBreakBefore w:val="0"/>
        <w:kinsoku/>
        <w:overflowPunct/>
        <w:topLinePunct w:val="0"/>
        <w:bidi w:val="0"/>
        <w:snapToGrid w:val="0"/>
        <w:spacing w:beforeAutospacing="0" w:afterAutospacing="0" w:line="360" w:lineRule="auto"/>
        <w:ind w:firstLine="480" w:firstLineChars="200"/>
        <w:rPr>
          <w:rFonts w:hint="default" w:eastAsia="宋体"/>
          <w:color w:val="auto"/>
          <w:sz w:val="24"/>
          <w:highlight w:val="none"/>
          <w:lang w:val="en-US" w:eastAsia="zh-CN"/>
        </w:rPr>
      </w:pPr>
      <w:bookmarkStart w:id="57" w:name="_Toc28392"/>
      <w:r>
        <w:rPr>
          <w:rFonts w:hint="eastAsia"/>
          <w:color w:val="auto"/>
          <w:sz w:val="24"/>
          <w:highlight w:val="none"/>
        </w:rPr>
        <w:t>附件5</w:t>
      </w:r>
      <w:bookmarkEnd w:id="57"/>
      <w:r>
        <w:rPr>
          <w:rFonts w:hint="eastAsia"/>
          <w:color w:val="auto"/>
          <w:sz w:val="24"/>
          <w:highlight w:val="none"/>
        </w:rPr>
        <w:t>技术响应表</w:t>
      </w:r>
      <w:r>
        <w:rPr>
          <w:rFonts w:hint="eastAsia"/>
          <w:color w:val="auto"/>
          <w:sz w:val="24"/>
          <w:highlight w:val="none"/>
          <w:lang w:eastAsia="zh-CN"/>
        </w:rPr>
        <w:t>（</w:t>
      </w:r>
      <w:r>
        <w:rPr>
          <w:rFonts w:hint="eastAsia"/>
          <w:color w:val="auto"/>
          <w:sz w:val="24"/>
          <w:highlight w:val="none"/>
          <w:lang w:val="en-US" w:eastAsia="zh-CN"/>
        </w:rPr>
        <w:t>格式）</w:t>
      </w:r>
    </w:p>
    <w:p>
      <w:pPr>
        <w:pageBreakBefore w:val="0"/>
        <w:kinsoku/>
        <w:overflowPunct/>
        <w:topLinePunct w:val="0"/>
        <w:bidi w:val="0"/>
        <w:snapToGrid w:val="0"/>
        <w:spacing w:beforeAutospacing="0" w:afterAutospacing="0" w:line="360" w:lineRule="auto"/>
        <w:ind w:firstLine="480" w:firstLineChars="200"/>
        <w:rPr>
          <w:color w:val="auto"/>
          <w:sz w:val="24"/>
          <w:highlight w:val="none"/>
        </w:rPr>
      </w:pPr>
      <w:bookmarkStart w:id="58" w:name="_Toc6234"/>
      <w:r>
        <w:rPr>
          <w:rFonts w:hint="eastAsia"/>
          <w:color w:val="auto"/>
          <w:sz w:val="24"/>
          <w:highlight w:val="none"/>
        </w:rPr>
        <w:t xml:space="preserve">附件6 </w:t>
      </w:r>
      <w:bookmarkEnd w:id="58"/>
      <w:r>
        <w:rPr>
          <w:rFonts w:hint="eastAsia"/>
          <w:color w:val="auto"/>
          <w:sz w:val="24"/>
          <w:highlight w:val="none"/>
        </w:rPr>
        <w:t>商务响应</w:t>
      </w:r>
      <w:r>
        <w:rPr>
          <w:rFonts w:hint="eastAsia"/>
          <w:color w:val="auto"/>
          <w:sz w:val="24"/>
          <w:highlight w:val="none"/>
          <w:lang w:val="en-US" w:eastAsia="zh-CN"/>
        </w:rPr>
        <w:t>部分</w:t>
      </w:r>
    </w:p>
    <w:p>
      <w:pPr>
        <w:pageBreakBefore w:val="0"/>
        <w:kinsoku/>
        <w:overflowPunct/>
        <w:topLinePunct w:val="0"/>
        <w:bidi w:val="0"/>
        <w:snapToGrid w:val="0"/>
        <w:spacing w:beforeAutospacing="0" w:afterAutospacing="0" w:line="360" w:lineRule="auto"/>
        <w:ind w:firstLine="480" w:firstLineChars="200"/>
        <w:rPr>
          <w:color w:val="auto"/>
          <w:sz w:val="24"/>
          <w:highlight w:val="none"/>
        </w:rPr>
      </w:pPr>
      <w:bookmarkStart w:id="59" w:name="_Toc26231"/>
      <w:r>
        <w:rPr>
          <w:rFonts w:hint="eastAsia"/>
          <w:color w:val="auto"/>
          <w:sz w:val="24"/>
          <w:highlight w:val="none"/>
        </w:rPr>
        <w:t>附件7</w:t>
      </w:r>
      <w:r>
        <w:rPr>
          <w:rFonts w:hint="eastAsia"/>
          <w:color w:val="auto"/>
          <w:sz w:val="24"/>
          <w:highlight w:val="none"/>
          <w:lang w:val="en-US" w:eastAsia="zh-CN"/>
        </w:rPr>
        <w:t xml:space="preserve"> </w:t>
      </w:r>
      <w:r>
        <w:rPr>
          <w:rFonts w:hint="eastAsia"/>
          <w:color w:val="auto"/>
          <w:sz w:val="24"/>
          <w:highlight w:val="none"/>
        </w:rPr>
        <w:t>法定代表人身份证明（格式）</w:t>
      </w:r>
      <w:bookmarkEnd w:id="59"/>
    </w:p>
    <w:p>
      <w:pPr>
        <w:pageBreakBefore w:val="0"/>
        <w:kinsoku/>
        <w:overflowPunct/>
        <w:topLinePunct w:val="0"/>
        <w:bidi w:val="0"/>
        <w:snapToGrid w:val="0"/>
        <w:spacing w:beforeAutospacing="0" w:afterAutospacing="0" w:line="360" w:lineRule="auto"/>
        <w:ind w:firstLine="480" w:firstLineChars="200"/>
        <w:rPr>
          <w:color w:val="auto"/>
          <w:sz w:val="24"/>
          <w:highlight w:val="none"/>
        </w:rPr>
      </w:pPr>
      <w:bookmarkStart w:id="60" w:name="_Toc18484"/>
      <w:r>
        <w:rPr>
          <w:rFonts w:hint="eastAsia"/>
          <w:color w:val="auto"/>
          <w:sz w:val="24"/>
          <w:highlight w:val="none"/>
        </w:rPr>
        <w:t>附件8</w:t>
      </w:r>
      <w:r>
        <w:rPr>
          <w:rFonts w:hint="eastAsia"/>
          <w:color w:val="auto"/>
          <w:sz w:val="24"/>
          <w:highlight w:val="none"/>
          <w:lang w:val="en-US" w:eastAsia="zh-CN"/>
        </w:rPr>
        <w:t xml:space="preserve"> </w:t>
      </w:r>
      <w:r>
        <w:rPr>
          <w:rFonts w:hint="eastAsia"/>
          <w:color w:val="auto"/>
          <w:sz w:val="24"/>
          <w:highlight w:val="none"/>
        </w:rPr>
        <w:t>法定代表人授权书（格式）</w:t>
      </w:r>
      <w:bookmarkEnd w:id="60"/>
    </w:p>
    <w:p>
      <w:pPr>
        <w:pageBreakBefore w:val="0"/>
        <w:kinsoku/>
        <w:overflowPunct/>
        <w:topLinePunct w:val="0"/>
        <w:bidi w:val="0"/>
        <w:snapToGrid w:val="0"/>
        <w:spacing w:beforeAutospacing="0" w:afterAutospacing="0" w:line="360" w:lineRule="auto"/>
        <w:ind w:firstLine="480" w:firstLineChars="200"/>
        <w:rPr>
          <w:color w:val="auto"/>
          <w:sz w:val="24"/>
          <w:highlight w:val="none"/>
        </w:rPr>
      </w:pPr>
      <w:bookmarkStart w:id="61" w:name="_Toc31857"/>
      <w:r>
        <w:rPr>
          <w:rFonts w:hint="eastAsia"/>
          <w:color w:val="auto"/>
          <w:sz w:val="24"/>
          <w:highlight w:val="none"/>
        </w:rPr>
        <w:t>附件9 证明文件</w:t>
      </w:r>
      <w:bookmarkEnd w:id="61"/>
    </w:p>
    <w:p>
      <w:pPr>
        <w:pageBreakBefore w:val="0"/>
        <w:kinsoku/>
        <w:overflowPunct/>
        <w:topLinePunct w:val="0"/>
        <w:bidi w:val="0"/>
        <w:snapToGrid w:val="0"/>
        <w:spacing w:beforeAutospacing="0" w:afterAutospacing="0" w:line="360" w:lineRule="auto"/>
        <w:ind w:firstLine="480" w:firstLineChars="200"/>
        <w:rPr>
          <w:rFonts w:hint="eastAsia"/>
          <w:color w:val="auto"/>
          <w:sz w:val="24"/>
          <w:highlight w:val="none"/>
        </w:rPr>
      </w:pPr>
      <w:bookmarkStart w:id="62" w:name="_Toc23116"/>
      <w:r>
        <w:rPr>
          <w:rFonts w:hint="eastAsia"/>
          <w:color w:val="auto"/>
          <w:sz w:val="24"/>
          <w:highlight w:val="none"/>
        </w:rPr>
        <w:t>附件10 供应商承诺书（格式）</w:t>
      </w:r>
      <w:bookmarkEnd w:id="62"/>
    </w:p>
    <w:p>
      <w:pPr>
        <w:pageBreakBefore w:val="0"/>
        <w:kinsoku/>
        <w:overflowPunct/>
        <w:topLinePunct w:val="0"/>
        <w:bidi w:val="0"/>
        <w:snapToGrid w:val="0"/>
        <w:spacing w:beforeAutospacing="0" w:afterAutospacing="0" w:line="360" w:lineRule="auto"/>
        <w:ind w:firstLine="480" w:firstLineChars="200"/>
        <w:rPr>
          <w:rFonts w:hint="eastAsia"/>
          <w:color w:val="auto"/>
          <w:sz w:val="24"/>
          <w:highlight w:val="none"/>
        </w:rPr>
      </w:pPr>
      <w:r>
        <w:rPr>
          <w:rFonts w:hint="eastAsia"/>
          <w:color w:val="auto"/>
          <w:sz w:val="24"/>
          <w:highlight w:val="none"/>
          <w:lang w:val="en-US" w:eastAsia="zh-CN"/>
        </w:rPr>
        <w:t xml:space="preserve">附件11 </w:t>
      </w:r>
      <w:r>
        <w:rPr>
          <w:rFonts w:hint="eastAsia" w:ascii="Times New Roman" w:hAnsi="Times New Roman" w:eastAsia="宋体" w:cs="Times New Roman"/>
          <w:color w:val="auto"/>
          <w:sz w:val="24"/>
          <w:highlight w:val="none"/>
          <w:lang w:val="en-US" w:eastAsia="zh-CN"/>
        </w:rPr>
        <w:t xml:space="preserve"> 供应商信用承诺函（格式）</w:t>
      </w:r>
    </w:p>
    <w:p>
      <w:pPr>
        <w:pageBreakBefore w:val="0"/>
        <w:widowControl/>
        <w:kinsoku/>
        <w:wordWrap w:val="0"/>
        <w:overflowPunct/>
        <w:topLinePunct w:val="0"/>
        <w:bidi w:val="0"/>
        <w:snapToGrid w:val="0"/>
        <w:spacing w:beforeAutospacing="0" w:afterAutospacing="0" w:line="360" w:lineRule="auto"/>
        <w:ind w:firstLine="482" w:firstLineChars="200"/>
        <w:jc w:val="center"/>
        <w:rPr>
          <w:rFonts w:ascii="宋体" w:hAnsi="宋体" w:cs="宋体"/>
          <w:b/>
          <w:bCs/>
          <w:color w:val="auto"/>
          <w:kern w:val="0"/>
          <w:sz w:val="24"/>
          <w:highlight w:val="none"/>
        </w:rPr>
      </w:pPr>
    </w:p>
    <w:p>
      <w:pPr>
        <w:pageBreakBefore w:val="0"/>
        <w:widowControl/>
        <w:kinsoku/>
        <w:wordWrap w:val="0"/>
        <w:overflowPunct/>
        <w:topLinePunct w:val="0"/>
        <w:bidi w:val="0"/>
        <w:snapToGrid w:val="0"/>
        <w:spacing w:beforeAutospacing="0" w:afterAutospacing="0" w:line="360" w:lineRule="auto"/>
        <w:ind w:firstLine="482" w:firstLineChars="200"/>
        <w:jc w:val="center"/>
        <w:rPr>
          <w:rFonts w:ascii="宋体" w:hAnsi="宋体" w:cs="宋体"/>
          <w:b/>
          <w:bCs/>
          <w:color w:val="auto"/>
          <w:kern w:val="0"/>
          <w:sz w:val="24"/>
          <w:highlight w:val="none"/>
        </w:rPr>
      </w:pPr>
    </w:p>
    <w:p>
      <w:pPr>
        <w:pageBreakBefore w:val="0"/>
        <w:widowControl/>
        <w:kinsoku/>
        <w:wordWrap w:val="0"/>
        <w:overflowPunct/>
        <w:topLinePunct w:val="0"/>
        <w:bidi w:val="0"/>
        <w:snapToGrid w:val="0"/>
        <w:spacing w:beforeAutospacing="0" w:afterAutospacing="0" w:line="360" w:lineRule="auto"/>
        <w:ind w:firstLine="482" w:firstLineChars="200"/>
        <w:jc w:val="center"/>
        <w:rPr>
          <w:rFonts w:ascii="宋体" w:hAnsi="宋体" w:cs="宋体"/>
          <w:b/>
          <w:bCs/>
          <w:color w:val="auto"/>
          <w:kern w:val="0"/>
          <w:sz w:val="24"/>
          <w:highlight w:val="none"/>
        </w:rPr>
      </w:pPr>
    </w:p>
    <w:p>
      <w:pPr>
        <w:pStyle w:val="4"/>
        <w:pageBreakBefore w:val="0"/>
        <w:kinsoku/>
        <w:overflowPunct/>
        <w:topLinePunct w:val="0"/>
        <w:bidi w:val="0"/>
        <w:spacing w:beforeAutospacing="0" w:afterAutospacing="0" w:line="360" w:lineRule="auto"/>
        <w:rPr>
          <w:rFonts w:ascii="宋体" w:hAnsi="宋体" w:cs="宋体"/>
          <w:b/>
          <w:bCs/>
          <w:color w:val="auto"/>
          <w:kern w:val="0"/>
          <w:sz w:val="24"/>
          <w:highlight w:val="none"/>
        </w:rPr>
      </w:pPr>
    </w:p>
    <w:p>
      <w:pPr>
        <w:pStyle w:val="49"/>
        <w:pageBreakBefore w:val="0"/>
        <w:kinsoku/>
        <w:overflowPunct/>
        <w:topLinePunct w:val="0"/>
        <w:bidi w:val="0"/>
        <w:spacing w:beforeAutospacing="0" w:afterAutospacing="0" w:line="360" w:lineRule="auto"/>
        <w:rPr>
          <w:rFonts w:hAnsi="宋体"/>
          <w:b/>
          <w:bCs/>
          <w:color w:val="auto"/>
          <w:highlight w:val="none"/>
        </w:rPr>
      </w:pPr>
    </w:p>
    <w:p>
      <w:pPr>
        <w:pStyle w:val="49"/>
        <w:pageBreakBefore w:val="0"/>
        <w:kinsoku/>
        <w:overflowPunct/>
        <w:topLinePunct w:val="0"/>
        <w:bidi w:val="0"/>
        <w:spacing w:beforeAutospacing="0" w:afterAutospacing="0" w:line="360" w:lineRule="auto"/>
        <w:rPr>
          <w:rFonts w:hAnsi="宋体"/>
          <w:b/>
          <w:bCs/>
          <w:color w:val="auto"/>
          <w:highlight w:val="none"/>
        </w:rPr>
      </w:pPr>
    </w:p>
    <w:p>
      <w:pPr>
        <w:pageBreakBefore w:val="0"/>
        <w:kinsoku/>
        <w:overflowPunct/>
        <w:topLinePunct w:val="0"/>
        <w:bidi w:val="0"/>
        <w:spacing w:beforeAutospacing="0" w:afterAutospacing="0" w:line="360" w:lineRule="auto"/>
        <w:rPr>
          <w:color w:val="auto"/>
          <w:highlight w:val="none"/>
        </w:rPr>
      </w:pPr>
      <w:r>
        <w:rPr>
          <w:rFonts w:hint="eastAsia"/>
          <w:color w:val="auto"/>
          <w:highlight w:val="none"/>
        </w:rPr>
        <w:br w:type="page"/>
      </w:r>
    </w:p>
    <w:p>
      <w:pPr>
        <w:pStyle w:val="5"/>
        <w:pageBreakBefore w:val="0"/>
        <w:kinsoku/>
        <w:overflowPunct/>
        <w:topLinePunct w:val="0"/>
        <w:bidi w:val="0"/>
        <w:spacing w:beforeAutospacing="0" w:afterAutospacing="0" w:line="360" w:lineRule="auto"/>
        <w:rPr>
          <w:color w:val="auto"/>
          <w:highlight w:val="none"/>
        </w:rPr>
      </w:pPr>
    </w:p>
    <w:p>
      <w:pPr>
        <w:pStyle w:val="2"/>
        <w:pageBreakBefore w:val="0"/>
        <w:kinsoku/>
        <w:overflowPunct/>
        <w:topLinePunct w:val="0"/>
        <w:bidi w:val="0"/>
        <w:spacing w:before="0" w:beforeAutospacing="0" w:after="0" w:afterAutospacing="0" w:line="360" w:lineRule="auto"/>
        <w:rPr>
          <w:color w:val="auto"/>
          <w:highlight w:val="none"/>
        </w:rPr>
      </w:pPr>
      <w:bookmarkStart w:id="63" w:name="_Toc31798"/>
      <w:bookmarkStart w:id="64" w:name="_Toc24743"/>
      <w:r>
        <w:rPr>
          <w:rFonts w:hint="eastAsia"/>
          <w:color w:val="auto"/>
          <w:highlight w:val="none"/>
        </w:rPr>
        <w:t>附件1               投标文件封面（格式）</w:t>
      </w:r>
      <w:bookmarkEnd w:id="63"/>
      <w:bookmarkEnd w:id="64"/>
    </w:p>
    <w:p>
      <w:pPr>
        <w:pageBreakBefore w:val="0"/>
        <w:widowControl/>
        <w:kinsoku/>
        <w:wordWrap w:val="0"/>
        <w:overflowPunct/>
        <w:topLinePunct w:val="0"/>
        <w:bidi w:val="0"/>
        <w:spacing w:beforeAutospacing="0" w:afterAutospacing="0" w:line="360" w:lineRule="auto"/>
        <w:ind w:firstLine="482" w:firstLineChars="200"/>
        <w:jc w:val="center"/>
        <w:rPr>
          <w:rFonts w:ascii="宋体" w:hAnsi="宋体" w:cs="宋体"/>
          <w:b/>
          <w:color w:val="auto"/>
          <w:kern w:val="0"/>
          <w:sz w:val="24"/>
          <w:highlight w:val="none"/>
        </w:rPr>
      </w:pPr>
    </w:p>
    <w:p>
      <w:pPr>
        <w:pageBreakBefore w:val="0"/>
        <w:kinsoku/>
        <w:overflowPunct/>
        <w:topLinePunct w:val="0"/>
        <w:bidi w:val="0"/>
        <w:snapToGrid w:val="0"/>
        <w:spacing w:beforeAutospacing="0" w:afterAutospacing="0" w:line="360" w:lineRule="auto"/>
        <w:jc w:val="center"/>
        <w:rPr>
          <w:rFonts w:hint="default" w:ascii="宋体" w:hAnsi="宋体" w:eastAsia="宋体" w:cs="宋体"/>
          <w:b/>
          <w:color w:val="auto"/>
          <w:spacing w:val="90"/>
          <w:sz w:val="52"/>
          <w:szCs w:val="52"/>
          <w:highlight w:val="none"/>
          <w:u w:val="none"/>
          <w:lang w:val="en-US" w:eastAsia="zh-CN"/>
        </w:rPr>
      </w:pPr>
      <w:r>
        <w:rPr>
          <w:rFonts w:hint="eastAsia" w:ascii="宋体" w:hAnsi="宋体" w:eastAsia="宋体" w:cs="宋体"/>
          <w:b/>
          <w:snapToGrid w:val="0"/>
          <w:color w:val="auto"/>
          <w:spacing w:val="0"/>
          <w:kern w:val="0"/>
          <w:sz w:val="44"/>
          <w:szCs w:val="44"/>
          <w:highlight w:val="none"/>
          <w:u w:val="none"/>
          <w:lang w:val="en-US" w:eastAsia="zh-CN"/>
        </w:rPr>
        <w:t>驻马店中心医院</w:t>
      </w:r>
      <w:r>
        <w:rPr>
          <w:rFonts w:hint="eastAsia" w:ascii="宋体" w:hAnsi="宋体" w:eastAsia="宋体" w:cs="宋体"/>
          <w:b/>
          <w:snapToGrid w:val="0"/>
          <w:color w:val="auto"/>
          <w:spacing w:val="0"/>
          <w:kern w:val="0"/>
          <w:sz w:val="44"/>
          <w:szCs w:val="44"/>
          <w:highlight w:val="none"/>
          <w:u w:val="single"/>
          <w:lang w:val="en-US" w:eastAsia="zh-CN"/>
        </w:rPr>
        <w:t xml:space="preserve">      </w:t>
      </w:r>
      <w:r>
        <w:rPr>
          <w:rFonts w:hint="eastAsia" w:ascii="宋体" w:hAnsi="宋体" w:eastAsia="宋体" w:cs="宋体"/>
          <w:b/>
          <w:snapToGrid w:val="0"/>
          <w:color w:val="auto"/>
          <w:spacing w:val="0"/>
          <w:kern w:val="0"/>
          <w:sz w:val="44"/>
          <w:szCs w:val="44"/>
          <w:highlight w:val="none"/>
          <w:u w:val="none"/>
          <w:lang w:val="en-US" w:eastAsia="zh-CN"/>
        </w:rPr>
        <w:t>项目</w:t>
      </w:r>
    </w:p>
    <w:p>
      <w:pPr>
        <w:pageBreakBefore w:val="0"/>
        <w:kinsoku/>
        <w:overflowPunct/>
        <w:topLinePunct w:val="0"/>
        <w:bidi w:val="0"/>
        <w:snapToGrid w:val="0"/>
        <w:spacing w:beforeAutospacing="0" w:afterAutospacing="0" w:line="360" w:lineRule="auto"/>
        <w:jc w:val="center"/>
        <w:rPr>
          <w:rFonts w:hint="eastAsia" w:ascii="宋体" w:hAnsi="宋体" w:eastAsia="宋体" w:cs="宋体"/>
          <w:b/>
          <w:color w:val="auto"/>
          <w:spacing w:val="90"/>
          <w:sz w:val="52"/>
          <w:szCs w:val="52"/>
          <w:highlight w:val="none"/>
        </w:rPr>
      </w:pPr>
    </w:p>
    <w:p>
      <w:pPr>
        <w:pageBreakBefore w:val="0"/>
        <w:kinsoku/>
        <w:overflowPunct/>
        <w:topLinePunct w:val="0"/>
        <w:bidi w:val="0"/>
        <w:snapToGrid w:val="0"/>
        <w:spacing w:beforeAutospacing="0" w:afterAutospacing="0" w:line="360" w:lineRule="auto"/>
        <w:jc w:val="center"/>
        <w:rPr>
          <w:rFonts w:hint="eastAsia" w:ascii="宋体" w:hAnsi="宋体" w:eastAsia="宋体" w:cs="宋体"/>
          <w:b/>
          <w:color w:val="auto"/>
          <w:spacing w:val="90"/>
          <w:sz w:val="52"/>
          <w:szCs w:val="52"/>
          <w:highlight w:val="none"/>
        </w:rPr>
      </w:pPr>
    </w:p>
    <w:p>
      <w:pPr>
        <w:pageBreakBefore w:val="0"/>
        <w:kinsoku/>
        <w:overflowPunct/>
        <w:topLinePunct w:val="0"/>
        <w:bidi w:val="0"/>
        <w:snapToGrid w:val="0"/>
        <w:spacing w:beforeAutospacing="0" w:afterAutospacing="0" w:line="360" w:lineRule="auto"/>
        <w:jc w:val="center"/>
        <w:rPr>
          <w:rFonts w:hint="eastAsia" w:ascii="宋体" w:hAnsi="宋体" w:eastAsia="宋体" w:cs="宋体"/>
          <w:b/>
          <w:color w:val="auto"/>
          <w:spacing w:val="90"/>
          <w:sz w:val="52"/>
          <w:szCs w:val="52"/>
          <w:highlight w:val="none"/>
        </w:rPr>
      </w:pPr>
    </w:p>
    <w:p>
      <w:pPr>
        <w:pageBreakBefore w:val="0"/>
        <w:kinsoku/>
        <w:overflowPunct/>
        <w:topLinePunct w:val="0"/>
        <w:bidi w:val="0"/>
        <w:snapToGrid w:val="0"/>
        <w:spacing w:beforeAutospacing="0" w:afterAutospacing="0" w:line="360" w:lineRule="auto"/>
        <w:jc w:val="center"/>
        <w:rPr>
          <w:rFonts w:hint="eastAsia" w:ascii="宋体" w:hAnsi="宋体" w:eastAsia="宋体" w:cs="宋体"/>
          <w:b/>
          <w:color w:val="auto"/>
          <w:spacing w:val="90"/>
          <w:sz w:val="52"/>
          <w:szCs w:val="52"/>
          <w:highlight w:val="none"/>
        </w:rPr>
      </w:pPr>
      <w:r>
        <w:rPr>
          <w:rFonts w:hint="eastAsia" w:ascii="宋体" w:hAnsi="宋体" w:eastAsia="宋体" w:cs="宋体"/>
          <w:b/>
          <w:color w:val="auto"/>
          <w:spacing w:val="90"/>
          <w:sz w:val="52"/>
          <w:szCs w:val="52"/>
          <w:highlight w:val="none"/>
        </w:rPr>
        <w:t>投标文件</w:t>
      </w:r>
    </w:p>
    <w:p>
      <w:pPr>
        <w:pageBreakBefore w:val="0"/>
        <w:kinsoku/>
        <w:overflowPunct/>
        <w:topLinePunct w:val="0"/>
        <w:bidi w:val="0"/>
        <w:spacing w:beforeAutospacing="0" w:afterAutospacing="0" w:line="360" w:lineRule="auto"/>
        <w:rPr>
          <w:rFonts w:hint="eastAsia" w:ascii="宋体" w:hAnsi="宋体" w:eastAsia="宋体" w:cs="宋体"/>
          <w:color w:val="auto"/>
          <w:sz w:val="28"/>
          <w:highlight w:val="none"/>
        </w:rPr>
      </w:pPr>
    </w:p>
    <w:p>
      <w:pPr>
        <w:pageBreakBefore w:val="0"/>
        <w:kinsoku/>
        <w:overflowPunct/>
        <w:topLinePunct w:val="0"/>
        <w:bidi w:val="0"/>
        <w:spacing w:beforeAutospacing="0" w:afterAutospacing="0" w:line="360" w:lineRule="auto"/>
        <w:rPr>
          <w:rFonts w:hint="eastAsia" w:ascii="宋体" w:hAnsi="宋体" w:eastAsia="宋体" w:cs="宋体"/>
          <w:color w:val="auto"/>
          <w:sz w:val="28"/>
          <w:highlight w:val="none"/>
        </w:rPr>
      </w:pPr>
    </w:p>
    <w:p>
      <w:pPr>
        <w:pageBreakBefore w:val="0"/>
        <w:kinsoku/>
        <w:overflowPunct/>
        <w:topLinePunct w:val="0"/>
        <w:bidi w:val="0"/>
        <w:spacing w:beforeAutospacing="0" w:afterAutospacing="0" w:line="360" w:lineRule="auto"/>
        <w:rPr>
          <w:rFonts w:hint="eastAsia" w:ascii="宋体" w:hAnsi="宋体" w:eastAsia="宋体" w:cs="宋体"/>
          <w:color w:val="auto"/>
          <w:sz w:val="28"/>
          <w:highlight w:val="none"/>
        </w:rPr>
      </w:pPr>
    </w:p>
    <w:p>
      <w:pPr>
        <w:pageBreakBefore w:val="0"/>
        <w:kinsoku/>
        <w:overflowPunct/>
        <w:topLinePunct w:val="0"/>
        <w:bidi w:val="0"/>
        <w:spacing w:beforeAutospacing="0" w:afterAutospacing="0" w:line="360" w:lineRule="auto"/>
        <w:rPr>
          <w:rFonts w:hint="eastAsia" w:ascii="宋体" w:hAnsi="宋体" w:eastAsia="宋体" w:cs="宋体"/>
          <w:color w:val="auto"/>
          <w:sz w:val="28"/>
          <w:highlight w:val="none"/>
        </w:rPr>
      </w:pPr>
    </w:p>
    <w:p>
      <w:pPr>
        <w:pageBreakBefore w:val="0"/>
        <w:kinsoku/>
        <w:overflowPunct/>
        <w:topLinePunct w:val="0"/>
        <w:bidi w:val="0"/>
        <w:spacing w:beforeAutospacing="0" w:afterAutospacing="0" w:line="360" w:lineRule="auto"/>
        <w:rPr>
          <w:rFonts w:hint="eastAsia" w:ascii="宋体" w:hAnsi="宋体" w:eastAsia="宋体" w:cs="宋体"/>
          <w:color w:val="auto"/>
          <w:sz w:val="28"/>
          <w:highlight w:val="none"/>
        </w:rPr>
      </w:pPr>
    </w:p>
    <w:p>
      <w:pPr>
        <w:pageBreakBefore w:val="0"/>
        <w:kinsoku/>
        <w:overflowPunct/>
        <w:topLinePunct w:val="0"/>
        <w:bidi w:val="0"/>
        <w:spacing w:beforeAutospacing="0" w:afterAutospacing="0"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投标人：（</w:t>
      </w:r>
      <w:r>
        <w:rPr>
          <w:rFonts w:hint="eastAsia" w:ascii="宋体" w:hAnsi="宋体" w:eastAsia="宋体" w:cs="宋体"/>
          <w:color w:val="auto"/>
          <w:sz w:val="28"/>
          <w:szCs w:val="28"/>
          <w:highlight w:val="none"/>
          <w:lang w:eastAsia="zh-CN"/>
        </w:rPr>
        <w:t>盖章</w:t>
      </w:r>
      <w:r>
        <w:rPr>
          <w:rFonts w:hint="eastAsia" w:ascii="宋体" w:hAnsi="宋体" w:eastAsia="宋体" w:cs="宋体"/>
          <w:color w:val="auto"/>
          <w:sz w:val="28"/>
          <w:szCs w:val="28"/>
          <w:highlight w:val="none"/>
        </w:rPr>
        <w:t>）</w:t>
      </w:r>
    </w:p>
    <w:p>
      <w:pPr>
        <w:pageBreakBefore w:val="0"/>
        <w:kinsoku/>
        <w:overflowPunct/>
        <w:topLinePunct w:val="0"/>
        <w:bidi w:val="0"/>
        <w:spacing w:beforeAutospacing="0" w:afterAutospacing="0"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w:t>
      </w:r>
      <w:r>
        <w:rPr>
          <w:rFonts w:hint="eastAsia" w:ascii="宋体" w:hAnsi="宋体" w:eastAsia="宋体" w:cs="宋体"/>
          <w:color w:val="auto"/>
          <w:sz w:val="28"/>
          <w:szCs w:val="28"/>
          <w:highlight w:val="none"/>
          <w:lang w:eastAsia="zh-CN"/>
        </w:rPr>
        <w:t>盖章</w:t>
      </w:r>
      <w:r>
        <w:rPr>
          <w:rFonts w:hint="eastAsia" w:ascii="宋体" w:hAnsi="宋体" w:eastAsia="宋体" w:cs="宋体"/>
          <w:color w:val="auto"/>
          <w:sz w:val="28"/>
          <w:szCs w:val="28"/>
          <w:highlight w:val="none"/>
        </w:rPr>
        <w:t>）</w:t>
      </w:r>
    </w:p>
    <w:p>
      <w:pPr>
        <w:pageBreakBefore w:val="0"/>
        <w:widowControl/>
        <w:kinsoku/>
        <w:wordWrap w:val="0"/>
        <w:overflowPunct/>
        <w:topLinePunct w:val="0"/>
        <w:bidi w:val="0"/>
        <w:spacing w:beforeAutospacing="0" w:afterAutospacing="0" w:line="360" w:lineRule="auto"/>
        <w:ind w:left="0" w:leftChars="0" w:firstLine="0" w:firstLineChars="0"/>
        <w:jc w:val="center"/>
        <w:rPr>
          <w:rFonts w:ascii="宋体" w:hAnsi="宋体" w:cs="宋体"/>
          <w:b/>
          <w:color w:val="auto"/>
          <w:kern w:val="0"/>
          <w:sz w:val="24"/>
          <w:highlight w:val="none"/>
        </w:rPr>
      </w:pPr>
      <w:r>
        <w:rPr>
          <w:rFonts w:hint="eastAsia" w:ascii="宋体" w:hAnsi="宋体" w:eastAsia="宋体" w:cs="宋体"/>
          <w:color w:val="auto"/>
          <w:sz w:val="28"/>
          <w:szCs w:val="28"/>
          <w:highlight w:val="none"/>
        </w:rPr>
        <w:t>年   月   日</w:t>
      </w:r>
    </w:p>
    <w:p>
      <w:pPr>
        <w:pageBreakBefore w:val="0"/>
        <w:widowControl/>
        <w:kinsoku/>
        <w:wordWrap w:val="0"/>
        <w:overflowPunct/>
        <w:topLinePunct w:val="0"/>
        <w:bidi w:val="0"/>
        <w:spacing w:beforeAutospacing="0" w:afterAutospacing="0" w:line="360" w:lineRule="auto"/>
        <w:ind w:firstLine="482" w:firstLineChars="200"/>
        <w:jc w:val="left"/>
        <w:rPr>
          <w:rFonts w:ascii="宋体" w:hAnsi="宋体" w:cs="宋体"/>
          <w:b/>
          <w:color w:val="auto"/>
          <w:kern w:val="0"/>
          <w:sz w:val="24"/>
          <w:highlight w:val="none"/>
        </w:rPr>
      </w:pPr>
    </w:p>
    <w:p>
      <w:pPr>
        <w:pStyle w:val="4"/>
        <w:pageBreakBefore w:val="0"/>
        <w:kinsoku/>
        <w:overflowPunct/>
        <w:topLinePunct w:val="0"/>
        <w:bidi w:val="0"/>
        <w:spacing w:beforeAutospacing="0" w:afterAutospacing="0" w:line="360" w:lineRule="auto"/>
        <w:rPr>
          <w:rFonts w:ascii="宋体" w:hAnsi="宋体" w:cs="宋体"/>
          <w:b/>
          <w:color w:val="auto"/>
          <w:kern w:val="0"/>
          <w:sz w:val="24"/>
          <w:highlight w:val="none"/>
        </w:rPr>
      </w:pPr>
    </w:p>
    <w:p>
      <w:pPr>
        <w:pageBreakBefore w:val="0"/>
        <w:kinsoku/>
        <w:overflowPunct/>
        <w:topLinePunct w:val="0"/>
        <w:bidi w:val="0"/>
        <w:spacing w:beforeAutospacing="0" w:afterAutospacing="0" w:line="360" w:lineRule="auto"/>
        <w:rPr>
          <w:color w:val="auto"/>
          <w:highlight w:val="none"/>
        </w:rPr>
      </w:pPr>
      <w:r>
        <w:rPr>
          <w:rFonts w:hint="eastAsia" w:ascii="宋体" w:hAnsi="宋体" w:cs="宋体"/>
          <w:b/>
          <w:color w:val="auto"/>
          <w:kern w:val="0"/>
          <w:sz w:val="24"/>
          <w:highlight w:val="none"/>
        </w:rPr>
        <w:br w:type="page"/>
      </w:r>
    </w:p>
    <w:p>
      <w:pPr>
        <w:pStyle w:val="2"/>
        <w:pageBreakBefore w:val="0"/>
        <w:kinsoku/>
        <w:overflowPunct/>
        <w:topLinePunct w:val="0"/>
        <w:bidi w:val="0"/>
        <w:spacing w:before="0" w:beforeAutospacing="0" w:after="0" w:afterAutospacing="0" w:line="360" w:lineRule="auto"/>
        <w:rPr>
          <w:color w:val="auto"/>
          <w:highlight w:val="none"/>
        </w:rPr>
      </w:pPr>
      <w:bookmarkStart w:id="65" w:name="_Toc8818"/>
      <w:bookmarkStart w:id="66" w:name="_Toc14560"/>
      <w:r>
        <w:rPr>
          <w:rFonts w:hint="eastAsia"/>
          <w:color w:val="auto"/>
          <w:highlight w:val="none"/>
        </w:rPr>
        <w:t>附件2               投  标  书（格式）</w:t>
      </w:r>
      <w:bookmarkEnd w:id="65"/>
      <w:bookmarkEnd w:id="66"/>
    </w:p>
    <w:p>
      <w:pPr>
        <w:pageBreakBefore w:val="0"/>
        <w:widowControl/>
        <w:kinsoku/>
        <w:wordWrap w:val="0"/>
        <w:overflowPunct/>
        <w:topLinePunct w:val="0"/>
        <w:bidi w:val="0"/>
        <w:snapToGrid w:val="0"/>
        <w:spacing w:beforeAutospacing="0" w:afterAutospacing="0"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致：</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u w:val="single"/>
          <w:lang w:eastAsia="zh-CN"/>
        </w:rPr>
        <w:t>采购人</w:t>
      </w:r>
      <w:r>
        <w:rPr>
          <w:rFonts w:hint="eastAsia" w:ascii="宋体" w:hAnsi="宋体" w:cs="宋体"/>
          <w:color w:val="auto"/>
          <w:kern w:val="0"/>
          <w:szCs w:val="21"/>
          <w:highlight w:val="none"/>
          <w:u w:val="single"/>
        </w:rPr>
        <w:t>名称）</w:t>
      </w:r>
      <w:r>
        <w:rPr>
          <w:rFonts w:hint="eastAsia" w:ascii="宋体" w:hAnsi="宋体" w:cs="宋体"/>
          <w:color w:val="auto"/>
          <w:kern w:val="0"/>
          <w:szCs w:val="21"/>
          <w:highlight w:val="none"/>
        </w:rPr>
        <w:t>：</w:t>
      </w:r>
    </w:p>
    <w:p>
      <w:pPr>
        <w:pageBreakBefore w:val="0"/>
        <w:widowControl/>
        <w:kinsoku/>
        <w:wordWrap w:val="0"/>
        <w:overflowPunct/>
        <w:topLinePunct w:val="0"/>
        <w:bidi w:val="0"/>
        <w:spacing w:beforeAutospacing="0" w:afterAutospacing="0" w:line="360" w:lineRule="auto"/>
        <w:ind w:firstLine="525" w:firstLineChars="250"/>
        <w:jc w:val="left"/>
        <w:rPr>
          <w:rFonts w:ascii="宋体" w:hAnsi="宋体" w:cs="宋体"/>
          <w:color w:val="auto"/>
          <w:kern w:val="0"/>
          <w:szCs w:val="21"/>
          <w:highlight w:val="none"/>
        </w:rPr>
      </w:pP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u w:val="single"/>
        </w:rPr>
        <w:t>（投标人名称）</w:t>
      </w:r>
      <w:r>
        <w:rPr>
          <w:rFonts w:hint="eastAsia" w:ascii="宋体" w:hAnsi="宋体" w:cs="宋体"/>
          <w:color w:val="auto"/>
          <w:kern w:val="0"/>
          <w:szCs w:val="21"/>
          <w:highlight w:val="none"/>
        </w:rPr>
        <w:t xml:space="preserve">现委托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（姓名）为我方代理人，参加贵方组织的</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项目的投标。现正式提交下述文件1份：</w:t>
      </w:r>
    </w:p>
    <w:p>
      <w:pPr>
        <w:pageBreakBefore w:val="0"/>
        <w:widowControl/>
        <w:kinsoku/>
        <w:wordWrap w:val="0"/>
        <w:overflowPunct/>
        <w:topLinePunct w:val="0"/>
        <w:bidi w:val="0"/>
        <w:spacing w:beforeAutospacing="0" w:afterAutospacing="0"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1、开标一览表。</w:t>
      </w:r>
    </w:p>
    <w:p>
      <w:pPr>
        <w:pageBreakBefore w:val="0"/>
        <w:widowControl/>
        <w:kinsoku/>
        <w:wordWrap w:val="0"/>
        <w:overflowPunct/>
        <w:topLinePunct w:val="0"/>
        <w:bidi w:val="0"/>
        <w:spacing w:beforeAutospacing="0" w:afterAutospacing="0"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2、报价明细表。</w:t>
      </w:r>
    </w:p>
    <w:p>
      <w:pPr>
        <w:pageBreakBefore w:val="0"/>
        <w:widowControl/>
        <w:kinsoku/>
        <w:wordWrap w:val="0"/>
        <w:overflowPunct/>
        <w:topLinePunct w:val="0"/>
        <w:bidi w:val="0"/>
        <w:spacing w:beforeAutospacing="0" w:afterAutospacing="0"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4、技术响应表。</w:t>
      </w:r>
    </w:p>
    <w:p>
      <w:pPr>
        <w:pageBreakBefore w:val="0"/>
        <w:widowControl/>
        <w:kinsoku/>
        <w:wordWrap w:val="0"/>
        <w:overflowPunct/>
        <w:topLinePunct w:val="0"/>
        <w:bidi w:val="0"/>
        <w:spacing w:beforeAutospacing="0" w:afterAutospacing="0"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4、商务响应表。</w:t>
      </w:r>
    </w:p>
    <w:p>
      <w:pPr>
        <w:pageBreakBefore w:val="0"/>
        <w:widowControl/>
        <w:kinsoku/>
        <w:wordWrap w:val="0"/>
        <w:overflowPunct/>
        <w:topLinePunct w:val="0"/>
        <w:bidi w:val="0"/>
        <w:spacing w:beforeAutospacing="0" w:afterAutospacing="0"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5、证明文件。</w:t>
      </w:r>
    </w:p>
    <w:p>
      <w:pPr>
        <w:pageBreakBefore w:val="0"/>
        <w:widowControl/>
        <w:kinsoku/>
        <w:wordWrap w:val="0"/>
        <w:overflowPunct/>
        <w:topLinePunct w:val="0"/>
        <w:bidi w:val="0"/>
        <w:snapToGrid w:val="0"/>
        <w:spacing w:beforeAutospacing="0" w:afterAutospacing="0"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6、抵制商业贿赂承诺。为便于贵方公正、择优地确定中标供应商及其投标产品和服务，我方就本次投标有关事项郑重声明并宣布同意如下：</w:t>
      </w:r>
    </w:p>
    <w:p>
      <w:pPr>
        <w:pageBreakBefore w:val="0"/>
        <w:widowControl/>
        <w:kinsoku/>
        <w:wordWrap w:val="0"/>
        <w:overflowPunct/>
        <w:topLinePunct w:val="0"/>
        <w:bidi w:val="0"/>
        <w:spacing w:beforeAutospacing="0" w:afterAutospacing="0"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1、我方承诺已经具备</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文件中规定的参加政府采购活动的投标人应当具备的条件。我方愿意向贵方提供任何与本</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项目投标有关的数据、情况和技术资料，并根据需要提供一切承诺的证明材料，并保证其真实、合法、有效。</w:t>
      </w:r>
    </w:p>
    <w:p>
      <w:pPr>
        <w:pageBreakBefore w:val="0"/>
        <w:widowControl/>
        <w:kinsoku/>
        <w:wordWrap w:val="0"/>
        <w:overflowPunct/>
        <w:topLinePunct w:val="0"/>
        <w:bidi w:val="0"/>
        <w:snapToGrid w:val="0"/>
        <w:spacing w:beforeAutospacing="0" w:afterAutospacing="0"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2、我方承诺在投标活动中提供的各种材料真实有效。</w:t>
      </w:r>
    </w:p>
    <w:p>
      <w:pPr>
        <w:pageBreakBefore w:val="0"/>
        <w:widowControl/>
        <w:kinsoku/>
        <w:wordWrap w:val="0"/>
        <w:overflowPunct/>
        <w:topLinePunct w:val="0"/>
        <w:bidi w:val="0"/>
        <w:snapToGrid w:val="0"/>
        <w:spacing w:beforeAutospacing="0" w:afterAutospacing="0"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3、我方同意在投标文件有效期内遵守本投标文件中的承诺且在此期限期满之前均具有约束力。如果我方中标，投标文件有效期与合同履行期相同。</w:t>
      </w:r>
    </w:p>
    <w:p>
      <w:pPr>
        <w:pageBreakBefore w:val="0"/>
        <w:widowControl/>
        <w:kinsoku/>
        <w:wordWrap w:val="0"/>
        <w:overflowPunct/>
        <w:topLinePunct w:val="0"/>
        <w:bidi w:val="0"/>
        <w:snapToGrid w:val="0"/>
        <w:spacing w:beforeAutospacing="0" w:afterAutospacing="0"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4、我方已详细审查全部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文件，包括修改文件（如有的话）和有关附件，将自行承担因对全部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文件理解不正确或误解而产生的相应后果。</w:t>
      </w:r>
    </w:p>
    <w:p>
      <w:pPr>
        <w:pageBreakBefore w:val="0"/>
        <w:widowControl/>
        <w:kinsoku/>
        <w:wordWrap w:val="0"/>
        <w:overflowPunct/>
        <w:topLinePunct w:val="0"/>
        <w:bidi w:val="0"/>
        <w:spacing w:beforeAutospacing="0" w:afterAutospacing="0"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5、我方保证尊重评标委员会的评标结果，完全理解本</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项目最低投标价不作为中标的保证。</w:t>
      </w:r>
    </w:p>
    <w:p>
      <w:pPr>
        <w:pageBreakBefore w:val="0"/>
        <w:widowControl/>
        <w:kinsoku/>
        <w:wordWrap w:val="0"/>
        <w:overflowPunct/>
        <w:topLinePunct w:val="0"/>
        <w:bidi w:val="0"/>
        <w:spacing w:beforeAutospacing="0" w:afterAutospacing="0"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6、我方理解并遵守</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文件的全部规定，接受</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文件中政府采购合同的全部条款且无任何异议。</w:t>
      </w:r>
    </w:p>
    <w:p>
      <w:pPr>
        <w:pageBreakBefore w:val="0"/>
        <w:widowControl/>
        <w:kinsoku/>
        <w:wordWrap w:val="0"/>
        <w:overflowPunct/>
        <w:topLinePunct w:val="0"/>
        <w:bidi w:val="0"/>
        <w:snapToGrid w:val="0"/>
        <w:spacing w:beforeAutospacing="0" w:afterAutospacing="0"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7、如果我方代表</w:t>
      </w:r>
      <w:r>
        <w:rPr>
          <w:rFonts w:hint="eastAsia" w:ascii="宋体" w:hAnsi="宋体" w:cs="宋体"/>
          <w:bCs/>
          <w:color w:val="auto"/>
          <w:kern w:val="0"/>
          <w:szCs w:val="21"/>
          <w:highlight w:val="none"/>
        </w:rPr>
        <w:t>未按时参加开标的，视同放弃开标监督权利，认可开标结果。</w:t>
      </w:r>
    </w:p>
    <w:p>
      <w:pPr>
        <w:pageBreakBefore w:val="0"/>
        <w:widowControl/>
        <w:kinsoku/>
        <w:wordWrap w:val="0"/>
        <w:overflowPunct/>
        <w:topLinePunct w:val="0"/>
        <w:bidi w:val="0"/>
        <w:spacing w:beforeAutospacing="0" w:afterAutospacing="0"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8、如果我方存在投标人须知第9.3项所述情况，同意被认定为在经营活动中有重大违法记录。</w:t>
      </w:r>
    </w:p>
    <w:p>
      <w:pPr>
        <w:pageBreakBefore w:val="0"/>
        <w:widowControl/>
        <w:kinsoku/>
        <w:wordWrap w:val="0"/>
        <w:overflowPunct/>
        <w:topLinePunct w:val="0"/>
        <w:bidi w:val="0"/>
        <w:spacing w:beforeAutospacing="0" w:afterAutospacing="0"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9、如果发生投标人须知第2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.4.1、2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.4.3项所述情况，同意我方投标被作为无效投标处理。</w:t>
      </w:r>
    </w:p>
    <w:p>
      <w:pPr>
        <w:pageBreakBefore w:val="0"/>
        <w:widowControl/>
        <w:kinsoku/>
        <w:wordWrap w:val="0"/>
        <w:overflowPunct/>
        <w:topLinePunct w:val="0"/>
        <w:bidi w:val="0"/>
        <w:spacing w:beforeAutospacing="0" w:afterAutospacing="0"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10、如果发生投标人须知第2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.5项所述情况，同意评标委员会认定我方的行为属于串通投标的行为，并自愿接受监管部门的处罚。</w:t>
      </w:r>
    </w:p>
    <w:p>
      <w:pPr>
        <w:pageBreakBefore w:val="0"/>
        <w:widowControl/>
        <w:kinsoku/>
        <w:wordWrap w:val="0"/>
        <w:overflowPunct/>
        <w:topLinePunct w:val="0"/>
        <w:bidi w:val="0"/>
        <w:spacing w:beforeAutospacing="0" w:afterAutospacing="0"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11、如果现场变更采购方式，我方同意在不改变</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需求、资质条件等情况下，按变更后的采购方式的规定程序进行采购。</w:t>
      </w:r>
    </w:p>
    <w:p>
      <w:pPr>
        <w:pageBreakBefore w:val="0"/>
        <w:widowControl/>
        <w:kinsoku/>
        <w:wordWrap w:val="0"/>
        <w:overflowPunct/>
        <w:topLinePunct w:val="0"/>
        <w:bidi w:val="0"/>
        <w:snapToGrid w:val="0"/>
        <w:spacing w:beforeAutospacing="0" w:afterAutospacing="0"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12、如果被确定为中标供应商，我方同意按</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文件的规定领取</w:t>
      </w:r>
      <w:r>
        <w:rPr>
          <w:rFonts w:hint="eastAsia" w:ascii="宋体" w:hAnsi="宋体" w:cs="宋体"/>
          <w:color w:val="auto"/>
          <w:kern w:val="0"/>
          <w:szCs w:val="21"/>
          <w:highlight w:val="none"/>
          <w:lang w:eastAsia="zh-CN"/>
        </w:rPr>
        <w:t>成交通知书</w:t>
      </w:r>
      <w:r>
        <w:rPr>
          <w:rFonts w:hint="eastAsia" w:ascii="宋体" w:hAnsi="宋体" w:cs="宋体"/>
          <w:color w:val="auto"/>
          <w:kern w:val="0"/>
          <w:szCs w:val="21"/>
          <w:highlight w:val="none"/>
        </w:rPr>
        <w:t>并缴纳服务费。否则，视为我方中标后自动放弃中标资格，承担由此引起的一切后果。</w:t>
      </w:r>
    </w:p>
    <w:p>
      <w:pPr>
        <w:pageBreakBefore w:val="0"/>
        <w:widowControl/>
        <w:kinsoku/>
        <w:wordWrap w:val="0"/>
        <w:overflowPunct/>
        <w:topLinePunct w:val="0"/>
        <w:bidi w:val="0"/>
        <w:spacing w:beforeAutospacing="0" w:afterAutospacing="0"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13、如果被确定为中标供应商，我方同意在领取</w:t>
      </w:r>
      <w:r>
        <w:rPr>
          <w:rFonts w:hint="eastAsia" w:ascii="宋体" w:hAnsi="宋体" w:cs="宋体"/>
          <w:color w:val="auto"/>
          <w:kern w:val="0"/>
          <w:szCs w:val="21"/>
          <w:highlight w:val="none"/>
          <w:lang w:eastAsia="zh-CN"/>
        </w:rPr>
        <w:t>成交通知书</w:t>
      </w:r>
      <w:r>
        <w:rPr>
          <w:rFonts w:hint="eastAsia" w:ascii="宋体" w:hAnsi="宋体" w:cs="宋体"/>
          <w:color w:val="auto"/>
          <w:kern w:val="0"/>
          <w:szCs w:val="21"/>
          <w:highlight w:val="none"/>
        </w:rPr>
        <w:t>之日起</w:t>
      </w:r>
      <w:r>
        <w:rPr>
          <w:rFonts w:hint="eastAsia" w:ascii="宋体" w:hAnsi="宋体" w:cs="宋体"/>
          <w:color w:val="auto"/>
          <w:kern w:val="0"/>
          <w:szCs w:val="21"/>
          <w:highlight w:val="none"/>
          <w:u w:val="single"/>
          <w:lang w:val="en-US" w:eastAsia="zh-CN"/>
        </w:rPr>
        <w:t>30</w:t>
      </w:r>
      <w:r>
        <w:rPr>
          <w:rFonts w:hint="eastAsia" w:ascii="宋体" w:hAnsi="宋体" w:cs="宋体"/>
          <w:color w:val="auto"/>
          <w:kern w:val="0"/>
          <w:szCs w:val="21"/>
          <w:highlight w:val="none"/>
        </w:rPr>
        <w:t>日内，按照</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文件的规定与采购人签订采购合同。否则，视为我方中标后无正当理由不与采购人签订合同并承担相应法律责任。</w:t>
      </w:r>
    </w:p>
    <w:p>
      <w:pPr>
        <w:pageBreakBefore w:val="0"/>
        <w:widowControl/>
        <w:kinsoku/>
        <w:wordWrap w:val="0"/>
        <w:overflowPunct/>
        <w:topLinePunct w:val="0"/>
        <w:bidi w:val="0"/>
        <w:snapToGrid w:val="0"/>
        <w:spacing w:beforeAutospacing="0" w:afterAutospacing="0"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14、我方最近3年内的被公开披露或查处的违法违规行为有：</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w:t>
      </w:r>
    </w:p>
    <w:p>
      <w:pPr>
        <w:pageBreakBefore w:val="0"/>
        <w:widowControl/>
        <w:tabs>
          <w:tab w:val="left" w:pos="939"/>
        </w:tabs>
        <w:kinsoku/>
        <w:wordWrap w:val="0"/>
        <w:overflowPunct/>
        <w:topLinePunct w:val="0"/>
        <w:bidi w:val="0"/>
        <w:snapToGrid w:val="0"/>
        <w:spacing w:beforeAutospacing="0" w:afterAutospacing="0"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15、以上事项如有虚假或隐瞒，我方愿意承担一切后果和责任。</w:t>
      </w:r>
    </w:p>
    <w:p>
      <w:pPr>
        <w:pageBreakBefore w:val="0"/>
        <w:widowControl/>
        <w:kinsoku/>
        <w:wordWrap w:val="0"/>
        <w:overflowPunct/>
        <w:topLinePunct w:val="0"/>
        <w:bidi w:val="0"/>
        <w:spacing w:beforeAutospacing="0" w:afterAutospacing="0"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16、与本投标有关的一切正式往来通讯请寄（地址电话必须为最新并可以联系到）：</w:t>
      </w:r>
    </w:p>
    <w:p>
      <w:pPr>
        <w:pageBreakBefore w:val="0"/>
        <w:widowControl/>
        <w:kinsoku/>
        <w:wordWrap w:val="0"/>
        <w:overflowPunct/>
        <w:topLinePunct w:val="0"/>
        <w:bidi w:val="0"/>
        <w:spacing w:beforeAutospacing="0" w:afterAutospacing="0" w:line="360" w:lineRule="auto"/>
        <w:ind w:firstLine="420" w:firstLineChars="200"/>
        <w:jc w:val="left"/>
        <w:rPr>
          <w:rFonts w:ascii="宋体" w:hAnsi="宋体" w:cs="宋体"/>
          <w:color w:val="auto"/>
          <w:kern w:val="0"/>
          <w:szCs w:val="21"/>
          <w:highlight w:val="none"/>
          <w:u w:val="single"/>
        </w:rPr>
      </w:pPr>
      <w:r>
        <w:rPr>
          <w:rFonts w:hint="eastAsia" w:ascii="宋体" w:hAnsi="宋体" w:cs="宋体"/>
          <w:color w:val="auto"/>
          <w:kern w:val="0"/>
          <w:szCs w:val="21"/>
          <w:highlight w:val="none"/>
        </w:rPr>
        <w:t xml:space="preserve">   地址：  邮编：</w:t>
      </w:r>
    </w:p>
    <w:p>
      <w:pPr>
        <w:pageBreakBefore w:val="0"/>
        <w:widowControl/>
        <w:kinsoku/>
        <w:wordWrap w:val="0"/>
        <w:overflowPunct/>
        <w:topLinePunct w:val="0"/>
        <w:bidi w:val="0"/>
        <w:spacing w:beforeAutospacing="0" w:afterAutospacing="0" w:line="360" w:lineRule="auto"/>
        <w:ind w:firstLine="420" w:firstLineChars="200"/>
        <w:jc w:val="left"/>
        <w:rPr>
          <w:rFonts w:ascii="宋体" w:hAnsi="宋体" w:cs="宋体"/>
          <w:color w:val="auto"/>
          <w:kern w:val="0"/>
          <w:szCs w:val="21"/>
          <w:highlight w:val="none"/>
          <w:u w:val="single"/>
        </w:rPr>
      </w:pPr>
      <w:r>
        <w:rPr>
          <w:rFonts w:hint="eastAsia" w:ascii="宋体" w:hAnsi="宋体" w:cs="宋体"/>
          <w:color w:val="auto"/>
          <w:kern w:val="0"/>
          <w:szCs w:val="21"/>
          <w:highlight w:val="none"/>
        </w:rPr>
        <w:t xml:space="preserve">   电话：  传真： </w:t>
      </w:r>
    </w:p>
    <w:p>
      <w:pPr>
        <w:pageBreakBefore w:val="0"/>
        <w:widowControl/>
        <w:kinsoku/>
        <w:wordWrap w:val="0"/>
        <w:overflowPunct/>
        <w:topLinePunct w:val="0"/>
        <w:bidi w:val="0"/>
        <w:spacing w:beforeAutospacing="0" w:afterAutospacing="0" w:line="360" w:lineRule="auto"/>
        <w:ind w:firstLine="420" w:firstLineChars="200"/>
        <w:jc w:val="left"/>
        <w:rPr>
          <w:rFonts w:ascii="宋体" w:hAnsi="宋体" w:cs="宋体"/>
          <w:color w:val="auto"/>
          <w:kern w:val="0"/>
          <w:szCs w:val="21"/>
          <w:highlight w:val="none"/>
        </w:rPr>
      </w:pPr>
    </w:p>
    <w:p>
      <w:pPr>
        <w:pageBreakBefore w:val="0"/>
        <w:widowControl/>
        <w:kinsoku/>
        <w:wordWrap w:val="0"/>
        <w:overflowPunct/>
        <w:topLinePunct w:val="0"/>
        <w:bidi w:val="0"/>
        <w:spacing w:beforeAutospacing="0" w:afterAutospacing="0" w:line="360" w:lineRule="auto"/>
        <w:ind w:firstLine="735" w:firstLineChars="350"/>
        <w:jc w:val="left"/>
        <w:rPr>
          <w:rFonts w:ascii="宋体" w:hAnsi="宋体" w:cs="宋体"/>
          <w:color w:val="auto"/>
          <w:kern w:val="0"/>
          <w:szCs w:val="21"/>
          <w:highlight w:val="none"/>
          <w:u w:val="single"/>
        </w:rPr>
      </w:pPr>
      <w:r>
        <w:rPr>
          <w:rFonts w:hint="eastAsia" w:ascii="宋体" w:hAnsi="宋体" w:cs="宋体"/>
          <w:color w:val="auto"/>
          <w:kern w:val="0"/>
          <w:szCs w:val="21"/>
          <w:highlight w:val="none"/>
        </w:rPr>
        <w:t xml:space="preserve">投标人代表签字： </w:t>
      </w:r>
    </w:p>
    <w:p>
      <w:pPr>
        <w:pageBreakBefore w:val="0"/>
        <w:widowControl/>
        <w:kinsoku/>
        <w:wordWrap w:val="0"/>
        <w:overflowPunct/>
        <w:topLinePunct w:val="0"/>
        <w:bidi w:val="0"/>
        <w:spacing w:beforeAutospacing="0" w:afterAutospacing="0"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   投标人：（全称并加盖公章）</w:t>
      </w:r>
    </w:p>
    <w:p>
      <w:pPr>
        <w:pageBreakBefore w:val="0"/>
        <w:widowControl/>
        <w:kinsoku/>
        <w:wordWrap w:val="0"/>
        <w:overflowPunct/>
        <w:topLinePunct w:val="0"/>
        <w:bidi w:val="0"/>
        <w:spacing w:beforeAutospacing="0" w:afterAutospacing="0" w:line="360" w:lineRule="auto"/>
        <w:ind w:firstLine="420" w:firstLineChars="200"/>
        <w:jc w:val="left"/>
        <w:rPr>
          <w:rFonts w:ascii="宋体" w:hAnsi="宋体" w:cs="宋体"/>
          <w:color w:val="auto"/>
          <w:kern w:val="0"/>
          <w:szCs w:val="21"/>
          <w:highlight w:val="none"/>
        </w:rPr>
      </w:pPr>
    </w:p>
    <w:p>
      <w:pPr>
        <w:pageBreakBefore w:val="0"/>
        <w:widowControl/>
        <w:kinsoku/>
        <w:overflowPunct/>
        <w:topLinePunct w:val="0"/>
        <w:bidi w:val="0"/>
        <w:snapToGrid w:val="0"/>
        <w:spacing w:beforeAutospacing="0" w:afterAutospacing="0" w:line="360" w:lineRule="auto"/>
        <w:ind w:firstLine="3360" w:firstLineChars="1600"/>
        <w:rPr>
          <w:rFonts w:ascii="宋体" w:hAnsi="宋体" w:cs="宋体"/>
          <w:color w:val="auto"/>
          <w:kern w:val="0"/>
          <w:sz w:val="24"/>
          <w:highlight w:val="none"/>
        </w:rPr>
      </w:pPr>
      <w:r>
        <w:rPr>
          <w:rFonts w:hint="eastAsia" w:ascii="宋体" w:hAnsi="宋体" w:cs="宋体"/>
          <w:color w:val="auto"/>
          <w:kern w:val="0"/>
          <w:szCs w:val="21"/>
          <w:highlight w:val="none"/>
        </w:rPr>
        <w:t xml:space="preserve">年    月   日 </w:t>
      </w:r>
    </w:p>
    <w:p>
      <w:pPr>
        <w:pageBreakBefore w:val="0"/>
        <w:widowControl/>
        <w:kinsoku/>
        <w:wordWrap w:val="0"/>
        <w:overflowPunct/>
        <w:topLinePunct w:val="0"/>
        <w:bidi w:val="0"/>
        <w:snapToGrid w:val="0"/>
        <w:spacing w:beforeAutospacing="0" w:afterAutospacing="0" w:line="360" w:lineRule="auto"/>
        <w:jc w:val="left"/>
        <w:rPr>
          <w:rFonts w:ascii="宋体" w:hAnsi="宋体" w:cs="宋体"/>
          <w:b/>
          <w:color w:val="auto"/>
          <w:kern w:val="0"/>
          <w:sz w:val="24"/>
          <w:highlight w:val="none"/>
        </w:rPr>
      </w:pPr>
    </w:p>
    <w:p>
      <w:pPr>
        <w:pageBreakBefore w:val="0"/>
        <w:widowControl/>
        <w:kinsoku/>
        <w:wordWrap w:val="0"/>
        <w:overflowPunct/>
        <w:topLinePunct w:val="0"/>
        <w:bidi w:val="0"/>
        <w:snapToGrid w:val="0"/>
        <w:spacing w:beforeAutospacing="0" w:afterAutospacing="0" w:line="360" w:lineRule="auto"/>
        <w:jc w:val="left"/>
        <w:rPr>
          <w:rFonts w:ascii="宋体" w:hAnsi="宋体" w:cs="宋体"/>
          <w:b/>
          <w:color w:val="auto"/>
          <w:kern w:val="0"/>
          <w:sz w:val="24"/>
          <w:highlight w:val="none"/>
        </w:rPr>
      </w:pPr>
    </w:p>
    <w:p>
      <w:pPr>
        <w:pageBreakBefore w:val="0"/>
        <w:kinsoku/>
        <w:overflowPunct/>
        <w:topLinePunct w:val="0"/>
        <w:bidi w:val="0"/>
        <w:spacing w:beforeAutospacing="0" w:afterAutospacing="0" w:line="360" w:lineRule="auto"/>
        <w:jc w:val="center"/>
        <w:rPr>
          <w:rFonts w:ascii="宋体" w:hAnsi="宋体"/>
          <w:b/>
          <w:bCs/>
          <w:color w:val="auto"/>
          <w:sz w:val="24"/>
          <w:highlight w:val="none"/>
        </w:rPr>
      </w:pPr>
    </w:p>
    <w:p>
      <w:pPr>
        <w:pageBreakBefore w:val="0"/>
        <w:kinsoku/>
        <w:overflowPunct/>
        <w:topLinePunct w:val="0"/>
        <w:bidi w:val="0"/>
        <w:spacing w:beforeAutospacing="0" w:afterAutospacing="0" w:line="360" w:lineRule="auto"/>
        <w:rPr>
          <w:color w:val="auto"/>
          <w:highlight w:val="none"/>
        </w:rPr>
      </w:pPr>
      <w:r>
        <w:rPr>
          <w:rFonts w:hint="eastAsia"/>
          <w:color w:val="auto"/>
          <w:sz w:val="28"/>
          <w:szCs w:val="28"/>
          <w:highlight w:val="none"/>
        </w:rPr>
        <w:br w:type="page"/>
      </w:r>
    </w:p>
    <w:p>
      <w:pPr>
        <w:pStyle w:val="2"/>
        <w:pageBreakBefore w:val="0"/>
        <w:kinsoku/>
        <w:overflowPunct/>
        <w:topLinePunct w:val="0"/>
        <w:bidi w:val="0"/>
        <w:spacing w:before="0" w:beforeAutospacing="0" w:after="0" w:afterAutospacing="0" w:line="360" w:lineRule="auto"/>
        <w:rPr>
          <w:rFonts w:hint="eastAsia" w:ascii="宋体" w:hAnsi="宋体" w:eastAsia="宋体" w:cs="宋体"/>
          <w:color w:val="auto"/>
          <w:highlight w:val="none"/>
        </w:rPr>
      </w:pPr>
      <w:bookmarkStart w:id="67" w:name="_Toc7838"/>
      <w:r>
        <w:rPr>
          <w:rFonts w:hint="eastAsia" w:ascii="宋体" w:hAnsi="宋体" w:eastAsia="宋体" w:cs="宋体"/>
          <w:color w:val="auto"/>
          <w:highlight w:val="none"/>
        </w:rPr>
        <w:t xml:space="preserve">附件3              </w:t>
      </w:r>
    </w:p>
    <w:p>
      <w:pPr>
        <w:pStyle w:val="2"/>
        <w:pageBreakBefore w:val="0"/>
        <w:kinsoku/>
        <w:overflowPunct/>
        <w:topLinePunct w:val="0"/>
        <w:bidi w:val="0"/>
        <w:spacing w:before="0" w:beforeAutospacing="0" w:after="0" w:afterAutospacing="0"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A包</w:t>
      </w:r>
      <w:r>
        <w:rPr>
          <w:rFonts w:hint="eastAsia" w:ascii="宋体" w:hAnsi="宋体" w:eastAsia="宋体" w:cs="宋体"/>
          <w:color w:val="auto"/>
          <w:highlight w:val="none"/>
        </w:rPr>
        <w:t>开标一览表</w:t>
      </w:r>
      <w:bookmarkEnd w:id="67"/>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B包不需要提供可删除</w:t>
      </w:r>
      <w:r>
        <w:rPr>
          <w:rFonts w:hint="eastAsia" w:ascii="宋体" w:hAnsi="宋体" w:eastAsia="宋体" w:cs="宋体"/>
          <w:color w:val="auto"/>
          <w:highlight w:val="none"/>
          <w:lang w:eastAsia="zh-CN"/>
        </w:rPr>
        <w:t>）</w:t>
      </w:r>
    </w:p>
    <w:p>
      <w:pPr>
        <w:pageBreakBefore w:val="0"/>
        <w:kinsoku/>
        <w:overflowPunct/>
        <w:topLinePunct w:val="0"/>
        <w:bidi w:val="0"/>
        <w:spacing w:beforeAutospacing="0" w:afterAutospacing="0" w:line="360" w:lineRule="auto"/>
        <w:jc w:val="right"/>
        <w:rPr>
          <w:color w:val="auto"/>
          <w:highlight w:val="none"/>
        </w:rPr>
      </w:pPr>
      <w:r>
        <w:rPr>
          <w:rFonts w:ascii="宋体" w:hAnsi="宋体"/>
          <w:color w:val="auto"/>
          <w:sz w:val="24"/>
          <w:highlight w:val="none"/>
        </w:rPr>
        <w:t>单位：人民币元</w:t>
      </w:r>
    </w:p>
    <w:tbl>
      <w:tblPr>
        <w:tblStyle w:val="32"/>
        <w:tblW w:w="96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8"/>
        <w:gridCol w:w="7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vAlign w:val="center"/>
          </w:tcPr>
          <w:p>
            <w:pPr>
              <w:pageBreakBefore w:val="0"/>
              <w:widowControl/>
              <w:kinsoku/>
              <w:overflowPunct/>
              <w:topLinePunct w:val="0"/>
              <w:bidi w:val="0"/>
              <w:snapToGrid w:val="0"/>
              <w:spacing w:beforeAutospacing="0" w:afterAutospacing="0" w:line="360" w:lineRule="auto"/>
              <w:jc w:val="center"/>
              <w:rPr>
                <w:rFonts w:ascii="宋体" w:hAnsi="宋体"/>
                <w:color w:val="auto"/>
                <w:szCs w:val="21"/>
                <w:highlight w:val="none"/>
              </w:rPr>
            </w:pPr>
            <w:r>
              <w:rPr>
                <w:rFonts w:hint="eastAsia" w:ascii="宋体" w:hAnsi="宋体" w:cs="宋体"/>
                <w:color w:val="auto"/>
                <w:kern w:val="0"/>
                <w:szCs w:val="21"/>
                <w:highlight w:val="none"/>
              </w:rPr>
              <w:t>项目名称</w:t>
            </w:r>
          </w:p>
        </w:tc>
        <w:tc>
          <w:tcPr>
            <w:tcW w:w="7708" w:type="dxa"/>
            <w:vAlign w:val="center"/>
          </w:tcPr>
          <w:p>
            <w:pPr>
              <w:pageBreakBefore w:val="0"/>
              <w:kinsoku/>
              <w:overflowPunct/>
              <w:topLinePunct w:val="0"/>
              <w:bidi w:val="0"/>
              <w:spacing w:beforeAutospacing="0" w:afterAutospacing="0" w:line="360" w:lineRule="auto"/>
              <w:rPr>
                <w:rFonts w:ascii="宋体" w:hAnsi="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vAlign w:val="center"/>
          </w:tcPr>
          <w:p>
            <w:pPr>
              <w:pageBreakBefore w:val="0"/>
              <w:widowControl/>
              <w:kinsoku/>
              <w:overflowPunct/>
              <w:topLinePunct w:val="0"/>
              <w:bidi w:val="0"/>
              <w:snapToGrid w:val="0"/>
              <w:spacing w:beforeAutospacing="0" w:afterAutospacing="0" w:line="360" w:lineRule="auto"/>
              <w:jc w:val="center"/>
              <w:rPr>
                <w:rFonts w:ascii="宋体" w:hAnsi="宋体"/>
                <w:color w:val="auto"/>
                <w:szCs w:val="21"/>
                <w:highlight w:val="none"/>
              </w:rPr>
            </w:pPr>
            <w:r>
              <w:rPr>
                <w:rFonts w:hint="eastAsia" w:ascii="宋体" w:hAnsi="宋体" w:cs="宋体"/>
                <w:color w:val="auto"/>
                <w:kern w:val="0"/>
                <w:szCs w:val="21"/>
                <w:highlight w:val="none"/>
              </w:rPr>
              <w:t>投标人名称</w:t>
            </w:r>
          </w:p>
        </w:tc>
        <w:tc>
          <w:tcPr>
            <w:tcW w:w="7708" w:type="dxa"/>
            <w:vAlign w:val="center"/>
          </w:tcPr>
          <w:p>
            <w:pPr>
              <w:pageBreakBefore w:val="0"/>
              <w:kinsoku/>
              <w:overflowPunct/>
              <w:topLinePunct w:val="0"/>
              <w:bidi w:val="0"/>
              <w:spacing w:beforeAutospacing="0" w:afterAutospacing="0" w:line="360" w:lineRule="auto"/>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vAlign w:val="center"/>
          </w:tcPr>
          <w:p>
            <w:pPr>
              <w:pageBreakBefore w:val="0"/>
              <w:kinsoku/>
              <w:overflowPunct/>
              <w:topLinePunct w:val="0"/>
              <w:bidi w:val="0"/>
              <w:spacing w:beforeAutospacing="0" w:afterAutospacing="0" w:line="360" w:lineRule="auto"/>
              <w:jc w:val="center"/>
              <w:rPr>
                <w:rFonts w:ascii="宋体" w:hAnsi="宋体"/>
                <w:color w:val="auto"/>
                <w:spacing w:val="-20"/>
                <w:szCs w:val="21"/>
                <w:highlight w:val="none"/>
              </w:rPr>
            </w:pPr>
            <w:r>
              <w:rPr>
                <w:rFonts w:hint="eastAsia" w:ascii="宋体" w:hAnsi="宋体"/>
                <w:color w:val="auto"/>
                <w:szCs w:val="21"/>
                <w:highlight w:val="none"/>
                <w:lang w:val="en-US" w:eastAsia="zh-CN"/>
              </w:rPr>
              <w:t>设备</w:t>
            </w:r>
            <w:r>
              <w:rPr>
                <w:rFonts w:hint="eastAsia" w:ascii="宋体" w:hAnsi="宋体"/>
                <w:color w:val="auto"/>
                <w:szCs w:val="21"/>
                <w:highlight w:val="none"/>
              </w:rPr>
              <w:t>报价</w:t>
            </w:r>
          </w:p>
        </w:tc>
        <w:tc>
          <w:tcPr>
            <w:tcW w:w="7708" w:type="dxa"/>
            <w:vAlign w:val="center"/>
          </w:tcPr>
          <w:p>
            <w:pPr>
              <w:pageBreakBefore w:val="0"/>
              <w:kinsoku/>
              <w:overflowPunct/>
              <w:topLinePunct w:val="0"/>
              <w:bidi w:val="0"/>
              <w:spacing w:beforeAutospacing="0" w:afterAutospacing="0" w:line="360" w:lineRule="auto"/>
              <w:rPr>
                <w:rFonts w:hint="default" w:ascii="宋体" w:hAnsi="宋体"/>
                <w:color w:val="auto"/>
                <w:szCs w:val="21"/>
                <w:highlight w:val="none"/>
                <w:lang w:val="en-US" w:eastAsia="zh-CN"/>
              </w:rPr>
            </w:pPr>
            <w:r>
              <w:rPr>
                <w:rFonts w:hint="eastAsia" w:ascii="宋体" w:hAnsi="宋体"/>
                <w:color w:val="auto"/>
                <w:szCs w:val="21"/>
                <w:highlight w:val="none"/>
                <w:lang w:val="en-US" w:eastAsia="zh-CN"/>
              </w:rPr>
              <w:t>大写：        元</w:t>
            </w:r>
          </w:p>
          <w:p>
            <w:pPr>
              <w:pageBreakBefore w:val="0"/>
              <w:kinsoku/>
              <w:overflowPunct/>
              <w:topLinePunct w:val="0"/>
              <w:bidi w:val="0"/>
              <w:spacing w:beforeAutospacing="0" w:afterAutospacing="0" w:line="360" w:lineRule="auto"/>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小写：        元（详见报价明细表）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vAlign w:val="center"/>
          </w:tcPr>
          <w:p>
            <w:pPr>
              <w:pageBreakBefore w:val="0"/>
              <w:kinsoku/>
              <w:overflowPunct/>
              <w:topLinePunct w:val="0"/>
              <w:bidi w:val="0"/>
              <w:spacing w:beforeAutospacing="0" w:afterAutospacing="0" w:line="360" w:lineRule="auto"/>
              <w:jc w:val="center"/>
              <w:rPr>
                <w:rFonts w:hint="eastAsia" w:ascii="宋体" w:hAnsi="宋体" w:eastAsia="宋体"/>
                <w:color w:val="auto"/>
                <w:szCs w:val="21"/>
                <w:highlight w:val="none"/>
                <w:lang w:val="en-US" w:eastAsia="zh-CN"/>
              </w:rPr>
            </w:pPr>
            <w:r>
              <w:rPr>
                <w:rFonts w:hint="eastAsia" w:ascii="宋体" w:hAnsi="宋体"/>
                <w:color w:val="auto"/>
                <w:szCs w:val="21"/>
                <w:highlight w:val="none"/>
                <w:lang w:val="en-US" w:eastAsia="zh-CN"/>
              </w:rPr>
              <w:t>耗材报价</w:t>
            </w:r>
          </w:p>
        </w:tc>
        <w:tc>
          <w:tcPr>
            <w:tcW w:w="7708" w:type="dxa"/>
            <w:vAlign w:val="center"/>
          </w:tcPr>
          <w:p>
            <w:pPr>
              <w:pageBreakBefore w:val="0"/>
              <w:kinsoku/>
              <w:overflowPunct/>
              <w:topLinePunct w:val="0"/>
              <w:bidi w:val="0"/>
              <w:spacing w:beforeAutospacing="0" w:afterAutospacing="0" w:line="360" w:lineRule="auto"/>
              <w:rPr>
                <w:rFonts w:hint="default" w:ascii="宋体" w:hAnsi="宋体"/>
                <w:color w:val="auto"/>
                <w:szCs w:val="21"/>
                <w:highlight w:val="none"/>
                <w:lang w:val="en-US" w:eastAsia="zh-CN"/>
              </w:rPr>
            </w:pPr>
            <w:r>
              <w:rPr>
                <w:rFonts w:hint="eastAsia" w:ascii="宋体" w:hAnsi="宋体"/>
                <w:color w:val="auto"/>
                <w:szCs w:val="21"/>
                <w:highlight w:val="none"/>
                <w:lang w:val="en-US" w:eastAsia="zh-CN"/>
              </w:rPr>
              <w:t>检测试剂盒：大写 ：          小写：     元/人份</w:t>
            </w:r>
          </w:p>
          <w:p>
            <w:pPr>
              <w:pageBreakBefore w:val="0"/>
              <w:kinsoku/>
              <w:overflowPunct/>
              <w:topLinePunct w:val="0"/>
              <w:bidi w:val="0"/>
              <w:spacing w:beforeAutospacing="0" w:afterAutospacing="0" w:line="360" w:lineRule="auto"/>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一次性使用无菌拭子：大写 ：          小写：     元/人份</w:t>
            </w:r>
          </w:p>
          <w:p>
            <w:pPr>
              <w:pageBreakBefore w:val="0"/>
              <w:kinsoku/>
              <w:overflowPunct/>
              <w:topLinePunct w:val="0"/>
              <w:bidi w:val="0"/>
              <w:spacing w:beforeAutospacing="0" w:afterAutospacing="0" w:line="360" w:lineRule="auto"/>
              <w:rPr>
                <w:rFonts w:hint="default" w:ascii="宋体" w:hAnsi="宋体"/>
                <w:color w:val="auto"/>
                <w:szCs w:val="21"/>
                <w:highlight w:val="none"/>
                <w:lang w:val="en-US" w:eastAsia="zh-CN"/>
              </w:rPr>
            </w:pPr>
            <w:r>
              <w:rPr>
                <w:rFonts w:hint="eastAsia" w:ascii="宋体" w:hAnsi="宋体"/>
                <w:color w:val="auto"/>
                <w:szCs w:val="21"/>
                <w:highlight w:val="none"/>
                <w:lang w:val="en-US" w:eastAsia="zh-CN"/>
              </w:rPr>
              <w:t>合计：大写 ：          小写：     元/人份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vAlign w:val="center"/>
          </w:tcPr>
          <w:p>
            <w:pPr>
              <w:pageBreakBefore w:val="0"/>
              <w:kinsoku/>
              <w:overflowPunct/>
              <w:topLinePunct w:val="0"/>
              <w:bidi w:val="0"/>
              <w:spacing w:beforeAutospacing="0" w:afterAutospacing="0" w:line="360" w:lineRule="auto"/>
              <w:jc w:val="cente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交货期</w:t>
            </w:r>
          </w:p>
        </w:tc>
        <w:tc>
          <w:tcPr>
            <w:tcW w:w="7708" w:type="dxa"/>
            <w:vAlign w:val="bottom"/>
          </w:tcPr>
          <w:p>
            <w:pPr>
              <w:pageBreakBefore w:val="0"/>
              <w:kinsoku/>
              <w:overflowPunct/>
              <w:topLinePunct w:val="0"/>
              <w:bidi w:val="0"/>
              <w:spacing w:beforeAutospacing="0" w:afterAutospacing="0" w:line="360" w:lineRule="auto"/>
              <w:ind w:firstLine="1155" w:firstLineChars="55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vAlign w:val="center"/>
          </w:tcPr>
          <w:p>
            <w:pPr>
              <w:pageBreakBefore w:val="0"/>
              <w:widowControl/>
              <w:kinsoku/>
              <w:overflowPunct/>
              <w:topLinePunct w:val="0"/>
              <w:bidi w:val="0"/>
              <w:snapToGrid w:val="0"/>
              <w:spacing w:beforeAutospacing="0" w:afterAutospacing="0" w:line="360" w:lineRule="auto"/>
              <w:jc w:val="center"/>
              <w:rPr>
                <w:rFonts w:ascii="宋体" w:hAnsi="宋体"/>
                <w:color w:val="auto"/>
                <w:szCs w:val="21"/>
                <w:highlight w:val="none"/>
              </w:rPr>
            </w:pPr>
            <w:r>
              <w:rPr>
                <w:rFonts w:hint="eastAsia" w:ascii="宋体" w:hAnsi="宋体" w:cs="宋体"/>
                <w:color w:val="auto"/>
                <w:kern w:val="0"/>
                <w:szCs w:val="21"/>
                <w:highlight w:val="none"/>
              </w:rPr>
              <w:t>交货地点</w:t>
            </w:r>
          </w:p>
        </w:tc>
        <w:tc>
          <w:tcPr>
            <w:tcW w:w="7708" w:type="dxa"/>
            <w:vAlign w:val="bottom"/>
          </w:tcPr>
          <w:p>
            <w:pPr>
              <w:pageBreakBefore w:val="0"/>
              <w:kinsoku/>
              <w:overflowPunct/>
              <w:topLinePunct w:val="0"/>
              <w:bidi w:val="0"/>
              <w:spacing w:beforeAutospacing="0" w:afterAutospacing="0" w:line="360" w:lineRule="auto"/>
              <w:ind w:firstLine="1155" w:firstLineChars="55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vAlign w:val="center"/>
          </w:tcPr>
          <w:p>
            <w:pPr>
              <w:pageBreakBefore w:val="0"/>
              <w:widowControl/>
              <w:kinsoku/>
              <w:overflowPunct/>
              <w:topLinePunct w:val="0"/>
              <w:bidi w:val="0"/>
              <w:snapToGrid w:val="0"/>
              <w:spacing w:beforeAutospacing="0" w:afterAutospacing="0" w:line="360" w:lineRule="auto"/>
              <w:jc w:val="center"/>
              <w:rPr>
                <w:rFonts w:ascii="宋体" w:hAnsi="宋体"/>
                <w:color w:val="auto"/>
                <w:szCs w:val="21"/>
                <w:highlight w:val="none"/>
              </w:rPr>
            </w:pPr>
            <w:r>
              <w:rPr>
                <w:rFonts w:hint="eastAsia" w:ascii="宋体" w:hAnsi="宋体" w:cs="宋体"/>
                <w:color w:val="auto"/>
                <w:kern w:val="0"/>
                <w:szCs w:val="21"/>
                <w:highlight w:val="none"/>
              </w:rPr>
              <w:t>投标有效期</w:t>
            </w:r>
          </w:p>
        </w:tc>
        <w:tc>
          <w:tcPr>
            <w:tcW w:w="7708" w:type="dxa"/>
            <w:vAlign w:val="bottom"/>
          </w:tcPr>
          <w:p>
            <w:pPr>
              <w:pageBreakBefore w:val="0"/>
              <w:kinsoku/>
              <w:overflowPunct/>
              <w:topLinePunct w:val="0"/>
              <w:bidi w:val="0"/>
              <w:spacing w:beforeAutospacing="0" w:afterAutospacing="0" w:line="360" w:lineRule="auto"/>
              <w:ind w:firstLine="1155" w:firstLineChars="55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vAlign w:val="center"/>
          </w:tcPr>
          <w:p>
            <w:pPr>
              <w:pageBreakBefore w:val="0"/>
              <w:kinsoku/>
              <w:overflowPunct/>
              <w:topLinePunct w:val="0"/>
              <w:bidi w:val="0"/>
              <w:spacing w:beforeAutospacing="0" w:afterAutospacing="0" w:line="360" w:lineRule="auto"/>
              <w:jc w:val="center"/>
              <w:rPr>
                <w:rFonts w:ascii="宋体" w:hAnsi="宋体"/>
                <w:color w:val="auto"/>
                <w:szCs w:val="21"/>
                <w:highlight w:val="none"/>
              </w:rPr>
            </w:pPr>
            <w:r>
              <w:rPr>
                <w:rFonts w:hint="eastAsia" w:ascii="宋体" w:hAnsi="宋体"/>
                <w:color w:val="auto"/>
                <w:szCs w:val="21"/>
                <w:highlight w:val="none"/>
              </w:rPr>
              <w:t>质量标准</w:t>
            </w:r>
          </w:p>
        </w:tc>
        <w:tc>
          <w:tcPr>
            <w:tcW w:w="7708" w:type="dxa"/>
            <w:vAlign w:val="bottom"/>
          </w:tcPr>
          <w:p>
            <w:pPr>
              <w:pageBreakBefore w:val="0"/>
              <w:kinsoku/>
              <w:overflowPunct/>
              <w:topLinePunct w:val="0"/>
              <w:bidi w:val="0"/>
              <w:spacing w:beforeAutospacing="0" w:afterAutospacing="0" w:line="360" w:lineRule="auto"/>
              <w:ind w:firstLine="1155" w:firstLineChars="550"/>
              <w:rPr>
                <w:rFonts w:ascii="宋体" w:hAnsi="宋体"/>
                <w:color w:val="auto"/>
                <w:szCs w:val="21"/>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vAlign w:val="center"/>
          </w:tcPr>
          <w:p>
            <w:pPr>
              <w:pageBreakBefore w:val="0"/>
              <w:kinsoku/>
              <w:overflowPunct/>
              <w:topLinePunct w:val="0"/>
              <w:bidi w:val="0"/>
              <w:spacing w:beforeAutospacing="0" w:afterAutospacing="0" w:line="360" w:lineRule="auto"/>
              <w:jc w:val="center"/>
              <w:rPr>
                <w:rFonts w:ascii="宋体" w:hAnsi="宋体"/>
                <w:color w:val="auto"/>
                <w:szCs w:val="21"/>
                <w:highlight w:val="none"/>
              </w:rPr>
            </w:pPr>
            <w:r>
              <w:rPr>
                <w:rFonts w:hint="eastAsia" w:ascii="宋体" w:hAnsi="宋体"/>
                <w:color w:val="auto"/>
                <w:szCs w:val="21"/>
                <w:highlight w:val="none"/>
              </w:rPr>
              <w:t>备  注</w:t>
            </w:r>
          </w:p>
        </w:tc>
        <w:tc>
          <w:tcPr>
            <w:tcW w:w="7708" w:type="dxa"/>
            <w:vAlign w:val="center"/>
          </w:tcPr>
          <w:p>
            <w:pPr>
              <w:pStyle w:val="20"/>
              <w:pageBreakBefore w:val="0"/>
              <w:kinsoku/>
              <w:overflowPunct/>
              <w:topLinePunct w:val="0"/>
              <w:bidi w:val="0"/>
              <w:spacing w:beforeAutospacing="0" w:afterAutospacing="0" w:line="360" w:lineRule="auto"/>
              <w:ind w:left="0" w:leftChars="0"/>
              <w:rPr>
                <w:color w:val="auto"/>
                <w:sz w:val="21"/>
                <w:szCs w:val="21"/>
                <w:highlight w:val="none"/>
              </w:rPr>
            </w:pPr>
          </w:p>
        </w:tc>
      </w:tr>
    </w:tbl>
    <w:p>
      <w:pPr>
        <w:pageBreakBefore w:val="0"/>
        <w:kinsoku/>
        <w:overflowPunct/>
        <w:topLinePunct w:val="0"/>
        <w:bidi w:val="0"/>
        <w:spacing w:beforeAutospacing="0" w:afterAutospacing="0"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注: 1、报价一经涂改，应在涂改处加盖单位公章或投标人代表签字或盖章，否则其投标作无效标处理。</w:t>
      </w:r>
    </w:p>
    <w:p>
      <w:pPr>
        <w:pageBreakBefore w:val="0"/>
        <w:kinsoku/>
        <w:overflowPunct/>
        <w:topLinePunct w:val="0"/>
        <w:bidi w:val="0"/>
        <w:spacing w:beforeAutospacing="0" w:afterAutospacing="0"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2、以上报价应与“报价明细表”中的报价相一致。</w:t>
      </w:r>
    </w:p>
    <w:p>
      <w:pPr>
        <w:pageBreakBefore w:val="0"/>
        <w:kinsoku/>
        <w:overflowPunct/>
        <w:topLinePunct w:val="0"/>
        <w:bidi w:val="0"/>
        <w:spacing w:beforeAutospacing="0" w:afterAutospacing="0"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3、凡认为所投产品符合价格折扣条件的，在相应的产品的“备注”栏内注明符合何种折扣条件。</w:t>
      </w:r>
    </w:p>
    <w:p>
      <w:pPr>
        <w:pageBreakBefore w:val="0"/>
        <w:kinsoku/>
        <w:overflowPunct/>
        <w:topLinePunct w:val="0"/>
        <w:bidi w:val="0"/>
        <w:spacing w:beforeAutospacing="0" w:afterAutospacing="0" w:line="360" w:lineRule="auto"/>
        <w:ind w:firstLine="420" w:firstLineChars="200"/>
        <w:rPr>
          <w:color w:val="auto"/>
          <w:highlight w:val="none"/>
        </w:rPr>
      </w:pPr>
      <w:r>
        <w:rPr>
          <w:rFonts w:hint="eastAsia" w:ascii="宋体" w:hAnsi="宋体" w:cs="宋体"/>
          <w:color w:val="auto"/>
          <w:kern w:val="0"/>
          <w:szCs w:val="21"/>
          <w:highlight w:val="none"/>
        </w:rPr>
        <w:t>4、投标人按格式填列，不得自行更改。否则引起的不利后果由投标人承担。</w:t>
      </w:r>
    </w:p>
    <w:p>
      <w:pPr>
        <w:pageBreakBefore w:val="0"/>
        <w:kinsoku/>
        <w:overflowPunct/>
        <w:topLinePunct w:val="0"/>
        <w:bidi w:val="0"/>
        <w:spacing w:beforeAutospacing="0" w:afterAutospacing="0" w:line="360" w:lineRule="auto"/>
        <w:ind w:firstLine="420" w:firstLineChars="200"/>
        <w:jc w:val="center"/>
        <w:rPr>
          <w:rFonts w:hint="eastAsia" w:ascii="宋体" w:hAnsi="宋体"/>
          <w:color w:val="auto"/>
          <w:szCs w:val="21"/>
          <w:highlight w:val="none"/>
        </w:rPr>
      </w:pPr>
      <w:bookmarkStart w:id="68" w:name="_Toc20877"/>
      <w:bookmarkStart w:id="69" w:name="_Toc11620"/>
    </w:p>
    <w:p>
      <w:pPr>
        <w:pageBreakBefore w:val="0"/>
        <w:kinsoku/>
        <w:overflowPunct/>
        <w:topLinePunct w:val="0"/>
        <w:bidi w:val="0"/>
        <w:spacing w:beforeAutospacing="0" w:afterAutospacing="0" w:line="360" w:lineRule="auto"/>
        <w:ind w:firstLine="420" w:firstLineChars="200"/>
        <w:jc w:val="center"/>
        <w:rPr>
          <w:rFonts w:ascii="宋体" w:hAnsi="宋体"/>
          <w:color w:val="auto"/>
          <w:szCs w:val="21"/>
          <w:highlight w:val="none"/>
        </w:rPr>
      </w:pPr>
      <w:r>
        <w:rPr>
          <w:rFonts w:hint="eastAsia" w:ascii="宋体" w:hAnsi="宋体"/>
          <w:color w:val="auto"/>
          <w:szCs w:val="21"/>
          <w:highlight w:val="none"/>
        </w:rPr>
        <w:t>投标人（全称并加盖公章）：</w:t>
      </w:r>
      <w:bookmarkEnd w:id="68"/>
      <w:bookmarkEnd w:id="69"/>
    </w:p>
    <w:p>
      <w:pPr>
        <w:pageBreakBefore w:val="0"/>
        <w:kinsoku/>
        <w:overflowPunct/>
        <w:topLinePunct w:val="0"/>
        <w:bidi w:val="0"/>
        <w:spacing w:beforeAutospacing="0" w:afterAutospacing="0" w:line="360" w:lineRule="auto"/>
        <w:ind w:firstLine="420" w:firstLineChars="200"/>
        <w:jc w:val="center"/>
        <w:rPr>
          <w:rFonts w:ascii="宋体" w:hAnsi="宋体"/>
          <w:color w:val="auto"/>
          <w:szCs w:val="21"/>
          <w:highlight w:val="none"/>
        </w:rPr>
      </w:pPr>
      <w:bookmarkStart w:id="70" w:name="_Toc625"/>
      <w:bookmarkStart w:id="71" w:name="_Toc12222"/>
      <w:r>
        <w:rPr>
          <w:rFonts w:hint="eastAsia" w:ascii="宋体" w:hAnsi="宋体"/>
          <w:color w:val="auto"/>
          <w:szCs w:val="21"/>
          <w:highlight w:val="none"/>
        </w:rPr>
        <w:t>法定代表人或其委托代理人（签字）：</w:t>
      </w:r>
      <w:bookmarkEnd w:id="70"/>
      <w:bookmarkEnd w:id="71"/>
    </w:p>
    <w:p>
      <w:pPr>
        <w:pageBreakBefore w:val="0"/>
        <w:kinsoku/>
        <w:overflowPunct/>
        <w:topLinePunct w:val="0"/>
        <w:bidi w:val="0"/>
        <w:spacing w:beforeAutospacing="0" w:afterAutospacing="0" w:line="360" w:lineRule="auto"/>
        <w:ind w:firstLine="420" w:firstLineChars="200"/>
        <w:jc w:val="center"/>
        <w:rPr>
          <w:rFonts w:hint="eastAsia" w:ascii="宋体" w:hAnsi="宋体"/>
          <w:color w:val="auto"/>
          <w:szCs w:val="21"/>
          <w:highlight w:val="none"/>
        </w:rPr>
      </w:pPr>
      <w:bookmarkStart w:id="72" w:name="_Toc9950"/>
      <w:bookmarkStart w:id="73" w:name="_Toc1330"/>
      <w:r>
        <w:rPr>
          <w:rFonts w:hint="eastAsia" w:ascii="宋体" w:hAnsi="宋体"/>
          <w:color w:val="auto"/>
          <w:szCs w:val="21"/>
          <w:highlight w:val="none"/>
        </w:rPr>
        <w:t>年  月  日</w:t>
      </w:r>
      <w:bookmarkEnd w:id="72"/>
      <w:bookmarkEnd w:id="73"/>
    </w:p>
    <w:p>
      <w:pPr>
        <w:pStyle w:val="2"/>
        <w:pageBreakBefore w:val="0"/>
        <w:kinsoku/>
        <w:overflowPunct/>
        <w:topLinePunct w:val="0"/>
        <w:bidi w:val="0"/>
        <w:spacing w:before="0" w:beforeAutospacing="0" w:after="0" w:afterAutospacing="0" w:line="360" w:lineRule="auto"/>
        <w:jc w:val="both"/>
        <w:rPr>
          <w:rFonts w:hint="eastAsia" w:ascii="宋体" w:hAnsi="宋体" w:eastAsia="宋体" w:cs="宋体"/>
          <w:color w:val="auto"/>
          <w:highlight w:val="none"/>
        </w:rPr>
      </w:pPr>
      <w:r>
        <w:rPr>
          <w:color w:val="auto"/>
          <w:highlight w:val="none"/>
        </w:rPr>
        <w:br w:type="page"/>
      </w:r>
      <w:r>
        <w:rPr>
          <w:rFonts w:hint="eastAsia" w:ascii="宋体" w:hAnsi="宋体" w:eastAsia="宋体" w:cs="宋体"/>
          <w:color w:val="auto"/>
          <w:highlight w:val="none"/>
        </w:rPr>
        <w:t xml:space="preserve">附件3 </w:t>
      </w:r>
    </w:p>
    <w:p>
      <w:pPr>
        <w:pStyle w:val="2"/>
        <w:pageBreakBefore w:val="0"/>
        <w:kinsoku/>
        <w:overflowPunct/>
        <w:topLinePunct w:val="0"/>
        <w:bidi w:val="0"/>
        <w:spacing w:before="0" w:beforeAutospacing="0" w:after="0" w:afterAutospacing="0" w:line="360" w:lineRule="auto"/>
        <w:jc w:val="center"/>
        <w:rPr>
          <w:rFonts w:hint="eastAsia" w:ascii="宋体" w:hAnsi="宋体" w:eastAsia="宋体" w:cs="宋体"/>
          <w:color w:val="auto"/>
          <w:highlight w:val="none"/>
          <w:lang w:eastAsia="zh-CN"/>
        </w:rPr>
      </w:pPr>
      <w:r>
        <w:rPr>
          <w:rFonts w:hint="eastAsia" w:ascii="宋体" w:hAnsi="宋体" w:eastAsia="宋体" w:cs="宋体"/>
          <w:color w:val="auto"/>
          <w:highlight w:val="none"/>
          <w:lang w:val="en-US" w:eastAsia="zh-CN"/>
        </w:rPr>
        <w:t>B包</w:t>
      </w:r>
      <w:r>
        <w:rPr>
          <w:rFonts w:hint="eastAsia" w:ascii="宋体" w:hAnsi="宋体" w:eastAsia="宋体" w:cs="宋体"/>
          <w:color w:val="auto"/>
          <w:highlight w:val="none"/>
        </w:rPr>
        <w:t>开标一览表</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A包不需要提供可删除</w:t>
      </w:r>
      <w:r>
        <w:rPr>
          <w:rFonts w:hint="eastAsia" w:ascii="宋体" w:hAnsi="宋体" w:eastAsia="宋体" w:cs="宋体"/>
          <w:color w:val="auto"/>
          <w:highlight w:val="none"/>
          <w:lang w:eastAsia="zh-CN"/>
        </w:rPr>
        <w:t>）</w:t>
      </w:r>
    </w:p>
    <w:p>
      <w:pPr>
        <w:pageBreakBefore w:val="0"/>
        <w:kinsoku/>
        <w:overflowPunct/>
        <w:topLinePunct w:val="0"/>
        <w:bidi w:val="0"/>
        <w:spacing w:beforeAutospacing="0" w:afterAutospacing="0" w:line="360" w:lineRule="auto"/>
        <w:jc w:val="right"/>
        <w:rPr>
          <w:color w:val="auto"/>
          <w:highlight w:val="none"/>
        </w:rPr>
      </w:pPr>
      <w:r>
        <w:rPr>
          <w:rFonts w:ascii="宋体" w:hAnsi="宋体"/>
          <w:color w:val="auto"/>
          <w:sz w:val="24"/>
          <w:highlight w:val="none"/>
        </w:rPr>
        <w:t>单位：人民币元</w:t>
      </w:r>
    </w:p>
    <w:tbl>
      <w:tblPr>
        <w:tblStyle w:val="32"/>
        <w:tblW w:w="96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8"/>
        <w:gridCol w:w="7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vAlign w:val="center"/>
          </w:tcPr>
          <w:p>
            <w:pPr>
              <w:pageBreakBefore w:val="0"/>
              <w:widowControl/>
              <w:kinsoku/>
              <w:overflowPunct/>
              <w:topLinePunct w:val="0"/>
              <w:bidi w:val="0"/>
              <w:snapToGrid w:val="0"/>
              <w:spacing w:beforeAutospacing="0" w:afterAutospacing="0" w:line="360" w:lineRule="auto"/>
              <w:jc w:val="center"/>
              <w:rPr>
                <w:rFonts w:ascii="宋体" w:hAnsi="宋体"/>
                <w:color w:val="auto"/>
                <w:szCs w:val="21"/>
                <w:highlight w:val="none"/>
              </w:rPr>
            </w:pPr>
            <w:r>
              <w:rPr>
                <w:rFonts w:hint="eastAsia" w:ascii="宋体" w:hAnsi="宋体" w:cs="宋体"/>
                <w:color w:val="auto"/>
                <w:kern w:val="0"/>
                <w:szCs w:val="21"/>
                <w:highlight w:val="none"/>
              </w:rPr>
              <w:t>项目名称</w:t>
            </w:r>
          </w:p>
        </w:tc>
        <w:tc>
          <w:tcPr>
            <w:tcW w:w="7708" w:type="dxa"/>
            <w:vAlign w:val="center"/>
          </w:tcPr>
          <w:p>
            <w:pPr>
              <w:pageBreakBefore w:val="0"/>
              <w:kinsoku/>
              <w:overflowPunct/>
              <w:topLinePunct w:val="0"/>
              <w:bidi w:val="0"/>
              <w:spacing w:beforeAutospacing="0" w:afterAutospacing="0" w:line="360" w:lineRule="auto"/>
              <w:rPr>
                <w:rFonts w:ascii="宋体" w:hAnsi="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vAlign w:val="center"/>
          </w:tcPr>
          <w:p>
            <w:pPr>
              <w:pageBreakBefore w:val="0"/>
              <w:widowControl/>
              <w:kinsoku/>
              <w:overflowPunct/>
              <w:topLinePunct w:val="0"/>
              <w:bidi w:val="0"/>
              <w:snapToGrid w:val="0"/>
              <w:spacing w:beforeAutospacing="0" w:afterAutospacing="0" w:line="360" w:lineRule="auto"/>
              <w:jc w:val="center"/>
              <w:rPr>
                <w:rFonts w:ascii="宋体" w:hAnsi="宋体"/>
                <w:color w:val="auto"/>
                <w:szCs w:val="21"/>
                <w:highlight w:val="none"/>
              </w:rPr>
            </w:pPr>
            <w:r>
              <w:rPr>
                <w:rFonts w:hint="eastAsia" w:ascii="宋体" w:hAnsi="宋体" w:cs="宋体"/>
                <w:color w:val="auto"/>
                <w:kern w:val="0"/>
                <w:szCs w:val="21"/>
                <w:highlight w:val="none"/>
              </w:rPr>
              <w:t>投标人名称</w:t>
            </w:r>
          </w:p>
        </w:tc>
        <w:tc>
          <w:tcPr>
            <w:tcW w:w="7708" w:type="dxa"/>
            <w:vAlign w:val="center"/>
          </w:tcPr>
          <w:p>
            <w:pPr>
              <w:pageBreakBefore w:val="0"/>
              <w:kinsoku/>
              <w:overflowPunct/>
              <w:topLinePunct w:val="0"/>
              <w:bidi w:val="0"/>
              <w:spacing w:beforeAutospacing="0" w:afterAutospacing="0" w:line="360" w:lineRule="auto"/>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vAlign w:val="center"/>
          </w:tcPr>
          <w:p>
            <w:pPr>
              <w:pageBreakBefore w:val="0"/>
              <w:kinsoku/>
              <w:overflowPunct/>
              <w:topLinePunct w:val="0"/>
              <w:bidi w:val="0"/>
              <w:spacing w:beforeAutospacing="0" w:afterAutospacing="0" w:line="360" w:lineRule="auto"/>
              <w:jc w:val="center"/>
              <w:rPr>
                <w:rFonts w:ascii="宋体" w:hAnsi="宋体"/>
                <w:color w:val="auto"/>
                <w:spacing w:val="-20"/>
                <w:szCs w:val="21"/>
                <w:highlight w:val="none"/>
              </w:rPr>
            </w:pPr>
            <w:r>
              <w:rPr>
                <w:rFonts w:hint="eastAsia" w:ascii="宋体" w:hAnsi="宋体"/>
                <w:color w:val="auto"/>
                <w:szCs w:val="21"/>
                <w:highlight w:val="none"/>
                <w:lang w:val="en-US" w:eastAsia="zh-CN"/>
              </w:rPr>
              <w:t>设备</w:t>
            </w:r>
            <w:r>
              <w:rPr>
                <w:rFonts w:hint="eastAsia" w:ascii="宋体" w:hAnsi="宋体"/>
                <w:color w:val="auto"/>
                <w:szCs w:val="21"/>
                <w:highlight w:val="none"/>
              </w:rPr>
              <w:t>报价</w:t>
            </w:r>
          </w:p>
        </w:tc>
        <w:tc>
          <w:tcPr>
            <w:tcW w:w="7708" w:type="dxa"/>
            <w:vAlign w:val="center"/>
          </w:tcPr>
          <w:p>
            <w:pPr>
              <w:pageBreakBefore w:val="0"/>
              <w:kinsoku/>
              <w:overflowPunct/>
              <w:topLinePunct w:val="0"/>
              <w:bidi w:val="0"/>
              <w:spacing w:beforeAutospacing="0" w:afterAutospacing="0" w:line="360" w:lineRule="auto"/>
              <w:rPr>
                <w:rFonts w:hint="default" w:ascii="宋体" w:hAnsi="宋体"/>
                <w:color w:val="auto"/>
                <w:szCs w:val="21"/>
                <w:highlight w:val="none"/>
                <w:lang w:val="en-US" w:eastAsia="zh-CN"/>
              </w:rPr>
            </w:pPr>
            <w:r>
              <w:rPr>
                <w:rFonts w:hint="eastAsia" w:ascii="宋体" w:hAnsi="宋体"/>
                <w:color w:val="auto"/>
                <w:szCs w:val="21"/>
                <w:highlight w:val="none"/>
                <w:lang w:val="en-US" w:eastAsia="zh-CN"/>
              </w:rPr>
              <w:t>大写：        元</w:t>
            </w:r>
          </w:p>
          <w:p>
            <w:pPr>
              <w:pageBreakBefore w:val="0"/>
              <w:kinsoku/>
              <w:overflowPunct/>
              <w:topLinePunct w:val="0"/>
              <w:bidi w:val="0"/>
              <w:spacing w:beforeAutospacing="0" w:afterAutospacing="0" w:line="360" w:lineRule="auto"/>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小写：        元（详见报价明细表）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vAlign w:val="center"/>
          </w:tcPr>
          <w:p>
            <w:pPr>
              <w:pageBreakBefore w:val="0"/>
              <w:kinsoku/>
              <w:overflowPunct/>
              <w:topLinePunct w:val="0"/>
              <w:bidi w:val="0"/>
              <w:spacing w:beforeAutospacing="0" w:afterAutospacing="0" w:line="360" w:lineRule="auto"/>
              <w:jc w:val="center"/>
              <w:rPr>
                <w:rFonts w:hint="eastAsia" w:ascii="宋体" w:hAnsi="宋体" w:eastAsia="宋体"/>
                <w:color w:val="auto"/>
                <w:szCs w:val="21"/>
                <w:highlight w:val="none"/>
                <w:lang w:val="en-US" w:eastAsia="zh-CN"/>
              </w:rPr>
            </w:pPr>
            <w:r>
              <w:rPr>
                <w:rFonts w:hint="eastAsia" w:ascii="宋体" w:hAnsi="宋体"/>
                <w:color w:val="auto"/>
                <w:szCs w:val="21"/>
                <w:highlight w:val="none"/>
                <w:lang w:val="en-US" w:eastAsia="zh-CN"/>
              </w:rPr>
              <w:t>耗材报价</w:t>
            </w:r>
          </w:p>
        </w:tc>
        <w:tc>
          <w:tcPr>
            <w:tcW w:w="7708" w:type="dxa"/>
            <w:vAlign w:val="center"/>
          </w:tcPr>
          <w:p>
            <w:pPr>
              <w:pageBreakBefore w:val="0"/>
              <w:kinsoku/>
              <w:overflowPunct/>
              <w:topLinePunct w:val="0"/>
              <w:bidi w:val="0"/>
              <w:spacing w:beforeAutospacing="0" w:afterAutospacing="0" w:line="360" w:lineRule="auto"/>
              <w:rPr>
                <w:rFonts w:hint="default" w:ascii="宋体" w:hAnsi="宋体"/>
                <w:color w:val="auto"/>
                <w:szCs w:val="21"/>
                <w:highlight w:val="none"/>
                <w:lang w:val="en-US" w:eastAsia="zh-CN"/>
              </w:rPr>
            </w:pPr>
            <w:r>
              <w:rPr>
                <w:rFonts w:hint="eastAsia" w:ascii="宋体" w:hAnsi="宋体"/>
                <w:color w:val="auto"/>
                <w:szCs w:val="21"/>
                <w:highlight w:val="none"/>
                <w:lang w:val="en-US" w:eastAsia="zh-CN"/>
              </w:rPr>
              <w:t>一氧化氮检测器：大写 ：          小写：     元/套</w:t>
            </w:r>
          </w:p>
          <w:p>
            <w:pPr>
              <w:pageBreakBefore w:val="0"/>
              <w:kinsoku/>
              <w:overflowPunct/>
              <w:topLinePunct w:val="0"/>
              <w:bidi w:val="0"/>
              <w:spacing w:beforeAutospacing="0" w:afterAutospacing="0" w:line="360" w:lineRule="auto"/>
              <w:rPr>
                <w:rFonts w:hint="default" w:ascii="宋体" w:hAnsi="宋体"/>
                <w:color w:val="auto"/>
                <w:szCs w:val="21"/>
                <w:highlight w:val="none"/>
                <w:lang w:val="en-US" w:eastAsia="zh-CN"/>
              </w:rPr>
            </w:pPr>
            <w:r>
              <w:rPr>
                <w:rFonts w:hint="eastAsia" w:ascii="宋体" w:hAnsi="宋体"/>
                <w:color w:val="auto"/>
                <w:szCs w:val="21"/>
                <w:highlight w:val="none"/>
                <w:lang w:val="en-US" w:eastAsia="zh-CN"/>
              </w:rPr>
              <w:t>过滤器：大写 ：          小写：     元/个</w:t>
            </w:r>
          </w:p>
          <w:p>
            <w:pPr>
              <w:pageBreakBefore w:val="0"/>
              <w:kinsoku/>
              <w:overflowPunct/>
              <w:topLinePunct w:val="0"/>
              <w:bidi w:val="0"/>
              <w:spacing w:beforeAutospacing="0" w:afterAutospacing="0" w:line="360" w:lineRule="auto"/>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采样气袋：大写 ：          小写：     元/个</w:t>
            </w:r>
          </w:p>
          <w:p>
            <w:pPr>
              <w:pageBreakBefore w:val="0"/>
              <w:kinsoku/>
              <w:overflowPunct/>
              <w:topLinePunct w:val="0"/>
              <w:bidi w:val="0"/>
              <w:spacing w:beforeAutospacing="0" w:afterAutospacing="0" w:line="360" w:lineRule="auto"/>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鼻呼头：大写 ：          小写：     元/个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vAlign w:val="center"/>
          </w:tcPr>
          <w:p>
            <w:pPr>
              <w:pageBreakBefore w:val="0"/>
              <w:kinsoku/>
              <w:overflowPunct/>
              <w:topLinePunct w:val="0"/>
              <w:bidi w:val="0"/>
              <w:spacing w:beforeAutospacing="0" w:afterAutospacing="0" w:line="360" w:lineRule="auto"/>
              <w:jc w:val="cente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交货期</w:t>
            </w:r>
          </w:p>
        </w:tc>
        <w:tc>
          <w:tcPr>
            <w:tcW w:w="7708" w:type="dxa"/>
            <w:vAlign w:val="bottom"/>
          </w:tcPr>
          <w:p>
            <w:pPr>
              <w:pageBreakBefore w:val="0"/>
              <w:kinsoku/>
              <w:overflowPunct/>
              <w:topLinePunct w:val="0"/>
              <w:bidi w:val="0"/>
              <w:spacing w:beforeAutospacing="0" w:afterAutospacing="0" w:line="360" w:lineRule="auto"/>
              <w:ind w:firstLine="1155" w:firstLineChars="55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vAlign w:val="center"/>
          </w:tcPr>
          <w:p>
            <w:pPr>
              <w:pageBreakBefore w:val="0"/>
              <w:widowControl/>
              <w:kinsoku/>
              <w:overflowPunct/>
              <w:topLinePunct w:val="0"/>
              <w:bidi w:val="0"/>
              <w:snapToGrid w:val="0"/>
              <w:spacing w:beforeAutospacing="0" w:afterAutospacing="0" w:line="360" w:lineRule="auto"/>
              <w:jc w:val="center"/>
              <w:rPr>
                <w:rFonts w:ascii="宋体" w:hAnsi="宋体"/>
                <w:color w:val="auto"/>
                <w:szCs w:val="21"/>
                <w:highlight w:val="none"/>
              </w:rPr>
            </w:pPr>
            <w:r>
              <w:rPr>
                <w:rFonts w:hint="eastAsia" w:ascii="宋体" w:hAnsi="宋体" w:cs="宋体"/>
                <w:color w:val="auto"/>
                <w:kern w:val="0"/>
                <w:szCs w:val="21"/>
                <w:highlight w:val="none"/>
              </w:rPr>
              <w:t>交货地点</w:t>
            </w:r>
          </w:p>
        </w:tc>
        <w:tc>
          <w:tcPr>
            <w:tcW w:w="7708" w:type="dxa"/>
            <w:vAlign w:val="bottom"/>
          </w:tcPr>
          <w:p>
            <w:pPr>
              <w:pageBreakBefore w:val="0"/>
              <w:kinsoku/>
              <w:overflowPunct/>
              <w:topLinePunct w:val="0"/>
              <w:bidi w:val="0"/>
              <w:spacing w:beforeAutospacing="0" w:afterAutospacing="0" w:line="360" w:lineRule="auto"/>
              <w:ind w:firstLine="1155" w:firstLineChars="55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vAlign w:val="center"/>
          </w:tcPr>
          <w:p>
            <w:pPr>
              <w:pageBreakBefore w:val="0"/>
              <w:widowControl/>
              <w:kinsoku/>
              <w:overflowPunct/>
              <w:topLinePunct w:val="0"/>
              <w:bidi w:val="0"/>
              <w:snapToGrid w:val="0"/>
              <w:spacing w:beforeAutospacing="0" w:afterAutospacing="0" w:line="360" w:lineRule="auto"/>
              <w:jc w:val="center"/>
              <w:rPr>
                <w:rFonts w:ascii="宋体" w:hAnsi="宋体"/>
                <w:color w:val="auto"/>
                <w:szCs w:val="21"/>
                <w:highlight w:val="none"/>
              </w:rPr>
            </w:pPr>
            <w:r>
              <w:rPr>
                <w:rFonts w:hint="eastAsia" w:ascii="宋体" w:hAnsi="宋体" w:cs="宋体"/>
                <w:color w:val="auto"/>
                <w:kern w:val="0"/>
                <w:szCs w:val="21"/>
                <w:highlight w:val="none"/>
              </w:rPr>
              <w:t>投标有效期</w:t>
            </w:r>
          </w:p>
        </w:tc>
        <w:tc>
          <w:tcPr>
            <w:tcW w:w="7708" w:type="dxa"/>
            <w:vAlign w:val="bottom"/>
          </w:tcPr>
          <w:p>
            <w:pPr>
              <w:pageBreakBefore w:val="0"/>
              <w:kinsoku/>
              <w:overflowPunct/>
              <w:topLinePunct w:val="0"/>
              <w:bidi w:val="0"/>
              <w:spacing w:beforeAutospacing="0" w:afterAutospacing="0" w:line="360" w:lineRule="auto"/>
              <w:ind w:firstLine="1155" w:firstLineChars="55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vAlign w:val="center"/>
          </w:tcPr>
          <w:p>
            <w:pPr>
              <w:pageBreakBefore w:val="0"/>
              <w:kinsoku/>
              <w:overflowPunct/>
              <w:topLinePunct w:val="0"/>
              <w:bidi w:val="0"/>
              <w:spacing w:beforeAutospacing="0" w:afterAutospacing="0" w:line="360" w:lineRule="auto"/>
              <w:jc w:val="center"/>
              <w:rPr>
                <w:rFonts w:ascii="宋体" w:hAnsi="宋体"/>
                <w:color w:val="auto"/>
                <w:szCs w:val="21"/>
                <w:highlight w:val="none"/>
              </w:rPr>
            </w:pPr>
            <w:r>
              <w:rPr>
                <w:rFonts w:hint="eastAsia" w:ascii="宋体" w:hAnsi="宋体"/>
                <w:color w:val="auto"/>
                <w:szCs w:val="21"/>
                <w:highlight w:val="none"/>
              </w:rPr>
              <w:t>质量标准</w:t>
            </w:r>
          </w:p>
        </w:tc>
        <w:tc>
          <w:tcPr>
            <w:tcW w:w="7708" w:type="dxa"/>
            <w:vAlign w:val="bottom"/>
          </w:tcPr>
          <w:p>
            <w:pPr>
              <w:pageBreakBefore w:val="0"/>
              <w:kinsoku/>
              <w:overflowPunct/>
              <w:topLinePunct w:val="0"/>
              <w:bidi w:val="0"/>
              <w:spacing w:beforeAutospacing="0" w:afterAutospacing="0" w:line="360" w:lineRule="auto"/>
              <w:ind w:firstLine="1155" w:firstLineChars="550"/>
              <w:rPr>
                <w:rFonts w:ascii="宋体" w:hAnsi="宋体"/>
                <w:color w:val="auto"/>
                <w:szCs w:val="21"/>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vAlign w:val="center"/>
          </w:tcPr>
          <w:p>
            <w:pPr>
              <w:pageBreakBefore w:val="0"/>
              <w:kinsoku/>
              <w:overflowPunct/>
              <w:topLinePunct w:val="0"/>
              <w:bidi w:val="0"/>
              <w:spacing w:beforeAutospacing="0" w:afterAutospacing="0" w:line="360" w:lineRule="auto"/>
              <w:jc w:val="center"/>
              <w:rPr>
                <w:rFonts w:ascii="宋体" w:hAnsi="宋体"/>
                <w:color w:val="auto"/>
                <w:szCs w:val="21"/>
                <w:highlight w:val="none"/>
              </w:rPr>
            </w:pPr>
            <w:r>
              <w:rPr>
                <w:rFonts w:hint="eastAsia" w:ascii="宋体" w:hAnsi="宋体"/>
                <w:color w:val="auto"/>
                <w:szCs w:val="21"/>
                <w:highlight w:val="none"/>
              </w:rPr>
              <w:t>备  注</w:t>
            </w:r>
          </w:p>
        </w:tc>
        <w:tc>
          <w:tcPr>
            <w:tcW w:w="7708" w:type="dxa"/>
            <w:vAlign w:val="center"/>
          </w:tcPr>
          <w:p>
            <w:pPr>
              <w:pStyle w:val="20"/>
              <w:pageBreakBefore w:val="0"/>
              <w:kinsoku/>
              <w:overflowPunct/>
              <w:topLinePunct w:val="0"/>
              <w:bidi w:val="0"/>
              <w:spacing w:beforeAutospacing="0" w:afterAutospacing="0" w:line="360" w:lineRule="auto"/>
              <w:ind w:left="0" w:leftChars="0"/>
              <w:rPr>
                <w:color w:val="auto"/>
                <w:sz w:val="21"/>
                <w:szCs w:val="21"/>
                <w:highlight w:val="none"/>
              </w:rPr>
            </w:pPr>
          </w:p>
        </w:tc>
      </w:tr>
    </w:tbl>
    <w:p>
      <w:pPr>
        <w:pageBreakBefore w:val="0"/>
        <w:kinsoku/>
        <w:overflowPunct/>
        <w:topLinePunct w:val="0"/>
        <w:bidi w:val="0"/>
        <w:spacing w:beforeAutospacing="0" w:afterAutospacing="0"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注: 1、报价一经涂改，应在涂改处加盖单位公章或投标人代表签字或盖章，否则其投标作无效标处理。</w:t>
      </w:r>
    </w:p>
    <w:p>
      <w:pPr>
        <w:pageBreakBefore w:val="0"/>
        <w:kinsoku/>
        <w:overflowPunct/>
        <w:topLinePunct w:val="0"/>
        <w:bidi w:val="0"/>
        <w:spacing w:beforeAutospacing="0" w:afterAutospacing="0"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2、以上报价应与“报价明细表”中的报价相一致。</w:t>
      </w:r>
    </w:p>
    <w:p>
      <w:pPr>
        <w:pageBreakBefore w:val="0"/>
        <w:kinsoku/>
        <w:overflowPunct/>
        <w:topLinePunct w:val="0"/>
        <w:bidi w:val="0"/>
        <w:spacing w:beforeAutospacing="0" w:afterAutospacing="0"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3、凡认为所投产品符合价格折扣条件的，在相应的产品的“备注”栏内注明符合何种折扣条件。</w:t>
      </w:r>
    </w:p>
    <w:p>
      <w:pPr>
        <w:pageBreakBefore w:val="0"/>
        <w:kinsoku/>
        <w:overflowPunct/>
        <w:topLinePunct w:val="0"/>
        <w:bidi w:val="0"/>
        <w:spacing w:beforeAutospacing="0" w:afterAutospacing="0"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4、投标人按格式填列，不得自行更改。否则引起的不利后果由投标人承担。</w:t>
      </w:r>
    </w:p>
    <w:p>
      <w:pPr>
        <w:pageBreakBefore w:val="0"/>
        <w:kinsoku/>
        <w:overflowPunct/>
        <w:topLinePunct w:val="0"/>
        <w:bidi w:val="0"/>
        <w:spacing w:beforeAutospacing="0" w:afterAutospacing="0" w:line="360" w:lineRule="auto"/>
        <w:rPr>
          <w:color w:val="auto"/>
          <w:highlight w:val="none"/>
        </w:rPr>
      </w:pPr>
    </w:p>
    <w:p>
      <w:pPr>
        <w:pageBreakBefore w:val="0"/>
        <w:kinsoku/>
        <w:overflowPunct/>
        <w:topLinePunct w:val="0"/>
        <w:bidi w:val="0"/>
        <w:spacing w:beforeAutospacing="0" w:afterAutospacing="0" w:line="360" w:lineRule="auto"/>
        <w:ind w:firstLine="420" w:firstLineChars="200"/>
        <w:jc w:val="center"/>
        <w:rPr>
          <w:rFonts w:ascii="宋体" w:hAnsi="宋体"/>
          <w:color w:val="auto"/>
          <w:szCs w:val="21"/>
          <w:highlight w:val="none"/>
        </w:rPr>
      </w:pPr>
      <w:r>
        <w:rPr>
          <w:rFonts w:hint="eastAsia" w:ascii="宋体" w:hAnsi="宋体"/>
          <w:color w:val="auto"/>
          <w:szCs w:val="21"/>
          <w:highlight w:val="none"/>
        </w:rPr>
        <w:t>投标人（全称并加盖公章）：</w:t>
      </w:r>
    </w:p>
    <w:p>
      <w:pPr>
        <w:pageBreakBefore w:val="0"/>
        <w:kinsoku/>
        <w:overflowPunct/>
        <w:topLinePunct w:val="0"/>
        <w:bidi w:val="0"/>
        <w:spacing w:beforeAutospacing="0" w:afterAutospacing="0" w:line="360" w:lineRule="auto"/>
        <w:ind w:firstLine="420" w:firstLineChars="200"/>
        <w:jc w:val="center"/>
        <w:rPr>
          <w:rFonts w:ascii="宋体" w:hAnsi="宋体"/>
          <w:color w:val="auto"/>
          <w:szCs w:val="21"/>
          <w:highlight w:val="none"/>
          <w:u w:val="single"/>
        </w:rPr>
      </w:pPr>
      <w:r>
        <w:rPr>
          <w:rFonts w:hint="eastAsia" w:ascii="宋体" w:hAnsi="宋体"/>
          <w:color w:val="auto"/>
          <w:szCs w:val="21"/>
          <w:highlight w:val="none"/>
        </w:rPr>
        <w:t>法定代表人或其委托代理人（签字）：</w:t>
      </w:r>
    </w:p>
    <w:p>
      <w:pPr>
        <w:pageBreakBefore w:val="0"/>
        <w:kinsoku/>
        <w:overflowPunct/>
        <w:topLinePunct w:val="0"/>
        <w:bidi w:val="0"/>
        <w:spacing w:beforeAutospacing="0" w:afterAutospacing="0" w:line="360" w:lineRule="auto"/>
        <w:jc w:val="center"/>
        <w:rPr>
          <w:rFonts w:hint="eastAsia" w:ascii="宋体" w:hAnsi="宋体"/>
          <w:color w:val="auto"/>
          <w:szCs w:val="21"/>
          <w:highlight w:val="none"/>
        </w:rPr>
      </w:pPr>
      <w:r>
        <w:rPr>
          <w:rFonts w:hint="eastAsia" w:ascii="宋体" w:hAnsi="宋体"/>
          <w:color w:val="auto"/>
          <w:szCs w:val="21"/>
          <w:highlight w:val="none"/>
        </w:rPr>
        <w:t>年  月  日</w:t>
      </w:r>
    </w:p>
    <w:p>
      <w:pPr>
        <w:pageBreakBefore w:val="0"/>
        <w:kinsoku/>
        <w:overflowPunct/>
        <w:topLinePunct w:val="0"/>
        <w:bidi w:val="0"/>
        <w:spacing w:beforeAutospacing="0" w:afterAutospacing="0" w:line="360" w:lineRule="auto"/>
        <w:jc w:val="center"/>
        <w:rPr>
          <w:rFonts w:hint="eastAsia" w:ascii="宋体" w:hAnsi="宋体"/>
          <w:color w:val="auto"/>
          <w:szCs w:val="21"/>
          <w:highlight w:val="none"/>
        </w:rPr>
      </w:pPr>
    </w:p>
    <w:bookmarkEnd w:id="48"/>
    <w:bookmarkEnd w:id="49"/>
    <w:p>
      <w:pPr>
        <w:pStyle w:val="2"/>
        <w:pageBreakBefore w:val="0"/>
        <w:kinsoku/>
        <w:overflowPunct/>
        <w:topLinePunct w:val="0"/>
        <w:bidi w:val="0"/>
        <w:spacing w:before="0" w:beforeAutospacing="0" w:after="0" w:afterAutospacing="0" w:line="360" w:lineRule="auto"/>
        <w:rPr>
          <w:rFonts w:hint="eastAsia" w:ascii="宋体" w:hAnsi="宋体" w:eastAsia="宋体" w:cs="宋体"/>
          <w:color w:val="auto"/>
          <w:highlight w:val="none"/>
        </w:rPr>
      </w:pPr>
      <w:bookmarkStart w:id="74" w:name="_Toc22004"/>
      <w:bookmarkStart w:id="75" w:name="_Toc24984"/>
      <w:r>
        <w:rPr>
          <w:rFonts w:hint="eastAsia" w:ascii="宋体" w:hAnsi="宋体" w:eastAsia="宋体" w:cs="宋体"/>
          <w:color w:val="auto"/>
          <w:highlight w:val="none"/>
        </w:rPr>
        <w:t>附件4               报价明细表</w:t>
      </w:r>
      <w:bookmarkEnd w:id="74"/>
      <w:bookmarkEnd w:id="75"/>
    </w:p>
    <w:p>
      <w:pPr>
        <w:pageBreakBefore w:val="0"/>
        <w:widowControl/>
        <w:kinsoku/>
        <w:wordWrap w:val="0"/>
        <w:overflowPunct/>
        <w:topLinePunct w:val="0"/>
        <w:bidi w:val="0"/>
        <w:snapToGrid w:val="0"/>
        <w:spacing w:beforeAutospacing="0" w:afterAutospacing="0" w:line="360" w:lineRule="auto"/>
        <w:ind w:left="-3" w:leftChars="-72" w:right="-817" w:rightChars="-389" w:hanging="148" w:hangingChars="62"/>
        <w:jc w:val="left"/>
        <w:rPr>
          <w:rFonts w:ascii="宋体" w:hAnsi="宋体" w:cs="宋体"/>
          <w:color w:val="auto"/>
          <w:kern w:val="0"/>
          <w:sz w:val="24"/>
          <w:highlight w:val="none"/>
        </w:rPr>
      </w:pPr>
      <w:r>
        <w:rPr>
          <w:rFonts w:hint="eastAsia" w:cs="宋体"/>
          <w:color w:val="auto"/>
          <w:kern w:val="0"/>
          <w:sz w:val="24"/>
          <w:highlight w:val="none"/>
          <w:lang w:val="en-US" w:eastAsia="zh-CN"/>
        </w:rPr>
        <w:t xml:space="preserve">                               </w:t>
      </w:r>
      <w:r>
        <w:rPr>
          <w:rFonts w:hint="eastAsia" w:ascii="宋体" w:hAnsi="宋体" w:cs="宋体"/>
          <w:color w:val="auto"/>
          <w:kern w:val="0"/>
          <w:sz w:val="24"/>
          <w:highlight w:val="none"/>
        </w:rPr>
        <w:t xml:space="preserve">                       金额单位：人民币（元）</w:t>
      </w:r>
    </w:p>
    <w:tbl>
      <w:tblPr>
        <w:tblStyle w:val="32"/>
        <w:tblW w:w="899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40"/>
        <w:gridCol w:w="2012"/>
        <w:gridCol w:w="1172"/>
        <w:gridCol w:w="1494"/>
        <w:gridCol w:w="1026"/>
        <w:gridCol w:w="1127"/>
        <w:gridCol w:w="161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4" w:hRule="atLeast"/>
          <w:jc w:val="center"/>
        </w:trPr>
        <w:tc>
          <w:tcPr>
            <w:tcW w:w="540" w:type="dxa"/>
            <w:tcBorders>
              <w:top w:val="single" w:color="auto" w:sz="4" w:space="0"/>
              <w:left w:val="single" w:color="auto" w:sz="4" w:space="0"/>
              <w:bottom w:val="nil"/>
              <w:right w:val="single" w:color="auto" w:sz="4" w:space="0"/>
            </w:tcBorders>
            <w:vAlign w:val="center"/>
          </w:tcPr>
          <w:p>
            <w:pPr>
              <w:pageBreakBefore w:val="0"/>
              <w:widowControl/>
              <w:tabs>
                <w:tab w:val="left" w:pos="1418"/>
              </w:tabs>
              <w:kinsoku/>
              <w:overflowPunct/>
              <w:topLinePunct w:val="0"/>
              <w:bidi w:val="0"/>
              <w:snapToGrid w:val="0"/>
              <w:spacing w:beforeAutospacing="0" w:afterAutospacing="0" w:line="360" w:lineRule="auto"/>
              <w:jc w:val="center"/>
              <w:rPr>
                <w:rFonts w:ascii="宋体" w:hAnsi="宋体" w:cs="宋体"/>
                <w:color w:val="auto"/>
                <w:spacing w:val="20"/>
                <w:kern w:val="0"/>
                <w:sz w:val="24"/>
                <w:highlight w:val="none"/>
              </w:rPr>
            </w:pPr>
            <w:r>
              <w:rPr>
                <w:rFonts w:hint="eastAsia" w:ascii="宋体" w:hAnsi="宋体" w:cs="宋体"/>
                <w:color w:val="auto"/>
                <w:kern w:val="0"/>
                <w:sz w:val="24"/>
                <w:highlight w:val="none"/>
              </w:rPr>
              <w:t>序号</w:t>
            </w:r>
          </w:p>
        </w:tc>
        <w:tc>
          <w:tcPr>
            <w:tcW w:w="2012" w:type="dxa"/>
            <w:tcBorders>
              <w:top w:val="single" w:color="auto" w:sz="4" w:space="0"/>
              <w:left w:val="single" w:color="auto" w:sz="4" w:space="0"/>
              <w:bottom w:val="nil"/>
              <w:right w:val="single" w:color="auto" w:sz="4" w:space="0"/>
            </w:tcBorders>
            <w:vAlign w:val="center"/>
          </w:tcPr>
          <w:p>
            <w:pPr>
              <w:pageBreakBefore w:val="0"/>
              <w:widowControl/>
              <w:kinsoku/>
              <w:overflowPunct/>
              <w:topLinePunct w:val="0"/>
              <w:bidi w:val="0"/>
              <w:snapToGrid w:val="0"/>
              <w:spacing w:beforeAutospacing="0" w:afterAutospacing="0"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货物名称</w:t>
            </w:r>
          </w:p>
        </w:tc>
        <w:tc>
          <w:tcPr>
            <w:tcW w:w="1172" w:type="dxa"/>
            <w:tcBorders>
              <w:top w:val="single" w:color="auto" w:sz="4" w:space="0"/>
              <w:left w:val="single" w:color="auto" w:sz="4" w:space="0"/>
              <w:bottom w:val="nil"/>
              <w:right w:val="single" w:color="auto" w:sz="4" w:space="0"/>
            </w:tcBorders>
            <w:vAlign w:val="center"/>
          </w:tcPr>
          <w:p>
            <w:pPr>
              <w:pageBreakBefore w:val="0"/>
              <w:widowControl/>
              <w:tabs>
                <w:tab w:val="left" w:pos="1418"/>
              </w:tabs>
              <w:kinsoku/>
              <w:overflowPunct/>
              <w:topLinePunct w:val="0"/>
              <w:bidi w:val="0"/>
              <w:snapToGrid w:val="0"/>
              <w:spacing w:beforeAutospacing="0" w:afterAutospacing="0" w:line="360" w:lineRule="auto"/>
              <w:jc w:val="center"/>
              <w:rPr>
                <w:rFonts w:hint="default" w:ascii="宋体" w:hAnsi="宋体" w:eastAsia="宋体" w:cs="宋体"/>
                <w:color w:val="auto"/>
                <w:kern w:val="0"/>
                <w:sz w:val="24"/>
                <w:highlight w:val="none"/>
                <w:lang w:val="en-US" w:eastAsia="zh-CN"/>
              </w:rPr>
            </w:pPr>
            <w:r>
              <w:rPr>
                <w:rFonts w:hint="eastAsia" w:ascii="宋体" w:hAnsi="宋体" w:cs="宋体"/>
                <w:color w:val="auto"/>
                <w:kern w:val="0"/>
                <w:sz w:val="24"/>
                <w:highlight w:val="none"/>
                <w:lang w:val="en-US" w:eastAsia="zh-CN"/>
              </w:rPr>
              <w:t>品牌</w:t>
            </w:r>
          </w:p>
        </w:tc>
        <w:tc>
          <w:tcPr>
            <w:tcW w:w="1494" w:type="dxa"/>
            <w:tcBorders>
              <w:top w:val="single" w:color="auto" w:sz="4" w:space="0"/>
              <w:left w:val="single" w:color="auto" w:sz="4" w:space="0"/>
              <w:bottom w:val="nil"/>
              <w:right w:val="single" w:color="auto" w:sz="4" w:space="0"/>
            </w:tcBorders>
            <w:vAlign w:val="center"/>
          </w:tcPr>
          <w:p>
            <w:pPr>
              <w:pageBreakBefore w:val="0"/>
              <w:widowControl/>
              <w:tabs>
                <w:tab w:val="left" w:pos="1418"/>
              </w:tabs>
              <w:kinsoku/>
              <w:overflowPunct/>
              <w:topLinePunct w:val="0"/>
              <w:bidi w:val="0"/>
              <w:snapToGrid w:val="0"/>
              <w:spacing w:beforeAutospacing="0" w:afterAutospacing="0" w:line="360" w:lineRule="auto"/>
              <w:jc w:val="center"/>
              <w:rPr>
                <w:rFonts w:hint="default" w:ascii="宋体" w:hAnsi="宋体" w:eastAsia="宋体" w:cs="宋体"/>
                <w:color w:val="auto"/>
                <w:spacing w:val="20"/>
                <w:kern w:val="0"/>
                <w:sz w:val="24"/>
                <w:highlight w:val="none"/>
                <w:lang w:val="en-US" w:eastAsia="zh-CN"/>
              </w:rPr>
            </w:pPr>
            <w:r>
              <w:rPr>
                <w:rFonts w:hint="eastAsia" w:ascii="宋体" w:hAnsi="宋体" w:cs="宋体"/>
                <w:color w:val="auto"/>
                <w:kern w:val="0"/>
                <w:sz w:val="24"/>
                <w:highlight w:val="none"/>
              </w:rPr>
              <w:t>规格/</w:t>
            </w:r>
            <w:r>
              <w:rPr>
                <w:rFonts w:hint="eastAsia" w:ascii="宋体" w:hAnsi="宋体" w:cs="宋体"/>
                <w:color w:val="auto"/>
                <w:kern w:val="0"/>
                <w:sz w:val="24"/>
                <w:highlight w:val="none"/>
                <w:lang w:val="en-US" w:eastAsia="zh-CN"/>
              </w:rPr>
              <w:t>型号</w:t>
            </w:r>
          </w:p>
        </w:tc>
        <w:tc>
          <w:tcPr>
            <w:tcW w:w="1026" w:type="dxa"/>
            <w:tcBorders>
              <w:top w:val="single" w:color="auto" w:sz="4" w:space="0"/>
              <w:left w:val="single" w:color="auto" w:sz="4" w:space="0"/>
              <w:bottom w:val="nil"/>
              <w:right w:val="single" w:color="auto" w:sz="4" w:space="0"/>
            </w:tcBorders>
            <w:vAlign w:val="center"/>
          </w:tcPr>
          <w:p>
            <w:pPr>
              <w:pageBreakBefore w:val="0"/>
              <w:widowControl/>
              <w:tabs>
                <w:tab w:val="left" w:pos="1418"/>
              </w:tabs>
              <w:kinsoku/>
              <w:overflowPunct/>
              <w:topLinePunct w:val="0"/>
              <w:bidi w:val="0"/>
              <w:snapToGrid w:val="0"/>
              <w:spacing w:beforeAutospacing="0" w:afterAutospacing="0" w:line="360" w:lineRule="auto"/>
              <w:jc w:val="center"/>
              <w:rPr>
                <w:rFonts w:ascii="宋体" w:hAnsi="宋体" w:cs="宋体"/>
                <w:color w:val="auto"/>
                <w:spacing w:val="20"/>
                <w:kern w:val="0"/>
                <w:sz w:val="24"/>
                <w:highlight w:val="none"/>
              </w:rPr>
            </w:pPr>
            <w:r>
              <w:rPr>
                <w:rFonts w:hint="eastAsia" w:ascii="宋体" w:hAnsi="宋体" w:cs="宋体"/>
                <w:color w:val="auto"/>
                <w:kern w:val="0"/>
                <w:sz w:val="24"/>
                <w:highlight w:val="none"/>
              </w:rPr>
              <w:t>单位</w:t>
            </w:r>
          </w:p>
        </w:tc>
        <w:tc>
          <w:tcPr>
            <w:tcW w:w="1127" w:type="dxa"/>
            <w:tcBorders>
              <w:top w:val="single" w:color="auto" w:sz="4" w:space="0"/>
              <w:left w:val="single" w:color="auto" w:sz="4" w:space="0"/>
              <w:bottom w:val="nil"/>
              <w:right w:val="single" w:color="auto" w:sz="4" w:space="0"/>
            </w:tcBorders>
            <w:vAlign w:val="center"/>
          </w:tcPr>
          <w:p>
            <w:pPr>
              <w:pageBreakBefore w:val="0"/>
              <w:widowControl/>
              <w:tabs>
                <w:tab w:val="left" w:pos="1418"/>
              </w:tabs>
              <w:kinsoku/>
              <w:overflowPunct/>
              <w:topLinePunct w:val="0"/>
              <w:bidi w:val="0"/>
              <w:snapToGrid w:val="0"/>
              <w:spacing w:beforeAutospacing="0" w:afterAutospacing="0" w:line="360" w:lineRule="auto"/>
              <w:jc w:val="center"/>
              <w:rPr>
                <w:rFonts w:ascii="宋体" w:hAnsi="宋体" w:cs="宋体"/>
                <w:color w:val="auto"/>
                <w:spacing w:val="20"/>
                <w:kern w:val="0"/>
                <w:sz w:val="24"/>
                <w:highlight w:val="none"/>
              </w:rPr>
            </w:pPr>
            <w:r>
              <w:rPr>
                <w:rFonts w:hint="eastAsia" w:ascii="宋体" w:hAnsi="宋体" w:cs="宋体"/>
                <w:color w:val="auto"/>
                <w:kern w:val="0"/>
                <w:sz w:val="24"/>
                <w:highlight w:val="none"/>
              </w:rPr>
              <w:t>数量</w:t>
            </w:r>
          </w:p>
        </w:tc>
        <w:tc>
          <w:tcPr>
            <w:tcW w:w="1619" w:type="dxa"/>
            <w:tcBorders>
              <w:top w:val="single" w:color="auto" w:sz="4" w:space="0"/>
              <w:left w:val="single" w:color="auto" w:sz="4" w:space="0"/>
              <w:bottom w:val="nil"/>
              <w:right w:val="single" w:color="auto" w:sz="4" w:space="0"/>
            </w:tcBorders>
            <w:vAlign w:val="center"/>
          </w:tcPr>
          <w:p>
            <w:pPr>
              <w:pageBreakBefore w:val="0"/>
              <w:widowControl/>
              <w:tabs>
                <w:tab w:val="left" w:pos="1418"/>
              </w:tabs>
              <w:kinsoku/>
              <w:overflowPunct/>
              <w:topLinePunct w:val="0"/>
              <w:bidi w:val="0"/>
              <w:snapToGrid w:val="0"/>
              <w:spacing w:beforeAutospacing="0" w:afterAutospacing="0" w:line="360" w:lineRule="auto"/>
              <w:jc w:val="center"/>
              <w:rPr>
                <w:rFonts w:ascii="宋体" w:hAnsi="宋体" w:cs="宋体"/>
                <w:color w:val="auto"/>
                <w:spacing w:val="20"/>
                <w:kern w:val="0"/>
                <w:sz w:val="24"/>
                <w:highlight w:val="none"/>
              </w:rPr>
            </w:pPr>
            <w:r>
              <w:rPr>
                <w:rFonts w:hint="eastAsia" w:ascii="宋体" w:hAnsi="宋体" w:cs="宋体"/>
                <w:color w:val="auto"/>
                <w:kern w:val="0"/>
                <w:sz w:val="24"/>
                <w:highlight w:val="none"/>
              </w:rPr>
              <w:t>单价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540"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ascii="宋体" w:hAnsi="宋体" w:cs="宋体"/>
                <w:color w:val="auto"/>
                <w:spacing w:val="20"/>
                <w:kern w:val="0"/>
                <w:sz w:val="24"/>
                <w:highlight w:val="none"/>
              </w:rPr>
            </w:pPr>
          </w:p>
        </w:tc>
        <w:tc>
          <w:tcPr>
            <w:tcW w:w="2012"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ascii="宋体" w:hAnsi="宋体" w:cs="宋体"/>
                <w:color w:val="auto"/>
                <w:spacing w:val="20"/>
                <w:kern w:val="0"/>
                <w:sz w:val="24"/>
                <w:highlight w:val="none"/>
              </w:rPr>
            </w:pPr>
          </w:p>
        </w:tc>
        <w:tc>
          <w:tcPr>
            <w:tcW w:w="1172"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ascii="宋体" w:hAnsi="宋体" w:cs="宋体"/>
                <w:color w:val="auto"/>
                <w:spacing w:val="20"/>
                <w:kern w:val="0"/>
                <w:sz w:val="24"/>
                <w:highlight w:val="none"/>
              </w:rPr>
            </w:pPr>
          </w:p>
        </w:tc>
        <w:tc>
          <w:tcPr>
            <w:tcW w:w="1494"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ascii="宋体" w:hAnsi="宋体" w:cs="宋体"/>
                <w:color w:val="auto"/>
                <w:spacing w:val="20"/>
                <w:kern w:val="0"/>
                <w:sz w:val="24"/>
                <w:highlight w:val="none"/>
              </w:rPr>
            </w:pPr>
          </w:p>
        </w:tc>
        <w:tc>
          <w:tcPr>
            <w:tcW w:w="1026"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ascii="宋体" w:hAnsi="宋体" w:cs="宋体"/>
                <w:color w:val="auto"/>
                <w:spacing w:val="20"/>
                <w:kern w:val="0"/>
                <w:sz w:val="24"/>
                <w:highlight w:val="none"/>
              </w:rPr>
            </w:pPr>
          </w:p>
        </w:tc>
        <w:tc>
          <w:tcPr>
            <w:tcW w:w="1127"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ascii="宋体" w:hAnsi="宋体" w:cs="宋体"/>
                <w:color w:val="auto"/>
                <w:spacing w:val="20"/>
                <w:kern w:val="0"/>
                <w:sz w:val="24"/>
                <w:highlight w:val="none"/>
              </w:rPr>
            </w:pPr>
          </w:p>
        </w:tc>
        <w:tc>
          <w:tcPr>
            <w:tcW w:w="1619"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ascii="宋体" w:hAnsi="宋体" w:cs="宋体"/>
                <w:color w:val="auto"/>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540"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ascii="宋体" w:hAnsi="宋体" w:cs="宋体"/>
                <w:color w:val="auto"/>
                <w:spacing w:val="20"/>
                <w:kern w:val="0"/>
                <w:sz w:val="24"/>
                <w:highlight w:val="none"/>
              </w:rPr>
            </w:pPr>
          </w:p>
        </w:tc>
        <w:tc>
          <w:tcPr>
            <w:tcW w:w="2012"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ascii="宋体" w:hAnsi="宋体" w:cs="宋体"/>
                <w:color w:val="auto"/>
                <w:spacing w:val="20"/>
                <w:kern w:val="0"/>
                <w:sz w:val="24"/>
                <w:highlight w:val="none"/>
              </w:rPr>
            </w:pPr>
          </w:p>
        </w:tc>
        <w:tc>
          <w:tcPr>
            <w:tcW w:w="1172"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ascii="宋体" w:hAnsi="宋体" w:cs="宋体"/>
                <w:color w:val="auto"/>
                <w:spacing w:val="20"/>
                <w:kern w:val="0"/>
                <w:sz w:val="24"/>
                <w:highlight w:val="none"/>
              </w:rPr>
            </w:pPr>
          </w:p>
        </w:tc>
        <w:tc>
          <w:tcPr>
            <w:tcW w:w="1494"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ascii="宋体" w:hAnsi="宋体" w:cs="宋体"/>
                <w:color w:val="auto"/>
                <w:spacing w:val="20"/>
                <w:kern w:val="0"/>
                <w:sz w:val="24"/>
                <w:highlight w:val="none"/>
              </w:rPr>
            </w:pPr>
          </w:p>
        </w:tc>
        <w:tc>
          <w:tcPr>
            <w:tcW w:w="1026"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ascii="宋体" w:hAnsi="宋体" w:cs="宋体"/>
                <w:color w:val="auto"/>
                <w:spacing w:val="20"/>
                <w:kern w:val="0"/>
                <w:sz w:val="24"/>
                <w:highlight w:val="none"/>
              </w:rPr>
            </w:pPr>
          </w:p>
        </w:tc>
        <w:tc>
          <w:tcPr>
            <w:tcW w:w="1127"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ascii="宋体" w:hAnsi="宋体" w:cs="宋体"/>
                <w:color w:val="auto"/>
                <w:spacing w:val="20"/>
                <w:kern w:val="0"/>
                <w:sz w:val="24"/>
                <w:highlight w:val="none"/>
              </w:rPr>
            </w:pPr>
          </w:p>
        </w:tc>
        <w:tc>
          <w:tcPr>
            <w:tcW w:w="1619"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ascii="宋体" w:hAnsi="宋体" w:cs="宋体"/>
                <w:color w:val="auto"/>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540"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ascii="宋体" w:hAnsi="宋体" w:cs="宋体"/>
                <w:color w:val="auto"/>
                <w:spacing w:val="20"/>
                <w:kern w:val="0"/>
                <w:sz w:val="24"/>
                <w:highlight w:val="none"/>
              </w:rPr>
            </w:pPr>
          </w:p>
        </w:tc>
        <w:tc>
          <w:tcPr>
            <w:tcW w:w="2012"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ascii="宋体" w:hAnsi="宋体" w:cs="宋体"/>
                <w:color w:val="auto"/>
                <w:spacing w:val="20"/>
                <w:kern w:val="0"/>
                <w:sz w:val="24"/>
                <w:highlight w:val="none"/>
              </w:rPr>
            </w:pPr>
          </w:p>
        </w:tc>
        <w:tc>
          <w:tcPr>
            <w:tcW w:w="1172"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ascii="宋体" w:hAnsi="宋体" w:cs="宋体"/>
                <w:color w:val="auto"/>
                <w:spacing w:val="20"/>
                <w:kern w:val="0"/>
                <w:sz w:val="24"/>
                <w:highlight w:val="none"/>
              </w:rPr>
            </w:pPr>
          </w:p>
        </w:tc>
        <w:tc>
          <w:tcPr>
            <w:tcW w:w="1494"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ascii="宋体" w:hAnsi="宋体" w:cs="宋体"/>
                <w:color w:val="auto"/>
                <w:spacing w:val="20"/>
                <w:kern w:val="0"/>
                <w:sz w:val="24"/>
                <w:highlight w:val="none"/>
              </w:rPr>
            </w:pPr>
          </w:p>
        </w:tc>
        <w:tc>
          <w:tcPr>
            <w:tcW w:w="1026"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ascii="宋体" w:hAnsi="宋体" w:cs="宋体"/>
                <w:color w:val="auto"/>
                <w:spacing w:val="20"/>
                <w:kern w:val="0"/>
                <w:sz w:val="24"/>
                <w:highlight w:val="none"/>
              </w:rPr>
            </w:pPr>
          </w:p>
        </w:tc>
        <w:tc>
          <w:tcPr>
            <w:tcW w:w="1127"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ascii="宋体" w:hAnsi="宋体" w:cs="宋体"/>
                <w:color w:val="auto"/>
                <w:spacing w:val="20"/>
                <w:kern w:val="0"/>
                <w:sz w:val="24"/>
                <w:highlight w:val="none"/>
              </w:rPr>
            </w:pPr>
          </w:p>
        </w:tc>
        <w:tc>
          <w:tcPr>
            <w:tcW w:w="1619"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ascii="宋体" w:hAnsi="宋体" w:cs="宋体"/>
                <w:color w:val="auto"/>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540"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ascii="宋体" w:hAnsi="宋体" w:cs="宋体"/>
                <w:color w:val="auto"/>
                <w:spacing w:val="20"/>
                <w:kern w:val="0"/>
                <w:sz w:val="24"/>
                <w:highlight w:val="none"/>
              </w:rPr>
            </w:pPr>
          </w:p>
        </w:tc>
        <w:tc>
          <w:tcPr>
            <w:tcW w:w="2012"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ascii="宋体" w:hAnsi="宋体" w:cs="宋体"/>
                <w:color w:val="auto"/>
                <w:spacing w:val="20"/>
                <w:kern w:val="0"/>
                <w:sz w:val="24"/>
                <w:highlight w:val="none"/>
              </w:rPr>
            </w:pPr>
          </w:p>
        </w:tc>
        <w:tc>
          <w:tcPr>
            <w:tcW w:w="1172"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ascii="宋体" w:hAnsi="宋体" w:cs="宋体"/>
                <w:color w:val="auto"/>
                <w:spacing w:val="20"/>
                <w:kern w:val="0"/>
                <w:sz w:val="24"/>
                <w:highlight w:val="none"/>
              </w:rPr>
            </w:pPr>
          </w:p>
        </w:tc>
        <w:tc>
          <w:tcPr>
            <w:tcW w:w="1494"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ascii="宋体" w:hAnsi="宋体" w:cs="宋体"/>
                <w:color w:val="auto"/>
                <w:spacing w:val="20"/>
                <w:kern w:val="0"/>
                <w:sz w:val="24"/>
                <w:highlight w:val="none"/>
              </w:rPr>
            </w:pPr>
          </w:p>
        </w:tc>
        <w:tc>
          <w:tcPr>
            <w:tcW w:w="1026"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ascii="宋体" w:hAnsi="宋体" w:cs="宋体"/>
                <w:color w:val="auto"/>
                <w:spacing w:val="20"/>
                <w:kern w:val="0"/>
                <w:sz w:val="24"/>
                <w:highlight w:val="none"/>
              </w:rPr>
            </w:pPr>
          </w:p>
        </w:tc>
        <w:tc>
          <w:tcPr>
            <w:tcW w:w="1127"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ascii="宋体" w:hAnsi="宋体" w:cs="宋体"/>
                <w:color w:val="auto"/>
                <w:spacing w:val="20"/>
                <w:kern w:val="0"/>
                <w:sz w:val="24"/>
                <w:highlight w:val="none"/>
              </w:rPr>
            </w:pPr>
          </w:p>
        </w:tc>
        <w:tc>
          <w:tcPr>
            <w:tcW w:w="1619"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ascii="宋体" w:hAnsi="宋体" w:cs="宋体"/>
                <w:color w:val="auto"/>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540"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ascii="宋体" w:hAnsi="宋体" w:cs="宋体"/>
                <w:color w:val="auto"/>
                <w:spacing w:val="20"/>
                <w:kern w:val="0"/>
                <w:sz w:val="24"/>
                <w:highlight w:val="none"/>
              </w:rPr>
            </w:pPr>
          </w:p>
        </w:tc>
        <w:tc>
          <w:tcPr>
            <w:tcW w:w="2012"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ascii="宋体" w:hAnsi="宋体" w:cs="宋体"/>
                <w:color w:val="auto"/>
                <w:spacing w:val="20"/>
                <w:kern w:val="0"/>
                <w:sz w:val="24"/>
                <w:highlight w:val="none"/>
              </w:rPr>
            </w:pPr>
          </w:p>
        </w:tc>
        <w:tc>
          <w:tcPr>
            <w:tcW w:w="1172"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ascii="宋体" w:hAnsi="宋体" w:cs="宋体"/>
                <w:color w:val="auto"/>
                <w:spacing w:val="20"/>
                <w:kern w:val="0"/>
                <w:sz w:val="24"/>
                <w:highlight w:val="none"/>
              </w:rPr>
            </w:pPr>
          </w:p>
        </w:tc>
        <w:tc>
          <w:tcPr>
            <w:tcW w:w="1494"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ascii="宋体" w:hAnsi="宋体" w:cs="宋体"/>
                <w:color w:val="auto"/>
                <w:spacing w:val="20"/>
                <w:kern w:val="0"/>
                <w:sz w:val="24"/>
                <w:highlight w:val="none"/>
              </w:rPr>
            </w:pPr>
          </w:p>
        </w:tc>
        <w:tc>
          <w:tcPr>
            <w:tcW w:w="1026"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ascii="宋体" w:hAnsi="宋体" w:cs="宋体"/>
                <w:color w:val="auto"/>
                <w:spacing w:val="20"/>
                <w:kern w:val="0"/>
                <w:sz w:val="24"/>
                <w:highlight w:val="none"/>
              </w:rPr>
            </w:pPr>
          </w:p>
        </w:tc>
        <w:tc>
          <w:tcPr>
            <w:tcW w:w="1127"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ascii="宋体" w:hAnsi="宋体" w:cs="宋体"/>
                <w:color w:val="auto"/>
                <w:spacing w:val="20"/>
                <w:kern w:val="0"/>
                <w:sz w:val="24"/>
                <w:highlight w:val="none"/>
              </w:rPr>
            </w:pPr>
          </w:p>
        </w:tc>
        <w:tc>
          <w:tcPr>
            <w:tcW w:w="1619"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ascii="宋体" w:hAnsi="宋体" w:cs="宋体"/>
                <w:color w:val="auto"/>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540"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ascii="宋体" w:hAnsi="宋体" w:cs="宋体"/>
                <w:color w:val="auto"/>
                <w:spacing w:val="20"/>
                <w:kern w:val="0"/>
                <w:sz w:val="24"/>
                <w:highlight w:val="none"/>
              </w:rPr>
            </w:pPr>
          </w:p>
        </w:tc>
        <w:tc>
          <w:tcPr>
            <w:tcW w:w="2012"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ascii="宋体" w:hAnsi="宋体" w:cs="宋体"/>
                <w:color w:val="auto"/>
                <w:spacing w:val="20"/>
                <w:kern w:val="0"/>
                <w:sz w:val="24"/>
                <w:highlight w:val="none"/>
              </w:rPr>
            </w:pPr>
          </w:p>
        </w:tc>
        <w:tc>
          <w:tcPr>
            <w:tcW w:w="1172"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ascii="宋体" w:hAnsi="宋体" w:cs="宋体"/>
                <w:color w:val="auto"/>
                <w:spacing w:val="20"/>
                <w:kern w:val="0"/>
                <w:sz w:val="24"/>
                <w:highlight w:val="none"/>
              </w:rPr>
            </w:pPr>
          </w:p>
        </w:tc>
        <w:tc>
          <w:tcPr>
            <w:tcW w:w="1494"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ascii="宋体" w:hAnsi="宋体" w:cs="宋体"/>
                <w:color w:val="auto"/>
                <w:spacing w:val="20"/>
                <w:kern w:val="0"/>
                <w:sz w:val="24"/>
                <w:highlight w:val="none"/>
              </w:rPr>
            </w:pPr>
          </w:p>
        </w:tc>
        <w:tc>
          <w:tcPr>
            <w:tcW w:w="1026"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ascii="宋体" w:hAnsi="宋体" w:cs="宋体"/>
                <w:color w:val="auto"/>
                <w:spacing w:val="20"/>
                <w:kern w:val="0"/>
                <w:sz w:val="24"/>
                <w:highlight w:val="none"/>
              </w:rPr>
            </w:pPr>
          </w:p>
        </w:tc>
        <w:tc>
          <w:tcPr>
            <w:tcW w:w="1127"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ascii="宋体" w:hAnsi="宋体" w:cs="宋体"/>
                <w:color w:val="auto"/>
                <w:spacing w:val="20"/>
                <w:kern w:val="0"/>
                <w:sz w:val="24"/>
                <w:highlight w:val="none"/>
              </w:rPr>
            </w:pPr>
          </w:p>
        </w:tc>
        <w:tc>
          <w:tcPr>
            <w:tcW w:w="1619"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ascii="宋体" w:hAnsi="宋体" w:cs="宋体"/>
                <w:color w:val="auto"/>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540"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ascii="宋体" w:hAnsi="宋体" w:cs="宋体"/>
                <w:color w:val="auto"/>
                <w:spacing w:val="20"/>
                <w:kern w:val="0"/>
                <w:sz w:val="24"/>
                <w:highlight w:val="none"/>
              </w:rPr>
            </w:pPr>
          </w:p>
        </w:tc>
        <w:tc>
          <w:tcPr>
            <w:tcW w:w="2012"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ascii="宋体" w:hAnsi="宋体" w:cs="宋体"/>
                <w:color w:val="auto"/>
                <w:spacing w:val="20"/>
                <w:kern w:val="0"/>
                <w:sz w:val="24"/>
                <w:highlight w:val="none"/>
              </w:rPr>
            </w:pPr>
          </w:p>
        </w:tc>
        <w:tc>
          <w:tcPr>
            <w:tcW w:w="1172"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ascii="宋体" w:hAnsi="宋体" w:cs="宋体"/>
                <w:color w:val="auto"/>
                <w:spacing w:val="20"/>
                <w:kern w:val="0"/>
                <w:sz w:val="24"/>
                <w:highlight w:val="none"/>
              </w:rPr>
            </w:pPr>
          </w:p>
        </w:tc>
        <w:tc>
          <w:tcPr>
            <w:tcW w:w="1494"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ascii="宋体" w:hAnsi="宋体" w:cs="宋体"/>
                <w:color w:val="auto"/>
                <w:spacing w:val="20"/>
                <w:kern w:val="0"/>
                <w:sz w:val="24"/>
                <w:highlight w:val="none"/>
              </w:rPr>
            </w:pPr>
          </w:p>
        </w:tc>
        <w:tc>
          <w:tcPr>
            <w:tcW w:w="1026"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ascii="宋体" w:hAnsi="宋体" w:cs="宋体"/>
                <w:color w:val="auto"/>
                <w:spacing w:val="20"/>
                <w:kern w:val="0"/>
                <w:sz w:val="24"/>
                <w:highlight w:val="none"/>
              </w:rPr>
            </w:pPr>
          </w:p>
        </w:tc>
        <w:tc>
          <w:tcPr>
            <w:tcW w:w="1127"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ascii="宋体" w:hAnsi="宋体" w:cs="宋体"/>
                <w:color w:val="auto"/>
                <w:spacing w:val="20"/>
                <w:kern w:val="0"/>
                <w:sz w:val="24"/>
                <w:highlight w:val="none"/>
              </w:rPr>
            </w:pPr>
          </w:p>
        </w:tc>
        <w:tc>
          <w:tcPr>
            <w:tcW w:w="1619"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ascii="宋体" w:hAnsi="宋体" w:cs="宋体"/>
                <w:color w:val="auto"/>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540"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ascii="宋体" w:hAnsi="宋体" w:cs="宋体"/>
                <w:color w:val="auto"/>
                <w:spacing w:val="20"/>
                <w:kern w:val="0"/>
                <w:sz w:val="24"/>
                <w:highlight w:val="none"/>
              </w:rPr>
            </w:pPr>
          </w:p>
        </w:tc>
        <w:tc>
          <w:tcPr>
            <w:tcW w:w="2012"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ascii="宋体" w:hAnsi="宋体" w:cs="宋体"/>
                <w:color w:val="auto"/>
                <w:spacing w:val="20"/>
                <w:kern w:val="0"/>
                <w:sz w:val="24"/>
                <w:highlight w:val="none"/>
              </w:rPr>
            </w:pPr>
          </w:p>
        </w:tc>
        <w:tc>
          <w:tcPr>
            <w:tcW w:w="1172"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ascii="宋体" w:hAnsi="宋体" w:cs="宋体"/>
                <w:color w:val="auto"/>
                <w:spacing w:val="20"/>
                <w:kern w:val="0"/>
                <w:sz w:val="24"/>
                <w:highlight w:val="none"/>
              </w:rPr>
            </w:pPr>
          </w:p>
        </w:tc>
        <w:tc>
          <w:tcPr>
            <w:tcW w:w="1494"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ascii="宋体" w:hAnsi="宋体" w:cs="宋体"/>
                <w:color w:val="auto"/>
                <w:spacing w:val="20"/>
                <w:kern w:val="0"/>
                <w:sz w:val="24"/>
                <w:highlight w:val="none"/>
              </w:rPr>
            </w:pPr>
          </w:p>
        </w:tc>
        <w:tc>
          <w:tcPr>
            <w:tcW w:w="1026"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ascii="宋体" w:hAnsi="宋体" w:cs="宋体"/>
                <w:color w:val="auto"/>
                <w:spacing w:val="20"/>
                <w:kern w:val="0"/>
                <w:sz w:val="24"/>
                <w:highlight w:val="none"/>
              </w:rPr>
            </w:pPr>
          </w:p>
        </w:tc>
        <w:tc>
          <w:tcPr>
            <w:tcW w:w="1127"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ascii="宋体" w:hAnsi="宋体" w:cs="宋体"/>
                <w:color w:val="auto"/>
                <w:spacing w:val="20"/>
                <w:kern w:val="0"/>
                <w:sz w:val="24"/>
                <w:highlight w:val="none"/>
              </w:rPr>
            </w:pPr>
          </w:p>
        </w:tc>
        <w:tc>
          <w:tcPr>
            <w:tcW w:w="1619"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ascii="宋体" w:hAnsi="宋体" w:cs="宋体"/>
                <w:color w:val="auto"/>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51" w:hRule="atLeast"/>
          <w:jc w:val="center"/>
        </w:trPr>
        <w:tc>
          <w:tcPr>
            <w:tcW w:w="540"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ascii="宋体" w:hAnsi="宋体" w:cs="宋体"/>
                <w:color w:val="auto"/>
                <w:spacing w:val="20"/>
                <w:kern w:val="0"/>
                <w:sz w:val="24"/>
                <w:highlight w:val="none"/>
              </w:rPr>
            </w:pPr>
          </w:p>
        </w:tc>
        <w:tc>
          <w:tcPr>
            <w:tcW w:w="2012"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ascii="宋体" w:hAnsi="宋体" w:cs="宋体"/>
                <w:color w:val="auto"/>
                <w:spacing w:val="20"/>
                <w:kern w:val="0"/>
                <w:sz w:val="24"/>
                <w:highlight w:val="none"/>
              </w:rPr>
            </w:pPr>
            <w:r>
              <w:rPr>
                <w:rFonts w:hint="eastAsia" w:ascii="宋体" w:hAnsi="宋体" w:cs="宋体"/>
                <w:color w:val="auto"/>
                <w:spacing w:val="20"/>
                <w:kern w:val="0"/>
                <w:sz w:val="24"/>
                <w:highlight w:val="none"/>
              </w:rPr>
              <w:t xml:space="preserve">…… </w:t>
            </w:r>
          </w:p>
        </w:tc>
        <w:tc>
          <w:tcPr>
            <w:tcW w:w="1172"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ascii="宋体" w:hAnsi="宋体" w:cs="宋体"/>
                <w:color w:val="auto"/>
                <w:spacing w:val="20"/>
                <w:kern w:val="0"/>
                <w:sz w:val="24"/>
                <w:highlight w:val="none"/>
              </w:rPr>
            </w:pPr>
          </w:p>
        </w:tc>
        <w:tc>
          <w:tcPr>
            <w:tcW w:w="1494"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ascii="宋体" w:hAnsi="宋体" w:cs="宋体"/>
                <w:color w:val="auto"/>
                <w:spacing w:val="20"/>
                <w:kern w:val="0"/>
                <w:sz w:val="24"/>
                <w:highlight w:val="none"/>
              </w:rPr>
            </w:pPr>
          </w:p>
        </w:tc>
        <w:tc>
          <w:tcPr>
            <w:tcW w:w="1026"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ascii="宋体" w:hAnsi="宋体" w:cs="宋体"/>
                <w:color w:val="auto"/>
                <w:spacing w:val="20"/>
                <w:kern w:val="0"/>
                <w:sz w:val="24"/>
                <w:highlight w:val="none"/>
              </w:rPr>
            </w:pPr>
          </w:p>
        </w:tc>
        <w:tc>
          <w:tcPr>
            <w:tcW w:w="1127"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ascii="宋体" w:hAnsi="宋体" w:cs="宋体"/>
                <w:color w:val="auto"/>
                <w:spacing w:val="20"/>
                <w:kern w:val="0"/>
                <w:sz w:val="24"/>
                <w:highlight w:val="none"/>
              </w:rPr>
            </w:pPr>
          </w:p>
        </w:tc>
        <w:tc>
          <w:tcPr>
            <w:tcW w:w="1619"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ascii="宋体" w:hAnsi="宋体" w:cs="宋体"/>
                <w:color w:val="auto"/>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7371" w:type="dxa"/>
            <w:gridSpan w:val="6"/>
            <w:tcBorders>
              <w:top w:val="single" w:color="auto" w:sz="4" w:space="0"/>
              <w:left w:val="single" w:color="auto" w:sz="4" w:space="0"/>
              <w:bottom w:val="single" w:color="auto" w:sz="4" w:space="0"/>
              <w:right w:val="single" w:color="auto" w:sz="4" w:space="0"/>
            </w:tcBorders>
            <w:vAlign w:val="top"/>
          </w:tcPr>
          <w:p>
            <w:pPr>
              <w:pageBreakBefore w:val="0"/>
              <w:widowControl/>
              <w:tabs>
                <w:tab w:val="left" w:pos="1418"/>
              </w:tabs>
              <w:kinsoku/>
              <w:overflowPunct/>
              <w:topLinePunct w:val="0"/>
              <w:bidi w:val="0"/>
              <w:snapToGrid w:val="0"/>
              <w:spacing w:beforeAutospacing="0" w:afterAutospacing="0" w:line="360" w:lineRule="auto"/>
              <w:jc w:val="left"/>
              <w:rPr>
                <w:rFonts w:hint="default" w:ascii="宋体" w:hAnsi="宋体" w:eastAsia="宋体" w:cs="宋体"/>
                <w:color w:val="auto"/>
                <w:spacing w:val="20"/>
                <w:kern w:val="0"/>
                <w:sz w:val="24"/>
                <w:highlight w:val="none"/>
                <w:lang w:val="en-US" w:eastAsia="zh-CN"/>
              </w:rPr>
            </w:pPr>
            <w:r>
              <w:rPr>
                <w:rFonts w:hint="eastAsia" w:ascii="宋体" w:hAnsi="宋体" w:cs="宋体"/>
                <w:color w:val="auto"/>
                <w:spacing w:val="20"/>
                <w:kern w:val="0"/>
                <w:sz w:val="24"/>
                <w:highlight w:val="none"/>
              </w:rPr>
              <w:t>投标总价(</w:t>
            </w:r>
            <w:r>
              <w:rPr>
                <w:rFonts w:hint="eastAsia" w:ascii="宋体" w:hAnsi="宋体" w:cs="宋体"/>
                <w:color w:val="auto"/>
                <w:kern w:val="0"/>
                <w:sz w:val="24"/>
                <w:szCs w:val="21"/>
                <w:highlight w:val="none"/>
              </w:rPr>
              <w:t>大写)：</w:t>
            </w:r>
          </w:p>
        </w:tc>
        <w:tc>
          <w:tcPr>
            <w:tcW w:w="1619" w:type="dxa"/>
            <w:tcBorders>
              <w:top w:val="single" w:color="auto" w:sz="4" w:space="0"/>
              <w:left w:val="single" w:color="auto" w:sz="4" w:space="0"/>
              <w:bottom w:val="single" w:color="auto" w:sz="4" w:space="0"/>
              <w:right w:val="single" w:color="auto" w:sz="4" w:space="0"/>
            </w:tcBorders>
            <w:vAlign w:val="top"/>
          </w:tcPr>
          <w:p>
            <w:pPr>
              <w:pageBreakBefore w:val="0"/>
              <w:widowControl/>
              <w:tabs>
                <w:tab w:val="left" w:pos="1418"/>
              </w:tabs>
              <w:kinsoku/>
              <w:overflowPunct/>
              <w:topLinePunct w:val="0"/>
              <w:bidi w:val="0"/>
              <w:snapToGrid w:val="0"/>
              <w:spacing w:beforeAutospacing="0" w:afterAutospacing="0" w:line="360" w:lineRule="auto"/>
              <w:jc w:val="left"/>
              <w:rPr>
                <w:rFonts w:hint="eastAsia" w:ascii="宋体" w:hAnsi="宋体" w:cs="宋体"/>
                <w:color w:val="auto"/>
                <w:spacing w:val="20"/>
                <w:kern w:val="0"/>
                <w:sz w:val="24"/>
                <w:highlight w:val="none"/>
                <w:lang w:val="en-US" w:eastAsia="zh-CN"/>
              </w:rPr>
            </w:pPr>
            <w:r>
              <w:rPr>
                <w:rFonts w:hint="eastAsia" w:ascii="宋体" w:hAnsi="宋体" w:cs="宋体"/>
                <w:color w:val="auto"/>
                <w:kern w:val="0"/>
                <w:sz w:val="24"/>
                <w:szCs w:val="21"/>
                <w:highlight w:val="none"/>
              </w:rPr>
              <w:t>￥</w:t>
            </w:r>
          </w:p>
        </w:tc>
      </w:tr>
    </w:tbl>
    <w:p>
      <w:pPr>
        <w:pageBreakBefore w:val="0"/>
        <w:widowControl/>
        <w:kinsoku/>
        <w:wordWrap w:val="0"/>
        <w:overflowPunct/>
        <w:topLinePunct w:val="0"/>
        <w:bidi w:val="0"/>
        <w:spacing w:beforeAutospacing="0" w:afterAutospacing="0" w:line="360" w:lineRule="auto"/>
        <w:ind w:firstLine="2760" w:firstLineChars="1150"/>
        <w:jc w:val="left"/>
        <w:rPr>
          <w:rFonts w:ascii="宋体" w:hAnsi="宋体" w:cs="宋体"/>
          <w:color w:val="auto"/>
          <w:kern w:val="0"/>
          <w:sz w:val="24"/>
          <w:highlight w:val="none"/>
        </w:rPr>
      </w:pPr>
    </w:p>
    <w:p>
      <w:pPr>
        <w:pageBreakBefore w:val="0"/>
        <w:widowControl/>
        <w:kinsoku/>
        <w:wordWrap w:val="0"/>
        <w:overflowPunct/>
        <w:topLinePunct w:val="0"/>
        <w:bidi w:val="0"/>
        <w:spacing w:beforeAutospacing="0" w:afterAutospacing="0" w:line="360" w:lineRule="auto"/>
        <w:ind w:firstLine="2760" w:firstLineChars="1150"/>
        <w:jc w:val="left"/>
        <w:rPr>
          <w:rFonts w:ascii="宋体" w:hAnsi="宋体" w:cs="宋体"/>
          <w:color w:val="auto"/>
          <w:kern w:val="0"/>
          <w:sz w:val="24"/>
          <w:highlight w:val="none"/>
        </w:rPr>
      </w:pPr>
    </w:p>
    <w:p>
      <w:pPr>
        <w:pageBreakBefore w:val="0"/>
        <w:widowControl/>
        <w:kinsoku/>
        <w:wordWrap w:val="0"/>
        <w:overflowPunct/>
        <w:topLinePunct w:val="0"/>
        <w:bidi w:val="0"/>
        <w:spacing w:beforeAutospacing="0" w:afterAutospacing="0" w:line="360" w:lineRule="auto"/>
        <w:ind w:firstLine="2760" w:firstLineChars="1150"/>
        <w:jc w:val="left"/>
        <w:rPr>
          <w:rFonts w:ascii="宋体" w:hAnsi="宋体" w:cs="宋体"/>
          <w:color w:val="auto"/>
          <w:kern w:val="0"/>
          <w:sz w:val="24"/>
          <w:highlight w:val="none"/>
        </w:rPr>
      </w:pPr>
    </w:p>
    <w:p>
      <w:pPr>
        <w:pageBreakBefore w:val="0"/>
        <w:widowControl/>
        <w:kinsoku/>
        <w:wordWrap w:val="0"/>
        <w:overflowPunct/>
        <w:topLinePunct w:val="0"/>
        <w:bidi w:val="0"/>
        <w:spacing w:beforeAutospacing="0" w:afterAutospacing="0" w:line="360" w:lineRule="auto"/>
        <w:ind w:firstLine="2760" w:firstLineChars="1150"/>
        <w:jc w:val="left"/>
        <w:rPr>
          <w:rFonts w:ascii="宋体" w:hAnsi="宋体" w:cs="宋体"/>
          <w:color w:val="auto"/>
          <w:kern w:val="0"/>
          <w:sz w:val="24"/>
          <w:highlight w:val="none"/>
        </w:rPr>
      </w:pPr>
    </w:p>
    <w:p>
      <w:pPr>
        <w:pageBreakBefore w:val="0"/>
        <w:widowControl/>
        <w:kinsoku/>
        <w:wordWrap w:val="0"/>
        <w:overflowPunct/>
        <w:topLinePunct w:val="0"/>
        <w:bidi w:val="0"/>
        <w:spacing w:beforeAutospacing="0" w:afterAutospacing="0" w:line="360" w:lineRule="auto"/>
        <w:ind w:firstLine="2760" w:firstLineChars="1150"/>
        <w:jc w:val="left"/>
        <w:rPr>
          <w:rFonts w:ascii="宋体" w:hAnsi="宋体" w:cs="宋体"/>
          <w:color w:val="auto"/>
          <w:kern w:val="0"/>
          <w:sz w:val="24"/>
          <w:highlight w:val="none"/>
        </w:rPr>
      </w:pPr>
    </w:p>
    <w:p>
      <w:pPr>
        <w:pageBreakBefore w:val="0"/>
        <w:widowControl/>
        <w:kinsoku/>
        <w:wordWrap w:val="0"/>
        <w:overflowPunct/>
        <w:topLinePunct w:val="0"/>
        <w:bidi w:val="0"/>
        <w:spacing w:beforeAutospacing="0" w:afterAutospacing="0" w:line="360" w:lineRule="auto"/>
        <w:ind w:firstLine="2760" w:firstLineChars="1150"/>
        <w:jc w:val="left"/>
        <w:rPr>
          <w:rFonts w:ascii="宋体" w:hAnsi="宋体" w:cs="宋体"/>
          <w:color w:val="auto"/>
          <w:kern w:val="0"/>
          <w:sz w:val="24"/>
          <w:highlight w:val="none"/>
        </w:rPr>
      </w:pPr>
    </w:p>
    <w:p>
      <w:pPr>
        <w:pageBreakBefore w:val="0"/>
        <w:widowControl/>
        <w:kinsoku/>
        <w:wordWrap w:val="0"/>
        <w:overflowPunct/>
        <w:topLinePunct w:val="0"/>
        <w:bidi w:val="0"/>
        <w:spacing w:beforeAutospacing="0" w:afterAutospacing="0" w:line="360" w:lineRule="auto"/>
        <w:ind w:firstLine="2760" w:firstLineChars="1150"/>
        <w:jc w:val="left"/>
        <w:rPr>
          <w:rFonts w:ascii="宋体" w:hAnsi="宋体" w:cs="宋体"/>
          <w:color w:val="auto"/>
          <w:kern w:val="0"/>
          <w:sz w:val="24"/>
          <w:highlight w:val="none"/>
        </w:rPr>
      </w:pPr>
    </w:p>
    <w:p>
      <w:pPr>
        <w:pageBreakBefore w:val="0"/>
        <w:widowControl/>
        <w:kinsoku/>
        <w:wordWrap w:val="0"/>
        <w:overflowPunct/>
        <w:topLinePunct w:val="0"/>
        <w:bidi w:val="0"/>
        <w:spacing w:beforeAutospacing="0" w:afterAutospacing="0" w:line="360" w:lineRule="auto"/>
        <w:ind w:firstLine="2760" w:firstLineChars="1150"/>
        <w:jc w:val="left"/>
        <w:rPr>
          <w:rFonts w:ascii="宋体" w:hAnsi="宋体" w:cs="宋体"/>
          <w:color w:val="auto"/>
          <w:kern w:val="0"/>
          <w:sz w:val="24"/>
          <w:highlight w:val="none"/>
          <w:u w:val="single"/>
        </w:rPr>
      </w:pPr>
      <w:r>
        <w:rPr>
          <w:rFonts w:hint="eastAsia" w:ascii="宋体" w:hAnsi="宋体" w:cs="宋体"/>
          <w:color w:val="auto"/>
          <w:kern w:val="0"/>
          <w:sz w:val="24"/>
          <w:highlight w:val="none"/>
        </w:rPr>
        <w:t xml:space="preserve">投标人代表签字： </w:t>
      </w:r>
    </w:p>
    <w:p>
      <w:pPr>
        <w:pageBreakBefore w:val="0"/>
        <w:widowControl/>
        <w:kinsoku/>
        <w:wordWrap w:val="0"/>
        <w:overflowPunct/>
        <w:topLinePunct w:val="0"/>
        <w:bidi w:val="0"/>
        <w:snapToGrid w:val="0"/>
        <w:spacing w:beforeAutospacing="0" w:afterAutospacing="0" w:line="360" w:lineRule="auto"/>
        <w:ind w:firstLine="2760" w:firstLineChars="1150"/>
        <w:jc w:val="left"/>
        <w:rPr>
          <w:rFonts w:ascii="宋体" w:hAnsi="宋体" w:cs="宋体"/>
          <w:color w:val="auto"/>
          <w:kern w:val="0"/>
          <w:sz w:val="52"/>
          <w:szCs w:val="52"/>
          <w:highlight w:val="none"/>
        </w:rPr>
      </w:pPr>
      <w:r>
        <w:rPr>
          <w:rFonts w:hint="eastAsia" w:ascii="宋体" w:hAnsi="宋体" w:cs="宋体"/>
          <w:color w:val="auto"/>
          <w:kern w:val="0"/>
          <w:sz w:val="24"/>
          <w:highlight w:val="none"/>
        </w:rPr>
        <w:t>投标人：（全称并加盖公章）</w:t>
      </w:r>
    </w:p>
    <w:p>
      <w:pPr>
        <w:pageBreakBefore w:val="0"/>
        <w:widowControl/>
        <w:kinsoku/>
        <w:wordWrap w:val="0"/>
        <w:overflowPunct/>
        <w:topLinePunct w:val="0"/>
        <w:bidi w:val="0"/>
        <w:snapToGrid w:val="0"/>
        <w:spacing w:beforeAutospacing="0" w:afterAutospacing="0" w:line="360" w:lineRule="auto"/>
        <w:ind w:firstLine="1040" w:firstLineChars="200"/>
        <w:jc w:val="left"/>
        <w:rPr>
          <w:rFonts w:ascii="宋体" w:hAnsi="宋体" w:cs="宋体"/>
          <w:color w:val="auto"/>
          <w:kern w:val="0"/>
          <w:sz w:val="52"/>
          <w:szCs w:val="52"/>
          <w:highlight w:val="none"/>
          <w:u w:val="single"/>
        </w:rPr>
      </w:pPr>
    </w:p>
    <w:p>
      <w:pPr>
        <w:pageBreakBefore w:val="0"/>
        <w:widowControl/>
        <w:kinsoku/>
        <w:wordWrap w:val="0"/>
        <w:overflowPunct/>
        <w:topLinePunct w:val="0"/>
        <w:bidi w:val="0"/>
        <w:spacing w:beforeAutospacing="0" w:afterAutospacing="0" w:line="360" w:lineRule="auto"/>
        <w:ind w:firstLine="4800" w:firstLineChars="20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年    月    日</w:t>
      </w:r>
    </w:p>
    <w:p>
      <w:pPr>
        <w:keepNext w:val="0"/>
        <w:keepLines w:val="0"/>
        <w:widowControl/>
        <w:suppressLineNumbers w:val="0"/>
        <w:jc w:val="center"/>
        <w:rPr>
          <w:rFonts w:hint="eastAsia" w:ascii="宋体" w:hAnsi="宋体" w:eastAsia="宋体" w:cs="宋体"/>
          <w:b/>
          <w:bCs/>
          <w:snapToGrid w:val="0"/>
          <w:color w:val="000000"/>
          <w:kern w:val="0"/>
          <w:sz w:val="31"/>
          <w:szCs w:val="31"/>
          <w:lang w:val="en-US" w:eastAsia="zh-CN" w:bidi="ar"/>
        </w:rPr>
      </w:pPr>
    </w:p>
    <w:p>
      <w:pPr>
        <w:bidi w:val="0"/>
        <w:rPr>
          <w:rFonts w:hint="eastAsia"/>
          <w:lang w:val="en-US" w:eastAsia="zh-CN"/>
        </w:rPr>
      </w:pPr>
    </w:p>
    <w:p>
      <w:pPr>
        <w:keepNext w:val="0"/>
        <w:keepLines w:val="0"/>
        <w:widowControl/>
        <w:suppressLineNumbers w:val="0"/>
        <w:jc w:val="center"/>
      </w:pPr>
      <w:r>
        <w:rPr>
          <w:rFonts w:hint="eastAsia" w:ascii="宋体" w:hAnsi="宋体" w:eastAsia="宋体" w:cs="宋体"/>
          <w:b/>
          <w:bCs/>
          <w:snapToGrid w:val="0"/>
          <w:color w:val="000000"/>
          <w:kern w:val="0"/>
          <w:sz w:val="31"/>
          <w:szCs w:val="31"/>
          <w:lang w:val="en-US" w:eastAsia="zh-CN" w:bidi="ar"/>
        </w:rPr>
        <w:t>4.1 配套耗材报价一览表（</w:t>
      </w:r>
      <w:r>
        <w:rPr>
          <w:rFonts w:hint="eastAsia" w:ascii="宋体" w:hAnsi="宋体" w:cs="宋体"/>
          <w:b/>
          <w:bCs/>
          <w:snapToGrid w:val="0"/>
          <w:color w:val="000000"/>
          <w:kern w:val="0"/>
          <w:sz w:val="31"/>
          <w:szCs w:val="31"/>
          <w:lang w:val="en-US" w:eastAsia="zh-CN" w:bidi="ar"/>
        </w:rPr>
        <w:t>A包，B包不需要提供可删除</w:t>
      </w:r>
      <w:r>
        <w:rPr>
          <w:rFonts w:hint="eastAsia" w:ascii="宋体" w:hAnsi="宋体" w:eastAsia="宋体" w:cs="宋体"/>
          <w:b/>
          <w:bCs/>
          <w:snapToGrid w:val="0"/>
          <w:color w:val="000000"/>
          <w:kern w:val="0"/>
          <w:sz w:val="31"/>
          <w:szCs w:val="31"/>
          <w:lang w:val="en-US" w:eastAsia="zh-CN" w:bidi="ar"/>
        </w:rPr>
        <w:t>）</w:t>
      </w:r>
    </w:p>
    <w:tbl>
      <w:tblPr>
        <w:tblStyle w:val="33"/>
        <w:tblW w:w="0" w:type="auto"/>
        <w:tblInd w:w="-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9"/>
        <w:gridCol w:w="943"/>
        <w:gridCol w:w="761"/>
        <w:gridCol w:w="761"/>
        <w:gridCol w:w="761"/>
        <w:gridCol w:w="815"/>
        <w:gridCol w:w="708"/>
        <w:gridCol w:w="708"/>
        <w:gridCol w:w="913"/>
        <w:gridCol w:w="1017"/>
        <w:gridCol w:w="1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1" w:hRule="atLeast"/>
        </w:trPr>
        <w:tc>
          <w:tcPr>
            <w:tcW w:w="699" w:type="dxa"/>
            <w:vAlign w:val="center"/>
          </w:tcPr>
          <w:p>
            <w:pPr>
              <w:widowControl w:val="0"/>
              <w:jc w:val="center"/>
              <w:rPr>
                <w:rFonts w:hint="eastAsia" w:eastAsia="宋体"/>
                <w:vertAlign w:val="baseline"/>
                <w:lang w:val="en-US" w:eastAsia="zh-CN"/>
              </w:rPr>
            </w:pPr>
            <w:r>
              <w:rPr>
                <w:rFonts w:hint="eastAsia" w:eastAsia="宋体"/>
                <w:b/>
                <w:bCs/>
                <w:vertAlign w:val="baseline"/>
                <w:lang w:val="en-US" w:eastAsia="zh-CN"/>
              </w:rPr>
              <w:t>序号</w:t>
            </w:r>
          </w:p>
        </w:tc>
        <w:tc>
          <w:tcPr>
            <w:tcW w:w="943" w:type="dxa"/>
            <w:vAlign w:val="center"/>
          </w:tcPr>
          <w:p>
            <w:pPr>
              <w:keepNext w:val="0"/>
              <w:keepLines w:val="0"/>
              <w:widowControl/>
              <w:suppressLineNumbers w:val="0"/>
              <w:jc w:val="center"/>
              <w:rPr>
                <w:rFonts w:hint="eastAsia" w:eastAsia="宋体"/>
                <w:vertAlign w:val="baseline"/>
                <w:lang w:val="en-US" w:eastAsia="zh-CN"/>
              </w:rPr>
            </w:pPr>
            <w:r>
              <w:rPr>
                <w:rFonts w:hint="eastAsia" w:ascii="宋体" w:hAnsi="宋体" w:eastAsia="宋体" w:cs="宋体"/>
                <w:b/>
                <w:bCs/>
                <w:snapToGrid w:val="0"/>
                <w:color w:val="000000"/>
                <w:kern w:val="0"/>
                <w:sz w:val="24"/>
                <w:szCs w:val="24"/>
                <w:lang w:val="en-US" w:eastAsia="zh-CN" w:bidi="ar"/>
              </w:rPr>
              <w:t>商品名称</w:t>
            </w:r>
          </w:p>
        </w:tc>
        <w:tc>
          <w:tcPr>
            <w:tcW w:w="761" w:type="dxa"/>
            <w:vAlign w:val="center"/>
          </w:tcPr>
          <w:p>
            <w:pPr>
              <w:keepNext w:val="0"/>
              <w:keepLines w:val="0"/>
              <w:widowControl/>
              <w:suppressLineNumbers w:val="0"/>
              <w:jc w:val="center"/>
            </w:pPr>
            <w:r>
              <w:rPr>
                <w:rFonts w:hint="eastAsia" w:ascii="宋体" w:hAnsi="宋体" w:eastAsia="宋体" w:cs="宋体"/>
                <w:b/>
                <w:bCs/>
                <w:snapToGrid w:val="0"/>
                <w:color w:val="000000"/>
                <w:kern w:val="0"/>
                <w:sz w:val="24"/>
                <w:szCs w:val="24"/>
                <w:lang w:val="en-US" w:eastAsia="zh-CN" w:bidi="ar"/>
              </w:rPr>
              <w:t>注册</w:t>
            </w:r>
          </w:p>
          <w:p>
            <w:pPr>
              <w:keepNext w:val="0"/>
              <w:keepLines w:val="0"/>
              <w:widowControl/>
              <w:suppressLineNumbers w:val="0"/>
              <w:jc w:val="center"/>
              <w:rPr>
                <w:vertAlign w:val="baseline"/>
              </w:rPr>
            </w:pPr>
            <w:r>
              <w:rPr>
                <w:rFonts w:hint="eastAsia" w:ascii="宋体" w:hAnsi="宋体" w:eastAsia="宋体" w:cs="宋体"/>
                <w:b/>
                <w:bCs/>
                <w:snapToGrid w:val="0"/>
                <w:color w:val="000000"/>
                <w:kern w:val="0"/>
                <w:sz w:val="24"/>
                <w:szCs w:val="24"/>
                <w:lang w:val="en-US" w:eastAsia="zh-CN" w:bidi="ar"/>
              </w:rPr>
              <w:t>证名称及注册证号</w:t>
            </w:r>
          </w:p>
        </w:tc>
        <w:tc>
          <w:tcPr>
            <w:tcW w:w="761" w:type="dxa"/>
            <w:vAlign w:val="center"/>
          </w:tcPr>
          <w:p>
            <w:pPr>
              <w:keepNext w:val="0"/>
              <w:keepLines w:val="0"/>
              <w:widowControl/>
              <w:suppressLineNumbers w:val="0"/>
              <w:jc w:val="center"/>
            </w:pPr>
            <w:r>
              <w:rPr>
                <w:rFonts w:hint="eastAsia" w:ascii="宋体" w:hAnsi="宋体" w:eastAsia="宋体" w:cs="宋体"/>
                <w:b/>
                <w:bCs/>
                <w:snapToGrid w:val="0"/>
                <w:color w:val="000000"/>
                <w:kern w:val="0"/>
                <w:sz w:val="24"/>
                <w:szCs w:val="24"/>
                <w:lang w:val="en-US" w:eastAsia="zh-CN" w:bidi="ar"/>
              </w:rPr>
              <w:t>品牌</w:t>
            </w:r>
          </w:p>
          <w:p>
            <w:pPr>
              <w:keepNext w:val="0"/>
              <w:keepLines w:val="0"/>
              <w:widowControl/>
              <w:suppressLineNumbers w:val="0"/>
              <w:jc w:val="center"/>
              <w:rPr>
                <w:vertAlign w:val="baseline"/>
              </w:rPr>
            </w:pPr>
          </w:p>
        </w:tc>
        <w:tc>
          <w:tcPr>
            <w:tcW w:w="761" w:type="dxa"/>
            <w:vAlign w:val="center"/>
          </w:tcPr>
          <w:p>
            <w:pPr>
              <w:keepNext w:val="0"/>
              <w:keepLines w:val="0"/>
              <w:widowControl/>
              <w:suppressLineNumbers w:val="0"/>
              <w:jc w:val="center"/>
              <w:rPr>
                <w:rFonts w:hint="default" w:ascii="宋体" w:hAnsi="宋体" w:eastAsia="宋体" w:cs="宋体"/>
                <w:b/>
                <w:bCs/>
                <w:snapToGrid w:val="0"/>
                <w:color w:val="000000"/>
                <w:kern w:val="0"/>
                <w:sz w:val="24"/>
                <w:szCs w:val="24"/>
                <w:lang w:val="en-US" w:eastAsia="zh-CN" w:bidi="ar"/>
              </w:rPr>
            </w:pPr>
            <w:r>
              <w:rPr>
                <w:rFonts w:hint="eastAsia" w:ascii="宋体" w:hAnsi="宋体" w:eastAsia="宋体" w:cs="宋体"/>
                <w:b/>
                <w:bCs/>
                <w:snapToGrid w:val="0"/>
                <w:color w:val="000000"/>
                <w:kern w:val="0"/>
                <w:sz w:val="24"/>
                <w:szCs w:val="24"/>
                <w:lang w:val="en-US" w:eastAsia="zh-CN" w:bidi="ar"/>
              </w:rPr>
              <w:t>规格型号</w:t>
            </w:r>
          </w:p>
        </w:tc>
        <w:tc>
          <w:tcPr>
            <w:tcW w:w="815" w:type="dxa"/>
            <w:vAlign w:val="center"/>
          </w:tcPr>
          <w:p>
            <w:pPr>
              <w:keepNext w:val="0"/>
              <w:keepLines w:val="0"/>
              <w:widowControl/>
              <w:suppressLineNumbers w:val="0"/>
              <w:jc w:val="center"/>
              <w:rPr>
                <w:rFonts w:hint="eastAsia" w:ascii="宋体" w:hAnsi="宋体" w:eastAsia="宋体" w:cs="宋体"/>
                <w:b/>
                <w:bCs/>
                <w:snapToGrid w:val="0"/>
                <w:color w:val="000000"/>
                <w:kern w:val="0"/>
                <w:sz w:val="24"/>
                <w:szCs w:val="24"/>
                <w:lang w:val="en-US" w:eastAsia="zh-CN" w:bidi="ar"/>
              </w:rPr>
            </w:pPr>
            <w:r>
              <w:rPr>
                <w:rFonts w:hint="eastAsia" w:ascii="宋体" w:hAnsi="宋体" w:eastAsia="宋体" w:cs="宋体"/>
                <w:b/>
                <w:bCs/>
                <w:snapToGrid w:val="0"/>
                <w:color w:val="000000"/>
                <w:kern w:val="0"/>
                <w:sz w:val="24"/>
                <w:szCs w:val="24"/>
                <w:lang w:val="en-US" w:eastAsia="zh-CN" w:bidi="ar"/>
              </w:rPr>
              <w:t>生产企业</w:t>
            </w:r>
          </w:p>
        </w:tc>
        <w:tc>
          <w:tcPr>
            <w:tcW w:w="708" w:type="dxa"/>
            <w:vAlign w:val="center"/>
          </w:tcPr>
          <w:p>
            <w:pPr>
              <w:keepNext w:val="0"/>
              <w:keepLines w:val="0"/>
              <w:widowControl/>
              <w:suppressLineNumbers w:val="0"/>
              <w:jc w:val="center"/>
              <w:rPr>
                <w:rFonts w:hint="default" w:ascii="宋体" w:hAnsi="宋体" w:eastAsia="宋体" w:cs="宋体"/>
                <w:b/>
                <w:bCs/>
                <w:snapToGrid w:val="0"/>
                <w:color w:val="000000"/>
                <w:kern w:val="0"/>
                <w:sz w:val="24"/>
                <w:szCs w:val="24"/>
                <w:lang w:val="en-US" w:eastAsia="zh-CN" w:bidi="ar"/>
              </w:rPr>
            </w:pPr>
            <w:r>
              <w:rPr>
                <w:rFonts w:hint="eastAsia" w:ascii="宋体" w:hAnsi="宋体" w:eastAsia="宋体" w:cs="宋体"/>
                <w:b/>
                <w:bCs/>
                <w:snapToGrid w:val="0"/>
                <w:color w:val="000000"/>
                <w:kern w:val="0"/>
                <w:sz w:val="24"/>
                <w:szCs w:val="24"/>
                <w:lang w:val="en-US" w:eastAsia="zh-CN" w:bidi="ar"/>
              </w:rPr>
              <w:t>试验方法</w:t>
            </w:r>
          </w:p>
        </w:tc>
        <w:tc>
          <w:tcPr>
            <w:tcW w:w="708" w:type="dxa"/>
            <w:vAlign w:val="center"/>
          </w:tcPr>
          <w:p>
            <w:pPr>
              <w:keepNext w:val="0"/>
              <w:keepLines w:val="0"/>
              <w:widowControl/>
              <w:suppressLineNumbers w:val="0"/>
              <w:jc w:val="center"/>
              <w:rPr>
                <w:rFonts w:hint="eastAsia" w:ascii="宋体" w:hAnsi="宋体" w:eastAsia="宋体" w:cs="宋体"/>
                <w:b/>
                <w:bCs/>
                <w:snapToGrid w:val="0"/>
                <w:color w:val="000000"/>
                <w:kern w:val="0"/>
                <w:sz w:val="24"/>
                <w:szCs w:val="24"/>
                <w:lang w:val="en-US" w:eastAsia="zh-CN" w:bidi="ar"/>
              </w:rPr>
            </w:pPr>
            <w:r>
              <w:rPr>
                <w:rFonts w:hint="eastAsia" w:ascii="宋体" w:hAnsi="宋体" w:eastAsia="宋体" w:cs="宋体"/>
                <w:b/>
                <w:bCs/>
                <w:snapToGrid w:val="0"/>
                <w:color w:val="000000"/>
                <w:kern w:val="0"/>
                <w:sz w:val="24"/>
                <w:szCs w:val="24"/>
                <w:lang w:val="en-US" w:eastAsia="zh-CN" w:bidi="ar"/>
              </w:rPr>
              <w:t>计价</w:t>
            </w:r>
          </w:p>
          <w:p>
            <w:pPr>
              <w:keepNext w:val="0"/>
              <w:keepLines w:val="0"/>
              <w:widowControl/>
              <w:suppressLineNumbers w:val="0"/>
              <w:jc w:val="center"/>
              <w:rPr>
                <w:rFonts w:hint="eastAsia" w:ascii="宋体" w:hAnsi="宋体" w:eastAsia="宋体" w:cs="宋体"/>
                <w:b/>
                <w:bCs/>
                <w:snapToGrid w:val="0"/>
                <w:color w:val="000000"/>
                <w:kern w:val="0"/>
                <w:sz w:val="24"/>
                <w:szCs w:val="24"/>
                <w:lang w:val="en-US" w:eastAsia="zh-CN" w:bidi="ar"/>
              </w:rPr>
            </w:pPr>
            <w:r>
              <w:rPr>
                <w:rFonts w:hint="eastAsia" w:ascii="宋体" w:hAnsi="宋体" w:eastAsia="宋体" w:cs="宋体"/>
                <w:b/>
                <w:bCs/>
                <w:snapToGrid w:val="0"/>
                <w:color w:val="000000"/>
                <w:kern w:val="0"/>
                <w:sz w:val="24"/>
                <w:szCs w:val="24"/>
                <w:lang w:val="en-US" w:eastAsia="zh-CN" w:bidi="ar"/>
              </w:rPr>
              <w:t>单位</w:t>
            </w:r>
          </w:p>
        </w:tc>
        <w:tc>
          <w:tcPr>
            <w:tcW w:w="913" w:type="dxa"/>
            <w:vAlign w:val="center"/>
          </w:tcPr>
          <w:p>
            <w:pPr>
              <w:keepNext w:val="0"/>
              <w:keepLines w:val="0"/>
              <w:widowControl/>
              <w:suppressLineNumbers w:val="0"/>
              <w:jc w:val="center"/>
              <w:rPr>
                <w:rFonts w:hint="eastAsia" w:ascii="宋体" w:hAnsi="宋体" w:eastAsia="宋体" w:cs="宋体"/>
                <w:b/>
                <w:bCs/>
                <w:snapToGrid w:val="0"/>
                <w:color w:val="000000"/>
                <w:kern w:val="0"/>
                <w:sz w:val="24"/>
                <w:szCs w:val="24"/>
                <w:lang w:val="en-US" w:eastAsia="zh-CN" w:bidi="ar"/>
              </w:rPr>
            </w:pPr>
            <w:r>
              <w:rPr>
                <w:rFonts w:hint="eastAsia" w:ascii="宋体" w:hAnsi="宋体" w:eastAsia="宋体" w:cs="宋体"/>
                <w:b/>
                <w:bCs/>
                <w:snapToGrid w:val="0"/>
                <w:color w:val="000000"/>
                <w:kern w:val="0"/>
                <w:sz w:val="24"/>
                <w:szCs w:val="24"/>
                <w:lang w:val="en-US" w:eastAsia="zh-CN" w:bidi="ar"/>
              </w:rPr>
              <w:t>单价</w:t>
            </w:r>
          </w:p>
          <w:p>
            <w:pPr>
              <w:keepNext w:val="0"/>
              <w:keepLines w:val="0"/>
              <w:widowControl/>
              <w:suppressLineNumbers w:val="0"/>
              <w:jc w:val="center"/>
              <w:rPr>
                <w:rFonts w:hint="eastAsia" w:ascii="宋体" w:hAnsi="宋体" w:eastAsia="宋体" w:cs="宋体"/>
                <w:b/>
                <w:bCs/>
                <w:snapToGrid w:val="0"/>
                <w:color w:val="000000"/>
                <w:kern w:val="0"/>
                <w:sz w:val="24"/>
                <w:szCs w:val="24"/>
                <w:lang w:val="en-US" w:eastAsia="zh-CN" w:bidi="ar"/>
              </w:rPr>
            </w:pPr>
            <w:r>
              <w:rPr>
                <w:rFonts w:hint="eastAsia" w:ascii="宋体" w:hAnsi="宋体" w:eastAsia="宋体" w:cs="宋体"/>
                <w:b/>
                <w:bCs/>
                <w:snapToGrid w:val="0"/>
                <w:color w:val="000000"/>
                <w:kern w:val="0"/>
                <w:sz w:val="24"/>
                <w:szCs w:val="24"/>
                <w:lang w:val="en-US" w:eastAsia="zh-CN" w:bidi="ar"/>
              </w:rPr>
              <w:t>（元/每人份）</w:t>
            </w:r>
          </w:p>
        </w:tc>
        <w:tc>
          <w:tcPr>
            <w:tcW w:w="1017" w:type="dxa"/>
            <w:vAlign w:val="center"/>
          </w:tcPr>
          <w:p>
            <w:pPr>
              <w:keepNext w:val="0"/>
              <w:keepLines w:val="0"/>
              <w:widowControl/>
              <w:suppressLineNumbers w:val="0"/>
              <w:jc w:val="center"/>
              <w:rPr>
                <w:rFonts w:hint="eastAsia" w:ascii="宋体" w:hAnsi="宋体" w:eastAsia="宋体" w:cs="宋体"/>
                <w:b/>
                <w:bCs/>
                <w:snapToGrid w:val="0"/>
                <w:color w:val="000000"/>
                <w:kern w:val="0"/>
                <w:sz w:val="24"/>
                <w:szCs w:val="24"/>
                <w:lang w:val="en-US" w:eastAsia="zh-CN" w:bidi="ar"/>
              </w:rPr>
            </w:pPr>
            <w:r>
              <w:rPr>
                <w:rFonts w:hint="eastAsia" w:ascii="宋体" w:hAnsi="宋体" w:eastAsia="宋体" w:cs="宋体"/>
                <w:b/>
                <w:bCs/>
                <w:snapToGrid w:val="0"/>
                <w:color w:val="000000"/>
                <w:kern w:val="0"/>
                <w:sz w:val="24"/>
                <w:szCs w:val="24"/>
                <w:lang w:val="en-US" w:eastAsia="zh-CN" w:bidi="ar"/>
              </w:rPr>
              <w:t>网采号</w:t>
            </w:r>
          </w:p>
        </w:tc>
        <w:tc>
          <w:tcPr>
            <w:tcW w:w="1268" w:type="dxa"/>
            <w:vAlign w:val="center"/>
          </w:tcPr>
          <w:p>
            <w:pPr>
              <w:widowControl w:val="0"/>
              <w:spacing w:line="320" w:lineRule="exact"/>
              <w:jc w:val="center"/>
              <w:outlineLvl w:val="0"/>
              <w:rPr>
                <w:rFonts w:hint="eastAsia" w:ascii="宋体" w:hAnsi="宋体" w:eastAsia="宋体" w:cs="宋体"/>
                <w:b/>
                <w:sz w:val="21"/>
                <w:szCs w:val="21"/>
              </w:rPr>
            </w:pPr>
            <w:r>
              <w:rPr>
                <w:rFonts w:hint="eastAsia" w:ascii="宋体" w:hAnsi="宋体" w:eastAsia="宋体" w:cs="宋体"/>
                <w:b/>
                <w:sz w:val="21"/>
                <w:szCs w:val="21"/>
              </w:rPr>
              <w:t>省、市、县</w:t>
            </w:r>
          </w:p>
          <w:p>
            <w:pPr>
              <w:widowControl w:val="0"/>
              <w:spacing w:line="320" w:lineRule="exact"/>
              <w:jc w:val="center"/>
              <w:outlineLvl w:val="0"/>
              <w:rPr>
                <w:rFonts w:hint="eastAsia" w:ascii="宋体" w:hAnsi="宋体" w:eastAsia="宋体" w:cs="宋体"/>
                <w:b/>
                <w:sz w:val="21"/>
                <w:szCs w:val="21"/>
              </w:rPr>
            </w:pPr>
            <w:r>
              <w:rPr>
                <w:rFonts w:hint="eastAsia" w:ascii="宋体" w:hAnsi="宋体" w:eastAsia="宋体" w:cs="宋体"/>
                <w:b/>
                <w:sz w:val="21"/>
                <w:szCs w:val="21"/>
              </w:rPr>
              <w:t>收费编码</w:t>
            </w:r>
          </w:p>
          <w:p>
            <w:pPr>
              <w:widowControl w:val="0"/>
              <w:spacing w:line="320" w:lineRule="exact"/>
              <w:jc w:val="center"/>
              <w:outlineLvl w:val="0"/>
              <w:rPr>
                <w:vertAlign w:val="baseline"/>
              </w:rPr>
            </w:pPr>
            <w:r>
              <w:rPr>
                <w:rFonts w:hint="eastAsia" w:ascii="宋体" w:hAnsi="宋体" w:eastAsia="宋体" w:cs="宋体"/>
                <w:b/>
                <w:sz w:val="21"/>
                <w:szCs w:val="21"/>
              </w:rPr>
              <w:t>收费标准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699" w:type="dxa"/>
          </w:tcPr>
          <w:p>
            <w:pPr>
              <w:widowControl w:val="0"/>
              <w:rPr>
                <w:vertAlign w:val="baseline"/>
              </w:rPr>
            </w:pPr>
          </w:p>
        </w:tc>
        <w:tc>
          <w:tcPr>
            <w:tcW w:w="943" w:type="dxa"/>
          </w:tcPr>
          <w:p>
            <w:pPr>
              <w:widowControl w:val="0"/>
              <w:rPr>
                <w:vertAlign w:val="baseline"/>
              </w:rPr>
            </w:pPr>
          </w:p>
        </w:tc>
        <w:tc>
          <w:tcPr>
            <w:tcW w:w="761" w:type="dxa"/>
          </w:tcPr>
          <w:p>
            <w:pPr>
              <w:widowControl w:val="0"/>
              <w:rPr>
                <w:vertAlign w:val="baseline"/>
              </w:rPr>
            </w:pPr>
          </w:p>
        </w:tc>
        <w:tc>
          <w:tcPr>
            <w:tcW w:w="761" w:type="dxa"/>
          </w:tcPr>
          <w:p>
            <w:pPr>
              <w:widowControl w:val="0"/>
              <w:rPr>
                <w:vertAlign w:val="baseline"/>
              </w:rPr>
            </w:pPr>
          </w:p>
        </w:tc>
        <w:tc>
          <w:tcPr>
            <w:tcW w:w="761" w:type="dxa"/>
          </w:tcPr>
          <w:p>
            <w:pPr>
              <w:widowControl w:val="0"/>
              <w:rPr>
                <w:vertAlign w:val="baseline"/>
              </w:rPr>
            </w:pPr>
          </w:p>
        </w:tc>
        <w:tc>
          <w:tcPr>
            <w:tcW w:w="815" w:type="dxa"/>
          </w:tcPr>
          <w:p>
            <w:pPr>
              <w:widowControl w:val="0"/>
              <w:rPr>
                <w:vertAlign w:val="baseline"/>
              </w:rPr>
            </w:pPr>
          </w:p>
        </w:tc>
        <w:tc>
          <w:tcPr>
            <w:tcW w:w="708" w:type="dxa"/>
          </w:tcPr>
          <w:p>
            <w:pPr>
              <w:widowControl w:val="0"/>
              <w:rPr>
                <w:vertAlign w:val="baseline"/>
              </w:rPr>
            </w:pPr>
          </w:p>
        </w:tc>
        <w:tc>
          <w:tcPr>
            <w:tcW w:w="708" w:type="dxa"/>
          </w:tcPr>
          <w:p>
            <w:pPr>
              <w:widowControl w:val="0"/>
              <w:rPr>
                <w:vertAlign w:val="baseline"/>
              </w:rPr>
            </w:pPr>
          </w:p>
        </w:tc>
        <w:tc>
          <w:tcPr>
            <w:tcW w:w="913" w:type="dxa"/>
          </w:tcPr>
          <w:p>
            <w:pPr>
              <w:widowControl w:val="0"/>
              <w:rPr>
                <w:vertAlign w:val="baseline"/>
              </w:rPr>
            </w:pPr>
          </w:p>
        </w:tc>
        <w:tc>
          <w:tcPr>
            <w:tcW w:w="1017" w:type="dxa"/>
          </w:tcPr>
          <w:p>
            <w:pPr>
              <w:widowControl w:val="0"/>
              <w:rPr>
                <w:vertAlign w:val="baseline"/>
              </w:rPr>
            </w:pPr>
          </w:p>
        </w:tc>
        <w:tc>
          <w:tcPr>
            <w:tcW w:w="1268" w:type="dxa"/>
          </w:tcPr>
          <w:p>
            <w:pPr>
              <w:widowControl w:val="0"/>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699" w:type="dxa"/>
          </w:tcPr>
          <w:p>
            <w:pPr>
              <w:widowControl w:val="0"/>
              <w:rPr>
                <w:vertAlign w:val="baseline"/>
              </w:rPr>
            </w:pPr>
          </w:p>
        </w:tc>
        <w:tc>
          <w:tcPr>
            <w:tcW w:w="943" w:type="dxa"/>
          </w:tcPr>
          <w:p>
            <w:pPr>
              <w:widowControl w:val="0"/>
              <w:rPr>
                <w:vertAlign w:val="baseline"/>
              </w:rPr>
            </w:pPr>
          </w:p>
        </w:tc>
        <w:tc>
          <w:tcPr>
            <w:tcW w:w="761" w:type="dxa"/>
          </w:tcPr>
          <w:p>
            <w:pPr>
              <w:widowControl w:val="0"/>
              <w:rPr>
                <w:vertAlign w:val="baseline"/>
              </w:rPr>
            </w:pPr>
          </w:p>
        </w:tc>
        <w:tc>
          <w:tcPr>
            <w:tcW w:w="761" w:type="dxa"/>
          </w:tcPr>
          <w:p>
            <w:pPr>
              <w:widowControl w:val="0"/>
              <w:rPr>
                <w:vertAlign w:val="baseline"/>
              </w:rPr>
            </w:pPr>
          </w:p>
        </w:tc>
        <w:tc>
          <w:tcPr>
            <w:tcW w:w="761" w:type="dxa"/>
          </w:tcPr>
          <w:p>
            <w:pPr>
              <w:widowControl w:val="0"/>
              <w:rPr>
                <w:vertAlign w:val="baseline"/>
              </w:rPr>
            </w:pPr>
          </w:p>
        </w:tc>
        <w:tc>
          <w:tcPr>
            <w:tcW w:w="815" w:type="dxa"/>
          </w:tcPr>
          <w:p>
            <w:pPr>
              <w:widowControl w:val="0"/>
              <w:rPr>
                <w:vertAlign w:val="baseline"/>
              </w:rPr>
            </w:pPr>
          </w:p>
        </w:tc>
        <w:tc>
          <w:tcPr>
            <w:tcW w:w="708" w:type="dxa"/>
          </w:tcPr>
          <w:p>
            <w:pPr>
              <w:widowControl w:val="0"/>
              <w:rPr>
                <w:vertAlign w:val="baseline"/>
              </w:rPr>
            </w:pPr>
          </w:p>
        </w:tc>
        <w:tc>
          <w:tcPr>
            <w:tcW w:w="708" w:type="dxa"/>
          </w:tcPr>
          <w:p>
            <w:pPr>
              <w:widowControl w:val="0"/>
              <w:rPr>
                <w:vertAlign w:val="baseline"/>
              </w:rPr>
            </w:pPr>
          </w:p>
        </w:tc>
        <w:tc>
          <w:tcPr>
            <w:tcW w:w="913" w:type="dxa"/>
          </w:tcPr>
          <w:p>
            <w:pPr>
              <w:widowControl w:val="0"/>
              <w:rPr>
                <w:vertAlign w:val="baseline"/>
              </w:rPr>
            </w:pPr>
          </w:p>
        </w:tc>
        <w:tc>
          <w:tcPr>
            <w:tcW w:w="1017" w:type="dxa"/>
          </w:tcPr>
          <w:p>
            <w:pPr>
              <w:widowControl w:val="0"/>
              <w:rPr>
                <w:vertAlign w:val="baseline"/>
              </w:rPr>
            </w:pPr>
          </w:p>
        </w:tc>
        <w:tc>
          <w:tcPr>
            <w:tcW w:w="1268" w:type="dxa"/>
          </w:tcPr>
          <w:p>
            <w:pPr>
              <w:widowControl w:val="0"/>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699" w:type="dxa"/>
          </w:tcPr>
          <w:p>
            <w:pPr>
              <w:widowControl w:val="0"/>
              <w:rPr>
                <w:vertAlign w:val="baseline"/>
              </w:rPr>
            </w:pPr>
          </w:p>
        </w:tc>
        <w:tc>
          <w:tcPr>
            <w:tcW w:w="943" w:type="dxa"/>
          </w:tcPr>
          <w:p>
            <w:pPr>
              <w:widowControl w:val="0"/>
              <w:rPr>
                <w:vertAlign w:val="baseline"/>
              </w:rPr>
            </w:pPr>
          </w:p>
        </w:tc>
        <w:tc>
          <w:tcPr>
            <w:tcW w:w="761" w:type="dxa"/>
          </w:tcPr>
          <w:p>
            <w:pPr>
              <w:widowControl w:val="0"/>
              <w:rPr>
                <w:vertAlign w:val="baseline"/>
              </w:rPr>
            </w:pPr>
          </w:p>
        </w:tc>
        <w:tc>
          <w:tcPr>
            <w:tcW w:w="761" w:type="dxa"/>
          </w:tcPr>
          <w:p>
            <w:pPr>
              <w:widowControl w:val="0"/>
              <w:rPr>
                <w:vertAlign w:val="baseline"/>
              </w:rPr>
            </w:pPr>
          </w:p>
          <w:p>
            <w:pPr>
              <w:pStyle w:val="2"/>
            </w:pPr>
          </w:p>
        </w:tc>
        <w:tc>
          <w:tcPr>
            <w:tcW w:w="761" w:type="dxa"/>
          </w:tcPr>
          <w:p>
            <w:pPr>
              <w:widowControl w:val="0"/>
              <w:rPr>
                <w:vertAlign w:val="baseline"/>
              </w:rPr>
            </w:pPr>
          </w:p>
        </w:tc>
        <w:tc>
          <w:tcPr>
            <w:tcW w:w="815" w:type="dxa"/>
          </w:tcPr>
          <w:p>
            <w:pPr>
              <w:widowControl w:val="0"/>
              <w:rPr>
                <w:vertAlign w:val="baseline"/>
              </w:rPr>
            </w:pPr>
          </w:p>
        </w:tc>
        <w:tc>
          <w:tcPr>
            <w:tcW w:w="708" w:type="dxa"/>
          </w:tcPr>
          <w:p>
            <w:pPr>
              <w:widowControl w:val="0"/>
              <w:rPr>
                <w:vertAlign w:val="baseline"/>
              </w:rPr>
            </w:pPr>
          </w:p>
        </w:tc>
        <w:tc>
          <w:tcPr>
            <w:tcW w:w="708" w:type="dxa"/>
          </w:tcPr>
          <w:p>
            <w:pPr>
              <w:widowControl w:val="0"/>
              <w:rPr>
                <w:vertAlign w:val="baseline"/>
              </w:rPr>
            </w:pPr>
          </w:p>
        </w:tc>
        <w:tc>
          <w:tcPr>
            <w:tcW w:w="913" w:type="dxa"/>
          </w:tcPr>
          <w:p>
            <w:pPr>
              <w:widowControl w:val="0"/>
              <w:rPr>
                <w:vertAlign w:val="baseline"/>
              </w:rPr>
            </w:pPr>
          </w:p>
        </w:tc>
        <w:tc>
          <w:tcPr>
            <w:tcW w:w="1017" w:type="dxa"/>
          </w:tcPr>
          <w:p>
            <w:pPr>
              <w:widowControl w:val="0"/>
              <w:rPr>
                <w:vertAlign w:val="baseline"/>
              </w:rPr>
            </w:pPr>
          </w:p>
        </w:tc>
        <w:tc>
          <w:tcPr>
            <w:tcW w:w="1268" w:type="dxa"/>
          </w:tcPr>
          <w:p>
            <w:pPr>
              <w:widowControl w:val="0"/>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99" w:type="dxa"/>
          </w:tcPr>
          <w:p>
            <w:pPr>
              <w:widowControl w:val="0"/>
              <w:rPr>
                <w:vertAlign w:val="baseline"/>
              </w:rPr>
            </w:pPr>
          </w:p>
        </w:tc>
        <w:tc>
          <w:tcPr>
            <w:tcW w:w="943" w:type="dxa"/>
          </w:tcPr>
          <w:p>
            <w:pPr>
              <w:widowControl w:val="0"/>
              <w:rPr>
                <w:vertAlign w:val="baseline"/>
              </w:rPr>
            </w:pPr>
          </w:p>
        </w:tc>
        <w:tc>
          <w:tcPr>
            <w:tcW w:w="761" w:type="dxa"/>
          </w:tcPr>
          <w:p>
            <w:pPr>
              <w:widowControl w:val="0"/>
              <w:rPr>
                <w:vertAlign w:val="baseline"/>
              </w:rPr>
            </w:pPr>
          </w:p>
        </w:tc>
        <w:tc>
          <w:tcPr>
            <w:tcW w:w="761" w:type="dxa"/>
          </w:tcPr>
          <w:p>
            <w:pPr>
              <w:widowControl w:val="0"/>
              <w:rPr>
                <w:vertAlign w:val="baseline"/>
              </w:rPr>
            </w:pPr>
          </w:p>
        </w:tc>
        <w:tc>
          <w:tcPr>
            <w:tcW w:w="761" w:type="dxa"/>
          </w:tcPr>
          <w:p>
            <w:pPr>
              <w:widowControl w:val="0"/>
              <w:rPr>
                <w:vertAlign w:val="baseline"/>
              </w:rPr>
            </w:pPr>
          </w:p>
        </w:tc>
        <w:tc>
          <w:tcPr>
            <w:tcW w:w="815" w:type="dxa"/>
          </w:tcPr>
          <w:p>
            <w:pPr>
              <w:widowControl w:val="0"/>
              <w:rPr>
                <w:vertAlign w:val="baseline"/>
              </w:rPr>
            </w:pPr>
          </w:p>
        </w:tc>
        <w:tc>
          <w:tcPr>
            <w:tcW w:w="708" w:type="dxa"/>
          </w:tcPr>
          <w:p>
            <w:pPr>
              <w:widowControl w:val="0"/>
              <w:rPr>
                <w:vertAlign w:val="baseline"/>
              </w:rPr>
            </w:pPr>
          </w:p>
        </w:tc>
        <w:tc>
          <w:tcPr>
            <w:tcW w:w="708" w:type="dxa"/>
          </w:tcPr>
          <w:p>
            <w:pPr>
              <w:widowControl w:val="0"/>
              <w:rPr>
                <w:vertAlign w:val="baseline"/>
              </w:rPr>
            </w:pPr>
          </w:p>
        </w:tc>
        <w:tc>
          <w:tcPr>
            <w:tcW w:w="913" w:type="dxa"/>
          </w:tcPr>
          <w:p>
            <w:pPr>
              <w:widowControl w:val="0"/>
              <w:rPr>
                <w:vertAlign w:val="baseline"/>
              </w:rPr>
            </w:pPr>
          </w:p>
        </w:tc>
        <w:tc>
          <w:tcPr>
            <w:tcW w:w="1017" w:type="dxa"/>
          </w:tcPr>
          <w:p>
            <w:pPr>
              <w:widowControl w:val="0"/>
              <w:rPr>
                <w:vertAlign w:val="baseline"/>
              </w:rPr>
            </w:pPr>
          </w:p>
        </w:tc>
        <w:tc>
          <w:tcPr>
            <w:tcW w:w="1268" w:type="dxa"/>
          </w:tcPr>
          <w:p>
            <w:pPr>
              <w:widowControl w:val="0"/>
              <w:rPr>
                <w:vertAlign w:val="baseline"/>
              </w:rPr>
            </w:pPr>
          </w:p>
        </w:tc>
      </w:tr>
    </w:tbl>
    <w:p/>
    <w:p>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000000" w:themeColor="text1"/>
          <w:kern w:val="0"/>
          <w:sz w:val="24"/>
          <w:highlight w:val="none"/>
          <w:u w:val="singl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 xml:space="preserve">法人代表或委托代理人（签字或盖章）： </w:t>
      </w:r>
      <w:r>
        <w:rPr>
          <w:rFonts w:hint="eastAsia" w:ascii="宋体" w:hAnsi="宋体" w:eastAsia="宋体" w:cs="宋体"/>
          <w:color w:val="000000" w:themeColor="text1"/>
          <w:kern w:val="0"/>
          <w:sz w:val="24"/>
          <w:highlight w:val="none"/>
          <w:u w:val="single"/>
          <w14:textFill>
            <w14:solidFill>
              <w14:schemeClr w14:val="tx1"/>
            </w14:solidFill>
          </w14:textFill>
        </w:rPr>
        <w:t xml:space="preserve">                </w:t>
      </w:r>
    </w:p>
    <w:p>
      <w:pPr>
        <w:keepNext w:val="0"/>
        <w:keepLines w:val="0"/>
        <w:pageBreakBefore w:val="0"/>
        <w:widowControl/>
        <w:shd w:val="clear"/>
        <w:kinsoku w:val="0"/>
        <w:wordWrap/>
        <w:overflowPunct/>
        <w:topLinePunct w:val="0"/>
        <w:autoSpaceDE w:val="0"/>
        <w:autoSpaceDN w:val="0"/>
        <w:bidi w:val="0"/>
        <w:adjustRightInd w:val="0"/>
        <w:snapToGrid w:val="0"/>
        <w:spacing w:line="560" w:lineRule="exact"/>
        <w:ind w:firstLine="480" w:firstLineChars="200"/>
        <w:jc w:val="left"/>
        <w:textAlignment w:val="baseline"/>
        <w:outlineLvl w:val="9"/>
        <w:rPr>
          <w:rFonts w:hint="eastAsia" w:ascii="宋体" w:hAnsi="宋体" w:eastAsia="宋体" w:cs="宋体"/>
          <w:color w:val="000000" w:themeColor="text1"/>
          <w:kern w:val="0"/>
          <w:sz w:val="52"/>
          <w:szCs w:val="52"/>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供应商：</w:t>
      </w:r>
      <w:r>
        <w:rPr>
          <w:rFonts w:hint="eastAsia" w:ascii="宋体" w:hAnsi="宋体" w:eastAsia="宋体" w:cs="宋体"/>
          <w:color w:val="000000" w:themeColor="text1"/>
          <w:kern w:val="0"/>
          <w:sz w:val="24"/>
          <w:highlight w:val="none"/>
          <w:u w:val="single"/>
          <w14:textFill>
            <w14:solidFill>
              <w14:schemeClr w14:val="tx1"/>
            </w14:solidFill>
          </w14:textFill>
        </w:rPr>
        <w:t xml:space="preserve">                       </w:t>
      </w:r>
      <w:r>
        <w:rPr>
          <w:rFonts w:hint="eastAsia" w:ascii="宋体" w:hAnsi="宋体" w:eastAsia="宋体" w:cs="宋体"/>
          <w:color w:val="000000" w:themeColor="text1"/>
          <w:kern w:val="0"/>
          <w:sz w:val="24"/>
          <w:highlight w:val="none"/>
          <w14:textFill>
            <w14:solidFill>
              <w14:schemeClr w14:val="tx1"/>
            </w14:solidFill>
          </w14:textFill>
        </w:rPr>
        <w:t>（全称并加盖公章）</w:t>
      </w:r>
    </w:p>
    <w:p>
      <w:pPr>
        <w:keepNext w:val="0"/>
        <w:keepLines w:val="0"/>
        <w:pageBreakBefore w:val="0"/>
        <w:widowControl/>
        <w:shd w:val="clear"/>
        <w:kinsoku w:val="0"/>
        <w:wordWrap/>
        <w:overflowPunct/>
        <w:topLinePunct w:val="0"/>
        <w:autoSpaceDE w:val="0"/>
        <w:autoSpaceDN w:val="0"/>
        <w:bidi w:val="0"/>
        <w:adjustRightInd w:val="0"/>
        <w:snapToGrid w:val="0"/>
        <w:spacing w:line="560" w:lineRule="exact"/>
        <w:ind w:firstLine="480" w:firstLineChars="200"/>
        <w:jc w:val="left"/>
        <w:textAlignment w:val="baseline"/>
        <w:outlineLvl w:val="9"/>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lang w:val="en-US" w:eastAsia="zh-CN"/>
          <w14:textFill>
            <w14:solidFill>
              <w14:schemeClr w14:val="tx1"/>
            </w14:solidFill>
          </w14:textFill>
        </w:rPr>
        <w:t xml:space="preserve">日期：    </w:t>
      </w:r>
      <w:r>
        <w:rPr>
          <w:rFonts w:hint="eastAsia" w:ascii="宋体" w:hAnsi="宋体" w:eastAsia="宋体" w:cs="宋体"/>
          <w:color w:val="000000" w:themeColor="text1"/>
          <w:kern w:val="0"/>
          <w:sz w:val="24"/>
          <w:highlight w:val="none"/>
          <w14:textFill>
            <w14:solidFill>
              <w14:schemeClr w14:val="tx1"/>
            </w14:solidFill>
          </w14:textFill>
        </w:rPr>
        <w:t xml:space="preserve"> </w:t>
      </w:r>
      <w:r>
        <w:rPr>
          <w:rFonts w:hint="eastAsia" w:ascii="宋体" w:hAnsi="宋体" w:eastAsia="宋体" w:cs="宋体"/>
          <w:bCs/>
          <w:color w:val="000000" w:themeColor="text1"/>
          <w:kern w:val="0"/>
          <w:sz w:val="24"/>
          <w:highlight w:val="none"/>
          <w14:textFill>
            <w14:solidFill>
              <w14:schemeClr w14:val="tx1"/>
            </w14:solidFill>
          </w14:textFill>
        </w:rPr>
        <w:t xml:space="preserve"> </w:t>
      </w:r>
      <w:r>
        <w:rPr>
          <w:rFonts w:hint="eastAsia" w:ascii="宋体" w:hAnsi="宋体" w:eastAsia="宋体" w:cs="宋体"/>
          <w:color w:val="000000" w:themeColor="text1"/>
          <w:kern w:val="0"/>
          <w:sz w:val="24"/>
          <w:highlight w:val="none"/>
          <w14:textFill>
            <w14:solidFill>
              <w14:schemeClr w14:val="tx1"/>
            </w14:solidFill>
          </w14:textFill>
        </w:rPr>
        <w:t>年    月    日</w:t>
      </w:r>
    </w:p>
    <w:p/>
    <w:p>
      <w:pPr>
        <w:pStyle w:val="2"/>
      </w:pPr>
    </w:p>
    <w:p/>
    <w:p>
      <w:pPr>
        <w:pStyle w:val="2"/>
      </w:pPr>
    </w:p>
    <w:p/>
    <w:p>
      <w:pPr>
        <w:pStyle w:val="2"/>
      </w:pPr>
    </w:p>
    <w:p/>
    <w:p/>
    <w:p>
      <w:pPr>
        <w:bidi w:val="0"/>
      </w:pPr>
    </w:p>
    <w:p>
      <w:pPr>
        <w:pStyle w:val="2"/>
      </w:pPr>
    </w:p>
    <w:p>
      <w:pPr>
        <w:keepNext w:val="0"/>
        <w:keepLines w:val="0"/>
        <w:widowControl/>
        <w:suppressLineNumbers w:val="0"/>
        <w:jc w:val="center"/>
      </w:pPr>
      <w:r>
        <w:rPr>
          <w:rFonts w:hint="eastAsia" w:ascii="宋体" w:hAnsi="宋体" w:eastAsia="宋体" w:cs="宋体"/>
          <w:b/>
          <w:bCs/>
          <w:snapToGrid w:val="0"/>
          <w:color w:val="000000"/>
          <w:kern w:val="0"/>
          <w:sz w:val="31"/>
          <w:szCs w:val="31"/>
          <w:lang w:val="en-US" w:eastAsia="zh-CN" w:bidi="ar"/>
        </w:rPr>
        <w:t>4.</w:t>
      </w:r>
      <w:r>
        <w:rPr>
          <w:rFonts w:hint="eastAsia" w:ascii="宋体" w:hAnsi="宋体" w:cs="宋体"/>
          <w:b/>
          <w:bCs/>
          <w:snapToGrid w:val="0"/>
          <w:color w:val="000000"/>
          <w:kern w:val="0"/>
          <w:sz w:val="31"/>
          <w:szCs w:val="31"/>
          <w:lang w:val="en-US" w:eastAsia="zh-CN" w:bidi="ar"/>
        </w:rPr>
        <w:t>2</w:t>
      </w:r>
      <w:r>
        <w:rPr>
          <w:rFonts w:hint="eastAsia" w:ascii="宋体" w:hAnsi="宋体" w:eastAsia="宋体" w:cs="宋体"/>
          <w:b/>
          <w:bCs/>
          <w:snapToGrid w:val="0"/>
          <w:color w:val="000000"/>
          <w:kern w:val="0"/>
          <w:sz w:val="31"/>
          <w:szCs w:val="31"/>
          <w:lang w:val="en-US" w:eastAsia="zh-CN" w:bidi="ar"/>
        </w:rPr>
        <w:t xml:space="preserve"> 配套耗材报价一览表（</w:t>
      </w:r>
      <w:r>
        <w:rPr>
          <w:rFonts w:hint="eastAsia" w:ascii="宋体" w:hAnsi="宋体" w:cs="宋体"/>
          <w:b/>
          <w:bCs/>
          <w:snapToGrid w:val="0"/>
          <w:color w:val="000000"/>
          <w:kern w:val="0"/>
          <w:sz w:val="31"/>
          <w:szCs w:val="31"/>
          <w:lang w:val="en-US" w:eastAsia="zh-CN" w:bidi="ar"/>
        </w:rPr>
        <w:t>B包，A包不需要提供可删除</w:t>
      </w:r>
      <w:r>
        <w:rPr>
          <w:rFonts w:hint="eastAsia" w:ascii="宋体" w:hAnsi="宋体" w:eastAsia="宋体" w:cs="宋体"/>
          <w:b/>
          <w:bCs/>
          <w:snapToGrid w:val="0"/>
          <w:color w:val="000000"/>
          <w:kern w:val="0"/>
          <w:sz w:val="31"/>
          <w:szCs w:val="31"/>
          <w:lang w:val="en-US" w:eastAsia="zh-CN" w:bidi="ar"/>
        </w:rPr>
        <w:t>）</w:t>
      </w:r>
    </w:p>
    <w:tbl>
      <w:tblPr>
        <w:tblStyle w:val="33"/>
        <w:tblW w:w="0" w:type="auto"/>
        <w:tblInd w:w="-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9"/>
        <w:gridCol w:w="943"/>
        <w:gridCol w:w="761"/>
        <w:gridCol w:w="761"/>
        <w:gridCol w:w="761"/>
        <w:gridCol w:w="815"/>
        <w:gridCol w:w="708"/>
        <w:gridCol w:w="708"/>
        <w:gridCol w:w="913"/>
        <w:gridCol w:w="1017"/>
        <w:gridCol w:w="1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1" w:hRule="atLeast"/>
        </w:trPr>
        <w:tc>
          <w:tcPr>
            <w:tcW w:w="699" w:type="dxa"/>
            <w:vAlign w:val="center"/>
          </w:tcPr>
          <w:p>
            <w:pPr>
              <w:widowControl w:val="0"/>
              <w:jc w:val="center"/>
              <w:rPr>
                <w:rFonts w:hint="eastAsia" w:eastAsia="宋体"/>
                <w:vertAlign w:val="baseline"/>
                <w:lang w:val="en-US" w:eastAsia="zh-CN"/>
              </w:rPr>
            </w:pPr>
            <w:r>
              <w:rPr>
                <w:rFonts w:hint="eastAsia" w:eastAsia="宋体"/>
                <w:b/>
                <w:bCs/>
                <w:vertAlign w:val="baseline"/>
                <w:lang w:val="en-US" w:eastAsia="zh-CN"/>
              </w:rPr>
              <w:t>序号</w:t>
            </w:r>
          </w:p>
        </w:tc>
        <w:tc>
          <w:tcPr>
            <w:tcW w:w="943" w:type="dxa"/>
            <w:vAlign w:val="center"/>
          </w:tcPr>
          <w:p>
            <w:pPr>
              <w:keepNext w:val="0"/>
              <w:keepLines w:val="0"/>
              <w:widowControl/>
              <w:suppressLineNumbers w:val="0"/>
              <w:jc w:val="center"/>
              <w:rPr>
                <w:rFonts w:hint="eastAsia" w:eastAsia="宋体"/>
                <w:vertAlign w:val="baseline"/>
                <w:lang w:val="en-US" w:eastAsia="zh-CN"/>
              </w:rPr>
            </w:pPr>
            <w:r>
              <w:rPr>
                <w:rFonts w:hint="eastAsia" w:ascii="宋体" w:hAnsi="宋体" w:eastAsia="宋体" w:cs="宋体"/>
                <w:b/>
                <w:bCs/>
                <w:snapToGrid w:val="0"/>
                <w:color w:val="000000"/>
                <w:kern w:val="0"/>
                <w:sz w:val="24"/>
                <w:szCs w:val="24"/>
                <w:lang w:val="en-US" w:eastAsia="zh-CN" w:bidi="ar"/>
              </w:rPr>
              <w:t>商品名称</w:t>
            </w:r>
          </w:p>
        </w:tc>
        <w:tc>
          <w:tcPr>
            <w:tcW w:w="761" w:type="dxa"/>
            <w:vAlign w:val="center"/>
          </w:tcPr>
          <w:p>
            <w:pPr>
              <w:keepNext w:val="0"/>
              <w:keepLines w:val="0"/>
              <w:widowControl/>
              <w:suppressLineNumbers w:val="0"/>
              <w:jc w:val="center"/>
            </w:pPr>
            <w:r>
              <w:rPr>
                <w:rFonts w:hint="eastAsia" w:ascii="宋体" w:hAnsi="宋体" w:eastAsia="宋体" w:cs="宋体"/>
                <w:b/>
                <w:bCs/>
                <w:snapToGrid w:val="0"/>
                <w:color w:val="000000"/>
                <w:kern w:val="0"/>
                <w:sz w:val="24"/>
                <w:szCs w:val="24"/>
                <w:lang w:val="en-US" w:eastAsia="zh-CN" w:bidi="ar"/>
              </w:rPr>
              <w:t>注册</w:t>
            </w:r>
          </w:p>
          <w:p>
            <w:pPr>
              <w:keepNext w:val="0"/>
              <w:keepLines w:val="0"/>
              <w:widowControl/>
              <w:suppressLineNumbers w:val="0"/>
              <w:jc w:val="center"/>
              <w:rPr>
                <w:vertAlign w:val="baseline"/>
              </w:rPr>
            </w:pPr>
            <w:r>
              <w:rPr>
                <w:rFonts w:hint="eastAsia" w:ascii="宋体" w:hAnsi="宋体" w:eastAsia="宋体" w:cs="宋体"/>
                <w:b/>
                <w:bCs/>
                <w:snapToGrid w:val="0"/>
                <w:color w:val="000000"/>
                <w:kern w:val="0"/>
                <w:sz w:val="24"/>
                <w:szCs w:val="24"/>
                <w:lang w:val="en-US" w:eastAsia="zh-CN" w:bidi="ar"/>
              </w:rPr>
              <w:t>证名称及注册证号</w:t>
            </w:r>
          </w:p>
        </w:tc>
        <w:tc>
          <w:tcPr>
            <w:tcW w:w="761" w:type="dxa"/>
            <w:vAlign w:val="center"/>
          </w:tcPr>
          <w:p>
            <w:pPr>
              <w:keepNext w:val="0"/>
              <w:keepLines w:val="0"/>
              <w:widowControl/>
              <w:suppressLineNumbers w:val="0"/>
              <w:jc w:val="center"/>
            </w:pPr>
            <w:r>
              <w:rPr>
                <w:rFonts w:hint="eastAsia" w:ascii="宋体" w:hAnsi="宋体" w:eastAsia="宋体" w:cs="宋体"/>
                <w:b/>
                <w:bCs/>
                <w:snapToGrid w:val="0"/>
                <w:color w:val="000000"/>
                <w:kern w:val="0"/>
                <w:sz w:val="24"/>
                <w:szCs w:val="24"/>
                <w:lang w:val="en-US" w:eastAsia="zh-CN" w:bidi="ar"/>
              </w:rPr>
              <w:t>品牌</w:t>
            </w:r>
          </w:p>
          <w:p>
            <w:pPr>
              <w:keepNext w:val="0"/>
              <w:keepLines w:val="0"/>
              <w:widowControl/>
              <w:suppressLineNumbers w:val="0"/>
              <w:jc w:val="center"/>
              <w:rPr>
                <w:vertAlign w:val="baseline"/>
              </w:rPr>
            </w:pPr>
          </w:p>
        </w:tc>
        <w:tc>
          <w:tcPr>
            <w:tcW w:w="761" w:type="dxa"/>
            <w:vAlign w:val="center"/>
          </w:tcPr>
          <w:p>
            <w:pPr>
              <w:keepNext w:val="0"/>
              <w:keepLines w:val="0"/>
              <w:widowControl/>
              <w:suppressLineNumbers w:val="0"/>
              <w:jc w:val="center"/>
              <w:rPr>
                <w:rFonts w:hint="default" w:ascii="宋体" w:hAnsi="宋体" w:eastAsia="宋体" w:cs="宋体"/>
                <w:b/>
                <w:bCs/>
                <w:snapToGrid w:val="0"/>
                <w:color w:val="000000"/>
                <w:kern w:val="0"/>
                <w:sz w:val="24"/>
                <w:szCs w:val="24"/>
                <w:lang w:val="en-US" w:eastAsia="zh-CN" w:bidi="ar"/>
              </w:rPr>
            </w:pPr>
            <w:r>
              <w:rPr>
                <w:rFonts w:hint="eastAsia" w:ascii="宋体" w:hAnsi="宋体" w:eastAsia="宋体" w:cs="宋体"/>
                <w:b/>
                <w:bCs/>
                <w:snapToGrid w:val="0"/>
                <w:color w:val="000000"/>
                <w:kern w:val="0"/>
                <w:sz w:val="24"/>
                <w:szCs w:val="24"/>
                <w:lang w:val="en-US" w:eastAsia="zh-CN" w:bidi="ar"/>
              </w:rPr>
              <w:t>规格型号</w:t>
            </w:r>
          </w:p>
        </w:tc>
        <w:tc>
          <w:tcPr>
            <w:tcW w:w="815" w:type="dxa"/>
            <w:vAlign w:val="center"/>
          </w:tcPr>
          <w:p>
            <w:pPr>
              <w:keepNext w:val="0"/>
              <w:keepLines w:val="0"/>
              <w:widowControl/>
              <w:suppressLineNumbers w:val="0"/>
              <w:jc w:val="center"/>
              <w:rPr>
                <w:rFonts w:hint="eastAsia" w:ascii="宋体" w:hAnsi="宋体" w:eastAsia="宋体" w:cs="宋体"/>
                <w:b/>
                <w:bCs/>
                <w:snapToGrid w:val="0"/>
                <w:color w:val="000000"/>
                <w:kern w:val="0"/>
                <w:sz w:val="24"/>
                <w:szCs w:val="24"/>
                <w:lang w:val="en-US" w:eastAsia="zh-CN" w:bidi="ar"/>
              </w:rPr>
            </w:pPr>
            <w:r>
              <w:rPr>
                <w:rFonts w:hint="eastAsia" w:ascii="宋体" w:hAnsi="宋体" w:eastAsia="宋体" w:cs="宋体"/>
                <w:b/>
                <w:bCs/>
                <w:snapToGrid w:val="0"/>
                <w:color w:val="000000"/>
                <w:kern w:val="0"/>
                <w:sz w:val="24"/>
                <w:szCs w:val="24"/>
                <w:lang w:val="en-US" w:eastAsia="zh-CN" w:bidi="ar"/>
              </w:rPr>
              <w:t>生产企业</w:t>
            </w:r>
          </w:p>
        </w:tc>
        <w:tc>
          <w:tcPr>
            <w:tcW w:w="708" w:type="dxa"/>
            <w:vAlign w:val="center"/>
          </w:tcPr>
          <w:p>
            <w:pPr>
              <w:keepNext w:val="0"/>
              <w:keepLines w:val="0"/>
              <w:widowControl/>
              <w:suppressLineNumbers w:val="0"/>
              <w:jc w:val="center"/>
              <w:rPr>
                <w:rFonts w:hint="default" w:ascii="宋体" w:hAnsi="宋体" w:eastAsia="宋体" w:cs="宋体"/>
                <w:b/>
                <w:bCs/>
                <w:snapToGrid w:val="0"/>
                <w:color w:val="000000"/>
                <w:kern w:val="0"/>
                <w:sz w:val="24"/>
                <w:szCs w:val="24"/>
                <w:lang w:val="en-US" w:eastAsia="zh-CN" w:bidi="ar"/>
              </w:rPr>
            </w:pPr>
            <w:r>
              <w:rPr>
                <w:rFonts w:hint="eastAsia" w:ascii="宋体" w:hAnsi="宋体" w:eastAsia="宋体" w:cs="宋体"/>
                <w:b/>
                <w:bCs/>
                <w:snapToGrid w:val="0"/>
                <w:color w:val="000000"/>
                <w:kern w:val="0"/>
                <w:sz w:val="24"/>
                <w:szCs w:val="24"/>
                <w:lang w:val="en-US" w:eastAsia="zh-CN" w:bidi="ar"/>
              </w:rPr>
              <w:t>试验方法</w:t>
            </w:r>
          </w:p>
        </w:tc>
        <w:tc>
          <w:tcPr>
            <w:tcW w:w="708" w:type="dxa"/>
            <w:vAlign w:val="center"/>
          </w:tcPr>
          <w:p>
            <w:pPr>
              <w:keepNext w:val="0"/>
              <w:keepLines w:val="0"/>
              <w:widowControl/>
              <w:suppressLineNumbers w:val="0"/>
              <w:jc w:val="center"/>
              <w:rPr>
                <w:rFonts w:hint="eastAsia" w:ascii="宋体" w:hAnsi="宋体" w:eastAsia="宋体" w:cs="宋体"/>
                <w:b/>
                <w:bCs/>
                <w:snapToGrid w:val="0"/>
                <w:color w:val="000000"/>
                <w:kern w:val="0"/>
                <w:sz w:val="24"/>
                <w:szCs w:val="24"/>
                <w:lang w:val="en-US" w:eastAsia="zh-CN" w:bidi="ar"/>
              </w:rPr>
            </w:pPr>
            <w:r>
              <w:rPr>
                <w:rFonts w:hint="eastAsia" w:ascii="宋体" w:hAnsi="宋体" w:eastAsia="宋体" w:cs="宋体"/>
                <w:b/>
                <w:bCs/>
                <w:snapToGrid w:val="0"/>
                <w:color w:val="000000"/>
                <w:kern w:val="0"/>
                <w:sz w:val="24"/>
                <w:szCs w:val="24"/>
                <w:lang w:val="en-US" w:eastAsia="zh-CN" w:bidi="ar"/>
              </w:rPr>
              <w:t>计价</w:t>
            </w:r>
          </w:p>
          <w:p>
            <w:pPr>
              <w:keepNext w:val="0"/>
              <w:keepLines w:val="0"/>
              <w:widowControl/>
              <w:suppressLineNumbers w:val="0"/>
              <w:jc w:val="center"/>
              <w:rPr>
                <w:rFonts w:hint="eastAsia" w:ascii="宋体" w:hAnsi="宋体" w:eastAsia="宋体" w:cs="宋体"/>
                <w:b/>
                <w:bCs/>
                <w:snapToGrid w:val="0"/>
                <w:color w:val="000000"/>
                <w:kern w:val="0"/>
                <w:sz w:val="24"/>
                <w:szCs w:val="24"/>
                <w:lang w:val="en-US" w:eastAsia="zh-CN" w:bidi="ar"/>
              </w:rPr>
            </w:pPr>
            <w:r>
              <w:rPr>
                <w:rFonts w:hint="eastAsia" w:ascii="宋体" w:hAnsi="宋体" w:eastAsia="宋体" w:cs="宋体"/>
                <w:b/>
                <w:bCs/>
                <w:snapToGrid w:val="0"/>
                <w:color w:val="000000"/>
                <w:kern w:val="0"/>
                <w:sz w:val="24"/>
                <w:szCs w:val="24"/>
                <w:lang w:val="en-US" w:eastAsia="zh-CN" w:bidi="ar"/>
              </w:rPr>
              <w:t>单位</w:t>
            </w:r>
          </w:p>
        </w:tc>
        <w:tc>
          <w:tcPr>
            <w:tcW w:w="913" w:type="dxa"/>
            <w:vAlign w:val="center"/>
          </w:tcPr>
          <w:p>
            <w:pPr>
              <w:keepNext w:val="0"/>
              <w:keepLines w:val="0"/>
              <w:widowControl/>
              <w:suppressLineNumbers w:val="0"/>
              <w:jc w:val="center"/>
              <w:rPr>
                <w:rFonts w:hint="eastAsia" w:ascii="宋体" w:hAnsi="宋体" w:eastAsia="宋体" w:cs="宋体"/>
                <w:b/>
                <w:bCs/>
                <w:snapToGrid w:val="0"/>
                <w:color w:val="000000"/>
                <w:kern w:val="0"/>
                <w:sz w:val="24"/>
                <w:szCs w:val="24"/>
                <w:lang w:val="en-US" w:eastAsia="zh-CN" w:bidi="ar"/>
              </w:rPr>
            </w:pPr>
            <w:r>
              <w:rPr>
                <w:rFonts w:hint="eastAsia" w:ascii="宋体" w:hAnsi="宋体" w:eastAsia="宋体" w:cs="宋体"/>
                <w:b/>
                <w:bCs/>
                <w:snapToGrid w:val="0"/>
                <w:color w:val="000000"/>
                <w:kern w:val="0"/>
                <w:sz w:val="24"/>
                <w:szCs w:val="24"/>
                <w:lang w:val="en-US" w:eastAsia="zh-CN" w:bidi="ar"/>
              </w:rPr>
              <w:t>单价</w:t>
            </w:r>
          </w:p>
          <w:p>
            <w:pPr>
              <w:keepNext w:val="0"/>
              <w:keepLines w:val="0"/>
              <w:widowControl/>
              <w:suppressLineNumbers w:val="0"/>
              <w:jc w:val="center"/>
              <w:rPr>
                <w:rFonts w:hint="eastAsia" w:ascii="宋体" w:hAnsi="宋体" w:eastAsia="宋体" w:cs="宋体"/>
                <w:b/>
                <w:bCs/>
                <w:snapToGrid w:val="0"/>
                <w:color w:val="000000"/>
                <w:kern w:val="0"/>
                <w:sz w:val="24"/>
                <w:szCs w:val="24"/>
                <w:lang w:val="en-US" w:eastAsia="zh-CN" w:bidi="ar"/>
              </w:rPr>
            </w:pPr>
            <w:r>
              <w:rPr>
                <w:rFonts w:hint="eastAsia" w:ascii="宋体" w:hAnsi="宋体" w:eastAsia="宋体" w:cs="宋体"/>
                <w:b/>
                <w:bCs/>
                <w:snapToGrid w:val="0"/>
                <w:color w:val="000000"/>
                <w:kern w:val="0"/>
                <w:sz w:val="24"/>
                <w:szCs w:val="24"/>
                <w:lang w:val="en-US" w:eastAsia="zh-CN" w:bidi="ar"/>
              </w:rPr>
              <w:t>（</w:t>
            </w:r>
            <w:r>
              <w:rPr>
                <w:rFonts w:hint="eastAsia" w:ascii="宋体" w:hAnsi="宋体" w:cs="宋体"/>
                <w:b/>
                <w:bCs/>
                <w:snapToGrid w:val="0"/>
                <w:color w:val="000000"/>
                <w:kern w:val="0"/>
                <w:sz w:val="24"/>
                <w:szCs w:val="24"/>
                <w:lang w:val="en-US" w:eastAsia="zh-CN" w:bidi="ar"/>
              </w:rPr>
              <w:t>元/单位</w:t>
            </w:r>
            <w:r>
              <w:rPr>
                <w:rFonts w:hint="eastAsia" w:ascii="宋体" w:hAnsi="宋体" w:eastAsia="宋体" w:cs="宋体"/>
                <w:b/>
                <w:bCs/>
                <w:snapToGrid w:val="0"/>
                <w:color w:val="000000"/>
                <w:kern w:val="0"/>
                <w:sz w:val="24"/>
                <w:szCs w:val="24"/>
                <w:lang w:val="en-US" w:eastAsia="zh-CN" w:bidi="ar"/>
              </w:rPr>
              <w:t>）</w:t>
            </w:r>
          </w:p>
        </w:tc>
        <w:tc>
          <w:tcPr>
            <w:tcW w:w="1017" w:type="dxa"/>
            <w:vAlign w:val="center"/>
          </w:tcPr>
          <w:p>
            <w:pPr>
              <w:keepNext w:val="0"/>
              <w:keepLines w:val="0"/>
              <w:widowControl/>
              <w:suppressLineNumbers w:val="0"/>
              <w:jc w:val="center"/>
              <w:rPr>
                <w:rFonts w:hint="eastAsia" w:ascii="宋体" w:hAnsi="宋体" w:eastAsia="宋体" w:cs="宋体"/>
                <w:b/>
                <w:bCs/>
                <w:snapToGrid w:val="0"/>
                <w:color w:val="000000"/>
                <w:kern w:val="0"/>
                <w:sz w:val="24"/>
                <w:szCs w:val="24"/>
                <w:lang w:val="en-US" w:eastAsia="zh-CN" w:bidi="ar"/>
              </w:rPr>
            </w:pPr>
            <w:r>
              <w:rPr>
                <w:rFonts w:hint="eastAsia" w:ascii="宋体" w:hAnsi="宋体" w:eastAsia="宋体" w:cs="宋体"/>
                <w:b/>
                <w:bCs/>
                <w:snapToGrid w:val="0"/>
                <w:color w:val="000000"/>
                <w:kern w:val="0"/>
                <w:sz w:val="24"/>
                <w:szCs w:val="24"/>
                <w:lang w:val="en-US" w:eastAsia="zh-CN" w:bidi="ar"/>
              </w:rPr>
              <w:t>网采号</w:t>
            </w:r>
          </w:p>
        </w:tc>
        <w:tc>
          <w:tcPr>
            <w:tcW w:w="1268" w:type="dxa"/>
            <w:vAlign w:val="center"/>
          </w:tcPr>
          <w:p>
            <w:pPr>
              <w:widowControl w:val="0"/>
              <w:spacing w:line="320" w:lineRule="exact"/>
              <w:jc w:val="center"/>
              <w:outlineLvl w:val="0"/>
              <w:rPr>
                <w:rFonts w:hint="eastAsia" w:ascii="宋体" w:hAnsi="宋体" w:eastAsia="宋体" w:cs="宋体"/>
                <w:b/>
                <w:sz w:val="21"/>
                <w:szCs w:val="21"/>
              </w:rPr>
            </w:pPr>
            <w:r>
              <w:rPr>
                <w:rFonts w:hint="eastAsia" w:ascii="宋体" w:hAnsi="宋体" w:eastAsia="宋体" w:cs="宋体"/>
                <w:b/>
                <w:sz w:val="21"/>
                <w:szCs w:val="21"/>
              </w:rPr>
              <w:t>省、市、县</w:t>
            </w:r>
          </w:p>
          <w:p>
            <w:pPr>
              <w:widowControl w:val="0"/>
              <w:spacing w:line="320" w:lineRule="exact"/>
              <w:jc w:val="center"/>
              <w:outlineLvl w:val="0"/>
              <w:rPr>
                <w:rFonts w:hint="eastAsia" w:ascii="宋体" w:hAnsi="宋体" w:eastAsia="宋体" w:cs="宋体"/>
                <w:b/>
                <w:sz w:val="21"/>
                <w:szCs w:val="21"/>
              </w:rPr>
            </w:pPr>
            <w:r>
              <w:rPr>
                <w:rFonts w:hint="eastAsia" w:ascii="宋体" w:hAnsi="宋体" w:eastAsia="宋体" w:cs="宋体"/>
                <w:b/>
                <w:sz w:val="21"/>
                <w:szCs w:val="21"/>
              </w:rPr>
              <w:t>收费编码</w:t>
            </w:r>
          </w:p>
          <w:p>
            <w:pPr>
              <w:widowControl w:val="0"/>
              <w:spacing w:line="320" w:lineRule="exact"/>
              <w:jc w:val="center"/>
              <w:outlineLvl w:val="0"/>
              <w:rPr>
                <w:vertAlign w:val="baseline"/>
              </w:rPr>
            </w:pPr>
            <w:r>
              <w:rPr>
                <w:rFonts w:hint="eastAsia" w:ascii="宋体" w:hAnsi="宋体" w:eastAsia="宋体" w:cs="宋体"/>
                <w:b/>
                <w:sz w:val="21"/>
                <w:szCs w:val="21"/>
              </w:rPr>
              <w:t>收费标准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699" w:type="dxa"/>
          </w:tcPr>
          <w:p>
            <w:pPr>
              <w:widowControl w:val="0"/>
              <w:rPr>
                <w:vertAlign w:val="baseline"/>
              </w:rPr>
            </w:pPr>
          </w:p>
        </w:tc>
        <w:tc>
          <w:tcPr>
            <w:tcW w:w="943" w:type="dxa"/>
          </w:tcPr>
          <w:p>
            <w:pPr>
              <w:widowControl w:val="0"/>
              <w:rPr>
                <w:vertAlign w:val="baseline"/>
              </w:rPr>
            </w:pPr>
          </w:p>
        </w:tc>
        <w:tc>
          <w:tcPr>
            <w:tcW w:w="761" w:type="dxa"/>
          </w:tcPr>
          <w:p>
            <w:pPr>
              <w:widowControl w:val="0"/>
              <w:rPr>
                <w:vertAlign w:val="baseline"/>
              </w:rPr>
            </w:pPr>
          </w:p>
        </w:tc>
        <w:tc>
          <w:tcPr>
            <w:tcW w:w="761" w:type="dxa"/>
          </w:tcPr>
          <w:p>
            <w:pPr>
              <w:widowControl w:val="0"/>
              <w:rPr>
                <w:vertAlign w:val="baseline"/>
              </w:rPr>
            </w:pPr>
          </w:p>
        </w:tc>
        <w:tc>
          <w:tcPr>
            <w:tcW w:w="761" w:type="dxa"/>
          </w:tcPr>
          <w:p>
            <w:pPr>
              <w:widowControl w:val="0"/>
              <w:rPr>
                <w:vertAlign w:val="baseline"/>
              </w:rPr>
            </w:pPr>
          </w:p>
        </w:tc>
        <w:tc>
          <w:tcPr>
            <w:tcW w:w="815" w:type="dxa"/>
          </w:tcPr>
          <w:p>
            <w:pPr>
              <w:widowControl w:val="0"/>
              <w:rPr>
                <w:vertAlign w:val="baseline"/>
              </w:rPr>
            </w:pPr>
          </w:p>
        </w:tc>
        <w:tc>
          <w:tcPr>
            <w:tcW w:w="708" w:type="dxa"/>
          </w:tcPr>
          <w:p>
            <w:pPr>
              <w:widowControl w:val="0"/>
              <w:rPr>
                <w:vertAlign w:val="baseline"/>
              </w:rPr>
            </w:pPr>
          </w:p>
        </w:tc>
        <w:tc>
          <w:tcPr>
            <w:tcW w:w="708" w:type="dxa"/>
          </w:tcPr>
          <w:p>
            <w:pPr>
              <w:widowControl w:val="0"/>
              <w:rPr>
                <w:vertAlign w:val="baseline"/>
              </w:rPr>
            </w:pPr>
          </w:p>
        </w:tc>
        <w:tc>
          <w:tcPr>
            <w:tcW w:w="913" w:type="dxa"/>
          </w:tcPr>
          <w:p>
            <w:pPr>
              <w:widowControl w:val="0"/>
              <w:rPr>
                <w:vertAlign w:val="baseline"/>
              </w:rPr>
            </w:pPr>
          </w:p>
        </w:tc>
        <w:tc>
          <w:tcPr>
            <w:tcW w:w="1017" w:type="dxa"/>
          </w:tcPr>
          <w:p>
            <w:pPr>
              <w:widowControl w:val="0"/>
              <w:rPr>
                <w:vertAlign w:val="baseline"/>
              </w:rPr>
            </w:pPr>
          </w:p>
        </w:tc>
        <w:tc>
          <w:tcPr>
            <w:tcW w:w="1268" w:type="dxa"/>
          </w:tcPr>
          <w:p>
            <w:pPr>
              <w:widowControl w:val="0"/>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699" w:type="dxa"/>
          </w:tcPr>
          <w:p>
            <w:pPr>
              <w:widowControl w:val="0"/>
              <w:rPr>
                <w:vertAlign w:val="baseline"/>
              </w:rPr>
            </w:pPr>
          </w:p>
        </w:tc>
        <w:tc>
          <w:tcPr>
            <w:tcW w:w="943" w:type="dxa"/>
          </w:tcPr>
          <w:p>
            <w:pPr>
              <w:widowControl w:val="0"/>
              <w:rPr>
                <w:vertAlign w:val="baseline"/>
              </w:rPr>
            </w:pPr>
          </w:p>
        </w:tc>
        <w:tc>
          <w:tcPr>
            <w:tcW w:w="761" w:type="dxa"/>
          </w:tcPr>
          <w:p>
            <w:pPr>
              <w:widowControl w:val="0"/>
              <w:rPr>
                <w:vertAlign w:val="baseline"/>
              </w:rPr>
            </w:pPr>
          </w:p>
        </w:tc>
        <w:tc>
          <w:tcPr>
            <w:tcW w:w="761" w:type="dxa"/>
          </w:tcPr>
          <w:p>
            <w:pPr>
              <w:widowControl w:val="0"/>
              <w:rPr>
                <w:vertAlign w:val="baseline"/>
              </w:rPr>
            </w:pPr>
          </w:p>
        </w:tc>
        <w:tc>
          <w:tcPr>
            <w:tcW w:w="761" w:type="dxa"/>
          </w:tcPr>
          <w:p>
            <w:pPr>
              <w:widowControl w:val="0"/>
              <w:rPr>
                <w:vertAlign w:val="baseline"/>
              </w:rPr>
            </w:pPr>
          </w:p>
        </w:tc>
        <w:tc>
          <w:tcPr>
            <w:tcW w:w="815" w:type="dxa"/>
          </w:tcPr>
          <w:p>
            <w:pPr>
              <w:widowControl w:val="0"/>
              <w:rPr>
                <w:vertAlign w:val="baseline"/>
              </w:rPr>
            </w:pPr>
          </w:p>
        </w:tc>
        <w:tc>
          <w:tcPr>
            <w:tcW w:w="708" w:type="dxa"/>
          </w:tcPr>
          <w:p>
            <w:pPr>
              <w:widowControl w:val="0"/>
              <w:rPr>
                <w:vertAlign w:val="baseline"/>
              </w:rPr>
            </w:pPr>
          </w:p>
        </w:tc>
        <w:tc>
          <w:tcPr>
            <w:tcW w:w="708" w:type="dxa"/>
          </w:tcPr>
          <w:p>
            <w:pPr>
              <w:widowControl w:val="0"/>
              <w:rPr>
                <w:vertAlign w:val="baseline"/>
              </w:rPr>
            </w:pPr>
          </w:p>
        </w:tc>
        <w:tc>
          <w:tcPr>
            <w:tcW w:w="913" w:type="dxa"/>
          </w:tcPr>
          <w:p>
            <w:pPr>
              <w:widowControl w:val="0"/>
              <w:rPr>
                <w:vertAlign w:val="baseline"/>
              </w:rPr>
            </w:pPr>
          </w:p>
        </w:tc>
        <w:tc>
          <w:tcPr>
            <w:tcW w:w="1017" w:type="dxa"/>
          </w:tcPr>
          <w:p>
            <w:pPr>
              <w:widowControl w:val="0"/>
              <w:rPr>
                <w:vertAlign w:val="baseline"/>
              </w:rPr>
            </w:pPr>
          </w:p>
        </w:tc>
        <w:tc>
          <w:tcPr>
            <w:tcW w:w="1268" w:type="dxa"/>
          </w:tcPr>
          <w:p>
            <w:pPr>
              <w:widowControl w:val="0"/>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699" w:type="dxa"/>
          </w:tcPr>
          <w:p>
            <w:pPr>
              <w:widowControl w:val="0"/>
              <w:rPr>
                <w:vertAlign w:val="baseline"/>
              </w:rPr>
            </w:pPr>
          </w:p>
        </w:tc>
        <w:tc>
          <w:tcPr>
            <w:tcW w:w="943" w:type="dxa"/>
          </w:tcPr>
          <w:p>
            <w:pPr>
              <w:widowControl w:val="0"/>
              <w:rPr>
                <w:vertAlign w:val="baseline"/>
              </w:rPr>
            </w:pPr>
          </w:p>
        </w:tc>
        <w:tc>
          <w:tcPr>
            <w:tcW w:w="761" w:type="dxa"/>
          </w:tcPr>
          <w:p>
            <w:pPr>
              <w:widowControl w:val="0"/>
              <w:rPr>
                <w:vertAlign w:val="baseline"/>
              </w:rPr>
            </w:pPr>
          </w:p>
        </w:tc>
        <w:tc>
          <w:tcPr>
            <w:tcW w:w="761" w:type="dxa"/>
          </w:tcPr>
          <w:p>
            <w:pPr>
              <w:widowControl w:val="0"/>
              <w:rPr>
                <w:vertAlign w:val="baseline"/>
              </w:rPr>
            </w:pPr>
          </w:p>
          <w:p>
            <w:pPr>
              <w:pStyle w:val="2"/>
            </w:pPr>
          </w:p>
        </w:tc>
        <w:tc>
          <w:tcPr>
            <w:tcW w:w="761" w:type="dxa"/>
          </w:tcPr>
          <w:p>
            <w:pPr>
              <w:widowControl w:val="0"/>
              <w:rPr>
                <w:vertAlign w:val="baseline"/>
              </w:rPr>
            </w:pPr>
          </w:p>
        </w:tc>
        <w:tc>
          <w:tcPr>
            <w:tcW w:w="815" w:type="dxa"/>
          </w:tcPr>
          <w:p>
            <w:pPr>
              <w:widowControl w:val="0"/>
              <w:rPr>
                <w:vertAlign w:val="baseline"/>
              </w:rPr>
            </w:pPr>
          </w:p>
        </w:tc>
        <w:tc>
          <w:tcPr>
            <w:tcW w:w="708" w:type="dxa"/>
          </w:tcPr>
          <w:p>
            <w:pPr>
              <w:widowControl w:val="0"/>
              <w:rPr>
                <w:vertAlign w:val="baseline"/>
              </w:rPr>
            </w:pPr>
          </w:p>
        </w:tc>
        <w:tc>
          <w:tcPr>
            <w:tcW w:w="708" w:type="dxa"/>
          </w:tcPr>
          <w:p>
            <w:pPr>
              <w:widowControl w:val="0"/>
              <w:rPr>
                <w:vertAlign w:val="baseline"/>
              </w:rPr>
            </w:pPr>
          </w:p>
        </w:tc>
        <w:tc>
          <w:tcPr>
            <w:tcW w:w="913" w:type="dxa"/>
          </w:tcPr>
          <w:p>
            <w:pPr>
              <w:widowControl w:val="0"/>
              <w:rPr>
                <w:vertAlign w:val="baseline"/>
              </w:rPr>
            </w:pPr>
          </w:p>
        </w:tc>
        <w:tc>
          <w:tcPr>
            <w:tcW w:w="1017" w:type="dxa"/>
          </w:tcPr>
          <w:p>
            <w:pPr>
              <w:widowControl w:val="0"/>
              <w:rPr>
                <w:vertAlign w:val="baseline"/>
              </w:rPr>
            </w:pPr>
          </w:p>
        </w:tc>
        <w:tc>
          <w:tcPr>
            <w:tcW w:w="1268" w:type="dxa"/>
          </w:tcPr>
          <w:p>
            <w:pPr>
              <w:widowControl w:val="0"/>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99" w:type="dxa"/>
          </w:tcPr>
          <w:p>
            <w:pPr>
              <w:widowControl w:val="0"/>
              <w:rPr>
                <w:vertAlign w:val="baseline"/>
              </w:rPr>
            </w:pPr>
          </w:p>
        </w:tc>
        <w:tc>
          <w:tcPr>
            <w:tcW w:w="943" w:type="dxa"/>
          </w:tcPr>
          <w:p>
            <w:pPr>
              <w:widowControl w:val="0"/>
              <w:rPr>
                <w:vertAlign w:val="baseline"/>
              </w:rPr>
            </w:pPr>
          </w:p>
        </w:tc>
        <w:tc>
          <w:tcPr>
            <w:tcW w:w="761" w:type="dxa"/>
          </w:tcPr>
          <w:p>
            <w:pPr>
              <w:widowControl w:val="0"/>
              <w:rPr>
                <w:vertAlign w:val="baseline"/>
              </w:rPr>
            </w:pPr>
          </w:p>
        </w:tc>
        <w:tc>
          <w:tcPr>
            <w:tcW w:w="761" w:type="dxa"/>
          </w:tcPr>
          <w:p>
            <w:pPr>
              <w:widowControl w:val="0"/>
              <w:rPr>
                <w:vertAlign w:val="baseline"/>
              </w:rPr>
            </w:pPr>
          </w:p>
        </w:tc>
        <w:tc>
          <w:tcPr>
            <w:tcW w:w="761" w:type="dxa"/>
          </w:tcPr>
          <w:p>
            <w:pPr>
              <w:widowControl w:val="0"/>
              <w:rPr>
                <w:vertAlign w:val="baseline"/>
              </w:rPr>
            </w:pPr>
          </w:p>
        </w:tc>
        <w:tc>
          <w:tcPr>
            <w:tcW w:w="815" w:type="dxa"/>
          </w:tcPr>
          <w:p>
            <w:pPr>
              <w:widowControl w:val="0"/>
              <w:rPr>
                <w:vertAlign w:val="baseline"/>
              </w:rPr>
            </w:pPr>
          </w:p>
        </w:tc>
        <w:tc>
          <w:tcPr>
            <w:tcW w:w="708" w:type="dxa"/>
          </w:tcPr>
          <w:p>
            <w:pPr>
              <w:widowControl w:val="0"/>
              <w:rPr>
                <w:vertAlign w:val="baseline"/>
              </w:rPr>
            </w:pPr>
          </w:p>
        </w:tc>
        <w:tc>
          <w:tcPr>
            <w:tcW w:w="708" w:type="dxa"/>
          </w:tcPr>
          <w:p>
            <w:pPr>
              <w:widowControl w:val="0"/>
              <w:rPr>
                <w:vertAlign w:val="baseline"/>
              </w:rPr>
            </w:pPr>
          </w:p>
        </w:tc>
        <w:tc>
          <w:tcPr>
            <w:tcW w:w="913" w:type="dxa"/>
          </w:tcPr>
          <w:p>
            <w:pPr>
              <w:widowControl w:val="0"/>
              <w:rPr>
                <w:vertAlign w:val="baseline"/>
              </w:rPr>
            </w:pPr>
          </w:p>
        </w:tc>
        <w:tc>
          <w:tcPr>
            <w:tcW w:w="1017" w:type="dxa"/>
          </w:tcPr>
          <w:p>
            <w:pPr>
              <w:widowControl w:val="0"/>
              <w:rPr>
                <w:vertAlign w:val="baseline"/>
              </w:rPr>
            </w:pPr>
          </w:p>
        </w:tc>
        <w:tc>
          <w:tcPr>
            <w:tcW w:w="1268" w:type="dxa"/>
          </w:tcPr>
          <w:p>
            <w:pPr>
              <w:widowControl w:val="0"/>
              <w:rPr>
                <w:vertAlign w:val="baseline"/>
              </w:rPr>
            </w:pPr>
          </w:p>
        </w:tc>
      </w:tr>
    </w:tbl>
    <w:p/>
    <w:p>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000000" w:themeColor="text1"/>
          <w:kern w:val="0"/>
          <w:sz w:val="24"/>
          <w:highlight w:val="none"/>
          <w:u w:val="singl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 xml:space="preserve">法人代表或委托代理人（签字或盖章）： </w:t>
      </w:r>
      <w:r>
        <w:rPr>
          <w:rFonts w:hint="eastAsia" w:ascii="宋体" w:hAnsi="宋体" w:eastAsia="宋体" w:cs="宋体"/>
          <w:color w:val="000000" w:themeColor="text1"/>
          <w:kern w:val="0"/>
          <w:sz w:val="24"/>
          <w:highlight w:val="none"/>
          <w:u w:val="single"/>
          <w14:textFill>
            <w14:solidFill>
              <w14:schemeClr w14:val="tx1"/>
            </w14:solidFill>
          </w14:textFill>
        </w:rPr>
        <w:t xml:space="preserve">                </w:t>
      </w:r>
    </w:p>
    <w:p>
      <w:pPr>
        <w:keepNext w:val="0"/>
        <w:keepLines w:val="0"/>
        <w:pageBreakBefore w:val="0"/>
        <w:widowControl/>
        <w:shd w:val="clear"/>
        <w:kinsoku w:val="0"/>
        <w:wordWrap/>
        <w:overflowPunct/>
        <w:topLinePunct w:val="0"/>
        <w:autoSpaceDE w:val="0"/>
        <w:autoSpaceDN w:val="0"/>
        <w:bidi w:val="0"/>
        <w:adjustRightInd w:val="0"/>
        <w:snapToGrid w:val="0"/>
        <w:spacing w:line="560" w:lineRule="exact"/>
        <w:ind w:firstLine="480" w:firstLineChars="200"/>
        <w:jc w:val="left"/>
        <w:textAlignment w:val="baseline"/>
        <w:outlineLvl w:val="9"/>
        <w:rPr>
          <w:rFonts w:hint="eastAsia" w:ascii="宋体" w:hAnsi="宋体" w:eastAsia="宋体" w:cs="宋体"/>
          <w:color w:val="000000" w:themeColor="text1"/>
          <w:kern w:val="0"/>
          <w:sz w:val="52"/>
          <w:szCs w:val="52"/>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供应商：</w:t>
      </w:r>
      <w:r>
        <w:rPr>
          <w:rFonts w:hint="eastAsia" w:ascii="宋体" w:hAnsi="宋体" w:eastAsia="宋体" w:cs="宋体"/>
          <w:color w:val="000000" w:themeColor="text1"/>
          <w:kern w:val="0"/>
          <w:sz w:val="24"/>
          <w:highlight w:val="none"/>
          <w:u w:val="single"/>
          <w14:textFill>
            <w14:solidFill>
              <w14:schemeClr w14:val="tx1"/>
            </w14:solidFill>
          </w14:textFill>
        </w:rPr>
        <w:t xml:space="preserve">                       </w:t>
      </w:r>
      <w:r>
        <w:rPr>
          <w:rFonts w:hint="eastAsia" w:ascii="宋体" w:hAnsi="宋体" w:eastAsia="宋体" w:cs="宋体"/>
          <w:color w:val="000000" w:themeColor="text1"/>
          <w:kern w:val="0"/>
          <w:sz w:val="24"/>
          <w:highlight w:val="none"/>
          <w14:textFill>
            <w14:solidFill>
              <w14:schemeClr w14:val="tx1"/>
            </w14:solidFill>
          </w14:textFill>
        </w:rPr>
        <w:t>（全称并加盖公章）</w:t>
      </w:r>
    </w:p>
    <w:p>
      <w:pPr>
        <w:keepNext w:val="0"/>
        <w:keepLines w:val="0"/>
        <w:pageBreakBefore w:val="0"/>
        <w:widowControl/>
        <w:shd w:val="clear"/>
        <w:kinsoku w:val="0"/>
        <w:wordWrap/>
        <w:overflowPunct/>
        <w:topLinePunct w:val="0"/>
        <w:autoSpaceDE w:val="0"/>
        <w:autoSpaceDN w:val="0"/>
        <w:bidi w:val="0"/>
        <w:adjustRightInd w:val="0"/>
        <w:snapToGrid w:val="0"/>
        <w:spacing w:line="560" w:lineRule="exact"/>
        <w:ind w:firstLine="480" w:firstLineChars="200"/>
        <w:jc w:val="left"/>
        <w:textAlignment w:val="baseline"/>
        <w:outlineLvl w:val="9"/>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lang w:val="en-US" w:eastAsia="zh-CN"/>
          <w14:textFill>
            <w14:solidFill>
              <w14:schemeClr w14:val="tx1"/>
            </w14:solidFill>
          </w14:textFill>
        </w:rPr>
        <w:t xml:space="preserve">日期：    </w:t>
      </w:r>
      <w:r>
        <w:rPr>
          <w:rFonts w:hint="eastAsia" w:ascii="宋体" w:hAnsi="宋体" w:eastAsia="宋体" w:cs="宋体"/>
          <w:color w:val="000000" w:themeColor="text1"/>
          <w:kern w:val="0"/>
          <w:sz w:val="24"/>
          <w:highlight w:val="none"/>
          <w14:textFill>
            <w14:solidFill>
              <w14:schemeClr w14:val="tx1"/>
            </w14:solidFill>
          </w14:textFill>
        </w:rPr>
        <w:t xml:space="preserve"> </w:t>
      </w:r>
      <w:r>
        <w:rPr>
          <w:rFonts w:hint="eastAsia" w:ascii="宋体" w:hAnsi="宋体" w:eastAsia="宋体" w:cs="宋体"/>
          <w:bCs/>
          <w:color w:val="000000" w:themeColor="text1"/>
          <w:kern w:val="0"/>
          <w:sz w:val="24"/>
          <w:highlight w:val="none"/>
          <w14:textFill>
            <w14:solidFill>
              <w14:schemeClr w14:val="tx1"/>
            </w14:solidFill>
          </w14:textFill>
        </w:rPr>
        <w:t xml:space="preserve"> </w:t>
      </w:r>
      <w:r>
        <w:rPr>
          <w:rFonts w:hint="eastAsia" w:ascii="宋体" w:hAnsi="宋体" w:eastAsia="宋体" w:cs="宋体"/>
          <w:color w:val="000000" w:themeColor="text1"/>
          <w:kern w:val="0"/>
          <w:sz w:val="24"/>
          <w:highlight w:val="none"/>
          <w14:textFill>
            <w14:solidFill>
              <w14:schemeClr w14:val="tx1"/>
            </w14:solidFill>
          </w14:textFill>
        </w:rPr>
        <w:t>年    月    日</w:t>
      </w:r>
    </w:p>
    <w:p>
      <w:pPr>
        <w:pStyle w:val="2"/>
      </w:pPr>
    </w:p>
    <w:p/>
    <w:p>
      <w:pPr>
        <w:pStyle w:val="2"/>
      </w:pPr>
    </w:p>
    <w:p/>
    <w:p>
      <w:pPr>
        <w:pStyle w:val="2"/>
      </w:pPr>
    </w:p>
    <w:p/>
    <w:p>
      <w:pPr>
        <w:pStyle w:val="2"/>
        <w:pageBreakBefore w:val="0"/>
        <w:kinsoku/>
        <w:overflowPunct/>
        <w:topLinePunct w:val="0"/>
        <w:bidi w:val="0"/>
        <w:spacing w:before="0" w:beforeAutospacing="0" w:after="0" w:afterAutospacing="0" w:line="360" w:lineRule="auto"/>
        <w:rPr>
          <w:color w:val="auto"/>
          <w:highlight w:val="none"/>
        </w:rPr>
      </w:pPr>
      <w:r>
        <w:rPr>
          <w:rFonts w:hint="eastAsia"/>
          <w:color w:val="auto"/>
          <w:highlight w:val="none"/>
        </w:rPr>
        <w:br w:type="page"/>
      </w:r>
      <w:bookmarkStart w:id="76" w:name="_Toc226"/>
      <w:bookmarkStart w:id="77" w:name="_Toc15804"/>
      <w:r>
        <w:rPr>
          <w:rFonts w:hint="eastAsia" w:ascii="宋体" w:hAnsi="宋体" w:eastAsia="宋体" w:cs="宋体"/>
          <w:color w:val="auto"/>
          <w:highlight w:val="none"/>
        </w:rPr>
        <w:t>附件5               技术响应表（格式）</w:t>
      </w:r>
      <w:bookmarkEnd w:id="76"/>
      <w:bookmarkEnd w:id="77"/>
    </w:p>
    <w:p>
      <w:pPr>
        <w:pageBreakBefore w:val="0"/>
        <w:widowControl/>
        <w:kinsoku/>
        <w:wordWrap w:val="0"/>
        <w:overflowPunct/>
        <w:topLinePunct w:val="0"/>
        <w:bidi w:val="0"/>
        <w:snapToGrid w:val="0"/>
        <w:spacing w:beforeAutospacing="0" w:afterAutospacing="0" w:line="360" w:lineRule="auto"/>
        <w:jc w:val="left"/>
        <w:rPr>
          <w:rFonts w:hint="eastAsia" w:ascii="宋体" w:hAnsi="宋体" w:eastAsia="宋体" w:cs="宋体"/>
          <w:color w:val="auto"/>
          <w:kern w:val="0"/>
          <w:sz w:val="24"/>
          <w:highlight w:val="none"/>
          <w:u w:val="single"/>
          <w:lang w:eastAsia="zh-CN"/>
        </w:rPr>
      </w:pPr>
      <w:r>
        <w:rPr>
          <w:rFonts w:hint="eastAsia" w:cs="宋体"/>
          <w:color w:val="auto"/>
          <w:kern w:val="0"/>
          <w:sz w:val="24"/>
          <w:highlight w:val="none"/>
          <w:lang w:val="en-US" w:eastAsia="zh-CN"/>
        </w:rPr>
        <w:t xml:space="preserve"> </w:t>
      </w:r>
    </w:p>
    <w:tbl>
      <w:tblPr>
        <w:tblStyle w:val="33"/>
        <w:tblpPr w:leftFromText="180" w:rightFromText="180" w:vertAnchor="text" w:horzAnchor="page" w:tblpX="1410" w:tblpY="53"/>
        <w:tblOverlap w:val="never"/>
        <w:tblW w:w="89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9"/>
        <w:gridCol w:w="1712"/>
        <w:gridCol w:w="2114"/>
        <w:gridCol w:w="2273"/>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atLeast"/>
        </w:trPr>
        <w:tc>
          <w:tcPr>
            <w:tcW w:w="869" w:type="dxa"/>
            <w:vAlign w:val="center"/>
          </w:tcPr>
          <w:p>
            <w:pPr>
              <w:pageBreakBefore w:val="0"/>
              <w:kinsoku/>
              <w:overflowPunct/>
              <w:topLinePunct w:val="0"/>
              <w:bidi w:val="0"/>
              <w:spacing w:beforeAutospacing="0" w:afterAutospacing="0" w:line="360" w:lineRule="auto"/>
              <w:jc w:val="center"/>
              <w:rPr>
                <w:color w:val="auto"/>
                <w:sz w:val="24"/>
                <w:highlight w:val="none"/>
              </w:rPr>
            </w:pPr>
            <w:r>
              <w:rPr>
                <w:rFonts w:hint="eastAsia"/>
                <w:color w:val="auto"/>
                <w:sz w:val="24"/>
                <w:highlight w:val="none"/>
              </w:rPr>
              <w:t>序号</w:t>
            </w:r>
          </w:p>
        </w:tc>
        <w:tc>
          <w:tcPr>
            <w:tcW w:w="1712" w:type="dxa"/>
            <w:vAlign w:val="center"/>
          </w:tcPr>
          <w:p>
            <w:pPr>
              <w:pageBreakBefore w:val="0"/>
              <w:kinsoku/>
              <w:overflowPunct/>
              <w:topLinePunct w:val="0"/>
              <w:bidi w:val="0"/>
              <w:spacing w:beforeAutospacing="0" w:afterAutospacing="0" w:line="360" w:lineRule="auto"/>
              <w:jc w:val="center"/>
              <w:rPr>
                <w:color w:val="auto"/>
                <w:sz w:val="24"/>
                <w:highlight w:val="none"/>
              </w:rPr>
            </w:pPr>
            <w:r>
              <w:rPr>
                <w:rFonts w:hint="eastAsia"/>
                <w:color w:val="auto"/>
                <w:sz w:val="24"/>
                <w:highlight w:val="none"/>
              </w:rPr>
              <w:t>货物名称</w:t>
            </w:r>
          </w:p>
        </w:tc>
        <w:tc>
          <w:tcPr>
            <w:tcW w:w="2114" w:type="dxa"/>
            <w:vAlign w:val="center"/>
          </w:tcPr>
          <w:p>
            <w:pPr>
              <w:pageBreakBefore w:val="0"/>
              <w:kinsoku/>
              <w:overflowPunct/>
              <w:topLinePunct w:val="0"/>
              <w:bidi w:val="0"/>
              <w:spacing w:beforeAutospacing="0" w:afterAutospacing="0" w:line="360" w:lineRule="auto"/>
              <w:jc w:val="center"/>
              <w:rPr>
                <w:color w:val="auto"/>
                <w:sz w:val="24"/>
                <w:highlight w:val="none"/>
              </w:rPr>
            </w:pPr>
            <w:r>
              <w:rPr>
                <w:rFonts w:hint="eastAsia" w:ascii="宋体" w:hAnsi="宋体" w:cs="宋体"/>
                <w:color w:val="auto"/>
                <w:kern w:val="0"/>
                <w:sz w:val="24"/>
                <w:highlight w:val="none"/>
                <w:lang w:val="en-US" w:eastAsia="zh-CN"/>
              </w:rPr>
              <w:t>采购</w:t>
            </w:r>
            <w:r>
              <w:rPr>
                <w:rFonts w:hint="eastAsia" w:ascii="宋体" w:hAnsi="宋体" w:cs="宋体"/>
                <w:color w:val="auto"/>
                <w:kern w:val="0"/>
                <w:sz w:val="24"/>
                <w:highlight w:val="none"/>
              </w:rPr>
              <w:t>文件要求</w:t>
            </w:r>
          </w:p>
        </w:tc>
        <w:tc>
          <w:tcPr>
            <w:tcW w:w="2273" w:type="dxa"/>
            <w:vAlign w:val="center"/>
          </w:tcPr>
          <w:p>
            <w:pPr>
              <w:pageBreakBefore w:val="0"/>
              <w:kinsoku/>
              <w:overflowPunct/>
              <w:topLinePunct w:val="0"/>
              <w:bidi w:val="0"/>
              <w:spacing w:beforeAutospacing="0" w:afterAutospacing="0" w:line="360" w:lineRule="auto"/>
              <w:jc w:val="center"/>
              <w:rPr>
                <w:rFonts w:ascii="宋体" w:hAnsi="宋体" w:cs="宋体"/>
                <w:color w:val="auto"/>
                <w:sz w:val="24"/>
                <w:highlight w:val="none"/>
              </w:rPr>
            </w:pPr>
            <w:r>
              <w:rPr>
                <w:rFonts w:hint="eastAsia" w:ascii="宋体" w:hAnsi="宋体" w:cs="宋体"/>
                <w:color w:val="auto"/>
                <w:kern w:val="0"/>
                <w:sz w:val="24"/>
                <w:highlight w:val="none"/>
              </w:rPr>
              <w:t>投标文件响应</w:t>
            </w:r>
          </w:p>
        </w:tc>
        <w:tc>
          <w:tcPr>
            <w:tcW w:w="1952" w:type="dxa"/>
            <w:vAlign w:val="center"/>
          </w:tcPr>
          <w:p>
            <w:pPr>
              <w:pageBreakBefore w:val="0"/>
              <w:kinsoku/>
              <w:overflowPunct/>
              <w:topLinePunct w:val="0"/>
              <w:bidi w:val="0"/>
              <w:spacing w:beforeAutospacing="0" w:afterAutospacing="0" w:line="360" w:lineRule="auto"/>
              <w:jc w:val="center"/>
              <w:rPr>
                <w:rFonts w:ascii="宋体" w:hAnsi="宋体" w:cs="宋体"/>
                <w:color w:val="auto"/>
                <w:sz w:val="24"/>
                <w:highlight w:val="none"/>
              </w:rPr>
            </w:pPr>
            <w:r>
              <w:rPr>
                <w:rFonts w:hint="eastAsia" w:ascii="宋体" w:hAnsi="宋体" w:cs="宋体"/>
                <w:color w:val="auto"/>
                <w:kern w:val="0"/>
                <w:sz w:val="24"/>
                <w:highlight w:val="none"/>
              </w:rPr>
              <w:t>偏离情况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869" w:type="dxa"/>
            <w:vAlign w:val="center"/>
          </w:tcPr>
          <w:p>
            <w:pPr>
              <w:pageBreakBefore w:val="0"/>
              <w:kinsoku/>
              <w:overflowPunct/>
              <w:topLinePunct w:val="0"/>
              <w:bidi w:val="0"/>
              <w:spacing w:beforeAutospacing="0" w:afterAutospacing="0" w:line="360" w:lineRule="auto"/>
              <w:jc w:val="center"/>
              <w:rPr>
                <w:color w:val="auto"/>
                <w:sz w:val="24"/>
                <w:highlight w:val="none"/>
              </w:rPr>
            </w:pPr>
            <w:r>
              <w:rPr>
                <w:rFonts w:hint="eastAsia"/>
                <w:color w:val="auto"/>
                <w:sz w:val="24"/>
                <w:highlight w:val="none"/>
              </w:rPr>
              <w:t>1</w:t>
            </w:r>
          </w:p>
        </w:tc>
        <w:tc>
          <w:tcPr>
            <w:tcW w:w="1712" w:type="dxa"/>
            <w:vAlign w:val="center"/>
          </w:tcPr>
          <w:p>
            <w:pPr>
              <w:pageBreakBefore w:val="0"/>
              <w:kinsoku/>
              <w:overflowPunct/>
              <w:topLinePunct w:val="0"/>
              <w:bidi w:val="0"/>
              <w:spacing w:beforeAutospacing="0" w:afterAutospacing="0" w:line="360" w:lineRule="auto"/>
              <w:jc w:val="center"/>
              <w:rPr>
                <w:color w:val="auto"/>
                <w:sz w:val="24"/>
                <w:highlight w:val="none"/>
              </w:rPr>
            </w:pPr>
          </w:p>
        </w:tc>
        <w:tc>
          <w:tcPr>
            <w:tcW w:w="2114" w:type="dxa"/>
            <w:vAlign w:val="center"/>
          </w:tcPr>
          <w:p>
            <w:pPr>
              <w:pageBreakBefore w:val="0"/>
              <w:kinsoku/>
              <w:overflowPunct/>
              <w:topLinePunct w:val="0"/>
              <w:bidi w:val="0"/>
              <w:spacing w:beforeAutospacing="0" w:afterAutospacing="0" w:line="360" w:lineRule="auto"/>
              <w:jc w:val="center"/>
              <w:rPr>
                <w:color w:val="auto"/>
                <w:sz w:val="24"/>
                <w:highlight w:val="none"/>
              </w:rPr>
            </w:pPr>
          </w:p>
        </w:tc>
        <w:tc>
          <w:tcPr>
            <w:tcW w:w="2273" w:type="dxa"/>
            <w:vAlign w:val="center"/>
          </w:tcPr>
          <w:p>
            <w:pPr>
              <w:pageBreakBefore w:val="0"/>
              <w:kinsoku/>
              <w:overflowPunct/>
              <w:topLinePunct w:val="0"/>
              <w:bidi w:val="0"/>
              <w:spacing w:beforeAutospacing="0" w:afterAutospacing="0" w:line="360" w:lineRule="auto"/>
              <w:jc w:val="center"/>
              <w:rPr>
                <w:color w:val="auto"/>
                <w:sz w:val="24"/>
                <w:highlight w:val="none"/>
              </w:rPr>
            </w:pPr>
          </w:p>
        </w:tc>
        <w:tc>
          <w:tcPr>
            <w:tcW w:w="1952" w:type="dxa"/>
            <w:vAlign w:val="center"/>
          </w:tcPr>
          <w:p>
            <w:pPr>
              <w:pageBreakBefore w:val="0"/>
              <w:kinsoku/>
              <w:overflowPunct/>
              <w:topLinePunct w:val="0"/>
              <w:bidi w:val="0"/>
              <w:spacing w:beforeAutospacing="0" w:afterAutospacing="0" w:line="360" w:lineRule="auto"/>
              <w:jc w:val="center"/>
              <w:rPr>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869" w:type="dxa"/>
            <w:vAlign w:val="center"/>
          </w:tcPr>
          <w:p>
            <w:pPr>
              <w:pageBreakBefore w:val="0"/>
              <w:kinsoku/>
              <w:overflowPunct/>
              <w:topLinePunct w:val="0"/>
              <w:bidi w:val="0"/>
              <w:spacing w:beforeAutospacing="0" w:afterAutospacing="0" w:line="360" w:lineRule="auto"/>
              <w:jc w:val="center"/>
              <w:rPr>
                <w:color w:val="auto"/>
                <w:sz w:val="24"/>
                <w:highlight w:val="none"/>
              </w:rPr>
            </w:pPr>
            <w:r>
              <w:rPr>
                <w:rFonts w:hint="eastAsia"/>
                <w:color w:val="auto"/>
                <w:sz w:val="24"/>
                <w:highlight w:val="none"/>
              </w:rPr>
              <w:t>2</w:t>
            </w:r>
          </w:p>
        </w:tc>
        <w:tc>
          <w:tcPr>
            <w:tcW w:w="1712" w:type="dxa"/>
            <w:vAlign w:val="center"/>
          </w:tcPr>
          <w:p>
            <w:pPr>
              <w:pageBreakBefore w:val="0"/>
              <w:kinsoku/>
              <w:overflowPunct/>
              <w:topLinePunct w:val="0"/>
              <w:bidi w:val="0"/>
              <w:spacing w:beforeAutospacing="0" w:afterAutospacing="0" w:line="360" w:lineRule="auto"/>
              <w:jc w:val="center"/>
              <w:rPr>
                <w:color w:val="auto"/>
                <w:sz w:val="24"/>
                <w:highlight w:val="none"/>
              </w:rPr>
            </w:pPr>
          </w:p>
        </w:tc>
        <w:tc>
          <w:tcPr>
            <w:tcW w:w="2114" w:type="dxa"/>
            <w:vAlign w:val="center"/>
          </w:tcPr>
          <w:p>
            <w:pPr>
              <w:pageBreakBefore w:val="0"/>
              <w:kinsoku/>
              <w:overflowPunct/>
              <w:topLinePunct w:val="0"/>
              <w:bidi w:val="0"/>
              <w:spacing w:beforeAutospacing="0" w:afterAutospacing="0" w:line="360" w:lineRule="auto"/>
              <w:jc w:val="center"/>
              <w:rPr>
                <w:color w:val="auto"/>
                <w:sz w:val="24"/>
                <w:highlight w:val="none"/>
              </w:rPr>
            </w:pPr>
          </w:p>
        </w:tc>
        <w:tc>
          <w:tcPr>
            <w:tcW w:w="2273" w:type="dxa"/>
            <w:vAlign w:val="center"/>
          </w:tcPr>
          <w:p>
            <w:pPr>
              <w:pageBreakBefore w:val="0"/>
              <w:kinsoku/>
              <w:overflowPunct/>
              <w:topLinePunct w:val="0"/>
              <w:bidi w:val="0"/>
              <w:spacing w:beforeAutospacing="0" w:afterAutospacing="0" w:line="360" w:lineRule="auto"/>
              <w:jc w:val="center"/>
              <w:rPr>
                <w:bCs/>
                <w:color w:val="auto"/>
                <w:sz w:val="24"/>
                <w:highlight w:val="none"/>
              </w:rPr>
            </w:pPr>
          </w:p>
        </w:tc>
        <w:tc>
          <w:tcPr>
            <w:tcW w:w="1952" w:type="dxa"/>
            <w:vAlign w:val="center"/>
          </w:tcPr>
          <w:p>
            <w:pPr>
              <w:pageBreakBefore w:val="0"/>
              <w:kinsoku/>
              <w:overflowPunct/>
              <w:topLinePunct w:val="0"/>
              <w:bidi w:val="0"/>
              <w:spacing w:beforeAutospacing="0" w:afterAutospacing="0" w:line="360" w:lineRule="auto"/>
              <w:jc w:val="center"/>
              <w:rPr>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869" w:type="dxa"/>
            <w:vAlign w:val="center"/>
          </w:tcPr>
          <w:p>
            <w:pPr>
              <w:pageBreakBefore w:val="0"/>
              <w:kinsoku/>
              <w:overflowPunct/>
              <w:topLinePunct w:val="0"/>
              <w:bidi w:val="0"/>
              <w:spacing w:beforeAutospacing="0" w:afterAutospacing="0" w:line="360" w:lineRule="auto"/>
              <w:jc w:val="center"/>
              <w:rPr>
                <w:color w:val="auto"/>
                <w:sz w:val="24"/>
                <w:highlight w:val="none"/>
              </w:rPr>
            </w:pPr>
            <w:r>
              <w:rPr>
                <w:rFonts w:hint="eastAsia"/>
                <w:color w:val="auto"/>
                <w:sz w:val="24"/>
                <w:highlight w:val="none"/>
              </w:rPr>
              <w:t>3</w:t>
            </w:r>
          </w:p>
        </w:tc>
        <w:tc>
          <w:tcPr>
            <w:tcW w:w="1712" w:type="dxa"/>
            <w:vAlign w:val="center"/>
          </w:tcPr>
          <w:p>
            <w:pPr>
              <w:pageBreakBefore w:val="0"/>
              <w:kinsoku/>
              <w:overflowPunct/>
              <w:topLinePunct w:val="0"/>
              <w:bidi w:val="0"/>
              <w:spacing w:beforeAutospacing="0" w:afterAutospacing="0" w:line="360" w:lineRule="auto"/>
              <w:jc w:val="center"/>
              <w:rPr>
                <w:color w:val="auto"/>
                <w:sz w:val="24"/>
                <w:highlight w:val="none"/>
              </w:rPr>
            </w:pPr>
          </w:p>
        </w:tc>
        <w:tc>
          <w:tcPr>
            <w:tcW w:w="2114" w:type="dxa"/>
            <w:vAlign w:val="center"/>
          </w:tcPr>
          <w:p>
            <w:pPr>
              <w:pageBreakBefore w:val="0"/>
              <w:kinsoku/>
              <w:overflowPunct/>
              <w:topLinePunct w:val="0"/>
              <w:bidi w:val="0"/>
              <w:spacing w:beforeAutospacing="0" w:afterAutospacing="0" w:line="360" w:lineRule="auto"/>
              <w:jc w:val="center"/>
              <w:rPr>
                <w:color w:val="auto"/>
                <w:sz w:val="24"/>
                <w:highlight w:val="none"/>
              </w:rPr>
            </w:pPr>
          </w:p>
        </w:tc>
        <w:tc>
          <w:tcPr>
            <w:tcW w:w="2273" w:type="dxa"/>
            <w:vAlign w:val="center"/>
          </w:tcPr>
          <w:p>
            <w:pPr>
              <w:pageBreakBefore w:val="0"/>
              <w:kinsoku/>
              <w:overflowPunct/>
              <w:topLinePunct w:val="0"/>
              <w:bidi w:val="0"/>
              <w:spacing w:beforeAutospacing="0" w:afterAutospacing="0" w:line="360" w:lineRule="auto"/>
              <w:jc w:val="center"/>
              <w:rPr>
                <w:bCs/>
                <w:color w:val="auto"/>
                <w:sz w:val="24"/>
                <w:highlight w:val="none"/>
              </w:rPr>
            </w:pPr>
          </w:p>
        </w:tc>
        <w:tc>
          <w:tcPr>
            <w:tcW w:w="1952" w:type="dxa"/>
            <w:vAlign w:val="center"/>
          </w:tcPr>
          <w:p>
            <w:pPr>
              <w:pageBreakBefore w:val="0"/>
              <w:kinsoku/>
              <w:overflowPunct/>
              <w:topLinePunct w:val="0"/>
              <w:bidi w:val="0"/>
              <w:spacing w:beforeAutospacing="0" w:afterAutospacing="0" w:line="360" w:lineRule="auto"/>
              <w:jc w:val="center"/>
              <w:rPr>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869" w:type="dxa"/>
            <w:vAlign w:val="center"/>
          </w:tcPr>
          <w:p>
            <w:pPr>
              <w:pageBreakBefore w:val="0"/>
              <w:kinsoku/>
              <w:overflowPunct/>
              <w:topLinePunct w:val="0"/>
              <w:bidi w:val="0"/>
              <w:spacing w:beforeAutospacing="0" w:afterAutospacing="0" w:line="360" w:lineRule="auto"/>
              <w:jc w:val="center"/>
              <w:rPr>
                <w:color w:val="auto"/>
                <w:sz w:val="24"/>
                <w:highlight w:val="none"/>
              </w:rPr>
            </w:pPr>
            <w:r>
              <w:rPr>
                <w:rFonts w:hint="eastAsia"/>
                <w:color w:val="auto"/>
                <w:sz w:val="24"/>
                <w:highlight w:val="none"/>
              </w:rPr>
              <w:t>4</w:t>
            </w:r>
          </w:p>
        </w:tc>
        <w:tc>
          <w:tcPr>
            <w:tcW w:w="1712" w:type="dxa"/>
            <w:vAlign w:val="center"/>
          </w:tcPr>
          <w:p>
            <w:pPr>
              <w:pageBreakBefore w:val="0"/>
              <w:kinsoku/>
              <w:overflowPunct/>
              <w:topLinePunct w:val="0"/>
              <w:bidi w:val="0"/>
              <w:spacing w:beforeAutospacing="0" w:afterAutospacing="0" w:line="360" w:lineRule="auto"/>
              <w:jc w:val="center"/>
              <w:rPr>
                <w:color w:val="auto"/>
                <w:sz w:val="24"/>
                <w:highlight w:val="none"/>
              </w:rPr>
            </w:pPr>
          </w:p>
        </w:tc>
        <w:tc>
          <w:tcPr>
            <w:tcW w:w="2114" w:type="dxa"/>
            <w:vAlign w:val="center"/>
          </w:tcPr>
          <w:p>
            <w:pPr>
              <w:pageBreakBefore w:val="0"/>
              <w:kinsoku/>
              <w:overflowPunct/>
              <w:topLinePunct w:val="0"/>
              <w:bidi w:val="0"/>
              <w:spacing w:beforeAutospacing="0" w:afterAutospacing="0" w:line="360" w:lineRule="auto"/>
              <w:jc w:val="center"/>
              <w:rPr>
                <w:color w:val="auto"/>
                <w:sz w:val="24"/>
                <w:highlight w:val="none"/>
              </w:rPr>
            </w:pPr>
          </w:p>
        </w:tc>
        <w:tc>
          <w:tcPr>
            <w:tcW w:w="2273" w:type="dxa"/>
            <w:vAlign w:val="center"/>
          </w:tcPr>
          <w:p>
            <w:pPr>
              <w:pageBreakBefore w:val="0"/>
              <w:kinsoku/>
              <w:overflowPunct/>
              <w:topLinePunct w:val="0"/>
              <w:bidi w:val="0"/>
              <w:spacing w:beforeAutospacing="0" w:afterAutospacing="0" w:line="360" w:lineRule="auto"/>
              <w:jc w:val="center"/>
              <w:rPr>
                <w:bCs/>
                <w:color w:val="auto"/>
                <w:sz w:val="24"/>
                <w:highlight w:val="none"/>
              </w:rPr>
            </w:pPr>
          </w:p>
        </w:tc>
        <w:tc>
          <w:tcPr>
            <w:tcW w:w="1952" w:type="dxa"/>
            <w:vAlign w:val="center"/>
          </w:tcPr>
          <w:p>
            <w:pPr>
              <w:pageBreakBefore w:val="0"/>
              <w:kinsoku/>
              <w:overflowPunct/>
              <w:topLinePunct w:val="0"/>
              <w:bidi w:val="0"/>
              <w:spacing w:beforeAutospacing="0" w:afterAutospacing="0" w:line="360" w:lineRule="auto"/>
              <w:jc w:val="center"/>
              <w:rPr>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869" w:type="dxa"/>
            <w:vAlign w:val="center"/>
          </w:tcPr>
          <w:p>
            <w:pPr>
              <w:pageBreakBefore w:val="0"/>
              <w:kinsoku/>
              <w:overflowPunct/>
              <w:topLinePunct w:val="0"/>
              <w:bidi w:val="0"/>
              <w:spacing w:beforeAutospacing="0" w:afterAutospacing="0" w:line="360" w:lineRule="auto"/>
              <w:jc w:val="center"/>
              <w:rPr>
                <w:color w:val="auto"/>
                <w:sz w:val="24"/>
                <w:highlight w:val="none"/>
              </w:rPr>
            </w:pPr>
            <w:r>
              <w:rPr>
                <w:rFonts w:hint="eastAsia"/>
                <w:color w:val="auto"/>
                <w:sz w:val="24"/>
                <w:highlight w:val="none"/>
              </w:rPr>
              <w:t>...</w:t>
            </w:r>
          </w:p>
        </w:tc>
        <w:tc>
          <w:tcPr>
            <w:tcW w:w="1712" w:type="dxa"/>
            <w:vAlign w:val="center"/>
          </w:tcPr>
          <w:p>
            <w:pPr>
              <w:pageBreakBefore w:val="0"/>
              <w:kinsoku/>
              <w:overflowPunct/>
              <w:topLinePunct w:val="0"/>
              <w:bidi w:val="0"/>
              <w:spacing w:beforeAutospacing="0" w:afterAutospacing="0" w:line="360" w:lineRule="auto"/>
              <w:jc w:val="center"/>
              <w:rPr>
                <w:color w:val="auto"/>
                <w:sz w:val="24"/>
                <w:highlight w:val="none"/>
              </w:rPr>
            </w:pPr>
          </w:p>
        </w:tc>
        <w:tc>
          <w:tcPr>
            <w:tcW w:w="2114" w:type="dxa"/>
            <w:vAlign w:val="center"/>
          </w:tcPr>
          <w:p>
            <w:pPr>
              <w:pageBreakBefore w:val="0"/>
              <w:kinsoku/>
              <w:overflowPunct/>
              <w:topLinePunct w:val="0"/>
              <w:bidi w:val="0"/>
              <w:spacing w:beforeAutospacing="0" w:afterAutospacing="0" w:line="360" w:lineRule="auto"/>
              <w:jc w:val="center"/>
              <w:rPr>
                <w:bCs/>
                <w:color w:val="auto"/>
                <w:sz w:val="24"/>
                <w:highlight w:val="none"/>
              </w:rPr>
            </w:pPr>
          </w:p>
        </w:tc>
        <w:tc>
          <w:tcPr>
            <w:tcW w:w="2273" w:type="dxa"/>
            <w:vAlign w:val="center"/>
          </w:tcPr>
          <w:p>
            <w:pPr>
              <w:pageBreakBefore w:val="0"/>
              <w:kinsoku/>
              <w:overflowPunct/>
              <w:topLinePunct w:val="0"/>
              <w:bidi w:val="0"/>
              <w:spacing w:beforeAutospacing="0" w:afterAutospacing="0" w:line="360" w:lineRule="auto"/>
              <w:jc w:val="center"/>
              <w:rPr>
                <w:bCs/>
                <w:color w:val="auto"/>
                <w:sz w:val="24"/>
                <w:highlight w:val="none"/>
              </w:rPr>
            </w:pPr>
          </w:p>
        </w:tc>
        <w:tc>
          <w:tcPr>
            <w:tcW w:w="1952" w:type="dxa"/>
            <w:vAlign w:val="center"/>
          </w:tcPr>
          <w:p>
            <w:pPr>
              <w:pageBreakBefore w:val="0"/>
              <w:kinsoku/>
              <w:overflowPunct/>
              <w:topLinePunct w:val="0"/>
              <w:bidi w:val="0"/>
              <w:spacing w:beforeAutospacing="0" w:afterAutospacing="0" w:line="360" w:lineRule="auto"/>
              <w:jc w:val="center"/>
              <w:rPr>
                <w:bCs/>
                <w:color w:val="auto"/>
                <w:sz w:val="24"/>
                <w:highlight w:val="none"/>
              </w:rPr>
            </w:pPr>
          </w:p>
        </w:tc>
      </w:tr>
    </w:tbl>
    <w:p>
      <w:pPr>
        <w:pageBreakBefore w:val="0"/>
        <w:kinsoku/>
        <w:overflowPunct/>
        <w:topLinePunct w:val="0"/>
        <w:bidi w:val="0"/>
        <w:spacing w:beforeAutospacing="0" w:afterAutospacing="0" w:line="360" w:lineRule="auto"/>
        <w:rPr>
          <w:b/>
          <w:color w:val="auto"/>
          <w:kern w:val="0"/>
          <w:sz w:val="24"/>
          <w:highlight w:val="none"/>
        </w:rPr>
      </w:pPr>
    </w:p>
    <w:p>
      <w:pPr>
        <w:pageBreakBefore w:val="0"/>
        <w:widowControl/>
        <w:kinsoku/>
        <w:wordWrap w:val="0"/>
        <w:overflowPunct/>
        <w:topLinePunct w:val="0"/>
        <w:bidi w:val="0"/>
        <w:spacing w:beforeAutospacing="0" w:afterAutospacing="0" w:line="360" w:lineRule="auto"/>
        <w:jc w:val="left"/>
        <w:rPr>
          <w:rFonts w:ascii="宋体" w:hAnsi="宋体" w:cs="宋体"/>
          <w:bCs/>
          <w:color w:val="auto"/>
          <w:kern w:val="0"/>
          <w:sz w:val="24"/>
          <w:highlight w:val="none"/>
        </w:rPr>
      </w:pPr>
      <w:r>
        <w:rPr>
          <w:rFonts w:hint="eastAsia" w:ascii="宋体" w:hAnsi="宋体" w:cs="宋体"/>
          <w:bCs/>
          <w:color w:val="auto"/>
          <w:kern w:val="0"/>
          <w:sz w:val="24"/>
          <w:highlight w:val="none"/>
        </w:rPr>
        <w:t>注：投标人必须如实完整填写表格， “偏离情况”是指“正偏离”、“负偏离”或“无偏离”。</w:t>
      </w:r>
    </w:p>
    <w:p>
      <w:pPr>
        <w:pStyle w:val="53"/>
        <w:pageBreakBefore w:val="0"/>
        <w:kinsoku/>
        <w:overflowPunct/>
        <w:topLinePunct w:val="0"/>
        <w:bidi w:val="0"/>
        <w:spacing w:beforeAutospacing="0" w:afterAutospacing="0" w:line="360" w:lineRule="auto"/>
        <w:rPr>
          <w:bCs/>
          <w:color w:val="auto"/>
          <w:kern w:val="0"/>
          <w:highlight w:val="none"/>
        </w:rPr>
      </w:pPr>
    </w:p>
    <w:p>
      <w:pPr>
        <w:pStyle w:val="53"/>
        <w:pageBreakBefore w:val="0"/>
        <w:kinsoku/>
        <w:overflowPunct/>
        <w:topLinePunct w:val="0"/>
        <w:bidi w:val="0"/>
        <w:spacing w:beforeAutospacing="0" w:afterAutospacing="0" w:line="360" w:lineRule="auto"/>
        <w:rPr>
          <w:bCs/>
          <w:color w:val="auto"/>
          <w:kern w:val="0"/>
          <w:highlight w:val="none"/>
        </w:rPr>
      </w:pPr>
    </w:p>
    <w:p>
      <w:pPr>
        <w:pStyle w:val="53"/>
        <w:pageBreakBefore w:val="0"/>
        <w:kinsoku/>
        <w:overflowPunct/>
        <w:topLinePunct w:val="0"/>
        <w:bidi w:val="0"/>
        <w:spacing w:beforeAutospacing="0" w:afterAutospacing="0" w:line="360" w:lineRule="auto"/>
        <w:rPr>
          <w:bCs/>
          <w:color w:val="auto"/>
          <w:kern w:val="0"/>
          <w:highlight w:val="none"/>
        </w:rPr>
      </w:pPr>
    </w:p>
    <w:p>
      <w:pPr>
        <w:pageBreakBefore w:val="0"/>
        <w:widowControl/>
        <w:kinsoku/>
        <w:wordWrap w:val="0"/>
        <w:overflowPunct/>
        <w:topLinePunct w:val="0"/>
        <w:bidi w:val="0"/>
        <w:spacing w:beforeAutospacing="0" w:afterAutospacing="0" w:line="360" w:lineRule="auto"/>
        <w:ind w:firstLine="2760" w:firstLineChars="1150"/>
        <w:jc w:val="left"/>
        <w:rPr>
          <w:rFonts w:ascii="宋体" w:hAnsi="宋体" w:cs="宋体"/>
          <w:color w:val="auto"/>
          <w:kern w:val="0"/>
          <w:sz w:val="24"/>
          <w:highlight w:val="none"/>
          <w:u w:val="single"/>
        </w:rPr>
      </w:pPr>
      <w:r>
        <w:rPr>
          <w:rFonts w:hint="eastAsia" w:ascii="宋体" w:hAnsi="宋体" w:cs="宋体"/>
          <w:color w:val="auto"/>
          <w:kern w:val="0"/>
          <w:sz w:val="24"/>
          <w:highlight w:val="none"/>
        </w:rPr>
        <w:t xml:space="preserve">投标人代表签字： </w:t>
      </w:r>
    </w:p>
    <w:p>
      <w:pPr>
        <w:pageBreakBefore w:val="0"/>
        <w:widowControl/>
        <w:kinsoku/>
        <w:wordWrap w:val="0"/>
        <w:overflowPunct/>
        <w:topLinePunct w:val="0"/>
        <w:bidi w:val="0"/>
        <w:snapToGrid w:val="0"/>
        <w:spacing w:beforeAutospacing="0" w:afterAutospacing="0" w:line="360" w:lineRule="auto"/>
        <w:ind w:firstLine="2760" w:firstLineChars="1150"/>
        <w:jc w:val="left"/>
        <w:rPr>
          <w:rFonts w:ascii="宋体" w:hAnsi="宋体" w:cs="宋体"/>
          <w:color w:val="auto"/>
          <w:kern w:val="0"/>
          <w:sz w:val="52"/>
          <w:szCs w:val="52"/>
          <w:highlight w:val="none"/>
        </w:rPr>
      </w:pPr>
      <w:r>
        <w:rPr>
          <w:rFonts w:hint="eastAsia" w:ascii="宋体" w:hAnsi="宋体" w:cs="宋体"/>
          <w:color w:val="auto"/>
          <w:kern w:val="0"/>
          <w:sz w:val="24"/>
          <w:highlight w:val="none"/>
        </w:rPr>
        <w:t>投标人：（全称并加盖公章）</w:t>
      </w:r>
    </w:p>
    <w:p>
      <w:pPr>
        <w:pageBreakBefore w:val="0"/>
        <w:widowControl/>
        <w:kinsoku/>
        <w:wordWrap w:val="0"/>
        <w:overflowPunct/>
        <w:topLinePunct w:val="0"/>
        <w:bidi w:val="0"/>
        <w:snapToGrid w:val="0"/>
        <w:spacing w:beforeAutospacing="0" w:afterAutospacing="0" w:line="360" w:lineRule="auto"/>
        <w:ind w:firstLine="1040" w:firstLineChars="200"/>
        <w:jc w:val="left"/>
        <w:rPr>
          <w:rFonts w:ascii="宋体" w:hAnsi="宋体" w:cs="宋体"/>
          <w:color w:val="auto"/>
          <w:kern w:val="0"/>
          <w:sz w:val="52"/>
          <w:szCs w:val="52"/>
          <w:highlight w:val="none"/>
          <w:u w:val="single"/>
        </w:rPr>
      </w:pPr>
    </w:p>
    <w:p>
      <w:pPr>
        <w:pageBreakBefore w:val="0"/>
        <w:widowControl/>
        <w:kinsoku/>
        <w:wordWrap w:val="0"/>
        <w:overflowPunct/>
        <w:topLinePunct w:val="0"/>
        <w:bidi w:val="0"/>
        <w:spacing w:beforeAutospacing="0" w:afterAutospacing="0" w:line="360" w:lineRule="auto"/>
        <w:ind w:firstLine="4800" w:firstLineChars="2000"/>
        <w:jc w:val="left"/>
        <w:rPr>
          <w:rFonts w:ascii="宋体" w:hAnsi="宋体" w:cs="宋体"/>
          <w:color w:val="auto"/>
          <w:kern w:val="0"/>
          <w:sz w:val="24"/>
          <w:highlight w:val="none"/>
        </w:rPr>
      </w:pPr>
      <w:r>
        <w:rPr>
          <w:rFonts w:hint="eastAsia" w:ascii="宋体" w:hAnsi="宋体" w:cs="宋体"/>
          <w:color w:val="auto"/>
          <w:kern w:val="0"/>
          <w:sz w:val="24"/>
          <w:highlight w:val="none"/>
        </w:rPr>
        <w:t>年    月    日</w:t>
      </w:r>
    </w:p>
    <w:p>
      <w:pPr>
        <w:pageBreakBefore w:val="0"/>
        <w:kinsoku/>
        <w:overflowPunct/>
        <w:topLinePunct w:val="0"/>
        <w:bidi w:val="0"/>
        <w:spacing w:beforeAutospacing="0" w:afterAutospacing="0" w:line="360" w:lineRule="auto"/>
        <w:rPr>
          <w:rFonts w:ascii="宋体" w:hAnsi="宋体" w:cs="宋体"/>
          <w:b/>
          <w:color w:val="auto"/>
          <w:kern w:val="0"/>
          <w:sz w:val="24"/>
          <w:highlight w:val="none"/>
        </w:rPr>
      </w:pPr>
      <w:r>
        <w:rPr>
          <w:rFonts w:hint="eastAsia" w:ascii="宋体" w:hAnsi="宋体" w:cs="宋体"/>
          <w:b/>
          <w:color w:val="auto"/>
          <w:kern w:val="0"/>
          <w:sz w:val="24"/>
          <w:highlight w:val="none"/>
        </w:rPr>
        <w:br w:type="page"/>
      </w:r>
    </w:p>
    <w:p>
      <w:pPr>
        <w:pageBreakBefore w:val="0"/>
        <w:kinsoku/>
        <w:overflowPunct/>
        <w:topLinePunct w:val="0"/>
        <w:bidi w:val="0"/>
        <w:spacing w:beforeAutospacing="0" w:afterAutospacing="0" w:line="360" w:lineRule="auto"/>
        <w:rPr>
          <w:color w:val="auto"/>
          <w:highlight w:val="none"/>
        </w:rPr>
      </w:pPr>
    </w:p>
    <w:p>
      <w:pPr>
        <w:pageBreakBefore w:val="0"/>
        <w:widowControl/>
        <w:kinsoku/>
        <w:wordWrap w:val="0"/>
        <w:overflowPunct/>
        <w:topLinePunct w:val="0"/>
        <w:bidi w:val="0"/>
        <w:snapToGrid w:val="0"/>
        <w:spacing w:beforeAutospacing="0" w:afterAutospacing="0" w:line="360" w:lineRule="auto"/>
        <w:jc w:val="left"/>
        <w:outlineLvl w:val="0"/>
        <w:rPr>
          <w:rFonts w:hint="eastAsia" w:ascii="Arial" w:hAnsi="Arial" w:eastAsia="新宋体"/>
          <w:b/>
          <w:color w:val="auto"/>
          <w:sz w:val="24"/>
          <w:szCs w:val="24"/>
          <w:highlight w:val="none"/>
          <w:lang w:val="en-US" w:eastAsia="zh-CN"/>
        </w:rPr>
      </w:pPr>
      <w:bookmarkStart w:id="78" w:name="_Toc20420"/>
      <w:bookmarkStart w:id="79" w:name="_Toc29960"/>
      <w:r>
        <w:rPr>
          <w:rFonts w:hint="eastAsia" w:ascii="Arial" w:hAnsi="Arial" w:eastAsia="新宋体"/>
          <w:b/>
          <w:color w:val="auto"/>
          <w:sz w:val="28"/>
          <w:highlight w:val="none"/>
        </w:rPr>
        <w:t xml:space="preserve">附件6              </w:t>
      </w:r>
      <w:bookmarkEnd w:id="78"/>
      <w:bookmarkEnd w:id="79"/>
      <w:r>
        <w:rPr>
          <w:rFonts w:hint="eastAsia" w:ascii="Arial" w:hAnsi="Arial" w:eastAsia="新宋体"/>
          <w:b/>
          <w:color w:val="auto"/>
          <w:sz w:val="24"/>
          <w:szCs w:val="24"/>
          <w:highlight w:val="none"/>
        </w:rPr>
        <w:t>商务响应</w:t>
      </w:r>
      <w:r>
        <w:rPr>
          <w:rFonts w:hint="eastAsia" w:ascii="Arial" w:hAnsi="Arial" w:eastAsia="新宋体"/>
          <w:b/>
          <w:color w:val="auto"/>
          <w:sz w:val="24"/>
          <w:szCs w:val="24"/>
          <w:highlight w:val="none"/>
          <w:lang w:val="en-US" w:eastAsia="zh-CN"/>
        </w:rPr>
        <w:t>部分</w:t>
      </w:r>
    </w:p>
    <w:p>
      <w:pPr>
        <w:pageBreakBefore w:val="0"/>
        <w:widowControl/>
        <w:kinsoku/>
        <w:wordWrap w:val="0"/>
        <w:overflowPunct/>
        <w:topLinePunct w:val="0"/>
        <w:bidi w:val="0"/>
        <w:spacing w:beforeAutospacing="0" w:afterAutospacing="0" w:line="360" w:lineRule="auto"/>
        <w:jc w:val="left"/>
        <w:rPr>
          <w:rFonts w:hint="eastAsia" w:ascii="宋体" w:hAnsi="宋体" w:cs="宋体"/>
          <w:b/>
          <w:color w:val="auto"/>
          <w:kern w:val="0"/>
          <w:sz w:val="24"/>
          <w:szCs w:val="24"/>
          <w:highlight w:val="none"/>
          <w:lang w:val="en-US" w:eastAsia="zh-CN"/>
        </w:rPr>
      </w:pPr>
      <w:r>
        <w:rPr>
          <w:rFonts w:hint="eastAsia" w:ascii="宋体" w:hAnsi="宋体" w:cs="宋体"/>
          <w:b/>
          <w:color w:val="auto"/>
          <w:kern w:val="0"/>
          <w:sz w:val="24"/>
          <w:szCs w:val="24"/>
          <w:highlight w:val="none"/>
          <w:lang w:val="en-US" w:eastAsia="zh-CN"/>
        </w:rPr>
        <w:t xml:space="preserve">  </w:t>
      </w:r>
    </w:p>
    <w:p>
      <w:pPr>
        <w:pageBreakBefore w:val="0"/>
        <w:widowControl/>
        <w:kinsoku/>
        <w:wordWrap w:val="0"/>
        <w:overflowPunct/>
        <w:topLinePunct w:val="0"/>
        <w:bidi w:val="0"/>
        <w:spacing w:beforeAutospacing="0" w:afterAutospacing="0" w:line="360" w:lineRule="auto"/>
        <w:ind w:firstLine="482" w:firstLineChars="200"/>
        <w:jc w:val="left"/>
        <w:rPr>
          <w:rFonts w:hint="default" w:ascii="宋体" w:hAnsi="宋体" w:eastAsia="宋体" w:cs="宋体"/>
          <w:b/>
          <w:color w:val="auto"/>
          <w:kern w:val="0"/>
          <w:sz w:val="24"/>
          <w:szCs w:val="24"/>
          <w:highlight w:val="none"/>
          <w:lang w:val="en-US" w:eastAsia="zh-CN"/>
        </w:rPr>
      </w:pPr>
      <w:r>
        <w:rPr>
          <w:rFonts w:hint="eastAsia" w:ascii="宋体" w:hAnsi="宋体" w:cs="宋体"/>
          <w:b/>
          <w:color w:val="auto"/>
          <w:kern w:val="0"/>
          <w:sz w:val="24"/>
          <w:szCs w:val="24"/>
          <w:highlight w:val="none"/>
          <w:lang w:val="en-US" w:eastAsia="zh-CN"/>
        </w:rPr>
        <w:t>商务部分相关证明文件</w:t>
      </w:r>
    </w:p>
    <w:p>
      <w:pPr>
        <w:pageBreakBefore w:val="0"/>
        <w:widowControl/>
        <w:kinsoku/>
        <w:wordWrap w:val="0"/>
        <w:overflowPunct/>
        <w:topLinePunct w:val="0"/>
        <w:bidi w:val="0"/>
        <w:snapToGrid w:val="0"/>
        <w:spacing w:beforeAutospacing="0" w:afterAutospacing="0" w:line="360" w:lineRule="auto"/>
        <w:jc w:val="left"/>
        <w:outlineLvl w:val="0"/>
        <w:rPr>
          <w:rFonts w:ascii="Arial" w:hAnsi="Arial" w:eastAsia="新宋体"/>
          <w:b/>
          <w:color w:val="auto"/>
          <w:sz w:val="28"/>
          <w:highlight w:val="none"/>
        </w:rPr>
      </w:pPr>
    </w:p>
    <w:p>
      <w:pPr>
        <w:pageBreakBefore w:val="0"/>
        <w:widowControl/>
        <w:kinsoku/>
        <w:wordWrap w:val="0"/>
        <w:overflowPunct/>
        <w:topLinePunct w:val="0"/>
        <w:bidi w:val="0"/>
        <w:snapToGrid w:val="0"/>
        <w:spacing w:beforeAutospacing="0" w:afterAutospacing="0" w:line="360" w:lineRule="auto"/>
        <w:jc w:val="left"/>
        <w:rPr>
          <w:rFonts w:cs="宋体"/>
          <w:color w:val="auto"/>
          <w:kern w:val="0"/>
          <w:sz w:val="24"/>
          <w:highlight w:val="none"/>
        </w:rPr>
      </w:pPr>
    </w:p>
    <w:p>
      <w:pPr>
        <w:pageBreakBefore w:val="0"/>
        <w:widowControl/>
        <w:kinsoku/>
        <w:wordWrap w:val="0"/>
        <w:overflowPunct/>
        <w:topLinePunct w:val="0"/>
        <w:bidi w:val="0"/>
        <w:snapToGrid w:val="0"/>
        <w:spacing w:beforeAutospacing="0" w:afterAutospacing="0" w:line="360" w:lineRule="auto"/>
        <w:jc w:val="left"/>
        <w:rPr>
          <w:rFonts w:hint="eastAsia" w:ascii="宋体" w:hAnsi="宋体" w:eastAsia="宋体" w:cs="宋体"/>
          <w:color w:val="auto"/>
          <w:kern w:val="0"/>
          <w:sz w:val="24"/>
          <w:highlight w:val="none"/>
          <w:u w:val="single"/>
          <w:lang w:eastAsia="zh-CN"/>
        </w:rPr>
      </w:pPr>
      <w:r>
        <w:rPr>
          <w:rFonts w:hint="eastAsia" w:cs="宋体"/>
          <w:color w:val="auto"/>
          <w:kern w:val="0"/>
          <w:sz w:val="24"/>
          <w:highlight w:val="none"/>
          <w:lang w:eastAsia="zh-CN"/>
        </w:rPr>
        <w:t xml:space="preserve"> </w:t>
      </w:r>
    </w:p>
    <w:p>
      <w:pPr>
        <w:pageBreakBefore w:val="0"/>
        <w:widowControl/>
        <w:kinsoku/>
        <w:wordWrap w:val="0"/>
        <w:overflowPunct/>
        <w:topLinePunct w:val="0"/>
        <w:bidi w:val="0"/>
        <w:snapToGrid w:val="0"/>
        <w:spacing w:beforeAutospacing="0" w:afterAutospacing="0" w:line="360" w:lineRule="auto"/>
        <w:jc w:val="left"/>
        <w:rPr>
          <w:rFonts w:ascii="仿宋_GB2312" w:cs="宋体"/>
          <w:color w:val="auto"/>
          <w:kern w:val="0"/>
          <w:sz w:val="24"/>
          <w:highlight w:val="none"/>
        </w:rPr>
      </w:pPr>
    </w:p>
    <w:p>
      <w:pPr>
        <w:pageBreakBefore w:val="0"/>
        <w:kinsoku/>
        <w:overflowPunct/>
        <w:topLinePunct w:val="0"/>
        <w:bidi w:val="0"/>
        <w:spacing w:beforeAutospacing="0" w:afterAutospacing="0" w:line="360" w:lineRule="auto"/>
        <w:rPr>
          <w:rFonts w:cs="宋体"/>
          <w:b/>
          <w:color w:val="auto"/>
          <w:kern w:val="0"/>
          <w:sz w:val="24"/>
          <w:highlight w:val="none"/>
        </w:rPr>
      </w:pPr>
      <w:r>
        <w:rPr>
          <w:rFonts w:cs="宋体"/>
          <w:b/>
          <w:color w:val="auto"/>
          <w:kern w:val="0"/>
          <w:sz w:val="24"/>
          <w:highlight w:val="none"/>
        </w:rPr>
        <w:br w:type="page"/>
      </w:r>
    </w:p>
    <w:p>
      <w:pPr>
        <w:pStyle w:val="31"/>
        <w:pageBreakBefore w:val="0"/>
        <w:kinsoku/>
        <w:overflowPunct/>
        <w:topLinePunct w:val="0"/>
        <w:bidi w:val="0"/>
        <w:spacing w:beforeAutospacing="0" w:afterAutospacing="0" w:line="360" w:lineRule="auto"/>
        <w:rPr>
          <w:highlight w:val="none"/>
        </w:rPr>
      </w:pPr>
    </w:p>
    <w:p>
      <w:pPr>
        <w:pageBreakBefore w:val="0"/>
        <w:widowControl/>
        <w:kinsoku/>
        <w:wordWrap w:val="0"/>
        <w:overflowPunct/>
        <w:topLinePunct w:val="0"/>
        <w:bidi w:val="0"/>
        <w:spacing w:beforeAutospacing="0" w:afterAutospacing="0" w:line="360" w:lineRule="auto"/>
        <w:jc w:val="left"/>
        <w:outlineLvl w:val="0"/>
        <w:rPr>
          <w:rFonts w:ascii="Arial" w:hAnsi="Arial" w:eastAsia="新宋体"/>
          <w:b/>
          <w:color w:val="auto"/>
          <w:sz w:val="28"/>
          <w:highlight w:val="none"/>
        </w:rPr>
      </w:pPr>
      <w:bookmarkStart w:id="80" w:name="_Toc31526"/>
      <w:bookmarkStart w:id="81" w:name="_Toc28621"/>
      <w:r>
        <w:rPr>
          <w:rFonts w:hint="eastAsia" w:ascii="Arial" w:hAnsi="Arial" w:eastAsia="新宋体"/>
          <w:b/>
          <w:color w:val="auto"/>
          <w:sz w:val="28"/>
          <w:highlight w:val="none"/>
        </w:rPr>
        <w:t>附件7               法定代表人身份证明（格式）</w:t>
      </w:r>
      <w:bookmarkEnd w:id="80"/>
      <w:bookmarkEnd w:id="81"/>
    </w:p>
    <w:p>
      <w:pPr>
        <w:pageBreakBefore w:val="0"/>
        <w:widowControl/>
        <w:kinsoku/>
        <w:wordWrap w:val="0"/>
        <w:overflowPunct/>
        <w:topLinePunct w:val="0"/>
        <w:bidi w:val="0"/>
        <w:spacing w:beforeAutospacing="0" w:afterAutospacing="0" w:line="360" w:lineRule="auto"/>
        <w:jc w:val="left"/>
        <w:rPr>
          <w:rFonts w:ascii="宋体" w:hAnsi="宋体" w:cs="宋体"/>
          <w:color w:val="auto"/>
          <w:kern w:val="0"/>
          <w:sz w:val="24"/>
          <w:highlight w:val="none"/>
        </w:rPr>
      </w:pPr>
    </w:p>
    <w:p>
      <w:pPr>
        <w:pageBreakBefore w:val="0"/>
        <w:widowControl/>
        <w:kinsoku/>
        <w:wordWrap w:val="0"/>
        <w:overflowPunct/>
        <w:topLinePunct w:val="0"/>
        <w:bidi w:val="0"/>
        <w:spacing w:beforeAutospacing="0" w:afterAutospacing="0"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投标人名称：</w:t>
      </w:r>
      <w:r>
        <w:rPr>
          <w:rFonts w:hint="eastAsia" w:ascii="宋体" w:hAnsi="宋体" w:cs="宋体"/>
          <w:color w:val="auto"/>
          <w:kern w:val="0"/>
          <w:szCs w:val="21"/>
          <w:highlight w:val="none"/>
          <w:u w:val="single"/>
          <w:lang w:val="en-US" w:eastAsia="zh-CN"/>
        </w:rPr>
        <w:t xml:space="preserve">                                </w:t>
      </w:r>
    </w:p>
    <w:p>
      <w:pPr>
        <w:pageBreakBefore w:val="0"/>
        <w:widowControl/>
        <w:kinsoku/>
        <w:wordWrap w:val="0"/>
        <w:overflowPunct/>
        <w:topLinePunct w:val="0"/>
        <w:bidi w:val="0"/>
        <w:spacing w:beforeAutospacing="0" w:afterAutospacing="0" w:line="360" w:lineRule="auto"/>
        <w:ind w:firstLine="480" w:firstLineChars="200"/>
        <w:jc w:val="left"/>
        <w:rPr>
          <w:rFonts w:ascii="宋体" w:hAnsi="宋体" w:cs="宋体"/>
          <w:color w:val="auto"/>
          <w:kern w:val="0"/>
          <w:sz w:val="24"/>
          <w:highlight w:val="none"/>
          <w:u w:val="single"/>
        </w:rPr>
      </w:pPr>
      <w:r>
        <w:rPr>
          <w:rFonts w:hint="eastAsia" w:ascii="宋体" w:hAnsi="宋体" w:cs="宋体"/>
          <w:color w:val="auto"/>
          <w:kern w:val="0"/>
          <w:sz w:val="24"/>
          <w:highlight w:val="none"/>
        </w:rPr>
        <w:t>地址：</w:t>
      </w:r>
      <w:r>
        <w:rPr>
          <w:rFonts w:hint="eastAsia" w:ascii="宋体" w:hAnsi="宋体" w:cs="宋体"/>
          <w:color w:val="auto"/>
          <w:kern w:val="0"/>
          <w:szCs w:val="21"/>
          <w:highlight w:val="none"/>
          <w:u w:val="single"/>
          <w:lang w:val="en-US" w:eastAsia="zh-CN"/>
        </w:rPr>
        <w:t xml:space="preserve">                                        </w:t>
      </w:r>
    </w:p>
    <w:p>
      <w:pPr>
        <w:pageBreakBefore w:val="0"/>
        <w:widowControl/>
        <w:kinsoku/>
        <w:wordWrap w:val="0"/>
        <w:overflowPunct/>
        <w:topLinePunct w:val="0"/>
        <w:bidi w:val="0"/>
        <w:spacing w:beforeAutospacing="0" w:afterAutospacing="0" w:line="360" w:lineRule="auto"/>
        <w:ind w:firstLine="480" w:firstLineChars="200"/>
        <w:jc w:val="left"/>
        <w:rPr>
          <w:rFonts w:ascii="宋体" w:hAnsi="宋体" w:cs="宋体"/>
          <w:color w:val="auto"/>
          <w:kern w:val="0"/>
          <w:sz w:val="24"/>
          <w:szCs w:val="20"/>
          <w:highlight w:val="none"/>
        </w:rPr>
      </w:pPr>
      <w:r>
        <w:rPr>
          <w:rFonts w:hint="eastAsia" w:ascii="宋体" w:hAnsi="宋体" w:cs="宋体"/>
          <w:color w:val="auto"/>
          <w:kern w:val="0"/>
          <w:sz w:val="24"/>
          <w:highlight w:val="none"/>
        </w:rPr>
        <w:t>成立时间：</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lang w:val="en-US" w:eastAsia="zh-CN"/>
        </w:rPr>
        <w:t xml:space="preserve"> </w:t>
      </w:r>
      <w:r>
        <w:rPr>
          <w:rFonts w:hint="eastAsia" w:ascii="宋体" w:hAnsi="宋体" w:cs="宋体"/>
          <w:color w:val="auto"/>
          <w:kern w:val="0"/>
          <w:sz w:val="24"/>
          <w:szCs w:val="20"/>
          <w:highlight w:val="none"/>
        </w:rPr>
        <w:t>年</w:t>
      </w:r>
      <w:r>
        <w:rPr>
          <w:rFonts w:hint="eastAsia" w:ascii="宋体" w:hAnsi="宋体" w:cs="宋体"/>
          <w:color w:val="auto"/>
          <w:kern w:val="0"/>
          <w:sz w:val="24"/>
          <w:szCs w:val="20"/>
          <w:highlight w:val="none"/>
          <w:lang w:val="en-US" w:eastAsia="zh-CN"/>
        </w:rPr>
        <w:t xml:space="preserve">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月</w:t>
      </w:r>
      <w:r>
        <w:rPr>
          <w:rFonts w:hint="eastAsia" w:ascii="宋体" w:hAnsi="宋体" w:cs="宋体"/>
          <w:color w:val="auto"/>
          <w:kern w:val="0"/>
          <w:sz w:val="24"/>
          <w:szCs w:val="20"/>
          <w:highlight w:val="none"/>
          <w:lang w:val="en-US" w:eastAsia="zh-CN"/>
        </w:rPr>
        <w:t xml:space="preserve">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日</w:t>
      </w:r>
    </w:p>
    <w:p>
      <w:pPr>
        <w:pageBreakBefore w:val="0"/>
        <w:widowControl/>
        <w:kinsoku/>
        <w:wordWrap w:val="0"/>
        <w:overflowPunct/>
        <w:topLinePunct w:val="0"/>
        <w:bidi w:val="0"/>
        <w:spacing w:beforeAutospacing="0" w:afterAutospacing="0" w:line="360" w:lineRule="auto"/>
        <w:ind w:firstLine="480" w:firstLineChars="200"/>
        <w:jc w:val="left"/>
        <w:rPr>
          <w:rFonts w:ascii="宋体" w:hAnsi="宋体" w:cs="宋体"/>
          <w:color w:val="auto"/>
          <w:kern w:val="0"/>
          <w:sz w:val="24"/>
          <w:highlight w:val="none"/>
          <w:u w:val="single"/>
        </w:rPr>
      </w:pPr>
      <w:r>
        <w:rPr>
          <w:rFonts w:hint="eastAsia" w:ascii="宋体" w:hAnsi="宋体" w:cs="宋体"/>
          <w:color w:val="auto"/>
          <w:kern w:val="0"/>
          <w:sz w:val="24"/>
          <w:szCs w:val="20"/>
          <w:highlight w:val="none"/>
        </w:rPr>
        <w:t>经营期限：</w:t>
      </w:r>
      <w:r>
        <w:rPr>
          <w:rFonts w:hint="eastAsia" w:ascii="宋体" w:hAnsi="宋体" w:cs="宋体"/>
          <w:color w:val="auto"/>
          <w:kern w:val="0"/>
          <w:szCs w:val="21"/>
          <w:highlight w:val="none"/>
          <w:u w:val="single"/>
          <w:lang w:val="en-US" w:eastAsia="zh-CN"/>
        </w:rPr>
        <w:t xml:space="preserve">                        </w:t>
      </w:r>
    </w:p>
    <w:p>
      <w:pPr>
        <w:pageBreakBefore w:val="0"/>
        <w:widowControl/>
        <w:kinsoku/>
        <w:wordWrap w:val="0"/>
        <w:overflowPunct/>
        <w:topLinePunct w:val="0"/>
        <w:bidi w:val="0"/>
        <w:spacing w:beforeAutospacing="0" w:afterAutospacing="0" w:line="360" w:lineRule="auto"/>
        <w:ind w:firstLine="480" w:firstLineChars="200"/>
        <w:jc w:val="left"/>
        <w:rPr>
          <w:rFonts w:ascii="宋体" w:hAnsi="宋体" w:cs="宋体"/>
          <w:color w:val="auto"/>
          <w:kern w:val="0"/>
          <w:szCs w:val="21"/>
          <w:highlight w:val="none"/>
          <w:u w:val="single"/>
        </w:rPr>
      </w:pPr>
      <w:r>
        <w:rPr>
          <w:rFonts w:hint="eastAsia" w:ascii="宋体" w:hAnsi="宋体" w:cs="宋体"/>
          <w:color w:val="auto"/>
          <w:kern w:val="0"/>
          <w:sz w:val="24"/>
          <w:highlight w:val="none"/>
        </w:rPr>
        <w:t>姓名：</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lang w:val="en-US" w:eastAsia="zh-CN"/>
        </w:rPr>
        <w:t xml:space="preserve"> </w:t>
      </w:r>
      <w:r>
        <w:rPr>
          <w:rFonts w:hint="eastAsia" w:ascii="宋体" w:hAnsi="宋体" w:cs="宋体"/>
          <w:color w:val="auto"/>
          <w:kern w:val="0"/>
          <w:sz w:val="24"/>
          <w:szCs w:val="20"/>
          <w:highlight w:val="none"/>
        </w:rPr>
        <w:t>，性别：</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，年龄：</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，职务：</w:t>
      </w:r>
      <w:r>
        <w:rPr>
          <w:rFonts w:hint="eastAsia" w:ascii="宋体" w:hAnsi="宋体" w:cs="宋体"/>
          <w:color w:val="auto"/>
          <w:kern w:val="0"/>
          <w:szCs w:val="21"/>
          <w:highlight w:val="none"/>
          <w:u w:val="single"/>
          <w:lang w:val="en-US" w:eastAsia="zh-CN"/>
        </w:rPr>
        <w:t xml:space="preserve">        </w:t>
      </w:r>
    </w:p>
    <w:p>
      <w:pPr>
        <w:pageBreakBefore w:val="0"/>
        <w:widowControl/>
        <w:kinsoku/>
        <w:wordWrap w:val="0"/>
        <w:overflowPunct/>
        <w:topLinePunct w:val="0"/>
        <w:bidi w:val="0"/>
        <w:spacing w:beforeAutospacing="0" w:afterAutospacing="0" w:line="360" w:lineRule="auto"/>
        <w:jc w:val="left"/>
        <w:rPr>
          <w:rFonts w:ascii="宋体" w:hAnsi="宋体" w:cs="宋体"/>
          <w:color w:val="auto"/>
          <w:kern w:val="0"/>
          <w:sz w:val="24"/>
          <w:szCs w:val="20"/>
          <w:highlight w:val="none"/>
        </w:rPr>
      </w:pPr>
      <w:r>
        <w:rPr>
          <w:rFonts w:hint="eastAsia" w:ascii="宋体" w:hAnsi="宋体" w:cs="宋体"/>
          <w:color w:val="auto"/>
          <w:kern w:val="0"/>
          <w:sz w:val="24"/>
          <w:szCs w:val="20"/>
          <w:highlight w:val="none"/>
        </w:rPr>
        <w:t>系</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（投标人名称）的法定代表人。</w:t>
      </w:r>
    </w:p>
    <w:p>
      <w:pPr>
        <w:pageBreakBefore w:val="0"/>
        <w:widowControl/>
        <w:kinsoku/>
        <w:wordWrap w:val="0"/>
        <w:overflowPunct/>
        <w:topLinePunct w:val="0"/>
        <w:bidi w:val="0"/>
        <w:spacing w:beforeAutospacing="0" w:afterAutospacing="0" w:line="360" w:lineRule="auto"/>
        <w:jc w:val="left"/>
        <w:rPr>
          <w:rFonts w:ascii="宋体" w:hAnsi="宋体" w:cs="宋体"/>
          <w:color w:val="auto"/>
          <w:kern w:val="0"/>
          <w:sz w:val="24"/>
          <w:szCs w:val="20"/>
          <w:highlight w:val="none"/>
        </w:rPr>
      </w:pPr>
    </w:p>
    <w:p>
      <w:pPr>
        <w:pageBreakBefore w:val="0"/>
        <w:widowControl/>
        <w:kinsoku/>
        <w:wordWrap w:val="0"/>
        <w:overflowPunct/>
        <w:topLinePunct w:val="0"/>
        <w:bidi w:val="0"/>
        <w:spacing w:beforeAutospacing="0" w:afterAutospacing="0" w:line="360" w:lineRule="auto"/>
        <w:ind w:firstLine="480" w:firstLineChars="200"/>
        <w:jc w:val="left"/>
        <w:rPr>
          <w:rFonts w:ascii="宋体" w:hAnsi="宋体" w:cs="宋体"/>
          <w:color w:val="auto"/>
          <w:kern w:val="0"/>
          <w:sz w:val="24"/>
          <w:szCs w:val="20"/>
          <w:highlight w:val="none"/>
        </w:rPr>
      </w:pPr>
      <w:r>
        <w:rPr>
          <w:rFonts w:hint="eastAsia" w:ascii="宋体" w:hAnsi="宋体" w:cs="宋体"/>
          <w:color w:val="auto"/>
          <w:kern w:val="0"/>
          <w:sz w:val="24"/>
          <w:szCs w:val="20"/>
          <w:highlight w:val="none"/>
        </w:rPr>
        <w:t>特此证明。</w:t>
      </w:r>
    </w:p>
    <w:p>
      <w:pPr>
        <w:pageBreakBefore w:val="0"/>
        <w:widowControl/>
        <w:kinsoku/>
        <w:wordWrap w:val="0"/>
        <w:overflowPunct/>
        <w:topLinePunct w:val="0"/>
        <w:bidi w:val="0"/>
        <w:spacing w:beforeAutospacing="0" w:afterAutospacing="0" w:line="360" w:lineRule="auto"/>
        <w:jc w:val="left"/>
        <w:rPr>
          <w:rFonts w:ascii="宋体" w:hAnsi="宋体" w:cs="宋体"/>
          <w:color w:val="auto"/>
          <w:kern w:val="0"/>
          <w:sz w:val="24"/>
          <w:szCs w:val="20"/>
          <w:highlight w:val="none"/>
        </w:rPr>
      </w:pPr>
    </w:p>
    <w:p>
      <w:pPr>
        <w:pageBreakBefore w:val="0"/>
        <w:widowControl/>
        <w:kinsoku/>
        <w:wordWrap w:val="0"/>
        <w:overflowPunct/>
        <w:topLinePunct w:val="0"/>
        <w:bidi w:val="0"/>
        <w:spacing w:beforeAutospacing="0" w:afterAutospacing="0" w:line="360" w:lineRule="auto"/>
        <w:jc w:val="center"/>
        <w:rPr>
          <w:rFonts w:ascii="宋体" w:hAnsi="宋体" w:cs="Lucida Sans Unicode"/>
          <w:b/>
          <w:color w:val="auto"/>
          <w:kern w:val="0"/>
          <w:sz w:val="36"/>
          <w:szCs w:val="36"/>
          <w:highlight w:val="none"/>
        </w:rPr>
      </w:pPr>
    </w:p>
    <w:tbl>
      <w:tblPr>
        <w:tblStyle w:val="32"/>
        <w:tblpPr w:leftFromText="180" w:rightFromText="180" w:topFromText="100" w:bottomFromText="100" w:vertAnchor="text" w:horzAnchor="page" w:tblpX="2773" w:tblpY="20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0" w:hRule="atLeast"/>
        </w:trPr>
        <w:tc>
          <w:tcPr>
            <w:tcW w:w="5328" w:type="dxa"/>
            <w:tcBorders>
              <w:top w:val="single" w:color="auto" w:sz="4" w:space="0"/>
              <w:left w:val="single" w:color="auto" w:sz="4" w:space="0"/>
              <w:bottom w:val="single" w:color="auto" w:sz="4" w:space="0"/>
              <w:right w:val="single" w:color="auto" w:sz="4" w:space="0"/>
            </w:tcBorders>
          </w:tcPr>
          <w:p>
            <w:pPr>
              <w:pageBreakBefore w:val="0"/>
              <w:widowControl/>
              <w:kinsoku/>
              <w:overflowPunct/>
              <w:topLinePunct w:val="0"/>
              <w:bidi w:val="0"/>
              <w:spacing w:beforeAutospacing="0" w:afterAutospacing="0" w:line="360" w:lineRule="auto"/>
              <w:jc w:val="left"/>
              <w:rPr>
                <w:rFonts w:ascii="宋体" w:hAnsi="宋体" w:cs="Lucida Sans Unicode"/>
                <w:bCs/>
                <w:color w:val="auto"/>
                <w:kern w:val="0"/>
                <w:sz w:val="24"/>
                <w:highlight w:val="none"/>
              </w:rPr>
            </w:pPr>
            <w:r>
              <w:rPr>
                <w:rFonts w:hint="eastAsia" w:ascii="宋体" w:hAnsi="宋体" w:cs="Lucida Sans Unicode"/>
                <w:bCs/>
                <w:color w:val="auto"/>
                <w:kern w:val="0"/>
                <w:sz w:val="24"/>
                <w:highlight w:val="none"/>
              </w:rPr>
              <w:t>此处请粘贴法定代表人身份证复印件</w:t>
            </w:r>
          </w:p>
          <w:p>
            <w:pPr>
              <w:pageBreakBefore w:val="0"/>
              <w:widowControl/>
              <w:kinsoku/>
              <w:overflowPunct/>
              <w:topLinePunct w:val="0"/>
              <w:bidi w:val="0"/>
              <w:spacing w:beforeAutospacing="0" w:afterAutospacing="0" w:line="360" w:lineRule="auto"/>
              <w:jc w:val="left"/>
              <w:rPr>
                <w:rFonts w:ascii="仿宋_GB2312" w:hAnsi="Lucida Sans Unicode" w:eastAsia="仿宋_GB2312" w:cs="Lucida Sans Unicode"/>
                <w:color w:val="auto"/>
                <w:kern w:val="0"/>
                <w:sz w:val="24"/>
                <w:highlight w:val="none"/>
              </w:rPr>
            </w:pPr>
          </w:p>
          <w:p>
            <w:pPr>
              <w:pageBreakBefore w:val="0"/>
              <w:widowControl/>
              <w:kinsoku/>
              <w:overflowPunct/>
              <w:topLinePunct w:val="0"/>
              <w:bidi w:val="0"/>
              <w:spacing w:beforeAutospacing="0" w:afterAutospacing="0" w:line="360" w:lineRule="auto"/>
              <w:jc w:val="left"/>
              <w:rPr>
                <w:rFonts w:ascii="仿宋_GB2312" w:hAnsi="Lucida Sans Unicode" w:eastAsia="仿宋_GB2312" w:cs="Lucida Sans Unicode"/>
                <w:color w:val="auto"/>
                <w:kern w:val="0"/>
                <w:sz w:val="24"/>
                <w:highlight w:val="none"/>
              </w:rPr>
            </w:pPr>
          </w:p>
        </w:tc>
      </w:tr>
    </w:tbl>
    <w:p>
      <w:pPr>
        <w:pageBreakBefore w:val="0"/>
        <w:widowControl/>
        <w:kinsoku/>
        <w:wordWrap w:val="0"/>
        <w:overflowPunct/>
        <w:topLinePunct w:val="0"/>
        <w:bidi w:val="0"/>
        <w:spacing w:beforeAutospacing="0" w:afterAutospacing="0" w:line="360" w:lineRule="auto"/>
        <w:jc w:val="center"/>
        <w:rPr>
          <w:rFonts w:ascii="宋体" w:hAnsi="宋体" w:cs="Lucida Sans Unicode"/>
          <w:b/>
          <w:color w:val="auto"/>
          <w:kern w:val="0"/>
          <w:sz w:val="24"/>
          <w:highlight w:val="none"/>
        </w:rPr>
      </w:pPr>
    </w:p>
    <w:p>
      <w:pPr>
        <w:pageBreakBefore w:val="0"/>
        <w:widowControl/>
        <w:kinsoku/>
        <w:wordWrap w:val="0"/>
        <w:overflowPunct/>
        <w:topLinePunct w:val="0"/>
        <w:bidi w:val="0"/>
        <w:spacing w:beforeAutospacing="0" w:afterAutospacing="0" w:line="360" w:lineRule="auto"/>
        <w:jc w:val="center"/>
        <w:rPr>
          <w:rFonts w:ascii="Lucida Sans Unicode" w:hAnsi="Lucida Sans Unicode" w:cs="Lucida Sans Unicode"/>
          <w:b/>
          <w:color w:val="auto"/>
          <w:kern w:val="0"/>
          <w:sz w:val="36"/>
          <w:szCs w:val="36"/>
          <w:highlight w:val="none"/>
        </w:rPr>
      </w:pPr>
    </w:p>
    <w:p>
      <w:pPr>
        <w:pageBreakBefore w:val="0"/>
        <w:widowControl/>
        <w:kinsoku/>
        <w:wordWrap w:val="0"/>
        <w:overflowPunct/>
        <w:topLinePunct w:val="0"/>
        <w:bidi w:val="0"/>
        <w:spacing w:beforeAutospacing="0" w:afterAutospacing="0" w:line="360" w:lineRule="auto"/>
        <w:jc w:val="center"/>
        <w:rPr>
          <w:rFonts w:ascii="Lucida Sans Unicode" w:hAnsi="Lucida Sans Unicode" w:cs="Lucida Sans Unicode"/>
          <w:b/>
          <w:color w:val="auto"/>
          <w:kern w:val="0"/>
          <w:sz w:val="36"/>
          <w:szCs w:val="36"/>
          <w:highlight w:val="none"/>
        </w:rPr>
      </w:pPr>
    </w:p>
    <w:p>
      <w:pPr>
        <w:pageBreakBefore w:val="0"/>
        <w:widowControl/>
        <w:kinsoku/>
        <w:wordWrap w:val="0"/>
        <w:overflowPunct/>
        <w:topLinePunct w:val="0"/>
        <w:bidi w:val="0"/>
        <w:spacing w:beforeAutospacing="0" w:afterAutospacing="0" w:line="360" w:lineRule="auto"/>
        <w:jc w:val="right"/>
        <w:rPr>
          <w:rFonts w:ascii="仿宋_GB2312" w:hAnsi="仿宋_GB2312" w:eastAsia="仿宋_GB2312" w:cs="Lucida Sans Unicode"/>
          <w:color w:val="auto"/>
          <w:kern w:val="0"/>
          <w:sz w:val="24"/>
          <w:highlight w:val="none"/>
        </w:rPr>
      </w:pPr>
    </w:p>
    <w:p>
      <w:pPr>
        <w:pageBreakBefore w:val="0"/>
        <w:widowControl/>
        <w:kinsoku/>
        <w:wordWrap w:val="0"/>
        <w:overflowPunct/>
        <w:topLinePunct w:val="0"/>
        <w:bidi w:val="0"/>
        <w:spacing w:beforeAutospacing="0" w:afterAutospacing="0" w:line="360" w:lineRule="auto"/>
        <w:jc w:val="right"/>
        <w:rPr>
          <w:rFonts w:ascii="仿宋_GB2312" w:hAnsi="仿宋_GB2312" w:eastAsia="仿宋_GB2312" w:cs="Lucida Sans Unicode"/>
          <w:color w:val="auto"/>
          <w:kern w:val="0"/>
          <w:sz w:val="24"/>
          <w:highlight w:val="none"/>
        </w:rPr>
      </w:pPr>
    </w:p>
    <w:p>
      <w:pPr>
        <w:pageBreakBefore w:val="0"/>
        <w:widowControl/>
        <w:kinsoku/>
        <w:wordWrap w:val="0"/>
        <w:overflowPunct/>
        <w:topLinePunct w:val="0"/>
        <w:bidi w:val="0"/>
        <w:snapToGrid w:val="0"/>
        <w:spacing w:beforeAutospacing="0" w:afterAutospacing="0" w:line="360" w:lineRule="auto"/>
        <w:ind w:firstLine="2760" w:firstLineChars="1150"/>
        <w:jc w:val="left"/>
        <w:rPr>
          <w:rFonts w:ascii="宋体" w:hAnsi="宋体" w:cs="宋体"/>
          <w:color w:val="auto"/>
          <w:kern w:val="0"/>
          <w:sz w:val="24"/>
          <w:highlight w:val="none"/>
        </w:rPr>
      </w:pPr>
      <w:r>
        <w:rPr>
          <w:rFonts w:hint="eastAsia" w:ascii="宋体" w:hAnsi="宋体" w:cs="宋体"/>
          <w:color w:val="auto"/>
          <w:kern w:val="0"/>
          <w:sz w:val="24"/>
          <w:highlight w:val="none"/>
        </w:rPr>
        <w:t>投标人：</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（全称并加盖公章）</w:t>
      </w:r>
    </w:p>
    <w:p>
      <w:pPr>
        <w:pageBreakBefore w:val="0"/>
        <w:widowControl/>
        <w:kinsoku/>
        <w:wordWrap w:val="0"/>
        <w:overflowPunct/>
        <w:topLinePunct w:val="0"/>
        <w:bidi w:val="0"/>
        <w:spacing w:beforeAutospacing="0" w:afterAutospacing="0" w:line="360" w:lineRule="auto"/>
        <w:ind w:left="3780" w:leftChars="1800"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年    月    日</w:t>
      </w:r>
    </w:p>
    <w:p>
      <w:pPr>
        <w:pageBreakBefore w:val="0"/>
        <w:kinsoku/>
        <w:overflowPunct/>
        <w:topLinePunct w:val="0"/>
        <w:bidi w:val="0"/>
        <w:spacing w:beforeAutospacing="0" w:afterAutospacing="0" w:line="360" w:lineRule="auto"/>
        <w:rPr>
          <w:color w:val="auto"/>
          <w:highlight w:val="none"/>
        </w:rPr>
      </w:pPr>
    </w:p>
    <w:p>
      <w:pPr>
        <w:pageBreakBefore w:val="0"/>
        <w:kinsoku/>
        <w:overflowPunct/>
        <w:topLinePunct w:val="0"/>
        <w:bidi w:val="0"/>
        <w:spacing w:beforeAutospacing="0" w:afterAutospacing="0" w:line="360" w:lineRule="auto"/>
        <w:rPr>
          <w:color w:val="auto"/>
          <w:highlight w:val="none"/>
        </w:rPr>
      </w:pPr>
      <w:r>
        <w:rPr>
          <w:color w:val="auto"/>
          <w:highlight w:val="none"/>
        </w:rPr>
        <w:br w:type="page"/>
      </w:r>
    </w:p>
    <w:p>
      <w:pPr>
        <w:pStyle w:val="53"/>
        <w:pageBreakBefore w:val="0"/>
        <w:kinsoku/>
        <w:overflowPunct/>
        <w:topLinePunct w:val="0"/>
        <w:bidi w:val="0"/>
        <w:spacing w:beforeAutospacing="0" w:afterAutospacing="0" w:line="360" w:lineRule="auto"/>
        <w:rPr>
          <w:color w:val="auto"/>
          <w:highlight w:val="none"/>
        </w:rPr>
      </w:pPr>
    </w:p>
    <w:p>
      <w:pPr>
        <w:pageBreakBefore w:val="0"/>
        <w:widowControl/>
        <w:kinsoku/>
        <w:wordWrap w:val="0"/>
        <w:overflowPunct/>
        <w:topLinePunct w:val="0"/>
        <w:bidi w:val="0"/>
        <w:spacing w:beforeAutospacing="0" w:afterAutospacing="0" w:line="360" w:lineRule="auto"/>
        <w:ind w:firstLine="365" w:firstLineChars="130"/>
        <w:jc w:val="left"/>
        <w:outlineLvl w:val="0"/>
        <w:rPr>
          <w:rFonts w:ascii="Arial" w:hAnsi="Arial" w:eastAsia="新宋体"/>
          <w:b/>
          <w:color w:val="auto"/>
          <w:sz w:val="28"/>
          <w:highlight w:val="none"/>
        </w:rPr>
      </w:pPr>
      <w:bookmarkStart w:id="82" w:name="_Toc13976"/>
      <w:bookmarkStart w:id="83" w:name="_Toc30519"/>
      <w:r>
        <w:rPr>
          <w:rFonts w:hint="eastAsia" w:ascii="Arial" w:hAnsi="Arial" w:eastAsia="新宋体"/>
          <w:b/>
          <w:color w:val="auto"/>
          <w:sz w:val="28"/>
          <w:highlight w:val="none"/>
        </w:rPr>
        <w:t>附件8               法定代表人授权书（格式）</w:t>
      </w:r>
      <w:bookmarkEnd w:id="82"/>
      <w:bookmarkEnd w:id="83"/>
    </w:p>
    <w:p>
      <w:pPr>
        <w:pageBreakBefore w:val="0"/>
        <w:widowControl/>
        <w:tabs>
          <w:tab w:val="left" w:pos="420"/>
          <w:tab w:val="left" w:pos="2160"/>
        </w:tabs>
        <w:kinsoku/>
        <w:wordWrap w:val="0"/>
        <w:overflowPunct/>
        <w:topLinePunct w:val="0"/>
        <w:bidi w:val="0"/>
        <w:spacing w:beforeAutospacing="0" w:afterAutospacing="0" w:line="360" w:lineRule="auto"/>
        <w:ind w:firstLine="480" w:firstLineChars="200"/>
        <w:jc w:val="left"/>
        <w:rPr>
          <w:rFonts w:ascii="宋体" w:hAnsi="宋体" w:cs="宋体"/>
          <w:color w:val="auto"/>
          <w:kern w:val="0"/>
          <w:sz w:val="24"/>
          <w:highlight w:val="none"/>
        </w:rPr>
      </w:pPr>
    </w:p>
    <w:p>
      <w:pPr>
        <w:pageBreakBefore w:val="0"/>
        <w:widowControl/>
        <w:kinsoku/>
        <w:wordWrap w:val="0"/>
        <w:overflowPunct/>
        <w:topLinePunct w:val="0"/>
        <w:bidi w:val="0"/>
        <w:snapToGrid w:val="0"/>
        <w:spacing w:beforeAutospacing="0" w:afterAutospacing="0" w:line="360" w:lineRule="auto"/>
        <w:jc w:val="left"/>
        <w:rPr>
          <w:rFonts w:ascii="宋体" w:hAnsi="宋体" w:cs="宋体"/>
          <w:b/>
          <w:bCs/>
          <w:color w:val="auto"/>
          <w:kern w:val="0"/>
          <w:sz w:val="24"/>
          <w:highlight w:val="none"/>
        </w:rPr>
      </w:pPr>
      <w:r>
        <w:rPr>
          <w:rFonts w:hint="eastAsia" w:ascii="宋体" w:hAnsi="宋体" w:cs="宋体"/>
          <w:bCs/>
          <w:color w:val="auto"/>
          <w:kern w:val="0"/>
          <w:sz w:val="24"/>
          <w:highlight w:val="none"/>
        </w:rPr>
        <w:t>致：</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w:t>
      </w:r>
      <w:r>
        <w:rPr>
          <w:rFonts w:hint="eastAsia" w:ascii="宋体" w:hAnsi="宋体" w:cs="宋体"/>
          <w:color w:val="auto"/>
          <w:kern w:val="0"/>
          <w:sz w:val="24"/>
          <w:highlight w:val="none"/>
          <w:lang w:eastAsia="zh-CN"/>
        </w:rPr>
        <w:t>采购人</w:t>
      </w:r>
      <w:r>
        <w:rPr>
          <w:rFonts w:hint="eastAsia" w:ascii="宋体" w:hAnsi="宋体" w:cs="宋体"/>
          <w:color w:val="auto"/>
          <w:kern w:val="0"/>
          <w:sz w:val="24"/>
          <w:highlight w:val="none"/>
        </w:rPr>
        <w:t>名称）：</w:t>
      </w:r>
    </w:p>
    <w:p>
      <w:pPr>
        <w:pageBreakBefore w:val="0"/>
        <w:widowControl/>
        <w:kinsoku/>
        <w:wordWrap w:val="0"/>
        <w:overflowPunct/>
        <w:topLinePunct w:val="0"/>
        <w:bidi w:val="0"/>
        <w:snapToGrid w:val="0"/>
        <w:spacing w:beforeAutospacing="0" w:afterAutospacing="0"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我</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（姓名）系</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 xml:space="preserve">（投标人名称）的法定代表人，现委托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（姓名）为我方代理人。代理人根据本授权，以我方的名义参加</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项目的投标活动，并代表我方全权办理针对上述项目的投标、开标、评标、签约等具体事务和签署相关文件。</w:t>
      </w:r>
    </w:p>
    <w:p>
      <w:pPr>
        <w:pageBreakBefore w:val="0"/>
        <w:widowControl/>
        <w:kinsoku/>
        <w:wordWrap w:val="0"/>
        <w:overflowPunct/>
        <w:topLinePunct w:val="0"/>
        <w:bidi w:val="0"/>
        <w:snapToGrid w:val="0"/>
        <w:spacing w:beforeAutospacing="0" w:afterAutospacing="0"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我方对代理人的签名负全部责任。在撤销授权的书面通知以前，本授权书一直有效。代理人在授权书有效期内签署的所有文件不因授权的撤销而失效。</w:t>
      </w:r>
    </w:p>
    <w:p>
      <w:pPr>
        <w:pageBreakBefore w:val="0"/>
        <w:widowControl/>
        <w:kinsoku/>
        <w:wordWrap w:val="0"/>
        <w:overflowPunct/>
        <w:topLinePunct w:val="0"/>
        <w:bidi w:val="0"/>
        <w:snapToGrid w:val="0"/>
        <w:spacing w:beforeAutospacing="0" w:afterAutospacing="0"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如果本次采购活动现场变更采购方式，本授权书有效。</w:t>
      </w:r>
    </w:p>
    <w:p>
      <w:pPr>
        <w:pageBreakBefore w:val="0"/>
        <w:widowControl/>
        <w:kinsoku/>
        <w:wordWrap w:val="0"/>
        <w:overflowPunct/>
        <w:topLinePunct w:val="0"/>
        <w:bidi w:val="0"/>
        <w:snapToGrid w:val="0"/>
        <w:spacing w:beforeAutospacing="0" w:afterAutospacing="0"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代理人无转委托权。</w:t>
      </w:r>
    </w:p>
    <w:p>
      <w:pPr>
        <w:pageBreakBefore w:val="0"/>
        <w:widowControl/>
        <w:kinsoku/>
        <w:wordWrap w:val="0"/>
        <w:overflowPunct/>
        <w:topLinePunct w:val="0"/>
        <w:bidi w:val="0"/>
        <w:snapToGrid w:val="0"/>
        <w:spacing w:beforeAutospacing="0" w:afterAutospacing="0"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委托期限：</w:t>
      </w:r>
    </w:p>
    <w:p>
      <w:pPr>
        <w:pageBreakBefore w:val="0"/>
        <w:widowControl/>
        <w:kinsoku/>
        <w:wordWrap w:val="0"/>
        <w:overflowPunct/>
        <w:topLinePunct w:val="0"/>
        <w:bidi w:val="0"/>
        <w:snapToGrid w:val="0"/>
        <w:spacing w:beforeAutospacing="0" w:afterAutospacing="0" w:line="360" w:lineRule="auto"/>
        <w:ind w:firstLine="480" w:firstLineChars="200"/>
        <w:jc w:val="left"/>
        <w:rPr>
          <w:rFonts w:ascii="宋体" w:hAnsi="宋体" w:cs="宋体"/>
          <w:color w:val="auto"/>
          <w:kern w:val="0"/>
          <w:sz w:val="24"/>
          <w:highlight w:val="none"/>
        </w:rPr>
      </w:pPr>
    </w:p>
    <w:p>
      <w:pPr>
        <w:pageBreakBefore w:val="0"/>
        <w:widowControl/>
        <w:kinsoku/>
        <w:wordWrap w:val="0"/>
        <w:overflowPunct/>
        <w:topLinePunct w:val="0"/>
        <w:bidi w:val="0"/>
        <w:snapToGrid w:val="0"/>
        <w:spacing w:beforeAutospacing="0" w:afterAutospacing="0" w:line="360" w:lineRule="auto"/>
        <w:ind w:firstLine="480" w:firstLineChars="200"/>
        <w:jc w:val="left"/>
        <w:rPr>
          <w:rFonts w:ascii="宋体" w:hAnsi="宋体" w:cs="宋体"/>
          <w:color w:val="auto"/>
          <w:kern w:val="0"/>
          <w:sz w:val="24"/>
          <w:highlight w:val="none"/>
          <w:u w:val="single"/>
        </w:rPr>
      </w:pPr>
      <w:r>
        <w:rPr>
          <w:rFonts w:hint="eastAsia" w:ascii="宋体" w:hAnsi="宋体" w:cs="宋体"/>
          <w:color w:val="auto"/>
          <w:kern w:val="0"/>
          <w:sz w:val="24"/>
          <w:highlight w:val="none"/>
        </w:rPr>
        <w:t>委托代理人签名：             法定代表人签名：</w:t>
      </w:r>
    </w:p>
    <w:p>
      <w:pPr>
        <w:pageBreakBefore w:val="0"/>
        <w:widowControl/>
        <w:kinsoku/>
        <w:wordWrap w:val="0"/>
        <w:overflowPunct/>
        <w:topLinePunct w:val="0"/>
        <w:bidi w:val="0"/>
        <w:snapToGrid w:val="0"/>
        <w:spacing w:beforeAutospacing="0" w:afterAutospacing="0"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职务：                      职务：</w:t>
      </w:r>
    </w:p>
    <w:tbl>
      <w:tblPr>
        <w:tblStyle w:val="32"/>
        <w:tblpPr w:leftFromText="180" w:rightFromText="180" w:topFromText="100" w:bottomFromText="100" w:vertAnchor="text" w:horzAnchor="page" w:tblpX="2551" w:tblpY="9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2" w:hRule="atLeast"/>
        </w:trPr>
        <w:tc>
          <w:tcPr>
            <w:tcW w:w="5508" w:type="dxa"/>
            <w:tcBorders>
              <w:top w:val="single" w:color="auto" w:sz="4" w:space="0"/>
              <w:left w:val="single" w:color="auto" w:sz="4" w:space="0"/>
              <w:bottom w:val="single" w:color="auto" w:sz="4" w:space="0"/>
              <w:right w:val="single" w:color="auto" w:sz="4" w:space="0"/>
            </w:tcBorders>
          </w:tcPr>
          <w:p>
            <w:pPr>
              <w:pageBreakBefore w:val="0"/>
              <w:widowControl/>
              <w:kinsoku/>
              <w:overflowPunct/>
              <w:topLinePunct w:val="0"/>
              <w:bidi w:val="0"/>
              <w:spacing w:beforeAutospacing="0" w:afterAutospacing="0" w:line="360" w:lineRule="auto"/>
              <w:jc w:val="left"/>
              <w:rPr>
                <w:rFonts w:ascii="宋体" w:hAnsi="宋体" w:cs="Lucida Sans Unicode"/>
                <w:color w:val="auto"/>
                <w:kern w:val="0"/>
                <w:sz w:val="24"/>
                <w:highlight w:val="none"/>
              </w:rPr>
            </w:pPr>
            <w:r>
              <w:rPr>
                <w:rFonts w:hint="eastAsia" w:ascii="宋体" w:hAnsi="宋体" w:cs="Lucida Sans Unicode"/>
                <w:bCs/>
                <w:color w:val="auto"/>
                <w:kern w:val="0"/>
                <w:sz w:val="24"/>
                <w:highlight w:val="none"/>
              </w:rPr>
              <w:t>此处请粘贴</w:t>
            </w:r>
            <w:r>
              <w:rPr>
                <w:rFonts w:hint="eastAsia" w:ascii="宋体" w:hAnsi="宋体" w:cs="宋体"/>
                <w:color w:val="auto"/>
                <w:kern w:val="0"/>
                <w:sz w:val="24"/>
                <w:highlight w:val="none"/>
              </w:rPr>
              <w:t>委托代理人</w:t>
            </w:r>
            <w:r>
              <w:rPr>
                <w:rFonts w:hint="eastAsia" w:ascii="宋体" w:hAnsi="宋体" w:cs="Lucida Sans Unicode"/>
                <w:bCs/>
                <w:color w:val="auto"/>
                <w:kern w:val="0"/>
                <w:sz w:val="24"/>
                <w:highlight w:val="none"/>
              </w:rPr>
              <w:t>身份证复印件</w:t>
            </w:r>
          </w:p>
        </w:tc>
      </w:tr>
    </w:tbl>
    <w:p>
      <w:pPr>
        <w:pageBreakBefore w:val="0"/>
        <w:widowControl/>
        <w:kinsoku/>
        <w:wordWrap w:val="0"/>
        <w:overflowPunct/>
        <w:topLinePunct w:val="0"/>
        <w:bidi w:val="0"/>
        <w:snapToGrid w:val="0"/>
        <w:spacing w:beforeAutospacing="0" w:afterAutospacing="0"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委托代理人身份证号码：</w:t>
      </w:r>
    </w:p>
    <w:p>
      <w:pPr>
        <w:pageBreakBefore w:val="0"/>
        <w:widowControl/>
        <w:kinsoku/>
        <w:wordWrap w:val="0"/>
        <w:overflowPunct/>
        <w:topLinePunct w:val="0"/>
        <w:bidi w:val="0"/>
        <w:spacing w:beforeAutospacing="0" w:afterAutospacing="0" w:line="360" w:lineRule="auto"/>
        <w:ind w:firstLine="4800" w:firstLineChars="2000"/>
        <w:jc w:val="left"/>
        <w:rPr>
          <w:rFonts w:ascii="仿宋_GB2312" w:hAnsi="Lucida Sans Unicode" w:eastAsia="仿宋_GB2312" w:cs="Lucida Sans Unicode"/>
          <w:color w:val="auto"/>
          <w:kern w:val="0"/>
          <w:sz w:val="24"/>
          <w:highlight w:val="none"/>
        </w:rPr>
      </w:pPr>
    </w:p>
    <w:p>
      <w:pPr>
        <w:pageBreakBefore w:val="0"/>
        <w:widowControl/>
        <w:kinsoku/>
        <w:wordWrap w:val="0"/>
        <w:overflowPunct/>
        <w:topLinePunct w:val="0"/>
        <w:bidi w:val="0"/>
        <w:spacing w:beforeAutospacing="0" w:afterAutospacing="0" w:line="360" w:lineRule="auto"/>
        <w:jc w:val="center"/>
        <w:rPr>
          <w:rFonts w:ascii="仿宋_GB2312" w:hAnsi="Lucida Sans Unicode" w:eastAsia="仿宋_GB2312" w:cs="Lucida Sans Unicode"/>
          <w:color w:val="auto"/>
          <w:kern w:val="0"/>
          <w:sz w:val="24"/>
          <w:highlight w:val="none"/>
        </w:rPr>
      </w:pPr>
    </w:p>
    <w:p>
      <w:pPr>
        <w:pageBreakBefore w:val="0"/>
        <w:widowControl/>
        <w:kinsoku/>
        <w:wordWrap w:val="0"/>
        <w:overflowPunct/>
        <w:topLinePunct w:val="0"/>
        <w:bidi w:val="0"/>
        <w:spacing w:beforeAutospacing="0" w:afterAutospacing="0" w:line="360" w:lineRule="auto"/>
        <w:jc w:val="right"/>
        <w:rPr>
          <w:rFonts w:hint="eastAsia" w:ascii="宋体" w:hAnsi="宋体" w:cs="宋体"/>
          <w:color w:val="auto"/>
          <w:kern w:val="0"/>
          <w:sz w:val="24"/>
          <w:highlight w:val="none"/>
        </w:rPr>
      </w:pPr>
    </w:p>
    <w:p>
      <w:pPr>
        <w:pageBreakBefore w:val="0"/>
        <w:widowControl/>
        <w:kinsoku/>
        <w:wordWrap w:val="0"/>
        <w:overflowPunct/>
        <w:topLinePunct w:val="0"/>
        <w:bidi w:val="0"/>
        <w:spacing w:beforeAutospacing="0" w:afterAutospacing="0" w:line="360" w:lineRule="auto"/>
        <w:jc w:val="right"/>
        <w:rPr>
          <w:rFonts w:hint="eastAsia" w:ascii="宋体" w:hAnsi="宋体" w:cs="宋体"/>
          <w:color w:val="auto"/>
          <w:kern w:val="0"/>
          <w:sz w:val="24"/>
          <w:highlight w:val="none"/>
        </w:rPr>
      </w:pPr>
    </w:p>
    <w:p>
      <w:pPr>
        <w:pageBreakBefore w:val="0"/>
        <w:widowControl/>
        <w:kinsoku/>
        <w:wordWrap w:val="0"/>
        <w:overflowPunct/>
        <w:topLinePunct w:val="0"/>
        <w:bidi w:val="0"/>
        <w:spacing w:beforeAutospacing="0" w:afterAutospacing="0" w:line="360" w:lineRule="auto"/>
        <w:jc w:val="right"/>
        <w:rPr>
          <w:rFonts w:hint="eastAsia" w:ascii="宋体" w:hAnsi="宋体" w:cs="宋体"/>
          <w:color w:val="auto"/>
          <w:kern w:val="0"/>
          <w:sz w:val="24"/>
          <w:highlight w:val="none"/>
        </w:rPr>
      </w:pPr>
    </w:p>
    <w:p>
      <w:pPr>
        <w:pageBreakBefore w:val="0"/>
        <w:widowControl/>
        <w:kinsoku/>
        <w:wordWrap w:val="0"/>
        <w:overflowPunct/>
        <w:topLinePunct w:val="0"/>
        <w:bidi w:val="0"/>
        <w:spacing w:beforeAutospacing="0" w:afterAutospacing="0" w:line="360" w:lineRule="auto"/>
        <w:jc w:val="right"/>
        <w:rPr>
          <w:rFonts w:hint="eastAsia" w:ascii="宋体" w:hAnsi="宋体" w:cs="宋体"/>
          <w:color w:val="auto"/>
          <w:kern w:val="0"/>
          <w:sz w:val="24"/>
          <w:highlight w:val="none"/>
        </w:rPr>
      </w:pPr>
    </w:p>
    <w:p>
      <w:pPr>
        <w:pageBreakBefore w:val="0"/>
        <w:widowControl/>
        <w:kinsoku/>
        <w:wordWrap w:val="0"/>
        <w:overflowPunct/>
        <w:topLinePunct w:val="0"/>
        <w:bidi w:val="0"/>
        <w:spacing w:beforeAutospacing="0" w:afterAutospacing="0" w:line="360" w:lineRule="auto"/>
        <w:jc w:val="right"/>
        <w:rPr>
          <w:rFonts w:hint="eastAsia" w:ascii="宋体" w:hAnsi="宋体" w:cs="宋体"/>
          <w:color w:val="auto"/>
          <w:kern w:val="0"/>
          <w:sz w:val="24"/>
          <w:highlight w:val="none"/>
        </w:rPr>
      </w:pPr>
    </w:p>
    <w:p>
      <w:pPr>
        <w:pageBreakBefore w:val="0"/>
        <w:widowControl/>
        <w:kinsoku/>
        <w:wordWrap/>
        <w:overflowPunct/>
        <w:topLinePunct w:val="0"/>
        <w:bidi w:val="0"/>
        <w:spacing w:beforeAutospacing="0" w:afterAutospacing="0"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投标人：</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（全称并加盖公章）</w:t>
      </w:r>
    </w:p>
    <w:p>
      <w:pPr>
        <w:pageBreakBefore w:val="0"/>
        <w:widowControl/>
        <w:kinsoku/>
        <w:wordWrap w:val="0"/>
        <w:overflowPunct/>
        <w:topLinePunct w:val="0"/>
        <w:bidi w:val="0"/>
        <w:spacing w:beforeAutospacing="0" w:afterAutospacing="0" w:line="360" w:lineRule="auto"/>
        <w:ind w:firstLine="3840" w:firstLineChars="1600"/>
        <w:jc w:val="left"/>
        <w:rPr>
          <w:rFonts w:ascii="宋体" w:hAnsi="宋体" w:cs="宋体"/>
          <w:b/>
          <w:color w:val="auto"/>
          <w:kern w:val="0"/>
          <w:sz w:val="32"/>
          <w:szCs w:val="32"/>
          <w:highlight w:val="none"/>
        </w:rPr>
      </w:pPr>
      <w:r>
        <w:rPr>
          <w:rFonts w:hint="eastAsia" w:ascii="宋体" w:hAnsi="宋体" w:cs="宋体"/>
          <w:color w:val="auto"/>
          <w:kern w:val="0"/>
          <w:sz w:val="24"/>
          <w:highlight w:val="none"/>
        </w:rPr>
        <w:t>年    月    日</w:t>
      </w:r>
    </w:p>
    <w:p>
      <w:pPr>
        <w:pageBreakBefore w:val="0"/>
        <w:widowControl/>
        <w:kinsoku/>
        <w:overflowPunct/>
        <w:topLinePunct w:val="0"/>
        <w:bidi w:val="0"/>
        <w:spacing w:beforeAutospacing="0" w:afterAutospacing="0" w:line="360" w:lineRule="auto"/>
        <w:ind w:firstLine="7228" w:firstLineChars="2250"/>
        <w:jc w:val="left"/>
        <w:rPr>
          <w:rFonts w:ascii="宋体" w:hAnsi="宋体" w:cs="宋体"/>
          <w:b/>
          <w:color w:val="auto"/>
          <w:kern w:val="0"/>
          <w:sz w:val="32"/>
          <w:szCs w:val="32"/>
          <w:highlight w:val="none"/>
        </w:rPr>
      </w:pPr>
    </w:p>
    <w:p>
      <w:pPr>
        <w:pageBreakBefore w:val="0"/>
        <w:kinsoku/>
        <w:overflowPunct/>
        <w:topLinePunct w:val="0"/>
        <w:bidi w:val="0"/>
        <w:spacing w:beforeAutospacing="0" w:afterAutospacing="0" w:line="360" w:lineRule="auto"/>
        <w:rPr>
          <w:rFonts w:ascii="宋体" w:hAnsi="宋体" w:cs="宋体"/>
          <w:b/>
          <w:color w:val="auto"/>
          <w:kern w:val="0"/>
          <w:sz w:val="32"/>
          <w:szCs w:val="32"/>
          <w:highlight w:val="none"/>
        </w:rPr>
      </w:pPr>
      <w:r>
        <w:rPr>
          <w:rFonts w:ascii="宋体" w:hAnsi="宋体" w:cs="宋体"/>
          <w:b/>
          <w:color w:val="auto"/>
          <w:kern w:val="0"/>
          <w:sz w:val="32"/>
          <w:szCs w:val="32"/>
          <w:highlight w:val="none"/>
        </w:rPr>
        <w:br w:type="page"/>
      </w:r>
    </w:p>
    <w:p>
      <w:pPr>
        <w:pageBreakBefore w:val="0"/>
        <w:widowControl/>
        <w:kinsoku/>
        <w:overflowPunct/>
        <w:topLinePunct w:val="0"/>
        <w:bidi w:val="0"/>
        <w:snapToGrid w:val="0"/>
        <w:spacing w:beforeAutospacing="0" w:afterAutospacing="0" w:line="360" w:lineRule="auto"/>
        <w:jc w:val="left"/>
        <w:rPr>
          <w:rFonts w:ascii="宋体" w:hAnsi="宋体" w:cs="宋体"/>
          <w:b/>
          <w:color w:val="auto"/>
          <w:kern w:val="0"/>
          <w:sz w:val="24"/>
          <w:highlight w:val="none"/>
        </w:rPr>
      </w:pPr>
    </w:p>
    <w:p>
      <w:pPr>
        <w:pageBreakBefore w:val="0"/>
        <w:widowControl/>
        <w:kinsoku/>
        <w:overflowPunct/>
        <w:topLinePunct w:val="0"/>
        <w:bidi w:val="0"/>
        <w:snapToGrid w:val="0"/>
        <w:spacing w:beforeAutospacing="0" w:afterAutospacing="0" w:line="360" w:lineRule="auto"/>
        <w:jc w:val="left"/>
        <w:outlineLvl w:val="0"/>
        <w:rPr>
          <w:rFonts w:ascii="宋体" w:hAnsi="宋体" w:cs="宋体"/>
          <w:b/>
          <w:color w:val="auto"/>
          <w:kern w:val="0"/>
          <w:sz w:val="24"/>
          <w:highlight w:val="none"/>
        </w:rPr>
      </w:pPr>
      <w:bookmarkStart w:id="84" w:name="_Toc18105"/>
      <w:bookmarkStart w:id="85" w:name="_Toc24693"/>
      <w:r>
        <w:rPr>
          <w:rFonts w:hint="eastAsia" w:ascii="Arial" w:hAnsi="Arial" w:eastAsia="新宋体"/>
          <w:b/>
          <w:color w:val="auto"/>
          <w:sz w:val="28"/>
          <w:highlight w:val="none"/>
        </w:rPr>
        <w:t>附件9               证明文件</w:t>
      </w:r>
      <w:bookmarkEnd w:id="84"/>
      <w:bookmarkEnd w:id="85"/>
    </w:p>
    <w:p>
      <w:pPr>
        <w:pStyle w:val="9"/>
        <w:pageBreakBefore w:val="0"/>
        <w:kinsoku/>
        <w:overflowPunct/>
        <w:topLinePunct w:val="0"/>
        <w:bidi w:val="0"/>
        <w:spacing w:beforeAutospacing="0" w:afterAutospacing="0" w:line="360" w:lineRule="auto"/>
        <w:ind w:firstLine="470" w:firstLineChars="224"/>
        <w:jc w:val="both"/>
        <w:rPr>
          <w:bCs/>
          <w:color w:val="auto"/>
          <w:sz w:val="21"/>
          <w:szCs w:val="21"/>
          <w:highlight w:val="none"/>
        </w:rPr>
      </w:pPr>
      <w:r>
        <w:rPr>
          <w:rFonts w:hint="eastAsia"/>
          <w:bCs/>
          <w:color w:val="auto"/>
          <w:sz w:val="21"/>
          <w:szCs w:val="21"/>
          <w:highlight w:val="none"/>
        </w:rPr>
        <w:t>9.1</w:t>
      </w:r>
      <w:r>
        <w:rPr>
          <w:rFonts w:hint="eastAsia"/>
          <w:bCs/>
          <w:color w:val="auto"/>
          <w:sz w:val="21"/>
          <w:szCs w:val="21"/>
          <w:highlight w:val="none"/>
          <w:lang w:val="en-US" w:eastAsia="zh-CN"/>
        </w:rPr>
        <w:t xml:space="preserve"> </w:t>
      </w:r>
      <w:r>
        <w:rPr>
          <w:rFonts w:hint="eastAsia"/>
          <w:bCs/>
          <w:color w:val="auto"/>
          <w:sz w:val="21"/>
          <w:szCs w:val="21"/>
          <w:highlight w:val="none"/>
        </w:rPr>
        <w:t>资格审查资料</w:t>
      </w:r>
    </w:p>
    <w:p>
      <w:pPr>
        <w:pStyle w:val="9"/>
        <w:pageBreakBefore w:val="0"/>
        <w:kinsoku/>
        <w:overflowPunct/>
        <w:topLinePunct w:val="0"/>
        <w:bidi w:val="0"/>
        <w:spacing w:beforeAutospacing="0" w:afterAutospacing="0" w:line="360" w:lineRule="auto"/>
        <w:ind w:firstLine="470" w:firstLineChars="224"/>
        <w:jc w:val="both"/>
        <w:rPr>
          <w:bCs/>
          <w:color w:val="auto"/>
          <w:sz w:val="21"/>
          <w:szCs w:val="21"/>
          <w:highlight w:val="none"/>
        </w:rPr>
      </w:pPr>
      <w:r>
        <w:rPr>
          <w:rFonts w:hint="eastAsia"/>
          <w:bCs/>
          <w:color w:val="auto"/>
          <w:sz w:val="21"/>
          <w:szCs w:val="21"/>
          <w:highlight w:val="none"/>
        </w:rPr>
        <w:t>9.2</w:t>
      </w:r>
      <w:r>
        <w:rPr>
          <w:rFonts w:hint="eastAsia"/>
          <w:bCs/>
          <w:color w:val="auto"/>
          <w:sz w:val="21"/>
          <w:szCs w:val="21"/>
          <w:highlight w:val="none"/>
          <w:lang w:val="en-US" w:eastAsia="zh-CN"/>
        </w:rPr>
        <w:t xml:space="preserve"> </w:t>
      </w:r>
      <w:r>
        <w:rPr>
          <w:rFonts w:hint="eastAsia"/>
          <w:bCs/>
          <w:color w:val="auto"/>
          <w:sz w:val="21"/>
          <w:szCs w:val="21"/>
          <w:highlight w:val="none"/>
        </w:rPr>
        <w:t>技术方案</w:t>
      </w:r>
    </w:p>
    <w:p>
      <w:pPr>
        <w:pStyle w:val="9"/>
        <w:pageBreakBefore w:val="0"/>
        <w:kinsoku/>
        <w:overflowPunct/>
        <w:topLinePunct w:val="0"/>
        <w:bidi w:val="0"/>
        <w:spacing w:beforeAutospacing="0" w:afterAutospacing="0" w:line="360" w:lineRule="auto"/>
        <w:ind w:firstLine="470" w:firstLineChars="224"/>
        <w:jc w:val="both"/>
        <w:rPr>
          <w:rFonts w:hint="eastAsia"/>
          <w:bCs/>
          <w:color w:val="auto"/>
          <w:sz w:val="21"/>
          <w:szCs w:val="21"/>
          <w:highlight w:val="none"/>
        </w:rPr>
      </w:pPr>
      <w:r>
        <w:rPr>
          <w:rFonts w:hint="eastAsia"/>
          <w:bCs/>
          <w:color w:val="auto"/>
          <w:sz w:val="21"/>
          <w:szCs w:val="21"/>
          <w:highlight w:val="none"/>
        </w:rPr>
        <w:t>9.3</w:t>
      </w:r>
      <w:r>
        <w:rPr>
          <w:rFonts w:hint="eastAsia"/>
          <w:bCs/>
          <w:color w:val="auto"/>
          <w:sz w:val="21"/>
          <w:szCs w:val="21"/>
          <w:highlight w:val="none"/>
          <w:lang w:val="en-US" w:eastAsia="zh-CN"/>
        </w:rPr>
        <w:t xml:space="preserve"> </w:t>
      </w:r>
      <w:r>
        <w:rPr>
          <w:rFonts w:hint="eastAsia"/>
          <w:bCs/>
          <w:color w:val="auto"/>
          <w:sz w:val="21"/>
          <w:szCs w:val="21"/>
          <w:highlight w:val="none"/>
        </w:rPr>
        <w:t>其他需要提供的证明材料</w:t>
      </w:r>
      <w:bookmarkStart w:id="86" w:name="_Toc17966"/>
    </w:p>
    <w:p>
      <w:pPr>
        <w:pStyle w:val="9"/>
        <w:pageBreakBefore w:val="0"/>
        <w:kinsoku/>
        <w:overflowPunct/>
        <w:topLinePunct w:val="0"/>
        <w:bidi w:val="0"/>
        <w:spacing w:beforeAutospacing="0" w:afterAutospacing="0" w:line="360" w:lineRule="auto"/>
        <w:ind w:firstLine="470" w:firstLineChars="224"/>
        <w:jc w:val="both"/>
        <w:rPr>
          <w:bCs/>
          <w:color w:val="auto"/>
          <w:sz w:val="21"/>
          <w:szCs w:val="21"/>
          <w:highlight w:val="none"/>
        </w:rPr>
      </w:pPr>
      <w:r>
        <w:rPr>
          <w:rFonts w:hint="eastAsia"/>
          <w:bCs/>
          <w:color w:val="auto"/>
          <w:sz w:val="21"/>
          <w:szCs w:val="21"/>
          <w:highlight w:val="none"/>
        </w:rPr>
        <w:t>9.</w:t>
      </w:r>
      <w:r>
        <w:rPr>
          <w:rFonts w:hint="eastAsia"/>
          <w:bCs/>
          <w:color w:val="auto"/>
          <w:sz w:val="21"/>
          <w:szCs w:val="21"/>
          <w:highlight w:val="none"/>
          <w:lang w:val="en-US" w:eastAsia="zh-CN"/>
        </w:rPr>
        <w:t xml:space="preserve">4 </w:t>
      </w:r>
      <w:r>
        <w:rPr>
          <w:rFonts w:hint="eastAsia"/>
          <w:bCs/>
          <w:color w:val="auto"/>
          <w:sz w:val="21"/>
          <w:szCs w:val="21"/>
          <w:highlight w:val="none"/>
        </w:rPr>
        <w:t>其他证明材料。</w:t>
      </w:r>
    </w:p>
    <w:p>
      <w:pPr>
        <w:pStyle w:val="9"/>
        <w:pageBreakBefore w:val="0"/>
        <w:kinsoku/>
        <w:overflowPunct/>
        <w:topLinePunct w:val="0"/>
        <w:bidi w:val="0"/>
        <w:spacing w:beforeAutospacing="0" w:afterAutospacing="0" w:line="360" w:lineRule="auto"/>
        <w:ind w:firstLine="540" w:firstLineChars="224"/>
        <w:jc w:val="both"/>
        <w:rPr>
          <w:b/>
          <w:bCs/>
          <w:color w:val="auto"/>
          <w:highlight w:val="none"/>
        </w:rPr>
      </w:pPr>
    </w:p>
    <w:p>
      <w:pPr>
        <w:pageBreakBefore w:val="0"/>
        <w:kinsoku/>
        <w:overflowPunct/>
        <w:topLinePunct w:val="0"/>
        <w:bidi w:val="0"/>
        <w:spacing w:beforeAutospacing="0" w:afterAutospacing="0" w:line="360" w:lineRule="auto"/>
        <w:rPr>
          <w:b/>
          <w:bCs/>
          <w:color w:val="auto"/>
          <w:highlight w:val="none"/>
        </w:rPr>
      </w:pPr>
      <w:r>
        <w:rPr>
          <w:b/>
          <w:bCs/>
          <w:color w:val="auto"/>
          <w:highlight w:val="none"/>
        </w:rPr>
        <w:br w:type="page"/>
      </w:r>
    </w:p>
    <w:p>
      <w:pPr>
        <w:pStyle w:val="9"/>
        <w:pageBreakBefore w:val="0"/>
        <w:kinsoku/>
        <w:overflowPunct/>
        <w:topLinePunct w:val="0"/>
        <w:bidi w:val="0"/>
        <w:spacing w:beforeAutospacing="0" w:afterAutospacing="0" w:line="360" w:lineRule="auto"/>
        <w:ind w:firstLine="540" w:firstLineChars="224"/>
        <w:jc w:val="both"/>
        <w:rPr>
          <w:b/>
          <w:bCs/>
          <w:color w:val="auto"/>
          <w:highlight w:val="none"/>
        </w:rPr>
      </w:pPr>
    </w:p>
    <w:p>
      <w:pPr>
        <w:pageBreakBefore w:val="0"/>
        <w:widowControl/>
        <w:kinsoku/>
        <w:overflowPunct/>
        <w:topLinePunct w:val="0"/>
        <w:bidi w:val="0"/>
        <w:snapToGrid w:val="0"/>
        <w:spacing w:beforeAutospacing="0" w:afterAutospacing="0" w:line="360" w:lineRule="auto"/>
        <w:jc w:val="center"/>
        <w:outlineLvl w:val="0"/>
        <w:rPr>
          <w:rFonts w:ascii="宋体" w:hAnsi="宋体" w:cs="宋体"/>
          <w:b/>
          <w:color w:val="auto"/>
          <w:kern w:val="0"/>
          <w:sz w:val="28"/>
          <w:szCs w:val="28"/>
          <w:highlight w:val="none"/>
        </w:rPr>
      </w:pPr>
      <w:bookmarkStart w:id="87" w:name="_Toc13726"/>
      <w:bookmarkStart w:id="88" w:name="_Toc12888"/>
      <w:r>
        <w:rPr>
          <w:rFonts w:hint="eastAsia" w:ascii="宋体" w:hAnsi="宋体" w:cs="Lucida Sans Unicode"/>
          <w:b/>
          <w:color w:val="auto"/>
          <w:kern w:val="0"/>
          <w:sz w:val="28"/>
          <w:szCs w:val="28"/>
          <w:highlight w:val="none"/>
        </w:rPr>
        <w:t xml:space="preserve">附件10        </w:t>
      </w:r>
      <w:bookmarkEnd w:id="86"/>
      <w:r>
        <w:rPr>
          <w:rFonts w:hint="eastAsia" w:ascii="宋体" w:hAnsi="宋体" w:cs="Lucida Sans Unicode"/>
          <w:b/>
          <w:color w:val="auto"/>
          <w:kern w:val="0"/>
          <w:sz w:val="28"/>
          <w:szCs w:val="28"/>
          <w:highlight w:val="none"/>
        </w:rPr>
        <w:t>供 应 商 承 诺 书</w:t>
      </w:r>
      <w:r>
        <w:rPr>
          <w:rFonts w:hint="eastAsia" w:ascii="宋体" w:hAnsi="宋体" w:cs="Lucida Sans Unicode"/>
          <w:b/>
          <w:color w:val="auto"/>
          <w:kern w:val="0"/>
          <w:sz w:val="28"/>
          <w:szCs w:val="28"/>
          <w:highlight w:val="none"/>
          <w:lang w:val="en-US" w:eastAsia="zh-CN"/>
        </w:rPr>
        <w:t xml:space="preserve"> </w:t>
      </w:r>
      <w:r>
        <w:rPr>
          <w:rFonts w:hint="eastAsia" w:ascii="宋体" w:hAnsi="宋体" w:cs="宋体"/>
          <w:color w:val="auto"/>
          <w:kern w:val="0"/>
          <w:sz w:val="28"/>
          <w:szCs w:val="28"/>
          <w:highlight w:val="none"/>
        </w:rPr>
        <w:t>（格式）</w:t>
      </w:r>
      <w:bookmarkEnd w:id="87"/>
      <w:bookmarkEnd w:id="88"/>
    </w:p>
    <w:p>
      <w:pPr>
        <w:pageBreakBefore w:val="0"/>
        <w:kinsoku/>
        <w:overflowPunct/>
        <w:topLinePunct w:val="0"/>
        <w:bidi w:val="0"/>
        <w:spacing w:beforeAutospacing="0" w:afterAutospacing="0" w:line="360" w:lineRule="auto"/>
        <w:rPr>
          <w:highlight w:val="none"/>
        </w:rPr>
      </w:pPr>
    </w:p>
    <w:p>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ind w:firstLine="64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我院（以下简称甲方）组织的本次采购，在遵守《招标投标法》、《政府采购法》、《合同法》、《反不正当竞争法》和《关于推进招投标监督领域诚信建设的意见》等法律法规的基础上，要求贵方（以下简称乙方）做出如下承诺：</w:t>
      </w:r>
    </w:p>
    <w:p>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ind w:firstLine="64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1、遵循公开、公平、公正和诚实信用的原则自愿参加，所提供的一切材料真实、有效、合法。</w:t>
      </w:r>
    </w:p>
    <w:p>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ind w:firstLine="64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2、遵守甲方采购纪律，诚实守信地为甲方提供安全可靠的产品、服务及相关技术，保证质量并主动做好售后服务工作。</w:t>
      </w:r>
    </w:p>
    <w:p>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ind w:firstLine="64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3、杜绝利用提供财物或给予其他不正当利益谋取中标的不良行为。</w:t>
      </w:r>
    </w:p>
    <w:p>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ind w:firstLine="64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4、不发生其他任何可能影响甲方工作人员公正执行公务或者职务廉洁的行为。</w:t>
      </w:r>
    </w:p>
    <w:p>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ind w:firstLine="64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5、不参与串标、围标或其他不正当竞争行为；杜绝以虚报资质、业绩或其他弄虚作假等方式骗取中标。</w:t>
      </w:r>
    </w:p>
    <w:p>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ind w:firstLine="64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6、响应时，杜绝擅自修改采购文件或技术标准（包括差异表）技术配置的行为。</w:t>
      </w:r>
    </w:p>
    <w:p>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ind w:firstLine="64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7、严格按照采购、投标文件要求签订合同，不违反法律无故拒签合同，不签订背离合同（或技术协议书）实质性内容的协议。</w:t>
      </w:r>
    </w:p>
    <w:p>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textAlignment w:val="auto"/>
        <w:rPr>
          <w:rFonts w:hint="eastAsia" w:ascii="宋体" w:hAnsi="宋体" w:eastAsia="宋体" w:cs="宋体"/>
          <w:sz w:val="24"/>
          <w:szCs w:val="24"/>
          <w:highlight w:val="none"/>
        </w:rPr>
      </w:pPr>
    </w:p>
    <w:p>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投标人（</w:t>
      </w:r>
      <w:r>
        <w:rPr>
          <w:rFonts w:hint="eastAsia" w:ascii="宋体" w:hAnsi="宋体" w:eastAsia="宋体" w:cs="宋体"/>
          <w:sz w:val="24"/>
          <w:szCs w:val="24"/>
          <w:highlight w:val="none"/>
          <w:lang w:val="en-US" w:eastAsia="zh-CN"/>
        </w:rPr>
        <w:t>公司名称</w:t>
      </w:r>
      <w:r>
        <w:rPr>
          <w:rFonts w:hint="eastAsia" w:ascii="宋体" w:hAnsi="宋体" w:eastAsia="宋体" w:cs="宋体"/>
          <w:sz w:val="24"/>
          <w:szCs w:val="24"/>
          <w:highlight w:val="none"/>
        </w:rPr>
        <w:t xml:space="preserve">）：               </w:t>
      </w:r>
    </w:p>
    <w:p>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textAlignment w:val="auto"/>
        <w:rPr>
          <w:sz w:val="28"/>
          <w:szCs w:val="28"/>
          <w:highlight w:val="none"/>
        </w:rPr>
      </w:pPr>
      <w:r>
        <w:rPr>
          <w:rFonts w:hint="eastAsia" w:ascii="宋体" w:hAnsi="宋体" w:eastAsia="宋体" w:cs="宋体"/>
          <w:sz w:val="24"/>
          <w:szCs w:val="24"/>
          <w:highlight w:val="none"/>
        </w:rPr>
        <w:t>法定代表人或委托人（签字）：                   年   月   日</w:t>
      </w:r>
    </w:p>
    <w:p>
      <w:pPr>
        <w:pageBreakBefore w:val="0"/>
        <w:widowControl/>
        <w:kinsoku/>
        <w:overflowPunct/>
        <w:topLinePunct w:val="0"/>
        <w:bidi w:val="0"/>
        <w:spacing w:beforeAutospacing="0" w:afterAutospacing="0" w:line="360" w:lineRule="auto"/>
        <w:ind w:firstLine="4305" w:firstLineChars="2050"/>
        <w:jc w:val="left"/>
        <w:rPr>
          <w:rFonts w:ascii="宋体" w:hAnsi="宋体" w:cs="宋体"/>
          <w:color w:val="auto"/>
          <w:kern w:val="0"/>
          <w:szCs w:val="21"/>
          <w:highlight w:val="none"/>
        </w:rPr>
      </w:pPr>
    </w:p>
    <w:p>
      <w:pPr>
        <w:pageBreakBefore w:val="0"/>
        <w:kinsoku/>
        <w:overflowPunct/>
        <w:topLinePunct w:val="0"/>
        <w:bidi w:val="0"/>
        <w:spacing w:beforeAutospacing="0" w:afterAutospacing="0" w:line="360" w:lineRule="auto"/>
        <w:rPr>
          <w:color w:val="auto"/>
          <w:highlight w:val="none"/>
        </w:rPr>
      </w:pPr>
    </w:p>
    <w:p>
      <w:pPr>
        <w:pageBreakBefore w:val="0"/>
        <w:kinsoku/>
        <w:overflowPunct/>
        <w:topLinePunct w:val="0"/>
        <w:bidi w:val="0"/>
        <w:spacing w:beforeAutospacing="0" w:afterAutospacing="0" w:line="360" w:lineRule="auto"/>
        <w:rPr>
          <w:color w:val="auto"/>
          <w:highlight w:val="none"/>
        </w:rPr>
      </w:pPr>
      <w:r>
        <w:rPr>
          <w:color w:val="auto"/>
          <w:highlight w:val="none"/>
        </w:rPr>
        <w:br w:type="page"/>
      </w:r>
    </w:p>
    <w:p>
      <w:pPr>
        <w:pageBreakBefore w:val="0"/>
        <w:kinsoku/>
        <w:overflowPunct/>
        <w:topLinePunct w:val="0"/>
        <w:bidi w:val="0"/>
        <w:spacing w:beforeAutospacing="0" w:afterAutospacing="0" w:line="360" w:lineRule="auto"/>
        <w:rPr>
          <w:rFonts w:hint="eastAsia"/>
          <w:highlight w:val="none"/>
          <w:lang w:val="en-US" w:eastAsia="zh-CN"/>
        </w:rPr>
      </w:pPr>
    </w:p>
    <w:p>
      <w:pPr>
        <w:pageBreakBefore w:val="0"/>
        <w:kinsoku/>
        <w:overflowPunct/>
        <w:topLinePunct w:val="0"/>
        <w:bidi w:val="0"/>
        <w:spacing w:beforeAutospacing="0" w:afterAutospacing="0" w:line="360" w:lineRule="auto"/>
        <w:jc w:val="center"/>
        <w:rPr>
          <w:rFonts w:hint="eastAsia" w:ascii="宋体" w:hAnsi="宋体" w:eastAsia="宋体" w:cs="宋体"/>
          <w:b/>
          <w:bCs/>
          <w:color w:val="auto"/>
          <w:kern w:val="2"/>
          <w:sz w:val="28"/>
          <w:szCs w:val="18"/>
          <w:highlight w:val="none"/>
          <w:lang w:val="en-US" w:eastAsia="zh-CN" w:bidi="ar-SA"/>
        </w:rPr>
      </w:pPr>
      <w:r>
        <w:rPr>
          <w:rFonts w:hint="eastAsia" w:ascii="宋体" w:hAnsi="宋体" w:eastAsia="宋体" w:cs="宋体"/>
          <w:b/>
          <w:bCs/>
          <w:color w:val="auto"/>
          <w:kern w:val="2"/>
          <w:sz w:val="28"/>
          <w:szCs w:val="18"/>
          <w:highlight w:val="none"/>
          <w:lang w:val="en-US" w:eastAsia="zh-CN" w:bidi="ar-SA"/>
        </w:rPr>
        <w:t>附件11     供应商信用承诺函（格式）</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textAlignment w:val="auto"/>
        <w:rPr>
          <w:rFonts w:hint="eastAsia" w:ascii="仿宋" w:hAnsi="仿宋" w:eastAsia="仿宋" w:cs="仿宋"/>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致（采购人或政府采购代理机构）：</w:t>
      </w:r>
    </w:p>
    <w:p>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单位名称（自然人姓名）：</w:t>
      </w:r>
    </w:p>
    <w:p>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统一社会信用代码（身份证号码）：</w:t>
      </w:r>
    </w:p>
    <w:p>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法定代表人（负责人）：</w:t>
      </w:r>
    </w:p>
    <w:p>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联系地址和电话：</w:t>
      </w:r>
    </w:p>
    <w:p>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我单位（本人）自愿参加本次政府采购活动，严格遵守《中华人民共和国政府采购法》及相关法律法规，坚守公开、公平、公正和诚实信用的原则，依法诚信经营，无条件遵守本次政府采购活动的各项规定。我单位（本人）郑重承诺，我单位（本人）符合《中华人民共和国政府采购法》第二十二条规定的条件：</w:t>
      </w:r>
    </w:p>
    <w:p>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（一）具有独立承担民事责任的能力；</w:t>
      </w:r>
    </w:p>
    <w:p>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（二）具有良好的商业信誉和健全的财务会计制度；</w:t>
      </w:r>
    </w:p>
    <w:p>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（三）具有履行合同所必需的设备和专业技术能力；</w:t>
      </w:r>
    </w:p>
    <w:p>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ind w:firstLine="640"/>
        <w:textAlignment w:val="auto"/>
        <w:rPr>
          <w:rFonts w:hint="eastAsia" w:ascii="仿宋" w:hAnsi="仿宋" w:eastAsia="仿宋" w:cs="仿宋"/>
          <w:sz w:val="32"/>
          <w:szCs w:val="32"/>
          <w:highlight w:val="none"/>
        </w:rPr>
      </w:pPr>
      <w:r>
        <w:rPr>
          <w:rFonts w:hint="eastAsia" w:ascii="宋体" w:hAnsi="宋体" w:eastAsia="宋体" w:cs="宋体"/>
          <w:color w:val="auto"/>
          <w:sz w:val="24"/>
          <w:szCs w:val="24"/>
          <w:highlight w:val="none"/>
          <w:lang w:val="en-US" w:eastAsia="zh-CN"/>
        </w:rPr>
        <w:t>（四）有依法缴纳税收和社会保障资金的良好</w:t>
      </w:r>
      <w:r>
        <w:rPr>
          <w:rFonts w:hint="eastAsia" w:ascii="仿宋" w:hAnsi="仿宋" w:eastAsia="仿宋" w:cs="仿宋"/>
          <w:sz w:val="32"/>
          <w:szCs w:val="32"/>
          <w:highlight w:val="none"/>
          <w:lang w:val="en-US" w:eastAsia="zh-CN"/>
        </w:rPr>
        <w:t>记录；</w:t>
      </w:r>
    </w:p>
    <w:p>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ind w:firstLine="64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（五）参加政府采购活动前三年内，在经营活动中没有重大违法记录；</w:t>
      </w:r>
    </w:p>
    <w:p>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ind w:firstLine="64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（六）未被列入严重失信主体名单、失信被执行人、税收违法黑名单、政府采购严重违法失信行为记录名单，未曾作出虚假承诺；</w:t>
      </w:r>
    </w:p>
    <w:p>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ind w:firstLine="64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（七）符合法律、行政法规规定的其他条件。</w:t>
      </w:r>
    </w:p>
    <w:p>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ind w:firstLine="64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我单位（本人）保证上述承诺事项的真实性，如有弄虚作假或其他违法违规行为，愿意承担一切法律责任，并承担因此所造成的一切损失。</w:t>
      </w:r>
    </w:p>
    <w:p>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ind w:firstLine="640"/>
        <w:textAlignment w:val="auto"/>
        <w:rPr>
          <w:rFonts w:hint="eastAsia" w:ascii="宋体" w:hAnsi="宋体" w:eastAsia="宋体" w:cs="宋体"/>
          <w:color w:val="auto"/>
          <w:sz w:val="24"/>
          <w:szCs w:val="24"/>
          <w:highlight w:val="none"/>
          <w:lang w:val="en-US" w:eastAsia="zh-CN"/>
        </w:rPr>
      </w:pPr>
    </w:p>
    <w:p>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ind w:firstLine="64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供应商名称（盖章）：</w:t>
      </w:r>
    </w:p>
    <w:p>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ind w:firstLine="64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法定代表人、负责人、自然人或授权代表(签字)：</w:t>
      </w:r>
    </w:p>
    <w:p>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ind w:firstLine="64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日期：       年         月          日</w:t>
      </w:r>
    </w:p>
    <w:p>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ind w:firstLine="640"/>
        <w:textAlignment w:val="auto"/>
        <w:rPr>
          <w:rFonts w:hint="eastAsia" w:ascii="宋体" w:hAnsi="宋体" w:eastAsia="宋体" w:cs="宋体"/>
          <w:color w:val="auto"/>
          <w:sz w:val="24"/>
          <w:szCs w:val="24"/>
          <w:highlight w:val="none"/>
          <w:lang w:val="en-US" w:eastAsia="zh-CN"/>
        </w:rPr>
      </w:pPr>
    </w:p>
    <w:p>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ind w:firstLine="640"/>
        <w:textAlignment w:val="auto"/>
        <w:rPr>
          <w:rFonts w:hint="eastAsia" w:ascii="宋体" w:hAnsi="宋体" w:eastAsia="宋体" w:cs="宋体"/>
          <w:color w:val="auto"/>
          <w:sz w:val="24"/>
          <w:szCs w:val="24"/>
          <w:highlight w:val="none"/>
          <w:lang w:val="en-US" w:eastAsia="zh-CN"/>
        </w:rPr>
      </w:pPr>
    </w:p>
    <w:p>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ind w:firstLine="64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注：1.供应商须在投标（响应性）文件中按此模板提供承诺函，未提供视为未实质性响应招标文件要求，按无效投标（响应）处理。</w:t>
      </w:r>
    </w:p>
    <w:p>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ind w:firstLine="64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2.供应商的法定代表人或者授权代表的签字或盖章应真实、有效，如由授权代表签字或盖章的，应提供“法定代表人授权书”。</w:t>
      </w:r>
    </w:p>
    <w:p>
      <w:pPr>
        <w:pageBreakBefore w:val="0"/>
        <w:kinsoku/>
        <w:overflowPunct/>
        <w:topLinePunct w:val="0"/>
        <w:bidi w:val="0"/>
        <w:spacing w:beforeAutospacing="0" w:afterAutospacing="0" w:line="360" w:lineRule="auto"/>
        <w:ind w:left="370" w:leftChars="176"/>
        <w:rPr>
          <w:rFonts w:hint="eastAsia" w:ascii="宋体" w:hAnsi="宋体" w:eastAsia="宋体" w:cs="宋体"/>
          <w:b/>
          <w:color w:val="auto"/>
          <w:szCs w:val="21"/>
          <w:highlight w:val="none"/>
        </w:rPr>
      </w:pPr>
    </w:p>
    <w:p>
      <w:pPr>
        <w:pageBreakBefore w:val="0"/>
        <w:kinsoku/>
        <w:overflowPunct/>
        <w:topLinePunct w:val="0"/>
        <w:bidi w:val="0"/>
        <w:spacing w:beforeAutospacing="0" w:afterAutospacing="0" w:line="360" w:lineRule="auto"/>
        <w:rPr>
          <w:color w:val="auto"/>
          <w:highlight w:val="none"/>
        </w:rPr>
      </w:pPr>
      <w:r>
        <w:rPr>
          <w:color w:val="auto"/>
          <w:highlight w:val="none"/>
        </w:rPr>
        <w:br w:type="page"/>
      </w:r>
    </w:p>
    <w:p>
      <w:pPr>
        <w:pStyle w:val="51"/>
        <w:pageBreakBefore w:val="0"/>
        <w:kinsoku/>
        <w:overflowPunct/>
        <w:topLinePunct w:val="0"/>
        <w:bidi w:val="0"/>
        <w:spacing w:beforeAutospacing="0" w:after="0" w:afterAutospacing="0" w:line="360" w:lineRule="auto"/>
        <w:rPr>
          <w:highlight w:val="none"/>
        </w:rPr>
      </w:pPr>
    </w:p>
    <w:p>
      <w:pPr>
        <w:pageBreakBefore w:val="0"/>
        <w:widowControl/>
        <w:kinsoku/>
        <w:overflowPunct/>
        <w:topLinePunct w:val="0"/>
        <w:bidi w:val="0"/>
        <w:snapToGrid w:val="0"/>
        <w:spacing w:beforeAutospacing="0" w:afterAutospacing="0" w:line="360" w:lineRule="auto"/>
        <w:jc w:val="center"/>
        <w:outlineLvl w:val="0"/>
        <w:rPr>
          <w:rFonts w:ascii="宋体" w:hAnsi="宋体" w:cs="Lucida Sans Unicode"/>
          <w:b/>
          <w:color w:val="auto"/>
          <w:kern w:val="0"/>
          <w:sz w:val="24"/>
          <w:highlight w:val="none"/>
        </w:rPr>
      </w:pPr>
      <w:bookmarkStart w:id="89" w:name="_Toc23394"/>
      <w:bookmarkStart w:id="90" w:name="_Toc25094"/>
      <w:r>
        <w:rPr>
          <w:rFonts w:hint="eastAsia" w:ascii="宋体" w:hAnsi="宋体" w:cs="Lucida Sans Unicode"/>
          <w:b/>
          <w:color w:val="auto"/>
          <w:kern w:val="0"/>
          <w:sz w:val="24"/>
          <w:highlight w:val="none"/>
        </w:rPr>
        <w:t>投标人认为有必要的其他资料</w:t>
      </w:r>
      <w:bookmarkEnd w:id="89"/>
      <w:bookmarkEnd w:id="90"/>
    </w:p>
    <w:p>
      <w:pPr>
        <w:pageBreakBefore w:val="0"/>
        <w:widowControl/>
        <w:kinsoku/>
        <w:overflowPunct/>
        <w:topLinePunct w:val="0"/>
        <w:bidi w:val="0"/>
        <w:spacing w:beforeAutospacing="0" w:afterAutospacing="0" w:line="360" w:lineRule="auto"/>
        <w:ind w:firstLine="420" w:firstLineChars="200"/>
        <w:jc w:val="left"/>
        <w:rPr>
          <w:rFonts w:ascii="宋体" w:hAnsi="宋体" w:cs="Lucida Sans Unicode"/>
          <w:color w:val="auto"/>
          <w:kern w:val="0"/>
          <w:sz w:val="24"/>
          <w:highlight w:val="none"/>
        </w:rPr>
      </w:pPr>
      <w:r>
        <w:rPr>
          <w:rFonts w:hint="eastAsia" w:ascii="宋体" w:hAnsi="宋体" w:cs="Lucida Sans Unicode"/>
          <w:color w:val="auto"/>
          <w:kern w:val="0"/>
          <w:szCs w:val="21"/>
          <w:highlight w:val="none"/>
        </w:rPr>
        <w:t>备注：投标人应当仔细核对</w:t>
      </w:r>
      <w:r>
        <w:rPr>
          <w:rFonts w:hint="eastAsia" w:ascii="宋体" w:hAnsi="宋体" w:cs="Lucida Sans Unicode"/>
          <w:color w:val="auto"/>
          <w:kern w:val="0"/>
          <w:szCs w:val="21"/>
          <w:highlight w:val="none"/>
          <w:lang w:val="en-US" w:eastAsia="zh-CN"/>
        </w:rPr>
        <w:t>采购</w:t>
      </w:r>
      <w:r>
        <w:rPr>
          <w:rFonts w:hint="eastAsia" w:ascii="宋体" w:hAnsi="宋体" w:cs="Lucida Sans Unicode"/>
          <w:color w:val="auto"/>
          <w:kern w:val="0"/>
          <w:szCs w:val="21"/>
          <w:highlight w:val="none"/>
        </w:rPr>
        <w:t>文件中有关废标条款和评标标准，提供投标人认为应当附加的其它内容，以充分证明其投标符合</w:t>
      </w:r>
      <w:r>
        <w:rPr>
          <w:rFonts w:hint="eastAsia" w:ascii="宋体" w:hAnsi="宋体" w:cs="Lucida Sans Unicode"/>
          <w:color w:val="auto"/>
          <w:kern w:val="0"/>
          <w:szCs w:val="21"/>
          <w:highlight w:val="none"/>
          <w:lang w:val="en-US" w:eastAsia="zh-CN"/>
        </w:rPr>
        <w:t>采购</w:t>
      </w:r>
      <w:r>
        <w:rPr>
          <w:rFonts w:hint="eastAsia" w:ascii="宋体" w:hAnsi="宋体" w:cs="Lucida Sans Unicode"/>
          <w:color w:val="auto"/>
          <w:kern w:val="0"/>
          <w:szCs w:val="21"/>
          <w:highlight w:val="none"/>
        </w:rPr>
        <w:t>文件规定，并为评标提供充分依据。如果投标人未能提供相关证明文件，将有可能导致废标或者无法得分。</w:t>
      </w:r>
    </w:p>
    <w:p>
      <w:pPr>
        <w:pStyle w:val="9"/>
        <w:pageBreakBefore w:val="0"/>
        <w:kinsoku/>
        <w:overflowPunct/>
        <w:topLinePunct w:val="0"/>
        <w:bidi w:val="0"/>
        <w:spacing w:beforeAutospacing="0" w:afterAutospacing="0" w:line="360" w:lineRule="auto"/>
        <w:jc w:val="center"/>
        <w:rPr>
          <w:b/>
          <w:bCs/>
          <w:color w:val="auto"/>
          <w:sz w:val="28"/>
          <w:szCs w:val="28"/>
          <w:highlight w:val="none"/>
        </w:rPr>
      </w:pPr>
    </w:p>
    <w:p>
      <w:pPr>
        <w:pStyle w:val="9"/>
        <w:pageBreakBefore w:val="0"/>
        <w:kinsoku/>
        <w:overflowPunct/>
        <w:topLinePunct w:val="0"/>
        <w:bidi w:val="0"/>
        <w:spacing w:beforeAutospacing="0" w:afterAutospacing="0" w:line="360" w:lineRule="auto"/>
        <w:jc w:val="center"/>
        <w:rPr>
          <w:b/>
          <w:bCs/>
          <w:color w:val="auto"/>
          <w:sz w:val="28"/>
          <w:szCs w:val="28"/>
          <w:highlight w:val="none"/>
        </w:rPr>
      </w:pPr>
    </w:p>
    <w:p>
      <w:pPr>
        <w:pStyle w:val="9"/>
        <w:pageBreakBefore w:val="0"/>
        <w:kinsoku/>
        <w:overflowPunct/>
        <w:topLinePunct w:val="0"/>
        <w:bidi w:val="0"/>
        <w:spacing w:beforeAutospacing="0" w:afterAutospacing="0" w:line="360" w:lineRule="auto"/>
        <w:jc w:val="center"/>
        <w:rPr>
          <w:b/>
          <w:bCs/>
          <w:color w:val="auto"/>
          <w:sz w:val="28"/>
          <w:szCs w:val="28"/>
          <w:highlight w:val="none"/>
        </w:rPr>
      </w:pPr>
    </w:p>
    <w:p>
      <w:pPr>
        <w:pStyle w:val="9"/>
        <w:pageBreakBefore w:val="0"/>
        <w:kinsoku/>
        <w:overflowPunct/>
        <w:topLinePunct w:val="0"/>
        <w:bidi w:val="0"/>
        <w:spacing w:beforeAutospacing="0" w:afterAutospacing="0" w:line="360" w:lineRule="auto"/>
        <w:jc w:val="center"/>
        <w:rPr>
          <w:b/>
          <w:bCs/>
          <w:color w:val="auto"/>
          <w:sz w:val="28"/>
          <w:szCs w:val="28"/>
          <w:highlight w:val="none"/>
        </w:rPr>
      </w:pPr>
    </w:p>
    <w:p>
      <w:pPr>
        <w:pStyle w:val="9"/>
        <w:pageBreakBefore w:val="0"/>
        <w:kinsoku/>
        <w:overflowPunct/>
        <w:topLinePunct w:val="0"/>
        <w:bidi w:val="0"/>
        <w:spacing w:beforeAutospacing="0" w:afterAutospacing="0" w:line="360" w:lineRule="auto"/>
        <w:jc w:val="center"/>
        <w:rPr>
          <w:b/>
          <w:bCs/>
          <w:color w:val="auto"/>
          <w:sz w:val="28"/>
          <w:szCs w:val="28"/>
          <w:highlight w:val="none"/>
        </w:rPr>
      </w:pPr>
    </w:p>
    <w:p>
      <w:pPr>
        <w:pStyle w:val="9"/>
        <w:pageBreakBefore w:val="0"/>
        <w:kinsoku/>
        <w:overflowPunct/>
        <w:topLinePunct w:val="0"/>
        <w:bidi w:val="0"/>
        <w:spacing w:beforeAutospacing="0" w:afterAutospacing="0" w:line="360" w:lineRule="auto"/>
        <w:jc w:val="center"/>
        <w:rPr>
          <w:b/>
          <w:bCs/>
          <w:color w:val="auto"/>
          <w:sz w:val="28"/>
          <w:szCs w:val="28"/>
          <w:highlight w:val="none"/>
        </w:rPr>
      </w:pPr>
    </w:p>
    <w:p>
      <w:pPr>
        <w:pStyle w:val="9"/>
        <w:pageBreakBefore w:val="0"/>
        <w:kinsoku/>
        <w:overflowPunct/>
        <w:topLinePunct w:val="0"/>
        <w:bidi w:val="0"/>
        <w:spacing w:beforeAutospacing="0" w:afterAutospacing="0" w:line="360" w:lineRule="auto"/>
        <w:jc w:val="center"/>
        <w:rPr>
          <w:b/>
          <w:bCs/>
          <w:color w:val="auto"/>
          <w:sz w:val="28"/>
          <w:szCs w:val="28"/>
          <w:highlight w:val="none"/>
        </w:rPr>
      </w:pPr>
    </w:p>
    <w:p>
      <w:pPr>
        <w:pStyle w:val="9"/>
        <w:pageBreakBefore w:val="0"/>
        <w:kinsoku/>
        <w:overflowPunct/>
        <w:topLinePunct w:val="0"/>
        <w:bidi w:val="0"/>
        <w:spacing w:beforeAutospacing="0" w:afterAutospacing="0" w:line="360" w:lineRule="auto"/>
        <w:jc w:val="center"/>
        <w:rPr>
          <w:b/>
          <w:bCs/>
          <w:color w:val="auto"/>
          <w:sz w:val="28"/>
          <w:szCs w:val="28"/>
          <w:highlight w:val="none"/>
        </w:rPr>
      </w:pPr>
    </w:p>
    <w:p>
      <w:pPr>
        <w:pStyle w:val="9"/>
        <w:pageBreakBefore w:val="0"/>
        <w:kinsoku/>
        <w:overflowPunct/>
        <w:topLinePunct w:val="0"/>
        <w:bidi w:val="0"/>
        <w:spacing w:beforeAutospacing="0" w:afterAutospacing="0" w:line="360" w:lineRule="auto"/>
        <w:jc w:val="center"/>
        <w:rPr>
          <w:b/>
          <w:bCs/>
          <w:color w:val="auto"/>
          <w:sz w:val="28"/>
          <w:szCs w:val="28"/>
          <w:highlight w:val="none"/>
        </w:rPr>
      </w:pPr>
    </w:p>
    <w:p>
      <w:pPr>
        <w:pStyle w:val="9"/>
        <w:pageBreakBefore w:val="0"/>
        <w:kinsoku/>
        <w:overflowPunct/>
        <w:topLinePunct w:val="0"/>
        <w:bidi w:val="0"/>
        <w:spacing w:beforeAutospacing="0" w:afterAutospacing="0" w:line="360" w:lineRule="auto"/>
        <w:jc w:val="center"/>
        <w:rPr>
          <w:b/>
          <w:bCs/>
          <w:color w:val="auto"/>
          <w:sz w:val="28"/>
          <w:szCs w:val="28"/>
          <w:highlight w:val="none"/>
        </w:rPr>
      </w:pPr>
    </w:p>
    <w:p>
      <w:pPr>
        <w:pStyle w:val="9"/>
        <w:pageBreakBefore w:val="0"/>
        <w:kinsoku/>
        <w:overflowPunct/>
        <w:topLinePunct w:val="0"/>
        <w:bidi w:val="0"/>
        <w:spacing w:beforeAutospacing="0" w:afterAutospacing="0" w:line="360" w:lineRule="auto"/>
        <w:jc w:val="center"/>
        <w:rPr>
          <w:b/>
          <w:bCs/>
          <w:color w:val="auto"/>
          <w:sz w:val="28"/>
          <w:szCs w:val="28"/>
          <w:highlight w:val="none"/>
        </w:rPr>
      </w:pPr>
    </w:p>
    <w:p>
      <w:pPr>
        <w:pStyle w:val="9"/>
        <w:pageBreakBefore w:val="0"/>
        <w:kinsoku/>
        <w:overflowPunct/>
        <w:topLinePunct w:val="0"/>
        <w:bidi w:val="0"/>
        <w:spacing w:beforeAutospacing="0" w:afterAutospacing="0" w:line="360" w:lineRule="auto"/>
        <w:jc w:val="center"/>
        <w:rPr>
          <w:b/>
          <w:bCs/>
          <w:color w:val="auto"/>
          <w:sz w:val="28"/>
          <w:szCs w:val="28"/>
          <w:highlight w:val="none"/>
        </w:rPr>
      </w:pPr>
    </w:p>
    <w:p>
      <w:pPr>
        <w:pStyle w:val="9"/>
        <w:pageBreakBefore w:val="0"/>
        <w:kinsoku/>
        <w:overflowPunct/>
        <w:topLinePunct w:val="0"/>
        <w:bidi w:val="0"/>
        <w:spacing w:beforeAutospacing="0" w:afterAutospacing="0" w:line="360" w:lineRule="auto"/>
        <w:jc w:val="center"/>
        <w:rPr>
          <w:b/>
          <w:bCs/>
          <w:color w:val="auto"/>
          <w:sz w:val="28"/>
          <w:szCs w:val="28"/>
          <w:highlight w:val="none"/>
        </w:rPr>
      </w:pPr>
    </w:p>
    <w:p>
      <w:pPr>
        <w:pStyle w:val="9"/>
        <w:pageBreakBefore w:val="0"/>
        <w:kinsoku/>
        <w:overflowPunct/>
        <w:topLinePunct w:val="0"/>
        <w:bidi w:val="0"/>
        <w:spacing w:beforeAutospacing="0" w:afterAutospacing="0" w:line="360" w:lineRule="auto"/>
        <w:jc w:val="center"/>
        <w:rPr>
          <w:b/>
          <w:bCs/>
          <w:color w:val="auto"/>
          <w:sz w:val="28"/>
          <w:szCs w:val="28"/>
          <w:highlight w:val="none"/>
        </w:rPr>
      </w:pPr>
    </w:p>
    <w:p>
      <w:pPr>
        <w:pStyle w:val="9"/>
        <w:pageBreakBefore w:val="0"/>
        <w:kinsoku/>
        <w:overflowPunct/>
        <w:topLinePunct w:val="0"/>
        <w:bidi w:val="0"/>
        <w:spacing w:beforeAutospacing="0" w:afterAutospacing="0" w:line="360" w:lineRule="auto"/>
        <w:jc w:val="center"/>
        <w:rPr>
          <w:b/>
          <w:bCs/>
          <w:color w:val="auto"/>
          <w:sz w:val="28"/>
          <w:szCs w:val="28"/>
          <w:highlight w:val="none"/>
        </w:rPr>
      </w:pPr>
    </w:p>
    <w:p>
      <w:pPr>
        <w:pStyle w:val="9"/>
        <w:pageBreakBefore w:val="0"/>
        <w:kinsoku/>
        <w:overflowPunct/>
        <w:topLinePunct w:val="0"/>
        <w:bidi w:val="0"/>
        <w:spacing w:beforeAutospacing="0" w:afterAutospacing="0" w:line="360" w:lineRule="auto"/>
        <w:jc w:val="center"/>
        <w:rPr>
          <w:b/>
          <w:bCs/>
          <w:color w:val="auto"/>
          <w:sz w:val="28"/>
          <w:szCs w:val="28"/>
          <w:highlight w:val="none"/>
        </w:rPr>
      </w:pPr>
    </w:p>
    <w:p>
      <w:pPr>
        <w:pStyle w:val="9"/>
        <w:pageBreakBefore w:val="0"/>
        <w:kinsoku/>
        <w:overflowPunct/>
        <w:topLinePunct w:val="0"/>
        <w:bidi w:val="0"/>
        <w:spacing w:beforeAutospacing="0" w:afterAutospacing="0" w:line="360" w:lineRule="auto"/>
        <w:jc w:val="both"/>
        <w:rPr>
          <w:b/>
          <w:bCs/>
          <w:color w:val="auto"/>
          <w:sz w:val="28"/>
          <w:szCs w:val="28"/>
          <w:highlight w:val="none"/>
        </w:rPr>
      </w:pPr>
    </w:p>
    <w:sectPr>
      <w:headerReference r:id="rId5" w:type="default"/>
      <w:footerReference r:id="rId6" w:type="default"/>
      <w:pgSz w:w="11906" w:h="16838"/>
      <w:pgMar w:top="1417" w:right="1474" w:bottom="1417" w:left="1474" w:header="851" w:footer="624" w:gutter="0"/>
      <w:pgNumType w:fmt="decimal"/>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Microsoft YaHei UI">
    <w:panose1 w:val="020B0503020204020204"/>
    <w:charset w:val="86"/>
    <w:family w:val="swiss"/>
    <w:pitch w:val="default"/>
    <w:sig w:usb0="80000287" w:usb1="2ACF3C50" w:usb2="00000016" w:usb3="00000000" w:csb0="0004001F" w:csb1="00000000"/>
  </w:font>
  <w:font w:name="华文宋体">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Lucida Sans Unicode">
    <w:panose1 w:val="020B0602030504020204"/>
    <w:charset w:val="00"/>
    <w:family w:val="swiss"/>
    <w:pitch w:val="default"/>
    <w:sig w:usb0="80001AFF" w:usb1="0000396B" w:usb2="00000000" w:usb3="00000000" w:csb0="200000BF" w:csb1="D7F70000"/>
  </w:font>
  <w:font w:name="新宋体">
    <w:panose1 w:val="02010609030101010101"/>
    <w:charset w:val="86"/>
    <w:family w:val="modern"/>
    <w:pitch w:val="default"/>
    <w:sig w:usb0="00000203" w:usb1="288F0000" w:usb2="0000000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top w:val="single" w:color="auto" w:sz="4" w:space="1"/>
      </w:pBdr>
      <w:jc w:val="both"/>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14605</wp:posOffset>
              </wp:positionV>
              <wp:extent cx="1828800" cy="1828800"/>
              <wp:effectExtent l="0" t="0" r="0" b="0"/>
              <wp:wrapNone/>
              <wp:docPr id="2"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pStyle w:val="22"/>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1.15pt;height:144pt;width:144pt;mso-position-horizontal:center;mso-position-horizontal-relative:margin;mso-wrap-style:none;z-index:251660288;mso-width-relative:page;mso-height-relative:page;" filled="f" stroked="f" coordsize="21600,21600" o:gfxdata="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MnDNi/TAAAABgEAAA8AAAAAAAAAAQAgAAAAIgAA&#10;AGRycy9kb3ducmV2LnhtbFBLAQIUABQAAAAIAIdO4kCHIGb51AEAAKUDAAAOAAAAAAAAAAEAIAAA&#10;ACIBAABkcnMvZTJvRG9jLnhtbFBLBQYAAAAABgAGAFkBAABoBQAAAAA=&#10;">
              <v:fill on="f" focussize="0,0"/>
              <v:stroke on="f" weight="0.5pt"/>
              <v:imagedata o:title=""/>
              <o:lock v:ext="edit" aspectratio="f"/>
              <v:textbox inset="0mm,0mm,0mm,0mm" style="mso-fit-shape-to-text:t;">
                <w:txbxContent>
                  <w:p>
                    <w:pPr>
                      <w:pStyle w:val="22"/>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top w:val="single" w:color="auto" w:sz="4" w:space="1"/>
      </w:pBdr>
      <w:jc w:val="both"/>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14605</wp:posOffset>
              </wp:positionV>
              <wp:extent cx="144780" cy="204470"/>
              <wp:effectExtent l="0" t="0" r="0" b="0"/>
              <wp:wrapNone/>
              <wp:docPr id="1" name="文本框 1026"/>
              <wp:cNvGraphicFramePr/>
              <a:graphic xmlns:a="http://schemas.openxmlformats.org/drawingml/2006/main">
                <a:graphicData uri="http://schemas.microsoft.com/office/word/2010/wordprocessingShape">
                  <wps:wsp>
                    <wps:cNvSpPr txBox="1"/>
                    <wps:spPr>
                      <a:xfrm>
                        <a:off x="0" y="0"/>
                        <a:ext cx="144780" cy="204470"/>
                      </a:xfrm>
                      <a:prstGeom prst="rect">
                        <a:avLst/>
                      </a:prstGeom>
                      <a:noFill/>
                      <a:ln>
                        <a:noFill/>
                      </a:ln>
                    </wps:spPr>
                    <wps:txbx>
                      <w:txbxContent>
                        <w:p>
                          <w:pPr>
                            <w:pStyle w:val="22"/>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wps:txbx>
                    <wps:bodyPr lIns="0" tIns="0" rIns="0" bIns="0" upright="1"/>
                  </wps:wsp>
                </a:graphicData>
              </a:graphic>
            </wp:anchor>
          </w:drawing>
        </mc:Choice>
        <mc:Fallback>
          <w:pict>
            <v:shape id="文本框 1026" o:spid="_x0000_s1026" o:spt="202" type="#_x0000_t202" style="position:absolute;left:0pt;margin-top:1.15pt;height:16.1pt;width:11.4pt;mso-position-horizontal:center;mso-position-horizontal-relative:margin;z-index:251659264;mso-width-relative:page;mso-height-relative:page;" filled="f" stroked="f" coordsize="21600,21600" o:gfxdata="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l9mmrNQAAAAEAQAADwAAAAAAAAABACAAAAAiAAAAZHJzL2Rvd25yZXYueG1sUEsBAhQAFAAA&#10;AAgAh07iQFFZh6C6AQAAdAMAAA4AAAAAAAAAAQAgAAAAIwEAAGRycy9lMm9Eb2MueG1sUEsFBgAA&#10;AAAGAAYAWQEAAE8FAAAAAA==&#10;">
              <v:fill on="f" focussize="0,0"/>
              <v:stroke on="f"/>
              <v:imagedata o:title=""/>
              <o:lock v:ext="edit" aspectratio="f"/>
              <v:textbox inset="0mm,0mm,0mm,0mm">
                <w:txbxContent>
                  <w:p>
                    <w:pPr>
                      <w:pStyle w:val="22"/>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v:textbox>
            </v:shape>
          </w:pict>
        </mc:Fallback>
      </mc:AlternateContent>
    </w:r>
    <w:r>
      <w:rPr>
        <w:rFonts w:hint="eastAsia"/>
      </w:rPr>
      <w:t xml:space="preserve">        </w:t>
    </w:r>
  </w:p>
  <w:p>
    <w:pPr>
      <w:pStyle w:val="2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rPr>
        <w:rFonts w:hint="default"/>
        <w:lang w:val="en-US" w:eastAsia="zh-CN"/>
      </w:rPr>
    </w:pPr>
    <w:r>
      <w:rPr>
        <w:rFonts w:hint="eastAsia"/>
        <w:lang w:val="en-US" w:eastAsia="zh-CN"/>
      </w:rPr>
      <w:t>驻马店市中心医院核酸扩增分析仪、呼气分析仪采购项目采购文件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rPr>
        <w:rFonts w:hint="default"/>
        <w:lang w:val="en-US" w:eastAsia="zh-CN"/>
      </w:rPr>
    </w:pPr>
    <w:r>
      <w:rPr>
        <w:rFonts w:hint="eastAsia" w:ascii="宋体" w:hAnsi="宋体" w:cs="宋体"/>
        <w:color w:val="auto"/>
        <w:szCs w:val="21"/>
        <w:highlight w:val="none"/>
        <w:shd w:val="clear" w:color="auto" w:fill="FFFFFF"/>
        <w:lang w:eastAsia="zh-CN"/>
      </w:rPr>
      <w:t>驻马店市中心医院核酸扩增分析仪、呼气分析仪采购项目</w:t>
    </w:r>
    <w:r>
      <w:rPr>
        <w:rFonts w:hint="eastAsia"/>
        <w:lang w:val="en-US" w:eastAsia="zh-CN"/>
      </w:rPr>
      <w:t>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C3247B"/>
    <w:multiLevelType w:val="singleLevel"/>
    <w:tmpl w:val="93C3247B"/>
    <w:lvl w:ilvl="0" w:tentative="0">
      <w:start w:val="2"/>
      <w:numFmt w:val="decimal"/>
      <w:suff w:val="space"/>
      <w:lvlText w:val="%1."/>
      <w:lvlJc w:val="left"/>
    </w:lvl>
  </w:abstractNum>
  <w:abstractNum w:abstractNumId="1">
    <w:nsid w:val="E8A954FB"/>
    <w:multiLevelType w:val="singleLevel"/>
    <w:tmpl w:val="E8A954FB"/>
    <w:lvl w:ilvl="0" w:tentative="0">
      <w:start w:val="1"/>
      <w:numFmt w:val="decimal"/>
      <w:suff w:val="nothing"/>
      <w:lvlText w:val="%1、"/>
      <w:lvlJc w:val="left"/>
    </w:lvl>
  </w:abstractNum>
  <w:abstractNum w:abstractNumId="2">
    <w:nsid w:val="59B6410A"/>
    <w:multiLevelType w:val="singleLevel"/>
    <w:tmpl w:val="59B6410A"/>
    <w:lvl w:ilvl="0" w:tentative="0">
      <w:start w:val="1"/>
      <w:numFmt w:val="decimal"/>
      <w:suff w:val="nothing"/>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HorizontalSpacing w:val="105"/>
  <w:drawingGridVerticalSpacing w:val="319"/>
  <w:displayHorizontalDrawingGridEvery w:val="1"/>
  <w:displayVerticalDrawingGridEvery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IwMjRmYTY4OTJhZjc1NTA1MGQwNDc0NzZhNTkwMmUifQ=="/>
  </w:docVars>
  <w:rsids>
    <w:rsidRoot w:val="00000000"/>
    <w:rsid w:val="00503BD3"/>
    <w:rsid w:val="0066795B"/>
    <w:rsid w:val="00DA5C53"/>
    <w:rsid w:val="0123584C"/>
    <w:rsid w:val="01DF5C17"/>
    <w:rsid w:val="02D25290"/>
    <w:rsid w:val="02F12505"/>
    <w:rsid w:val="037C54DB"/>
    <w:rsid w:val="038E625D"/>
    <w:rsid w:val="047D5CC7"/>
    <w:rsid w:val="04C66C1A"/>
    <w:rsid w:val="0750142A"/>
    <w:rsid w:val="07936C1F"/>
    <w:rsid w:val="080812F8"/>
    <w:rsid w:val="08C1066A"/>
    <w:rsid w:val="0A6566E6"/>
    <w:rsid w:val="0C877CFB"/>
    <w:rsid w:val="0CE82491"/>
    <w:rsid w:val="0D3A1F53"/>
    <w:rsid w:val="0D5030A6"/>
    <w:rsid w:val="0D7116ED"/>
    <w:rsid w:val="0D8E6743"/>
    <w:rsid w:val="0D923C0B"/>
    <w:rsid w:val="0D961094"/>
    <w:rsid w:val="0DD203DE"/>
    <w:rsid w:val="0EDD4937"/>
    <w:rsid w:val="0F083E44"/>
    <w:rsid w:val="0FF85943"/>
    <w:rsid w:val="1003424E"/>
    <w:rsid w:val="100D65BF"/>
    <w:rsid w:val="10CF353C"/>
    <w:rsid w:val="11F33019"/>
    <w:rsid w:val="13695774"/>
    <w:rsid w:val="13F53FEC"/>
    <w:rsid w:val="14380591"/>
    <w:rsid w:val="144F7691"/>
    <w:rsid w:val="146A4213"/>
    <w:rsid w:val="15155054"/>
    <w:rsid w:val="18616F2E"/>
    <w:rsid w:val="1A2028DA"/>
    <w:rsid w:val="1A667D36"/>
    <w:rsid w:val="1A7F7CE9"/>
    <w:rsid w:val="1A856091"/>
    <w:rsid w:val="1B060913"/>
    <w:rsid w:val="1BDB2463"/>
    <w:rsid w:val="1C0E7EC3"/>
    <w:rsid w:val="1C2C60F9"/>
    <w:rsid w:val="1C5446B4"/>
    <w:rsid w:val="1C597898"/>
    <w:rsid w:val="1CDF0421"/>
    <w:rsid w:val="1D0E0D07"/>
    <w:rsid w:val="1DA32633"/>
    <w:rsid w:val="1E4470D6"/>
    <w:rsid w:val="211547B3"/>
    <w:rsid w:val="212A2D39"/>
    <w:rsid w:val="22D30A28"/>
    <w:rsid w:val="22F914CA"/>
    <w:rsid w:val="23F57CC4"/>
    <w:rsid w:val="25A93CC2"/>
    <w:rsid w:val="25C46BF1"/>
    <w:rsid w:val="296D7CC2"/>
    <w:rsid w:val="296E0EB4"/>
    <w:rsid w:val="2AC82E3D"/>
    <w:rsid w:val="2AD830E5"/>
    <w:rsid w:val="2C2A1794"/>
    <w:rsid w:val="2C5C7953"/>
    <w:rsid w:val="2CE81EF4"/>
    <w:rsid w:val="2E366B06"/>
    <w:rsid w:val="2EBD258D"/>
    <w:rsid w:val="31035B63"/>
    <w:rsid w:val="31603DCF"/>
    <w:rsid w:val="31986C26"/>
    <w:rsid w:val="31DB5FAA"/>
    <w:rsid w:val="322632A5"/>
    <w:rsid w:val="333105F2"/>
    <w:rsid w:val="33F74D7E"/>
    <w:rsid w:val="34445835"/>
    <w:rsid w:val="346A0AC1"/>
    <w:rsid w:val="349A13A6"/>
    <w:rsid w:val="350D171A"/>
    <w:rsid w:val="35150A2C"/>
    <w:rsid w:val="35C7280A"/>
    <w:rsid w:val="35E2289C"/>
    <w:rsid w:val="36B907B2"/>
    <w:rsid w:val="37B207B5"/>
    <w:rsid w:val="382252E2"/>
    <w:rsid w:val="38865FCC"/>
    <w:rsid w:val="38912AC0"/>
    <w:rsid w:val="38D93693"/>
    <w:rsid w:val="38E928FC"/>
    <w:rsid w:val="3987255E"/>
    <w:rsid w:val="39984708"/>
    <w:rsid w:val="39AE5E23"/>
    <w:rsid w:val="39E93199"/>
    <w:rsid w:val="3AAD1707"/>
    <w:rsid w:val="3B546702"/>
    <w:rsid w:val="3BEB698B"/>
    <w:rsid w:val="3C265C15"/>
    <w:rsid w:val="3CE36288"/>
    <w:rsid w:val="3D226758"/>
    <w:rsid w:val="3DAA28E7"/>
    <w:rsid w:val="3EB43064"/>
    <w:rsid w:val="40047331"/>
    <w:rsid w:val="411F75E2"/>
    <w:rsid w:val="41923405"/>
    <w:rsid w:val="436D5ED7"/>
    <w:rsid w:val="441440F3"/>
    <w:rsid w:val="47EC7D13"/>
    <w:rsid w:val="47FE17F4"/>
    <w:rsid w:val="48D10692"/>
    <w:rsid w:val="48E20F21"/>
    <w:rsid w:val="4914486F"/>
    <w:rsid w:val="49DB1DED"/>
    <w:rsid w:val="4B4B2D51"/>
    <w:rsid w:val="4C185248"/>
    <w:rsid w:val="4C235CCD"/>
    <w:rsid w:val="4D127DDB"/>
    <w:rsid w:val="4D6F30D1"/>
    <w:rsid w:val="4DD06B99"/>
    <w:rsid w:val="4F2C4E99"/>
    <w:rsid w:val="4F8E57CE"/>
    <w:rsid w:val="4F9B0496"/>
    <w:rsid w:val="4FFC63CE"/>
    <w:rsid w:val="509B6FFA"/>
    <w:rsid w:val="519805C3"/>
    <w:rsid w:val="51F92A4C"/>
    <w:rsid w:val="52426781"/>
    <w:rsid w:val="52750905"/>
    <w:rsid w:val="53370970"/>
    <w:rsid w:val="54CF5078"/>
    <w:rsid w:val="54E1471D"/>
    <w:rsid w:val="551C35C3"/>
    <w:rsid w:val="56A812A9"/>
    <w:rsid w:val="56E10F23"/>
    <w:rsid w:val="57877110"/>
    <w:rsid w:val="58AE4B70"/>
    <w:rsid w:val="5A295181"/>
    <w:rsid w:val="5A8A4DE4"/>
    <w:rsid w:val="5ABA15AB"/>
    <w:rsid w:val="5B1B7148"/>
    <w:rsid w:val="5C3918FB"/>
    <w:rsid w:val="5C5D3A0F"/>
    <w:rsid w:val="5CF50FC0"/>
    <w:rsid w:val="5DD67A13"/>
    <w:rsid w:val="5E206E1E"/>
    <w:rsid w:val="5E371164"/>
    <w:rsid w:val="5E742597"/>
    <w:rsid w:val="5F0D70EB"/>
    <w:rsid w:val="62097280"/>
    <w:rsid w:val="624125B1"/>
    <w:rsid w:val="62A212A2"/>
    <w:rsid w:val="639F518E"/>
    <w:rsid w:val="64164898"/>
    <w:rsid w:val="65447343"/>
    <w:rsid w:val="65A96DEB"/>
    <w:rsid w:val="679338AF"/>
    <w:rsid w:val="67C5345F"/>
    <w:rsid w:val="680631FA"/>
    <w:rsid w:val="68664B20"/>
    <w:rsid w:val="68CD32D8"/>
    <w:rsid w:val="69552C6B"/>
    <w:rsid w:val="6C6D0B73"/>
    <w:rsid w:val="6C8B2DA7"/>
    <w:rsid w:val="6D891ABD"/>
    <w:rsid w:val="6DB359B4"/>
    <w:rsid w:val="6E3D1FD3"/>
    <w:rsid w:val="6F0D200D"/>
    <w:rsid w:val="6F0D3F47"/>
    <w:rsid w:val="6F6126B0"/>
    <w:rsid w:val="6F797E6A"/>
    <w:rsid w:val="707912DA"/>
    <w:rsid w:val="71C01745"/>
    <w:rsid w:val="722A3D19"/>
    <w:rsid w:val="72777687"/>
    <w:rsid w:val="73304612"/>
    <w:rsid w:val="740F40B8"/>
    <w:rsid w:val="74726C59"/>
    <w:rsid w:val="74730F39"/>
    <w:rsid w:val="749879EC"/>
    <w:rsid w:val="76076E1C"/>
    <w:rsid w:val="76610A35"/>
    <w:rsid w:val="77134C4A"/>
    <w:rsid w:val="773F4EBA"/>
    <w:rsid w:val="77520D58"/>
    <w:rsid w:val="77EE068E"/>
    <w:rsid w:val="781F2ADC"/>
    <w:rsid w:val="78570929"/>
    <w:rsid w:val="79163B3B"/>
    <w:rsid w:val="7922042A"/>
    <w:rsid w:val="793B7903"/>
    <w:rsid w:val="79986B03"/>
    <w:rsid w:val="7A106FE1"/>
    <w:rsid w:val="7A374F60"/>
    <w:rsid w:val="7B227200"/>
    <w:rsid w:val="7B4A3BA0"/>
    <w:rsid w:val="7B580C40"/>
    <w:rsid w:val="7B603535"/>
    <w:rsid w:val="7C764ED8"/>
    <w:rsid w:val="7D2346C8"/>
    <w:rsid w:val="7DB51566"/>
    <w:rsid w:val="7E0B3D48"/>
    <w:rsid w:val="7E3F7F0D"/>
    <w:rsid w:val="7E9C305C"/>
    <w:rsid w:val="7EE043C7"/>
    <w:rsid w:val="7F71719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qFormat="1"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semiHidden="0"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4"/>
    <w:autoRedefine/>
    <w:qFormat/>
    <w:uiPriority w:val="0"/>
    <w:pPr>
      <w:keepNext/>
      <w:keepLines/>
      <w:spacing w:before="340" w:after="330" w:line="576" w:lineRule="auto"/>
      <w:outlineLvl w:val="0"/>
    </w:pPr>
    <w:rPr>
      <w:b/>
      <w:bCs/>
      <w:kern w:val="44"/>
      <w:sz w:val="44"/>
      <w:szCs w:val="44"/>
    </w:rPr>
  </w:style>
  <w:style w:type="paragraph" w:styleId="2">
    <w:name w:val="heading 2"/>
    <w:basedOn w:val="1"/>
    <w:next w:val="1"/>
    <w:autoRedefine/>
    <w:qFormat/>
    <w:uiPriority w:val="0"/>
    <w:pPr>
      <w:keepNext/>
      <w:keepLines/>
      <w:spacing w:before="260" w:after="260" w:line="416" w:lineRule="auto"/>
      <w:outlineLvl w:val="1"/>
    </w:pPr>
    <w:rPr>
      <w:rFonts w:ascii="Arial" w:hAnsi="Arial" w:eastAsia="黑体"/>
      <w:b/>
      <w:bCs/>
      <w:sz w:val="32"/>
      <w:szCs w:val="32"/>
    </w:rPr>
  </w:style>
  <w:style w:type="paragraph" w:styleId="6">
    <w:name w:val="heading 3"/>
    <w:basedOn w:val="1"/>
    <w:next w:val="1"/>
    <w:autoRedefine/>
    <w:qFormat/>
    <w:uiPriority w:val="0"/>
    <w:pPr>
      <w:keepNext/>
      <w:keepLines/>
      <w:spacing w:before="260" w:after="260" w:line="416" w:lineRule="auto"/>
      <w:outlineLvl w:val="2"/>
    </w:pPr>
    <w:rPr>
      <w:b/>
      <w:bCs/>
      <w:sz w:val="32"/>
      <w:szCs w:val="32"/>
    </w:rPr>
  </w:style>
  <w:style w:type="paragraph" w:styleId="7">
    <w:name w:val="heading 4"/>
    <w:basedOn w:val="1"/>
    <w:next w:val="1"/>
    <w:autoRedefine/>
    <w:qFormat/>
    <w:uiPriority w:val="0"/>
    <w:pPr>
      <w:keepNext/>
      <w:keepLines/>
      <w:spacing w:line="360" w:lineRule="auto"/>
      <w:outlineLvl w:val="3"/>
    </w:pPr>
    <w:rPr>
      <w:rFonts w:ascii="Arial" w:hAnsi="Arial"/>
      <w:b/>
      <w:bCs/>
      <w:szCs w:val="28"/>
    </w:rPr>
  </w:style>
  <w:style w:type="character" w:default="1" w:styleId="34">
    <w:name w:val="Default Paragraph Font"/>
    <w:autoRedefine/>
    <w:unhideWhenUsed/>
    <w:qFormat/>
    <w:uiPriority w:val="1"/>
  </w:style>
  <w:style w:type="table" w:default="1" w:styleId="32">
    <w:name w:val="Normal Table"/>
    <w:autoRedefine/>
    <w:unhideWhenUsed/>
    <w:qFormat/>
    <w:uiPriority w:val="99"/>
    <w:tblPr>
      <w:tblCellMar>
        <w:top w:w="0" w:type="dxa"/>
        <w:left w:w="108" w:type="dxa"/>
        <w:bottom w:w="0" w:type="dxa"/>
        <w:right w:w="108" w:type="dxa"/>
      </w:tblCellMar>
    </w:tblPr>
  </w:style>
  <w:style w:type="paragraph" w:styleId="4">
    <w:name w:val="Body Text"/>
    <w:basedOn w:val="1"/>
    <w:next w:val="5"/>
    <w:link w:val="74"/>
    <w:autoRedefine/>
    <w:qFormat/>
    <w:uiPriority w:val="0"/>
  </w:style>
  <w:style w:type="paragraph" w:styleId="5">
    <w:name w:val="Body Text 2"/>
    <w:basedOn w:val="1"/>
    <w:next w:val="4"/>
    <w:autoRedefine/>
    <w:qFormat/>
    <w:uiPriority w:val="0"/>
    <w:pPr>
      <w:spacing w:line="480" w:lineRule="auto"/>
    </w:pPr>
  </w:style>
  <w:style w:type="paragraph" w:styleId="8">
    <w:name w:val="List Number"/>
    <w:basedOn w:val="1"/>
    <w:autoRedefine/>
    <w:qFormat/>
    <w:uiPriority w:val="0"/>
    <w:pPr>
      <w:widowControl/>
      <w:spacing w:beforeAutospacing="1" w:afterAutospacing="1"/>
      <w:jc w:val="left"/>
    </w:pPr>
    <w:rPr>
      <w:rFonts w:ascii="宋体" w:hAnsi="宋体" w:cs="宋体"/>
      <w:kern w:val="0"/>
      <w:sz w:val="24"/>
    </w:rPr>
  </w:style>
  <w:style w:type="paragraph" w:styleId="9">
    <w:name w:val="Normal Indent"/>
    <w:basedOn w:val="1"/>
    <w:next w:val="10"/>
    <w:autoRedefine/>
    <w:qFormat/>
    <w:uiPriority w:val="0"/>
    <w:pPr>
      <w:widowControl/>
      <w:spacing w:beforeAutospacing="1" w:afterAutospacing="1"/>
      <w:jc w:val="left"/>
    </w:pPr>
    <w:rPr>
      <w:rFonts w:ascii="宋体" w:hAnsi="宋体" w:cs="宋体"/>
      <w:kern w:val="0"/>
      <w:sz w:val="24"/>
    </w:rPr>
  </w:style>
  <w:style w:type="paragraph" w:styleId="10">
    <w:name w:val="Body Text First Indent 2"/>
    <w:basedOn w:val="11"/>
    <w:autoRedefine/>
    <w:qFormat/>
    <w:uiPriority w:val="0"/>
    <w:pPr>
      <w:ind w:firstLine="420" w:firstLineChars="200"/>
    </w:pPr>
  </w:style>
  <w:style w:type="paragraph" w:styleId="11">
    <w:name w:val="Body Text Indent"/>
    <w:basedOn w:val="1"/>
    <w:next w:val="10"/>
    <w:autoRedefine/>
    <w:qFormat/>
    <w:uiPriority w:val="0"/>
    <w:pPr>
      <w:widowControl/>
      <w:spacing w:beforeAutospacing="1" w:afterAutospacing="1"/>
      <w:jc w:val="left"/>
    </w:pPr>
    <w:rPr>
      <w:rFonts w:ascii="宋体" w:hAnsi="宋体" w:cs="宋体"/>
      <w:kern w:val="0"/>
      <w:sz w:val="24"/>
    </w:rPr>
  </w:style>
  <w:style w:type="paragraph" w:styleId="12">
    <w:name w:val="Document Map"/>
    <w:basedOn w:val="1"/>
    <w:link w:val="76"/>
    <w:autoRedefine/>
    <w:qFormat/>
    <w:uiPriority w:val="0"/>
    <w:rPr>
      <w:rFonts w:ascii="宋体" w:hAnsi="Calibri"/>
      <w:sz w:val="18"/>
      <w:szCs w:val="18"/>
    </w:rPr>
  </w:style>
  <w:style w:type="paragraph" w:styleId="13">
    <w:name w:val="toa heading"/>
    <w:basedOn w:val="1"/>
    <w:next w:val="1"/>
    <w:autoRedefine/>
    <w:qFormat/>
    <w:uiPriority w:val="0"/>
    <w:pPr>
      <w:spacing w:before="120"/>
    </w:pPr>
    <w:rPr>
      <w:rFonts w:ascii="Arial" w:hAnsi="Arial" w:cs="Arial"/>
      <w:sz w:val="24"/>
    </w:rPr>
  </w:style>
  <w:style w:type="paragraph" w:styleId="14">
    <w:name w:val="annotation text"/>
    <w:basedOn w:val="1"/>
    <w:autoRedefine/>
    <w:qFormat/>
    <w:uiPriority w:val="0"/>
    <w:pPr>
      <w:jc w:val="left"/>
    </w:pPr>
  </w:style>
  <w:style w:type="paragraph" w:styleId="15">
    <w:name w:val="Body Text 3"/>
    <w:basedOn w:val="1"/>
    <w:qFormat/>
    <w:uiPriority w:val="0"/>
    <w:rPr>
      <w:sz w:val="16"/>
      <w:szCs w:val="16"/>
    </w:rPr>
  </w:style>
  <w:style w:type="paragraph" w:styleId="16">
    <w:name w:val="List 2"/>
    <w:basedOn w:val="1"/>
    <w:autoRedefine/>
    <w:qFormat/>
    <w:uiPriority w:val="0"/>
    <w:pPr>
      <w:ind w:left="100" w:leftChars="200" w:hanging="200" w:hangingChars="200"/>
    </w:pPr>
  </w:style>
  <w:style w:type="paragraph" w:styleId="17">
    <w:name w:val="Block Text"/>
    <w:basedOn w:val="1"/>
    <w:unhideWhenUsed/>
    <w:qFormat/>
    <w:uiPriority w:val="99"/>
    <w:pPr>
      <w:snapToGrid w:val="0"/>
      <w:spacing w:before="100" w:after="100"/>
      <w:ind w:left="-22" w:leftChars="-8" w:right="-40" w:firstLine="548" w:firstLineChars="196"/>
    </w:pPr>
    <w:rPr>
      <w:rFonts w:ascii="宋体" w:hAnsi="宋体"/>
      <w:sz w:val="28"/>
    </w:rPr>
  </w:style>
  <w:style w:type="paragraph" w:styleId="18">
    <w:name w:val="toc 3"/>
    <w:basedOn w:val="1"/>
    <w:next w:val="1"/>
    <w:autoRedefine/>
    <w:qFormat/>
    <w:uiPriority w:val="0"/>
    <w:pPr>
      <w:tabs>
        <w:tab w:val="left" w:pos="709"/>
        <w:tab w:val="right" w:leader="dot" w:pos="8789"/>
      </w:tabs>
      <w:spacing w:line="400" w:lineRule="atLeast"/>
    </w:pPr>
    <w:rPr>
      <w:rFonts w:ascii="宋体"/>
      <w:kern w:val="0"/>
      <w:szCs w:val="20"/>
    </w:rPr>
  </w:style>
  <w:style w:type="paragraph" w:styleId="19">
    <w:name w:val="Plain Text"/>
    <w:basedOn w:val="1"/>
    <w:autoRedefine/>
    <w:qFormat/>
    <w:uiPriority w:val="0"/>
    <w:pPr>
      <w:widowControl/>
      <w:spacing w:beforeAutospacing="1" w:afterAutospacing="1"/>
      <w:jc w:val="left"/>
    </w:pPr>
    <w:rPr>
      <w:rFonts w:ascii="宋体" w:hAnsi="宋体" w:cs="宋体"/>
      <w:kern w:val="0"/>
      <w:sz w:val="24"/>
    </w:rPr>
  </w:style>
  <w:style w:type="paragraph" w:styleId="20">
    <w:name w:val="Date"/>
    <w:basedOn w:val="1"/>
    <w:next w:val="1"/>
    <w:qFormat/>
    <w:uiPriority w:val="0"/>
    <w:pPr>
      <w:ind w:left="100" w:leftChars="2500"/>
    </w:pPr>
    <w:rPr>
      <w:rFonts w:ascii="宋体" w:hAnsi="宋体"/>
      <w:sz w:val="28"/>
    </w:rPr>
  </w:style>
  <w:style w:type="paragraph" w:styleId="21">
    <w:name w:val="Body Text Indent 2"/>
    <w:basedOn w:val="1"/>
    <w:autoRedefine/>
    <w:qFormat/>
    <w:uiPriority w:val="0"/>
    <w:pPr>
      <w:spacing w:line="480" w:lineRule="auto"/>
      <w:ind w:left="420" w:leftChars="200"/>
    </w:pPr>
  </w:style>
  <w:style w:type="paragraph" w:styleId="22">
    <w:name w:val="footer"/>
    <w:basedOn w:val="1"/>
    <w:autoRedefine/>
    <w:qFormat/>
    <w:uiPriority w:val="0"/>
    <w:pPr>
      <w:tabs>
        <w:tab w:val="center" w:pos="4153"/>
        <w:tab w:val="right" w:pos="8306"/>
      </w:tabs>
      <w:snapToGrid w:val="0"/>
      <w:jc w:val="left"/>
    </w:pPr>
    <w:rPr>
      <w:sz w:val="18"/>
      <w:szCs w:val="18"/>
    </w:rPr>
  </w:style>
  <w:style w:type="paragraph" w:styleId="23">
    <w:name w:val="envelope return"/>
    <w:basedOn w:val="1"/>
    <w:autoRedefine/>
    <w:unhideWhenUsed/>
    <w:qFormat/>
    <w:uiPriority w:val="99"/>
    <w:pPr>
      <w:snapToGrid w:val="0"/>
    </w:pPr>
    <w:rPr>
      <w:rFonts w:ascii="Arial" w:hAnsi="Arial"/>
    </w:rPr>
  </w:style>
  <w:style w:type="paragraph" w:styleId="2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25">
    <w:name w:val="toc 1"/>
    <w:basedOn w:val="13"/>
    <w:next w:val="1"/>
    <w:autoRedefine/>
    <w:qFormat/>
    <w:uiPriority w:val="0"/>
  </w:style>
  <w:style w:type="paragraph" w:styleId="26">
    <w:name w:val="List"/>
    <w:basedOn w:val="1"/>
    <w:autoRedefine/>
    <w:qFormat/>
    <w:uiPriority w:val="0"/>
    <w:pPr>
      <w:ind w:left="200" w:hanging="200" w:hangingChars="200"/>
    </w:pPr>
  </w:style>
  <w:style w:type="paragraph" w:styleId="27">
    <w:name w:val="Message Header"/>
    <w:basedOn w:val="1"/>
    <w:autoRedefine/>
    <w:unhideWhenUsed/>
    <w:qFormat/>
    <w:uiPriority w:val="99"/>
    <w:pPr>
      <w:pBdr>
        <w:top w:val="single" w:color="auto" w:sz="6" w:space="1"/>
        <w:left w:val="single" w:color="auto" w:sz="6" w:space="1"/>
        <w:bottom w:val="single" w:color="auto" w:sz="6" w:space="1"/>
        <w:right w:val="single" w:color="auto" w:sz="6" w:space="1"/>
      </w:pBdr>
      <w:shd w:val="clear" w:color="auto" w:fill="7F7F7F"/>
      <w:spacing w:before="100" w:beforeAutospacing="1" w:after="100" w:afterAutospacing="1"/>
      <w:ind w:left="1080" w:leftChars="500" w:hanging="1080" w:hangingChars="500"/>
    </w:pPr>
    <w:rPr>
      <w:rFonts w:ascii="Cambria" w:hAnsi="Cambria"/>
      <w:sz w:val="24"/>
      <w:szCs w:val="24"/>
    </w:rPr>
  </w:style>
  <w:style w:type="paragraph" w:styleId="28">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29">
    <w:name w:val="Normal (Web)"/>
    <w:basedOn w:val="1"/>
    <w:autoRedefine/>
    <w:qFormat/>
    <w:uiPriority w:val="99"/>
    <w:pPr>
      <w:spacing w:before="100" w:beforeAutospacing="1" w:after="100" w:afterAutospacing="1"/>
      <w:jc w:val="left"/>
    </w:pPr>
    <w:rPr>
      <w:kern w:val="0"/>
      <w:sz w:val="24"/>
    </w:rPr>
  </w:style>
  <w:style w:type="paragraph" w:styleId="30">
    <w:name w:val="Title"/>
    <w:basedOn w:val="1"/>
    <w:autoRedefine/>
    <w:qFormat/>
    <w:uiPriority w:val="0"/>
    <w:pPr>
      <w:jc w:val="center"/>
      <w:outlineLvl w:val="0"/>
    </w:pPr>
    <w:rPr>
      <w:rFonts w:ascii="Arial" w:hAnsi="Arial" w:cs="Arial"/>
      <w:b/>
      <w:bCs/>
      <w:sz w:val="32"/>
      <w:szCs w:val="32"/>
    </w:rPr>
  </w:style>
  <w:style w:type="paragraph" w:styleId="31">
    <w:name w:val="Body Text First Indent"/>
    <w:basedOn w:val="4"/>
    <w:next w:val="10"/>
    <w:autoRedefine/>
    <w:qFormat/>
    <w:uiPriority w:val="0"/>
    <w:pPr>
      <w:spacing w:line="360" w:lineRule="auto"/>
      <w:ind w:firstLine="420" w:firstLineChars="100"/>
    </w:pPr>
    <w:rPr>
      <w:szCs w:val="21"/>
    </w:rPr>
  </w:style>
  <w:style w:type="table" w:styleId="33">
    <w:name w:val="Table Grid"/>
    <w:basedOn w:val="32"/>
    <w:autoRedefine/>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5">
    <w:name w:val="Strong"/>
    <w:autoRedefine/>
    <w:qFormat/>
    <w:uiPriority w:val="0"/>
    <w:rPr>
      <w:b/>
      <w:bCs/>
      <w:szCs w:val="24"/>
    </w:rPr>
  </w:style>
  <w:style w:type="character" w:styleId="36">
    <w:name w:val="page number"/>
    <w:basedOn w:val="34"/>
    <w:autoRedefine/>
    <w:qFormat/>
    <w:uiPriority w:val="0"/>
  </w:style>
  <w:style w:type="character" w:styleId="37">
    <w:name w:val="FollowedHyperlink"/>
    <w:autoRedefine/>
    <w:qFormat/>
    <w:uiPriority w:val="0"/>
    <w:rPr>
      <w:color w:val="333333"/>
      <w:szCs w:val="24"/>
      <w:u w:val="none"/>
    </w:rPr>
  </w:style>
  <w:style w:type="character" w:styleId="38">
    <w:name w:val="Emphasis"/>
    <w:basedOn w:val="34"/>
    <w:autoRedefine/>
    <w:qFormat/>
    <w:uiPriority w:val="0"/>
  </w:style>
  <w:style w:type="character" w:styleId="39">
    <w:name w:val="HTML Definition"/>
    <w:basedOn w:val="34"/>
    <w:autoRedefine/>
    <w:qFormat/>
    <w:uiPriority w:val="0"/>
  </w:style>
  <w:style w:type="character" w:styleId="40">
    <w:name w:val="HTML Typewriter"/>
    <w:basedOn w:val="34"/>
    <w:autoRedefine/>
    <w:qFormat/>
    <w:uiPriority w:val="0"/>
    <w:rPr>
      <w:rFonts w:hint="default" w:ascii="monospace" w:hAnsi="monospace" w:eastAsia="monospace" w:cs="monospace"/>
      <w:sz w:val="20"/>
    </w:rPr>
  </w:style>
  <w:style w:type="character" w:styleId="41">
    <w:name w:val="HTML Acronym"/>
    <w:basedOn w:val="34"/>
    <w:autoRedefine/>
    <w:qFormat/>
    <w:uiPriority w:val="0"/>
  </w:style>
  <w:style w:type="character" w:styleId="42">
    <w:name w:val="HTML Variable"/>
    <w:basedOn w:val="34"/>
    <w:autoRedefine/>
    <w:qFormat/>
    <w:uiPriority w:val="0"/>
  </w:style>
  <w:style w:type="character" w:styleId="43">
    <w:name w:val="Hyperlink"/>
    <w:basedOn w:val="34"/>
    <w:autoRedefine/>
    <w:qFormat/>
    <w:uiPriority w:val="0"/>
    <w:rPr>
      <w:color w:val="333333"/>
      <w:szCs w:val="24"/>
      <w:u w:val="none"/>
    </w:rPr>
  </w:style>
  <w:style w:type="character" w:styleId="44">
    <w:name w:val="HTML Code"/>
    <w:basedOn w:val="34"/>
    <w:autoRedefine/>
    <w:qFormat/>
    <w:uiPriority w:val="0"/>
    <w:rPr>
      <w:rFonts w:ascii="monospace" w:hAnsi="monospace" w:eastAsia="monospace" w:cs="monospace"/>
      <w:sz w:val="20"/>
    </w:rPr>
  </w:style>
  <w:style w:type="character" w:styleId="45">
    <w:name w:val="HTML Cite"/>
    <w:basedOn w:val="34"/>
    <w:autoRedefine/>
    <w:qFormat/>
    <w:uiPriority w:val="0"/>
  </w:style>
  <w:style w:type="character" w:styleId="46">
    <w:name w:val="HTML Keyboard"/>
    <w:basedOn w:val="34"/>
    <w:autoRedefine/>
    <w:qFormat/>
    <w:uiPriority w:val="0"/>
    <w:rPr>
      <w:rFonts w:hint="default" w:ascii="monospace" w:hAnsi="monospace" w:eastAsia="monospace" w:cs="monospace"/>
      <w:sz w:val="20"/>
    </w:rPr>
  </w:style>
  <w:style w:type="character" w:styleId="47">
    <w:name w:val="HTML Sample"/>
    <w:basedOn w:val="34"/>
    <w:autoRedefine/>
    <w:qFormat/>
    <w:uiPriority w:val="0"/>
    <w:rPr>
      <w:rFonts w:hint="default" w:ascii="monospace" w:hAnsi="monospace" w:eastAsia="monospace" w:cs="monospace"/>
    </w:rPr>
  </w:style>
  <w:style w:type="paragraph" w:customStyle="1" w:styleId="48">
    <w:name w:val="目录 51"/>
    <w:next w:val="1"/>
    <w:autoRedefine/>
    <w:qFormat/>
    <w:uiPriority w:val="0"/>
    <w:pPr>
      <w:wordWrap w:val="0"/>
      <w:ind w:left="1700"/>
      <w:jc w:val="both"/>
    </w:pPr>
    <w:rPr>
      <w:rFonts w:ascii="Times New Roman" w:hAnsi="Times New Roman" w:eastAsia="Calibri" w:cs="Times New Roman"/>
      <w:sz w:val="21"/>
      <w:lang w:val="en-US" w:eastAsia="zh-CN" w:bidi="ar-SA"/>
    </w:rPr>
  </w:style>
  <w:style w:type="paragraph" w:customStyle="1" w:styleId="49">
    <w:name w:val="Default"/>
    <w:next w:val="50"/>
    <w:autoRedefine/>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50">
    <w:name w:val="大标题"/>
    <w:basedOn w:val="1"/>
    <w:next w:val="10"/>
    <w:autoRedefine/>
    <w:qFormat/>
    <w:uiPriority w:val="0"/>
    <w:pPr>
      <w:jc w:val="center"/>
    </w:pPr>
    <w:rPr>
      <w:rFonts w:ascii="Arial" w:hAnsi="Arial"/>
      <w:b/>
      <w:sz w:val="28"/>
    </w:rPr>
  </w:style>
  <w:style w:type="paragraph" w:customStyle="1" w:styleId="51">
    <w:name w:val="样式 正文首行缩进 2 + Arial"/>
    <w:basedOn w:val="1"/>
    <w:next w:val="1"/>
    <w:qFormat/>
    <w:uiPriority w:val="0"/>
    <w:pPr>
      <w:spacing w:after="120" w:line="320" w:lineRule="atLeast"/>
      <w:ind w:firstLine="200" w:firstLineChars="200"/>
    </w:pPr>
    <w:rPr>
      <w:rFonts w:ascii="Arial" w:hAnsi="Arial"/>
      <w:kern w:val="0"/>
    </w:rPr>
  </w:style>
  <w:style w:type="paragraph" w:customStyle="1" w:styleId="52">
    <w:name w:val="No Spacing1"/>
    <w:basedOn w:val="1"/>
    <w:autoRedefine/>
    <w:qFormat/>
    <w:uiPriority w:val="0"/>
    <w:pPr>
      <w:spacing w:line="400" w:lineRule="exact"/>
    </w:pPr>
    <w:rPr>
      <w:sz w:val="24"/>
    </w:rPr>
  </w:style>
  <w:style w:type="paragraph" w:customStyle="1" w:styleId="53">
    <w:name w:val="样式 首行缩进:  2 字符"/>
    <w:basedOn w:val="1"/>
    <w:autoRedefine/>
    <w:qFormat/>
    <w:uiPriority w:val="0"/>
    <w:pPr>
      <w:spacing w:line="360" w:lineRule="auto"/>
      <w:ind w:firstLine="480" w:firstLineChars="200"/>
      <w:jc w:val="left"/>
    </w:pPr>
    <w:rPr>
      <w:rFonts w:ascii="宋体" w:hAnsi="宋体" w:cs="宋体"/>
      <w:color w:val="000000"/>
      <w:sz w:val="24"/>
      <w:szCs w:val="20"/>
    </w:rPr>
  </w:style>
  <w:style w:type="paragraph" w:customStyle="1" w:styleId="54">
    <w:name w:val="Char"/>
    <w:basedOn w:val="1"/>
    <w:autoRedefine/>
    <w:qFormat/>
    <w:uiPriority w:val="0"/>
  </w:style>
  <w:style w:type="paragraph" w:customStyle="1" w:styleId="55">
    <w:name w:val="正文缩进1"/>
    <w:basedOn w:val="1"/>
    <w:autoRedefine/>
    <w:qFormat/>
    <w:uiPriority w:val="0"/>
    <w:pPr>
      <w:widowControl/>
      <w:ind w:firstLine="420"/>
      <w:jc w:val="left"/>
    </w:pPr>
    <w:rPr>
      <w:kern w:val="0"/>
      <w:szCs w:val="20"/>
    </w:rPr>
  </w:style>
  <w:style w:type="paragraph" w:customStyle="1" w:styleId="56">
    <w:name w:val="列出段落2"/>
    <w:basedOn w:val="1"/>
    <w:autoRedefine/>
    <w:qFormat/>
    <w:uiPriority w:val="34"/>
    <w:pPr>
      <w:ind w:firstLine="420" w:firstLineChars="200"/>
    </w:pPr>
  </w:style>
  <w:style w:type="paragraph" w:customStyle="1" w:styleId="57">
    <w:name w:val="plaintext"/>
    <w:basedOn w:val="1"/>
    <w:autoRedefine/>
    <w:qFormat/>
    <w:uiPriority w:val="0"/>
    <w:pPr>
      <w:widowControl/>
      <w:spacing w:beforeAutospacing="1" w:afterAutospacing="1"/>
      <w:jc w:val="left"/>
    </w:pPr>
    <w:rPr>
      <w:rFonts w:ascii="宋体" w:hAnsi="宋体" w:cs="宋体"/>
      <w:kern w:val="0"/>
      <w:sz w:val="24"/>
    </w:rPr>
  </w:style>
  <w:style w:type="paragraph" w:customStyle="1" w:styleId="58">
    <w:name w:val="1"/>
    <w:basedOn w:val="1"/>
    <w:autoRedefine/>
    <w:qFormat/>
    <w:uiPriority w:val="0"/>
    <w:pPr>
      <w:widowControl/>
      <w:spacing w:beforeAutospacing="1" w:afterAutospacing="1"/>
      <w:jc w:val="left"/>
    </w:pPr>
    <w:rPr>
      <w:rFonts w:ascii="宋体" w:hAnsi="宋体" w:cs="宋体"/>
      <w:kern w:val="0"/>
      <w:sz w:val="24"/>
    </w:rPr>
  </w:style>
  <w:style w:type="paragraph" w:customStyle="1" w:styleId="59">
    <w:name w:val="No Spacing"/>
    <w:autoRedefine/>
    <w:qFormat/>
    <w:uiPriority w:val="1"/>
    <w:rPr>
      <w:rFonts w:ascii="Calibri" w:hAnsi="Calibri" w:eastAsia="宋体" w:cs="Times New Roman"/>
      <w:sz w:val="22"/>
      <w:szCs w:val="22"/>
      <w:lang w:val="en-US" w:eastAsia="zh-CN" w:bidi="ar-SA"/>
    </w:rPr>
  </w:style>
  <w:style w:type="paragraph" w:customStyle="1" w:styleId="60">
    <w:name w:val="_Style 2"/>
    <w:basedOn w:val="1"/>
    <w:autoRedefine/>
    <w:qFormat/>
    <w:uiPriority w:val="34"/>
    <w:pPr>
      <w:ind w:firstLine="420" w:firstLineChars="200"/>
    </w:pPr>
    <w:rPr>
      <w:rFonts w:ascii="Calibri" w:hAnsi="Calibri"/>
    </w:rPr>
  </w:style>
  <w:style w:type="paragraph" w:customStyle="1" w:styleId="61">
    <w:name w:val="paracharcharcharcharcharcharcharcharchar1charcharcharchar"/>
    <w:basedOn w:val="1"/>
    <w:autoRedefine/>
    <w:qFormat/>
    <w:uiPriority w:val="0"/>
    <w:pPr>
      <w:widowControl/>
      <w:spacing w:beforeAutospacing="1" w:afterAutospacing="1"/>
      <w:jc w:val="left"/>
    </w:pPr>
    <w:rPr>
      <w:rFonts w:ascii="宋体" w:hAnsi="宋体" w:cs="宋体"/>
      <w:kern w:val="0"/>
      <w:sz w:val="24"/>
    </w:rPr>
  </w:style>
  <w:style w:type="paragraph" w:customStyle="1" w:styleId="62">
    <w:name w:val="样式2"/>
    <w:basedOn w:val="1"/>
    <w:next w:val="1"/>
    <w:autoRedefine/>
    <w:qFormat/>
    <w:uiPriority w:val="0"/>
    <w:pPr>
      <w:spacing w:line="360" w:lineRule="exact"/>
      <w:ind w:left="-107" w:leftChars="-51" w:right="-108" w:firstLine="98" w:firstLineChars="41"/>
      <w:jc w:val="left"/>
    </w:pPr>
    <w:rPr>
      <w:rFonts w:ascii="宋体" w:hAnsi="宋体"/>
    </w:rPr>
  </w:style>
  <w:style w:type="paragraph" w:customStyle="1" w:styleId="63">
    <w:name w:val="Char1"/>
    <w:basedOn w:val="1"/>
    <w:autoRedefine/>
    <w:qFormat/>
    <w:uiPriority w:val="0"/>
  </w:style>
  <w:style w:type="paragraph" w:customStyle="1" w:styleId="64">
    <w:name w:val="p16"/>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65">
    <w:name w:val="Table Paragraph"/>
    <w:basedOn w:val="1"/>
    <w:autoRedefine/>
    <w:qFormat/>
    <w:uiPriority w:val="1"/>
    <w:pPr>
      <w:jc w:val="left"/>
    </w:pPr>
    <w:rPr>
      <w:rFonts w:ascii="宋体" w:hAnsi="宋体" w:cs="宋体"/>
      <w:kern w:val="0"/>
      <w:sz w:val="22"/>
      <w:szCs w:val="22"/>
      <w:lang w:eastAsia="en-US"/>
    </w:rPr>
  </w:style>
  <w:style w:type="paragraph" w:customStyle="1" w:styleId="66">
    <w:name w:val="无间隔1"/>
    <w:basedOn w:val="1"/>
    <w:autoRedefine/>
    <w:qFormat/>
    <w:uiPriority w:val="1"/>
    <w:pPr>
      <w:spacing w:line="400" w:lineRule="exact"/>
    </w:pPr>
    <w:rPr>
      <w:sz w:val="24"/>
    </w:rPr>
  </w:style>
  <w:style w:type="paragraph" w:customStyle="1" w:styleId="67">
    <w:name w:val="正文格式"/>
    <w:autoRedefine/>
    <w:qFormat/>
    <w:uiPriority w:val="0"/>
    <w:pPr>
      <w:widowControl w:val="0"/>
      <w:spacing w:line="360" w:lineRule="auto"/>
      <w:ind w:left="-2" w:leftChars="-1" w:firstLine="422" w:firstLineChars="200"/>
      <w:jc w:val="both"/>
    </w:pPr>
    <w:rPr>
      <w:rFonts w:ascii="宋体" w:hAnsi="宋体" w:eastAsia="宋体" w:cs="Times New Roman"/>
      <w:b/>
      <w:sz w:val="21"/>
      <w:szCs w:val="21"/>
      <w:u w:val="single"/>
      <w:lang w:val="en-US" w:eastAsia="zh-CN" w:bidi="ar-SA"/>
    </w:rPr>
  </w:style>
  <w:style w:type="paragraph" w:customStyle="1" w:styleId="68">
    <w:name w:val="3"/>
    <w:basedOn w:val="1"/>
    <w:autoRedefine/>
    <w:qFormat/>
    <w:uiPriority w:val="0"/>
    <w:pPr>
      <w:widowControl/>
      <w:spacing w:beforeAutospacing="1" w:afterAutospacing="1"/>
      <w:jc w:val="left"/>
    </w:pPr>
    <w:rPr>
      <w:rFonts w:ascii="宋体" w:hAnsi="宋体" w:cs="宋体"/>
      <w:kern w:val="0"/>
      <w:sz w:val="24"/>
    </w:rPr>
  </w:style>
  <w:style w:type="paragraph" w:customStyle="1" w:styleId="69">
    <w:name w:val="列出段落1"/>
    <w:basedOn w:val="1"/>
    <w:autoRedefine/>
    <w:qFormat/>
    <w:uiPriority w:val="34"/>
    <w:pPr>
      <w:ind w:firstLine="420" w:firstLineChars="200"/>
    </w:pPr>
  </w:style>
  <w:style w:type="paragraph" w:customStyle="1" w:styleId="70">
    <w:name w:val="列出段落111"/>
    <w:autoRedefine/>
    <w:qFormat/>
    <w:uiPriority w:val="34"/>
    <w:pPr>
      <w:ind w:firstLine="420" w:firstLineChars="200"/>
    </w:pPr>
    <w:rPr>
      <w:rFonts w:ascii="Times New Roman" w:hAnsi="Times New Roman" w:eastAsia="宋体" w:cs="Times New Roman"/>
      <w:lang w:val="en-US" w:eastAsia="zh-CN" w:bidi="ar-SA"/>
    </w:rPr>
  </w:style>
  <w:style w:type="paragraph" w:customStyle="1" w:styleId="71">
    <w:name w:val="a0"/>
    <w:basedOn w:val="1"/>
    <w:autoRedefine/>
    <w:qFormat/>
    <w:uiPriority w:val="0"/>
    <w:pPr>
      <w:widowControl/>
      <w:spacing w:beforeAutospacing="1" w:afterAutospacing="1"/>
      <w:jc w:val="left"/>
    </w:pPr>
    <w:rPr>
      <w:rFonts w:ascii="宋体" w:hAnsi="宋体" w:cs="宋体"/>
      <w:kern w:val="0"/>
      <w:sz w:val="24"/>
    </w:rPr>
  </w:style>
  <w:style w:type="paragraph" w:customStyle="1" w:styleId="72">
    <w:name w:val="default"/>
    <w:basedOn w:val="1"/>
    <w:autoRedefine/>
    <w:qFormat/>
    <w:uiPriority w:val="0"/>
    <w:pPr>
      <w:widowControl/>
      <w:spacing w:beforeAutospacing="1" w:afterAutospacing="1"/>
      <w:jc w:val="left"/>
    </w:pPr>
    <w:rPr>
      <w:rFonts w:ascii="宋体" w:hAnsi="宋体" w:cs="宋体"/>
      <w:kern w:val="0"/>
      <w:sz w:val="24"/>
    </w:rPr>
  </w:style>
  <w:style w:type="paragraph" w:customStyle="1" w:styleId="73">
    <w:name w:val="列出段落11"/>
    <w:basedOn w:val="1"/>
    <w:autoRedefine/>
    <w:qFormat/>
    <w:uiPriority w:val="0"/>
    <w:pPr>
      <w:ind w:firstLine="420" w:firstLineChars="200"/>
    </w:pPr>
    <w:rPr>
      <w:rFonts w:ascii="Calibri" w:hAnsi="Calibri"/>
      <w:szCs w:val="22"/>
    </w:rPr>
  </w:style>
  <w:style w:type="character" w:customStyle="1" w:styleId="74">
    <w:name w:val="正文文本 Char"/>
    <w:basedOn w:val="34"/>
    <w:link w:val="4"/>
    <w:autoRedefine/>
    <w:qFormat/>
    <w:uiPriority w:val="0"/>
  </w:style>
  <w:style w:type="character" w:customStyle="1" w:styleId="75">
    <w:name w:val="apple-converted-space"/>
    <w:basedOn w:val="34"/>
    <w:autoRedefine/>
    <w:qFormat/>
    <w:uiPriority w:val="0"/>
  </w:style>
  <w:style w:type="character" w:customStyle="1" w:styleId="76">
    <w:name w:val="文档结构图 Char"/>
    <w:link w:val="12"/>
    <w:autoRedefine/>
    <w:qFormat/>
    <w:uiPriority w:val="0"/>
    <w:rPr>
      <w:rFonts w:ascii="宋体"/>
      <w:kern w:val="2"/>
      <w:sz w:val="18"/>
      <w:szCs w:val="18"/>
    </w:rPr>
  </w:style>
  <w:style w:type="character" w:customStyle="1" w:styleId="77">
    <w:name w:val="不明显强调1"/>
    <w:autoRedefine/>
    <w:qFormat/>
    <w:uiPriority w:val="19"/>
    <w:rPr>
      <w:i/>
      <w:iCs/>
      <w:color w:val="7F7F7F"/>
      <w:szCs w:val="24"/>
    </w:rPr>
  </w:style>
  <w:style w:type="character" w:customStyle="1" w:styleId="78">
    <w:name w:val="font71"/>
    <w:autoRedefine/>
    <w:qFormat/>
    <w:uiPriority w:val="0"/>
    <w:rPr>
      <w:rFonts w:hint="eastAsia" w:ascii="宋体" w:hAnsi="宋体" w:eastAsia="宋体" w:cs="宋体"/>
      <w:color w:val="000000"/>
      <w:sz w:val="28"/>
      <w:szCs w:val="28"/>
      <w:u w:val="none"/>
    </w:rPr>
  </w:style>
  <w:style w:type="character" w:customStyle="1" w:styleId="79">
    <w:name w:val="font21"/>
    <w:basedOn w:val="34"/>
    <w:autoRedefine/>
    <w:qFormat/>
    <w:uiPriority w:val="0"/>
    <w:rPr>
      <w:rFonts w:hint="default" w:ascii="Calibri" w:hAnsi="Calibri" w:cs="Calibri"/>
      <w:color w:val="000000"/>
      <w:sz w:val="28"/>
      <w:szCs w:val="28"/>
      <w:u w:val="none"/>
    </w:rPr>
  </w:style>
  <w:style w:type="character" w:customStyle="1" w:styleId="80">
    <w:name w:val="17"/>
    <w:autoRedefine/>
    <w:qFormat/>
    <w:uiPriority w:val="0"/>
    <w:rPr>
      <w:rFonts w:hint="eastAsia" w:ascii="宋体" w:hAnsi="宋体" w:eastAsia="宋体"/>
      <w:color w:val="000000"/>
    </w:rPr>
  </w:style>
  <w:style w:type="character" w:customStyle="1" w:styleId="81">
    <w:name w:val="font91"/>
    <w:autoRedefine/>
    <w:qFormat/>
    <w:uiPriority w:val="0"/>
    <w:rPr>
      <w:rFonts w:hint="eastAsia" w:ascii="宋体" w:hAnsi="宋体" w:eastAsia="宋体" w:cs="宋体"/>
      <w:color w:val="FF0000"/>
      <w:sz w:val="28"/>
      <w:szCs w:val="28"/>
      <w:u w:val="none"/>
    </w:rPr>
  </w:style>
  <w:style w:type="paragraph" w:customStyle="1" w:styleId="82">
    <w:name w:val="p"/>
    <w:basedOn w:val="1"/>
    <w:autoRedefine/>
    <w:qFormat/>
    <w:uiPriority w:val="0"/>
    <w:pPr>
      <w:widowControl/>
      <w:spacing w:line="432" w:lineRule="auto"/>
      <w:jc w:val="left"/>
    </w:pPr>
    <w:rPr>
      <w:rFonts w:ascii="宋体" w:hAnsi="宋体" w:cs="宋体"/>
      <w:kern w:val="0"/>
      <w:sz w:val="24"/>
    </w:rPr>
  </w:style>
  <w:style w:type="paragraph" w:customStyle="1" w:styleId="83">
    <w:name w:val="WPSOffice手动目录 1"/>
    <w:autoRedefine/>
    <w:qFormat/>
    <w:uiPriority w:val="0"/>
    <w:rPr>
      <w:rFonts w:ascii="Times New Roman" w:hAnsi="Times New Roman" w:eastAsia="宋体" w:cs="Times New Roman"/>
      <w:lang w:val="en-US" w:eastAsia="zh-CN" w:bidi="ar-SA"/>
    </w:rPr>
  </w:style>
  <w:style w:type="paragraph" w:customStyle="1" w:styleId="84">
    <w:name w:val="*正文_1"/>
    <w:basedOn w:val="1"/>
    <w:next w:val="1"/>
    <w:autoRedefine/>
    <w:qFormat/>
    <w:uiPriority w:val="0"/>
    <w:pPr>
      <w:widowControl/>
      <w:ind w:firstLine="482"/>
    </w:pPr>
    <w:rPr>
      <w:rFonts w:ascii="微软雅黑" w:hAnsi="微软雅黑" w:eastAsia="微软雅黑"/>
      <w:kern w:val="0"/>
      <w:szCs w:val="20"/>
    </w:rPr>
  </w:style>
  <w:style w:type="paragraph" w:customStyle="1" w:styleId="85">
    <w:name w:val="表格文字"/>
    <w:basedOn w:val="1"/>
    <w:next w:val="4"/>
    <w:autoRedefine/>
    <w:qFormat/>
    <w:uiPriority w:val="0"/>
    <w:pPr>
      <w:adjustRightInd w:val="0"/>
      <w:spacing w:line="420" w:lineRule="atLeast"/>
      <w:jc w:val="left"/>
      <w:textAlignment w:val="baseline"/>
    </w:pPr>
    <w:rPr>
      <w:kern w:val="0"/>
      <w:szCs w:val="20"/>
    </w:rPr>
  </w:style>
  <w:style w:type="character" w:customStyle="1" w:styleId="86">
    <w:name w:val="NormalCharacter"/>
    <w:autoRedefine/>
    <w:semiHidden/>
    <w:qFormat/>
    <w:uiPriority w:val="0"/>
    <w:rPr>
      <w:rFonts w:ascii="Times New Roman" w:hAnsi="Times New Roman" w:eastAsia="宋体" w:cs="Times New Roman"/>
      <w:kern w:val="2"/>
      <w:sz w:val="21"/>
      <w:szCs w:val="24"/>
      <w:lang w:val="en-US" w:eastAsia="zh-CN" w:bidi="ar-SA"/>
    </w:rPr>
  </w:style>
  <w:style w:type="paragraph" w:customStyle="1" w:styleId="87">
    <w:name w:val="列表段落1"/>
    <w:basedOn w:val="1"/>
    <w:autoRedefine/>
    <w:qFormat/>
    <w:uiPriority w:val="34"/>
    <w:pPr>
      <w:widowControl/>
      <w:ind w:firstLine="420"/>
      <w:jc w:val="left"/>
    </w:pPr>
    <w:rPr>
      <w:kern w:val="0"/>
    </w:rPr>
  </w:style>
  <w:style w:type="paragraph" w:customStyle="1" w:styleId="88">
    <w:name w:val="List Paragraph"/>
    <w:basedOn w:val="1"/>
    <w:autoRedefine/>
    <w:qFormat/>
    <w:uiPriority w:val="34"/>
    <w:pPr>
      <w:ind w:firstLine="420" w:firstLineChars="200"/>
    </w:pPr>
  </w:style>
  <w:style w:type="character" w:customStyle="1" w:styleId="89">
    <w:name w:val="hover18"/>
    <w:basedOn w:val="34"/>
    <w:autoRedefine/>
    <w:qFormat/>
    <w:uiPriority w:val="0"/>
  </w:style>
  <w:style w:type="character" w:customStyle="1" w:styleId="90">
    <w:name w:val="font41"/>
    <w:basedOn w:val="34"/>
    <w:autoRedefine/>
    <w:qFormat/>
    <w:uiPriority w:val="0"/>
    <w:rPr>
      <w:rFonts w:hint="eastAsia" w:ascii="宋体" w:hAnsi="宋体" w:eastAsia="宋体" w:cs="宋体"/>
      <w:color w:val="000000"/>
      <w:sz w:val="21"/>
      <w:szCs w:val="21"/>
      <w:u w:val="none"/>
    </w:rPr>
  </w:style>
  <w:style w:type="character" w:customStyle="1" w:styleId="91">
    <w:name w:val="font51"/>
    <w:basedOn w:val="34"/>
    <w:autoRedefine/>
    <w:qFormat/>
    <w:uiPriority w:val="0"/>
    <w:rPr>
      <w:rFonts w:hint="eastAsia" w:ascii="宋体" w:hAnsi="宋体" w:eastAsia="宋体" w:cs="宋体"/>
      <w:b/>
      <w:color w:val="000000"/>
      <w:sz w:val="21"/>
      <w:szCs w:val="21"/>
      <w:u w:val="none"/>
    </w:rPr>
  </w:style>
  <w:style w:type="character" w:customStyle="1" w:styleId="92">
    <w:name w:val="font31"/>
    <w:basedOn w:val="34"/>
    <w:autoRedefine/>
    <w:qFormat/>
    <w:uiPriority w:val="0"/>
    <w:rPr>
      <w:rFonts w:hint="eastAsia" w:ascii="宋体" w:hAnsi="宋体" w:eastAsia="宋体" w:cs="宋体"/>
      <w:color w:val="000000"/>
      <w:sz w:val="20"/>
      <w:szCs w:val="20"/>
      <w:u w:val="none"/>
    </w:rPr>
  </w:style>
  <w:style w:type="character" w:customStyle="1" w:styleId="93">
    <w:name w:val="font11"/>
    <w:basedOn w:val="34"/>
    <w:autoRedefine/>
    <w:qFormat/>
    <w:uiPriority w:val="0"/>
    <w:rPr>
      <w:rFonts w:hint="eastAsia" w:ascii="等线" w:hAnsi="等线" w:eastAsia="等线" w:cs="等线"/>
      <w:b/>
      <w:bCs/>
      <w:color w:val="000000"/>
      <w:sz w:val="22"/>
      <w:szCs w:val="22"/>
      <w:u w:val="none"/>
    </w:rPr>
  </w:style>
  <w:style w:type="character" w:customStyle="1" w:styleId="94">
    <w:name w:val="hover"/>
    <w:basedOn w:val="34"/>
    <w:autoRedefine/>
    <w:qFormat/>
    <w:uiPriority w:val="0"/>
    <w:rPr>
      <w:color w:val="5FB878"/>
    </w:rPr>
  </w:style>
  <w:style w:type="character" w:customStyle="1" w:styleId="95">
    <w:name w:val="hover1"/>
    <w:basedOn w:val="34"/>
    <w:autoRedefine/>
    <w:qFormat/>
    <w:uiPriority w:val="0"/>
    <w:rPr>
      <w:color w:val="FFFFFF"/>
    </w:rPr>
  </w:style>
  <w:style w:type="character" w:customStyle="1" w:styleId="96">
    <w:name w:val="hover2"/>
    <w:basedOn w:val="34"/>
    <w:autoRedefine/>
    <w:qFormat/>
    <w:uiPriority w:val="0"/>
    <w:rPr>
      <w:color w:val="5FB878"/>
    </w:rPr>
  </w:style>
  <w:style w:type="character" w:customStyle="1" w:styleId="97">
    <w:name w:val="layui-this4"/>
    <w:basedOn w:val="34"/>
    <w:autoRedefine/>
    <w:qFormat/>
    <w:uiPriority w:val="0"/>
    <w:rPr>
      <w:bdr w:val="single" w:color="EEEEEE" w:sz="6" w:space="0"/>
      <w:shd w:val="clear" w:fill="FFFFFF"/>
    </w:rPr>
  </w:style>
  <w:style w:type="character" w:customStyle="1" w:styleId="98">
    <w:name w:val="layui-laypage-curr"/>
    <w:basedOn w:val="34"/>
    <w:autoRedefine/>
    <w:qFormat/>
    <w:uiPriority w:val="0"/>
  </w:style>
  <w:style w:type="character" w:customStyle="1" w:styleId="99">
    <w:name w:val="first-child"/>
    <w:basedOn w:val="34"/>
    <w:autoRedefine/>
    <w:qFormat/>
    <w:uiPriority w:val="0"/>
  </w:style>
  <w:style w:type="character" w:customStyle="1" w:styleId="100">
    <w:name w:val="hover19"/>
    <w:basedOn w:val="34"/>
    <w:autoRedefine/>
    <w:qFormat/>
    <w:uiPriority w:val="0"/>
    <w:rPr>
      <w:color w:val="5FB878"/>
    </w:rPr>
  </w:style>
  <w:style w:type="character" w:customStyle="1" w:styleId="101">
    <w:name w:val="hover20"/>
    <w:basedOn w:val="34"/>
    <w:autoRedefine/>
    <w:qFormat/>
    <w:uiPriority w:val="0"/>
    <w:rPr>
      <w:color w:val="5FB878"/>
    </w:rPr>
  </w:style>
  <w:style w:type="character" w:customStyle="1" w:styleId="102">
    <w:name w:val="hover21"/>
    <w:basedOn w:val="34"/>
    <w:autoRedefine/>
    <w:qFormat/>
    <w:uiPriority w:val="0"/>
    <w:rPr>
      <w:color w:val="FFFFFF"/>
    </w:rPr>
  </w:style>
  <w:style w:type="paragraph" w:customStyle="1" w:styleId="103">
    <w:name w:val="无间隔11"/>
    <w:autoRedefine/>
    <w:qFormat/>
    <w:uiPriority w:val="1"/>
    <w:rPr>
      <w:rFonts w:ascii="Times New Roman" w:hAnsi="Times New Roman" w:eastAsia="Microsoft YaHei UI" w:cs="Arial"/>
      <w:sz w:val="22"/>
      <w:szCs w:val="22"/>
      <w:lang w:val="en-US" w:eastAsia="zh-CN" w:bidi="ar-SA"/>
    </w:rPr>
  </w:style>
  <w:style w:type="paragraph" w:customStyle="1" w:styleId="104">
    <w:name w:val="Body text|1"/>
    <w:basedOn w:val="1"/>
    <w:autoRedefine/>
    <w:qFormat/>
    <w:uiPriority w:val="0"/>
    <w:pPr>
      <w:spacing w:line="252" w:lineRule="auto"/>
    </w:pPr>
    <w:rPr>
      <w:rFonts w:ascii="宋体" w:hAnsi="宋体" w:cs="宋体"/>
      <w:sz w:val="20"/>
      <w:szCs w:val="20"/>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37</Pages>
  <Words>14904</Words>
  <Characters>15610</Characters>
  <Lines>50</Lines>
  <Paragraphs>68</Paragraphs>
  <TotalTime>10</TotalTime>
  <ScaleCrop>false</ScaleCrop>
  <LinksUpToDate>false</LinksUpToDate>
  <CharactersWithSpaces>16570</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2012-11-07T10:07:00Z</dcterms:created>
  <dc:creator>微软用户</dc:creator>
  <cp:lastModifiedBy>陈壹</cp:lastModifiedBy>
  <cp:lastPrinted>2023-02-08T08:43:00Z</cp:lastPrinted>
  <dcterms:modified xsi:type="dcterms:W3CDTF">2024-02-28T09:04:15Z</dcterms:modified>
  <dc:title>驻马店市政府采购货物项目</dc:title>
  <cp:revision>1088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92144D39C0ED4373AADEB343174DCF98_13</vt:lpwstr>
  </property>
  <property fmtid="{D5CDD505-2E9C-101B-9397-08002B2CF9AE}" pid="4" name="commondata">
    <vt:lpwstr>eyJoZGlkIjoiYzIwMjRmYTY4OTJhZjc1NTA1MGQwNDc0NzZhNTkwMmUifQ==</vt:lpwstr>
  </property>
</Properties>
</file>