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widowControl w:val="0"/>
        <w:spacing w:beforeLines="50"/>
        <w:jc w:val="center"/>
        <w:rPr>
          <w:b/>
          <w:bCs/>
          <w:sz w:val="48"/>
          <w:szCs w:val="48"/>
        </w:rPr>
      </w:pPr>
      <w:bookmarkStart w:id="0" w:name="_Toc22953395"/>
      <w:bookmarkEnd w:id="0"/>
      <w:bookmarkStart w:id="1" w:name="_Toc22804073"/>
      <w:bookmarkEnd w:id="1"/>
    </w:p>
    <w:p>
      <w:pPr>
        <w:pStyle w:val="19"/>
        <w:widowControl w:val="0"/>
        <w:spacing w:beforeLines="50"/>
        <w:jc w:val="center"/>
        <w:rPr>
          <w:b/>
          <w:bCs/>
          <w:sz w:val="44"/>
          <w:szCs w:val="44"/>
        </w:rPr>
      </w:pPr>
      <w:r>
        <w:rPr>
          <w:rFonts w:hint="eastAsia"/>
          <w:b/>
          <w:bCs/>
          <w:sz w:val="44"/>
          <w:szCs w:val="44"/>
        </w:rPr>
        <w:t>驻马店市中心医院</w:t>
      </w:r>
      <w:r>
        <w:rPr>
          <w:rFonts w:hint="eastAsia"/>
          <w:b/>
          <w:bCs/>
          <w:sz w:val="44"/>
          <w:szCs w:val="44"/>
          <w:lang w:eastAsia="zh-CN"/>
        </w:rPr>
        <w:t>西门子3.0T磁共振技术保</w:t>
      </w:r>
      <w:r>
        <w:rPr>
          <w:rFonts w:hint="eastAsia"/>
          <w:b/>
          <w:bCs/>
          <w:sz w:val="44"/>
          <w:szCs w:val="44"/>
        </w:rPr>
        <w:t>项目</w:t>
      </w:r>
    </w:p>
    <w:p>
      <w:pPr>
        <w:pStyle w:val="19"/>
        <w:jc w:val="center"/>
        <w:rPr>
          <w:rStyle w:val="43"/>
          <w:b/>
          <w:bCs/>
          <w:color w:val="auto"/>
          <w:sz w:val="48"/>
          <w:szCs w:val="48"/>
        </w:rPr>
      </w:pPr>
    </w:p>
    <w:p>
      <w:pPr>
        <w:pStyle w:val="19"/>
        <w:jc w:val="center"/>
        <w:rPr>
          <w:rStyle w:val="43"/>
          <w:b/>
          <w:bCs/>
          <w:color w:val="auto"/>
          <w:sz w:val="48"/>
          <w:szCs w:val="48"/>
        </w:rPr>
      </w:pPr>
    </w:p>
    <w:p>
      <w:pPr>
        <w:pStyle w:val="19"/>
        <w:jc w:val="center"/>
        <w:rPr>
          <w:rStyle w:val="43"/>
          <w:b/>
          <w:bCs/>
          <w:color w:val="auto"/>
          <w:sz w:val="48"/>
          <w:szCs w:val="48"/>
        </w:rPr>
      </w:pPr>
    </w:p>
    <w:p>
      <w:pPr>
        <w:pStyle w:val="19"/>
        <w:jc w:val="center"/>
        <w:rPr>
          <w:rStyle w:val="43"/>
          <w:b/>
          <w:bCs/>
          <w:color w:val="auto"/>
          <w:sz w:val="48"/>
          <w:szCs w:val="48"/>
        </w:rPr>
      </w:pPr>
    </w:p>
    <w:p>
      <w:pPr>
        <w:pStyle w:val="19"/>
        <w:jc w:val="center"/>
        <w:rPr>
          <w:rStyle w:val="43"/>
          <w:b/>
          <w:bCs/>
          <w:color w:val="auto"/>
          <w:szCs w:val="44"/>
        </w:rPr>
      </w:pPr>
      <w:r>
        <w:rPr>
          <w:rStyle w:val="43"/>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30"/>
        <w:ind w:firstLine="210"/>
      </w:pPr>
    </w:p>
    <w:p>
      <w:pPr>
        <w:pStyle w:val="58"/>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lang w:eastAsia="zh-CN"/>
        </w:rPr>
        <w:t>2024</w:t>
      </w:r>
      <w:r>
        <w:rPr>
          <w:rFonts w:hint="eastAsia" w:ascii="宋体" w:hAnsi="宋体" w:cs="宋体"/>
          <w:b/>
          <w:bCs/>
          <w:color w:val="000000" w:themeColor="text1"/>
          <w:spacing w:val="40"/>
          <w:sz w:val="34"/>
          <w:szCs w:val="34"/>
        </w:rPr>
        <w:t>年</w:t>
      </w:r>
      <w:r>
        <w:rPr>
          <w:rFonts w:hint="eastAsia" w:ascii="宋体" w:hAnsi="宋体" w:cs="宋体"/>
          <w:b/>
          <w:bCs/>
          <w:color w:val="000000" w:themeColor="text1"/>
          <w:spacing w:val="40"/>
          <w:sz w:val="34"/>
          <w:szCs w:val="34"/>
          <w:lang w:val="en-US" w:eastAsia="zh-CN"/>
        </w:rPr>
        <w:t>2</w:t>
      </w:r>
      <w:r>
        <w:rPr>
          <w:rFonts w:hint="eastAsia" w:ascii="宋体" w:hAnsi="宋体" w:cs="宋体"/>
          <w:b/>
          <w:bCs/>
          <w:color w:val="000000" w:themeColor="text1"/>
          <w:spacing w:val="40"/>
          <w:sz w:val="34"/>
          <w:szCs w:val="34"/>
        </w:rPr>
        <w:t>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2"/>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供应商须知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82"/>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ascii="宋体" w:hAnsi="宋体" w:cs="宋体"/>
          <w:b/>
          <w:kern w:val="0"/>
          <w:sz w:val="28"/>
          <w:szCs w:val="28"/>
        </w:rPr>
      </w:pPr>
      <w:bookmarkStart w:id="86" w:name="_GoBack"/>
      <w:r>
        <w:rPr>
          <w:rFonts w:hint="eastAsia" w:ascii="宋体" w:hAnsi="宋体" w:cs="宋体"/>
          <w:b/>
          <w:kern w:val="0"/>
          <w:sz w:val="28"/>
          <w:szCs w:val="28"/>
        </w:rPr>
        <w:t>驻马店市中心医院</w:t>
      </w:r>
      <w:r>
        <w:rPr>
          <w:rFonts w:hint="eastAsia" w:ascii="宋体" w:hAnsi="宋体" w:cs="宋体"/>
          <w:b/>
          <w:kern w:val="0"/>
          <w:sz w:val="28"/>
          <w:szCs w:val="28"/>
          <w:lang w:eastAsia="zh-CN"/>
        </w:rPr>
        <w:t>西门子3.0T磁共振技术保</w:t>
      </w:r>
      <w:r>
        <w:rPr>
          <w:rFonts w:hint="eastAsia" w:ascii="宋体" w:hAnsi="宋体" w:cs="宋体"/>
          <w:b/>
          <w:kern w:val="0"/>
          <w:sz w:val="28"/>
          <w:szCs w:val="28"/>
        </w:rPr>
        <w:t>项目</w:t>
      </w:r>
    </w:p>
    <w:p>
      <w:pPr>
        <w:widowControl/>
        <w:adjustRightInd w:val="0"/>
        <w:snapToGrid w:val="0"/>
        <w:spacing w:afterLines="50" w:line="360" w:lineRule="auto"/>
        <w:jc w:val="center"/>
        <w:rPr>
          <w:rFonts w:ascii="宋体" w:hAnsi="宋体" w:cs="宋体"/>
          <w:b/>
          <w:kern w:val="0"/>
          <w:sz w:val="28"/>
          <w:szCs w:val="28"/>
        </w:rPr>
      </w:pPr>
      <w:r>
        <w:rPr>
          <w:rFonts w:hint="eastAsia" w:ascii="宋体" w:hAnsi="宋体" w:cs="宋体"/>
          <w:b/>
          <w:kern w:val="0"/>
          <w:sz w:val="28"/>
          <w:szCs w:val="28"/>
        </w:rPr>
        <w:t>竞争性磋商公告</w:t>
      </w:r>
    </w:p>
    <w:bookmarkEnd w:id="86"/>
    <w:p>
      <w:pPr>
        <w:snapToGrid w:val="0"/>
        <w:spacing w:line="360" w:lineRule="auto"/>
        <w:ind w:firstLine="420" w:firstLineChars="200"/>
        <w:rPr>
          <w:rFonts w:ascii="宋体" w:hAnsi="宋体" w:cs="宋体"/>
          <w:szCs w:val="21"/>
        </w:rPr>
      </w:pPr>
      <w:r>
        <w:rPr>
          <w:rFonts w:hint="eastAsia" w:ascii="宋体" w:hAnsi="宋体" w:cs="宋体"/>
        </w:rPr>
        <w:t>驻马店市中心医院现对</w:t>
      </w:r>
      <w:r>
        <w:rPr>
          <w:rFonts w:hint="eastAsia" w:ascii="宋体" w:hAnsi="宋体" w:cs="宋体"/>
          <w:u w:val="single"/>
        </w:rPr>
        <w:t xml:space="preserve"> </w:t>
      </w:r>
      <w:r>
        <w:rPr>
          <w:rFonts w:hint="eastAsia" w:ascii="宋体" w:hAnsi="宋体" w:cs="宋体"/>
          <w:u w:val="single"/>
          <w:lang w:eastAsia="zh-CN"/>
        </w:rPr>
        <w:t>西门子3.0T磁共振技术保</w:t>
      </w:r>
      <w:r>
        <w:rPr>
          <w:rFonts w:hint="eastAsia" w:ascii="宋体" w:hAnsi="宋体" w:cs="宋体"/>
          <w:u w:val="single"/>
        </w:rPr>
        <w:t xml:space="preserve"> </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pPr>
        <w:widowControl/>
        <w:snapToGrid w:val="0"/>
        <w:spacing w:line="360"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1、采购项目名称：驻马店市中心医院</w:t>
      </w:r>
      <w:r>
        <w:rPr>
          <w:rFonts w:hint="eastAsia" w:ascii="宋体" w:hAnsi="宋体" w:cs="宋体"/>
          <w:szCs w:val="21"/>
          <w:shd w:val="clear" w:color="auto" w:fill="FFFFFF"/>
          <w:lang w:eastAsia="zh-CN"/>
        </w:rPr>
        <w:t>西门子3.0T磁共振技术保</w:t>
      </w:r>
      <w:r>
        <w:rPr>
          <w:rFonts w:hint="eastAsia" w:ascii="宋体" w:hAnsi="宋体" w:cs="宋体"/>
          <w:szCs w:val="21"/>
          <w:shd w:val="clear" w:color="auto" w:fill="FFFFFF"/>
        </w:rPr>
        <w:t>项目；</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2、采购需求：具体要求详见附件；</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hint="eastAsia" w:ascii="宋体" w:hAnsi="宋体" w:cs="宋体"/>
          <w:szCs w:val="21"/>
          <w:shd w:val="clear" w:color="auto" w:fill="FFFFFF"/>
          <w:lang w:val="en-US" w:eastAsia="zh-CN"/>
        </w:rPr>
        <w:t>47</w:t>
      </w:r>
      <w:r>
        <w:rPr>
          <w:rFonts w:hint="eastAsia" w:ascii="宋体" w:hAnsi="宋体" w:cs="宋体"/>
          <w:szCs w:val="21"/>
          <w:shd w:val="clear" w:color="auto" w:fill="FFFFFF"/>
        </w:rPr>
        <w:t>万；</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4、服务期限：1年；</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5、质量要求：符合国家现行标准要求。</w:t>
      </w:r>
    </w:p>
    <w:p>
      <w:pPr>
        <w:widowControl/>
        <w:snapToGrid w:val="0"/>
        <w:spacing w:line="360" w:lineRule="auto"/>
        <w:jc w:val="left"/>
        <w:outlineLvl w:val="1"/>
        <w:rPr>
          <w:rFonts w:ascii="宋体" w:hAnsi="宋体" w:cs="宋体"/>
          <w:b/>
          <w:bCs/>
          <w:color w:val="000000" w:themeColor="text1"/>
          <w:szCs w:val="21"/>
          <w:shd w:val="clear" w:color="auto" w:fill="FFFFFF"/>
        </w:rPr>
      </w:pPr>
      <w:bookmarkStart w:id="4" w:name="_Toc27704"/>
      <w:bookmarkStart w:id="5" w:name="_Toc18607"/>
      <w:bookmarkStart w:id="6" w:name="_Toc16639"/>
      <w:bookmarkStart w:id="7" w:name="_Toc23626"/>
      <w:r>
        <w:rPr>
          <w:rFonts w:hint="eastAsia" w:ascii="宋体" w:hAnsi="宋体" w:cs="宋体"/>
          <w:b/>
          <w:bCs/>
          <w:color w:val="000000" w:themeColor="text1"/>
          <w:szCs w:val="21"/>
          <w:shd w:val="clear" w:color="auto" w:fill="FFFFFF"/>
        </w:rPr>
        <w:t>二、</w:t>
      </w:r>
      <w:bookmarkEnd w:id="3"/>
      <w:bookmarkEnd w:id="4"/>
      <w:bookmarkEnd w:id="5"/>
      <w:bookmarkEnd w:id="6"/>
      <w:bookmarkEnd w:id="7"/>
      <w:r>
        <w:rPr>
          <w:rFonts w:hint="eastAsia" w:ascii="宋体" w:hAnsi="宋体" w:cs="宋体"/>
          <w:b/>
          <w:bCs/>
          <w:color w:val="000000" w:themeColor="text1"/>
          <w:szCs w:val="21"/>
          <w:shd w:val="clear" w:color="auto" w:fill="FFFFFF"/>
        </w:rPr>
        <w:t>供应商资格要求：</w:t>
      </w:r>
    </w:p>
    <w:p>
      <w:pPr>
        <w:pStyle w:val="14"/>
        <w:widowControl w:val="0"/>
        <w:snapToGrid w:val="0"/>
        <w:spacing w:beforeAutospacing="0" w:afterAutospacing="0" w:line="360" w:lineRule="auto"/>
        <w:ind w:firstLine="420" w:firstLineChars="200"/>
        <w:rPr>
          <w:color w:val="000000" w:themeColor="text1"/>
          <w:kern w:val="2"/>
          <w:sz w:val="21"/>
        </w:rPr>
      </w:pPr>
      <w:bookmarkStart w:id="8" w:name="_Toc30643"/>
      <w:bookmarkStart w:id="9" w:name="_Toc9562"/>
      <w:bookmarkStart w:id="10" w:name="_Toc30971"/>
      <w:bookmarkStart w:id="11" w:name="_Toc23395"/>
      <w:bookmarkStart w:id="12" w:name="_Toc7823"/>
      <w:r>
        <w:rPr>
          <w:rFonts w:hint="eastAsia"/>
          <w:color w:val="000000" w:themeColor="text1"/>
          <w:kern w:val="2"/>
          <w:sz w:val="21"/>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3、具有履行合同所必需的设备和专业技术能力（提供书面声明函）；</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4、参加本采购活动前三年内，在经营活动中没有重大违法记录（提供书面声明函）；</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5、符合法律、行政法规规定的其他条件；</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6、特定资格要求：投标人须具有医疗器械经营许可证，是在中华人民共和国境内注册的设备原制造厂商或原制造厂商授权的单位或具备相关设备维修能力的单位（提供证明文件）。</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7、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pStyle w:val="14"/>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8、不接受联合体投标。</w:t>
      </w:r>
    </w:p>
    <w:p>
      <w:pPr>
        <w:widowControl/>
        <w:snapToGrid w:val="0"/>
        <w:spacing w:line="360" w:lineRule="auto"/>
        <w:jc w:val="left"/>
        <w:outlineLvl w:val="1"/>
        <w:rPr>
          <w:rFonts w:ascii="宋体" w:hAnsi="宋体" w:cs="宋体"/>
          <w:b/>
          <w:bCs/>
        </w:rPr>
      </w:pPr>
      <w:r>
        <w:rPr>
          <w:rFonts w:hint="eastAsia" w:ascii="宋体" w:hAnsi="宋体" w:cs="宋体"/>
          <w:b/>
          <w:bCs/>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1</w:t>
      </w:r>
      <w:r>
        <w:rPr>
          <w:rFonts w:hint="eastAsia" w:ascii="宋体" w:hAnsi="宋体" w:cs="宋体"/>
          <w:color w:val="000000" w:themeColor="text1"/>
          <w:szCs w:val="21"/>
          <w:shd w:val="clear" w:color="auto" w:fill="FFFFFF"/>
        </w:rPr>
        <w:t>报名时间：</w:t>
      </w:r>
      <w:r>
        <w:rPr>
          <w:rFonts w:hint="eastAsia" w:ascii="宋体" w:hAnsi="宋体" w:cs="宋体"/>
          <w:color w:val="FF0000"/>
          <w:szCs w:val="21"/>
          <w:shd w:val="clear" w:color="auto" w:fill="FFFFFF"/>
          <w:lang w:eastAsia="zh-CN"/>
        </w:rPr>
        <w:t>2024</w:t>
      </w:r>
      <w:r>
        <w:rPr>
          <w:rFonts w:hint="eastAsia" w:ascii="宋体" w:hAnsi="宋体" w:cs="宋体"/>
          <w:color w:val="FF0000"/>
          <w:szCs w:val="21"/>
          <w:shd w:val="clear" w:color="auto" w:fill="FFFFFF"/>
        </w:rPr>
        <w:t>年</w:t>
      </w:r>
      <w:r>
        <w:rPr>
          <w:rFonts w:hint="eastAsia" w:ascii="宋体" w:hAnsi="宋体" w:cs="宋体"/>
          <w:color w:val="FF0000"/>
          <w:szCs w:val="21"/>
          <w:shd w:val="clear" w:color="auto" w:fill="FFFFFF"/>
          <w:lang w:val="en-US" w:eastAsia="zh-CN"/>
        </w:rPr>
        <w:t>2</w:t>
      </w:r>
      <w:r>
        <w:rPr>
          <w:rFonts w:hint="eastAsia" w:ascii="宋体" w:hAnsi="宋体" w:cs="宋体"/>
          <w:color w:val="FF0000"/>
          <w:szCs w:val="21"/>
          <w:shd w:val="clear" w:color="auto" w:fill="FFFFFF"/>
        </w:rPr>
        <w:t>月</w:t>
      </w:r>
      <w:r>
        <w:rPr>
          <w:rFonts w:hint="eastAsia" w:ascii="宋体" w:hAnsi="宋体" w:cs="宋体"/>
          <w:color w:val="FF0000"/>
          <w:szCs w:val="21"/>
          <w:shd w:val="clear" w:color="auto" w:fill="FFFFFF"/>
          <w:lang w:val="en-US" w:eastAsia="zh-CN"/>
        </w:rPr>
        <w:t>28</w:t>
      </w:r>
      <w:r>
        <w:rPr>
          <w:rFonts w:hint="eastAsia" w:ascii="宋体" w:hAnsi="宋体" w:cs="宋体"/>
          <w:color w:val="FF0000"/>
          <w:szCs w:val="21"/>
          <w:shd w:val="clear" w:color="auto" w:fill="FFFFFF"/>
        </w:rPr>
        <w:t>日-</w:t>
      </w:r>
      <w:r>
        <w:rPr>
          <w:rFonts w:hint="eastAsia" w:ascii="宋体" w:hAnsi="宋体" w:cs="宋体"/>
          <w:color w:val="FF0000"/>
          <w:szCs w:val="21"/>
          <w:shd w:val="clear" w:color="auto" w:fill="FFFFFF"/>
          <w:lang w:eastAsia="zh-CN"/>
        </w:rPr>
        <w:t>2024</w:t>
      </w:r>
      <w:r>
        <w:rPr>
          <w:rFonts w:hint="eastAsia" w:ascii="宋体" w:hAnsi="宋体" w:cs="宋体"/>
          <w:color w:val="FF0000"/>
          <w:szCs w:val="21"/>
          <w:shd w:val="clear" w:color="auto" w:fill="FFFFFF"/>
        </w:rPr>
        <w:t>年</w:t>
      </w:r>
      <w:r>
        <w:rPr>
          <w:rFonts w:hint="eastAsia" w:ascii="宋体" w:hAnsi="宋体" w:cs="宋体"/>
          <w:color w:val="FF0000"/>
          <w:szCs w:val="21"/>
          <w:shd w:val="clear" w:color="auto" w:fill="FFFFFF"/>
          <w:lang w:val="en-US" w:eastAsia="zh-CN"/>
        </w:rPr>
        <w:t>3</w:t>
      </w:r>
      <w:r>
        <w:rPr>
          <w:rFonts w:hint="eastAsia" w:ascii="宋体" w:hAnsi="宋体" w:cs="宋体"/>
          <w:color w:val="FF0000"/>
          <w:szCs w:val="21"/>
          <w:shd w:val="clear" w:color="auto" w:fill="FFFFFF"/>
        </w:rPr>
        <w:t>月</w:t>
      </w:r>
      <w:r>
        <w:rPr>
          <w:rFonts w:hint="eastAsia" w:ascii="宋体" w:hAnsi="宋体" w:cs="宋体"/>
          <w:color w:val="FF0000"/>
          <w:szCs w:val="21"/>
          <w:shd w:val="clear" w:color="auto" w:fill="FFFFFF"/>
          <w:lang w:val="en-US" w:eastAsia="zh-CN"/>
        </w:rPr>
        <w:t>1</w:t>
      </w:r>
      <w:r>
        <w:rPr>
          <w:rFonts w:hint="eastAsia" w:ascii="宋体" w:hAnsi="宋体" w:cs="宋体"/>
          <w:color w:val="FF0000"/>
          <w:szCs w:val="21"/>
          <w:shd w:val="clear" w:color="auto" w:fill="FFFFFF"/>
        </w:rPr>
        <w:t>日，</w:t>
      </w:r>
      <w:r>
        <w:rPr>
          <w:rFonts w:hint="eastAsia" w:ascii="宋体" w:hAnsi="宋体" w:cs="宋体"/>
          <w:color w:val="000000" w:themeColor="text1"/>
          <w:szCs w:val="21"/>
          <w:shd w:val="clear" w:color="auto" w:fill="FFFFFF"/>
        </w:rPr>
        <w:t>上午8：30-11:30，下午14:30-17:30（北京时间，法定节假日除外），报名费用：200元。</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2.凡报名成功的供应商无故不来参与投标的，列入我院黑名</w:t>
      </w:r>
      <w:r>
        <w:rPr>
          <w:rFonts w:hint="eastAsia" w:ascii="宋体" w:hAnsi="宋体" w:cs="宋体"/>
          <w:kern w:val="0"/>
          <w:szCs w:val="21"/>
          <w:shd w:val="clear" w:color="auto" w:fill="FFFFFF"/>
        </w:rPr>
        <w:t xml:space="preserve">单，一年内不得参与我院任何采购活动。中标供应商缴纳相应服务费。 </w:t>
      </w:r>
    </w:p>
    <w:p>
      <w:pPr>
        <w:widowControl/>
        <w:wordWrap w:val="0"/>
        <w:snapToGrid w:val="0"/>
        <w:spacing w:line="360"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3.采购文件获取方式：供应商须把填写完整的报名登记表及报名登记表要求提供的相关资料扫描件按序排版为PDF格式文件，发送至以下邮箱：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1150105437@qq.com并标明XX公司XX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项目报名资料；审核通过后按要求交纳报名费。</w:t>
      </w:r>
    </w:p>
    <w:p>
      <w:pPr>
        <w:widowControl/>
        <w:wordWrap w:val="0"/>
        <w:snapToGrid w:val="0"/>
        <w:spacing w:line="360" w:lineRule="auto"/>
        <w:ind w:left="420" w:leftChars="200"/>
        <w:jc w:val="left"/>
        <w:rPr>
          <w:rFonts w:ascii="宋体" w:hAnsi="宋体" w:cs="宋体"/>
          <w:kern w:val="0"/>
          <w:szCs w:val="21"/>
        </w:rPr>
      </w:pPr>
      <w:r>
        <w:rPr>
          <w:rFonts w:hint="eastAsia" w:ascii="宋体" w:hAnsi="宋体" w:cs="宋体"/>
          <w:kern w:val="0"/>
          <w:szCs w:val="21"/>
          <w:shd w:val="clear" w:color="auto" w:fill="FFFFFF"/>
        </w:rPr>
        <w:t>4.报名登记表：请从附件中下载。</w:t>
      </w:r>
    </w:p>
    <w:p>
      <w:pPr>
        <w:widowControl/>
        <w:snapToGrid w:val="0"/>
        <w:spacing w:line="360" w:lineRule="auto"/>
        <w:jc w:val="left"/>
        <w:outlineLvl w:val="1"/>
        <w:rPr>
          <w:rFonts w:ascii="宋体" w:hAnsi="宋体" w:cs="宋体"/>
          <w:b/>
          <w:bCs/>
          <w:szCs w:val="21"/>
        </w:rPr>
      </w:pPr>
      <w:bookmarkStart w:id="13" w:name="_Toc25869"/>
      <w:bookmarkStart w:id="14" w:name="_Toc10738"/>
      <w:bookmarkStart w:id="15" w:name="_Toc27480"/>
      <w:bookmarkStart w:id="16" w:name="_Toc15135"/>
      <w:bookmarkStart w:id="17" w:name="_Toc15111"/>
      <w:r>
        <w:rPr>
          <w:rFonts w:hint="eastAsia" w:ascii="宋体" w:hAnsi="宋体" w:cs="宋体"/>
          <w:b/>
          <w:bCs/>
          <w:szCs w:val="21"/>
          <w:shd w:val="clear" w:color="auto" w:fill="FFFFFF"/>
        </w:rPr>
        <w:t>四、投标截止时间及地点</w:t>
      </w:r>
      <w:bookmarkEnd w:id="13"/>
      <w:bookmarkEnd w:id="14"/>
      <w:bookmarkEnd w:id="15"/>
      <w:bookmarkEnd w:id="16"/>
      <w:bookmarkEnd w:id="17"/>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r>
        <w:rPr>
          <w:rFonts w:hint="eastAsia" w:ascii="宋体" w:hAnsi="宋体" w:cs="宋体"/>
          <w:b/>
          <w:bCs/>
          <w:szCs w:val="21"/>
          <w:shd w:val="clear" w:color="auto" w:fill="FFFFFF"/>
        </w:rPr>
        <w:t>五、开标时间及地点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bookmarkStart w:id="18" w:name="_Toc29784"/>
      <w:bookmarkStart w:id="19" w:name="_Toc6523"/>
      <w:bookmarkStart w:id="20" w:name="_Toc30918"/>
      <w:bookmarkStart w:id="21"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626"/>
      <w:bookmarkStart w:id="23" w:name="_Toc35393795"/>
    </w:p>
    <w:bookmarkEnd w:id="22"/>
    <w:bookmarkEnd w:id="23"/>
    <w:p>
      <w:pPr>
        <w:widowControl/>
        <w:snapToGrid w:val="0"/>
        <w:spacing w:line="360" w:lineRule="auto"/>
        <w:jc w:val="left"/>
        <w:outlineLvl w:val="1"/>
        <w:rPr>
          <w:rFonts w:ascii="宋体" w:hAnsi="宋体" w:cs="宋体"/>
          <w:b/>
          <w:bCs/>
          <w:szCs w:val="21"/>
        </w:rPr>
      </w:pPr>
      <w:bookmarkStart w:id="24" w:name="_Toc31928"/>
      <w:bookmarkStart w:id="25" w:name="_Toc16291"/>
      <w:bookmarkStart w:id="26" w:name="_Toc27370"/>
      <w:bookmarkStart w:id="27" w:name="_Toc3604"/>
      <w:bookmarkStart w:id="28" w:name="_Toc24274"/>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1.采购人：驻马店市中心医院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地址：驻马店市中华大道747号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联系人：陈先生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电话：0396-2726379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2.采购代理机构：河南招标采购服务有限公司 </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地址：郑州市金水区纬四路13号</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联系人：王女士</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联系方式：18639627370</w:t>
      </w:r>
    </w:p>
    <w:p>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3.监督部门：驻马店市中心医院纪检监察室 </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监督电话：0396-2726678</w:t>
      </w:r>
    </w:p>
    <w:p>
      <w:pPr>
        <w:pStyle w:val="30"/>
        <w:ind w:firstLine="210"/>
      </w:pPr>
    </w:p>
    <w:p>
      <w:pPr>
        <w:widowControl/>
        <w:snapToGrid w:val="0"/>
        <w:spacing w:line="360"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pPr>
        <w:pStyle w:val="28"/>
        <w:widowControl/>
        <w:snapToGrid w:val="0"/>
        <w:spacing w:before="0" w:beforeAutospacing="0" w:after="0" w:afterAutospacing="0" w:line="360" w:lineRule="auto"/>
        <w:ind w:firstLine="420" w:firstLineChars="200"/>
        <w:jc w:val="right"/>
        <w:rPr>
          <w:rFonts w:ascii="宋体" w:hAnsi="宋体" w:cs="宋体"/>
          <w:color w:val="FF0000"/>
          <w:sz w:val="21"/>
          <w:szCs w:val="21"/>
          <w:shd w:val="clear" w:color="auto" w:fill="FFFFFF"/>
        </w:rPr>
      </w:pPr>
      <w:r>
        <w:rPr>
          <w:rFonts w:hint="eastAsia" w:ascii="宋体" w:hAnsi="宋体" w:cs="宋体"/>
          <w:color w:val="FF0000"/>
          <w:sz w:val="21"/>
          <w:szCs w:val="21"/>
          <w:shd w:val="clear" w:color="auto" w:fill="FFFFFF"/>
          <w:lang w:eastAsia="zh-CN"/>
        </w:rPr>
        <w:t>2024</w:t>
      </w:r>
      <w:r>
        <w:rPr>
          <w:rFonts w:hint="eastAsia" w:ascii="宋体" w:hAnsi="宋体" w:cs="宋体"/>
          <w:color w:val="FF0000"/>
          <w:sz w:val="21"/>
          <w:szCs w:val="21"/>
          <w:shd w:val="clear" w:color="auto" w:fill="FFFFFF"/>
        </w:rPr>
        <w:t>年</w:t>
      </w:r>
      <w:r>
        <w:rPr>
          <w:rFonts w:hint="eastAsia" w:ascii="宋体" w:hAnsi="宋体" w:cs="宋体"/>
          <w:color w:val="FF0000"/>
          <w:sz w:val="21"/>
          <w:szCs w:val="21"/>
          <w:shd w:val="clear" w:color="auto" w:fill="FFFFFF"/>
          <w:lang w:val="en-US" w:eastAsia="zh-CN"/>
        </w:rPr>
        <w:t>2</w:t>
      </w:r>
      <w:r>
        <w:rPr>
          <w:rFonts w:hint="eastAsia" w:ascii="宋体" w:hAnsi="宋体" w:cs="宋体"/>
          <w:color w:val="FF0000"/>
          <w:sz w:val="21"/>
          <w:szCs w:val="21"/>
          <w:shd w:val="clear" w:color="auto" w:fill="FFFFFF"/>
        </w:rPr>
        <w:t>月</w:t>
      </w:r>
      <w:r>
        <w:rPr>
          <w:rFonts w:hint="eastAsia" w:ascii="宋体" w:hAnsi="宋体" w:cs="宋体"/>
          <w:color w:val="FF0000"/>
          <w:sz w:val="21"/>
          <w:szCs w:val="21"/>
          <w:shd w:val="clear" w:color="auto" w:fill="FFFFFF"/>
          <w:lang w:val="en-US" w:eastAsia="zh-CN"/>
        </w:rPr>
        <w:t>27</w:t>
      </w:r>
      <w:r>
        <w:rPr>
          <w:rFonts w:hint="eastAsia" w:ascii="宋体" w:hAnsi="宋体" w:cs="宋体"/>
          <w:color w:val="FF0000"/>
          <w:sz w:val="21"/>
          <w:szCs w:val="21"/>
          <w:shd w:val="clear" w:color="auto" w:fill="FFFFFF"/>
        </w:rPr>
        <w:t>日</w:t>
      </w:r>
    </w:p>
    <w:p>
      <w:pPr>
        <w:pStyle w:val="28"/>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29" w:name="_Toc25063"/>
      <w:bookmarkStart w:id="30" w:name="_Toc23793"/>
      <w:bookmarkStart w:id="31" w:name="_Toc29890"/>
      <w:r>
        <w:rPr>
          <w:rFonts w:hint="eastAsia" w:ascii="宋体" w:hAnsi="宋体"/>
          <w:b/>
          <w:sz w:val="32"/>
          <w:szCs w:val="32"/>
        </w:rPr>
        <w:br w:type="page"/>
      </w:r>
    </w:p>
    <w:p>
      <w:pPr>
        <w:widowControl/>
        <w:spacing w:line="360" w:lineRule="auto"/>
        <w:ind w:firstLine="643" w:firstLineChars="200"/>
        <w:jc w:val="center"/>
        <w:outlineLvl w:val="0"/>
        <w:rPr>
          <w:rFonts w:ascii="宋体" w:hAnsi="宋体"/>
          <w:b/>
          <w:sz w:val="32"/>
          <w:szCs w:val="32"/>
        </w:rPr>
      </w:pPr>
      <w:r>
        <w:rPr>
          <w:rFonts w:hint="eastAsia" w:ascii="宋体" w:hAnsi="宋体"/>
          <w:b/>
          <w:sz w:val="32"/>
          <w:szCs w:val="32"/>
        </w:rPr>
        <w:t>第二章  采购需求</w:t>
      </w:r>
      <w:bookmarkEnd w:id="29"/>
      <w:bookmarkStart w:id="32" w:name="_Toc9989"/>
      <w:bookmarkStart w:id="33" w:name="_Toc23610"/>
      <w:bookmarkStart w:id="34" w:name="_Toc31536"/>
    </w:p>
    <w:bookmarkEnd w:id="30"/>
    <w:bookmarkEnd w:id="31"/>
    <w:bookmarkEnd w:id="32"/>
    <w:bookmarkEnd w:id="33"/>
    <w:bookmarkEnd w:id="34"/>
    <w:p>
      <w:pPr>
        <w:snapToGrid w:val="0"/>
        <w:spacing w:line="360" w:lineRule="auto"/>
        <w:ind w:firstLine="420" w:firstLineChars="200"/>
        <w:rPr>
          <w:rFonts w:ascii="宋体" w:hAnsi="宋体" w:cs="宋体"/>
          <w:iCs/>
          <w:szCs w:val="21"/>
        </w:rPr>
      </w:pPr>
      <w:bookmarkStart w:id="35" w:name="_Toc14504"/>
      <w:r>
        <w:rPr>
          <w:rFonts w:hint="eastAsia" w:ascii="宋体" w:hAnsi="宋体" w:cs="宋体"/>
          <w:iCs/>
          <w:szCs w:val="21"/>
        </w:rPr>
        <w:t>一、项目名称、数量：驻马店市中心医院</w:t>
      </w:r>
      <w:r>
        <w:rPr>
          <w:rFonts w:hint="eastAsia" w:ascii="宋体" w:hAnsi="宋体" w:cs="宋体"/>
          <w:iCs/>
          <w:szCs w:val="21"/>
          <w:lang w:eastAsia="zh-CN"/>
        </w:rPr>
        <w:t>西门子3.0T磁共振技术保</w:t>
      </w:r>
      <w:r>
        <w:rPr>
          <w:rFonts w:hint="eastAsia" w:ascii="宋体" w:hAnsi="宋体" w:cs="宋体"/>
          <w:iCs/>
          <w:szCs w:val="21"/>
        </w:rPr>
        <w:t>项目</w:t>
      </w:r>
    </w:p>
    <w:p>
      <w:pPr>
        <w:snapToGrid w:val="0"/>
        <w:spacing w:line="360" w:lineRule="auto"/>
        <w:ind w:firstLine="840" w:firstLineChars="400"/>
        <w:rPr>
          <w:rFonts w:ascii="宋体" w:hAnsi="宋体" w:cs="宋体"/>
          <w:iCs/>
          <w:szCs w:val="21"/>
        </w:rPr>
      </w:pPr>
      <w:r>
        <w:rPr>
          <w:rFonts w:hint="eastAsia" w:ascii="宋体" w:hAnsi="宋体" w:cs="宋体"/>
          <w:iCs/>
          <w:szCs w:val="21"/>
        </w:rPr>
        <w:t>项目概况：</w:t>
      </w:r>
      <w:r>
        <w:rPr>
          <w:rFonts w:hint="eastAsia" w:ascii="宋体" w:hAnsi="宋体" w:cs="宋体"/>
          <w:iCs/>
          <w:szCs w:val="21"/>
          <w:lang w:eastAsia="zh-CN"/>
        </w:rPr>
        <w:t>西门子3.0T磁共振技术保</w:t>
      </w:r>
      <w:r>
        <w:rPr>
          <w:rFonts w:hint="eastAsia" w:ascii="宋体" w:hAnsi="宋体" w:cs="宋体"/>
          <w:iCs/>
          <w:szCs w:val="21"/>
        </w:rPr>
        <w:t>一年。</w:t>
      </w:r>
    </w:p>
    <w:p>
      <w:pPr>
        <w:pStyle w:val="14"/>
        <w:numPr>
          <w:ilvl w:val="0"/>
          <w:numId w:val="1"/>
        </w:numPr>
        <w:snapToGrid w:val="0"/>
        <w:spacing w:beforeAutospacing="0" w:afterAutospacing="0" w:line="480" w:lineRule="auto"/>
        <w:ind w:firstLine="420" w:firstLineChars="200"/>
        <w:jc w:val="both"/>
        <w:rPr>
          <w:kern w:val="2"/>
          <w:sz w:val="21"/>
        </w:rPr>
      </w:pPr>
      <w:r>
        <w:rPr>
          <w:rFonts w:hint="eastAsia"/>
          <w:kern w:val="2"/>
          <w:sz w:val="21"/>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4"/>
        <w:gridCol w:w="2250"/>
        <w:gridCol w:w="984"/>
        <w:gridCol w:w="897"/>
        <w:gridCol w:w="6"/>
        <w:gridCol w:w="1071"/>
        <w:gridCol w:w="9"/>
        <w:gridCol w:w="10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6" w:type="dxa"/>
            <w:vAlign w:val="center"/>
          </w:tcPr>
          <w:p>
            <w:pPr>
              <w:pStyle w:val="14"/>
              <w:widowControl w:val="0"/>
              <w:spacing w:beforeAutospacing="0" w:line="400" w:lineRule="exact"/>
              <w:jc w:val="center"/>
              <w:rPr>
                <w:sz w:val="21"/>
                <w:szCs w:val="21"/>
              </w:rPr>
            </w:pPr>
            <w:r>
              <w:rPr>
                <w:rFonts w:hint="eastAsia"/>
                <w:sz w:val="21"/>
                <w:szCs w:val="21"/>
              </w:rPr>
              <w:t>包号</w:t>
            </w:r>
          </w:p>
        </w:tc>
        <w:tc>
          <w:tcPr>
            <w:tcW w:w="974" w:type="dxa"/>
            <w:vAlign w:val="center"/>
          </w:tcPr>
          <w:p>
            <w:pPr>
              <w:pStyle w:val="14"/>
              <w:widowControl w:val="0"/>
              <w:spacing w:beforeAutospacing="0" w:line="400" w:lineRule="exact"/>
              <w:jc w:val="center"/>
              <w:rPr>
                <w:sz w:val="21"/>
                <w:szCs w:val="21"/>
              </w:rPr>
            </w:pPr>
            <w:r>
              <w:rPr>
                <w:rFonts w:hint="eastAsia"/>
                <w:sz w:val="21"/>
                <w:szCs w:val="21"/>
              </w:rPr>
              <w:t>序号</w:t>
            </w:r>
          </w:p>
        </w:tc>
        <w:tc>
          <w:tcPr>
            <w:tcW w:w="2250" w:type="dxa"/>
            <w:vAlign w:val="center"/>
          </w:tcPr>
          <w:p>
            <w:pPr>
              <w:pStyle w:val="14"/>
              <w:widowControl w:val="0"/>
              <w:spacing w:beforeAutospacing="0" w:line="400" w:lineRule="exact"/>
              <w:jc w:val="center"/>
              <w:rPr>
                <w:sz w:val="21"/>
                <w:szCs w:val="21"/>
              </w:rPr>
            </w:pPr>
            <w:r>
              <w:rPr>
                <w:rFonts w:hint="eastAsia"/>
                <w:sz w:val="21"/>
                <w:szCs w:val="21"/>
              </w:rPr>
              <w:t>标的名称</w:t>
            </w:r>
          </w:p>
        </w:tc>
        <w:tc>
          <w:tcPr>
            <w:tcW w:w="984" w:type="dxa"/>
            <w:vAlign w:val="center"/>
          </w:tcPr>
          <w:p>
            <w:pPr>
              <w:pStyle w:val="14"/>
              <w:widowControl w:val="0"/>
              <w:spacing w:beforeAutospacing="0" w:line="400" w:lineRule="exact"/>
              <w:jc w:val="center"/>
              <w:rPr>
                <w:sz w:val="21"/>
                <w:szCs w:val="21"/>
              </w:rPr>
            </w:pPr>
            <w:r>
              <w:rPr>
                <w:rFonts w:hint="eastAsia"/>
                <w:sz w:val="21"/>
                <w:szCs w:val="21"/>
              </w:rPr>
              <w:t>单位</w:t>
            </w:r>
          </w:p>
        </w:tc>
        <w:tc>
          <w:tcPr>
            <w:tcW w:w="897" w:type="dxa"/>
            <w:vAlign w:val="center"/>
          </w:tcPr>
          <w:p>
            <w:pPr>
              <w:pStyle w:val="14"/>
              <w:widowControl w:val="0"/>
              <w:spacing w:beforeAutospacing="0" w:line="400" w:lineRule="exact"/>
              <w:jc w:val="center"/>
              <w:rPr>
                <w:sz w:val="21"/>
                <w:szCs w:val="21"/>
              </w:rPr>
            </w:pPr>
            <w:r>
              <w:rPr>
                <w:rFonts w:hint="eastAsia"/>
                <w:sz w:val="21"/>
                <w:szCs w:val="21"/>
              </w:rPr>
              <w:t>数量</w:t>
            </w:r>
          </w:p>
        </w:tc>
        <w:tc>
          <w:tcPr>
            <w:tcW w:w="1086" w:type="dxa"/>
            <w:gridSpan w:val="3"/>
            <w:vAlign w:val="center"/>
          </w:tcPr>
          <w:p>
            <w:pPr>
              <w:pStyle w:val="14"/>
              <w:widowControl w:val="0"/>
              <w:spacing w:beforeAutospacing="0" w:line="400" w:lineRule="exact"/>
              <w:jc w:val="center"/>
              <w:rPr>
                <w:sz w:val="21"/>
                <w:szCs w:val="21"/>
              </w:rPr>
            </w:pPr>
            <w:r>
              <w:rPr>
                <w:rFonts w:hint="eastAsia"/>
                <w:sz w:val="21"/>
                <w:szCs w:val="21"/>
              </w:rPr>
              <w:t>资金</w:t>
            </w:r>
          </w:p>
          <w:p>
            <w:pPr>
              <w:pStyle w:val="14"/>
              <w:widowControl w:val="0"/>
              <w:spacing w:beforeAutospacing="0" w:line="400" w:lineRule="exact"/>
              <w:jc w:val="center"/>
              <w:rPr>
                <w:sz w:val="21"/>
                <w:szCs w:val="21"/>
              </w:rPr>
            </w:pPr>
            <w:r>
              <w:rPr>
                <w:rFonts w:hint="eastAsia"/>
                <w:sz w:val="21"/>
                <w:szCs w:val="21"/>
              </w:rPr>
              <w:t>预算</w:t>
            </w:r>
          </w:p>
        </w:tc>
        <w:tc>
          <w:tcPr>
            <w:tcW w:w="1091" w:type="dxa"/>
            <w:vAlign w:val="center"/>
          </w:tcPr>
          <w:p>
            <w:pPr>
              <w:pStyle w:val="14"/>
              <w:widowControl w:val="0"/>
              <w:spacing w:beforeAutospacing="0" w:line="400" w:lineRule="exact"/>
              <w:jc w:val="center"/>
              <w:rPr>
                <w:sz w:val="21"/>
                <w:szCs w:val="21"/>
              </w:rPr>
            </w:pPr>
            <w:r>
              <w:rPr>
                <w:rFonts w:hint="eastAsia"/>
                <w:sz w:val="21"/>
                <w:szCs w:val="21"/>
              </w:rPr>
              <w:t>资金</w:t>
            </w:r>
          </w:p>
          <w:p>
            <w:pPr>
              <w:pStyle w:val="14"/>
              <w:widowControl w:val="0"/>
              <w:spacing w:beforeAutospacing="0" w:line="400" w:lineRule="exact"/>
              <w:jc w:val="center"/>
              <w:rPr>
                <w:sz w:val="21"/>
                <w:szCs w:val="21"/>
              </w:rPr>
            </w:pPr>
            <w:r>
              <w:rPr>
                <w:rFonts w:hint="eastAsia"/>
                <w:sz w:val="21"/>
                <w:szCs w:val="21"/>
              </w:rPr>
              <w:t>性质</w:t>
            </w:r>
          </w:p>
        </w:tc>
        <w:tc>
          <w:tcPr>
            <w:tcW w:w="1217" w:type="dxa"/>
            <w:vAlign w:val="center"/>
          </w:tcPr>
          <w:p>
            <w:pPr>
              <w:pStyle w:val="14"/>
              <w:widowControl w:val="0"/>
              <w:spacing w:beforeAutospacing="0" w:line="400" w:lineRule="exact"/>
              <w:jc w:val="center"/>
              <w:rPr>
                <w:sz w:val="21"/>
                <w:szCs w:val="21"/>
              </w:rPr>
            </w:pPr>
            <w:r>
              <w:rPr>
                <w:rFonts w:hint="eastAsia"/>
                <w:sz w:val="21"/>
                <w:szCs w:val="21"/>
              </w:rPr>
              <w:t>国产/</w:t>
            </w:r>
          </w:p>
          <w:p>
            <w:pPr>
              <w:pStyle w:val="14"/>
              <w:widowControl w:val="0"/>
              <w:spacing w:beforeAutospacing="0" w:line="400" w:lineRule="exact"/>
              <w:jc w:val="center"/>
              <w:rPr>
                <w:sz w:val="21"/>
                <w:szCs w:val="21"/>
              </w:rPr>
            </w:pPr>
            <w:r>
              <w:rPr>
                <w:rFonts w:hint="eastAsia"/>
                <w:sz w:val="21"/>
                <w:szCs w:val="21"/>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vAlign w:val="center"/>
          </w:tcPr>
          <w:p>
            <w:pPr>
              <w:spacing w:line="560" w:lineRule="exact"/>
              <w:jc w:val="center"/>
              <w:rPr>
                <w:rFonts w:ascii="宋体" w:hAnsi="宋体" w:cs="宋体"/>
                <w:szCs w:val="21"/>
              </w:rPr>
            </w:pPr>
          </w:p>
        </w:tc>
        <w:tc>
          <w:tcPr>
            <w:tcW w:w="974" w:type="dxa"/>
            <w:vAlign w:val="center"/>
          </w:tcPr>
          <w:p>
            <w:pPr>
              <w:pStyle w:val="14"/>
              <w:widowControl w:val="0"/>
              <w:spacing w:beforeAutospacing="0" w:line="400" w:lineRule="exact"/>
              <w:jc w:val="center"/>
              <w:rPr>
                <w:sz w:val="21"/>
                <w:szCs w:val="21"/>
              </w:rPr>
            </w:pPr>
            <w:r>
              <w:rPr>
                <w:rFonts w:hint="eastAsia"/>
                <w:sz w:val="21"/>
                <w:szCs w:val="21"/>
              </w:rPr>
              <w:t>1</w:t>
            </w:r>
          </w:p>
        </w:tc>
        <w:tc>
          <w:tcPr>
            <w:tcW w:w="2250" w:type="dxa"/>
            <w:vAlign w:val="center"/>
          </w:tcPr>
          <w:p>
            <w:pPr>
              <w:pStyle w:val="14"/>
              <w:widowControl w:val="0"/>
              <w:spacing w:beforeAutospacing="0" w:line="400" w:lineRule="exact"/>
              <w:jc w:val="center"/>
              <w:rPr>
                <w:rFonts w:hint="eastAsia" w:eastAsia="宋体"/>
                <w:sz w:val="21"/>
                <w:szCs w:val="21"/>
                <w:lang w:eastAsia="zh-CN"/>
              </w:rPr>
            </w:pPr>
            <w:r>
              <w:rPr>
                <w:rFonts w:hint="eastAsia"/>
                <w:sz w:val="21"/>
                <w:szCs w:val="21"/>
                <w:lang w:eastAsia="zh-CN"/>
              </w:rPr>
              <w:t>西门子3.0T磁共振技术保</w:t>
            </w:r>
          </w:p>
        </w:tc>
        <w:tc>
          <w:tcPr>
            <w:tcW w:w="984" w:type="dxa"/>
            <w:vAlign w:val="center"/>
          </w:tcPr>
          <w:p>
            <w:pPr>
              <w:pStyle w:val="14"/>
              <w:widowControl w:val="0"/>
              <w:spacing w:beforeAutospacing="0" w:line="400" w:lineRule="exact"/>
              <w:jc w:val="center"/>
              <w:rPr>
                <w:sz w:val="21"/>
                <w:szCs w:val="21"/>
              </w:rPr>
            </w:pPr>
            <w:r>
              <w:rPr>
                <w:rFonts w:hint="eastAsia"/>
                <w:sz w:val="21"/>
                <w:szCs w:val="21"/>
              </w:rPr>
              <w:t>台/年</w:t>
            </w:r>
          </w:p>
        </w:tc>
        <w:tc>
          <w:tcPr>
            <w:tcW w:w="897" w:type="dxa"/>
            <w:vAlign w:val="center"/>
          </w:tcPr>
          <w:p>
            <w:pPr>
              <w:pStyle w:val="14"/>
              <w:widowControl w:val="0"/>
              <w:spacing w:beforeAutospacing="0" w:line="400" w:lineRule="exact"/>
              <w:jc w:val="center"/>
              <w:rPr>
                <w:rFonts w:hint="eastAsia" w:eastAsia="宋体"/>
                <w:sz w:val="21"/>
                <w:szCs w:val="21"/>
                <w:lang w:eastAsia="zh-CN"/>
              </w:rPr>
            </w:pPr>
            <w:r>
              <w:rPr>
                <w:rFonts w:hint="eastAsia"/>
                <w:sz w:val="21"/>
                <w:szCs w:val="21"/>
                <w:lang w:val="en-US" w:eastAsia="zh-CN"/>
              </w:rPr>
              <w:t>2</w:t>
            </w:r>
          </w:p>
        </w:tc>
        <w:tc>
          <w:tcPr>
            <w:tcW w:w="1086" w:type="dxa"/>
            <w:gridSpan w:val="3"/>
            <w:vAlign w:val="center"/>
          </w:tcPr>
          <w:p>
            <w:pPr>
              <w:pStyle w:val="14"/>
              <w:widowControl w:val="0"/>
              <w:spacing w:beforeAutospacing="0" w:line="400" w:lineRule="exact"/>
              <w:jc w:val="center"/>
              <w:rPr>
                <w:sz w:val="21"/>
                <w:szCs w:val="21"/>
              </w:rPr>
            </w:pPr>
            <w:r>
              <w:rPr>
                <w:rFonts w:hint="eastAsia"/>
                <w:sz w:val="21"/>
                <w:szCs w:val="21"/>
              </w:rPr>
              <w:t>47万元</w:t>
            </w:r>
          </w:p>
        </w:tc>
        <w:tc>
          <w:tcPr>
            <w:tcW w:w="1091" w:type="dxa"/>
            <w:vAlign w:val="center"/>
          </w:tcPr>
          <w:p>
            <w:pPr>
              <w:pStyle w:val="14"/>
              <w:widowControl w:val="0"/>
              <w:spacing w:beforeAutospacing="0" w:line="400" w:lineRule="exact"/>
              <w:jc w:val="center"/>
              <w:rPr>
                <w:sz w:val="21"/>
                <w:szCs w:val="21"/>
              </w:rPr>
            </w:pPr>
            <w:r>
              <w:rPr>
                <w:rFonts w:hint="eastAsia"/>
                <w:sz w:val="21"/>
                <w:szCs w:val="21"/>
              </w:rPr>
              <w:t>自筹</w:t>
            </w: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合计</w:t>
            </w:r>
          </w:p>
        </w:tc>
        <w:tc>
          <w:tcPr>
            <w:tcW w:w="2250" w:type="dxa"/>
            <w:vAlign w:val="center"/>
          </w:tcPr>
          <w:p>
            <w:pPr>
              <w:spacing w:line="560" w:lineRule="exact"/>
              <w:jc w:val="center"/>
              <w:rPr>
                <w:rFonts w:ascii="宋体" w:hAnsi="宋体" w:cs="宋体"/>
                <w:szCs w:val="21"/>
              </w:rPr>
            </w:pPr>
          </w:p>
        </w:tc>
        <w:tc>
          <w:tcPr>
            <w:tcW w:w="984" w:type="dxa"/>
            <w:vAlign w:val="center"/>
          </w:tcPr>
          <w:p>
            <w:pPr>
              <w:spacing w:line="560" w:lineRule="exact"/>
              <w:jc w:val="center"/>
              <w:rPr>
                <w:rFonts w:ascii="宋体" w:hAnsi="宋体" w:cs="宋体"/>
                <w:szCs w:val="21"/>
              </w:rPr>
            </w:pPr>
          </w:p>
        </w:tc>
        <w:tc>
          <w:tcPr>
            <w:tcW w:w="903" w:type="dxa"/>
            <w:gridSpan w:val="2"/>
            <w:vAlign w:val="center"/>
          </w:tcPr>
          <w:p>
            <w:pPr>
              <w:spacing w:line="560" w:lineRule="exact"/>
              <w:jc w:val="center"/>
              <w:rPr>
                <w:rFonts w:ascii="宋体" w:hAnsi="宋体" w:cs="宋体"/>
                <w:szCs w:val="21"/>
              </w:rPr>
            </w:pPr>
          </w:p>
        </w:tc>
        <w:tc>
          <w:tcPr>
            <w:tcW w:w="1071" w:type="dxa"/>
            <w:vAlign w:val="center"/>
          </w:tcPr>
          <w:p>
            <w:pPr>
              <w:spacing w:line="560" w:lineRule="exact"/>
              <w:jc w:val="center"/>
              <w:rPr>
                <w:rFonts w:ascii="宋体" w:hAnsi="宋体" w:cs="宋体"/>
                <w:szCs w:val="21"/>
              </w:rPr>
            </w:pPr>
          </w:p>
        </w:tc>
        <w:tc>
          <w:tcPr>
            <w:tcW w:w="1100" w:type="dxa"/>
            <w:gridSpan w:val="2"/>
            <w:vAlign w:val="center"/>
          </w:tcPr>
          <w:p>
            <w:pPr>
              <w:spacing w:line="560" w:lineRule="exact"/>
              <w:jc w:val="center"/>
              <w:rPr>
                <w:rFonts w:ascii="宋体" w:hAnsi="宋体" w:cs="宋体"/>
                <w:szCs w:val="21"/>
              </w:rPr>
            </w:pP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备注</w:t>
            </w:r>
          </w:p>
        </w:tc>
        <w:tc>
          <w:tcPr>
            <w:tcW w:w="7525" w:type="dxa"/>
            <w:gridSpan w:val="8"/>
            <w:vAlign w:val="center"/>
          </w:tcPr>
          <w:p>
            <w:pPr>
              <w:pStyle w:val="15"/>
              <w:rPr>
                <w:rFonts w:ascii="宋体" w:hAnsi="宋体" w:cs="宋体"/>
                <w:szCs w:val="21"/>
              </w:rPr>
            </w:pPr>
            <w:r>
              <w:rPr>
                <w:rFonts w:hint="eastAsia" w:ascii="宋体" w:hAnsi="宋体" w:cs="宋体"/>
                <w:szCs w:val="21"/>
              </w:rPr>
              <w:t>设备型号为MAGNETOM Skyra</w:t>
            </w:r>
          </w:p>
        </w:tc>
      </w:tr>
    </w:tbl>
    <w:p>
      <w:pPr>
        <w:pStyle w:val="15"/>
      </w:pPr>
    </w:p>
    <w:p>
      <w:pPr>
        <w:numPr>
          <w:ilvl w:val="0"/>
          <w:numId w:val="1"/>
        </w:numPr>
        <w:snapToGrid w:val="0"/>
        <w:spacing w:line="360" w:lineRule="auto"/>
        <w:ind w:firstLine="420" w:firstLineChars="200"/>
        <w:rPr>
          <w:rFonts w:ascii="宋体" w:hAnsi="宋体" w:cs="宋体"/>
        </w:rPr>
      </w:pPr>
      <w:r>
        <w:rPr>
          <w:rFonts w:hint="eastAsia" w:ascii="宋体" w:hAnsi="宋体" w:cs="宋体"/>
        </w:rPr>
        <w:t>技术商务要求</w:t>
      </w:r>
    </w:p>
    <w:p>
      <w:pPr>
        <w:snapToGrid w:val="0"/>
        <w:spacing w:line="360" w:lineRule="auto"/>
        <w:ind w:firstLine="420" w:firstLineChars="200"/>
        <w:rPr>
          <w:rFonts w:ascii="宋体" w:hAnsi="宋体" w:cs="宋体"/>
          <w:iCs/>
          <w:szCs w:val="21"/>
        </w:rPr>
      </w:pPr>
      <w:r>
        <w:rPr>
          <w:rFonts w:hint="eastAsia" w:ascii="宋体" w:hAnsi="宋体" w:cs="宋体"/>
          <w:iCs/>
          <w:szCs w:val="21"/>
        </w:rPr>
        <w:t>1.技术要求：</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1)</w:t>
      </w:r>
      <w:r>
        <w:rPr>
          <w:rFonts w:hint="eastAsia" w:ascii="宋体" w:hAnsi="宋体" w:cs="宋体"/>
          <w:lang w:val="zh-CN" w:eastAsia="zh-CN"/>
        </w:rPr>
        <w:tab/>
      </w:r>
      <w:r>
        <w:rPr>
          <w:rFonts w:hint="eastAsia" w:ascii="宋体" w:hAnsi="宋体" w:cs="宋体"/>
          <w:lang w:val="zh-CN" w:eastAsia="zh-CN"/>
        </w:rPr>
        <w:t>保修期内每年至少提供4次设备维护保养，包含但不限于如下项目：设备清洁、性能测试及校准、必要的电气环境检测等，使之保持原厂QC标准或国家质量监督部门的标准，并提供保养清单。</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2)</w:t>
      </w:r>
      <w:r>
        <w:rPr>
          <w:rFonts w:hint="eastAsia" w:ascii="宋体" w:hAnsi="宋体" w:cs="宋体"/>
          <w:lang w:val="zh-CN" w:eastAsia="zh-CN"/>
        </w:rPr>
        <w:tab/>
      </w:r>
      <w:r>
        <w:rPr>
          <w:rFonts w:hint="eastAsia" w:ascii="宋体" w:hAnsi="宋体" w:cs="宋体"/>
          <w:lang w:val="zh-CN" w:eastAsia="zh-CN"/>
        </w:rPr>
        <w:t>每次维修保养</w:t>
      </w:r>
      <w:r>
        <w:rPr>
          <w:rFonts w:hint="eastAsia" w:ascii="宋体" w:hAnsi="宋体" w:cs="宋体"/>
          <w:lang w:val="en-US" w:eastAsia="zh-CN"/>
        </w:rPr>
        <w:t>更换配件</w:t>
      </w:r>
      <w:r>
        <w:rPr>
          <w:rFonts w:hint="eastAsia" w:ascii="宋体" w:hAnsi="宋体" w:cs="宋体"/>
          <w:lang w:val="zh-CN" w:eastAsia="zh-CN"/>
        </w:rPr>
        <w:t>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3)为本医院配置具备维修资质的固定工程师不少于2人，本设备维修经验不少于2年，需提供证明材料（培训证书）和承诺函。</w:t>
      </w:r>
    </w:p>
    <w:p>
      <w:pPr>
        <w:snapToGrid w:val="0"/>
        <w:spacing w:line="360" w:lineRule="auto"/>
        <w:ind w:firstLine="420" w:firstLineChars="200"/>
        <w:rPr>
          <w:rFonts w:hint="default" w:ascii="宋体" w:hAnsi="宋体" w:cs="宋体"/>
          <w:lang w:val="en-US" w:eastAsia="zh-CN"/>
        </w:rPr>
      </w:pPr>
      <w:r>
        <w:rPr>
          <w:rFonts w:hint="eastAsia" w:ascii="宋体" w:hAnsi="宋体" w:cs="宋体"/>
          <w:lang w:val="en-US" w:eastAsia="zh-CN"/>
        </w:rPr>
        <w:t>4)其中中心院区磁共振需包含两个常规配件（不论价值大小，不含磁体、液氦）的免费更换。</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5</w:t>
      </w:r>
      <w:r>
        <w:rPr>
          <w:rFonts w:hint="eastAsia" w:ascii="宋体" w:hAnsi="宋体" w:cs="宋体"/>
          <w:lang w:val="zh-CN" w:eastAsia="zh-CN"/>
        </w:rPr>
        <w:t>)</w:t>
      </w:r>
      <w:r>
        <w:rPr>
          <w:rFonts w:hint="eastAsia" w:ascii="宋体" w:hAnsi="宋体" w:cs="宋体"/>
          <w:lang w:val="zh-CN" w:eastAsia="zh-CN"/>
        </w:rPr>
        <w:tab/>
      </w:r>
      <w:r>
        <w:rPr>
          <w:rFonts w:hint="eastAsia" w:ascii="宋体" w:hAnsi="宋体" w:cs="宋体"/>
          <w:lang w:val="zh-CN" w:eastAsia="zh-CN"/>
        </w:rPr>
        <w:t>所换备件必须是全新合格的产品，并满足设备运行要求, 进口配件需提供商检及海关报关单等材料。因所换备件造成的设备故障及医院损失，由投标人全权负责。</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6</w:t>
      </w:r>
      <w:r>
        <w:rPr>
          <w:rFonts w:hint="eastAsia" w:ascii="宋体" w:hAnsi="宋体" w:cs="宋体"/>
          <w:lang w:val="zh-CN" w:eastAsia="zh-CN"/>
        </w:rPr>
        <w:t>)</w:t>
      </w:r>
      <w:r>
        <w:rPr>
          <w:rFonts w:hint="eastAsia" w:ascii="宋体" w:hAnsi="宋体" w:cs="宋体"/>
          <w:lang w:val="zh-CN" w:eastAsia="zh-CN"/>
        </w:rPr>
        <w:tab/>
      </w:r>
      <w:r>
        <w:rPr>
          <w:rFonts w:hint="eastAsia" w:ascii="宋体" w:hAnsi="宋体" w:cs="宋体"/>
          <w:lang w:val="zh-CN" w:eastAsia="zh-CN"/>
        </w:rPr>
        <w:t>软硬件及工作站免费安全升级，并开放维修密码等。</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7</w:t>
      </w:r>
      <w:r>
        <w:rPr>
          <w:rFonts w:hint="eastAsia" w:ascii="宋体" w:hAnsi="宋体" w:cs="宋体"/>
          <w:lang w:val="zh-CN" w:eastAsia="zh-CN"/>
        </w:rPr>
        <w:t>)</w:t>
      </w:r>
      <w:r>
        <w:rPr>
          <w:rFonts w:hint="eastAsia" w:ascii="宋体" w:hAnsi="宋体" w:cs="宋体"/>
          <w:lang w:val="zh-CN" w:eastAsia="zh-CN"/>
        </w:rPr>
        <w:tab/>
      </w:r>
      <w:r>
        <w:rPr>
          <w:rFonts w:hint="eastAsia" w:ascii="宋体" w:hAnsi="宋体" w:cs="宋体"/>
          <w:lang w:val="zh-CN" w:eastAsia="zh-CN"/>
        </w:rPr>
        <w:t>提供24小时远程技术支持及临床应用支持，签署由招标人提供的信息系统数据安全保密承诺书。</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8</w:t>
      </w:r>
      <w:r>
        <w:rPr>
          <w:rFonts w:hint="eastAsia" w:ascii="宋体" w:hAnsi="宋体" w:cs="宋体"/>
          <w:lang w:val="zh-CN" w:eastAsia="zh-CN"/>
        </w:rPr>
        <w:t>）</w:t>
      </w:r>
      <w:r>
        <w:rPr>
          <w:rFonts w:hint="eastAsia" w:ascii="宋体" w:hAnsi="宋体" w:cs="宋体"/>
          <w:lang w:val="en-US" w:eastAsia="zh-CN"/>
        </w:rPr>
        <w:t>更换维修备件需要院内工程师及科室主任在场拍照，更换维修备件超过三万元需要先招标后更换，特殊情况除外</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9</w:t>
      </w:r>
      <w:r>
        <w:rPr>
          <w:rFonts w:hint="eastAsia" w:ascii="宋体" w:hAnsi="宋体" w:cs="宋体"/>
          <w:lang w:val="zh-CN" w:eastAsia="zh-CN"/>
        </w:rPr>
        <w:t>）如需更换备件，国内备件仓库有货的备件在2个工作日内送达医院，进口配件5个工作日送达；非标件和不可抗力除外。</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10</w:t>
      </w:r>
      <w:r>
        <w:rPr>
          <w:rFonts w:hint="eastAsia" w:ascii="宋体" w:hAnsi="宋体" w:cs="宋体"/>
          <w:lang w:val="zh-CN" w:eastAsia="zh-CN"/>
        </w:rPr>
        <w:t>）定期进行安全检查及质量保障，保证24h*365天维修热线连接；提供全国400热线服务电话。</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1</w:t>
      </w:r>
      <w:r>
        <w:rPr>
          <w:rFonts w:hint="eastAsia" w:ascii="宋体" w:hAnsi="宋体" w:cs="宋体"/>
          <w:lang w:val="en-US" w:eastAsia="zh-CN"/>
        </w:rPr>
        <w:t>1</w:t>
      </w:r>
      <w:r>
        <w:rPr>
          <w:rFonts w:hint="eastAsia" w:ascii="宋体" w:hAnsi="宋体" w:cs="宋体"/>
          <w:lang w:val="zh-CN" w:eastAsia="zh-CN"/>
        </w:rPr>
        <w:t>）紧急人工和工程师现场紧急维修服务。</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1</w:t>
      </w:r>
      <w:r>
        <w:rPr>
          <w:rFonts w:hint="eastAsia" w:ascii="宋体" w:hAnsi="宋体" w:cs="宋体"/>
          <w:lang w:val="en-US" w:eastAsia="zh-CN"/>
        </w:rPr>
        <w:t>2</w:t>
      </w:r>
      <w:r>
        <w:rPr>
          <w:rFonts w:hint="eastAsia" w:ascii="宋体" w:hAnsi="宋体" w:cs="宋体"/>
          <w:lang w:val="zh-CN" w:eastAsia="zh-CN"/>
        </w:rPr>
        <w:t>）提供ISO9001和13485质量认证证书。</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1</w:t>
      </w:r>
      <w:r>
        <w:rPr>
          <w:rFonts w:hint="eastAsia" w:ascii="宋体" w:hAnsi="宋体" w:cs="宋体"/>
          <w:lang w:val="en-US" w:eastAsia="zh-CN"/>
        </w:rPr>
        <w:t>3</w:t>
      </w:r>
      <w:r>
        <w:rPr>
          <w:rFonts w:hint="eastAsia" w:ascii="宋体" w:hAnsi="宋体" w:cs="宋体"/>
          <w:lang w:val="zh-CN" w:eastAsia="zh-CN"/>
        </w:rPr>
        <w:t>）工程师需配备有专用工具，工程师的工具符合国家检测和校准的规定（提供相关校准证明）。</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1</w:t>
      </w:r>
      <w:r>
        <w:rPr>
          <w:rFonts w:hint="eastAsia" w:ascii="宋体" w:hAnsi="宋体" w:cs="宋体"/>
          <w:lang w:val="en-US" w:eastAsia="zh-CN"/>
        </w:rPr>
        <w:t>4</w:t>
      </w:r>
      <w:r>
        <w:rPr>
          <w:rFonts w:hint="eastAsia" w:ascii="宋体" w:hAnsi="宋体" w:cs="宋体"/>
          <w:lang w:val="zh-CN" w:eastAsia="zh-CN"/>
        </w:rPr>
        <w:t>）保修期最后一个月内更换的配件，中标公司应保证自更换之日起三个月内正常使用，如三个月内出现故障，由中标公司承担维修费用。</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en-US" w:eastAsia="zh-CN"/>
        </w:rPr>
        <w:t>15</w:t>
      </w:r>
      <w:r>
        <w:rPr>
          <w:rFonts w:hint="eastAsia" w:ascii="宋体" w:hAnsi="宋体" w:cs="宋体"/>
          <w:lang w:val="zh-CN" w:eastAsia="zh-CN"/>
        </w:rPr>
        <w:t>）须有具备应用培训工程师且提供原厂认证的培训证书。</w:t>
      </w:r>
    </w:p>
    <w:p>
      <w:pPr>
        <w:snapToGrid w:val="0"/>
        <w:spacing w:line="360" w:lineRule="auto"/>
        <w:ind w:firstLine="420" w:firstLineChars="200"/>
        <w:rPr>
          <w:rFonts w:hint="eastAsia" w:ascii="宋体" w:hAnsi="宋体" w:cs="宋体"/>
          <w:lang w:val="zh-CN" w:eastAsia="zh-CN"/>
        </w:rPr>
      </w:pPr>
      <w:r>
        <w:rPr>
          <w:rFonts w:hint="eastAsia" w:ascii="宋体" w:hAnsi="宋体" w:cs="宋体"/>
          <w:lang w:val="zh-CN" w:eastAsia="zh-CN"/>
        </w:rPr>
        <w:t>1</w:t>
      </w:r>
      <w:r>
        <w:rPr>
          <w:rFonts w:hint="eastAsia" w:ascii="宋体" w:hAnsi="宋体" w:cs="宋体"/>
          <w:lang w:val="en-US" w:eastAsia="zh-CN"/>
        </w:rPr>
        <w:t>6</w:t>
      </w:r>
      <w:r>
        <w:rPr>
          <w:rFonts w:hint="eastAsia" w:ascii="宋体" w:hAnsi="宋体" w:cs="宋体"/>
          <w:lang w:val="zh-CN" w:eastAsia="zh-CN"/>
        </w:rPr>
        <w:t>） 对我院的维修工程师提供每年至少2人次的专业培训，并提供培训证明材料。</w:t>
      </w:r>
    </w:p>
    <w:p>
      <w:pPr>
        <w:snapToGrid w:val="0"/>
        <w:spacing w:line="360" w:lineRule="auto"/>
        <w:ind w:firstLine="420" w:firstLineChars="200"/>
        <w:rPr>
          <w:rFonts w:ascii="宋体" w:hAnsi="宋体" w:cs="宋体"/>
        </w:rPr>
      </w:pPr>
      <w:r>
        <w:rPr>
          <w:rFonts w:hint="eastAsia" w:ascii="宋体" w:hAnsi="宋体" w:cs="宋体"/>
          <w:lang w:val="zh-CN" w:eastAsia="zh-CN"/>
        </w:rPr>
        <w:t>1</w:t>
      </w:r>
      <w:r>
        <w:rPr>
          <w:rFonts w:hint="eastAsia" w:ascii="宋体" w:hAnsi="宋体" w:cs="宋体"/>
          <w:lang w:val="en-US" w:eastAsia="zh-CN"/>
        </w:rPr>
        <w:t>7</w:t>
      </w:r>
      <w:r>
        <w:rPr>
          <w:rFonts w:hint="eastAsia" w:ascii="宋体" w:hAnsi="宋体" w:cs="宋体"/>
          <w:lang w:val="zh-CN" w:eastAsia="zh-CN"/>
        </w:rPr>
        <w:t>）每年制定临床使用人员的使用维护培训计划，按计划进行培训并提供记录。</w:t>
      </w:r>
    </w:p>
    <w:p>
      <w:pPr>
        <w:pStyle w:val="14"/>
        <w:snapToGrid w:val="0"/>
        <w:spacing w:beforeAutospacing="0" w:afterLines="50" w:afterAutospacing="0"/>
        <w:jc w:val="center"/>
        <w:rPr>
          <w:b/>
          <w:bCs/>
          <w:sz w:val="30"/>
          <w:szCs w:val="30"/>
        </w:rPr>
      </w:pPr>
      <w:r>
        <w:rPr>
          <w:rFonts w:hint="eastAsia"/>
          <w:b/>
          <w:bCs/>
          <w:sz w:val="30"/>
          <w:szCs w:val="30"/>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color w:val="000000" w:themeColor="text1"/>
                <w:sz w:val="21"/>
                <w:szCs w:val="21"/>
              </w:rPr>
            </w:pPr>
            <w:r>
              <w:rPr>
                <w:rFonts w:hint="eastAsia"/>
                <w:color w:val="000000" w:themeColor="text1"/>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sz w:val="21"/>
                <w:szCs w:val="21"/>
              </w:rPr>
            </w:pPr>
            <w:r>
              <w:rPr>
                <w:rFonts w:hint="eastAsia"/>
                <w:color w:val="000000" w:themeColor="text1"/>
                <w:sz w:val="21"/>
                <w:szCs w:val="21"/>
              </w:rPr>
              <w:t>驻马店市中心医院。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color w:val="000000" w:themeColor="text1"/>
                <w:sz w:val="21"/>
                <w:szCs w:val="21"/>
              </w:rPr>
            </w:pPr>
            <w:r>
              <w:rPr>
                <w:rFonts w:hint="eastAsia"/>
                <w:color w:val="000000" w:themeColor="text1"/>
                <w:sz w:val="21"/>
                <w:szCs w:val="21"/>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sz w:val="21"/>
                <w:szCs w:val="21"/>
              </w:rPr>
            </w:pPr>
            <w:r>
              <w:rPr>
                <w:rFonts w:hint="eastAsia"/>
                <w:color w:val="000000" w:themeColor="text1"/>
                <w:sz w:val="21"/>
                <w:szCs w:val="21"/>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color w:val="000000" w:themeColor="text1"/>
                <w:sz w:val="21"/>
                <w:szCs w:val="21"/>
              </w:rPr>
            </w:pPr>
            <w:r>
              <w:rPr>
                <w:rFonts w:hint="eastAsia"/>
                <w:color w:val="000000" w:themeColor="text1"/>
                <w:sz w:val="21"/>
                <w:szCs w:val="21"/>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color w:val="000000" w:themeColor="text1"/>
                <w:sz w:val="21"/>
                <w:szCs w:val="21"/>
              </w:rPr>
            </w:pPr>
            <w:r>
              <w:rPr>
                <w:rFonts w:hint="eastAsia"/>
                <w:color w:val="000000" w:themeColor="text1"/>
                <w:sz w:val="21"/>
                <w:szCs w:val="21"/>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周一至周日，7天24小时包括法定节假日。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jc w:val="center"/>
              <w:rPr>
                <w:sz w:val="21"/>
                <w:szCs w:val="21"/>
              </w:rPr>
            </w:pPr>
            <w:r>
              <w:rPr>
                <w:rFonts w:hint="eastAsia"/>
                <w:sz w:val="21"/>
                <w:szCs w:val="21"/>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rPr>
                <w:sz w:val="21"/>
                <w:szCs w:val="21"/>
              </w:rPr>
            </w:pPr>
            <w:r>
              <w:rPr>
                <w:rFonts w:hint="eastAsia"/>
                <w:sz w:val="21"/>
                <w:szCs w:val="21"/>
              </w:rPr>
              <w:t>保证我院保修的设备正常开机率大于95% （一年按365天计算），且单次维修不能超过1天，否则设备维修占用日期每增加一天，保修时间往后顺延七天。</w:t>
            </w:r>
          </w:p>
        </w:tc>
      </w:tr>
    </w:tbl>
    <w:p>
      <w:pPr>
        <w:snapToGrid w:val="0"/>
        <w:spacing w:beforeLines="150" w:line="480" w:lineRule="auto"/>
        <w:jc w:val="center"/>
        <w:rPr>
          <w:b/>
          <w:bCs/>
          <w:sz w:val="30"/>
          <w:szCs w:val="30"/>
        </w:rPr>
      </w:pPr>
      <w:r>
        <w:rPr>
          <w:rFonts w:hint="eastAsia"/>
          <w:b/>
          <w:bCs/>
          <w:sz w:val="30"/>
          <w:szCs w:val="30"/>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pPr>
            <w:r>
              <w:rPr>
                <w:rFonts w:hint="eastAsia"/>
              </w:rPr>
              <w:t>2、授权磋商小组确定一名成交人并推荐一名成交候选人。</w:t>
            </w:r>
          </w:p>
          <w:p>
            <w:pPr>
              <w:widowControl/>
              <w:snapToGrid w:val="0"/>
              <w:spacing w:line="360" w:lineRule="auto"/>
            </w:pPr>
            <w:r>
              <w:rPr>
                <w:rFonts w:hint="eastAsia"/>
              </w:rPr>
              <w:t>3、供应商应根据采购文件的要求提供技术响应部分、商务响应部分等内容以对采购文件作出响应。</w:t>
            </w:r>
          </w:p>
        </w:tc>
      </w:tr>
    </w:tbl>
    <w:p/>
    <w:p>
      <w:pPr>
        <w:jc w:val="center"/>
        <w:rPr>
          <w:b/>
          <w:bCs/>
          <w:sz w:val="32"/>
          <w:szCs w:val="32"/>
        </w:rPr>
      </w:pP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第三章  供应商须知</w:t>
      </w:r>
      <w:bookmarkEnd w:id="35"/>
    </w:p>
    <w:p>
      <w:pPr>
        <w:snapToGrid w:val="0"/>
        <w:spacing w:beforeLines="50" w:line="360" w:lineRule="auto"/>
        <w:jc w:val="center"/>
        <w:outlineLvl w:val="1"/>
        <w:rPr>
          <w:rFonts w:ascii="宋体" w:hAnsi="宋体"/>
          <w:sz w:val="28"/>
          <w:szCs w:val="28"/>
        </w:rPr>
      </w:pPr>
      <w:r>
        <w:rPr>
          <w:rFonts w:hint="eastAsia" w:ascii="宋体" w:hAnsi="宋体"/>
          <w:sz w:val="28"/>
          <w:szCs w:val="28"/>
        </w:rPr>
        <w:t>供应商须知前附表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ascii="宋体" w:hAnsi="宋体" w:cs="宋体"/>
              </w:rPr>
            </w:pPr>
            <w:r>
              <w:rPr>
                <w:rFonts w:hint="eastAsia"/>
              </w:rPr>
              <w:t>1.1 项目名称：</w:t>
            </w:r>
            <w:r>
              <w:rPr>
                <w:rFonts w:hint="eastAsia" w:ascii="宋体" w:hAnsi="宋体" w:cs="宋体"/>
                <w:szCs w:val="21"/>
                <w:shd w:val="clear" w:color="auto" w:fill="FFFFFF"/>
              </w:rPr>
              <w:t>驻马店市中心医院</w:t>
            </w:r>
            <w:r>
              <w:rPr>
                <w:rFonts w:hint="eastAsia" w:ascii="宋体" w:hAnsi="宋体" w:cs="宋体"/>
                <w:szCs w:val="21"/>
                <w:shd w:val="clear" w:color="auto" w:fill="FFFFFF"/>
                <w:lang w:eastAsia="zh-CN"/>
              </w:rPr>
              <w:t>西门子3.0T磁共振技术保</w:t>
            </w:r>
            <w:r>
              <w:rPr>
                <w:rFonts w:hint="eastAsia" w:ascii="宋体" w:hAnsi="宋体" w:cs="宋体"/>
                <w:szCs w:val="21"/>
                <w:shd w:val="clear" w:color="auto" w:fill="FFFFFF"/>
              </w:rPr>
              <w:t>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lang w:val="en-US" w:eastAsia="zh-CN"/>
              </w:rPr>
              <w:t>47</w:t>
            </w:r>
            <w:r>
              <w:rPr>
                <w:rFonts w:hint="eastAsia" w:ascii="宋体" w:hAnsi="宋体" w:cs="宋体"/>
                <w:szCs w:val="21"/>
                <w:shd w:val="clear" w:color="auto" w:fill="FFFFFF"/>
              </w:rPr>
              <w:t>万元</w:t>
            </w:r>
            <w:r>
              <w:rPr>
                <w:rFonts w:hint="eastAsia" w:ascii="宋体" w:hAnsi="宋体" w:cs="宋体"/>
                <w:kern w:val="0"/>
                <w:szCs w:val="21"/>
              </w:rPr>
              <w:t>；</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中标公告及中标通知书：由采购人授权磋商小组确定一名成交人并推荐一名成交候选人。评审结束后在《驻马店市中心医院》官网</w:t>
            </w:r>
            <w:r>
              <w:rPr>
                <w:rFonts w:hint="eastAsia" w:ascii="宋体" w:hAnsi="宋体" w:cs="Arial"/>
                <w:kern w:val="0"/>
                <w:szCs w:val="21"/>
              </w:rPr>
              <w:t>上</w:t>
            </w:r>
            <w:r>
              <w:rPr>
                <w:rFonts w:hint="eastAsia" w:ascii="宋体" w:hAnsi="宋体" w:cs="宋体"/>
                <w:kern w:val="0"/>
                <w:szCs w:val="21"/>
              </w:rPr>
              <w:t>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签订合同：自中标通知书发出之日起30日内。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w:t>
            </w:r>
            <w:r>
              <w:rPr>
                <w:rFonts w:hint="eastAsia" w:ascii="宋体" w:hAnsi="宋体" w:cs="宋体"/>
                <w:color w:val="auto"/>
                <w:kern w:val="0"/>
                <w:szCs w:val="21"/>
              </w:rPr>
              <w:t>之日)起3个工作日之内向</w:t>
            </w:r>
            <w:r>
              <w:rPr>
                <w:rFonts w:hint="eastAsia" w:ascii="宋体" w:hAnsi="宋体" w:cs="宋体"/>
                <w:bCs/>
                <w:color w:val="auto"/>
                <w:kern w:val="0"/>
                <w:szCs w:val="21"/>
              </w:rPr>
              <w:t>采购人提出质疑；供应商认为磋商过程和中标结果使自己的合法权益受到损害的，应当在知道或者应知其权益受到损害之日起3个工作日</w:t>
            </w:r>
            <w:r>
              <w:rPr>
                <w:rFonts w:hint="eastAsia" w:ascii="宋体" w:hAnsi="宋体" w:cs="宋体"/>
                <w:bCs/>
                <w:kern w:val="0"/>
                <w:szCs w:val="21"/>
              </w:rPr>
              <w:t>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outlineLvl w:val="1"/>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本采购文件仅适用于采购</w:t>
      </w:r>
      <w:r>
        <w:rPr>
          <w:rFonts w:hint="eastAsia" w:ascii="宋体" w:hAnsi="宋体" w:cs="宋体"/>
          <w:color w:val="000000" w:themeColor="text1"/>
          <w:kern w:val="0"/>
          <w:szCs w:val="21"/>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2.1 “采购人</w:t>
      </w:r>
      <w:r>
        <w:rPr>
          <w:rFonts w:hint="eastAsia" w:ascii="宋体" w:hAnsi="宋体" w:cs="宋体"/>
          <w:color w:val="000000" w:themeColor="text1"/>
          <w:kern w:val="0"/>
          <w:szCs w:val="21"/>
        </w:rPr>
        <w:t>”系指各级国家机关、事业单位、团体组织。</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2.2 “供应商”系指领取了本采购文件，且已经提交本次投标文件的供应商。</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2.3 “供应商代表”系指代表供应商参加本次采购活动的供应商的法定代表人或其委托代理人。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3.采购预算：</w:t>
      </w:r>
      <w:r>
        <w:rPr>
          <w:rFonts w:hint="eastAsia" w:ascii="宋体" w:hAnsi="宋体" w:cs="宋体"/>
          <w:b/>
          <w:bCs/>
          <w:kern w:val="0"/>
          <w:szCs w:val="21"/>
          <w:lang w:val="en-US" w:eastAsia="zh-CN"/>
        </w:rPr>
        <w:t>47</w:t>
      </w:r>
      <w:r>
        <w:rPr>
          <w:rFonts w:hint="eastAsia" w:ascii="宋体" w:hAnsi="宋体" w:cs="宋体"/>
          <w:b/>
          <w:bCs/>
          <w:kern w:val="0"/>
          <w:szCs w:val="21"/>
        </w:rPr>
        <w:t>万元；最高投标限价</w:t>
      </w:r>
      <w:r>
        <w:rPr>
          <w:rFonts w:hint="eastAsia" w:ascii="宋体" w:hAnsi="宋体" w:cs="宋体"/>
          <w:b/>
          <w:bCs/>
          <w:kern w:val="0"/>
          <w:szCs w:val="21"/>
          <w:lang w:val="en-US" w:eastAsia="zh-CN"/>
        </w:rPr>
        <w:t>47</w:t>
      </w:r>
      <w:r>
        <w:rPr>
          <w:rFonts w:hint="eastAsia" w:ascii="宋体" w:hAnsi="宋体" w:cs="宋体"/>
          <w:b/>
          <w:bCs/>
          <w:kern w:val="0"/>
          <w:szCs w:val="21"/>
        </w:rPr>
        <w:t>万元；</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4.供应商应提交的证明文件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4.3 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 参加本采购活动前三年内，在经营活动中没有重大违法记录（提供书面声明函）；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4.5 特定资格要求：1、投标人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9.2供应商代表只能接受一个供应商的委托参加投标。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供应商资格要求、技术要求、商务要求和投标文件格式中对投标的要求），供应商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15.1投标文件以及供应商与采购人就有关投标事宜的所有来往函电均应使用简体中文书写。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16.8、抵制商业贿赂承诺</w:t>
      </w:r>
    </w:p>
    <w:p>
      <w:pPr>
        <w:pStyle w:val="31"/>
        <w:snapToGrid w:val="0"/>
        <w:spacing w:beforeAutospacing="0" w:afterAutospacing="0" w:line="360" w:lineRule="auto"/>
        <w:rPr>
          <w:sz w:val="21"/>
          <w:szCs w:val="21"/>
        </w:rPr>
      </w:pPr>
      <w:r>
        <w:rPr>
          <w:rFonts w:hint="eastAsia"/>
          <w:sz w:val="21"/>
          <w:szCs w:val="21"/>
        </w:rPr>
        <w:t>16.9、供应商认为有必要的其他资料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开标一览表中标明的价格在政府采购合同执行过程中是固定不变的，供应商不得以任何理由予以变更。以可调整的价格提交的投标将被作为无效投标处理。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rPr>
        <w:t>20.2 投标文件应当对采购文件有关服务期、投标有效期、服务要求、技术标准和要求、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供应商的法定代表人盖章或盖单位公章；投标文件应尽量避免涂改、行间插字或删除，如果出现上述情况，改动之处应加盖单位公章或由供应商的法定代表人盖章确认。签字或盖章的具体要求见供应商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20.4投标文件份数见供应商须知前附表。投标文件正本和副本的封面上应清楚地标记“正本”或“副本”的字样。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20.5投标文件的具体装订要求见供应商须知前附表规定。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spacing w:line="360" w:lineRule="auto"/>
        <w:ind w:firstLine="424" w:firstLineChars="202"/>
        <w:rPr>
          <w:rFonts w:ascii="宋体" w:hAnsi="宋体" w:cs="宋体"/>
          <w:kern w:val="0"/>
          <w:szCs w:val="21"/>
        </w:rPr>
      </w:pPr>
      <w:r>
        <w:rPr>
          <w:rFonts w:hint="eastAsia" w:ascii="宋体" w:hAnsi="宋体" w:cs="宋体"/>
          <w:kern w:val="0"/>
          <w:szCs w:val="21"/>
        </w:rPr>
        <w:t>21.1</w:t>
      </w:r>
      <w:r>
        <w:t>响应文件应密封包装，并在封套的封口处加盖供应商单位章或由供应商的法定代表人（单位负责人）或其授权的代理人签字。</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投标文件的封套上应清楚地标记“正本”或“副本”字样，封套上应写明的其他内容见供应商须知前附表。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供应商递交投标文件的地点：见供应商须知前附表。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供应商在投标截止期后不得修改、撤回投标文件。供应商在投标截止期后修改投标文件的，其投标将被拒绝。</w:t>
      </w:r>
    </w:p>
    <w:p>
      <w:pPr>
        <w:widowControl/>
        <w:snapToGrid w:val="0"/>
        <w:spacing w:line="360" w:lineRule="auto"/>
        <w:jc w:val="center"/>
        <w:outlineLvl w:val="1"/>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同时出现两种以上不一致的，按照前款规定的顺序修正。修正后的报价按照财政部87号令第五十一条第二款的规定经供应商确认后产生约束力，供应商不确认的，其投标无效。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供应商提交的投标文件按采购公告第二项和采购文件第三章4.供应商应提交的证明文件所述的资格标准对供应商进行资格审查,以确定其是否具备投标资格。如果供应商不具备投标资格、不满足采购文件所规定的资格标准或提供资格证明文件不全,其投标将被作为无效投标。</w:t>
      </w:r>
      <w:r>
        <w:rPr>
          <w:rFonts w:hint="eastAsia" w:ascii="宋体" w:hAnsi="宋体" w:cs="Lucida Sans Unicode"/>
          <w:szCs w:val="21"/>
        </w:rPr>
        <w:t>在审查过程中，采购人有权要求供应商按采购文件的规定提供相关资格证明材料的原件以供审查。供应商应在规定的时限内提供。供应商拒不提供的，或者不能在规定时限内提供的，视为其不具备该资格条件。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资格审查后合格的供应商不足3家的，不得评标。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（2）供应商未能出具有效身份证明，或与身份不符的。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rPr>
        <w:t>有效期、合同履行期限</w:t>
      </w:r>
      <w:r>
        <w:rPr>
          <w:rFonts w:hint="eastAsia" w:ascii="宋体" w:hAnsi="宋体"/>
          <w:szCs w:val="21"/>
        </w:rPr>
        <w:t>、质量等</w:t>
      </w:r>
      <w:r>
        <w:rPr>
          <w:rFonts w:hint="eastAsia" w:ascii="宋体" w:hAnsi="宋体"/>
          <w:color w:val="000000" w:themeColor="text1"/>
          <w:szCs w:val="21"/>
        </w:rPr>
        <w:t>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在评审过程中，评标委员会发现供应商有下列情形之一的，视为供应商串通投标，其投标无效：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有证据证明供应商串通投标的其他情形的；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供应商作出必要的澄清。供应商的澄清应当在评标委员会规定的时间内以书面形式作出，由其供应商代表签字。但澄清事项不得超出投标文件的范围，不得实质性改变投标文件的内容，不得通过澄清等方式对供应商实行差别对待。评标委员会不得接受供应商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8"/>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凡与本次采购有关人员对属于审查、澄清、评价和比较投标的有关资料以及定标意向等，均不得向供应商或其他人员透露。否则,将按有关规定追究相关人员的责任。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在评标期间，供应商试图影响或干预评审的任何行为，将导致其投标被作为无效投标，并承担相应的法律责任。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outlineLvl w:val="1"/>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36" w:name="_Toc32200"/>
      <w:r>
        <w:rPr>
          <w:rFonts w:hint="eastAsia" w:ascii="宋体" w:hAnsi="宋体" w:cs="宋体"/>
          <w:bCs/>
          <w:kern w:val="0"/>
          <w:szCs w:val="21"/>
        </w:rPr>
        <w:t>30.2.1</w:t>
      </w:r>
      <w:bookmarkEnd w:id="36"/>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供应商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本项目由采购人授权评标委员会确定一名中标人并推荐一名中标候选人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37" w:name="_Toc8594"/>
      <w:r>
        <w:rPr>
          <w:rFonts w:hint="eastAsia" w:ascii="宋体" w:hAnsi="宋体" w:cs="宋体"/>
          <w:kern w:val="0"/>
          <w:szCs w:val="21"/>
        </w:rPr>
        <w:t>34.1 采购人、中标人自中标通知书发出之日起，在采购文件第三章《供应商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放弃中标、因不可抗力不能履行合同、不按照采购文件要求提交履约保证金，或者被查实存在影响中标结果的违法行为等情形，不符合中标条件的，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37"/>
    <w:p>
      <w:bookmarkStart w:id="38" w:name="_Toc4700"/>
      <w:bookmarkStart w:id="39" w:name="_Toc16669"/>
      <w:r>
        <w:br w:type="page"/>
      </w:r>
    </w:p>
    <w:p>
      <w:pPr>
        <w:widowControl/>
        <w:snapToGrid w:val="0"/>
        <w:jc w:val="center"/>
        <w:outlineLvl w:val="0"/>
        <w:rPr>
          <w:rFonts w:ascii="宋体" w:hAnsi="宋体" w:cs="宋体"/>
          <w:kern w:val="0"/>
          <w:sz w:val="24"/>
        </w:rPr>
      </w:pPr>
      <w:bookmarkStart w:id="40" w:name="_Toc9022"/>
      <w:r>
        <w:rPr>
          <w:rFonts w:hint="eastAsia" w:ascii="黑体" w:hAnsi="宋体" w:eastAsia="黑体" w:cs="宋体"/>
          <w:b/>
          <w:bCs/>
          <w:kern w:val="0"/>
          <w:sz w:val="32"/>
          <w:szCs w:val="32"/>
        </w:rPr>
        <w:t>第四章  评标办法及评分标准</w:t>
      </w:r>
      <w:bookmarkEnd w:id="38"/>
      <w:bookmarkEnd w:id="40"/>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4.投标文件满足采购文件全部实质性要求，且评审得分最高的供应商为第一中标候选人。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4"/>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pPr>
              <w:pStyle w:val="4"/>
              <w:snapToGrid w:val="0"/>
              <w:spacing w:line="320" w:lineRule="exact"/>
              <w:jc w:val="both"/>
              <w:rPr>
                <w:rFonts w:hAnsi="宋体"/>
                <w:color w:val="auto"/>
                <w:sz w:val="21"/>
                <w:szCs w:val="21"/>
              </w:rPr>
            </w:pPr>
            <w:r>
              <w:rPr>
                <w:rFonts w:hint="eastAsia" w:hAnsi="宋体"/>
                <w:color w:val="auto"/>
                <w:sz w:val="21"/>
                <w:szCs w:val="21"/>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pPr>
              <w:pStyle w:val="4"/>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4"/>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rPr>
                <w:rFonts w:ascii="宋体" w:hAnsi="宋体" w:cs="宋体"/>
              </w:rPr>
            </w:pPr>
            <w:r>
              <w:rPr>
                <w:rFonts w:hint="eastAsia" w:ascii="宋体" w:hAnsi="宋体" w:cs="宋体"/>
                <w:szCs w:val="21"/>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pPr>
              <w:snapToGrid w:val="0"/>
              <w:spacing w:line="320" w:lineRule="exact"/>
              <w:jc w:val="center"/>
              <w:rPr>
                <w:rFonts w:ascii="宋体" w:hAnsi="宋体" w:cs="宋体"/>
                <w:szCs w:val="21"/>
              </w:rPr>
            </w:pPr>
            <w:r>
              <w:rPr>
                <w:rFonts w:hint="eastAsia" w:ascii="宋体" w:hAnsi="宋体" w:cs="宋体"/>
                <w:szCs w:val="21"/>
              </w:rPr>
              <w:t>服务质量</w:t>
            </w:r>
          </w:p>
          <w:p>
            <w:pPr>
              <w:snapToGrid w:val="0"/>
              <w:spacing w:line="320" w:lineRule="exact"/>
              <w:jc w:val="center"/>
              <w:rPr>
                <w:rFonts w:ascii="宋体" w:hAnsi="宋体" w:cs="宋体"/>
                <w:szCs w:val="21"/>
              </w:rPr>
            </w:pPr>
            <w:r>
              <w:rPr>
                <w:rFonts w:hint="eastAsia" w:ascii="宋体" w:hAnsi="宋体" w:cs="宋体"/>
                <w:szCs w:val="21"/>
              </w:rPr>
              <w:t>（45分）</w:t>
            </w:r>
          </w:p>
        </w:tc>
        <w:tc>
          <w:tcPr>
            <w:tcW w:w="1473" w:type="dxa"/>
            <w:noWrap/>
            <w:vAlign w:val="center"/>
          </w:tcPr>
          <w:p>
            <w:pPr>
              <w:snapToGrid w:val="0"/>
              <w:spacing w:line="320" w:lineRule="exact"/>
              <w:jc w:val="center"/>
              <w:rPr>
                <w:rFonts w:ascii="宋体" w:hAnsi="宋体" w:cs="宋体"/>
                <w:szCs w:val="21"/>
              </w:rPr>
            </w:pPr>
            <w:r>
              <w:rPr>
                <w:rFonts w:hint="eastAsia" w:ascii="宋体" w:hAnsi="宋体" w:cs="宋体"/>
                <w:szCs w:val="21"/>
              </w:rPr>
              <w:t>1.服务能力的响应程度(30分）</w:t>
            </w:r>
          </w:p>
        </w:tc>
        <w:tc>
          <w:tcPr>
            <w:tcW w:w="6770" w:type="dxa"/>
            <w:noWrap/>
            <w:vAlign w:val="center"/>
          </w:tcPr>
          <w:p>
            <w:pPr>
              <w:widowControl/>
              <w:snapToGrid w:val="0"/>
              <w:spacing w:line="320" w:lineRule="exact"/>
              <w:rPr>
                <w:rFonts w:ascii="宋体" w:hAnsi="宋体" w:cs="宋体"/>
                <w:szCs w:val="21"/>
              </w:rPr>
            </w:pPr>
            <w:r>
              <w:rPr>
                <w:rFonts w:hint="eastAsia" w:ascii="宋体" w:hAnsi="宋体" w:cs="宋体"/>
                <w:szCs w:val="21"/>
              </w:rPr>
              <w:t>完全满足招标文件第二章 采购需求 二、技术要求”的得30分；一项不满足扣4分。得分为0，则响应无效。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noWrap/>
            <w:vAlign w:val="center"/>
          </w:tcPr>
          <w:p>
            <w:pPr>
              <w:snapToGrid w:val="0"/>
              <w:spacing w:line="320" w:lineRule="exact"/>
              <w:jc w:val="center"/>
              <w:rPr>
                <w:rFonts w:ascii="宋体" w:hAnsi="宋体" w:cs="宋体"/>
                <w:szCs w:val="21"/>
                <w:highlight w:val="yellow"/>
              </w:rPr>
            </w:pPr>
            <w:r>
              <w:rPr>
                <w:rFonts w:hint="eastAsia" w:ascii="宋体" w:hAnsi="宋体" w:cs="宋体"/>
                <w:szCs w:val="21"/>
              </w:rPr>
              <w:t>2.实施计划（15分）</w:t>
            </w:r>
          </w:p>
        </w:tc>
        <w:tc>
          <w:tcPr>
            <w:tcW w:w="6770" w:type="dxa"/>
            <w:noWrap/>
            <w:vAlign w:val="center"/>
          </w:tcPr>
          <w:p>
            <w:pPr>
              <w:widowControl/>
              <w:snapToGrid w:val="0"/>
              <w:spacing w:line="320" w:lineRule="exact"/>
              <w:rPr>
                <w:rFonts w:ascii="宋体" w:hAnsi="宋体" w:cs="宋体"/>
                <w:szCs w:val="21"/>
              </w:rPr>
            </w:pPr>
            <w:r>
              <w:rPr>
                <w:rFonts w:hint="eastAsia" w:ascii="宋体" w:hAnsi="宋体" w:cs="宋体"/>
                <w:szCs w:val="21"/>
              </w:rPr>
              <w:t>根据供应商制定的年度服务报告、维修报告、维保报告、巡查报告制度，设备常见故障分析及预防措施，设备维保应急响应方案。</w:t>
            </w:r>
          </w:p>
          <w:p>
            <w:pPr>
              <w:widowControl/>
              <w:snapToGrid w:val="0"/>
              <w:spacing w:line="320" w:lineRule="exact"/>
              <w:rPr>
                <w:rFonts w:ascii="宋体" w:hAnsi="宋体" w:cs="宋体"/>
                <w:highlight w:val="yellow"/>
              </w:rPr>
            </w:pPr>
            <w:r>
              <w:rPr>
                <w:rFonts w:hint="eastAsia" w:ascii="宋体" w:hAnsi="宋体" w:cs="宋体"/>
                <w:szCs w:val="21"/>
              </w:rPr>
              <w:t>以上内容具体、完善、合理性程度强得11-15分，具体、完善、合理性程度一般得6-10分，具体、完善、合理性程度差得1-5分，缺项得0分。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(25分)</w:t>
            </w:r>
          </w:p>
        </w:tc>
        <w:tc>
          <w:tcPr>
            <w:tcW w:w="1473" w:type="dxa"/>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rPr>
              <w:t>1.服务团队</w:t>
            </w:r>
          </w:p>
          <w:p>
            <w:pPr>
              <w:snapToGrid w:val="0"/>
              <w:spacing w:line="320" w:lineRule="exact"/>
              <w:jc w:val="center"/>
              <w:rPr>
                <w:rFonts w:ascii="宋体" w:hAnsi="宋体" w:cs="宋体"/>
                <w:szCs w:val="21"/>
              </w:rPr>
            </w:pPr>
            <w:r>
              <w:rPr>
                <w:rFonts w:hint="eastAsia" w:ascii="宋体" w:hAnsi="宋体" w:cs="宋体"/>
                <w:szCs w:val="21"/>
              </w:rPr>
              <w:t>（10分）</w:t>
            </w:r>
          </w:p>
        </w:tc>
        <w:tc>
          <w:tcPr>
            <w:tcW w:w="6770" w:type="dxa"/>
            <w:noWrap/>
            <w:vAlign w:val="center"/>
          </w:tcPr>
          <w:p>
            <w:pPr>
              <w:widowControl/>
              <w:snapToGrid w:val="0"/>
              <w:spacing w:line="320" w:lineRule="exact"/>
              <w:rPr>
                <w:rFonts w:ascii="宋体" w:hAnsi="宋体" w:cs="宋体"/>
              </w:rPr>
            </w:pPr>
            <w:r>
              <w:rPr>
                <w:rFonts w:hint="eastAsia" w:ascii="宋体" w:hAnsi="宋体" w:cs="宋体"/>
              </w:rPr>
              <w:t>服务团队组织结构合理，人员分工及职责明确、持证上岗。</w:t>
            </w:r>
          </w:p>
          <w:p>
            <w:pPr>
              <w:widowControl/>
              <w:snapToGrid w:val="0"/>
              <w:spacing w:line="320" w:lineRule="exact"/>
              <w:rPr>
                <w:rFonts w:ascii="宋体" w:hAnsi="宋体" w:cs="宋体"/>
                <w:kern w:val="0"/>
                <w:szCs w:val="21"/>
              </w:rPr>
            </w:pPr>
            <w:r>
              <w:rPr>
                <w:rFonts w:hint="eastAsia" w:ascii="宋体" w:hAnsi="宋体" w:cs="宋体"/>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rPr>
              <w:t>2.类似业绩（4分）</w:t>
            </w:r>
          </w:p>
        </w:tc>
        <w:tc>
          <w:tcPr>
            <w:tcW w:w="6770" w:type="dxa"/>
            <w:noWrap/>
            <w:vAlign w:val="center"/>
          </w:tcPr>
          <w:p>
            <w:pPr>
              <w:widowControl/>
              <w:snapToGrid w:val="0"/>
              <w:spacing w:line="320" w:lineRule="exact"/>
              <w:rPr>
                <w:rFonts w:ascii="宋体" w:hAnsi="宋体" w:cs="宋体"/>
              </w:rPr>
            </w:pPr>
            <w:r>
              <w:rPr>
                <w:rFonts w:hint="eastAsia" w:ascii="宋体" w:hAnsi="宋体" w:cs="宋体"/>
              </w:rPr>
              <w:t>供应商2020年1月1日具有的类似服务业绩(以合同文件为准），每提供一份得2分，最多得4分。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pPr>
              <w:snapToGrid w:val="0"/>
              <w:spacing w:line="320" w:lineRule="exact"/>
              <w:jc w:val="center"/>
              <w:rPr>
                <w:rFonts w:ascii="宋体" w:hAnsi="宋体" w:cs="宋体"/>
                <w:szCs w:val="21"/>
              </w:rPr>
            </w:pPr>
          </w:p>
        </w:tc>
        <w:tc>
          <w:tcPr>
            <w:tcW w:w="1473" w:type="dxa"/>
            <w:noWrap/>
            <w:vAlign w:val="center"/>
          </w:tcPr>
          <w:p>
            <w:pPr>
              <w:snapToGrid w:val="0"/>
              <w:spacing w:line="320" w:lineRule="exact"/>
              <w:jc w:val="center"/>
              <w:rPr>
                <w:rFonts w:ascii="宋体" w:hAnsi="宋体" w:cs="宋体"/>
                <w:szCs w:val="21"/>
              </w:rPr>
            </w:pPr>
            <w:r>
              <w:rPr>
                <w:rFonts w:hint="eastAsia" w:ascii="宋体" w:hAnsi="宋体" w:cs="宋体"/>
                <w:szCs w:val="21"/>
              </w:rPr>
              <w:t>3.售后服务</w:t>
            </w:r>
          </w:p>
          <w:p>
            <w:pPr>
              <w:snapToGrid w:val="0"/>
              <w:spacing w:line="320" w:lineRule="exact"/>
              <w:jc w:val="center"/>
              <w:rPr>
                <w:rFonts w:ascii="宋体" w:hAnsi="宋体" w:cs="宋体"/>
                <w:szCs w:val="21"/>
              </w:rPr>
            </w:pPr>
            <w:r>
              <w:rPr>
                <w:rFonts w:hint="eastAsia" w:ascii="宋体" w:hAnsi="宋体" w:cs="宋体"/>
                <w:szCs w:val="21"/>
              </w:rPr>
              <w:t>(11分)</w:t>
            </w:r>
          </w:p>
        </w:tc>
        <w:tc>
          <w:tcPr>
            <w:tcW w:w="6770" w:type="dxa"/>
            <w:noWrap/>
            <w:vAlign w:val="center"/>
          </w:tcPr>
          <w:p>
            <w:pPr>
              <w:widowControl/>
              <w:snapToGrid w:val="0"/>
              <w:spacing w:line="320" w:lineRule="exact"/>
              <w:jc w:val="left"/>
              <w:rPr>
                <w:rFonts w:ascii="宋体" w:hAnsi="宋体" w:cs="宋体"/>
              </w:rPr>
            </w:pPr>
            <w:r>
              <w:rPr>
                <w:rFonts w:hint="eastAsia" w:ascii="宋体" w:hAnsi="宋体" w:cs="宋体"/>
              </w:rPr>
              <w:t>供应商服务网点设立情况（提供专业技术人员联系方式和服务站地址）、培训方案、服务及时率、服务到位程度及增值服务等；</w:t>
            </w:r>
          </w:p>
          <w:p>
            <w:pPr>
              <w:widowControl/>
              <w:snapToGrid w:val="0"/>
              <w:spacing w:line="320" w:lineRule="exact"/>
              <w:jc w:val="left"/>
              <w:rPr>
                <w:rFonts w:ascii="宋体" w:hAnsi="宋体" w:cs="宋体"/>
              </w:rPr>
            </w:pPr>
            <w:r>
              <w:rPr>
                <w:rFonts w:hint="eastAsia" w:ascii="宋体" w:hAnsi="宋体" w:cs="宋体"/>
              </w:rPr>
              <w:t>以上内容具体、完善、合理性程度强得8-11分，具体、完善、合理性程度一般得4-7分，具体、完善、合理性程度差得1-3分，缺项得0分。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bookmarkEnd w:id="39"/>
    </w:tbl>
    <w:p>
      <w:pPr>
        <w:pStyle w:val="2"/>
        <w:snapToGrid w:val="0"/>
        <w:spacing w:before="0" w:after="0" w:line="480" w:lineRule="auto"/>
        <w:jc w:val="center"/>
        <w:rPr>
          <w:sz w:val="28"/>
          <w:szCs w:val="28"/>
          <w:highlight w:val="yellow"/>
        </w:rPr>
      </w:pPr>
      <w:bookmarkStart w:id="41" w:name="_Toc28988"/>
      <w:bookmarkStart w:id="42" w:name="_Toc1947"/>
      <w:bookmarkStart w:id="43" w:name="_Toc1482"/>
      <w:bookmarkStart w:id="44" w:name="_Toc256519703"/>
      <w:bookmarkStart w:id="45" w:name="_Toc326786897"/>
      <w:r>
        <w:rPr>
          <w:rFonts w:hint="eastAsia"/>
          <w:sz w:val="28"/>
          <w:szCs w:val="28"/>
        </w:rPr>
        <w:t>第五章  采购合同</w:t>
      </w:r>
      <w:bookmarkEnd w:id="4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30"/>
        <w:ind w:firstLine="210"/>
      </w:pPr>
    </w:p>
    <w:p>
      <w:pPr>
        <w:pStyle w:val="2"/>
        <w:jc w:val="center"/>
        <w:rPr>
          <w:rFonts w:ascii="宋体" w:hAnsi="宋体" w:cs="宋体"/>
          <w:kern w:val="0"/>
        </w:rPr>
      </w:pPr>
      <w:bookmarkStart w:id="46" w:name="_Toc2638"/>
      <w:r>
        <w:rPr>
          <w:rFonts w:hint="eastAsia"/>
          <w:sz w:val="32"/>
          <w:szCs w:val="32"/>
        </w:rPr>
        <w:t>第六章  投标文件格式</w:t>
      </w:r>
      <w:bookmarkEnd w:id="42"/>
      <w:bookmarkEnd w:id="43"/>
      <w:bookmarkEnd w:id="46"/>
    </w:p>
    <w:p>
      <w:pPr>
        <w:spacing w:line="440" w:lineRule="exact"/>
        <w:rPr>
          <w:sz w:val="24"/>
        </w:rPr>
      </w:pPr>
    </w:p>
    <w:p>
      <w:pPr>
        <w:jc w:val="center"/>
        <w:rPr>
          <w:b/>
          <w:bCs/>
          <w:sz w:val="32"/>
          <w:szCs w:val="32"/>
        </w:rPr>
      </w:pPr>
      <w:bookmarkStart w:id="47" w:name="_Toc13604"/>
      <w:r>
        <w:rPr>
          <w:rFonts w:hint="eastAsia"/>
          <w:b/>
          <w:bCs/>
          <w:sz w:val="32"/>
          <w:szCs w:val="32"/>
        </w:rPr>
        <w:t>目    录</w:t>
      </w:r>
      <w:bookmarkEnd w:id="47"/>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48" w:name="_Toc11308"/>
      <w:r>
        <w:rPr>
          <w:rFonts w:hint="eastAsia"/>
          <w:sz w:val="24"/>
        </w:rPr>
        <w:t>附件1投标文件封面（格式）</w:t>
      </w:r>
      <w:bookmarkEnd w:id="48"/>
    </w:p>
    <w:p>
      <w:pPr>
        <w:snapToGrid w:val="0"/>
        <w:spacing w:line="360" w:lineRule="auto"/>
        <w:ind w:firstLine="480" w:firstLineChars="200"/>
        <w:rPr>
          <w:sz w:val="24"/>
        </w:rPr>
      </w:pPr>
      <w:bookmarkStart w:id="49" w:name="_Toc25345"/>
      <w:r>
        <w:rPr>
          <w:rFonts w:hint="eastAsia"/>
          <w:sz w:val="24"/>
        </w:rPr>
        <w:t>附件2 投标书（格式）</w:t>
      </w:r>
      <w:bookmarkEnd w:id="49"/>
    </w:p>
    <w:p>
      <w:pPr>
        <w:snapToGrid w:val="0"/>
        <w:spacing w:line="360" w:lineRule="auto"/>
        <w:ind w:firstLine="480" w:firstLineChars="200"/>
        <w:rPr>
          <w:sz w:val="24"/>
        </w:rPr>
      </w:pPr>
      <w:bookmarkStart w:id="50" w:name="_Toc10217"/>
      <w:r>
        <w:rPr>
          <w:rFonts w:hint="eastAsia"/>
          <w:sz w:val="24"/>
        </w:rPr>
        <w:t>附件3 开标一览表（格式）</w:t>
      </w:r>
      <w:bookmarkEnd w:id="50"/>
    </w:p>
    <w:p>
      <w:pPr>
        <w:snapToGrid w:val="0"/>
        <w:spacing w:line="360" w:lineRule="auto"/>
        <w:ind w:firstLine="480" w:firstLineChars="200"/>
        <w:rPr>
          <w:sz w:val="24"/>
        </w:rPr>
      </w:pPr>
      <w:bookmarkStart w:id="51" w:name="_Toc9579"/>
      <w:r>
        <w:rPr>
          <w:rFonts w:hint="eastAsia"/>
          <w:sz w:val="24"/>
        </w:rPr>
        <w:t xml:space="preserve">附件4 </w:t>
      </w:r>
      <w:bookmarkEnd w:id="51"/>
      <w:r>
        <w:rPr>
          <w:rFonts w:hint="eastAsia"/>
          <w:sz w:val="24"/>
        </w:rPr>
        <w:t>报价明细表</w:t>
      </w:r>
    </w:p>
    <w:p>
      <w:pPr>
        <w:snapToGrid w:val="0"/>
        <w:spacing w:line="360" w:lineRule="auto"/>
        <w:ind w:firstLine="480" w:firstLineChars="200"/>
        <w:rPr>
          <w:sz w:val="24"/>
        </w:rPr>
      </w:pPr>
      <w:bookmarkStart w:id="52" w:name="_Toc28392"/>
      <w:r>
        <w:rPr>
          <w:rFonts w:hint="eastAsia"/>
          <w:sz w:val="24"/>
        </w:rPr>
        <w:t>附件5技术部分</w:t>
      </w:r>
      <w:bookmarkEnd w:id="52"/>
    </w:p>
    <w:p>
      <w:pPr>
        <w:snapToGrid w:val="0"/>
        <w:spacing w:line="360" w:lineRule="auto"/>
        <w:ind w:firstLine="480" w:firstLineChars="200"/>
        <w:rPr>
          <w:sz w:val="24"/>
        </w:rPr>
      </w:pPr>
      <w:bookmarkStart w:id="53" w:name="_Toc6234"/>
      <w:r>
        <w:rPr>
          <w:rFonts w:hint="eastAsia"/>
          <w:sz w:val="24"/>
        </w:rPr>
        <w:t>附件6 商务</w:t>
      </w:r>
      <w:bookmarkEnd w:id="53"/>
      <w:r>
        <w:rPr>
          <w:rFonts w:hint="eastAsia"/>
          <w:sz w:val="24"/>
        </w:rPr>
        <w:t>部分</w:t>
      </w:r>
    </w:p>
    <w:p>
      <w:pPr>
        <w:snapToGrid w:val="0"/>
        <w:spacing w:line="360" w:lineRule="auto"/>
        <w:ind w:firstLine="480" w:firstLineChars="200"/>
        <w:rPr>
          <w:sz w:val="24"/>
        </w:rPr>
      </w:pPr>
      <w:bookmarkStart w:id="54" w:name="_Toc26231"/>
      <w:r>
        <w:rPr>
          <w:rFonts w:hint="eastAsia"/>
          <w:sz w:val="24"/>
        </w:rPr>
        <w:t>附件7法定代表人身份证明（格式）</w:t>
      </w:r>
      <w:bookmarkEnd w:id="54"/>
    </w:p>
    <w:p>
      <w:pPr>
        <w:snapToGrid w:val="0"/>
        <w:spacing w:line="360" w:lineRule="auto"/>
        <w:ind w:firstLine="480" w:firstLineChars="200"/>
        <w:rPr>
          <w:sz w:val="24"/>
        </w:rPr>
      </w:pPr>
      <w:bookmarkStart w:id="55" w:name="_Toc18484"/>
      <w:r>
        <w:rPr>
          <w:rFonts w:hint="eastAsia"/>
          <w:sz w:val="24"/>
        </w:rPr>
        <w:t>附件8法定代表人授权书（格式）</w:t>
      </w:r>
      <w:bookmarkEnd w:id="55"/>
    </w:p>
    <w:p>
      <w:pPr>
        <w:snapToGrid w:val="0"/>
        <w:spacing w:line="360" w:lineRule="auto"/>
        <w:ind w:firstLine="480" w:firstLineChars="200"/>
        <w:rPr>
          <w:sz w:val="24"/>
        </w:rPr>
      </w:pPr>
      <w:bookmarkStart w:id="56" w:name="_Toc31857"/>
      <w:r>
        <w:rPr>
          <w:rFonts w:hint="eastAsia"/>
          <w:sz w:val="24"/>
        </w:rPr>
        <w:t>附件9 证明文件</w:t>
      </w:r>
      <w:bookmarkEnd w:id="56"/>
    </w:p>
    <w:p>
      <w:pPr>
        <w:snapToGrid w:val="0"/>
        <w:spacing w:line="360" w:lineRule="auto"/>
        <w:ind w:firstLine="480" w:firstLineChars="200"/>
        <w:rPr>
          <w:sz w:val="24"/>
        </w:rPr>
      </w:pPr>
      <w:bookmarkStart w:id="57" w:name="_Toc23116"/>
      <w:r>
        <w:rPr>
          <w:rFonts w:hint="eastAsia"/>
          <w:sz w:val="24"/>
        </w:rPr>
        <w:t>附件10 供应商承诺书（格式）</w:t>
      </w:r>
      <w:bookmarkEnd w:id="57"/>
    </w:p>
    <w:p>
      <w:pPr>
        <w:snapToGrid w:val="0"/>
        <w:spacing w:line="360" w:lineRule="auto"/>
        <w:ind w:firstLine="480" w:firstLineChars="200"/>
        <w:rPr>
          <w:sz w:val="24"/>
        </w:rPr>
      </w:pPr>
      <w:r>
        <w:rPr>
          <w:rFonts w:hint="eastAsia"/>
          <w:sz w:val="24"/>
        </w:rPr>
        <w:t>附件11 供应商信用承诺函（格式）</w:t>
      </w:r>
    </w:p>
    <w:p>
      <w:pPr>
        <w:pStyle w:val="30"/>
        <w:ind w:firstLine="210"/>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3"/>
        <w:rPr>
          <w:rFonts w:ascii="宋体" w:hAnsi="宋体" w:cs="宋体"/>
          <w:b/>
          <w:bCs/>
          <w:kern w:val="0"/>
          <w:sz w:val="24"/>
        </w:rPr>
      </w:pPr>
    </w:p>
    <w:p>
      <w:pPr>
        <w:pStyle w:val="4"/>
        <w:rPr>
          <w:rFonts w:hAnsi="宋体"/>
          <w:b/>
          <w:bCs/>
          <w:color w:val="auto"/>
        </w:rPr>
      </w:pPr>
    </w:p>
    <w:p>
      <w:pPr>
        <w:pStyle w:val="4"/>
        <w:rPr>
          <w:rFonts w:hAnsi="宋体"/>
          <w:b/>
          <w:bCs/>
          <w:color w:val="auto"/>
        </w:rPr>
      </w:pPr>
    </w:p>
    <w:p>
      <w:r>
        <w:rPr>
          <w:rFonts w:hint="eastAsia"/>
        </w:rPr>
        <w:br w:type="page"/>
      </w:r>
    </w:p>
    <w:p>
      <w:pPr>
        <w:pStyle w:val="25"/>
      </w:pPr>
    </w:p>
    <w:p>
      <w:pPr>
        <w:pStyle w:val="6"/>
      </w:pPr>
      <w:bookmarkStart w:id="58" w:name="_Toc24743"/>
      <w:bookmarkStart w:id="59" w:name="_Toc31798"/>
      <w:r>
        <w:rPr>
          <w:rFonts w:hint="eastAsia"/>
        </w:rPr>
        <w:t>附件1               投标文件封面（格式）</w:t>
      </w:r>
      <w:bookmarkEnd w:id="58"/>
      <w:bookmarkEnd w:id="59"/>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lang w:val="en-US" w:eastAsia="zh-CN"/>
        </w:rPr>
        <w:t xml:space="preserve">       </w:t>
      </w:r>
      <w:r>
        <w:rPr>
          <w:rFonts w:hint="eastAsia" w:ascii="宋体" w:hAnsi="宋体" w:cs="宋体"/>
          <w:b/>
          <w:snapToGrid w:val="0"/>
          <w:kern w:val="0"/>
          <w:sz w:val="44"/>
          <w:szCs w:val="44"/>
        </w:rPr>
        <w:t>项目</w:t>
      </w: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4"/>
        <w:spacing w:line="360" w:lineRule="auto"/>
        <w:rPr>
          <w:rFonts w:hAnsi="宋体"/>
          <w:color w:val="auto"/>
        </w:rPr>
      </w:pPr>
    </w:p>
    <w:p>
      <w:pPr>
        <w:pStyle w:val="4"/>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供应商：（盖章）</w:t>
      </w:r>
    </w:p>
    <w:p>
      <w:pPr>
        <w:spacing w:line="360" w:lineRule="auto"/>
        <w:jc w:val="center"/>
        <w:rPr>
          <w:rFonts w:ascii="宋体" w:hAnsi="宋体" w:cs="宋体"/>
          <w:sz w:val="28"/>
          <w:szCs w:val="28"/>
        </w:rPr>
      </w:pPr>
      <w:r>
        <w:rPr>
          <w:rFonts w:hint="eastAsia" w:ascii="宋体" w:hAnsi="宋体" w:cs="宋体"/>
          <w:sz w:val="28"/>
          <w:szCs w:val="28"/>
        </w:rPr>
        <w:t>法定代表人：（签字或盖章）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3"/>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6"/>
      </w:pPr>
      <w:bookmarkStart w:id="60" w:name="_Toc8818"/>
      <w:bookmarkStart w:id="61" w:name="_Toc14560"/>
      <w:r>
        <w:rPr>
          <w:rFonts w:hint="eastAsia"/>
        </w:rPr>
        <w:t>附件2               投  标  书（格式）</w:t>
      </w:r>
      <w:bookmarkEnd w:id="60"/>
      <w:bookmarkEnd w:id="61"/>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 （姓名）为我方代理人，参加贵方组织的项目的投标。现正式提交下述文件1份：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供应商代表签字或盖章：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供应商：（全称并加盖公章）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6"/>
        <w:spacing w:before="20" w:after="20"/>
      </w:pPr>
      <w:bookmarkStart w:id="62" w:name="_Toc7838"/>
      <w:r>
        <w:rPr>
          <w:rFonts w:hint="eastAsia"/>
        </w:rPr>
        <w:t>附件3               开标一览表</w:t>
      </w:r>
      <w:bookmarkEnd w:id="62"/>
    </w:p>
    <w:p>
      <w:pPr>
        <w:spacing w:line="239" w:lineRule="auto"/>
        <w:jc w:val="right"/>
        <w:rPr>
          <w:rFonts w:ascii="宋体" w:hAnsi="宋体"/>
          <w:sz w:val="24"/>
        </w:rPr>
      </w:pPr>
      <w:r>
        <w:rPr>
          <w:rFonts w:ascii="宋体" w:hAnsi="宋体"/>
          <w:sz w:val="24"/>
        </w:rPr>
        <w:t>单位：人民币</w:t>
      </w:r>
      <w:r>
        <w:rPr>
          <w:rFonts w:hint="eastAsia"/>
          <w:sz w:val="24"/>
        </w:rPr>
        <w:t>元</w:t>
      </w:r>
    </w:p>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spacing w:val="-20"/>
                <w:szCs w:val="21"/>
              </w:rPr>
            </w:pPr>
            <w:r>
              <w:rPr>
                <w:rFonts w:hint="eastAsia" w:ascii="宋体" w:hAnsi="宋体"/>
                <w:szCs w:val="21"/>
              </w:rPr>
              <w:t>投标报价</w:t>
            </w:r>
          </w:p>
        </w:tc>
        <w:tc>
          <w:tcPr>
            <w:tcW w:w="7708" w:type="dxa"/>
            <w:noWrap/>
            <w:vAlign w:val="center"/>
          </w:tcPr>
          <w:p>
            <w:pPr>
              <w:rPr>
                <w:rFonts w:ascii="宋体" w:hAnsi="宋体"/>
                <w:szCs w:val="21"/>
              </w:rPr>
            </w:pPr>
            <w:r>
              <w:rPr>
                <w:rFonts w:hint="eastAsia" w:ascii="宋体" w:hAnsi="宋体"/>
                <w:szCs w:val="21"/>
              </w:rPr>
              <w:t xml:space="preserve">大写：        </w:t>
            </w:r>
          </w:p>
          <w:p>
            <w:pPr>
              <w:rPr>
                <w:rFonts w:ascii="宋体" w:hAnsi="宋体"/>
                <w:szCs w:val="21"/>
              </w:rPr>
            </w:pPr>
            <w:r>
              <w:rPr>
                <w:rFonts w:hint="eastAsia" w:ascii="宋体" w:hAnsi="宋体"/>
                <w:szCs w:val="21"/>
              </w:rPr>
              <w:t xml:space="preserve">小写：        </w:t>
            </w:r>
            <w:r>
              <w:rPr>
                <w:rFonts w:hint="eastAsia"/>
                <w:sz w:val="24"/>
              </w:rPr>
              <w:t>元</w:t>
            </w:r>
            <w:r>
              <w:rPr>
                <w:rFonts w:hint="eastAsia" w:ascii="宋体" w:hAnsi="宋体"/>
                <w:szCs w:val="21"/>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rPr>
              <w:t>服务质量</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20"/>
              <w:ind w:left="0" w:leftChars="0"/>
              <w:rPr>
                <w:sz w:val="21"/>
                <w:szCs w:val="21"/>
              </w:rPr>
            </w:pPr>
          </w:p>
        </w:tc>
      </w:tr>
    </w:tbl>
    <w:p>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pPr>
        <w:spacing w:line="360" w:lineRule="auto"/>
        <w:ind w:firstLine="420" w:firstLineChars="200"/>
        <w:rPr>
          <w:rFonts w:ascii="宋体" w:hAnsi="宋体" w:cs="宋体"/>
          <w:kern w:val="0"/>
          <w:szCs w:val="21"/>
        </w:rPr>
      </w:pPr>
      <w:r>
        <w:rPr>
          <w:rFonts w:hint="eastAsia" w:ascii="宋体" w:hAnsi="宋体" w:cs="宋体"/>
          <w:kern w:val="0"/>
          <w:szCs w:val="21"/>
        </w:rPr>
        <w:t>2、以上报价应与“报价明细表”中的报价相一致。</w:t>
      </w:r>
    </w:p>
    <w:p>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ind w:firstLine="420" w:firstLineChars="200"/>
      </w:pPr>
      <w:r>
        <w:rPr>
          <w:rFonts w:hint="eastAsia" w:ascii="宋体" w:hAnsi="宋体" w:cs="宋体"/>
          <w:kern w:val="0"/>
          <w:szCs w:val="21"/>
        </w:rPr>
        <w:t>4、供应商按格式填列，不得自行更改。否则引起的不利后果由供应商承担。</w:t>
      </w:r>
    </w:p>
    <w:p>
      <w:pPr>
        <w:spacing w:line="360" w:lineRule="auto"/>
        <w:ind w:firstLine="420" w:firstLineChars="200"/>
        <w:jc w:val="center"/>
        <w:rPr>
          <w:rFonts w:ascii="宋体" w:hAnsi="宋体"/>
          <w:szCs w:val="21"/>
        </w:rPr>
      </w:pPr>
      <w:bookmarkStart w:id="63" w:name="_Toc11620"/>
      <w:bookmarkStart w:id="64" w:name="_Toc20877"/>
      <w:r>
        <w:rPr>
          <w:rFonts w:hint="eastAsia" w:ascii="宋体" w:hAnsi="宋体"/>
          <w:szCs w:val="21"/>
        </w:rPr>
        <w:t>供应商（全称并加盖公章）：</w:t>
      </w:r>
      <w:bookmarkEnd w:id="63"/>
      <w:bookmarkEnd w:id="64"/>
    </w:p>
    <w:p>
      <w:pPr>
        <w:spacing w:line="360" w:lineRule="auto"/>
        <w:ind w:firstLine="420" w:firstLineChars="200"/>
        <w:jc w:val="center"/>
        <w:rPr>
          <w:rFonts w:ascii="宋体" w:hAnsi="宋体"/>
          <w:szCs w:val="21"/>
          <w:u w:val="single"/>
        </w:rPr>
      </w:pPr>
      <w:bookmarkStart w:id="65" w:name="_Toc12222"/>
      <w:bookmarkStart w:id="66" w:name="_Toc625"/>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5"/>
      <w:bookmarkEnd w:id="66"/>
    </w:p>
    <w:p>
      <w:pPr>
        <w:jc w:val="center"/>
        <w:rPr>
          <w:rFonts w:ascii="宋体" w:hAnsi="宋体"/>
          <w:szCs w:val="21"/>
        </w:rPr>
      </w:pPr>
    </w:p>
    <w:p>
      <w:pPr>
        <w:spacing w:line="360" w:lineRule="auto"/>
        <w:ind w:firstLine="420" w:firstLineChars="200"/>
        <w:jc w:val="center"/>
      </w:pPr>
      <w:bookmarkStart w:id="67" w:name="_Toc1330"/>
      <w:bookmarkStart w:id="68" w:name="_Toc9950"/>
      <w:r>
        <w:rPr>
          <w:rFonts w:hint="eastAsia" w:ascii="宋体" w:hAnsi="宋体"/>
          <w:szCs w:val="21"/>
        </w:rPr>
        <w:t>年  月  日</w:t>
      </w:r>
      <w:bookmarkEnd w:id="67"/>
      <w:bookmarkEnd w:id="68"/>
    </w:p>
    <w:p/>
    <w:bookmarkEnd w:id="44"/>
    <w:bookmarkEnd w:id="45"/>
    <w:p>
      <w:pPr>
        <w:spacing w:before="20" w:after="20"/>
        <w:rPr>
          <w:rFonts w:eastAsia="黑体"/>
          <w:color w:val="000000" w:themeColor="text1"/>
        </w:rPr>
      </w:pPr>
      <w:bookmarkStart w:id="69" w:name="_Toc22004"/>
      <w:bookmarkStart w:id="70" w:name="_Toc24984"/>
    </w:p>
    <w:p/>
    <w:p>
      <w:pPr>
        <w:rPr>
          <w:color w:val="000000" w:themeColor="text1"/>
        </w:rPr>
      </w:pPr>
      <w:r>
        <w:rPr>
          <w:rFonts w:hint="eastAsia"/>
          <w:color w:val="000000" w:themeColor="text1"/>
        </w:rPr>
        <w:br w:type="page"/>
      </w:r>
    </w:p>
    <w:p>
      <w:pPr>
        <w:pStyle w:val="6"/>
        <w:spacing w:before="20" w:after="20"/>
        <w:rPr>
          <w:color w:val="000000" w:themeColor="text1"/>
        </w:rPr>
      </w:pPr>
      <w:r>
        <w:rPr>
          <w:rFonts w:hint="eastAsia"/>
          <w:color w:val="000000" w:themeColor="text1"/>
        </w:rPr>
        <w:t xml:space="preserve">附件4               </w:t>
      </w:r>
      <w:bookmarkEnd w:id="69"/>
      <w:bookmarkEnd w:id="70"/>
      <w:r>
        <w:rPr>
          <w:rFonts w:hint="eastAsia"/>
          <w:color w:val="000000" w:themeColor="text1"/>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投标总价(</w:t>
            </w:r>
            <w:r>
              <w:rPr>
                <w:rFonts w:hint="eastAsia" w:ascii="宋体" w:hAnsi="宋体" w:cs="宋体"/>
                <w:color w:val="000000" w:themeColor="text1"/>
                <w:kern w:val="0"/>
                <w:sz w:val="24"/>
                <w:szCs w:val="21"/>
              </w:rPr>
              <w:t>大写)：</w:t>
            </w: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rPr>
            </w:pPr>
            <w:r>
              <w:rPr>
                <w:rFonts w:hint="eastAsia" w:ascii="宋体" w:hAnsi="宋体" w:cs="宋体"/>
                <w:color w:val="000000" w:themeColor="text1"/>
                <w:kern w:val="0"/>
                <w:sz w:val="24"/>
                <w:szCs w:val="21"/>
              </w:rPr>
              <w:t>￥</w:t>
            </w: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kern w:val="0"/>
                <w:sz w:val="24"/>
                <w:szCs w:val="21"/>
              </w:rPr>
            </w:pPr>
          </w:p>
        </w:tc>
      </w:tr>
    </w:tbl>
    <w:p>
      <w:pPr>
        <w:widowControl/>
        <w:wordWrap w:val="0"/>
        <w:spacing w:line="460" w:lineRule="exact"/>
        <w:ind w:firstLine="2760" w:firstLineChars="1150"/>
        <w:jc w:val="left"/>
        <w:rPr>
          <w:rFonts w:ascii="宋体" w:hAnsi="宋体" w:cs="宋体"/>
          <w:kern w:val="0"/>
          <w:sz w:val="24"/>
        </w:rPr>
      </w:pPr>
    </w:p>
    <w:p>
      <w:pPr>
        <w:widowControl/>
        <w:shd w:val="clear" w:color="auto" w:fill="FFFFFF"/>
        <w:spacing w:line="360" w:lineRule="auto"/>
        <w:ind w:left="1418" w:hanging="567"/>
        <w:rPr>
          <w:rFonts w:ascii="宋体" w:hAnsi="宋体" w:cs="宋体"/>
          <w:kern w:val="0"/>
          <w:sz w:val="24"/>
        </w:rPr>
      </w:pPr>
    </w:p>
    <w:p>
      <w:pPr>
        <w:pStyle w:val="30"/>
        <w:ind w:firstLine="210"/>
      </w:pPr>
    </w:p>
    <w:p>
      <w:pPr>
        <w:widowControl/>
        <w:shd w:val="clear" w:color="auto" w:fill="FFFFFF"/>
        <w:spacing w:line="360" w:lineRule="auto"/>
        <w:ind w:left="1418" w:hanging="567"/>
        <w:rPr>
          <w:rFonts w:ascii="宋体" w:hAnsi="宋体" w:cs="宋体"/>
          <w:kern w:val="0"/>
          <w:sz w:val="24"/>
        </w:rPr>
      </w:pPr>
      <w:r>
        <w:rPr>
          <w:rFonts w:hint="eastAsia" w:ascii="宋体" w:hAnsi="宋体" w:cs="宋体"/>
          <w:kern w:val="0"/>
          <w:sz w:val="24"/>
        </w:rPr>
        <w:t>供应商法定代表人或其授权代表签字：</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 xml:space="preserve">              供应商名称： （全称并加盖公章）</w:t>
      </w:r>
    </w:p>
    <w:p>
      <w:pPr>
        <w:widowControl/>
        <w:wordWrap w:val="0"/>
        <w:spacing w:line="460" w:lineRule="exact"/>
        <w:jc w:val="left"/>
        <w:rPr>
          <w:rFonts w:ascii="宋体" w:hAnsi="宋体" w:cs="宋体"/>
          <w:kern w:val="0"/>
          <w:sz w:val="24"/>
        </w:rPr>
      </w:pPr>
    </w:p>
    <w:p>
      <w:pPr>
        <w:widowControl/>
        <w:wordWrap w:val="0"/>
        <w:spacing w:line="460" w:lineRule="exact"/>
        <w:ind w:firstLine="2880" w:firstLineChars="1200"/>
        <w:jc w:val="left"/>
      </w:pPr>
      <w:r>
        <w:rPr>
          <w:rFonts w:hint="eastAsia" w:ascii="宋体" w:hAnsi="宋体" w:cs="宋体"/>
          <w:kern w:val="0"/>
          <w:sz w:val="24"/>
        </w:rPr>
        <w:t>年    月    日</w:t>
      </w:r>
    </w:p>
    <w:p>
      <w:pPr>
        <w:widowControl/>
        <w:wordWrap w:val="0"/>
        <w:spacing w:line="460" w:lineRule="exact"/>
        <w:ind w:firstLine="4200" w:firstLineChars="2000"/>
        <w:jc w:val="left"/>
      </w:pPr>
    </w:p>
    <w:p>
      <w:pPr>
        <w:pStyle w:val="6"/>
      </w:pPr>
      <w:r>
        <w:rPr>
          <w:rFonts w:hint="eastAsia"/>
        </w:rPr>
        <w:br w:type="page"/>
      </w:r>
      <w:bookmarkStart w:id="71" w:name="_Toc15804"/>
      <w:bookmarkStart w:id="72" w:name="_Toc226"/>
      <w:r>
        <w:rPr>
          <w:rFonts w:hint="eastAsia"/>
        </w:rPr>
        <w:t xml:space="preserve">附件5         </w:t>
      </w:r>
      <w:bookmarkEnd w:id="71"/>
      <w:bookmarkEnd w:id="72"/>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3" w:name="_Toc20420"/>
      <w:bookmarkStart w:id="74" w:name="_Toc29960"/>
      <w:r>
        <w:rPr>
          <w:rFonts w:hint="eastAsia" w:ascii="Arial" w:hAnsi="Arial" w:eastAsia="新宋体"/>
          <w:b/>
          <w:sz w:val="28"/>
        </w:rPr>
        <w:t>附件6               商务响应</w:t>
      </w:r>
      <w:bookmarkEnd w:id="73"/>
      <w:bookmarkEnd w:id="74"/>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30"/>
        <w:ind w:firstLine="210"/>
      </w:pPr>
    </w:p>
    <w:p/>
    <w:p/>
    <w:p/>
    <w:p/>
    <w:p/>
    <w:p/>
    <w:p/>
    <w:p/>
    <w:p/>
    <w:p/>
    <w:p/>
    <w:p/>
    <w:p/>
    <w:p/>
    <w:p/>
    <w:p/>
    <w:p>
      <w:pPr>
        <w:rPr>
          <w:rFonts w:ascii="Arial" w:hAnsi="Arial" w:eastAsia="新宋体"/>
          <w:b/>
          <w:sz w:val="28"/>
        </w:rPr>
      </w:pPr>
      <w:bookmarkStart w:id="75" w:name="_Toc28621"/>
      <w:bookmarkStart w:id="76" w:name="_Toc31526"/>
      <w:r>
        <w:rPr>
          <w:rFonts w:hint="eastAsia" w:ascii="Arial" w:hAnsi="Arial" w:eastAsia="新宋体"/>
          <w:b/>
          <w:sz w:val="28"/>
        </w:rPr>
        <w:br w:type="page"/>
      </w:r>
    </w:p>
    <w:p>
      <w:pPr>
        <w:widowControl/>
        <w:wordWrap w:val="0"/>
        <w:spacing w:line="460" w:lineRule="exact"/>
        <w:jc w:val="left"/>
        <w:outlineLvl w:val="0"/>
        <w:rPr>
          <w:rFonts w:ascii="Arial" w:hAnsi="Arial" w:eastAsia="新宋体"/>
          <w:b/>
          <w:sz w:val="28"/>
        </w:rPr>
      </w:pPr>
      <w:r>
        <w:rPr>
          <w:rFonts w:hint="eastAsia" w:ascii="Arial" w:hAnsi="Arial" w:eastAsia="新宋体"/>
          <w:b/>
          <w:sz w:val="28"/>
        </w:rPr>
        <w:t>附件7               法定代表人身份证明（格式）</w:t>
      </w:r>
      <w:bookmarkEnd w:id="75"/>
      <w:bookmarkEnd w:id="76"/>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 w:val="24"/>
          <w:szCs w:val="20"/>
        </w:rPr>
        <w:t>，性别：，年龄：，职务：</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系（供应商名称）的法定代表人。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Lines="100" w:afterLines="100" w:line="480" w:lineRule="exact"/>
        <w:jc w:val="center"/>
        <w:rPr>
          <w:rFonts w:ascii="宋体" w:hAnsi="宋体" w:cs="Lucida Sans Unicode"/>
          <w:b/>
          <w:kern w:val="0"/>
          <w:sz w:val="36"/>
          <w:szCs w:val="36"/>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Lines="100" w:afterLines="100" w:line="480" w:lineRule="exact"/>
        <w:jc w:val="center"/>
        <w:rPr>
          <w:rFonts w:ascii="宋体" w:hAnsi="宋体" w:cs="Lucida Sans Unicode"/>
          <w:b/>
          <w:kern w:val="0"/>
          <w:sz w:val="24"/>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2"/>
        <w:rPr>
          <w:color w:val="auto"/>
        </w:rPr>
      </w:pPr>
    </w:p>
    <w:p>
      <w:pPr>
        <w:widowControl/>
        <w:wordWrap w:val="0"/>
        <w:spacing w:line="460" w:lineRule="exact"/>
        <w:ind w:firstLine="365" w:firstLineChars="130"/>
        <w:jc w:val="left"/>
        <w:outlineLvl w:val="0"/>
        <w:rPr>
          <w:rFonts w:ascii="Arial" w:hAnsi="Arial" w:eastAsia="新宋体"/>
          <w:b/>
          <w:sz w:val="28"/>
        </w:rPr>
      </w:pPr>
      <w:bookmarkStart w:id="77" w:name="_Toc30519"/>
      <w:bookmarkStart w:id="78" w:name="_Toc13976"/>
      <w:r>
        <w:rPr>
          <w:rFonts w:hint="eastAsia" w:ascii="Arial" w:hAnsi="Arial" w:eastAsia="新宋体"/>
          <w:b/>
          <w:sz w:val="28"/>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79" w:name="_Toc18105"/>
      <w:bookmarkStart w:id="80" w:name="_Toc24693"/>
      <w:r>
        <w:rPr>
          <w:rFonts w:hint="eastAsia" w:ascii="Arial" w:hAnsi="Arial" w:eastAsia="新宋体"/>
          <w:b/>
          <w:sz w:val="28"/>
        </w:rPr>
        <w:t>附件9               证明文件</w:t>
      </w:r>
      <w:bookmarkEnd w:id="79"/>
      <w:bookmarkEnd w:id="80"/>
    </w:p>
    <w:p>
      <w:pPr>
        <w:pStyle w:val="10"/>
        <w:spacing w:beforeAutospacing="0" w:afterAutospacing="0" w:line="480" w:lineRule="auto"/>
        <w:ind w:firstLine="470" w:firstLineChars="224"/>
        <w:jc w:val="both"/>
        <w:rPr>
          <w:bCs/>
          <w:sz w:val="21"/>
          <w:szCs w:val="21"/>
        </w:rPr>
      </w:pPr>
      <w:r>
        <w:rPr>
          <w:rFonts w:hint="eastAsia"/>
          <w:bCs/>
          <w:sz w:val="21"/>
          <w:szCs w:val="21"/>
        </w:rPr>
        <w:t>9.1资格审查资料</w:t>
      </w:r>
    </w:p>
    <w:p>
      <w:pPr>
        <w:pStyle w:val="10"/>
        <w:spacing w:beforeAutospacing="0" w:afterAutospacing="0" w:line="480" w:lineRule="auto"/>
        <w:ind w:firstLine="470" w:firstLineChars="224"/>
        <w:jc w:val="both"/>
        <w:rPr>
          <w:bCs/>
          <w:sz w:val="21"/>
          <w:szCs w:val="21"/>
        </w:rPr>
      </w:pPr>
      <w:r>
        <w:rPr>
          <w:rFonts w:hint="eastAsia"/>
          <w:bCs/>
          <w:sz w:val="21"/>
          <w:szCs w:val="21"/>
        </w:rPr>
        <w:t>9.2技术方案</w:t>
      </w:r>
    </w:p>
    <w:p>
      <w:pPr>
        <w:pStyle w:val="10"/>
        <w:spacing w:beforeAutospacing="0" w:afterAutospacing="0" w:line="480" w:lineRule="auto"/>
        <w:ind w:firstLine="470" w:firstLineChars="224"/>
        <w:jc w:val="both"/>
        <w:rPr>
          <w:bCs/>
          <w:sz w:val="21"/>
          <w:szCs w:val="21"/>
        </w:rPr>
      </w:pPr>
      <w:r>
        <w:rPr>
          <w:rFonts w:hint="eastAsia"/>
          <w:bCs/>
          <w:sz w:val="21"/>
          <w:szCs w:val="21"/>
        </w:rPr>
        <w:t>9.3其他需要提供的证明材料</w:t>
      </w:r>
      <w:bookmarkStart w:id="81" w:name="_Toc17966"/>
    </w:p>
    <w:p>
      <w:pPr>
        <w:pStyle w:val="10"/>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10"/>
        <w:spacing w:beforeAutospacing="0" w:afterAutospacing="0" w:line="480" w:lineRule="auto"/>
        <w:ind w:firstLine="540" w:firstLineChars="224"/>
        <w:jc w:val="both"/>
        <w:rPr>
          <w:b/>
          <w:bCs/>
        </w:rPr>
      </w:pPr>
    </w:p>
    <w:p>
      <w:pPr>
        <w:rPr>
          <w:b/>
          <w:bCs/>
        </w:rPr>
      </w:pPr>
      <w:r>
        <w:rPr>
          <w:b/>
          <w:bCs/>
        </w:rPr>
        <w:br w:type="page"/>
      </w:r>
    </w:p>
    <w:p>
      <w:pPr>
        <w:pStyle w:val="10"/>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2" w:name="_Toc13726"/>
      <w:bookmarkStart w:id="83" w:name="_Toc12888"/>
      <w:r>
        <w:rPr>
          <w:rFonts w:hint="eastAsia" w:ascii="宋体" w:hAnsi="宋体" w:cs="Lucida Sans Unicode"/>
          <w:b/>
          <w:kern w:val="0"/>
          <w:sz w:val="28"/>
          <w:szCs w:val="28"/>
        </w:rPr>
        <w:t xml:space="preserve">附件10        </w:t>
      </w:r>
      <w:bookmarkEnd w:id="81"/>
      <w:r>
        <w:rPr>
          <w:rFonts w:hint="eastAsia" w:ascii="宋体" w:hAnsi="宋体" w:cs="Lucida Sans Unicode"/>
          <w:b/>
          <w:kern w:val="0"/>
          <w:sz w:val="28"/>
          <w:szCs w:val="28"/>
        </w:rPr>
        <w:t>供 应 商 承 诺 书</w:t>
      </w:r>
      <w:r>
        <w:rPr>
          <w:rFonts w:hint="eastAsia" w:ascii="宋体" w:hAnsi="宋体" w:cs="宋体"/>
          <w:kern w:val="0"/>
          <w:sz w:val="28"/>
          <w:szCs w:val="28"/>
        </w:rPr>
        <w:t>（格式）</w:t>
      </w:r>
      <w:bookmarkEnd w:id="82"/>
      <w:bookmarkEnd w:id="83"/>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供应商（公司名称）：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pStyle w:val="30"/>
        <w:ind w:firstLine="210"/>
        <w:rPr>
          <w:rFonts w:ascii="宋体" w:hAnsi="宋体" w:cs="宋体"/>
          <w:kern w:val="0"/>
        </w:rPr>
      </w:pPr>
    </w:p>
    <w:p>
      <w:pPr>
        <w:pStyle w:val="31"/>
        <w:ind w:firstLine="480"/>
        <w:rPr>
          <w:szCs w:val="21"/>
        </w:rPr>
      </w:pPr>
    </w:p>
    <w:p>
      <w:pPr>
        <w:jc w:val="center"/>
        <w:rPr>
          <w:rFonts w:ascii="宋体" w:hAnsi="宋体" w:cs="宋体"/>
          <w:b/>
          <w:bCs/>
          <w:sz w:val="28"/>
          <w:szCs w:val="18"/>
        </w:rPr>
      </w:pPr>
      <w:r>
        <w:rPr>
          <w:rFonts w:hint="eastAsia" w:ascii="宋体" w:hAnsi="宋体" w:cs="宋体"/>
          <w:b/>
          <w:bCs/>
          <w:sz w:val="28"/>
          <w:szCs w:val="18"/>
        </w:rPr>
        <w:t>附件11     供应商信用承诺函（格式）</w:t>
      </w:r>
    </w:p>
    <w:p>
      <w:pPr>
        <w:spacing w:line="600" w:lineRule="exact"/>
        <w:rPr>
          <w:rFonts w:ascii="仿宋" w:hAnsi="仿宋" w:eastAsia="仿宋" w:cs="仿宋"/>
          <w:sz w:val="32"/>
          <w:szCs w:val="32"/>
        </w:rPr>
      </w:pPr>
    </w:p>
    <w:p>
      <w:pPr>
        <w:snapToGrid w:val="0"/>
        <w:spacing w:line="480" w:lineRule="auto"/>
        <w:ind w:firstLine="640"/>
        <w:rPr>
          <w:rFonts w:ascii="宋体" w:hAnsi="宋体" w:cs="宋体"/>
          <w:sz w:val="24"/>
        </w:rPr>
      </w:pPr>
      <w:r>
        <w:rPr>
          <w:rFonts w:hint="eastAsia" w:ascii="宋体" w:hAnsi="宋体" w:cs="宋体"/>
          <w:sz w:val="24"/>
        </w:rPr>
        <w:t>致（采购人或政府采购代理机构）：</w:t>
      </w:r>
    </w:p>
    <w:p>
      <w:pPr>
        <w:snapToGrid w:val="0"/>
        <w:spacing w:line="480" w:lineRule="auto"/>
        <w:ind w:firstLine="640"/>
        <w:rPr>
          <w:rFonts w:ascii="宋体" w:hAnsi="宋体" w:cs="宋体"/>
          <w:sz w:val="24"/>
        </w:rPr>
      </w:pPr>
      <w:r>
        <w:rPr>
          <w:rFonts w:hint="eastAsia" w:ascii="宋体" w:hAnsi="宋体" w:cs="宋体"/>
          <w:sz w:val="24"/>
        </w:rPr>
        <w:t>单位名称（自然人姓名）：</w:t>
      </w:r>
    </w:p>
    <w:p>
      <w:pPr>
        <w:snapToGrid w:val="0"/>
        <w:spacing w:line="480" w:lineRule="auto"/>
        <w:ind w:firstLine="640"/>
        <w:rPr>
          <w:rFonts w:ascii="宋体" w:hAnsi="宋体" w:cs="宋体"/>
          <w:sz w:val="24"/>
        </w:rPr>
      </w:pPr>
      <w:r>
        <w:rPr>
          <w:rFonts w:hint="eastAsia" w:ascii="宋体" w:hAnsi="宋体" w:cs="宋体"/>
          <w:sz w:val="24"/>
        </w:rPr>
        <w:t>统一社会信用代码（身份证号码）：</w:t>
      </w:r>
    </w:p>
    <w:p>
      <w:pPr>
        <w:snapToGrid w:val="0"/>
        <w:spacing w:line="480" w:lineRule="auto"/>
        <w:ind w:firstLine="640"/>
        <w:rPr>
          <w:rFonts w:ascii="宋体" w:hAnsi="宋体" w:cs="宋体"/>
          <w:sz w:val="24"/>
        </w:rPr>
      </w:pPr>
      <w:r>
        <w:rPr>
          <w:rFonts w:hint="eastAsia" w:ascii="宋体" w:hAnsi="宋体" w:cs="宋体"/>
          <w:sz w:val="24"/>
        </w:rPr>
        <w:t>法定代表人（负责人）：</w:t>
      </w:r>
    </w:p>
    <w:p>
      <w:pPr>
        <w:snapToGrid w:val="0"/>
        <w:spacing w:line="480" w:lineRule="auto"/>
        <w:ind w:firstLine="640"/>
        <w:rPr>
          <w:rFonts w:ascii="宋体" w:hAnsi="宋体" w:cs="宋体"/>
          <w:sz w:val="24"/>
        </w:rPr>
      </w:pPr>
      <w:r>
        <w:rPr>
          <w:rFonts w:hint="eastAsia" w:ascii="宋体" w:hAnsi="宋体" w:cs="宋体"/>
          <w:sz w:val="24"/>
        </w:rPr>
        <w:t>联系地址和电话：</w:t>
      </w:r>
    </w:p>
    <w:p>
      <w:pPr>
        <w:snapToGrid w:val="0"/>
        <w:spacing w:line="480" w:lineRule="auto"/>
        <w:ind w:firstLine="640"/>
        <w:rPr>
          <w:rFonts w:ascii="宋体" w:hAnsi="宋体" w:cs="宋体"/>
          <w:sz w:val="24"/>
        </w:rPr>
      </w:pPr>
      <w:r>
        <w:rPr>
          <w:rFonts w:hint="eastAsia" w:ascii="宋体" w:hAnsi="宋体" w:cs="宋体"/>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snapToGrid w:val="0"/>
        <w:spacing w:line="480" w:lineRule="auto"/>
        <w:ind w:firstLine="640"/>
        <w:rPr>
          <w:rFonts w:ascii="宋体" w:hAnsi="宋体" w:cs="宋体"/>
          <w:sz w:val="24"/>
        </w:rPr>
      </w:pPr>
      <w:r>
        <w:rPr>
          <w:rFonts w:hint="eastAsia" w:ascii="宋体" w:hAnsi="宋体" w:cs="宋体"/>
          <w:sz w:val="24"/>
        </w:rPr>
        <w:t>（一）具有独立承担民事责任的能力；</w:t>
      </w:r>
    </w:p>
    <w:p>
      <w:pPr>
        <w:snapToGrid w:val="0"/>
        <w:spacing w:line="480" w:lineRule="auto"/>
        <w:ind w:firstLine="640"/>
        <w:rPr>
          <w:rFonts w:ascii="宋体" w:hAnsi="宋体" w:cs="宋体"/>
          <w:sz w:val="24"/>
        </w:rPr>
      </w:pPr>
      <w:r>
        <w:rPr>
          <w:rFonts w:hint="eastAsia" w:ascii="宋体" w:hAnsi="宋体" w:cs="宋体"/>
          <w:sz w:val="24"/>
        </w:rPr>
        <w:t>（二）具有良好的商业信誉和健全的财务会计制度；</w:t>
      </w:r>
    </w:p>
    <w:p>
      <w:pPr>
        <w:snapToGrid w:val="0"/>
        <w:spacing w:line="480" w:lineRule="auto"/>
        <w:ind w:firstLine="640"/>
        <w:rPr>
          <w:rFonts w:ascii="宋体" w:hAnsi="宋体" w:cs="宋体"/>
          <w:sz w:val="24"/>
        </w:rPr>
      </w:pPr>
      <w:r>
        <w:rPr>
          <w:rFonts w:hint="eastAsia" w:ascii="宋体" w:hAnsi="宋体" w:cs="宋体"/>
          <w:sz w:val="24"/>
        </w:rPr>
        <w:t>（三）具有履行合同所必需的设备和专业技术能力；</w:t>
      </w:r>
    </w:p>
    <w:p>
      <w:pPr>
        <w:snapToGrid w:val="0"/>
        <w:spacing w:line="480" w:lineRule="auto"/>
        <w:ind w:firstLine="640"/>
        <w:rPr>
          <w:rFonts w:ascii="仿宋" w:hAnsi="仿宋" w:eastAsia="仿宋" w:cs="仿宋"/>
          <w:sz w:val="32"/>
          <w:szCs w:val="32"/>
        </w:rPr>
      </w:pPr>
      <w:r>
        <w:rPr>
          <w:rFonts w:hint="eastAsia" w:ascii="宋体" w:hAnsi="宋体" w:cs="宋体"/>
          <w:sz w:val="24"/>
        </w:rPr>
        <w:t>（四）有依法缴纳税收和社会保障资金的良好</w:t>
      </w:r>
      <w:r>
        <w:rPr>
          <w:rFonts w:hint="eastAsia" w:ascii="仿宋" w:hAnsi="仿宋" w:eastAsia="仿宋" w:cs="仿宋"/>
          <w:sz w:val="32"/>
          <w:szCs w:val="32"/>
        </w:rPr>
        <w:t>记录；</w:t>
      </w:r>
    </w:p>
    <w:p>
      <w:pPr>
        <w:snapToGrid w:val="0"/>
        <w:spacing w:line="480" w:lineRule="auto"/>
        <w:ind w:firstLine="640"/>
        <w:rPr>
          <w:rFonts w:ascii="宋体" w:hAnsi="宋体" w:cs="宋体"/>
          <w:sz w:val="24"/>
        </w:rPr>
      </w:pPr>
      <w:r>
        <w:rPr>
          <w:rFonts w:hint="eastAsia" w:ascii="宋体" w:hAnsi="宋体" w:cs="宋体"/>
          <w:sz w:val="24"/>
        </w:rPr>
        <w:t>（五）参加政府采购活动前三年内，在经营活动中没有重大违法记录；</w:t>
      </w:r>
    </w:p>
    <w:p>
      <w:pPr>
        <w:snapToGrid w:val="0"/>
        <w:spacing w:line="480" w:lineRule="auto"/>
        <w:ind w:firstLine="640"/>
        <w:rPr>
          <w:rFonts w:ascii="宋体" w:hAnsi="宋体" w:cs="宋体"/>
          <w:sz w:val="24"/>
        </w:rPr>
      </w:pPr>
      <w:r>
        <w:rPr>
          <w:rFonts w:hint="eastAsia" w:ascii="宋体" w:hAnsi="宋体" w:cs="宋体"/>
          <w:sz w:val="24"/>
        </w:rPr>
        <w:t>（六）未被列入严重失信主体名单、失信被执行人、税收违法黑名单、政府采购严重违法失信行为记录名单，未曾作出虚假承诺；</w:t>
      </w:r>
    </w:p>
    <w:p>
      <w:pPr>
        <w:snapToGrid w:val="0"/>
        <w:spacing w:line="480" w:lineRule="auto"/>
        <w:ind w:firstLine="640"/>
        <w:rPr>
          <w:rFonts w:ascii="宋体" w:hAnsi="宋体" w:cs="宋体"/>
          <w:sz w:val="24"/>
        </w:rPr>
      </w:pPr>
      <w:r>
        <w:rPr>
          <w:rFonts w:hint="eastAsia" w:ascii="宋体" w:hAnsi="宋体" w:cs="宋体"/>
          <w:sz w:val="24"/>
        </w:rPr>
        <w:t>（七）符合法律、行政法规规定的其他条件。</w:t>
      </w:r>
    </w:p>
    <w:p>
      <w:pPr>
        <w:snapToGrid w:val="0"/>
        <w:spacing w:line="480" w:lineRule="auto"/>
        <w:ind w:firstLine="640"/>
        <w:rPr>
          <w:rFonts w:ascii="宋体" w:hAnsi="宋体" w:cs="宋体"/>
          <w:sz w:val="24"/>
        </w:rPr>
      </w:pPr>
      <w:r>
        <w:rPr>
          <w:rFonts w:hint="eastAsia" w:ascii="宋体" w:hAnsi="宋体" w:cs="宋体"/>
          <w:sz w:val="24"/>
        </w:rPr>
        <w:t>我单位（本人）保证上述承诺事项的真实性，如有弄虚作假或其他违法违规行为，愿意承担一切法律责任，并承担因此所造成的一切损失。</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供应商名称（盖章）：</w:t>
      </w:r>
    </w:p>
    <w:p>
      <w:pPr>
        <w:snapToGrid w:val="0"/>
        <w:spacing w:line="480" w:lineRule="auto"/>
        <w:ind w:firstLine="640"/>
        <w:rPr>
          <w:rFonts w:ascii="宋体" w:hAnsi="宋体" w:cs="宋体"/>
          <w:sz w:val="24"/>
        </w:rPr>
      </w:pPr>
      <w:r>
        <w:rPr>
          <w:rFonts w:hint="eastAsia" w:ascii="宋体" w:hAnsi="宋体" w:cs="宋体"/>
          <w:sz w:val="24"/>
        </w:rPr>
        <w:t>法定代表人、负责人、自然人或授权代表(签字)：</w:t>
      </w:r>
    </w:p>
    <w:p>
      <w:pPr>
        <w:snapToGrid w:val="0"/>
        <w:spacing w:line="480" w:lineRule="auto"/>
        <w:ind w:firstLine="640"/>
        <w:rPr>
          <w:rFonts w:ascii="宋体" w:hAnsi="宋体" w:cs="宋体"/>
          <w:sz w:val="24"/>
        </w:rPr>
      </w:pPr>
      <w:r>
        <w:rPr>
          <w:rFonts w:hint="eastAsia" w:ascii="宋体" w:hAnsi="宋体" w:cs="宋体"/>
          <w:sz w:val="24"/>
        </w:rPr>
        <w:t>日期：       年         月          日</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注：1.供应商须在投标（响应性）文件中按此模板提供承诺函，未提供视为未实质性响应招标文件要求，按无效投标（响应）处理。</w:t>
      </w:r>
    </w:p>
    <w:p>
      <w:pPr>
        <w:snapToGrid w:val="0"/>
        <w:spacing w:line="480" w:lineRule="auto"/>
        <w:ind w:firstLine="640"/>
        <w:rPr>
          <w:rFonts w:ascii="宋体" w:hAnsi="宋体" w:cs="宋体"/>
          <w:sz w:val="24"/>
        </w:rPr>
      </w:pPr>
      <w:r>
        <w:rPr>
          <w:rFonts w:hint="eastAsia" w:ascii="宋体" w:hAnsi="宋体" w:cs="宋体"/>
          <w:sz w:val="24"/>
        </w:rPr>
        <w:t>2.供应商的法定代表人或者授权代表的签字或盖章应真实、有效，如由授权代表签字或盖章的，应提供“法定代表人授权书”。</w:t>
      </w:r>
    </w:p>
    <w:p>
      <w:pPr>
        <w:spacing w:line="600" w:lineRule="exact"/>
        <w:rPr>
          <w:rFonts w:ascii="仿宋" w:hAnsi="仿宋" w:eastAsia="仿宋" w:cs="仿宋"/>
          <w:sz w:val="32"/>
          <w:szCs w:val="32"/>
        </w:rPr>
      </w:pPr>
    </w:p>
    <w:p/>
    <w:p>
      <w:pPr>
        <w:spacing w:line="360" w:lineRule="auto"/>
      </w:pPr>
    </w:p>
    <w:p>
      <w:r>
        <w:br w:type="page"/>
      </w:r>
    </w:p>
    <w:p>
      <w:pPr>
        <w:pStyle w:val="49"/>
        <w:ind w:firstLine="420"/>
      </w:pPr>
    </w:p>
    <w:p>
      <w:pPr>
        <w:widowControl/>
        <w:snapToGrid w:val="0"/>
        <w:spacing w:line="360" w:lineRule="auto"/>
        <w:jc w:val="center"/>
        <w:outlineLvl w:val="0"/>
        <w:rPr>
          <w:rFonts w:ascii="宋体" w:hAnsi="宋体" w:cs="Lucida Sans Unicode"/>
          <w:b/>
          <w:kern w:val="0"/>
          <w:sz w:val="24"/>
        </w:rPr>
      </w:pPr>
      <w:bookmarkStart w:id="84" w:name="_Toc25094"/>
      <w:bookmarkStart w:id="85" w:name="_Toc23394"/>
      <w:r>
        <w:rPr>
          <w:rFonts w:hint="eastAsia" w:ascii="宋体" w:hAnsi="宋体" w:cs="Lucida Sans Unicode"/>
          <w:b/>
          <w:kern w:val="0"/>
          <w:sz w:val="24"/>
        </w:rPr>
        <w:t>供应商认为有必要的其他资料</w:t>
      </w:r>
      <w:bookmarkEnd w:id="84"/>
      <w:bookmarkEnd w:id="85"/>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center"/>
        <w:rPr>
          <w:b/>
          <w:bCs/>
          <w:sz w:val="28"/>
          <w:szCs w:val="28"/>
        </w:rPr>
      </w:pPr>
    </w:p>
    <w:p>
      <w:pPr>
        <w:pStyle w:val="10"/>
        <w:spacing w:beforeAutospacing="0" w:afterAutospacing="0" w:line="460" w:lineRule="atLeast"/>
        <w:jc w:val="both"/>
        <w:rPr>
          <w:b/>
          <w:bCs/>
          <w:sz w:val="28"/>
          <w:szCs w:val="28"/>
        </w:rPr>
      </w:pPr>
    </w:p>
    <w:sectPr>
      <w:headerReference r:id="rId5" w:type="default"/>
      <w:footerReference r:id="rId6"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w:pict>
        <v:shape id="文本框 1026" o:spid="_x0000_s3073"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hAnsi="宋体" w:cs="宋体"/>
        <w:szCs w:val="21"/>
        <w:shd w:val="clear" w:color="auto" w:fill="FFFFFF"/>
      </w:rPr>
      <w:t>驻马店市中心医院</w:t>
    </w:r>
    <w:r>
      <w:rPr>
        <w:rFonts w:hint="eastAsia" w:ascii="宋体" w:hAnsi="宋体" w:cs="宋体"/>
        <w:szCs w:val="21"/>
        <w:shd w:val="clear" w:color="auto" w:fill="FFFFFF"/>
        <w:lang w:eastAsia="zh-CN"/>
      </w:rPr>
      <w:t>西门子3.0T磁共振技术保</w:t>
    </w:r>
    <w:r>
      <w:rPr>
        <w:rFonts w:hint="eastAsia" w:ascii="宋体" w:hAnsi="宋体" w:cs="宋体"/>
        <w:szCs w:val="21"/>
        <w:shd w:val="clear" w:color="auto" w:fill="FFFFFF"/>
      </w:rPr>
      <w:t>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宋体" w:hAnsi="宋体" w:cs="宋体"/>
        <w:szCs w:val="21"/>
        <w:shd w:val="clear" w:color="auto" w:fill="FFFFFF"/>
      </w:rPr>
      <w:t>驻马店市中心医院</w:t>
    </w:r>
    <w:r>
      <w:rPr>
        <w:rFonts w:hint="eastAsia" w:ascii="宋体" w:hAnsi="宋体" w:cs="宋体"/>
        <w:szCs w:val="21"/>
        <w:shd w:val="clear" w:color="auto" w:fill="FFFFFF"/>
        <w:lang w:eastAsia="zh-CN"/>
      </w:rPr>
      <w:t>西门子3.0T磁共振技术保</w:t>
    </w:r>
    <w:r>
      <w:rPr>
        <w:rFonts w:hint="eastAsia" w:ascii="宋体" w:hAnsi="宋体" w:cs="宋体"/>
        <w:szCs w:val="21"/>
        <w:shd w:val="clear" w:color="auto" w:fill="FFFFFF"/>
      </w:rPr>
      <w:t>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7465FE5"/>
    <w:multiLevelType w:val="singleLevel"/>
    <w:tmpl w:val="77465FE5"/>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47E46"/>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3E19"/>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3540"/>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652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0EB"/>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4958"/>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C263F"/>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7016C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A26319"/>
    <w:rsid w:val="11C63E5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D625DD"/>
    <w:rsid w:val="1AF423FA"/>
    <w:rsid w:val="1B0C5B32"/>
    <w:rsid w:val="1B0D3E82"/>
    <w:rsid w:val="1B1652AB"/>
    <w:rsid w:val="1B181CD5"/>
    <w:rsid w:val="1B265306"/>
    <w:rsid w:val="1B275F53"/>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A17157"/>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BB7FD5"/>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C1320"/>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9623F7"/>
    <w:rsid w:val="42A06B6C"/>
    <w:rsid w:val="42A27996"/>
    <w:rsid w:val="42AA04E2"/>
    <w:rsid w:val="42E452CD"/>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707F1"/>
    <w:rsid w:val="454F1836"/>
    <w:rsid w:val="45887B45"/>
    <w:rsid w:val="458B66DF"/>
    <w:rsid w:val="45940F0E"/>
    <w:rsid w:val="4595275B"/>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BFA3E6A"/>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0A44A0"/>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CF671F"/>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775FD"/>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816438"/>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A768F5"/>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C80DEC"/>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251D7"/>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2654</Words>
  <Characters>15132</Characters>
  <Lines>126</Lines>
  <Paragraphs>35</Paragraphs>
  <TotalTime>0</TotalTime>
  <ScaleCrop>false</ScaleCrop>
  <LinksUpToDate>false</LinksUpToDate>
  <CharactersWithSpaces>17751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2024-02-27T00:34:15Z</dcterms:modified>
  <dc:title>驻马店市政府采购货物项目</dc:title>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6B4FDCA957CB4E82998C2E32247B97ED_13</vt:lpwstr>
  </property>
</Properties>
</file>