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驻马店市中心医院院区发光字、LED更换及维修采购项目（二次）</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lang w:eastAsia="zh-CN"/>
        </w:rPr>
      </w:pPr>
      <w:r>
        <w:rPr>
          <w:rFonts w:hint="eastAsia" w:ascii="黑体" w:hAnsi="黑体" w:eastAsia="黑体" w:cs="宋体"/>
          <w:bCs/>
          <w:color w:val="auto"/>
          <w:kern w:val="0"/>
          <w:sz w:val="28"/>
          <w:szCs w:val="28"/>
          <w:u w:val="none"/>
          <w:lang w:val="en-US" w:eastAsia="zh-CN"/>
        </w:rPr>
        <w:t>驻马店市中心医院院区发光字、LED更换及维修采购项目竞争性磋商</w:t>
      </w:r>
      <w:r>
        <w:rPr>
          <w:rFonts w:hint="eastAsia" w:ascii="黑体" w:hAnsi="黑体" w:eastAsia="黑体" w:cs="宋体"/>
          <w:bCs/>
          <w:color w:val="auto"/>
          <w:kern w:val="0"/>
          <w:sz w:val="28"/>
          <w:szCs w:val="28"/>
        </w:rPr>
        <w:t>公告</w:t>
      </w:r>
      <w:r>
        <w:rPr>
          <w:rFonts w:hint="eastAsia" w:ascii="黑体" w:hAnsi="黑体" w:eastAsia="黑体" w:cs="宋体"/>
          <w:bCs/>
          <w:color w:val="auto"/>
          <w:kern w:val="0"/>
          <w:sz w:val="28"/>
          <w:szCs w:val="28"/>
          <w:lang w:eastAsia="zh-CN"/>
        </w:rPr>
        <w:t>（</w:t>
      </w:r>
      <w:r>
        <w:rPr>
          <w:rFonts w:hint="eastAsia" w:ascii="黑体" w:hAnsi="黑体" w:eastAsia="黑体" w:cs="宋体"/>
          <w:bCs/>
          <w:color w:val="auto"/>
          <w:kern w:val="0"/>
          <w:sz w:val="28"/>
          <w:szCs w:val="28"/>
          <w:lang w:val="en-US" w:eastAsia="zh-CN"/>
        </w:rPr>
        <w:t>二次</w:t>
      </w:r>
      <w:r>
        <w:rPr>
          <w:rFonts w:hint="eastAsia" w:ascii="黑体" w:hAnsi="黑体" w:eastAsia="黑体" w:cs="宋体"/>
          <w:bCs/>
          <w:color w:val="auto"/>
          <w:kern w:val="0"/>
          <w:sz w:val="28"/>
          <w:szCs w:val="28"/>
          <w:lang w:eastAsia="zh-CN"/>
        </w:rPr>
        <w:t>）</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院区发光字、LED更换及维修采购项目</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二次</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驻马店市中心医院院区发光字、LED更换及维修采购项目（</w:t>
      </w:r>
      <w:r>
        <w:rPr>
          <w:rFonts w:hint="eastAsia" w:ascii="宋体" w:hAnsi="宋体" w:cs="宋体"/>
          <w:color w:val="auto"/>
          <w:sz w:val="24"/>
          <w:szCs w:val="24"/>
          <w:highlight w:val="none"/>
          <w:shd w:val="clear" w:color="auto" w:fill="FFFFFF"/>
          <w:lang w:val="en-US" w:eastAsia="zh-CN"/>
        </w:rPr>
        <w:t>二次</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4.3万元（据实结算），自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19521"/>
      <w:bookmarkStart w:id="5" w:name="_Toc26079"/>
      <w:bookmarkStart w:id="6" w:name="_Toc21071"/>
      <w:bookmarkStart w:id="7" w:name="_Toc24040"/>
      <w:bookmarkStart w:id="8" w:name="_Toc27913"/>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6639"/>
      <w:bookmarkStart w:id="10" w:name="_Toc18607"/>
      <w:bookmarkStart w:id="11" w:name="_Toc27704"/>
      <w:bookmarkStart w:id="12" w:name="_Toc23626"/>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643"/>
      <w:bookmarkStart w:id="14" w:name="_Toc9562"/>
      <w:bookmarkStart w:id="15" w:name="_Toc7823"/>
      <w:bookmarkStart w:id="16" w:name="_Toc23395"/>
      <w:bookmarkStart w:id="17" w:name="_Toc30971"/>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w:t>
      </w:r>
      <w:r>
        <w:rPr>
          <w:rFonts w:hint="eastAsia" w:ascii="宋体" w:hAnsi="宋体" w:eastAsia="宋体" w:cs="宋体"/>
          <w:color w:val="auto"/>
          <w:sz w:val="24"/>
          <w:szCs w:val="24"/>
          <w:shd w:val="clear" w:color="auto" w:fill="FFFFFF"/>
        </w:rPr>
        <w:t>：30-11:30，下午14:30-17:30（北京时间，法定节假日除外）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bookmarkStart w:id="91" w:name="_GoBack"/>
      <w:bookmarkEnd w:id="91"/>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5111"/>
      <w:bookmarkStart w:id="19" w:name="_Toc27480"/>
      <w:bookmarkStart w:id="20" w:name="_Toc15135"/>
      <w:bookmarkStart w:id="21" w:name="_Toc25869"/>
      <w:bookmarkStart w:id="22" w:name="_Toc10738"/>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0287"/>
      <w:bookmarkStart w:id="24" w:name="_Toc6523"/>
      <w:bookmarkStart w:id="25" w:name="_Toc29784"/>
      <w:bookmarkStart w:id="26"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3604"/>
      <w:bookmarkStart w:id="30" w:name="_Toc16291"/>
      <w:bookmarkStart w:id="31" w:name="_Toc31928"/>
      <w:bookmarkStart w:id="32" w:name="_Toc24274"/>
      <w:bookmarkStart w:id="33" w:name="_Toc27370"/>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29</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驻马店市中心医院院区发光字、LED更换及维修采购项目。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 xml:space="preserve">对各院区的发光字、LED更换及日常维修。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178"/>
        <w:gridCol w:w="750"/>
        <w:gridCol w:w="810"/>
        <w:gridCol w:w="1295"/>
        <w:gridCol w:w="104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包号</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序号</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标的名称</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数量</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预算</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性质</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院区发光字、LED更换及日常维修</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4.3万元/年</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81"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253" w:type="dxa"/>
            <w:gridSpan w:val="6"/>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据实结算</w:t>
            </w:r>
          </w:p>
        </w:tc>
      </w:tr>
    </w:tbl>
    <w:p>
      <w:pPr>
        <w:numPr>
          <w:ilvl w:val="0"/>
          <w:numId w:val="1"/>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宋体" w:hAnsi="宋体" w:eastAsia="宋体" w:cs="宋体"/>
          <w:b/>
          <w:bCs/>
          <w:kern w:val="2"/>
          <w:sz w:val="21"/>
          <w:szCs w:val="21"/>
          <w:lang w:val="en-US" w:eastAsia="zh-CN" w:bidi="ar-SA"/>
        </w:rPr>
      </w:pPr>
      <w:r>
        <w:rPr>
          <w:rFonts w:hint="eastAsia"/>
          <w:b/>
          <w:bCs/>
          <w:sz w:val="21"/>
          <w:szCs w:val="21"/>
          <w:u w:val="none"/>
          <w:lang w:val="en-US" w:eastAsia="zh-CN"/>
        </w:rPr>
        <w:t>院区发光字、LED更换及维修单价清单</w:t>
      </w:r>
    </w:p>
    <w:tbl>
      <w:tblPr>
        <w:tblStyle w:val="33"/>
        <w:tblpPr w:leftFromText="180" w:rightFromText="180" w:vertAnchor="text" w:horzAnchor="page" w:tblpXSpec="center" w:tblpY="559"/>
        <w:tblOverlap w:val="never"/>
        <w:tblW w:w="8178" w:type="dxa"/>
        <w:jc w:val="center"/>
        <w:tblLayout w:type="fixed"/>
        <w:tblCellMar>
          <w:top w:w="0" w:type="dxa"/>
          <w:left w:w="0" w:type="dxa"/>
          <w:bottom w:w="0" w:type="dxa"/>
          <w:right w:w="0" w:type="dxa"/>
        </w:tblCellMar>
      </w:tblPr>
      <w:tblGrid>
        <w:gridCol w:w="785"/>
        <w:gridCol w:w="3270"/>
        <w:gridCol w:w="1876"/>
        <w:gridCol w:w="1046"/>
        <w:gridCol w:w="1201"/>
      </w:tblGrid>
      <w:tr>
        <w:tblPrEx>
          <w:tblCellMar>
            <w:top w:w="0" w:type="dxa"/>
            <w:left w:w="0" w:type="dxa"/>
            <w:bottom w:w="0" w:type="dxa"/>
            <w:right w:w="0" w:type="dxa"/>
          </w:tblCellMar>
        </w:tblPrEx>
        <w:trPr>
          <w:trHeight w:val="3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控制价</w:t>
            </w:r>
          </w:p>
        </w:tc>
      </w:tr>
      <w:tr>
        <w:tblPrEx>
          <w:tblCellMar>
            <w:top w:w="0" w:type="dxa"/>
            <w:left w:w="0" w:type="dxa"/>
            <w:bottom w:w="0" w:type="dxa"/>
            <w:right w:w="0" w:type="dxa"/>
          </w:tblCellMar>
        </w:tblPrEx>
        <w:trPr>
          <w:trHeight w:val="35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4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铝壳 12V40A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5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2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LED</w:t>
            </w:r>
            <w:r>
              <w:rPr>
                <w:rFonts w:hint="eastAsia" w:ascii="宋体" w:hAnsi="宋体" w:cs="宋体"/>
                <w:color w:val="000000"/>
                <w:kern w:val="0"/>
                <w:sz w:val="24"/>
                <w:szCs w:val="24"/>
                <w:lang w:eastAsia="zh-CN"/>
              </w:rPr>
              <w:t>单色显示屏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P4.75单元板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180</w:t>
            </w:r>
            <w:r>
              <w:rPr>
                <w:rFonts w:hint="eastAsia" w:ascii="宋体" w:hAnsi="宋体" w:cs="宋体"/>
                <w:color w:val="000000"/>
                <w:sz w:val="24"/>
                <w:szCs w:val="24"/>
              </w:rPr>
              <w:t>元</w:t>
            </w:r>
          </w:p>
        </w:tc>
      </w:tr>
      <w:tr>
        <w:tblPrEx>
          <w:tblCellMar>
            <w:top w:w="0" w:type="dxa"/>
            <w:left w:w="0" w:type="dxa"/>
            <w:bottom w:w="0" w:type="dxa"/>
            <w:right w:w="0" w:type="dxa"/>
          </w:tblCellMar>
        </w:tblPrEx>
        <w:trPr>
          <w:trHeight w:val="3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802.11b/</w:t>
            </w:r>
            <w:r>
              <w:rPr>
                <w:rFonts w:hint="eastAsia" w:ascii="方正像素15" w:hAnsi="方正像素15" w:eastAsia="方正像素15" w:cs="方正像素15"/>
                <w:color w:val="000000"/>
                <w:sz w:val="22"/>
                <w:szCs w:val="22"/>
                <w:lang w:val="en-US" w:eastAsia="zh-CN"/>
              </w:rPr>
              <w:t>g</w:t>
            </w:r>
            <w:r>
              <w:rPr>
                <w:rFonts w:hint="eastAsia" w:ascii="宋体" w:hAnsi="宋体" w:cs="宋体"/>
                <w:color w:val="000000"/>
                <w:sz w:val="22"/>
                <w:szCs w:val="22"/>
                <w:lang w:val="en-US" w:eastAsia="zh-CN"/>
              </w:rPr>
              <w:t>/n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802.11b/</w:t>
            </w:r>
            <w:r>
              <w:rPr>
                <w:rFonts w:hint="eastAsia" w:ascii="方正像素15" w:hAnsi="方正像素15" w:eastAsia="方正像素15" w:cs="方正像素15"/>
                <w:color w:val="000000"/>
                <w:sz w:val="22"/>
                <w:szCs w:val="22"/>
                <w:lang w:val="en-US" w:eastAsia="zh-CN"/>
              </w:rPr>
              <w:t>g</w:t>
            </w:r>
            <w:r>
              <w:rPr>
                <w:rFonts w:hint="eastAsia" w:ascii="宋体" w:hAnsi="宋体" w:cs="宋体"/>
                <w:color w:val="000000"/>
                <w:sz w:val="22"/>
                <w:szCs w:val="22"/>
                <w:lang w:val="en-US" w:eastAsia="zh-CN"/>
              </w:rPr>
              <w:t>/n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HUB75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24v铝壳LED光源</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140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亚克力包边发光字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eastAsia="zh-CN"/>
              </w:rPr>
              <w:t>亚克力面板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480</w:t>
            </w:r>
            <w:r>
              <w:rPr>
                <w:rFonts w:hint="eastAsia" w:ascii="宋体" w:hAnsi="宋体" w:cs="宋体"/>
                <w:color w:val="000000"/>
                <w:sz w:val="24"/>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烤漆LED发光字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烤漆镀锌板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400</w:t>
            </w:r>
            <w:r>
              <w:rPr>
                <w:rFonts w:hint="eastAsia" w:ascii="宋体" w:hAnsi="宋体" w:cs="宋体"/>
                <w:color w:val="000000"/>
                <w:sz w:val="24"/>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铝塑板门头招牌</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铝塑板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LED光源铝壳100W</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LED定时系统</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2P/63A/空开38/220V接触器</w:t>
            </w:r>
          </w:p>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10A/220V时控</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高空下吊绳</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color w:val="auto"/>
                <w:kern w:val="2"/>
                <w:sz w:val="21"/>
                <w:lang w:val="en-US" w:eastAsia="zh-CN" w:bidi="ar-SA"/>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/天</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1300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旧字刷漆翻新</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汽车烤漆</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460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国旗更换</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绸缎布</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350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不锈钢牌</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不锈钢板材</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块</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不锈钢精工字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不锈钢板材</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烤漆精工字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镀锌板烤漆</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380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吊车施工费</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30吨吊车</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天</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2500</w:t>
            </w:r>
            <w:r>
              <w:rPr>
                <w:rFonts w:hint="eastAsia" w:ascii="宋体" w:cs="宋体"/>
                <w:szCs w:val="24"/>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LED穿孔字更换灯珠</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LED灯珠</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460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水晶字</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水晶面板</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350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cs="宋体" w:eastAsiaTheme="minorEastAsia"/>
                <w:szCs w:val="24"/>
                <w:lang w:eastAsia="zh-CN"/>
              </w:rPr>
            </w:pPr>
            <w:r>
              <w:rPr>
                <w:rFonts w:hint="eastAsia" w:ascii="宋体" w:hAnsi="宋体" w:cs="宋体"/>
                <w:szCs w:val="24"/>
                <w:lang w:val="en-US" w:eastAsia="zh-CN"/>
              </w:rPr>
              <w:t>拆除、</w:t>
            </w:r>
            <w:r>
              <w:rPr>
                <w:rFonts w:hint="eastAsia" w:ascii="宋体" w:hAnsi="宋体" w:cs="宋体"/>
                <w:szCs w:val="24"/>
                <w:lang w:eastAsia="zh-CN"/>
              </w:rPr>
              <w:t>维修人工费</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每人每天</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/天</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3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LED灯箱更换画面</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UV软膜</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4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LED灯箱更换光源</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LED灯珠</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380元</w:t>
            </w:r>
          </w:p>
        </w:tc>
      </w:tr>
      <w:tr>
        <w:tblPrEx>
          <w:tblCellMar>
            <w:top w:w="0" w:type="dxa"/>
            <w:left w:w="0" w:type="dxa"/>
            <w:bottom w:w="0" w:type="dxa"/>
            <w:right w:w="0" w:type="dxa"/>
          </w:tblCellMar>
        </w:tblPrEx>
        <w:trPr>
          <w:trHeight w:val="346" w:hRule="atLeast"/>
          <w:jc w:val="center"/>
        </w:trPr>
        <w:tc>
          <w:tcPr>
            <w:tcW w:w="817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 xml:space="preserve">              合计：</w:t>
            </w:r>
            <w:r>
              <w:rPr>
                <w:rFonts w:hint="eastAsia" w:ascii="宋体" w:cs="宋体"/>
                <w:szCs w:val="24"/>
                <w:lang w:val="en-US" w:eastAsia="zh-CN"/>
              </w:rPr>
              <w:fldChar w:fldCharType="begin"/>
            </w:r>
            <w:r>
              <w:rPr>
                <w:rFonts w:hint="eastAsia" w:ascii="宋体" w:cs="宋体"/>
                <w:szCs w:val="24"/>
                <w:lang w:val="en-US" w:eastAsia="zh-CN"/>
              </w:rPr>
              <w:instrText xml:space="preserve"> = sum(E2:E35) \* MERGEFORMAT </w:instrText>
            </w:r>
            <w:r>
              <w:rPr>
                <w:rFonts w:hint="eastAsia" w:ascii="宋体" w:cs="宋体"/>
                <w:szCs w:val="24"/>
                <w:lang w:val="en-US" w:eastAsia="zh-CN"/>
              </w:rPr>
              <w:fldChar w:fldCharType="separate"/>
            </w:r>
            <w:r>
              <w:rPr>
                <w:rFonts w:hint="eastAsia" w:ascii="宋体" w:cs="宋体"/>
                <w:szCs w:val="24"/>
                <w:lang w:val="en-US" w:eastAsia="zh-CN"/>
              </w:rPr>
              <w:t>19120</w:t>
            </w:r>
            <w:r>
              <w:rPr>
                <w:rFonts w:hint="eastAsia" w:ascii="宋体" w:cs="宋体"/>
                <w:szCs w:val="24"/>
                <w:lang w:val="en-US" w:eastAsia="zh-CN"/>
              </w:rPr>
              <w:fldChar w:fldCharType="end"/>
            </w:r>
            <w:r>
              <w:rPr>
                <w:rFonts w:hint="eastAsia" w:ascii="宋体" w:cs="宋体"/>
                <w:szCs w:val="24"/>
                <w:lang w:val="en-US" w:eastAsia="zh-CN"/>
              </w:rPr>
              <w:t>元</w:t>
            </w:r>
          </w:p>
        </w:tc>
      </w:tr>
      <w:bookmarkEnd w:id="35"/>
      <w:bookmarkEnd w:id="36"/>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1.供应商根据采购清单，结合工程现场情况，设计、制作、安装符合要求的LED灯箱、广告牌，并提供相关的服务。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2.根据清单要求，货到采购人指定的使用地点、并且组装、安装，安全可靠，可交付甲方使用。</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3.如遇甲方有任何原因的紧急任务，乙方应极力配合予以完成，随叫随到，不得推诿，2小时内到货。</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4.甲方如有需要设计方案的任务，乙方应在接到任务后 2 天内提供设计初稿。所有设计方案必须经过采购人的确认，对不符合要求的，必须无条件修改设计方案，直至采购人满意。</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5.质保期（指免费保修期）：质保期自标识标牌安装完毕并验收合格办理移交手续之日起不少于2年。</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6.售后服务：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①不符合质量要求的货品，退货并重新制作，供应商需在12小时内响应，24小时解决问题，在响应文件中请提供详细的售后服务承诺书及实施方案。</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②要求供应商设立对采购人便捷且固定的售后服务机构，并配置专业人员及一定的标识标牌维修更换的配件等。</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③质保期间，在规定的售后服务响应时间内，供应商不能满足采购人合理要求的，采购人可以找第三方进行维修，其费用由供应商承担。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kern w:val="2"/>
          <w:sz w:val="21"/>
          <w:szCs w:val="21"/>
          <w:lang w:val="en-US" w:eastAsia="zh-CN" w:bidi="ar-SA"/>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质保期自标识标牌安装完毕并验收合格办理移交手续之日起不少于2年。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推荐两名中标候选人。</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驻马店市中心医院院区发光字、LED更换及维修采购项目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4.3万元（据实结算）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color w:val="auto"/>
                <w:kern w:val="0"/>
                <w:szCs w:val="21"/>
                <w:highlight w:val="none"/>
              </w:rPr>
              <w:t>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4.3万元（据实结算）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val="0"/>
          <w:bCs/>
          <w:color w:val="auto"/>
          <w:kern w:val="0"/>
          <w:szCs w:val="21"/>
          <w:highlight w:val="none"/>
          <w:lang w:eastAsia="zh-CN"/>
        </w:rPr>
        <w:t>一名中标人</w:t>
      </w:r>
      <w:r>
        <w:rPr>
          <w:rFonts w:hint="eastAsia" w:ascii="宋体" w:hAnsi="宋体" w:cs="宋体"/>
          <w:bCs/>
          <w:color w:val="auto"/>
          <w:kern w:val="0"/>
          <w:szCs w:val="21"/>
          <w:highlight w:val="none"/>
        </w:rPr>
        <w:t>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存在负偏离的得0分，</w:t>
            </w:r>
            <w:r>
              <w:rPr>
                <w:rFonts w:hint="eastAsia" w:ascii="宋体" w:hAnsi="宋体" w:eastAsia="宋体" w:cs="宋体"/>
                <w:b w:val="0"/>
                <w:bCs w:val="0"/>
                <w:color w:val="000000" w:themeColor="text1"/>
                <w:sz w:val="21"/>
                <w:szCs w:val="21"/>
                <w:highlight w:val="none"/>
                <w14:textFill>
                  <w14:solidFill>
                    <w14:schemeClr w14:val="tx1"/>
                  </w14:solidFill>
                </w14:textFill>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326786897"/>
      <w:bookmarkStart w:id="47" w:name="_Toc1947"/>
      <w:bookmarkStart w:id="48" w:name="_Toc256519703"/>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像素15">
    <w:altName w:val="宋体"/>
    <w:panose1 w:val="020106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050CF"/>
    <w:multiLevelType w:val="singleLevel"/>
    <w:tmpl w:val="DD7050CF"/>
    <w:lvl w:ilvl="0" w:tentative="0">
      <w:start w:val="4"/>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73BE9"/>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CFE2CC9"/>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21389E"/>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62645E"/>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3C0852"/>
    <w:rsid w:val="206A7390"/>
    <w:rsid w:val="206F0406"/>
    <w:rsid w:val="20784063"/>
    <w:rsid w:val="207E346A"/>
    <w:rsid w:val="20874663"/>
    <w:rsid w:val="208E12C3"/>
    <w:rsid w:val="209502A3"/>
    <w:rsid w:val="20A93AEA"/>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62DD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C259AB"/>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14146"/>
    <w:rsid w:val="370B0095"/>
    <w:rsid w:val="3735197D"/>
    <w:rsid w:val="373756A2"/>
    <w:rsid w:val="375E0DA6"/>
    <w:rsid w:val="37761D13"/>
    <w:rsid w:val="378B61A6"/>
    <w:rsid w:val="37CD3F98"/>
    <w:rsid w:val="37DF75BA"/>
    <w:rsid w:val="37E148E2"/>
    <w:rsid w:val="38037262"/>
    <w:rsid w:val="38304889"/>
    <w:rsid w:val="38382675"/>
    <w:rsid w:val="384D5703"/>
    <w:rsid w:val="3851700B"/>
    <w:rsid w:val="385246B6"/>
    <w:rsid w:val="387B329C"/>
    <w:rsid w:val="38A53DB7"/>
    <w:rsid w:val="38BF28B9"/>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7E51DD"/>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5F6DFA"/>
    <w:rsid w:val="488F0E1B"/>
    <w:rsid w:val="48A16B62"/>
    <w:rsid w:val="48BC6222"/>
    <w:rsid w:val="48C245E9"/>
    <w:rsid w:val="48DB312A"/>
    <w:rsid w:val="48DF49D9"/>
    <w:rsid w:val="48E1539E"/>
    <w:rsid w:val="492108CC"/>
    <w:rsid w:val="4933581D"/>
    <w:rsid w:val="49BC2FBD"/>
    <w:rsid w:val="49F66C27"/>
    <w:rsid w:val="4A05334F"/>
    <w:rsid w:val="4A176B9D"/>
    <w:rsid w:val="4A1A7EB8"/>
    <w:rsid w:val="4A244932"/>
    <w:rsid w:val="4A2922C8"/>
    <w:rsid w:val="4A381A7F"/>
    <w:rsid w:val="4A4117B2"/>
    <w:rsid w:val="4A730277"/>
    <w:rsid w:val="4A7A4350"/>
    <w:rsid w:val="4A7E2497"/>
    <w:rsid w:val="4A896826"/>
    <w:rsid w:val="4ABF5E17"/>
    <w:rsid w:val="4AD37C48"/>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404C8A"/>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0B1521"/>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D4E04"/>
    <w:rsid w:val="556F1F83"/>
    <w:rsid w:val="556F3D99"/>
    <w:rsid w:val="55860894"/>
    <w:rsid w:val="558F587D"/>
    <w:rsid w:val="5598250C"/>
    <w:rsid w:val="55B02DF1"/>
    <w:rsid w:val="55DC290C"/>
    <w:rsid w:val="55F01FA1"/>
    <w:rsid w:val="562B59B2"/>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20F05"/>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957157"/>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B70FF"/>
    <w:rsid w:val="763F09AA"/>
    <w:rsid w:val="764F3FCC"/>
    <w:rsid w:val="7650339F"/>
    <w:rsid w:val="76603C9A"/>
    <w:rsid w:val="769534B1"/>
    <w:rsid w:val="76967FC0"/>
    <w:rsid w:val="76BB1CAB"/>
    <w:rsid w:val="76C04050"/>
    <w:rsid w:val="76E65049"/>
    <w:rsid w:val="77076007"/>
    <w:rsid w:val="77413F7E"/>
    <w:rsid w:val="776062B6"/>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7C7EE4"/>
    <w:rsid w:val="7E9C184B"/>
    <w:rsid w:val="7EA72948"/>
    <w:rsid w:val="7EB31EDB"/>
    <w:rsid w:val="7EE70CC0"/>
    <w:rsid w:val="7EEB48DB"/>
    <w:rsid w:val="7EF27444"/>
    <w:rsid w:val="7EF70770"/>
    <w:rsid w:val="7EFE7EFE"/>
    <w:rsid w:val="7F03025A"/>
    <w:rsid w:val="7F265C58"/>
    <w:rsid w:val="7F582CF2"/>
    <w:rsid w:val="7F5C78AC"/>
    <w:rsid w:val="7F8F6BFA"/>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3</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2024-01-29T01:05:19Z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