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lang w:val="en-US" w:eastAsia="zh-CN"/>
        </w:rPr>
      </w:pPr>
      <w:bookmarkStart w:id="0" w:name="_Toc22953395"/>
      <w:bookmarkEnd w:id="0"/>
      <w:bookmarkStart w:id="1" w:name="_Toc22804073"/>
      <w:bookmarkEnd w:id="1"/>
    </w:p>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cs="宋体"/>
          <w:b/>
          <w:bCs/>
          <w:sz w:val="44"/>
          <w:szCs w:val="44"/>
          <w:lang w:val="en-US" w:eastAsia="zh-CN"/>
        </w:rPr>
      </w:pPr>
      <w:r>
        <w:rPr>
          <w:rFonts w:hint="eastAsia" w:cs="宋体"/>
          <w:b/>
          <w:bCs/>
          <w:sz w:val="44"/>
          <w:szCs w:val="44"/>
          <w:lang w:val="en-US" w:eastAsia="zh-CN"/>
        </w:rPr>
        <w:t>驻马店市中心医院皮肤科赛诺秀激光治疗设备全保项目（三次）</w:t>
      </w: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 w:val="48"/>
          <w:szCs w:val="48"/>
        </w:rPr>
      </w:pPr>
      <w:bookmarkStart w:id="86" w:name="_GoBack"/>
      <w:bookmarkEnd w:id="86"/>
    </w:p>
    <w:p>
      <w:pPr>
        <w:pStyle w:val="19"/>
        <w:bidi w:val="0"/>
        <w:jc w:val="center"/>
        <w:rPr>
          <w:rStyle w:val="43"/>
          <w:rFonts w:hint="eastAsia" w:ascii="宋体" w:hAnsi="宋体" w:eastAsia="宋体" w:cs="宋体"/>
          <w:b/>
          <w:bCs/>
          <w:color w:val="auto"/>
          <w:szCs w:val="44"/>
        </w:rPr>
      </w:pPr>
      <w:r>
        <w:rPr>
          <w:rStyle w:val="43"/>
          <w:rFonts w:hint="eastAsia" w:cs="宋体"/>
          <w:b/>
          <w:bCs/>
          <w:color w:val="auto"/>
          <w:sz w:val="72"/>
          <w:szCs w:val="72"/>
          <w:lang w:val="en-US" w:eastAsia="zh-CN"/>
        </w:rPr>
        <w:t>采购</w:t>
      </w:r>
      <w:r>
        <w:rPr>
          <w:rStyle w:val="43"/>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pPr>
        <w:snapToGrid w:val="0"/>
        <w:spacing w:line="380" w:lineRule="exact"/>
        <w:jc w:val="center"/>
        <w:rPr>
          <w:rFonts w:hint="eastAsia" w:ascii="宋体" w:hAnsi="宋体" w:eastAsia="宋体" w:cs="宋体"/>
          <w:b/>
          <w:sz w:val="32"/>
          <w:szCs w:val="32"/>
        </w:rPr>
      </w:pPr>
    </w:p>
    <w:p>
      <w:pPr>
        <w:pStyle w:val="30"/>
        <w:rPr>
          <w:rFonts w:hint="eastAsia"/>
        </w:rPr>
      </w:pPr>
    </w:p>
    <w:p>
      <w:pPr>
        <w:pStyle w:val="58"/>
        <w:rPr>
          <w:rFonts w:hint="eastAsia" w:ascii="宋体" w:hAnsi="宋体" w:eastAsia="宋体" w:cs="宋体"/>
          <w:bCs/>
          <w:sz w:val="2"/>
          <w:szCs w:val="2"/>
        </w:rPr>
      </w:pPr>
    </w:p>
    <w:p>
      <w:pPr>
        <w:rPr>
          <w:rFonts w:hint="eastAsia" w:ascii="宋体" w:hAnsi="宋体" w:eastAsia="宋体" w:cs="宋体"/>
          <w:bCs/>
          <w:sz w:val="2"/>
          <w:szCs w:val="2"/>
        </w:rPr>
      </w:pPr>
    </w:p>
    <w:p>
      <w:pPr>
        <w:spacing w:line="20" w:lineRule="exact"/>
        <w:rPr>
          <w:rFonts w:hint="eastAsia" w:ascii="宋体" w:hAnsi="宋体" w:eastAsia="宋体" w:cs="宋体"/>
          <w:bCs/>
          <w:sz w:val="2"/>
          <w:szCs w:val="2"/>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pPr>
        <w:tabs>
          <w:tab w:val="left" w:pos="2505"/>
          <w:tab w:val="center" w:pos="4535"/>
        </w:tabs>
        <w:snapToGrid w:val="0"/>
        <w:spacing w:line="480" w:lineRule="auto"/>
        <w:jc w:val="center"/>
        <w:rPr>
          <w:rFonts w:hint="eastAsia" w:ascii="宋体" w:hAnsi="宋体" w:eastAsia="宋体" w:cs="宋体"/>
          <w:b/>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lang w:val="en-US" w:eastAsia="zh-CN"/>
        </w:rPr>
        <w:t>202</w:t>
      </w:r>
      <w:r>
        <w:rPr>
          <w:rFonts w:hint="eastAsia" w:ascii="宋体" w:hAnsi="宋体" w:cs="宋体"/>
          <w:b/>
          <w:bCs/>
          <w:spacing w:val="40"/>
          <w:sz w:val="34"/>
          <w:szCs w:val="34"/>
          <w:lang w:val="en-US" w:eastAsia="zh-CN"/>
        </w:rPr>
        <w:t>4</w:t>
      </w:r>
      <w:r>
        <w:rPr>
          <w:rFonts w:hint="eastAsia" w:ascii="宋体" w:hAnsi="宋体" w:eastAsia="宋体" w:cs="宋体"/>
          <w:b/>
          <w:bCs/>
          <w:color w:val="000000" w:themeColor="text1"/>
          <w:spacing w:val="40"/>
          <w:sz w:val="34"/>
          <w:szCs w:val="34"/>
          <w14:textFill>
            <w14:solidFill>
              <w14:schemeClr w14:val="tx1"/>
            </w14:solidFill>
          </w14:textFill>
        </w:rPr>
        <w:t>年</w:t>
      </w:r>
      <w:r>
        <w:rPr>
          <w:rFonts w:hint="eastAsia" w:ascii="宋体" w:hAnsi="宋体" w:cs="宋体"/>
          <w:b/>
          <w:bCs/>
          <w:color w:val="000000" w:themeColor="text1"/>
          <w:spacing w:val="40"/>
          <w:sz w:val="34"/>
          <w:szCs w:val="34"/>
          <w:lang w:val="en-US" w:eastAsia="zh-CN"/>
          <w14:textFill>
            <w14:solidFill>
              <w14:schemeClr w14:val="tx1"/>
            </w14:solidFill>
          </w14:textFill>
        </w:rPr>
        <w:t>1</w:t>
      </w:r>
      <w:r>
        <w:rPr>
          <w:rFonts w:hint="eastAsia" w:ascii="宋体" w:hAnsi="宋体" w:eastAsia="宋体" w:cs="宋体"/>
          <w:b/>
          <w:bCs/>
          <w:color w:val="000000" w:themeColor="text1"/>
          <w:spacing w:val="40"/>
          <w:sz w:val="34"/>
          <w:szCs w:val="34"/>
          <w14:textFill>
            <w14:solidFill>
              <w14:schemeClr w14:val="tx1"/>
            </w14:solidFill>
          </w14:textFill>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2"/>
        <w:rPr>
          <w:color w:val="auto"/>
          <w:highlight w:val="none"/>
        </w:rPr>
      </w:pPr>
    </w:p>
    <w:p>
      <w:pPr>
        <w:pStyle w:val="23"/>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hint="default" w:ascii="宋体" w:hAnsi="宋体" w:eastAsia="宋体" w:cs="宋体"/>
          <w:color w:val="auto"/>
          <w:szCs w:val="21"/>
          <w:highlight w:val="none"/>
          <w:lang w:val="en-US" w:eastAsia="zh-CN"/>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 xml:space="preserve">第三章  </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须知</w:t>
      </w:r>
      <w:r>
        <w:rPr>
          <w:rFonts w:hint="eastAsia" w:ascii="宋体" w:hAnsi="宋体" w:cs="宋体"/>
          <w:color w:val="auto"/>
          <w:szCs w:val="21"/>
          <w:highlight w:val="none"/>
        </w:rPr>
        <w:tab/>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16</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18</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2"/>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default" w:ascii="宋体" w:hAnsi="宋体" w:eastAsia="宋体" w:cs="宋体"/>
          <w:b/>
          <w:bCs w:val="0"/>
          <w:color w:val="auto"/>
          <w:kern w:val="0"/>
          <w:sz w:val="28"/>
          <w:szCs w:val="28"/>
          <w:u w:val="none"/>
          <w:lang w:val="en-US" w:eastAsia="zh-CN"/>
        </w:rPr>
      </w:pPr>
      <w:r>
        <w:rPr>
          <w:rFonts w:hint="eastAsia" w:ascii="宋体" w:hAnsi="宋体" w:cs="宋体"/>
          <w:b/>
          <w:bCs w:val="0"/>
          <w:color w:val="auto"/>
          <w:kern w:val="0"/>
          <w:sz w:val="28"/>
          <w:szCs w:val="28"/>
          <w:u w:val="none"/>
          <w:lang w:val="en-US" w:eastAsia="zh-CN"/>
        </w:rPr>
        <w:t>驻马店市中心医院皮肤科赛诺秀激光治疗设备全保项目</w:t>
      </w:r>
    </w:p>
    <w:p>
      <w:pPr>
        <w:keepNext w:val="0"/>
        <w:keepLines w:val="0"/>
        <w:pageBreakBefore w:val="0"/>
        <w:widowControl/>
        <w:kinsoku/>
        <w:wordWrap/>
        <w:overflowPunct/>
        <w:topLinePunct w:val="0"/>
        <w:autoSpaceDE/>
        <w:autoSpaceDN/>
        <w:bidi w:val="0"/>
        <w:adjustRightInd w:val="0"/>
        <w:snapToGrid w:val="0"/>
        <w:spacing w:beforeAutospacing="0" w:after="157" w:afterLines="50" w:line="360" w:lineRule="auto"/>
        <w:jc w:val="center"/>
        <w:textAlignment w:val="auto"/>
        <w:rPr>
          <w:rFonts w:hint="eastAsia" w:ascii="宋体" w:hAnsi="宋体" w:eastAsia="宋体" w:cs="宋体"/>
          <w:b/>
          <w:bCs w:val="0"/>
          <w:color w:val="auto"/>
          <w:kern w:val="0"/>
          <w:sz w:val="28"/>
          <w:szCs w:val="28"/>
          <w:lang w:eastAsia="zh-CN"/>
        </w:rPr>
      </w:pPr>
      <w:r>
        <w:rPr>
          <w:rFonts w:hint="eastAsia" w:ascii="宋体" w:hAnsi="宋体" w:eastAsia="宋体" w:cs="宋体"/>
          <w:b/>
          <w:bCs w:val="0"/>
          <w:color w:val="auto"/>
          <w:kern w:val="0"/>
          <w:sz w:val="28"/>
          <w:szCs w:val="28"/>
          <w:u w:val="none"/>
          <w:lang w:val="en-US" w:eastAsia="zh-CN"/>
        </w:rPr>
        <w:t>竞争性磋商</w:t>
      </w:r>
      <w:r>
        <w:rPr>
          <w:rFonts w:hint="eastAsia" w:ascii="宋体" w:hAnsi="宋体" w:eastAsia="宋体" w:cs="宋体"/>
          <w:b/>
          <w:bCs w:val="0"/>
          <w:color w:val="auto"/>
          <w:kern w:val="0"/>
          <w:sz w:val="28"/>
          <w:szCs w:val="28"/>
        </w:rPr>
        <w:t>公告</w:t>
      </w:r>
      <w:r>
        <w:rPr>
          <w:rFonts w:hint="eastAsia" w:ascii="宋体" w:hAnsi="宋体" w:cs="宋体"/>
          <w:b/>
          <w:bCs w:val="0"/>
          <w:color w:val="auto"/>
          <w:kern w:val="0"/>
          <w:sz w:val="28"/>
          <w:szCs w:val="28"/>
          <w:lang w:eastAsia="zh-CN"/>
        </w:rPr>
        <w:t>（</w:t>
      </w:r>
      <w:r>
        <w:rPr>
          <w:rFonts w:hint="eastAsia" w:ascii="宋体" w:hAnsi="宋体" w:cs="宋体"/>
          <w:b/>
          <w:bCs w:val="0"/>
          <w:color w:val="auto"/>
          <w:kern w:val="0"/>
          <w:sz w:val="28"/>
          <w:szCs w:val="28"/>
          <w:lang w:val="en-US" w:eastAsia="zh-CN"/>
        </w:rPr>
        <w:t>三次</w:t>
      </w:r>
      <w:r>
        <w:rPr>
          <w:rFonts w:hint="eastAsia" w:ascii="宋体" w:hAnsi="宋体" w:cs="宋体"/>
          <w:b/>
          <w:bCs w:val="0"/>
          <w:color w:val="auto"/>
          <w:kern w:val="0"/>
          <w:sz w:val="28"/>
          <w:szCs w:val="28"/>
          <w:lang w:eastAsia="zh-CN"/>
        </w:rPr>
        <w:t>）</w:t>
      </w:r>
    </w:p>
    <w:p>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cs="宋体"/>
          <w:color w:val="auto"/>
          <w:u w:val="single"/>
          <w:lang w:val="en-US" w:eastAsia="zh-CN"/>
        </w:rPr>
        <w:t xml:space="preserve"> 皮肤科赛诺秀激光治疗设备全保项目（三次） </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驻马店市中心医院皮肤科赛诺秀激光治疗设备全保项目（三次）</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 xml:space="preserve"> 14.7万元</w:t>
      </w:r>
      <w:r>
        <w:rPr>
          <w:rFonts w:hint="eastAsia" w:ascii="宋体" w:hAnsi="宋体" w:eastAsia="宋体" w:cs="宋体"/>
          <w:color w:val="auto"/>
          <w:szCs w:val="21"/>
          <w:highlight w:val="none"/>
          <w:shd w:val="clear" w:color="auto" w:fill="FFFFFF"/>
          <w:lang w:val="en-US"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eastAsia="宋体" w:cs="宋体"/>
          <w:color w:val="auto"/>
          <w:szCs w:val="21"/>
          <w:highlight w:val="none"/>
          <w:shd w:val="clear" w:color="auto" w:fill="FFFFFF"/>
          <w:lang w:val="en-US" w:eastAsia="zh-CN"/>
        </w:rPr>
        <w:t>服务期限：</w:t>
      </w:r>
      <w:r>
        <w:rPr>
          <w:rFonts w:hint="eastAsia" w:ascii="宋体" w:hAnsi="宋体" w:cs="宋体"/>
          <w:color w:val="auto"/>
          <w:szCs w:val="21"/>
          <w:highlight w:val="none"/>
          <w:shd w:val="clear" w:color="auto" w:fill="FFFFFF"/>
          <w:lang w:val="en-US" w:eastAsia="zh-CN"/>
        </w:rPr>
        <w:t>1年</w:t>
      </w:r>
      <w:r>
        <w:rPr>
          <w:rFonts w:hint="eastAsia" w:ascii="宋体" w:hAnsi="宋体" w:eastAsia="宋体" w:cs="宋体"/>
          <w:color w:val="auto"/>
          <w:szCs w:val="21"/>
          <w:highlight w:val="none"/>
          <w:shd w:val="clear" w:color="auto" w:fill="FFFFFF"/>
          <w:lang w:val="en-US"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、质量要求：符合国家现行标准要求</w:t>
      </w:r>
      <w:r>
        <w:rPr>
          <w:rFonts w:hint="eastAsia" w:ascii="宋体" w:hAnsi="宋体" w:eastAsia="宋体" w:cs="宋体"/>
          <w:color w:val="auto"/>
          <w:szCs w:val="21"/>
          <w:highlight w:val="none"/>
          <w:shd w:val="clear" w:color="auto" w:fill="FFFFFF"/>
          <w:lang w:eastAsia="zh-CN"/>
        </w:rPr>
        <w:t>。</w:t>
      </w:r>
    </w:p>
    <w:p>
      <w:pPr>
        <w:keepNext w:val="0"/>
        <w:keepLines w:val="0"/>
        <w:widowControl/>
        <w:snapToGrid w:val="0"/>
        <w:spacing w:before="0" w:after="0" w:line="360" w:lineRule="auto"/>
        <w:jc w:val="left"/>
        <w:outlineLvl w:val="1"/>
        <w:rPr>
          <w:rFonts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pPr>
      <w:bookmarkStart w:id="4" w:name="_Toc23626"/>
      <w:bookmarkStart w:id="5" w:name="_Toc16639"/>
      <w:bookmarkStart w:id="6" w:name="_Toc18607"/>
      <w:bookmarkStart w:id="7" w:name="_Toc27704"/>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二、</w:t>
      </w:r>
      <w:bookmarkEnd w:id="3"/>
      <w:bookmarkEnd w:id="4"/>
      <w:bookmarkEnd w:id="5"/>
      <w:bookmarkEnd w:id="6"/>
      <w:bookmarkEnd w:id="7"/>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供应商资格要求：</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bookmarkStart w:id="8" w:name="_Toc23395"/>
      <w:bookmarkStart w:id="9" w:name="_Toc9562"/>
      <w:bookmarkStart w:id="10" w:name="_Toc30971"/>
      <w:bookmarkStart w:id="11" w:name="_Toc7823"/>
      <w:bookmarkStart w:id="12" w:name="_Toc30643"/>
      <w:r>
        <w:rPr>
          <w:rFonts w:hint="eastAsia" w:ascii="宋体" w:hAnsi="宋体" w:eastAsia="宋体" w:cs="宋体"/>
          <w:color w:val="000000" w:themeColor="text1"/>
          <w:kern w:val="2"/>
          <w:sz w:val="21"/>
          <w:szCs w:val="24"/>
          <w:lang w:val="en-US" w:eastAsia="zh-CN" w:bidi="ar-SA"/>
          <w14:textFill>
            <w14:solidFill>
              <w14:schemeClr w14:val="tx1"/>
            </w14:solidFill>
          </w14:textFill>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2、供应商应提供2022年度经审计的财务报告或者其基本开户银行出具的资信证明；采购活动近三个月或上个季度任意一个月的依法缴纳税收的凭据和缴纳社会保险的凭据；依法免税或不需要缴纳社会保障资金的供应商，应提供相应文件证明其依法免税或不需要缴纳社会保障资金。（新成立企业从成立之日起计算）；</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cs="宋体"/>
          <w:color w:val="000000" w:themeColor="text1"/>
          <w:kern w:val="2"/>
          <w:sz w:val="21"/>
          <w:szCs w:val="24"/>
          <w:lang w:val="en-US" w:eastAsia="zh-CN" w:bidi="ar-SA"/>
          <w14:textFill>
            <w14:solidFill>
              <w14:schemeClr w14:val="tx1"/>
            </w14:solidFill>
          </w14:textFill>
        </w:rPr>
        <w:t>3</w:t>
      </w:r>
      <w:r>
        <w:rPr>
          <w:rFonts w:hint="eastAsia" w:ascii="宋体" w:hAnsi="宋体" w:eastAsia="宋体" w:cs="宋体"/>
          <w:color w:val="000000" w:themeColor="text1"/>
          <w:kern w:val="2"/>
          <w:sz w:val="21"/>
          <w:szCs w:val="24"/>
          <w:lang w:val="en-US" w:eastAsia="zh-CN" w:bidi="ar-SA"/>
          <w14:textFill>
            <w14:solidFill>
              <w14:schemeClr w14:val="tx1"/>
            </w14:solidFill>
          </w14:textFill>
        </w:rPr>
        <w:t>、具有履行合同所必需的设备和专业技术能力（提供书面声明函）；</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cs="宋体"/>
          <w:color w:val="000000" w:themeColor="text1"/>
          <w:kern w:val="2"/>
          <w:sz w:val="21"/>
          <w:szCs w:val="24"/>
          <w:lang w:val="en-US" w:eastAsia="zh-CN" w:bidi="ar-SA"/>
          <w14:textFill>
            <w14:solidFill>
              <w14:schemeClr w14:val="tx1"/>
            </w14:solidFill>
          </w14:textFill>
        </w:rPr>
        <w:t>4</w:t>
      </w:r>
      <w:r>
        <w:rPr>
          <w:rFonts w:hint="eastAsia" w:ascii="宋体" w:hAnsi="宋体" w:eastAsia="宋体" w:cs="宋体"/>
          <w:color w:val="000000" w:themeColor="text1"/>
          <w:kern w:val="2"/>
          <w:sz w:val="21"/>
          <w:szCs w:val="24"/>
          <w:lang w:val="en-US" w:eastAsia="zh-CN" w:bidi="ar-SA"/>
          <w14:textFill>
            <w14:solidFill>
              <w14:schemeClr w14:val="tx1"/>
            </w14:solidFill>
          </w14:textFill>
        </w:rPr>
        <w:t>、参加本采购活动前三年内，在经营活动中没有重大违法记录（提供书面声明函）；</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cs="宋体"/>
          <w:color w:val="000000" w:themeColor="text1"/>
          <w:kern w:val="2"/>
          <w:sz w:val="21"/>
          <w:szCs w:val="24"/>
          <w:lang w:val="en-US" w:eastAsia="zh-CN" w:bidi="ar-SA"/>
          <w14:textFill>
            <w14:solidFill>
              <w14:schemeClr w14:val="tx1"/>
            </w14:solidFill>
          </w14:textFill>
        </w:rPr>
        <w:t>5</w:t>
      </w:r>
      <w:r>
        <w:rPr>
          <w:rFonts w:hint="eastAsia" w:ascii="宋体" w:hAnsi="宋体" w:eastAsia="宋体" w:cs="宋体"/>
          <w:color w:val="000000" w:themeColor="text1"/>
          <w:kern w:val="2"/>
          <w:sz w:val="21"/>
          <w:szCs w:val="24"/>
          <w:lang w:val="en-US" w:eastAsia="zh-CN" w:bidi="ar-SA"/>
          <w14:textFill>
            <w14:solidFill>
              <w14:schemeClr w14:val="tx1"/>
            </w14:solidFill>
          </w14:textFill>
        </w:rPr>
        <w:t>、符合法律、行政法规规定的其他条件；</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cs="宋体"/>
          <w:color w:val="000000" w:themeColor="text1"/>
          <w:kern w:val="2"/>
          <w:sz w:val="21"/>
          <w:szCs w:val="24"/>
          <w:lang w:val="en-US" w:eastAsia="zh-CN" w:bidi="ar-SA"/>
          <w14:textFill>
            <w14:solidFill>
              <w14:schemeClr w14:val="tx1"/>
            </w14:solidFill>
          </w14:textFill>
        </w:rPr>
        <w:t>6</w:t>
      </w:r>
      <w:r>
        <w:rPr>
          <w:rFonts w:hint="eastAsia" w:ascii="宋体" w:hAnsi="宋体" w:eastAsia="宋体" w:cs="宋体"/>
          <w:color w:val="000000" w:themeColor="text1"/>
          <w:kern w:val="2"/>
          <w:sz w:val="21"/>
          <w:szCs w:val="24"/>
          <w:lang w:val="en-US" w:eastAsia="zh-CN" w:bidi="ar-SA"/>
          <w14:textFill>
            <w14:solidFill>
              <w14:schemeClr w14:val="tx1"/>
            </w14:solidFill>
          </w14:textFill>
        </w:rPr>
        <w:t>、特定资格要求</w:t>
      </w:r>
      <w:r>
        <w:rPr>
          <w:rFonts w:hint="eastAsia" w:cs="宋体"/>
          <w:color w:val="000000" w:themeColor="text1"/>
          <w:kern w:val="2"/>
          <w:sz w:val="21"/>
          <w:szCs w:val="24"/>
          <w:lang w:val="en-US" w:eastAsia="zh-CN" w:bidi="ar-SA"/>
          <w14:textFill>
            <w14:solidFill>
              <w14:schemeClr w14:val="tx1"/>
            </w14:solidFill>
          </w14:textFill>
        </w:rPr>
        <w:t>：</w:t>
      </w:r>
      <w:r>
        <w:rPr>
          <w:rFonts w:hint="eastAsia" w:ascii="宋体" w:hAnsi="宋体" w:eastAsia="宋体" w:cs="宋体"/>
          <w:color w:val="000000" w:themeColor="text1"/>
          <w:kern w:val="2"/>
          <w:sz w:val="21"/>
          <w:szCs w:val="24"/>
          <w:lang w:val="en-US" w:eastAsia="zh-CN" w:bidi="ar-SA"/>
          <w14:textFill>
            <w14:solidFill>
              <w14:schemeClr w14:val="tx1"/>
            </w14:solidFill>
          </w14:textFill>
        </w:rPr>
        <w:t>供应商须具有医疗器械经营许可证，是在中华人民共和国境内注册的设备原制造厂商或原制造厂商授权的单位或具备相关设备维修能力的单位（提供证明文件）。</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cs="宋体"/>
          <w:color w:val="000000" w:themeColor="text1"/>
          <w:kern w:val="2"/>
          <w:sz w:val="21"/>
          <w:szCs w:val="24"/>
          <w:lang w:val="en-US" w:eastAsia="zh-CN" w:bidi="ar-SA"/>
          <w14:textFill>
            <w14:solidFill>
              <w14:schemeClr w14:val="tx1"/>
            </w14:solidFill>
          </w14:textFill>
        </w:rPr>
        <w:t>7、</w:t>
      </w:r>
      <w:r>
        <w:rPr>
          <w:rFonts w:hint="eastAsia" w:ascii="宋体" w:hAnsi="宋体" w:eastAsia="宋体" w:cs="宋体"/>
          <w:color w:val="000000" w:themeColor="text1"/>
          <w:kern w:val="2"/>
          <w:sz w:val="21"/>
          <w:szCs w:val="24"/>
          <w:lang w:val="en-US" w:eastAsia="zh-CN" w:bidi="ar-SA"/>
          <w14:textFill>
            <w14:solidFill>
              <w14:schemeClr w14:val="tx1"/>
            </w14:solidFill>
          </w14:textFill>
        </w:rPr>
        <w:t>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lang w:val="en-US" w:eastAsia="zh-CN"/>
        </w:rPr>
      </w:pPr>
      <w:r>
        <w:rPr>
          <w:rFonts w:hint="eastAsia" w:cs="宋体"/>
          <w:color w:val="000000" w:themeColor="text1"/>
          <w:kern w:val="2"/>
          <w:sz w:val="21"/>
          <w:szCs w:val="24"/>
          <w:lang w:val="en-US" w:eastAsia="zh-CN" w:bidi="ar-SA"/>
          <w14:textFill>
            <w14:solidFill>
              <w14:schemeClr w14:val="tx1"/>
            </w14:solidFill>
          </w14:textFill>
        </w:rPr>
        <w:t>8</w:t>
      </w:r>
      <w:r>
        <w:rPr>
          <w:rFonts w:hint="eastAsia" w:ascii="宋体" w:hAnsi="宋体" w:eastAsia="宋体" w:cs="宋体"/>
          <w:color w:val="000000" w:themeColor="text1"/>
          <w:kern w:val="2"/>
          <w:sz w:val="21"/>
          <w:szCs w:val="24"/>
          <w:lang w:val="en-US" w:eastAsia="zh-CN" w:bidi="ar-SA"/>
          <w14:textFill>
            <w14:solidFill>
              <w14:schemeClr w14:val="tx1"/>
            </w14:solidFill>
          </w14:textFill>
        </w:rPr>
        <w:t>、不接受联合体投标。</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4"/>
          <w:lang w:val="en-US" w:eastAsia="zh-CN" w:bidi="ar-SA"/>
        </w:rPr>
      </w:pPr>
      <w:r>
        <w:rPr>
          <w:rFonts w:hint="eastAsia" w:ascii="宋体" w:hAnsi="宋体" w:cs="宋体"/>
          <w:b/>
          <w:bCs/>
          <w:color w:val="auto"/>
          <w:kern w:val="2"/>
          <w:sz w:val="21"/>
          <w:szCs w:val="24"/>
          <w:lang w:val="en-US" w:eastAsia="zh-CN" w:bidi="ar-SA"/>
        </w:rPr>
        <w:t>三</w:t>
      </w:r>
      <w:r>
        <w:rPr>
          <w:rFonts w:hint="eastAsia" w:ascii="宋体" w:hAnsi="宋体" w:eastAsia="宋体" w:cs="宋体"/>
          <w:b/>
          <w:bCs/>
          <w:color w:val="auto"/>
          <w:kern w:val="2"/>
          <w:sz w:val="21"/>
          <w:szCs w:val="24"/>
          <w:lang w:val="en-US" w:eastAsia="zh-CN" w:bidi="ar-SA"/>
        </w:rPr>
        <w:t>、获取采购文件</w:t>
      </w:r>
      <w:bookmarkEnd w:id="8"/>
      <w:bookmarkEnd w:id="9"/>
      <w:bookmarkEnd w:id="10"/>
      <w:bookmarkEnd w:id="11"/>
      <w:bookmarkEnd w:id="12"/>
    </w:p>
    <w:p>
      <w:pPr>
        <w:widowControl/>
        <w:adjustRightInd w:val="0"/>
        <w:snapToGrid w:val="0"/>
        <w:spacing w:line="360" w:lineRule="auto"/>
        <w:ind w:firstLine="420" w:firstLineChars="200"/>
        <w:jc w:val="left"/>
        <w:rPr>
          <w:rFonts w:hint="default" w:ascii="宋体" w:hAnsi="宋体" w:eastAsia="宋体" w:cs="宋体"/>
          <w:color w:val="000000" w:themeColor="text1"/>
          <w:szCs w:val="21"/>
          <w:shd w:val="clear" w:color="auto" w:fill="FFFFFF"/>
          <w:lang w:val="en-US"/>
          <w14:textFill>
            <w14:solidFill>
              <w14:schemeClr w14:val="tx1"/>
            </w14:solidFill>
          </w14:textFill>
        </w:rPr>
      </w:pPr>
      <w:r>
        <w:rPr>
          <w:rFonts w:hint="eastAsia" w:ascii="宋体" w:hAnsi="宋体" w:eastAsia="宋体" w:cs="宋体"/>
          <w:color w:val="auto"/>
          <w:szCs w:val="21"/>
          <w:shd w:val="clear" w:color="auto" w:fill="FFFFFF"/>
        </w:rPr>
        <w:t>1</w:t>
      </w:r>
      <w:r>
        <w:rPr>
          <w:rFonts w:hint="eastAsia" w:ascii="宋体" w:hAnsi="宋体" w:cs="宋体"/>
          <w:color w:val="000000" w:themeColor="text1"/>
          <w:szCs w:val="21"/>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shd w:val="clear" w:color="auto" w:fill="FFFFFF"/>
          <w14:textFill>
            <w14:solidFill>
              <w14:schemeClr w14:val="tx1"/>
            </w14:solidFill>
          </w14:textFill>
        </w:rPr>
        <w:t>时间：</w:t>
      </w:r>
      <w:r>
        <w:rPr>
          <w:rFonts w:hint="eastAsia" w:ascii="宋体" w:hAnsi="宋体" w:eastAsia="宋体" w:cs="宋体"/>
          <w:color w:val="auto"/>
          <w:szCs w:val="21"/>
          <w:highlight w:val="none"/>
          <w:shd w:val="clear" w:color="auto" w:fill="FFFFFF"/>
        </w:rPr>
        <w:t>20</w:t>
      </w:r>
      <w:r>
        <w:rPr>
          <w:rFonts w:hint="eastAsia" w:ascii="宋体" w:hAnsi="宋体" w:cs="宋体"/>
          <w:color w:val="auto"/>
          <w:szCs w:val="21"/>
          <w:highlight w:val="none"/>
          <w:shd w:val="clear" w:color="auto" w:fill="FFFFFF"/>
          <w:lang w:val="en-US" w:eastAsia="zh-CN"/>
        </w:rPr>
        <w:t>24</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25</w:t>
      </w:r>
      <w:r>
        <w:rPr>
          <w:rFonts w:hint="eastAsia" w:ascii="宋体" w:hAnsi="宋体" w:eastAsia="宋体" w:cs="宋体"/>
          <w:color w:val="auto"/>
          <w:szCs w:val="21"/>
          <w:highlight w:val="none"/>
          <w:shd w:val="clear" w:color="auto" w:fill="FFFFFF"/>
        </w:rPr>
        <w:t>日-202</w:t>
      </w: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29</w:t>
      </w:r>
      <w:r>
        <w:rPr>
          <w:rFonts w:hint="eastAsia" w:ascii="宋体" w:hAnsi="宋体" w:eastAsia="宋体" w:cs="宋体"/>
          <w:color w:val="auto"/>
          <w:szCs w:val="21"/>
          <w:highlight w:val="none"/>
          <w:shd w:val="clear" w:color="auto" w:fill="FFFFFF"/>
        </w:rPr>
        <w:t>日</w:t>
      </w:r>
      <w:r>
        <w:rPr>
          <w:rFonts w:hint="eastAsia" w:ascii="宋体" w:hAnsi="宋体" w:eastAsia="宋体" w:cs="宋体"/>
          <w:color w:val="000000" w:themeColor="text1"/>
          <w:szCs w:val="21"/>
          <w:shd w:val="clear" w:color="auto" w:fill="FFFFFF"/>
          <w14:textFill>
            <w14:solidFill>
              <w14:schemeClr w14:val="tx1"/>
            </w14:solidFill>
          </w14:textFill>
        </w:rPr>
        <w:t>，上午8：30-11:30，下午14:30-17:30（北京时间，法定节假日除外）</w:t>
      </w:r>
      <w:r>
        <w:rPr>
          <w:rFonts w:hint="eastAsia" w:ascii="宋体" w:hAnsi="宋体" w:eastAsia="宋体" w:cs="宋体"/>
          <w:color w:val="000000" w:themeColor="text1"/>
          <w:szCs w:val="21"/>
          <w:shd w:val="clear" w:color="auto" w:fill="FFFFFF"/>
          <w:lang w:eastAsia="zh-CN"/>
          <w14:textFill>
            <w14:solidFill>
              <w14:schemeClr w14:val="tx1"/>
            </w14:solidFill>
          </w14:textFill>
        </w:rPr>
        <w:t>，</w:t>
      </w:r>
      <w:r>
        <w:rPr>
          <w:rFonts w:hint="eastAsia" w:ascii="宋体" w:hAnsi="宋体" w:cs="宋体"/>
          <w:color w:val="000000" w:themeColor="text1"/>
          <w:szCs w:val="21"/>
          <w:shd w:val="clear" w:color="auto" w:fill="FFFFFF"/>
          <w:lang w:val="en-US" w:eastAsia="zh-CN"/>
          <w14:textFill>
            <w14:solidFill>
              <w14:schemeClr w14:val="tx1"/>
            </w14:solidFill>
          </w14:textFill>
        </w:rPr>
        <w:t>报名费用</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w:t>
      </w:r>
      <w:r>
        <w:rPr>
          <w:rFonts w:hint="eastAsia" w:ascii="宋体" w:hAnsi="宋体" w:cs="宋体"/>
          <w:color w:val="000000" w:themeColor="text1"/>
          <w:szCs w:val="21"/>
          <w:shd w:val="clear" w:color="auto" w:fill="FFFFFF"/>
          <w:lang w:val="en-US" w:eastAsia="zh-CN"/>
          <w14:textFill>
            <w14:solidFill>
              <w14:schemeClr w14:val="tx1"/>
            </w14:solidFill>
          </w14:textFill>
        </w:rPr>
        <w:t>2</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00元</w:t>
      </w:r>
      <w:r>
        <w:rPr>
          <w:rFonts w:hint="eastAsia" w:ascii="宋体" w:hAnsi="宋体" w:cs="宋体"/>
          <w:color w:val="000000" w:themeColor="text1"/>
          <w:szCs w:val="21"/>
          <w:shd w:val="clear" w:color="auto" w:fill="FFFFFF"/>
          <w:lang w:val="en-US" w:eastAsia="zh-CN"/>
          <w14:textFill>
            <w14:solidFill>
              <w14:schemeClr w14:val="tx1"/>
            </w14:solidFill>
          </w14:textFill>
        </w:rPr>
        <w:t>。</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2.凡报名成功的供应商无故不来参与投标的，列入我院黑名</w:t>
      </w:r>
      <w:r>
        <w:rPr>
          <w:rFonts w:hint="eastAsia" w:ascii="宋体" w:hAnsi="宋体" w:eastAsia="宋体" w:cs="宋体"/>
          <w:color w:val="auto"/>
          <w:kern w:val="0"/>
          <w:sz w:val="21"/>
          <w:szCs w:val="21"/>
          <w:shd w:val="clear" w:color="auto" w:fill="FFFFFF"/>
          <w:lang w:val="en-US" w:eastAsia="zh-CN" w:bidi="ar-SA"/>
        </w:rPr>
        <w:t xml:space="preserve">单，一年内不得参与我院任何采购活动。中标供应商缴纳相应服务费。 </w:t>
      </w:r>
    </w:p>
    <w:p>
      <w:pPr>
        <w:widowControl/>
        <w:wordWrap w:val="0"/>
        <w:snapToGrid w:val="0"/>
        <w:spacing w:before="0" w:beforeAutospacing="0" w:after="0" w:afterAutospacing="0" w:line="360" w:lineRule="auto"/>
        <w:ind w:left="0" w:leftChars="0" w:firstLine="420" w:firstLineChars="200"/>
        <w:jc w:val="left"/>
        <w:rPr>
          <w:rFonts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cs="宋体"/>
          <w:color w:val="auto"/>
          <w:kern w:val="0"/>
          <w:sz w:val="21"/>
          <w:szCs w:val="21"/>
          <w:shd w:val="clear" w:color="auto" w:fill="FFFFFF"/>
          <w:lang w:val="en-US" w:eastAsia="zh-CN" w:bidi="ar-SA"/>
        </w:rPr>
        <w:t>2521227903</w:t>
      </w:r>
      <w:r>
        <w:rPr>
          <w:rFonts w:hint="eastAsia" w:ascii="宋体" w:hAnsi="宋体" w:eastAsia="宋体" w:cs="宋体"/>
          <w:color w:val="auto"/>
          <w:kern w:val="0"/>
          <w:sz w:val="21"/>
          <w:szCs w:val="21"/>
          <w:shd w:val="clear" w:color="auto" w:fill="FFFFFF"/>
          <w:lang w:val="en-US" w:eastAsia="zh-CN" w:bidi="ar-SA"/>
        </w:rPr>
        <w:t>@qq.com并标明XX公司XX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eastAsia="宋体" w:cs="宋体"/>
          <w:color w:val="auto"/>
          <w:kern w:val="0"/>
          <w:sz w:val="21"/>
          <w:szCs w:val="21"/>
          <w:shd w:val="clear" w:color="auto" w:fill="FFFFFF"/>
          <w:lang w:val="en-US" w:eastAsia="zh-CN" w:bidi="ar-SA"/>
        </w:rPr>
        <w:t>项目报名资料；审核通过后按要求交纳报名费。</w:t>
      </w:r>
    </w:p>
    <w:p>
      <w:pPr>
        <w:widowControl/>
        <w:wordWrap w:val="0"/>
        <w:snapToGrid w:val="0"/>
        <w:spacing w:before="0" w:beforeAutospacing="0" w:after="0" w:afterAutospacing="0" w:line="360" w:lineRule="auto"/>
        <w:ind w:left="420" w:left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3" w:name="_Toc15111"/>
      <w:bookmarkStart w:id="14" w:name="_Toc27480"/>
      <w:bookmarkStart w:id="15" w:name="_Toc25869"/>
      <w:bookmarkStart w:id="16" w:name="_Toc15135"/>
      <w:bookmarkStart w:id="17" w:name="_Toc10738"/>
      <w:r>
        <w:rPr>
          <w:rFonts w:hint="eastAsia" w:ascii="宋体" w:hAnsi="宋体" w:cs="宋体"/>
          <w:b/>
          <w:bCs/>
          <w:color w:val="auto"/>
          <w:kern w:val="2"/>
          <w:sz w:val="21"/>
          <w:szCs w:val="21"/>
          <w:shd w:val="clear" w:color="auto" w:fill="FFFFFF"/>
          <w:lang w:val="en-US" w:eastAsia="zh-CN" w:bidi="ar-SA"/>
        </w:rPr>
        <w:t>四</w:t>
      </w:r>
      <w:r>
        <w:rPr>
          <w:rFonts w:hint="eastAsia" w:ascii="宋体" w:hAnsi="宋体" w:eastAsia="宋体" w:cs="宋体"/>
          <w:b/>
          <w:bCs/>
          <w:color w:val="auto"/>
          <w:kern w:val="2"/>
          <w:sz w:val="21"/>
          <w:szCs w:val="21"/>
          <w:shd w:val="clear" w:color="auto" w:fill="FFFFFF"/>
          <w:lang w:val="en-US" w:eastAsia="zh-CN" w:bidi="ar-SA"/>
        </w:rPr>
        <w:t>、投标截止时间及地点</w:t>
      </w:r>
      <w:bookmarkEnd w:id="13"/>
      <w:bookmarkEnd w:id="14"/>
      <w:bookmarkEnd w:id="15"/>
      <w:bookmarkEnd w:id="16"/>
      <w:bookmarkEnd w:id="17"/>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r>
        <w:rPr>
          <w:rFonts w:hint="eastAsia" w:ascii="宋体" w:hAnsi="宋体" w:cs="宋体"/>
          <w:b/>
          <w:bCs/>
          <w:color w:val="auto"/>
          <w:kern w:val="2"/>
          <w:sz w:val="21"/>
          <w:szCs w:val="21"/>
          <w:shd w:val="clear" w:color="auto" w:fill="FFFFFF"/>
          <w:lang w:val="en-US" w:eastAsia="zh-CN" w:bidi="ar-SA"/>
        </w:rPr>
        <w:t>五</w:t>
      </w:r>
      <w:r>
        <w:rPr>
          <w:rFonts w:hint="eastAsia" w:ascii="宋体" w:hAnsi="宋体" w:eastAsia="宋体" w:cs="宋体"/>
          <w:b/>
          <w:bCs/>
          <w:color w:val="auto"/>
          <w:kern w:val="2"/>
          <w:sz w:val="21"/>
          <w:szCs w:val="21"/>
          <w:shd w:val="clear" w:color="auto" w:fill="FFFFFF"/>
          <w:lang w:val="en-US" w:eastAsia="zh-CN" w:bidi="ar-SA"/>
        </w:rPr>
        <w:t>、开标时间及地点</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cs="宋体"/>
          <w:color w:val="auto"/>
          <w:kern w:val="0"/>
          <w:sz w:val="21"/>
          <w:szCs w:val="21"/>
          <w:highlight w:val="none"/>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8" w:name="_Toc6523"/>
      <w:bookmarkStart w:id="19" w:name="_Toc30918"/>
      <w:bookmarkStart w:id="20" w:name="_Toc20287"/>
      <w:bookmarkStart w:id="21" w:name="_Toc29784"/>
      <w:r>
        <w:rPr>
          <w:rFonts w:hint="eastAsia" w:ascii="宋体" w:hAnsi="宋体" w:cs="宋体"/>
          <w:b/>
          <w:bCs/>
          <w:color w:val="auto"/>
          <w:kern w:val="2"/>
          <w:sz w:val="21"/>
          <w:szCs w:val="21"/>
          <w:shd w:val="clear" w:color="auto" w:fill="FFFFFF"/>
          <w:lang w:val="en-US" w:eastAsia="zh-CN" w:bidi="ar-SA"/>
        </w:rPr>
        <w:t>六</w:t>
      </w:r>
      <w:r>
        <w:rPr>
          <w:rFonts w:hint="eastAsia" w:ascii="宋体" w:hAnsi="宋体" w:eastAsia="宋体" w:cs="宋体"/>
          <w:b/>
          <w:bCs/>
          <w:color w:val="auto"/>
          <w:kern w:val="2"/>
          <w:sz w:val="21"/>
          <w:szCs w:val="21"/>
          <w:shd w:val="clear" w:color="auto" w:fill="FFFFFF"/>
          <w:lang w:val="en-US" w:eastAsia="zh-CN" w:bidi="ar-SA"/>
        </w:rPr>
        <w:t>、发布公告的媒介及</w:t>
      </w:r>
      <w:r>
        <w:rPr>
          <w:rFonts w:hint="eastAsia" w:ascii="宋体" w:hAnsi="宋体" w:eastAsia="宋体" w:cs="宋体"/>
          <w:b/>
          <w:bCs/>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18"/>
      <w:bookmarkEnd w:id="19"/>
      <w:bookmarkEnd w:id="20"/>
      <w:bookmarkEnd w:id="21"/>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w:t>
      </w:r>
      <w:r>
        <w:rPr>
          <w:rFonts w:hint="eastAsia" w:ascii="宋体" w:hAnsi="宋体" w:cs="宋体"/>
          <w:color w:val="auto"/>
          <w:kern w:val="0"/>
          <w:sz w:val="21"/>
          <w:szCs w:val="21"/>
          <w:shd w:val="clear" w:color="auto" w:fill="FFFFFF"/>
          <w:lang w:val="en-US" w:eastAsia="zh-CN" w:bidi="ar-SA"/>
        </w:rPr>
        <w:t>院内</w:t>
      </w:r>
      <w:r>
        <w:rPr>
          <w:rFonts w:hint="eastAsia" w:ascii="宋体" w:hAnsi="宋体" w:eastAsia="宋体" w:cs="宋体"/>
          <w:color w:val="auto"/>
          <w:kern w:val="0"/>
          <w:sz w:val="21"/>
          <w:szCs w:val="21"/>
          <w:shd w:val="clear" w:color="auto" w:fill="FFFFFF"/>
          <w:lang w:val="en-US" w:eastAsia="zh-CN" w:bidi="ar-SA"/>
        </w:rPr>
        <w:t>网</w:t>
      </w:r>
      <w:r>
        <w:rPr>
          <w:rFonts w:hint="eastAsia" w:ascii="宋体" w:hAnsi="宋体" w:eastAsia="宋体" w:cs="宋体"/>
          <w:color w:val="auto"/>
          <w:sz w:val="21"/>
          <w:szCs w:val="21"/>
          <w:shd w:val="clear" w:color="auto" w:fill="auto"/>
        </w:rPr>
        <w:t>上发布</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cs="宋体"/>
          <w:color w:val="auto"/>
          <w:sz w:val="21"/>
          <w:szCs w:val="21"/>
          <w:highlight w:val="none"/>
          <w:shd w:val="clear" w:color="auto" w:fill="auto"/>
          <w:lang w:eastAsia="zh-CN"/>
        </w:rPr>
        <w:t>公告期限为</w:t>
      </w:r>
      <w:r>
        <w:rPr>
          <w:rFonts w:hint="eastAsia" w:ascii="宋体" w:hAnsi="宋体" w:cs="宋体"/>
          <w:color w:val="auto"/>
          <w:sz w:val="21"/>
          <w:szCs w:val="21"/>
          <w:highlight w:val="none"/>
          <w:shd w:val="clear" w:color="auto" w:fill="auto"/>
          <w:lang w:val="en-US" w:eastAsia="zh-CN"/>
        </w:rPr>
        <w:t>三</w:t>
      </w:r>
      <w:r>
        <w:rPr>
          <w:rFonts w:hint="eastAsia" w:ascii="宋体" w:hAnsi="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626"/>
      <w:bookmarkStart w:id="23" w:name="_Toc35393795"/>
    </w:p>
    <w:bookmarkEnd w:id="22"/>
    <w:bookmarkEnd w:id="23"/>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24" w:name="_Toc31928"/>
      <w:bookmarkStart w:id="25" w:name="_Toc24274"/>
      <w:bookmarkStart w:id="26" w:name="_Toc16291"/>
      <w:bookmarkStart w:id="27" w:name="_Toc27370"/>
      <w:bookmarkStart w:id="28" w:name="_Toc3604"/>
      <w:r>
        <w:rPr>
          <w:rFonts w:hint="eastAsia" w:ascii="宋体" w:hAnsi="宋体" w:cs="宋体"/>
          <w:b/>
          <w:bCs/>
          <w:color w:val="auto"/>
          <w:kern w:val="2"/>
          <w:sz w:val="21"/>
          <w:szCs w:val="21"/>
          <w:shd w:val="clear" w:color="auto" w:fill="FFFFFF"/>
          <w:lang w:val="en-US" w:eastAsia="zh-CN" w:bidi="ar-SA"/>
        </w:rPr>
        <w:t>七</w:t>
      </w:r>
      <w:r>
        <w:rPr>
          <w:rFonts w:hint="eastAsia" w:ascii="宋体" w:hAnsi="宋体" w:eastAsia="宋体" w:cs="宋体"/>
          <w:b/>
          <w:bCs/>
          <w:color w:val="auto"/>
          <w:kern w:val="2"/>
          <w:sz w:val="21"/>
          <w:szCs w:val="21"/>
          <w:shd w:val="clear" w:color="auto" w:fill="FFFFFF"/>
          <w:lang w:val="en-US" w:eastAsia="zh-CN" w:bidi="ar-SA"/>
        </w:rPr>
        <w:t>、</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报名联系人1：杨先生</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联系电话：19139503257</w:t>
      </w:r>
    </w:p>
    <w:p>
      <w:pPr>
        <w:widowControl/>
        <w:snapToGrid w:val="0"/>
        <w:spacing w:before="0" w:beforeAutospacing="0" w:after="0" w:afterAutospacing="0" w:line="360" w:lineRule="auto"/>
        <w:ind w:firstLine="420" w:firstLineChars="200"/>
        <w:jc w:val="left"/>
        <w:rPr>
          <w:rFonts w:hint="default"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报名联系人2：</w:t>
      </w:r>
      <w:r>
        <w:rPr>
          <w:rFonts w:hint="eastAsia" w:ascii="宋体" w:hAnsi="宋体" w:cs="宋体"/>
          <w:color w:val="auto"/>
          <w:kern w:val="0"/>
          <w:sz w:val="21"/>
          <w:szCs w:val="21"/>
          <w:shd w:val="clear" w:color="auto" w:fill="FFFFFF"/>
          <w:lang w:val="en-US" w:eastAsia="zh-CN" w:bidi="ar-SA"/>
        </w:rPr>
        <w:t>余女士</w:t>
      </w:r>
    </w:p>
    <w:p>
      <w:pPr>
        <w:widowControl/>
        <w:snapToGrid w:val="0"/>
        <w:spacing w:before="0" w:beforeAutospacing="0" w:after="0" w:afterAutospacing="0" w:line="360" w:lineRule="auto"/>
        <w:ind w:firstLine="420" w:firstLineChars="200"/>
        <w:jc w:val="left"/>
        <w:rPr>
          <w:rFonts w:hint="default"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w:t>
      </w:r>
      <w:r>
        <w:rPr>
          <w:rFonts w:hint="eastAsia" w:ascii="宋体" w:hAnsi="宋体" w:cs="宋体"/>
          <w:color w:val="auto"/>
          <w:kern w:val="0"/>
          <w:sz w:val="21"/>
          <w:szCs w:val="21"/>
          <w:shd w:val="clear" w:color="auto" w:fill="FFFFFF"/>
          <w:lang w:val="en-US" w:eastAsia="zh-CN" w:bidi="ar-SA"/>
        </w:rPr>
        <w:t>13783961021</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联系人：陈先生</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联系电话：0396-2726379</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"mailto:zxyyjzcgbgs@163.com"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zxyyjzcgbgs@163.com</w:t>
      </w:r>
      <w:r>
        <w:rPr>
          <w:rFonts w:hint="eastAsia" w:ascii="宋体" w:hAnsi="宋体" w:eastAsia="宋体" w:cs="宋体"/>
          <w:color w:val="auto"/>
          <w:kern w:val="0"/>
          <w:sz w:val="21"/>
          <w:szCs w:val="21"/>
          <w:shd w:val="clear" w:color="auto" w:fill="FFFFFF"/>
          <w:lang w:val="en-US" w:eastAsia="zh-CN" w:bidi="ar-SA"/>
        </w:rPr>
        <w:fldChar w:fldCharType="end"/>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监督部门：驻马店市中心医院纪检监察室</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监督电话：0396-2726678</w:t>
      </w:r>
    </w:p>
    <w:p>
      <w:pPr>
        <w:pStyle w:val="30"/>
        <w:rPr>
          <w:rFonts w:hint="eastAsia"/>
          <w:lang w:val="en-US" w:eastAsia="zh-CN"/>
        </w:rPr>
      </w:pPr>
    </w:p>
    <w:p>
      <w:pPr>
        <w:widowControl/>
        <w:snapToGrid w:val="0"/>
        <w:spacing w:before="0" w:beforeAutospacing="0" w:after="0" w:afterAutospacing="0" w:line="360" w:lineRule="auto"/>
        <w:ind w:firstLine="420" w:firstLineChars="200"/>
        <w:jc w:val="right"/>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shd w:val="clear" w:color="auto" w:fill="FFFFFF"/>
          <w:lang w:val="en-US" w:eastAsia="zh-CN" w:bidi="ar-SA"/>
        </w:rPr>
        <w:t>驻马</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店市中心医院采购科</w:t>
      </w:r>
    </w:p>
    <w:p>
      <w:pPr>
        <w:pStyle w:val="28"/>
        <w:widowControl/>
        <w:snapToGrid w:val="0"/>
        <w:spacing w:before="0" w:beforeAutospacing="0" w:after="0" w:afterAutospacing="0" w:line="360" w:lineRule="auto"/>
        <w:ind w:firstLine="420" w:firstLineChars="200"/>
        <w:jc w:val="center"/>
        <w:rPr>
          <w:rFonts w:ascii="宋体" w:hAnsi="宋体" w:cs="宋体"/>
          <w:color w:val="000000" w:themeColor="text1"/>
          <w:sz w:val="21"/>
          <w:szCs w:val="21"/>
          <w:highlight w:val="none"/>
          <w:shd w:val="clear" w:color="auto" w:fill="FFFFFF"/>
          <w14:textFill>
            <w14:solidFill>
              <w14:schemeClr w14:val="tx1"/>
            </w14:solidFill>
          </w14:textFill>
        </w:rPr>
      </w:pPr>
      <w:r>
        <w:rPr>
          <w:rFonts w:hint="eastAsia" w:ascii="宋体" w:hAnsi="宋体" w:cs="宋体"/>
          <w:color w:val="000000" w:themeColor="text1"/>
          <w:kern w:val="0"/>
          <w:sz w:val="21"/>
          <w:szCs w:val="21"/>
          <w:shd w:val="clear" w:color="auto" w:fill="FFFFFF"/>
          <w:lang w:val="en-US" w:eastAsia="zh-CN" w:bidi="ar-SA"/>
          <w14:textFill>
            <w14:solidFill>
              <w14:schemeClr w14:val="tx1"/>
            </w14:solidFill>
          </w14:textFill>
        </w:rPr>
        <w:t xml:space="preserve">                                                     </w:t>
      </w:r>
      <w:r>
        <w:rPr>
          <w:rFonts w:hint="eastAsia" w:ascii="宋体" w:hAnsi="宋体" w:cs="宋体"/>
          <w:color w:val="auto"/>
          <w:kern w:val="0"/>
          <w:sz w:val="21"/>
          <w:szCs w:val="21"/>
          <w:shd w:val="clear" w:color="auto" w:fill="FFFFFF"/>
          <w:lang w:val="en-US" w:eastAsia="zh-CN" w:bidi="ar-SA"/>
        </w:rPr>
        <w:t xml:space="preserve"> </w:t>
      </w:r>
      <w:r>
        <w:rPr>
          <w:rFonts w:hint="eastAsia" w:ascii="宋体" w:hAnsi="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kern w:val="0"/>
          <w:sz w:val="21"/>
          <w:szCs w:val="21"/>
          <w:highlight w:val="none"/>
          <w:shd w:val="clear" w:color="auto" w:fill="FFFFFF"/>
          <w:lang w:val="en-US" w:eastAsia="zh-CN" w:bidi="ar-SA"/>
        </w:rPr>
        <w:t>202</w:t>
      </w:r>
      <w:r>
        <w:rPr>
          <w:rFonts w:hint="eastAsia" w:ascii="宋体" w:hAnsi="宋体" w:cs="宋体"/>
          <w:color w:val="auto"/>
          <w:kern w:val="0"/>
          <w:sz w:val="21"/>
          <w:szCs w:val="21"/>
          <w:highlight w:val="none"/>
          <w:shd w:val="clear" w:color="auto" w:fill="FFFFFF"/>
          <w:lang w:val="en-US" w:eastAsia="zh-CN" w:bidi="ar-SA"/>
        </w:rPr>
        <w:t>4</w:t>
      </w:r>
      <w:r>
        <w:rPr>
          <w:rFonts w:hint="eastAsia" w:ascii="宋体" w:hAnsi="宋体" w:eastAsia="宋体" w:cs="宋体"/>
          <w:color w:val="auto"/>
          <w:kern w:val="0"/>
          <w:sz w:val="21"/>
          <w:szCs w:val="21"/>
          <w:highlight w:val="none"/>
          <w:shd w:val="clear" w:color="auto" w:fill="FFFFFF"/>
          <w:lang w:val="en-US" w:eastAsia="zh-CN" w:bidi="ar-SA"/>
        </w:rPr>
        <w:t>年</w:t>
      </w:r>
      <w:r>
        <w:rPr>
          <w:rFonts w:hint="eastAsia" w:ascii="宋体" w:hAnsi="宋体" w:cs="宋体"/>
          <w:color w:val="auto"/>
          <w:kern w:val="0"/>
          <w:sz w:val="21"/>
          <w:szCs w:val="21"/>
          <w:highlight w:val="none"/>
          <w:shd w:val="clear" w:color="auto" w:fill="FFFFFF"/>
          <w:lang w:val="en-US" w:eastAsia="zh-CN" w:bidi="ar-SA"/>
        </w:rPr>
        <w:t xml:space="preserve"> 1</w:t>
      </w:r>
      <w:r>
        <w:rPr>
          <w:rFonts w:hint="eastAsia" w:ascii="宋体" w:hAnsi="宋体" w:eastAsia="宋体" w:cs="宋体"/>
          <w:color w:val="auto"/>
          <w:kern w:val="0"/>
          <w:sz w:val="21"/>
          <w:szCs w:val="21"/>
          <w:highlight w:val="none"/>
          <w:shd w:val="clear" w:color="auto" w:fill="FFFFFF"/>
          <w:lang w:val="en-US" w:eastAsia="zh-CN" w:bidi="ar-SA"/>
        </w:rPr>
        <w:t>月</w:t>
      </w:r>
      <w:r>
        <w:rPr>
          <w:rFonts w:hint="eastAsia" w:ascii="宋体" w:hAnsi="宋体" w:cs="宋体"/>
          <w:color w:val="auto"/>
          <w:kern w:val="0"/>
          <w:sz w:val="21"/>
          <w:szCs w:val="21"/>
          <w:highlight w:val="none"/>
          <w:shd w:val="clear" w:color="auto" w:fill="FFFFFF"/>
          <w:lang w:val="en-US" w:eastAsia="zh-CN" w:bidi="ar-SA"/>
        </w:rPr>
        <w:t>24</w:t>
      </w:r>
      <w:r>
        <w:rPr>
          <w:rFonts w:hint="eastAsia" w:ascii="宋体" w:hAnsi="宋体" w:eastAsia="宋体" w:cs="宋体"/>
          <w:color w:val="auto"/>
          <w:kern w:val="0"/>
          <w:sz w:val="21"/>
          <w:szCs w:val="21"/>
          <w:highlight w:val="none"/>
          <w:shd w:val="clear" w:color="auto" w:fill="FFFFFF"/>
          <w:lang w:val="en-US" w:eastAsia="zh-CN" w:bidi="ar-SA"/>
        </w:rPr>
        <w:t>日</w:t>
      </w:r>
    </w:p>
    <w:p>
      <w:pPr>
        <w:pStyle w:val="28"/>
        <w:widowControl/>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rPr>
          <w:rFonts w:hint="eastAsia" w:ascii="宋体" w:hAnsi="宋体"/>
          <w:b/>
          <w:color w:val="auto"/>
          <w:sz w:val="32"/>
          <w:szCs w:val="32"/>
          <w:highlight w:val="none"/>
        </w:rPr>
      </w:pPr>
      <w:bookmarkStart w:id="29" w:name="_Toc25063"/>
      <w:bookmarkStart w:id="30" w:name="_Toc29890"/>
      <w:bookmarkStart w:id="31" w:name="_Toc23793"/>
      <w:r>
        <w:rPr>
          <w:rFonts w:hint="eastAsia" w:ascii="宋体" w:hAnsi="宋体"/>
          <w:b/>
          <w:color w:val="auto"/>
          <w:sz w:val="32"/>
          <w:szCs w:val="32"/>
          <w:highlight w:val="none"/>
        </w:rPr>
        <w:br w:type="page"/>
      </w:r>
    </w:p>
    <w:p>
      <w:pPr>
        <w:widowControl/>
        <w:spacing w:line="360" w:lineRule="auto"/>
        <w:ind w:firstLine="643" w:firstLineChars="200"/>
        <w:jc w:val="center"/>
        <w:outlineLvl w:val="0"/>
        <w:rPr>
          <w:rFonts w:ascii="宋体" w:hAnsi="宋体"/>
          <w:b/>
          <w:color w:val="auto"/>
          <w:sz w:val="32"/>
          <w:szCs w:val="32"/>
          <w:highlight w:val="none"/>
        </w:rPr>
      </w:pPr>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29"/>
      <w:bookmarkStart w:id="32" w:name="_Toc31536"/>
      <w:bookmarkStart w:id="33" w:name="_Toc23610"/>
      <w:bookmarkStart w:id="34" w:name="_Toc9989"/>
    </w:p>
    <w:bookmarkEnd w:id="30"/>
    <w:bookmarkEnd w:id="31"/>
    <w:bookmarkEnd w:id="32"/>
    <w:bookmarkEnd w:id="33"/>
    <w:bookmarkEnd w:id="34"/>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i w:val="0"/>
          <w:iCs/>
          <w:sz w:val="21"/>
          <w:szCs w:val="21"/>
          <w:highlight w:val="none"/>
          <w:u w:val="none"/>
          <w:lang w:val="en-US" w:eastAsia="zh-CN"/>
        </w:rPr>
      </w:pPr>
      <w:bookmarkStart w:id="35" w:name="_Toc14504"/>
      <w:r>
        <w:rPr>
          <w:rFonts w:hint="eastAsia" w:ascii="宋体" w:hAnsi="宋体" w:eastAsia="宋体" w:cs="宋体"/>
          <w:i w:val="0"/>
          <w:iCs/>
          <w:sz w:val="21"/>
          <w:szCs w:val="21"/>
          <w:highlight w:val="none"/>
          <w:u w:val="none"/>
          <w:lang w:val="en-US" w:eastAsia="zh-CN"/>
        </w:rPr>
        <w:t>一、项目名称、数量：驻马店市中心医院皮肤科赛诺秀激光治疗设备全保项目</w:t>
      </w:r>
    </w:p>
    <w:p>
      <w:pPr>
        <w:pStyle w:val="14"/>
        <w:keepNext w:val="0"/>
        <w:keepLines w:val="0"/>
        <w:pageBreakBefore w:val="0"/>
        <w:widowControl/>
        <w:kinsoku/>
        <w:wordWrap/>
        <w:overflowPunct/>
        <w:topLinePunct w:val="0"/>
        <w:autoSpaceDE/>
        <w:autoSpaceDN/>
        <w:bidi w:val="0"/>
        <w:adjustRightInd/>
        <w:snapToGrid w:val="0"/>
        <w:spacing w:beforeAutospacing="0" w:afterAutospacing="0" w:line="480" w:lineRule="auto"/>
        <w:ind w:firstLine="420" w:firstLineChars="200"/>
        <w:jc w:val="both"/>
        <w:textAlignment w:val="auto"/>
        <w:rPr>
          <w:rFonts w:hint="eastAsia" w:ascii="宋体" w:hAnsi="宋体" w:eastAsia="宋体" w:cs="宋体"/>
          <w:i w:val="0"/>
          <w:iCs/>
          <w:sz w:val="21"/>
          <w:szCs w:val="21"/>
          <w:highlight w:val="none"/>
          <w:u w:val="none"/>
          <w:lang w:val="en-US" w:eastAsia="zh-CN"/>
        </w:rPr>
      </w:pPr>
      <w:r>
        <w:rPr>
          <w:rFonts w:hint="eastAsia" w:ascii="宋体" w:hAnsi="宋体" w:eastAsia="宋体" w:cs="宋体"/>
          <w:i w:val="0"/>
          <w:iCs/>
          <w:sz w:val="21"/>
          <w:szCs w:val="21"/>
          <w:highlight w:val="none"/>
          <w:u w:val="none"/>
          <w:lang w:val="en-US" w:eastAsia="zh-CN"/>
        </w:rPr>
        <w:t>项目概况：皮肤科赛诺秀激光治疗设备全保一年</w:t>
      </w:r>
      <w:r>
        <w:rPr>
          <w:rFonts w:hint="eastAsia" w:cs="宋体"/>
          <w:i w:val="0"/>
          <w:iCs/>
          <w:sz w:val="21"/>
          <w:szCs w:val="21"/>
          <w:highlight w:val="none"/>
          <w:u w:val="none"/>
          <w:lang w:val="en-US" w:eastAsia="zh-CN"/>
        </w:rPr>
        <w:t>。</w:t>
      </w:r>
    </w:p>
    <w:p>
      <w:pPr>
        <w:pStyle w:val="14"/>
        <w:keepNext w:val="0"/>
        <w:keepLines w:val="0"/>
        <w:pageBreakBefore w:val="0"/>
        <w:widowControl/>
        <w:numPr>
          <w:ilvl w:val="0"/>
          <w:numId w:val="1"/>
        </w:numPr>
        <w:kinsoku/>
        <w:wordWrap/>
        <w:overflowPunct/>
        <w:topLinePunct w:val="0"/>
        <w:autoSpaceDE/>
        <w:autoSpaceDN/>
        <w:bidi w:val="0"/>
        <w:adjustRightInd/>
        <w:snapToGrid w:val="0"/>
        <w:spacing w:beforeAutospacing="0" w:afterAutospacing="0" w:line="480" w:lineRule="auto"/>
        <w:ind w:firstLine="420" w:firstLineChars="200"/>
        <w:jc w:val="both"/>
        <w:textAlignment w:val="auto"/>
        <w:rPr>
          <w:rFonts w:hint="eastAsia" w:cs="宋体"/>
          <w:kern w:val="2"/>
          <w:sz w:val="21"/>
          <w:szCs w:val="24"/>
          <w:lang w:val="en-US" w:eastAsia="zh-CN" w:bidi="ar-SA"/>
        </w:rPr>
      </w:pPr>
      <w:r>
        <w:rPr>
          <w:rFonts w:hint="eastAsia" w:cs="宋体"/>
          <w:kern w:val="2"/>
          <w:sz w:val="21"/>
          <w:szCs w:val="24"/>
          <w:lang w:val="en-US" w:eastAsia="zh-CN" w:bidi="ar-SA"/>
        </w:rPr>
        <w:t>采购标的清单：</w:t>
      </w:r>
    </w:p>
    <w:tbl>
      <w:tblPr>
        <w:tblStyle w:val="33"/>
        <w:tblW w:w="8925" w:type="dxa"/>
        <w:tblInd w:w="1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689"/>
        <w:gridCol w:w="5"/>
        <w:gridCol w:w="2241"/>
        <w:gridCol w:w="5"/>
        <w:gridCol w:w="981"/>
        <w:gridCol w:w="898"/>
        <w:gridCol w:w="6"/>
        <w:gridCol w:w="1079"/>
        <w:gridCol w:w="9"/>
        <w:gridCol w:w="1087"/>
        <w:gridCol w:w="5"/>
        <w:gridCol w:w="1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8" w:type="dxa"/>
            <w:vAlign w:val="center"/>
          </w:tcPr>
          <w:p>
            <w:pPr>
              <w:pStyle w:val="15"/>
              <w:numPr>
                <w:ilvl w:val="0"/>
                <w:numId w:val="0"/>
              </w:numPr>
              <w:jc w:val="center"/>
              <w:rPr>
                <w:rFonts w:hint="eastAsia"/>
                <w:lang w:val="en-US" w:eastAsia="zh-CN"/>
              </w:rPr>
            </w:pPr>
            <w:r>
              <w:rPr>
                <w:rFonts w:hint="eastAsia"/>
                <w:lang w:val="en-US" w:eastAsia="zh-CN"/>
              </w:rPr>
              <w:t>包号</w:t>
            </w:r>
          </w:p>
        </w:tc>
        <w:tc>
          <w:tcPr>
            <w:tcW w:w="689" w:type="dxa"/>
            <w:vAlign w:val="center"/>
          </w:tcPr>
          <w:p>
            <w:pPr>
              <w:pStyle w:val="15"/>
              <w:numPr>
                <w:ilvl w:val="0"/>
                <w:numId w:val="0"/>
              </w:numPr>
              <w:jc w:val="center"/>
              <w:rPr>
                <w:rFonts w:hint="eastAsia"/>
                <w:lang w:val="en-US" w:eastAsia="zh-CN"/>
              </w:rPr>
            </w:pPr>
            <w:r>
              <w:rPr>
                <w:rFonts w:hint="eastAsia"/>
                <w:lang w:val="en-US" w:eastAsia="zh-CN"/>
              </w:rPr>
              <w:t>序号</w:t>
            </w:r>
          </w:p>
        </w:tc>
        <w:tc>
          <w:tcPr>
            <w:tcW w:w="2246" w:type="dxa"/>
            <w:gridSpan w:val="2"/>
            <w:vAlign w:val="center"/>
          </w:tcPr>
          <w:p>
            <w:pPr>
              <w:pStyle w:val="15"/>
              <w:numPr>
                <w:ilvl w:val="0"/>
                <w:numId w:val="0"/>
              </w:numPr>
              <w:jc w:val="center"/>
              <w:rPr>
                <w:rFonts w:hint="eastAsia"/>
                <w:lang w:val="en-US" w:eastAsia="zh-CN"/>
              </w:rPr>
            </w:pPr>
            <w:r>
              <w:rPr>
                <w:rFonts w:hint="eastAsia"/>
                <w:lang w:val="en-US" w:eastAsia="zh-CN"/>
              </w:rPr>
              <w:t>标的名称</w:t>
            </w:r>
          </w:p>
        </w:tc>
        <w:tc>
          <w:tcPr>
            <w:tcW w:w="986" w:type="dxa"/>
            <w:gridSpan w:val="2"/>
            <w:vAlign w:val="center"/>
          </w:tcPr>
          <w:p>
            <w:pPr>
              <w:pStyle w:val="15"/>
              <w:numPr>
                <w:ilvl w:val="0"/>
                <w:numId w:val="0"/>
              </w:numPr>
              <w:jc w:val="center"/>
              <w:rPr>
                <w:rFonts w:hint="eastAsia"/>
                <w:lang w:val="en-US" w:eastAsia="zh-CN"/>
              </w:rPr>
            </w:pPr>
            <w:r>
              <w:rPr>
                <w:rFonts w:hint="eastAsia"/>
                <w:lang w:val="en-US" w:eastAsia="zh-CN"/>
              </w:rPr>
              <w:t>单位</w:t>
            </w:r>
          </w:p>
        </w:tc>
        <w:tc>
          <w:tcPr>
            <w:tcW w:w="898" w:type="dxa"/>
            <w:vAlign w:val="center"/>
          </w:tcPr>
          <w:p>
            <w:pPr>
              <w:pStyle w:val="15"/>
              <w:numPr>
                <w:ilvl w:val="0"/>
                <w:numId w:val="0"/>
              </w:numPr>
              <w:jc w:val="center"/>
              <w:rPr>
                <w:rFonts w:hint="eastAsia"/>
                <w:lang w:val="en-US" w:eastAsia="zh-CN"/>
              </w:rPr>
            </w:pPr>
            <w:r>
              <w:rPr>
                <w:rFonts w:hint="eastAsia"/>
                <w:lang w:val="en-US" w:eastAsia="zh-CN"/>
              </w:rPr>
              <w:t>数量</w:t>
            </w:r>
          </w:p>
        </w:tc>
        <w:tc>
          <w:tcPr>
            <w:tcW w:w="1094" w:type="dxa"/>
            <w:gridSpan w:val="3"/>
            <w:vAlign w:val="center"/>
          </w:tcPr>
          <w:p>
            <w:pPr>
              <w:pStyle w:val="15"/>
              <w:numPr>
                <w:ilvl w:val="0"/>
                <w:numId w:val="0"/>
              </w:numPr>
              <w:jc w:val="center"/>
              <w:rPr>
                <w:rFonts w:hint="eastAsia"/>
                <w:lang w:val="en-US" w:eastAsia="zh-CN"/>
              </w:rPr>
            </w:pPr>
            <w:r>
              <w:rPr>
                <w:rFonts w:hint="eastAsia"/>
                <w:lang w:val="en-US" w:eastAsia="zh-CN"/>
              </w:rPr>
              <w:t>资金</w:t>
            </w:r>
          </w:p>
          <w:p>
            <w:pPr>
              <w:pStyle w:val="15"/>
              <w:numPr>
                <w:ilvl w:val="0"/>
                <w:numId w:val="0"/>
              </w:numPr>
              <w:jc w:val="center"/>
              <w:rPr>
                <w:rFonts w:hint="eastAsia"/>
                <w:lang w:val="en-US" w:eastAsia="zh-CN"/>
              </w:rPr>
            </w:pPr>
            <w:r>
              <w:rPr>
                <w:rFonts w:hint="eastAsia"/>
                <w:lang w:val="en-US" w:eastAsia="zh-CN"/>
              </w:rPr>
              <w:t>预算</w:t>
            </w:r>
          </w:p>
        </w:tc>
        <w:tc>
          <w:tcPr>
            <w:tcW w:w="1087" w:type="dxa"/>
            <w:vAlign w:val="center"/>
          </w:tcPr>
          <w:p>
            <w:pPr>
              <w:pStyle w:val="15"/>
              <w:numPr>
                <w:ilvl w:val="0"/>
                <w:numId w:val="0"/>
              </w:numPr>
              <w:jc w:val="center"/>
              <w:rPr>
                <w:rFonts w:hint="eastAsia"/>
                <w:lang w:val="en-US" w:eastAsia="zh-CN"/>
              </w:rPr>
            </w:pPr>
            <w:r>
              <w:rPr>
                <w:rFonts w:hint="eastAsia"/>
                <w:lang w:val="en-US" w:eastAsia="zh-CN"/>
              </w:rPr>
              <w:t>资金</w:t>
            </w:r>
          </w:p>
          <w:p>
            <w:pPr>
              <w:pStyle w:val="15"/>
              <w:numPr>
                <w:ilvl w:val="0"/>
                <w:numId w:val="0"/>
              </w:numPr>
              <w:jc w:val="center"/>
              <w:rPr>
                <w:rFonts w:hint="eastAsia"/>
                <w:lang w:val="en-US" w:eastAsia="zh-CN"/>
              </w:rPr>
            </w:pPr>
            <w:r>
              <w:rPr>
                <w:rFonts w:hint="eastAsia"/>
                <w:lang w:val="en-US" w:eastAsia="zh-CN"/>
              </w:rPr>
              <w:t>性质</w:t>
            </w:r>
          </w:p>
        </w:tc>
        <w:tc>
          <w:tcPr>
            <w:tcW w:w="1217" w:type="dxa"/>
            <w:gridSpan w:val="2"/>
            <w:vAlign w:val="center"/>
          </w:tcPr>
          <w:p>
            <w:pPr>
              <w:pStyle w:val="15"/>
              <w:numPr>
                <w:ilvl w:val="0"/>
                <w:numId w:val="0"/>
              </w:numPr>
              <w:jc w:val="center"/>
              <w:rPr>
                <w:rFonts w:hint="eastAsia"/>
                <w:lang w:val="en-US" w:eastAsia="zh-CN"/>
              </w:rPr>
            </w:pPr>
            <w:r>
              <w:rPr>
                <w:rFonts w:hint="eastAsia"/>
                <w:lang w:val="en-US" w:eastAsia="zh-CN"/>
              </w:rPr>
              <w:t>国产/</w:t>
            </w:r>
          </w:p>
          <w:p>
            <w:pPr>
              <w:pStyle w:val="15"/>
              <w:numPr>
                <w:ilvl w:val="0"/>
                <w:numId w:val="0"/>
              </w:numPr>
              <w:jc w:val="center"/>
              <w:rPr>
                <w:rFonts w:hint="eastAsia"/>
                <w:lang w:val="en-US" w:eastAsia="zh-CN"/>
              </w:rPr>
            </w:pPr>
            <w:r>
              <w:rPr>
                <w:rFonts w:hint="eastAsia"/>
                <w:lang w:val="en-US" w:eastAsia="zh-CN"/>
              </w:rPr>
              <w:t>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8" w:type="dxa"/>
            <w:vAlign w:val="center"/>
          </w:tcPr>
          <w:p>
            <w:pPr>
              <w:pStyle w:val="15"/>
              <w:numPr>
                <w:ilvl w:val="0"/>
                <w:numId w:val="0"/>
              </w:numPr>
              <w:jc w:val="center"/>
              <w:rPr>
                <w:rFonts w:hint="eastAsia"/>
                <w:lang w:val="en-US" w:eastAsia="zh-CN"/>
              </w:rPr>
            </w:pPr>
            <w:r>
              <w:rPr>
                <w:rFonts w:hint="eastAsia"/>
                <w:lang w:val="en-US" w:eastAsia="zh-CN"/>
              </w:rPr>
              <w:t>1</w:t>
            </w:r>
          </w:p>
        </w:tc>
        <w:tc>
          <w:tcPr>
            <w:tcW w:w="689" w:type="dxa"/>
            <w:vAlign w:val="center"/>
          </w:tcPr>
          <w:p>
            <w:pPr>
              <w:pStyle w:val="15"/>
              <w:numPr>
                <w:ilvl w:val="0"/>
                <w:numId w:val="0"/>
              </w:numPr>
              <w:jc w:val="center"/>
              <w:rPr>
                <w:rFonts w:hint="eastAsia"/>
                <w:lang w:val="en-US" w:eastAsia="zh-CN"/>
              </w:rPr>
            </w:pPr>
            <w:r>
              <w:rPr>
                <w:rFonts w:hint="eastAsia"/>
                <w:lang w:val="en-US" w:eastAsia="zh-CN"/>
              </w:rPr>
              <w:t>1</w:t>
            </w:r>
          </w:p>
        </w:tc>
        <w:tc>
          <w:tcPr>
            <w:tcW w:w="2246" w:type="dxa"/>
            <w:gridSpan w:val="2"/>
            <w:vAlign w:val="center"/>
          </w:tcPr>
          <w:p>
            <w:pPr>
              <w:pStyle w:val="15"/>
              <w:numPr>
                <w:ilvl w:val="0"/>
                <w:numId w:val="0"/>
              </w:numPr>
              <w:jc w:val="center"/>
              <w:rPr>
                <w:rFonts w:hint="eastAsia"/>
                <w:lang w:val="en-US" w:eastAsia="zh-CN"/>
              </w:rPr>
            </w:pPr>
            <w:r>
              <w:rPr>
                <w:rFonts w:hint="eastAsia"/>
                <w:lang w:val="en-US" w:eastAsia="zh-CN"/>
              </w:rPr>
              <w:t>皮肤科赛诺秀激光治疗设备全保</w:t>
            </w:r>
          </w:p>
        </w:tc>
        <w:tc>
          <w:tcPr>
            <w:tcW w:w="986" w:type="dxa"/>
            <w:gridSpan w:val="2"/>
            <w:vAlign w:val="center"/>
          </w:tcPr>
          <w:p>
            <w:pPr>
              <w:pStyle w:val="15"/>
              <w:numPr>
                <w:ilvl w:val="0"/>
                <w:numId w:val="0"/>
              </w:numPr>
              <w:jc w:val="center"/>
              <w:rPr>
                <w:rFonts w:hint="eastAsia"/>
                <w:lang w:val="en-US" w:eastAsia="zh-CN"/>
              </w:rPr>
            </w:pPr>
            <w:r>
              <w:rPr>
                <w:rFonts w:hint="eastAsia"/>
                <w:lang w:val="en-US" w:eastAsia="zh-CN"/>
              </w:rPr>
              <w:t>年</w:t>
            </w:r>
          </w:p>
        </w:tc>
        <w:tc>
          <w:tcPr>
            <w:tcW w:w="898" w:type="dxa"/>
            <w:vAlign w:val="center"/>
          </w:tcPr>
          <w:p>
            <w:pPr>
              <w:pStyle w:val="15"/>
              <w:numPr>
                <w:ilvl w:val="0"/>
                <w:numId w:val="0"/>
              </w:numPr>
              <w:jc w:val="center"/>
              <w:rPr>
                <w:rFonts w:hint="eastAsia"/>
                <w:lang w:val="en-US" w:eastAsia="zh-CN"/>
              </w:rPr>
            </w:pPr>
            <w:r>
              <w:rPr>
                <w:rFonts w:hint="eastAsia"/>
                <w:lang w:val="en-US" w:eastAsia="zh-CN"/>
              </w:rPr>
              <w:t>1</w:t>
            </w:r>
          </w:p>
        </w:tc>
        <w:tc>
          <w:tcPr>
            <w:tcW w:w="1094" w:type="dxa"/>
            <w:gridSpan w:val="3"/>
            <w:vAlign w:val="center"/>
          </w:tcPr>
          <w:p>
            <w:pPr>
              <w:pStyle w:val="15"/>
              <w:numPr>
                <w:ilvl w:val="0"/>
                <w:numId w:val="0"/>
              </w:numPr>
              <w:jc w:val="center"/>
              <w:rPr>
                <w:rFonts w:hint="eastAsia"/>
                <w:lang w:val="en-US" w:eastAsia="zh-CN"/>
              </w:rPr>
            </w:pPr>
            <w:r>
              <w:rPr>
                <w:rFonts w:hint="eastAsia"/>
                <w:lang w:val="en-US" w:eastAsia="zh-CN"/>
              </w:rPr>
              <w:t>14.7万元</w:t>
            </w:r>
          </w:p>
        </w:tc>
        <w:tc>
          <w:tcPr>
            <w:tcW w:w="1087" w:type="dxa"/>
            <w:vAlign w:val="center"/>
          </w:tcPr>
          <w:p>
            <w:pPr>
              <w:pStyle w:val="15"/>
              <w:numPr>
                <w:ilvl w:val="0"/>
                <w:numId w:val="0"/>
              </w:numPr>
              <w:jc w:val="center"/>
              <w:rPr>
                <w:rFonts w:hint="eastAsia"/>
                <w:lang w:val="en-US" w:eastAsia="zh-CN"/>
              </w:rPr>
            </w:pPr>
            <w:r>
              <w:rPr>
                <w:rFonts w:hint="eastAsia"/>
                <w:lang w:val="en-US" w:eastAsia="zh-CN"/>
              </w:rPr>
              <w:t>自筹</w:t>
            </w:r>
          </w:p>
        </w:tc>
        <w:tc>
          <w:tcPr>
            <w:tcW w:w="1217" w:type="dxa"/>
            <w:gridSpan w:val="2"/>
            <w:vAlign w:val="center"/>
          </w:tcPr>
          <w:p>
            <w:pPr>
              <w:pStyle w:val="15"/>
              <w:numPr>
                <w:ilvl w:val="0"/>
                <w:numId w:val="0"/>
              </w:numPr>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2" w:type="dxa"/>
            <w:gridSpan w:val="3"/>
            <w:vAlign w:val="center"/>
          </w:tcPr>
          <w:p>
            <w:pPr>
              <w:pStyle w:val="15"/>
              <w:numPr>
                <w:ilvl w:val="0"/>
                <w:numId w:val="0"/>
              </w:numPr>
              <w:jc w:val="center"/>
              <w:rPr>
                <w:rFonts w:hint="eastAsia"/>
                <w:lang w:val="en-US" w:eastAsia="zh-CN"/>
              </w:rPr>
            </w:pPr>
            <w:r>
              <w:rPr>
                <w:rFonts w:hint="eastAsia"/>
                <w:lang w:val="en-US" w:eastAsia="zh-CN"/>
              </w:rPr>
              <w:t>合计</w:t>
            </w:r>
          </w:p>
        </w:tc>
        <w:tc>
          <w:tcPr>
            <w:tcW w:w="2246" w:type="dxa"/>
            <w:gridSpan w:val="2"/>
            <w:vAlign w:val="center"/>
          </w:tcPr>
          <w:p>
            <w:pPr>
              <w:pStyle w:val="15"/>
              <w:numPr>
                <w:ilvl w:val="0"/>
                <w:numId w:val="0"/>
              </w:numPr>
              <w:jc w:val="center"/>
              <w:rPr>
                <w:rFonts w:hint="eastAsia"/>
                <w:lang w:val="en-US" w:eastAsia="zh-CN"/>
              </w:rPr>
            </w:pPr>
          </w:p>
        </w:tc>
        <w:tc>
          <w:tcPr>
            <w:tcW w:w="981" w:type="dxa"/>
            <w:vAlign w:val="center"/>
          </w:tcPr>
          <w:p>
            <w:pPr>
              <w:pStyle w:val="15"/>
              <w:numPr>
                <w:ilvl w:val="0"/>
                <w:numId w:val="0"/>
              </w:numPr>
              <w:jc w:val="center"/>
              <w:rPr>
                <w:rFonts w:hint="eastAsia"/>
                <w:lang w:val="en-US" w:eastAsia="zh-CN"/>
              </w:rPr>
            </w:pPr>
          </w:p>
        </w:tc>
        <w:tc>
          <w:tcPr>
            <w:tcW w:w="904" w:type="dxa"/>
            <w:gridSpan w:val="2"/>
            <w:vAlign w:val="center"/>
          </w:tcPr>
          <w:p>
            <w:pPr>
              <w:pStyle w:val="15"/>
              <w:numPr>
                <w:ilvl w:val="0"/>
                <w:numId w:val="0"/>
              </w:numPr>
              <w:jc w:val="center"/>
              <w:rPr>
                <w:rFonts w:hint="eastAsia"/>
                <w:lang w:val="en-US" w:eastAsia="zh-CN"/>
              </w:rPr>
            </w:pPr>
          </w:p>
        </w:tc>
        <w:tc>
          <w:tcPr>
            <w:tcW w:w="1079" w:type="dxa"/>
            <w:vAlign w:val="center"/>
          </w:tcPr>
          <w:p>
            <w:pPr>
              <w:pStyle w:val="15"/>
              <w:numPr>
                <w:ilvl w:val="0"/>
                <w:numId w:val="0"/>
              </w:numPr>
              <w:jc w:val="center"/>
              <w:rPr>
                <w:rFonts w:hint="eastAsia"/>
                <w:lang w:val="en-US" w:eastAsia="zh-CN"/>
              </w:rPr>
            </w:pPr>
          </w:p>
        </w:tc>
        <w:tc>
          <w:tcPr>
            <w:tcW w:w="1101" w:type="dxa"/>
            <w:gridSpan w:val="3"/>
            <w:vAlign w:val="center"/>
          </w:tcPr>
          <w:p>
            <w:pPr>
              <w:pStyle w:val="15"/>
              <w:numPr>
                <w:ilvl w:val="0"/>
                <w:numId w:val="0"/>
              </w:numPr>
              <w:jc w:val="center"/>
              <w:rPr>
                <w:rFonts w:hint="eastAsia"/>
                <w:lang w:val="en-US" w:eastAsia="zh-CN"/>
              </w:rPr>
            </w:pPr>
          </w:p>
        </w:tc>
        <w:tc>
          <w:tcPr>
            <w:tcW w:w="1212" w:type="dxa"/>
            <w:vAlign w:val="center"/>
          </w:tcPr>
          <w:p>
            <w:pPr>
              <w:pStyle w:val="15"/>
              <w:numPr>
                <w:ilvl w:val="0"/>
                <w:numId w:val="0"/>
              </w:numPr>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397" w:type="dxa"/>
            <w:gridSpan w:val="2"/>
            <w:vAlign w:val="center"/>
          </w:tcPr>
          <w:p>
            <w:pPr>
              <w:pStyle w:val="15"/>
              <w:numPr>
                <w:ilvl w:val="0"/>
                <w:numId w:val="0"/>
              </w:numPr>
              <w:rPr>
                <w:rFonts w:hint="eastAsia"/>
                <w:lang w:val="en-US" w:eastAsia="zh-CN"/>
              </w:rPr>
            </w:pPr>
            <w:r>
              <w:rPr>
                <w:rFonts w:hint="eastAsia"/>
                <w:lang w:val="en-US" w:eastAsia="zh-CN"/>
              </w:rPr>
              <w:t>备注</w:t>
            </w:r>
          </w:p>
        </w:tc>
        <w:tc>
          <w:tcPr>
            <w:tcW w:w="7528" w:type="dxa"/>
            <w:gridSpan w:val="11"/>
            <w:vAlign w:val="center"/>
          </w:tcPr>
          <w:p>
            <w:pPr>
              <w:pStyle w:val="15"/>
              <w:numPr>
                <w:ilvl w:val="0"/>
                <w:numId w:val="0"/>
              </w:numPr>
              <w:rPr>
                <w:rFonts w:hint="eastAsia"/>
                <w:lang w:val="en-US" w:eastAsia="zh-CN"/>
              </w:rPr>
            </w:pPr>
            <w:r>
              <w:rPr>
                <w:rFonts w:hint="eastAsia"/>
                <w:lang w:val="en-US" w:eastAsia="zh-CN"/>
              </w:rPr>
              <w:t>皮肤科赛诺秀激光共计一台，设备规格型号为Cynergy(CYDH0621)。</w:t>
            </w:r>
          </w:p>
        </w:tc>
      </w:tr>
    </w:tbl>
    <w:p>
      <w:pPr>
        <w:pStyle w:val="14"/>
        <w:keepNext w:val="0"/>
        <w:keepLines w:val="0"/>
        <w:pageBreakBefore w:val="0"/>
        <w:widowControl/>
        <w:kinsoku/>
        <w:wordWrap/>
        <w:overflowPunct/>
        <w:topLinePunct w:val="0"/>
        <w:autoSpaceDE/>
        <w:autoSpaceDN/>
        <w:bidi w:val="0"/>
        <w:adjustRightInd/>
        <w:snapToGrid w:val="0"/>
        <w:spacing w:before="161" w:beforeLines="50" w:beforeAutospacing="0" w:afterAutospacing="0" w:line="360" w:lineRule="auto"/>
        <w:ind w:firstLine="420" w:firstLineChars="200"/>
        <w:jc w:val="both"/>
        <w:textAlignment w:val="auto"/>
        <w:rPr>
          <w:rFonts w:hint="eastAsia"/>
          <w:b w:val="0"/>
          <w:bCs w:val="0"/>
          <w:sz w:val="21"/>
          <w:szCs w:val="21"/>
          <w:lang w:val="en-US" w:eastAsia="zh-CN"/>
        </w:rPr>
      </w:pPr>
      <w:r>
        <w:rPr>
          <w:rFonts w:hint="eastAsia" w:cs="宋体"/>
          <w:b w:val="0"/>
          <w:bCs w:val="0"/>
          <w:kern w:val="2"/>
          <w:sz w:val="21"/>
          <w:szCs w:val="21"/>
          <w:lang w:val="en-US" w:eastAsia="zh-CN" w:bidi="ar-SA"/>
        </w:rPr>
        <w:t>三</w:t>
      </w:r>
      <w:r>
        <w:rPr>
          <w:rFonts w:hint="eastAsia" w:ascii="宋体" w:hAnsi="宋体" w:eastAsia="宋体" w:cs="宋体"/>
          <w:b w:val="0"/>
          <w:bCs w:val="0"/>
          <w:kern w:val="2"/>
          <w:sz w:val="21"/>
          <w:szCs w:val="21"/>
          <w:lang w:val="en-US" w:eastAsia="zh-CN" w:bidi="ar-SA"/>
        </w:rPr>
        <w:t>、</w:t>
      </w:r>
      <w:r>
        <w:rPr>
          <w:rFonts w:hint="eastAsia" w:ascii="宋体" w:hAnsi="宋体" w:eastAsia="宋体" w:cs="宋体"/>
          <w:b w:val="0"/>
          <w:bCs w:val="0"/>
          <w:kern w:val="2"/>
          <w:sz w:val="21"/>
          <w:szCs w:val="21"/>
          <w:highlight w:val="none"/>
          <w:u w:val="none"/>
          <w:lang w:val="en-US" w:eastAsia="zh-CN" w:bidi="ar-SA"/>
        </w:rPr>
        <w:t>技术</w:t>
      </w:r>
      <w:r>
        <w:rPr>
          <w:rFonts w:hint="eastAsia" w:ascii="宋体" w:hAnsi="宋体" w:cs="宋体"/>
          <w:b w:val="0"/>
          <w:bCs w:val="0"/>
          <w:kern w:val="2"/>
          <w:sz w:val="21"/>
          <w:szCs w:val="21"/>
          <w:highlight w:val="none"/>
          <w:u w:val="none"/>
          <w:lang w:val="en-US" w:eastAsia="zh-CN" w:bidi="ar-SA"/>
        </w:rPr>
        <w:t>商务</w:t>
      </w:r>
      <w:r>
        <w:rPr>
          <w:rFonts w:hint="eastAsia" w:ascii="宋体" w:hAnsi="宋体" w:eastAsia="宋体" w:cs="宋体"/>
          <w:b w:val="0"/>
          <w:bCs w:val="0"/>
          <w:kern w:val="2"/>
          <w:sz w:val="21"/>
          <w:szCs w:val="21"/>
          <w:highlight w:val="none"/>
          <w:u w:val="none"/>
          <w:lang w:val="en-US" w:eastAsia="zh-CN" w:bidi="ar-SA"/>
        </w:rPr>
        <w:t>要求</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b w:val="0"/>
          <w:bCs w:val="0"/>
          <w:i w:val="0"/>
          <w:iCs/>
          <w:sz w:val="21"/>
          <w:szCs w:val="21"/>
          <w:u w:val="none"/>
          <w:lang w:val="en-US" w:eastAsia="zh-CN"/>
        </w:rPr>
      </w:pPr>
      <w:r>
        <w:rPr>
          <w:rFonts w:hint="eastAsia" w:ascii="宋体" w:hAnsi="宋体" w:eastAsia="宋体" w:cs="宋体"/>
          <w:b w:val="0"/>
          <w:bCs w:val="0"/>
          <w:i w:val="0"/>
          <w:iCs/>
          <w:sz w:val="21"/>
          <w:szCs w:val="21"/>
          <w:u w:val="none"/>
          <w:lang w:val="en-US" w:eastAsia="zh-CN"/>
        </w:rPr>
        <w:t>1.技术要求</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b w:val="0"/>
          <w:bCs w:val="0"/>
          <w:i w:val="0"/>
          <w:iCs/>
          <w:sz w:val="21"/>
          <w:szCs w:val="21"/>
          <w:u w:val="none"/>
          <w:lang w:val="en-US" w:eastAsia="zh-CN"/>
        </w:rPr>
      </w:pPr>
      <w:r>
        <w:rPr>
          <w:rFonts w:hint="eastAsia" w:ascii="宋体" w:hAnsi="宋体" w:eastAsia="宋体" w:cs="宋体"/>
          <w:b w:val="0"/>
          <w:bCs w:val="0"/>
          <w:i w:val="0"/>
          <w:iCs/>
          <w:sz w:val="21"/>
          <w:szCs w:val="21"/>
          <w:u w:val="none"/>
          <w:lang w:val="en-US" w:eastAsia="zh-CN"/>
        </w:rPr>
        <w:t>1)</w:t>
      </w:r>
      <w:r>
        <w:rPr>
          <w:rFonts w:hint="eastAsia" w:ascii="宋体" w:hAnsi="宋体" w:eastAsia="宋体" w:cs="宋体"/>
          <w:b w:val="0"/>
          <w:bCs w:val="0"/>
          <w:i w:val="0"/>
          <w:iCs/>
          <w:sz w:val="21"/>
          <w:szCs w:val="21"/>
          <w:u w:val="none"/>
          <w:lang w:val="en-US" w:eastAsia="zh-CN"/>
        </w:rPr>
        <w:tab/>
      </w:r>
      <w:r>
        <w:rPr>
          <w:rFonts w:hint="eastAsia" w:ascii="宋体" w:hAnsi="宋体" w:eastAsia="宋体" w:cs="宋体"/>
          <w:b w:val="0"/>
          <w:bCs w:val="0"/>
          <w:i w:val="0"/>
          <w:iCs/>
          <w:sz w:val="21"/>
          <w:szCs w:val="21"/>
          <w:u w:val="none"/>
          <w:lang w:val="en-US" w:eastAsia="zh-CN"/>
        </w:rPr>
        <w:t>保修期内每年至少提供4次设备维护保养，包含但不限于如下项目：设备清洁、性能测试及校准、必要的电气环境检测等，使之保持原厂QC标准或国家质量监督部门的标准，并提供保养清单。</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b w:val="0"/>
          <w:bCs w:val="0"/>
          <w:i w:val="0"/>
          <w:iCs/>
          <w:sz w:val="21"/>
          <w:szCs w:val="21"/>
          <w:u w:val="none"/>
          <w:lang w:val="en-US" w:eastAsia="zh-CN"/>
        </w:rPr>
      </w:pPr>
      <w:r>
        <w:rPr>
          <w:rFonts w:hint="eastAsia" w:ascii="宋体" w:hAnsi="宋体" w:eastAsia="宋体" w:cs="宋体"/>
          <w:b w:val="0"/>
          <w:bCs w:val="0"/>
          <w:i w:val="0"/>
          <w:iCs/>
          <w:sz w:val="21"/>
          <w:szCs w:val="21"/>
          <w:u w:val="none"/>
          <w:lang w:val="en-US" w:eastAsia="zh-CN"/>
        </w:rPr>
        <w:t>2)</w:t>
      </w:r>
      <w:r>
        <w:rPr>
          <w:rFonts w:hint="eastAsia" w:ascii="宋体" w:hAnsi="宋体" w:eastAsia="宋体" w:cs="宋体"/>
          <w:b w:val="0"/>
          <w:bCs w:val="0"/>
          <w:i w:val="0"/>
          <w:iCs/>
          <w:sz w:val="21"/>
          <w:szCs w:val="21"/>
          <w:u w:val="none"/>
          <w:lang w:val="en-US" w:eastAsia="zh-CN"/>
        </w:rPr>
        <w:tab/>
      </w:r>
      <w:r>
        <w:rPr>
          <w:rFonts w:hint="eastAsia" w:ascii="宋体" w:hAnsi="宋体" w:eastAsia="宋体" w:cs="宋体"/>
          <w:b w:val="0"/>
          <w:bCs w:val="0"/>
          <w:i w:val="0"/>
          <w:iCs/>
          <w:sz w:val="21"/>
          <w:szCs w:val="21"/>
          <w:u w:val="none"/>
          <w:lang w:val="en-US" w:eastAsia="zh-CN"/>
        </w:rPr>
        <w:t>每次维修保养更换配件时需通知科室及医学装备部，且保修期最后一个月需三方人员（投标人、科室、医学装备部）在场对设备进行全面保养，在此过程中发现的问题，不论大小，一律彻底修复。每次都要做好维修、保养记录，并留存影像资料，设备的性能指标需满足临床诊断治疗要求和设备使用的安全性要求，并由三方共同签字确认。</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b w:val="0"/>
          <w:bCs w:val="0"/>
          <w:i w:val="0"/>
          <w:iCs/>
          <w:sz w:val="21"/>
          <w:szCs w:val="21"/>
          <w:u w:val="none"/>
          <w:lang w:val="en-US" w:eastAsia="zh-CN"/>
        </w:rPr>
      </w:pPr>
      <w:r>
        <w:rPr>
          <w:rFonts w:hint="eastAsia" w:ascii="宋体" w:hAnsi="宋体" w:eastAsia="宋体" w:cs="宋体"/>
          <w:b w:val="0"/>
          <w:bCs w:val="0"/>
          <w:i w:val="0"/>
          <w:iCs/>
          <w:sz w:val="21"/>
          <w:szCs w:val="21"/>
          <w:u w:val="none"/>
          <w:lang w:val="en-US" w:eastAsia="zh-CN"/>
        </w:rPr>
        <w:t>3)为本医院配置具备维修资质的固定工程师不少于2人，本设备维修经验不少于2年，需提供证明材料（培训证书）和承诺函。</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b w:val="0"/>
          <w:bCs w:val="0"/>
          <w:i w:val="0"/>
          <w:iCs/>
          <w:sz w:val="21"/>
          <w:szCs w:val="21"/>
          <w:u w:val="none"/>
          <w:lang w:val="en-US" w:eastAsia="zh-CN"/>
        </w:rPr>
      </w:pPr>
      <w:r>
        <w:rPr>
          <w:rFonts w:hint="eastAsia" w:ascii="宋体" w:hAnsi="宋体" w:eastAsia="宋体" w:cs="宋体"/>
          <w:b w:val="0"/>
          <w:bCs w:val="0"/>
          <w:i w:val="0"/>
          <w:iCs/>
          <w:sz w:val="21"/>
          <w:szCs w:val="21"/>
          <w:u w:val="none"/>
          <w:lang w:val="en-US" w:eastAsia="zh-CN"/>
        </w:rPr>
        <w:t>4)</w:t>
      </w:r>
      <w:r>
        <w:rPr>
          <w:rFonts w:hint="eastAsia" w:ascii="宋体" w:hAnsi="宋体" w:eastAsia="宋体" w:cs="宋体"/>
          <w:b w:val="0"/>
          <w:bCs w:val="0"/>
          <w:i w:val="0"/>
          <w:iCs/>
          <w:sz w:val="21"/>
          <w:szCs w:val="21"/>
          <w:u w:val="none"/>
          <w:lang w:val="en-US" w:eastAsia="zh-CN"/>
        </w:rPr>
        <w:tab/>
      </w:r>
      <w:r>
        <w:rPr>
          <w:rFonts w:hint="eastAsia" w:ascii="宋体" w:hAnsi="宋体" w:eastAsia="宋体" w:cs="宋体"/>
          <w:b w:val="0"/>
          <w:bCs w:val="0"/>
          <w:i w:val="0"/>
          <w:iCs/>
          <w:sz w:val="21"/>
          <w:szCs w:val="21"/>
          <w:u w:val="none"/>
          <w:lang w:val="en-US" w:eastAsia="zh-CN"/>
        </w:rPr>
        <w:t>所换备件必须是全新合格的产品，并满足设备运行要求, 进口配件需提供商检及海关报关单等材料。因所换备件造成的设备故障及医院损失，由投标人全权负责。</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b w:val="0"/>
          <w:bCs w:val="0"/>
          <w:i w:val="0"/>
          <w:iCs/>
          <w:sz w:val="21"/>
          <w:szCs w:val="21"/>
          <w:u w:val="none"/>
          <w:lang w:val="en-US" w:eastAsia="zh-CN"/>
        </w:rPr>
      </w:pPr>
      <w:r>
        <w:rPr>
          <w:rFonts w:hint="eastAsia" w:ascii="宋体" w:hAnsi="宋体" w:eastAsia="宋体" w:cs="宋体"/>
          <w:b w:val="0"/>
          <w:bCs w:val="0"/>
          <w:i w:val="0"/>
          <w:iCs/>
          <w:sz w:val="21"/>
          <w:szCs w:val="21"/>
          <w:u w:val="none"/>
          <w:lang w:val="en-US" w:eastAsia="zh-CN"/>
        </w:rPr>
        <w:t>5)</w:t>
      </w:r>
      <w:r>
        <w:rPr>
          <w:rFonts w:hint="eastAsia" w:ascii="宋体" w:hAnsi="宋体" w:eastAsia="宋体" w:cs="宋体"/>
          <w:b w:val="0"/>
          <w:bCs w:val="0"/>
          <w:i w:val="0"/>
          <w:iCs/>
          <w:sz w:val="21"/>
          <w:szCs w:val="21"/>
          <w:u w:val="none"/>
          <w:lang w:val="en-US" w:eastAsia="zh-CN"/>
        </w:rPr>
        <w:tab/>
      </w:r>
      <w:r>
        <w:rPr>
          <w:rFonts w:hint="eastAsia" w:ascii="宋体" w:hAnsi="宋体" w:eastAsia="宋体" w:cs="宋体"/>
          <w:b w:val="0"/>
          <w:bCs w:val="0"/>
          <w:i w:val="0"/>
          <w:iCs/>
          <w:sz w:val="21"/>
          <w:szCs w:val="21"/>
          <w:u w:val="none"/>
          <w:lang w:val="en-US" w:eastAsia="zh-CN"/>
        </w:rPr>
        <w:t>软硬件及工作站免费安全升级，并开放维修密码等。</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b w:val="0"/>
          <w:bCs w:val="0"/>
          <w:i w:val="0"/>
          <w:iCs/>
          <w:sz w:val="21"/>
          <w:szCs w:val="21"/>
          <w:u w:val="none"/>
          <w:lang w:val="en-US" w:eastAsia="zh-CN"/>
        </w:rPr>
      </w:pPr>
      <w:r>
        <w:rPr>
          <w:rFonts w:hint="eastAsia" w:ascii="宋体" w:hAnsi="宋体" w:eastAsia="宋体" w:cs="宋体"/>
          <w:b w:val="0"/>
          <w:bCs w:val="0"/>
          <w:i w:val="0"/>
          <w:iCs/>
          <w:sz w:val="21"/>
          <w:szCs w:val="21"/>
          <w:u w:val="none"/>
          <w:lang w:val="en-US" w:eastAsia="zh-CN"/>
        </w:rPr>
        <w:t>6)</w:t>
      </w:r>
      <w:r>
        <w:rPr>
          <w:rFonts w:hint="eastAsia" w:ascii="宋体" w:hAnsi="宋体" w:eastAsia="宋体" w:cs="宋体"/>
          <w:b w:val="0"/>
          <w:bCs w:val="0"/>
          <w:i w:val="0"/>
          <w:iCs/>
          <w:sz w:val="21"/>
          <w:szCs w:val="21"/>
          <w:u w:val="none"/>
          <w:lang w:val="en-US" w:eastAsia="zh-CN"/>
        </w:rPr>
        <w:tab/>
      </w:r>
      <w:r>
        <w:rPr>
          <w:rFonts w:hint="eastAsia" w:ascii="宋体" w:hAnsi="宋体" w:eastAsia="宋体" w:cs="宋体"/>
          <w:b w:val="0"/>
          <w:bCs w:val="0"/>
          <w:i w:val="0"/>
          <w:iCs/>
          <w:sz w:val="21"/>
          <w:szCs w:val="21"/>
          <w:u w:val="none"/>
          <w:lang w:val="en-US" w:eastAsia="zh-CN"/>
        </w:rPr>
        <w:t>提供24小时远程技术支持及临床应用支持，签署由招标人提供的信息系统数据安全保密承诺书。</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b w:val="0"/>
          <w:bCs w:val="0"/>
          <w:i w:val="0"/>
          <w:iCs/>
          <w:sz w:val="21"/>
          <w:szCs w:val="21"/>
          <w:u w:val="none"/>
          <w:lang w:val="en-US" w:eastAsia="zh-CN"/>
        </w:rPr>
      </w:pPr>
      <w:r>
        <w:rPr>
          <w:rFonts w:hint="eastAsia" w:ascii="宋体" w:hAnsi="宋体" w:eastAsia="宋体" w:cs="宋体"/>
          <w:b w:val="0"/>
          <w:bCs w:val="0"/>
          <w:i w:val="0"/>
          <w:iCs/>
          <w:sz w:val="21"/>
          <w:szCs w:val="21"/>
          <w:u w:val="none"/>
          <w:lang w:val="en-US" w:eastAsia="zh-CN"/>
        </w:rPr>
        <w:t>7）配件故障时不维修，直接更换备件且备件无限次更换；</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b w:val="0"/>
          <w:bCs w:val="0"/>
          <w:i w:val="0"/>
          <w:iCs/>
          <w:sz w:val="21"/>
          <w:szCs w:val="21"/>
          <w:u w:val="none"/>
          <w:lang w:val="en-US" w:eastAsia="zh-CN"/>
        </w:rPr>
      </w:pPr>
      <w:r>
        <w:rPr>
          <w:rFonts w:hint="eastAsia" w:ascii="宋体" w:hAnsi="宋体" w:eastAsia="宋体" w:cs="宋体"/>
          <w:b w:val="0"/>
          <w:bCs w:val="0"/>
          <w:i w:val="0"/>
          <w:iCs/>
          <w:sz w:val="21"/>
          <w:szCs w:val="21"/>
          <w:u w:val="none"/>
          <w:lang w:val="en-US" w:eastAsia="zh-CN"/>
        </w:rPr>
        <w:t>8）须国内有备件库</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b w:val="0"/>
          <w:bCs w:val="0"/>
          <w:i w:val="0"/>
          <w:iCs/>
          <w:sz w:val="21"/>
          <w:szCs w:val="21"/>
          <w:u w:val="none"/>
          <w:lang w:val="en-US" w:eastAsia="zh-CN"/>
        </w:rPr>
      </w:pPr>
      <w:r>
        <w:rPr>
          <w:rFonts w:hint="eastAsia" w:ascii="宋体" w:hAnsi="宋体" w:eastAsia="宋体" w:cs="宋体"/>
          <w:b w:val="0"/>
          <w:bCs w:val="0"/>
          <w:i w:val="0"/>
          <w:iCs/>
          <w:sz w:val="21"/>
          <w:szCs w:val="21"/>
          <w:u w:val="none"/>
          <w:lang w:val="en-US" w:eastAsia="zh-CN"/>
        </w:rPr>
        <w:t>9）如需更换备件，国内备件仓库有货的备件在2个工作日内送达医院，进口配件5个工作日送达；非标件和不可抗力除外</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b w:val="0"/>
          <w:bCs w:val="0"/>
          <w:i w:val="0"/>
          <w:iCs/>
          <w:sz w:val="21"/>
          <w:szCs w:val="21"/>
          <w:u w:val="none"/>
          <w:lang w:val="en-US" w:eastAsia="zh-CN"/>
        </w:rPr>
      </w:pPr>
      <w:r>
        <w:rPr>
          <w:rFonts w:hint="eastAsia" w:ascii="宋体" w:hAnsi="宋体" w:eastAsia="宋体" w:cs="宋体"/>
          <w:b w:val="0"/>
          <w:bCs w:val="0"/>
          <w:i w:val="0"/>
          <w:iCs/>
          <w:sz w:val="21"/>
          <w:szCs w:val="21"/>
          <w:u w:val="none"/>
          <w:lang w:val="en-US" w:eastAsia="zh-CN"/>
        </w:rPr>
        <w:t>10）定期进行安全检查及质量保障，保证24h*365天维修热线连接；提供全国400热线服务电话</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b w:val="0"/>
          <w:bCs w:val="0"/>
          <w:i w:val="0"/>
          <w:iCs/>
          <w:sz w:val="21"/>
          <w:szCs w:val="21"/>
          <w:u w:val="none"/>
          <w:lang w:val="en-US" w:eastAsia="zh-CN"/>
        </w:rPr>
      </w:pPr>
      <w:r>
        <w:rPr>
          <w:rFonts w:hint="eastAsia" w:ascii="宋体" w:hAnsi="宋体" w:eastAsia="宋体" w:cs="宋体"/>
          <w:b w:val="0"/>
          <w:bCs w:val="0"/>
          <w:i w:val="0"/>
          <w:iCs/>
          <w:sz w:val="21"/>
          <w:szCs w:val="21"/>
          <w:u w:val="none"/>
          <w:lang w:val="en-US" w:eastAsia="zh-CN"/>
        </w:rPr>
        <w:t>11）紧急人工和工程师现场紧急维修服务；</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b w:val="0"/>
          <w:bCs w:val="0"/>
          <w:i w:val="0"/>
          <w:iCs/>
          <w:sz w:val="21"/>
          <w:szCs w:val="21"/>
          <w:u w:val="none"/>
          <w:lang w:val="en-US" w:eastAsia="zh-CN"/>
        </w:rPr>
      </w:pPr>
      <w:r>
        <w:rPr>
          <w:rFonts w:hint="eastAsia" w:ascii="宋体" w:hAnsi="宋体" w:eastAsia="宋体" w:cs="宋体"/>
          <w:b w:val="0"/>
          <w:bCs w:val="0"/>
          <w:i w:val="0"/>
          <w:iCs/>
          <w:sz w:val="21"/>
          <w:szCs w:val="21"/>
          <w:u w:val="none"/>
          <w:lang w:val="en-US" w:eastAsia="zh-CN"/>
        </w:rPr>
        <w:t>12）提供ISO9001和13485质量认证证书</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b w:val="0"/>
          <w:bCs w:val="0"/>
          <w:i w:val="0"/>
          <w:iCs/>
          <w:sz w:val="21"/>
          <w:szCs w:val="21"/>
          <w:u w:val="none"/>
          <w:lang w:val="en-US" w:eastAsia="zh-CN"/>
        </w:rPr>
      </w:pPr>
      <w:r>
        <w:rPr>
          <w:rFonts w:hint="eastAsia" w:ascii="宋体" w:hAnsi="宋体" w:eastAsia="宋体" w:cs="宋体"/>
          <w:b w:val="0"/>
          <w:bCs w:val="0"/>
          <w:i w:val="0"/>
          <w:iCs/>
          <w:sz w:val="21"/>
          <w:szCs w:val="21"/>
          <w:u w:val="none"/>
          <w:lang w:val="en-US" w:eastAsia="zh-CN"/>
        </w:rPr>
        <w:t>13）工程师需配备有专用工具，工程师的工具符合国家检测和校准的规定（提供相关校准证明）</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b w:val="0"/>
          <w:bCs w:val="0"/>
          <w:i w:val="0"/>
          <w:iCs/>
          <w:sz w:val="21"/>
          <w:szCs w:val="21"/>
          <w:u w:val="none"/>
          <w:lang w:val="en-US" w:eastAsia="zh-CN"/>
        </w:rPr>
      </w:pPr>
      <w:r>
        <w:rPr>
          <w:rFonts w:hint="eastAsia" w:ascii="宋体" w:hAnsi="宋体" w:eastAsia="宋体" w:cs="宋体"/>
          <w:b w:val="0"/>
          <w:bCs w:val="0"/>
          <w:i w:val="0"/>
          <w:iCs/>
          <w:sz w:val="21"/>
          <w:szCs w:val="21"/>
          <w:u w:val="none"/>
          <w:lang w:val="en-US" w:eastAsia="zh-CN"/>
        </w:rPr>
        <w:t>14）保修期最后一个月内更换的配件，中标公司应保证自更换之日起三个月内正常使用，如三个月内出现故障，由中标公司承担维修费用。</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b w:val="0"/>
          <w:bCs w:val="0"/>
          <w:i w:val="0"/>
          <w:iCs/>
          <w:sz w:val="21"/>
          <w:szCs w:val="21"/>
          <w:u w:val="none"/>
          <w:lang w:val="en-US" w:eastAsia="zh-CN"/>
        </w:rPr>
      </w:pPr>
      <w:r>
        <w:rPr>
          <w:rFonts w:hint="eastAsia" w:ascii="宋体" w:hAnsi="宋体" w:eastAsia="宋体" w:cs="宋体"/>
          <w:b w:val="0"/>
          <w:bCs w:val="0"/>
          <w:i w:val="0"/>
          <w:iCs/>
          <w:sz w:val="21"/>
          <w:szCs w:val="21"/>
          <w:u w:val="none"/>
          <w:lang w:val="en-US" w:eastAsia="zh-CN"/>
        </w:rPr>
        <w:t>15）须有具备应用培训工程师且提供原厂认证的培训证书。</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b w:val="0"/>
          <w:bCs w:val="0"/>
          <w:i w:val="0"/>
          <w:iCs/>
          <w:sz w:val="21"/>
          <w:szCs w:val="21"/>
          <w:u w:val="none"/>
          <w:lang w:val="en-US" w:eastAsia="zh-CN"/>
        </w:rPr>
      </w:pPr>
      <w:r>
        <w:rPr>
          <w:rFonts w:hint="eastAsia" w:ascii="宋体" w:hAnsi="宋体" w:eastAsia="宋体" w:cs="宋体"/>
          <w:b w:val="0"/>
          <w:bCs w:val="0"/>
          <w:i w:val="0"/>
          <w:iCs/>
          <w:sz w:val="21"/>
          <w:szCs w:val="21"/>
          <w:u w:val="none"/>
          <w:lang w:val="en-US" w:eastAsia="zh-CN"/>
        </w:rPr>
        <w:t>16） 对我院的维修工程师提供每年至少2人次的专业培训，并提供培训证明材料。</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b w:val="0"/>
          <w:bCs w:val="0"/>
          <w:i w:val="0"/>
          <w:iCs/>
          <w:sz w:val="21"/>
          <w:szCs w:val="21"/>
          <w:u w:val="none"/>
          <w:lang w:val="en-US" w:eastAsia="zh-CN"/>
        </w:rPr>
      </w:pPr>
      <w:r>
        <w:rPr>
          <w:rFonts w:hint="eastAsia" w:ascii="宋体" w:hAnsi="宋体" w:eastAsia="宋体" w:cs="宋体"/>
          <w:b w:val="0"/>
          <w:bCs w:val="0"/>
          <w:i w:val="0"/>
          <w:iCs/>
          <w:sz w:val="21"/>
          <w:szCs w:val="21"/>
          <w:u w:val="none"/>
          <w:lang w:val="en-US" w:eastAsia="zh-CN"/>
        </w:rPr>
        <w:t>17）每年制定临床使用人员的使用维护培训计划，按计划进行培训并提供记录。</w:t>
      </w:r>
    </w:p>
    <w:p>
      <w:pPr>
        <w:bidi w:val="0"/>
        <w:rPr>
          <w:rFonts w:hint="eastAsia"/>
          <w:lang w:val="en-US" w:eastAsia="zh-CN"/>
        </w:rPr>
      </w:pPr>
      <w:r>
        <w:rPr>
          <w:rFonts w:hint="eastAsia"/>
          <w:lang w:val="en-US" w:eastAsia="zh-CN"/>
        </w:rPr>
        <w:t xml:space="preserve"> </w:t>
      </w:r>
    </w:p>
    <w:p>
      <w:pPr>
        <w:pStyle w:val="14"/>
        <w:keepNext w:val="0"/>
        <w:keepLines w:val="0"/>
        <w:pageBreakBefore w:val="0"/>
        <w:widowControl/>
        <w:kinsoku/>
        <w:wordWrap/>
        <w:overflowPunct/>
        <w:topLinePunct w:val="0"/>
        <w:autoSpaceDE/>
        <w:autoSpaceDN/>
        <w:bidi w:val="0"/>
        <w:adjustRightInd/>
        <w:snapToGrid w:val="0"/>
        <w:spacing w:beforeAutospacing="0" w:after="161" w:afterLines="50" w:afterAutospacing="0" w:line="240" w:lineRule="auto"/>
        <w:jc w:val="center"/>
        <w:textAlignment w:val="auto"/>
        <w:rPr>
          <w:b/>
          <w:bCs/>
          <w:color w:val="auto"/>
          <w:sz w:val="30"/>
          <w:szCs w:val="30"/>
          <w:highlight w:val="none"/>
        </w:rPr>
      </w:pPr>
      <w:r>
        <w:rPr>
          <w:rFonts w:hint="eastAsia"/>
          <w:b/>
          <w:bCs/>
          <w:color w:val="auto"/>
          <w:sz w:val="30"/>
          <w:szCs w:val="30"/>
          <w:highlight w:val="none"/>
        </w:rPr>
        <w:t>商务要求</w:t>
      </w:r>
    </w:p>
    <w:tbl>
      <w:tblPr>
        <w:tblStyle w:val="32"/>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自中标通知书发出之日起三十个日历日内。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服务地点</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服务期限</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1年。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维修响应时间</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20分钟内电话响应，2小时内工程师到达现场，一般故障24小时内维修完毕。如需外地专家支持，4小时内响应，24小时内到达现场。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服务要求</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i w:val="0"/>
                <w:iCs/>
                <w:sz w:val="21"/>
                <w:szCs w:val="21"/>
                <w:u w:val="none"/>
                <w:lang w:val="en-US" w:eastAsia="zh-CN"/>
              </w:rPr>
              <w:t>周一至周日，7天24小时包括法定节假日</w:t>
            </w:r>
            <w:r>
              <w:rPr>
                <w:rFonts w:hint="eastAsia" w:ascii="宋体" w:hAnsi="宋体" w:eastAsia="宋体" w:cs="宋体"/>
                <w:color w:val="auto"/>
                <w:sz w:val="21"/>
                <w:szCs w:val="21"/>
                <w:highlight w:val="none"/>
                <w:lang w:val="en-US" w:eastAsia="zh-CN"/>
              </w:rPr>
              <w:t>。</w:t>
            </w:r>
            <w:r>
              <w:rPr>
                <w:rFonts w:hint="eastAsia" w:cs="宋体"/>
                <w:color w:val="auto"/>
                <w:sz w:val="21"/>
                <w:szCs w:val="21"/>
                <w:highlight w:val="none"/>
                <w:lang w:val="en-US" w:eastAsia="zh-CN"/>
              </w:rPr>
              <w:t>（以采购人要求为准）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支付方式</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先服务后付款，服务六个月之后支付50%合同款，服务期满后支付余下50%合同款。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售后技术服务要求、售后服务保障要求</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中标人须提供后期服务保障和技术支持</w:t>
            </w:r>
            <w:r>
              <w:rPr>
                <w:rFonts w:hint="eastAsia" w:cs="宋体"/>
                <w:sz w:val="21"/>
                <w:szCs w:val="21"/>
                <w:lang w:val="en-US" w:eastAsia="zh-CN"/>
              </w:rPr>
              <w:t>，投标人保证我院保修的设备正常开机率大于95% （一年按365天计算），且单次维修不能超过1天，否则设备维修占用日期每增加一天，保修时间往后顺延七天</w:t>
            </w:r>
            <w:r>
              <w:rPr>
                <w:rFonts w:hint="eastAsia" w:ascii="宋体" w:hAnsi="宋体" w:eastAsia="宋体" w:cs="宋体"/>
                <w:sz w:val="21"/>
                <w:szCs w:val="21"/>
                <w:lang w:val="en-US" w:eastAsia="zh-CN"/>
              </w:rPr>
              <w:t>。</w:t>
            </w:r>
          </w:p>
        </w:tc>
      </w:tr>
    </w:tbl>
    <w:p>
      <w:pPr>
        <w:keepNext w:val="0"/>
        <w:keepLines w:val="0"/>
        <w:pageBreakBefore w:val="0"/>
        <w:widowControl w:val="0"/>
        <w:kinsoku/>
        <w:wordWrap/>
        <w:overflowPunct/>
        <w:topLinePunct w:val="0"/>
        <w:autoSpaceDE/>
        <w:autoSpaceDN/>
        <w:bidi w:val="0"/>
        <w:adjustRightInd/>
        <w:snapToGrid w:val="0"/>
        <w:spacing w:before="480" w:beforeLines="150" w:line="480" w:lineRule="auto"/>
        <w:jc w:val="center"/>
        <w:textAlignment w:val="auto"/>
        <w:rPr>
          <w:b/>
          <w:bCs/>
          <w:color w:val="auto"/>
          <w:sz w:val="30"/>
          <w:szCs w:val="30"/>
          <w:highlight w:val="none"/>
        </w:rPr>
      </w:pPr>
      <w:r>
        <w:rPr>
          <w:rFonts w:hint="eastAsia"/>
          <w:b/>
          <w:bCs/>
          <w:color w:val="auto"/>
          <w:sz w:val="30"/>
          <w:szCs w:val="30"/>
          <w:highlight w:val="none"/>
        </w:rPr>
        <w:t xml:space="preserve"> 采购人对项目的特殊要求及说明</w:t>
      </w:r>
    </w:p>
    <w:tbl>
      <w:tblPr>
        <w:tblStyle w:val="32"/>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41"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pPr>
              <w:widowControl/>
              <w:numPr>
                <w:ilvl w:val="0"/>
                <w:numId w:val="2"/>
              </w:numPr>
              <w:snapToGrid w:val="0"/>
              <w:spacing w:line="360" w:lineRule="auto"/>
            </w:pPr>
            <w:r>
              <w:rPr>
                <w:rFonts w:hint="eastAsia"/>
              </w:rPr>
              <w:t>不接受联合体投标，不允许转包和分包。</w:t>
            </w:r>
          </w:p>
          <w:p>
            <w:pPr>
              <w:widowControl/>
              <w:snapToGrid w:val="0"/>
              <w:spacing w:line="360" w:lineRule="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2、授权评标委员会确定一名中标人并推荐</w:t>
            </w:r>
            <w:r>
              <w:rPr>
                <w:rFonts w:hint="eastAsia" w:cs="Times New Roman"/>
                <w:lang w:val="en-US" w:eastAsia="zh-CN"/>
              </w:rPr>
              <w:t>一</w:t>
            </w:r>
            <w:r>
              <w:rPr>
                <w:rFonts w:hint="eastAsia" w:ascii="Times New Roman" w:hAnsi="Times New Roman" w:eastAsia="宋体" w:cs="Times New Roman"/>
                <w:lang w:val="en-US" w:eastAsia="zh-CN"/>
              </w:rPr>
              <w:t>名中标候选人。</w:t>
            </w:r>
          </w:p>
          <w:p>
            <w:pPr>
              <w:widowControl/>
              <w:snapToGrid w:val="0"/>
              <w:spacing w:line="360" w:lineRule="auto"/>
              <w:rPr>
                <w:rFonts w:hint="default" w:eastAsia="宋体"/>
                <w:lang w:val="en-US" w:eastAsia="zh-CN"/>
              </w:rPr>
            </w:pPr>
            <w:r>
              <w:rPr>
                <w:rFonts w:hint="eastAsia" w:ascii="Times New Roman" w:hAnsi="Times New Roman" w:eastAsia="宋体" w:cs="Times New Roman"/>
                <w:lang w:val="en-US" w:eastAsia="zh-CN"/>
              </w:rPr>
              <w:t>3、供应商应根据采购文件的要求提供技术响应</w:t>
            </w:r>
            <w:r>
              <w:rPr>
                <w:rFonts w:hint="eastAsia" w:cs="Times New Roman"/>
                <w:lang w:val="en-US" w:eastAsia="zh-CN"/>
              </w:rPr>
              <w:t>部分</w:t>
            </w:r>
            <w:r>
              <w:rPr>
                <w:rFonts w:hint="eastAsia" w:ascii="Times New Roman" w:hAnsi="Times New Roman" w:eastAsia="宋体" w:cs="Times New Roman"/>
                <w:lang w:val="en-US" w:eastAsia="zh-CN"/>
              </w:rPr>
              <w:t>、商务响应</w:t>
            </w:r>
            <w:r>
              <w:rPr>
                <w:rFonts w:hint="eastAsia" w:cs="Times New Roman"/>
                <w:lang w:val="en-US" w:eastAsia="zh-CN"/>
              </w:rPr>
              <w:t>部分</w:t>
            </w:r>
            <w:r>
              <w:rPr>
                <w:rFonts w:hint="eastAsia" w:ascii="Times New Roman" w:hAnsi="Times New Roman" w:eastAsia="宋体" w:cs="Times New Roman"/>
                <w:lang w:val="en-US" w:eastAsia="zh-CN"/>
              </w:rPr>
              <w:t>等内容以对采购文件作出响应。</w:t>
            </w:r>
          </w:p>
        </w:tc>
      </w:tr>
    </w:tbl>
    <w:p>
      <w:pPr>
        <w:rPr>
          <w:color w:val="auto"/>
          <w:highlight w:val="none"/>
        </w:rPr>
      </w:pPr>
    </w:p>
    <w:p>
      <w:pPr>
        <w:jc w:val="center"/>
        <w:rPr>
          <w:rFonts w:hint="eastAsia"/>
          <w:b/>
          <w:bCs/>
          <w:color w:val="auto"/>
          <w:sz w:val="32"/>
          <w:szCs w:val="32"/>
          <w:highlight w:val="none"/>
        </w:rPr>
      </w:pPr>
    </w:p>
    <w:p>
      <w:pPr>
        <w:rPr>
          <w:rFonts w:hint="eastAsia"/>
          <w:b/>
          <w:bCs/>
          <w:color w:val="auto"/>
          <w:sz w:val="32"/>
          <w:szCs w:val="32"/>
          <w:highlight w:val="none"/>
        </w:rPr>
      </w:pPr>
      <w:r>
        <w:rPr>
          <w:rFonts w:hint="eastAsia"/>
          <w:b/>
          <w:bCs/>
          <w:color w:val="auto"/>
          <w:sz w:val="32"/>
          <w:szCs w:val="32"/>
          <w:highlight w:val="none"/>
        </w:rPr>
        <w:br w:type="page"/>
      </w:r>
    </w:p>
    <w:p>
      <w:pPr>
        <w:jc w:val="center"/>
        <w:outlineLvl w:val="0"/>
        <w:rPr>
          <w:b/>
          <w:bCs/>
          <w:color w:val="auto"/>
          <w:sz w:val="32"/>
          <w:szCs w:val="32"/>
          <w:highlight w:val="none"/>
        </w:rPr>
      </w:pPr>
      <w:r>
        <w:rPr>
          <w:rFonts w:hint="eastAsia"/>
          <w:b/>
          <w:bCs/>
          <w:color w:val="auto"/>
          <w:sz w:val="32"/>
          <w:szCs w:val="32"/>
          <w:highlight w:val="none"/>
        </w:rPr>
        <w:t xml:space="preserve">第三章  </w:t>
      </w:r>
      <w:r>
        <w:rPr>
          <w:rFonts w:hint="eastAsia"/>
          <w:b/>
          <w:bCs/>
          <w:color w:val="auto"/>
          <w:sz w:val="32"/>
          <w:szCs w:val="32"/>
          <w:highlight w:val="none"/>
          <w:lang w:eastAsia="zh-CN"/>
        </w:rPr>
        <w:t>供应商</w:t>
      </w:r>
      <w:r>
        <w:rPr>
          <w:rFonts w:hint="eastAsia"/>
          <w:b/>
          <w:bCs/>
          <w:color w:val="auto"/>
          <w:sz w:val="32"/>
          <w:szCs w:val="32"/>
          <w:highlight w:val="none"/>
        </w:rPr>
        <w:t>须知</w:t>
      </w:r>
      <w:bookmarkEnd w:id="35"/>
    </w:p>
    <w:p>
      <w:pPr>
        <w:snapToGrid w:val="0"/>
        <w:spacing w:beforeLines="50" w:line="360" w:lineRule="auto"/>
        <w:jc w:val="center"/>
        <w:outlineLvl w:val="1"/>
        <w:rPr>
          <w:rFonts w:ascii="宋体" w:hAnsi="宋体"/>
          <w:color w:val="auto"/>
          <w:sz w:val="28"/>
          <w:szCs w:val="28"/>
          <w:highlight w:val="none"/>
        </w:rPr>
      </w:pPr>
      <w:r>
        <w:rPr>
          <w:rFonts w:hint="eastAsia" w:ascii="宋体" w:hAnsi="宋体"/>
          <w:color w:val="auto"/>
          <w:sz w:val="28"/>
          <w:szCs w:val="28"/>
          <w:highlight w:val="none"/>
          <w:lang w:eastAsia="zh-CN"/>
        </w:rPr>
        <w:t>供应商</w:t>
      </w:r>
      <w:r>
        <w:rPr>
          <w:rFonts w:hint="eastAsia" w:ascii="宋体" w:hAnsi="宋体"/>
          <w:color w:val="auto"/>
          <w:sz w:val="28"/>
          <w:szCs w:val="28"/>
          <w:highlight w:val="none"/>
        </w:rPr>
        <w:t>须知前附表</w:t>
      </w:r>
    </w:p>
    <w:tbl>
      <w:tblPr>
        <w:tblStyle w:val="32"/>
        <w:tblW w:w="9840" w:type="dxa"/>
        <w:jc w:val="center"/>
        <w:tblLayout w:type="fixed"/>
        <w:tblCellMar>
          <w:top w:w="0" w:type="dxa"/>
          <w:left w:w="0" w:type="dxa"/>
          <w:bottom w:w="0" w:type="dxa"/>
          <w:right w:w="0" w:type="dxa"/>
        </w:tblCellMar>
      </w:tblPr>
      <w:tblGrid>
        <w:gridCol w:w="926"/>
        <w:gridCol w:w="8914"/>
      </w:tblGrid>
      <w:tr>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eastAsia" w:ascii="宋体" w:hAnsi="宋体" w:eastAsia="宋体" w:cs="宋体"/>
              </w:rPr>
            </w:pPr>
            <w:r>
              <w:rPr>
                <w:rFonts w:hint="eastAsia"/>
                <w:color w:val="auto"/>
                <w:highlight w:val="none"/>
              </w:rPr>
              <w:t>1.1 项目名称：</w:t>
            </w:r>
            <w:r>
              <w:rPr>
                <w:rFonts w:hint="eastAsia" w:ascii="宋体" w:hAnsi="宋体" w:cs="宋体"/>
                <w:color w:val="auto"/>
                <w:szCs w:val="21"/>
                <w:highlight w:val="none"/>
                <w:shd w:val="clear" w:color="auto" w:fill="FFFFFF"/>
                <w:lang w:val="en-US" w:eastAsia="zh-CN"/>
              </w:rPr>
              <w:t>驻马店市中心医院皮肤科赛诺秀激光治疗设备全保项目</w:t>
            </w:r>
          </w:p>
          <w:p>
            <w:pPr>
              <w:widowControl/>
              <w:snapToGrid w:val="0"/>
              <w:spacing w:line="440" w:lineRule="exact"/>
              <w:jc w:val="left"/>
              <w:outlineLvl w:val="0"/>
              <w:rPr>
                <w:rFonts w:hint="eastAsia"/>
                <w:color w:val="auto"/>
                <w:highlight w:val="none"/>
              </w:rPr>
            </w:pPr>
            <w:r>
              <w:rPr>
                <w:rFonts w:hint="eastAsia"/>
                <w:color w:val="auto"/>
                <w:highlight w:val="none"/>
              </w:rPr>
              <w:t>1.2 采购人名称：驻马店市中心医院</w:t>
            </w:r>
          </w:p>
          <w:p>
            <w:pPr>
              <w:widowControl/>
              <w:snapToGrid w:val="0"/>
              <w:spacing w:line="440" w:lineRule="exact"/>
              <w:jc w:val="left"/>
              <w:outlineLvl w:val="0"/>
              <w:rPr>
                <w:rFonts w:ascii="Times New Roman" w:hAnsi="Times New Roman" w:eastAsia="宋体" w:cs="Times New Roman"/>
                <w:color w:val="auto"/>
                <w:kern w:val="2"/>
                <w:sz w:val="21"/>
                <w:szCs w:val="24"/>
                <w:highlight w:val="none"/>
                <w:lang w:val="en-US" w:eastAsia="zh-CN" w:bidi="ar-SA"/>
              </w:rPr>
            </w:pPr>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采购预算：</w:t>
            </w:r>
            <w:r>
              <w:rPr>
                <w:rFonts w:hint="eastAsia" w:ascii="宋体" w:hAnsi="宋体" w:cs="宋体"/>
                <w:color w:val="auto"/>
                <w:szCs w:val="21"/>
                <w:highlight w:val="none"/>
                <w:shd w:val="clear" w:color="auto" w:fill="FFFFFF"/>
                <w:lang w:val="en-US" w:eastAsia="zh-CN"/>
              </w:rPr>
              <w:t xml:space="preserve"> 14.7万元</w:t>
            </w:r>
            <w:r>
              <w:rPr>
                <w:rFonts w:hint="eastAsia" w:ascii="宋体" w:hAnsi="宋体" w:cs="宋体"/>
                <w:color w:val="auto"/>
                <w:kern w:val="0"/>
                <w:szCs w:val="21"/>
                <w:highlight w:val="none"/>
                <w:lang w:eastAsia="zh-CN"/>
              </w:rPr>
              <w:t>；</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3.1 本项目投标以人民币报价。</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pPr>
            <w:r>
              <w:rPr>
                <w:rFonts w:hint="eastAsia"/>
              </w:rPr>
              <w:t>投标文件组成</w:t>
            </w:r>
            <w:r>
              <w:rPr>
                <w:rFonts w:hint="eastAsia" w:ascii="宋体" w:hAnsi="宋体" w:eastAsia="宋体" w:cs="宋体"/>
              </w:rPr>
              <w:t>：纸质投标文件正本1份</w:t>
            </w:r>
            <w:r>
              <w:rPr>
                <w:rFonts w:hint="eastAsia" w:ascii="宋体" w:hAnsi="宋体" w:eastAsia="宋体" w:cs="宋体"/>
                <w:lang w:eastAsia="zh-CN"/>
              </w:rPr>
              <w:t>、</w:t>
            </w:r>
            <w:r>
              <w:rPr>
                <w:rFonts w:hint="eastAsia" w:ascii="宋体" w:hAnsi="宋体" w:eastAsia="宋体" w:cs="宋体"/>
                <w:lang w:val="en-US" w:eastAsia="zh-CN"/>
              </w:rPr>
              <w:t>副本2份</w:t>
            </w:r>
            <w:r>
              <w:rPr>
                <w:rFonts w:hint="eastAsia" w:ascii="宋体" w:hAnsi="宋体" w:eastAsia="宋体" w:cs="宋体"/>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评审委员会成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中标公告及中标通知书：由采购人授权评标委员会确定一名中标人并推荐</w:t>
            </w:r>
            <w:r>
              <w:rPr>
                <w:rFonts w:hint="eastAsia" w:ascii="宋体" w:hAnsi="宋体" w:cs="宋体"/>
                <w:color w:val="auto"/>
                <w:kern w:val="0"/>
                <w:szCs w:val="21"/>
                <w:highlight w:val="none"/>
                <w:lang w:val="en-US" w:eastAsia="zh-CN"/>
              </w:rPr>
              <w:t>一</w:t>
            </w:r>
            <w:r>
              <w:rPr>
                <w:rFonts w:hint="eastAsia" w:ascii="宋体" w:hAnsi="宋体" w:cs="宋体"/>
                <w:color w:val="auto"/>
                <w:kern w:val="0"/>
                <w:szCs w:val="21"/>
                <w:highlight w:val="none"/>
              </w:rPr>
              <w:t>名中标候选人。评审结束后</w:t>
            </w:r>
            <w:r>
              <w:rPr>
                <w:rFonts w:hint="eastAsia" w:ascii="宋体" w:hAnsi="宋体" w:cs="宋体"/>
                <w:color w:val="auto"/>
                <w:kern w:val="0"/>
                <w:szCs w:val="21"/>
                <w:highlight w:val="none"/>
                <w:lang w:val="en-US" w:eastAsia="zh-CN"/>
              </w:rPr>
              <w:t>在</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驻马店市中心医院</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官网</w:t>
            </w:r>
            <w:r>
              <w:rPr>
                <w:rFonts w:hint="eastAsia" w:ascii="宋体" w:hAnsi="宋体" w:cs="Arial"/>
                <w:color w:val="auto"/>
                <w:kern w:val="0"/>
                <w:szCs w:val="21"/>
                <w:highlight w:val="none"/>
              </w:rPr>
              <w:t>上</w:t>
            </w:r>
            <w:r>
              <w:rPr>
                <w:rFonts w:hint="eastAsia" w:ascii="宋体" w:hAnsi="宋体" w:cs="宋体"/>
                <w:color w:val="auto"/>
                <w:kern w:val="0"/>
                <w:szCs w:val="21"/>
                <w:highlight w:val="none"/>
              </w:rPr>
              <w:t>发布中标公告，</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签订合同：自中标通知书发出之日起</w:t>
            </w:r>
            <w:r>
              <w:rPr>
                <w:rFonts w:hint="eastAsia" w:ascii="宋体" w:hAnsi="宋体" w:cs="宋体"/>
                <w:color w:val="auto"/>
                <w:kern w:val="0"/>
                <w:szCs w:val="21"/>
                <w:highlight w:val="none"/>
                <w:lang w:val="en-US" w:eastAsia="zh-CN"/>
              </w:rPr>
              <w:t>30日</w:t>
            </w:r>
            <w:r>
              <w:rPr>
                <w:rFonts w:hint="eastAsia" w:ascii="宋体" w:hAnsi="宋体" w:cs="宋体"/>
                <w:color w:val="auto"/>
                <w:kern w:val="0"/>
                <w:szCs w:val="21"/>
                <w:highlight w:val="none"/>
              </w:rPr>
              <w:t>内。</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FF0000"/>
                <w:kern w:val="0"/>
                <w:szCs w:val="21"/>
                <w:highlight w:val="none"/>
              </w:rPr>
            </w:pPr>
            <w:r>
              <w:rPr>
                <w:rFonts w:hint="eastAsia" w:ascii="宋体" w:hAnsi="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FF0000"/>
                <w:kern w:val="0"/>
                <w:szCs w:val="21"/>
                <w:highlight w:val="none"/>
              </w:rPr>
            </w:pPr>
            <w:r>
              <w:rPr>
                <w:rFonts w:hint="eastAsia" w:ascii="宋体" w:hAnsi="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color w:val="auto"/>
                <w:highlight w:val="none"/>
              </w:rPr>
            </w:pPr>
            <w:r>
              <w:rPr>
                <w:rFonts w:hint="eastAsia"/>
                <w:color w:val="auto"/>
                <w:highlight w:val="none"/>
              </w:rPr>
              <w:t>解释：1、构成本</w:t>
            </w:r>
            <w:r>
              <w:rPr>
                <w:rFonts w:hint="eastAsia"/>
                <w:color w:val="auto"/>
                <w:highlight w:val="none"/>
                <w:lang w:val="en-US" w:eastAsia="zh-CN"/>
              </w:rPr>
              <w:t>采购</w:t>
            </w:r>
            <w:r>
              <w:rPr>
                <w:rFonts w:hint="eastAsia"/>
                <w:color w:val="auto"/>
                <w:highlight w:val="none"/>
              </w:rPr>
              <w:t>文件的各个组成文件应互为解释，互为说明；如有不明确或不一致，构成合同文件组成内容的，以合同文件约定内容为准；除</w:t>
            </w:r>
            <w:r>
              <w:rPr>
                <w:rFonts w:hint="eastAsia"/>
                <w:color w:val="auto"/>
                <w:highlight w:val="none"/>
                <w:lang w:val="en-US" w:eastAsia="zh-CN"/>
              </w:rPr>
              <w:t>采购</w:t>
            </w:r>
            <w:r>
              <w:rPr>
                <w:rFonts w:hint="eastAsia"/>
                <w:color w:val="auto"/>
                <w:highlight w:val="none"/>
              </w:rPr>
              <w:t>文件中有特殊规定外，仅适用于招标投标阶段的规定，按</w:t>
            </w:r>
            <w:r>
              <w:rPr>
                <w:rFonts w:hint="eastAsia"/>
                <w:color w:val="auto"/>
                <w:highlight w:val="none"/>
                <w:lang w:val="en-US" w:eastAsia="zh-CN"/>
              </w:rPr>
              <w:t>采购</w:t>
            </w:r>
            <w:r>
              <w:rPr>
                <w:rFonts w:hint="eastAsia"/>
                <w:color w:val="auto"/>
                <w:highlight w:val="none"/>
              </w:rPr>
              <w:t>公告、供应商须知、评标办法、投标文件格式的先后顺序解释；同一组成文件中就同一事项的规定或约定不一致的，以编排顺序在后者为准；当</w:t>
            </w:r>
            <w:r>
              <w:rPr>
                <w:rFonts w:hint="eastAsia"/>
                <w:color w:val="auto"/>
                <w:highlight w:val="none"/>
                <w:lang w:val="en-US" w:eastAsia="zh-CN"/>
              </w:rPr>
              <w:t>采购</w:t>
            </w:r>
            <w:r>
              <w:rPr>
                <w:rFonts w:hint="eastAsia"/>
                <w:color w:val="auto"/>
                <w:highlight w:val="none"/>
              </w:rPr>
              <w:t>文件与</w:t>
            </w:r>
            <w:r>
              <w:rPr>
                <w:rFonts w:hint="eastAsia"/>
                <w:color w:val="auto"/>
                <w:highlight w:val="none"/>
                <w:lang w:val="en-US" w:eastAsia="zh-CN"/>
              </w:rPr>
              <w:t>采购</w:t>
            </w:r>
            <w:r>
              <w:rPr>
                <w:rFonts w:hint="eastAsia"/>
                <w:color w:val="auto"/>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color w:val="auto"/>
                <w:kern w:val="0"/>
                <w:szCs w:val="21"/>
                <w:highlight w:val="none"/>
              </w:rPr>
            </w:pPr>
            <w:r>
              <w:rPr>
                <w:rFonts w:hint="eastAsia"/>
                <w:color w:val="auto"/>
                <w:highlight w:val="none"/>
              </w:rPr>
              <w:t>2、本</w:t>
            </w:r>
            <w:r>
              <w:rPr>
                <w:rFonts w:hint="eastAsia"/>
                <w:color w:val="auto"/>
                <w:highlight w:val="none"/>
                <w:lang w:val="en-US" w:eastAsia="zh-CN"/>
              </w:rPr>
              <w:t>采购</w:t>
            </w:r>
            <w:r>
              <w:rPr>
                <w:rFonts w:hint="eastAsia"/>
                <w:color w:val="auto"/>
                <w:highlight w:val="none"/>
              </w:rPr>
              <w:t>文件解释权归采购人。</w:t>
            </w:r>
          </w:p>
        </w:tc>
      </w:tr>
    </w:tbl>
    <w:p>
      <w:pPr>
        <w:rPr>
          <w:color w:val="auto"/>
          <w:highlight w:val="none"/>
        </w:rPr>
      </w:pPr>
    </w:p>
    <w:p>
      <w:pPr>
        <w:keepNext w:val="0"/>
        <w:keepLines w:val="0"/>
        <w:pageBreakBefore w:val="0"/>
        <w:widowControl/>
        <w:kinsoku/>
        <w:wordWrap/>
        <w:overflowPunct/>
        <w:topLinePunct w:val="0"/>
        <w:bidi w:val="0"/>
        <w:snapToGrid w:val="0"/>
        <w:spacing w:line="360" w:lineRule="auto"/>
        <w:ind w:firstLine="2760"/>
        <w:jc w:val="left"/>
        <w:outlineLvl w:val="1"/>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pPr>
        <w:keepNext w:val="0"/>
        <w:keepLines w:val="0"/>
        <w:pageBreakBefore w:val="0"/>
        <w:kinsoku/>
        <w:wordWrap/>
        <w:overflowPunct/>
        <w:topLinePunct w:val="0"/>
        <w:bidi w:val="0"/>
        <w:snapToGrid w:val="0"/>
        <w:spacing w:line="360" w:lineRule="auto"/>
        <w:rPr>
          <w:color w:val="auto"/>
          <w:highlight w:val="none"/>
        </w:rPr>
      </w:pP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000000" w:themeColor="text1"/>
          <w:kern w:val="0"/>
          <w:szCs w:val="21"/>
          <w:highlight w:val="none"/>
          <w14:textFill>
            <w14:solidFill>
              <w14:schemeClr w14:val="tx1"/>
            </w14:solidFill>
          </w14:textFill>
        </w:rPr>
        <w:t>公告中所叙述项目的</w:t>
      </w:r>
      <w:r>
        <w:rPr>
          <w:rFonts w:hint="eastAsia" w:ascii="宋体" w:hAnsi="宋体" w:eastAsia="宋体" w:cs="宋体"/>
          <w:color w:val="000000" w:themeColor="text1"/>
          <w:kern w:val="0"/>
          <w:szCs w:val="21"/>
          <w:highlight w:val="none"/>
          <w14:textFill>
            <w14:solidFill>
              <w14:schemeClr w14:val="tx1"/>
            </w14:solidFill>
          </w14:textFill>
        </w:rPr>
        <w:t>服务</w:t>
      </w:r>
      <w:r>
        <w:rPr>
          <w:rFonts w:hint="eastAsia" w:ascii="宋体" w:hAnsi="宋体" w:cs="宋体"/>
          <w:color w:val="000000" w:themeColor="text1"/>
          <w:kern w:val="0"/>
          <w:szCs w:val="21"/>
          <w:highlight w:val="none"/>
          <w14:textFill>
            <w14:solidFill>
              <w14:schemeClr w14:val="tx1"/>
            </w14:solidFill>
          </w14:textFill>
        </w:rPr>
        <w:t>采购。</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2.1 “采购人</w:t>
      </w:r>
      <w:r>
        <w:rPr>
          <w:rFonts w:hint="eastAsia" w:ascii="宋体" w:hAnsi="宋体" w:cs="宋体"/>
          <w:color w:val="000000" w:themeColor="text1"/>
          <w:kern w:val="0"/>
          <w:szCs w:val="21"/>
          <w:highlight w:val="none"/>
          <w14:textFill>
            <w14:solidFill>
              <w14:schemeClr w14:val="tx1"/>
            </w14:solidFill>
          </w14:textFill>
        </w:rPr>
        <w:t>”系指本次采购项目的业主方。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2.2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”系指</w:t>
      </w:r>
      <w:r>
        <w:rPr>
          <w:rFonts w:hint="eastAsia" w:ascii="宋体" w:hAnsi="宋体" w:cs="宋体"/>
          <w:color w:val="000000" w:themeColor="text1"/>
          <w:kern w:val="0"/>
          <w:szCs w:val="21"/>
          <w:highlight w:val="none"/>
          <w:lang w:val="en-US" w:eastAsia="zh-CN"/>
          <w14:textFill>
            <w14:solidFill>
              <w14:schemeClr w14:val="tx1"/>
            </w14:solidFill>
          </w14:textFill>
        </w:rPr>
        <w:t>领取</w:t>
      </w:r>
      <w:r>
        <w:rPr>
          <w:rFonts w:hint="eastAsia" w:ascii="宋体" w:hAnsi="宋体" w:cs="宋体"/>
          <w:color w:val="000000" w:themeColor="text1"/>
          <w:kern w:val="0"/>
          <w:szCs w:val="21"/>
          <w:highlight w:val="none"/>
          <w14:textFill>
            <w14:solidFill>
              <w14:schemeClr w14:val="tx1"/>
            </w14:solidFill>
          </w14:textFill>
        </w:rPr>
        <w:t>了本</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文件，且已经提交本次投标文件的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2.3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代表”系指代表</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参加本次</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活动的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2.4 “服务”系指供应商按采购文件规定向采购人提供的一切工作内容。</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 xml:space="preserve"> 14.7万元</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rPr>
        <w:t>最高投标限价</w:t>
      </w:r>
      <w:r>
        <w:rPr>
          <w:rFonts w:hint="eastAsia" w:ascii="宋体" w:hAnsi="宋体" w:cs="宋体"/>
          <w:b/>
          <w:bCs/>
          <w:color w:val="auto"/>
          <w:kern w:val="0"/>
          <w:szCs w:val="21"/>
          <w:highlight w:val="none"/>
          <w:lang w:val="en-US" w:eastAsia="zh-CN"/>
        </w:rPr>
        <w:t>：14.7万元</w:t>
      </w:r>
      <w:r>
        <w:rPr>
          <w:rFonts w:hint="eastAsia" w:ascii="宋体" w:hAnsi="宋体" w:cs="宋体"/>
          <w:b/>
          <w:bCs/>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应提交的证明文件</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default"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4.1</w:t>
      </w:r>
      <w:r>
        <w:rPr>
          <w:rFonts w:hint="eastAsia" w:ascii="宋体" w:hAnsi="宋体" w:cs="宋体"/>
          <w:color w:val="auto"/>
          <w:kern w:val="2"/>
          <w:sz w:val="21"/>
          <w:szCs w:val="24"/>
          <w:lang w:val="en-US" w:eastAsia="zh-CN" w:bidi="ar-SA"/>
        </w:rPr>
        <w:t xml:space="preserve"> </w:t>
      </w:r>
      <w:r>
        <w:rPr>
          <w:rFonts w:hint="eastAsia" w:ascii="宋体" w:hAnsi="宋体" w:eastAsia="宋体" w:cs="宋体"/>
          <w:color w:val="auto"/>
          <w:kern w:val="2"/>
          <w:sz w:val="21"/>
          <w:szCs w:val="24"/>
          <w:lang w:val="en-US" w:eastAsia="zh-CN" w:bidi="ar-SA"/>
        </w:rPr>
        <w:t>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4.</w:t>
      </w:r>
      <w:r>
        <w:rPr>
          <w:rFonts w:hint="eastAsia" w:ascii="宋体" w:hAnsi="宋体" w:cs="宋体"/>
          <w:color w:val="auto"/>
          <w:kern w:val="2"/>
          <w:sz w:val="21"/>
          <w:szCs w:val="24"/>
          <w:lang w:val="en-US" w:eastAsia="zh-CN" w:bidi="ar-SA"/>
        </w:rPr>
        <w:t xml:space="preserve">2 </w:t>
      </w:r>
      <w:r>
        <w:rPr>
          <w:rFonts w:hint="eastAsia" w:ascii="宋体" w:hAnsi="宋体" w:eastAsia="宋体" w:cs="宋体"/>
          <w:b w:val="0"/>
          <w:bCs w:val="0"/>
          <w:color w:val="auto"/>
          <w:kern w:val="2"/>
          <w:sz w:val="21"/>
          <w:szCs w:val="21"/>
          <w:shd w:val="clear" w:color="auto" w:fill="FFFFFF"/>
          <w:lang w:val="en-US" w:eastAsia="zh-CN" w:bidi="ar-SA"/>
        </w:rPr>
        <w:t>供应商应提供202</w:t>
      </w:r>
      <w:r>
        <w:rPr>
          <w:rFonts w:hint="eastAsia" w:ascii="宋体" w:hAnsi="宋体" w:cs="宋体"/>
          <w:b w:val="0"/>
          <w:bCs w:val="0"/>
          <w:color w:val="auto"/>
          <w:kern w:val="2"/>
          <w:sz w:val="21"/>
          <w:szCs w:val="21"/>
          <w:shd w:val="clear" w:color="auto" w:fill="FFFFFF"/>
          <w:lang w:val="en-US" w:eastAsia="zh-CN" w:bidi="ar-SA"/>
        </w:rPr>
        <w:t>2年</w:t>
      </w:r>
      <w:r>
        <w:rPr>
          <w:rFonts w:hint="eastAsia" w:ascii="宋体" w:hAnsi="宋体" w:eastAsia="宋体" w:cs="宋体"/>
          <w:b w:val="0"/>
          <w:bCs w:val="0"/>
          <w:color w:val="auto"/>
          <w:kern w:val="2"/>
          <w:sz w:val="21"/>
          <w:szCs w:val="21"/>
          <w:shd w:val="clear" w:color="auto" w:fill="FFFFFF"/>
          <w:lang w:val="en-US" w:eastAsia="zh-CN" w:bidi="ar-SA"/>
        </w:rPr>
        <w:t>度经审计的财务报告或者其基本开户银行出具的资信证明；采购活动近三个月或上个季度任意一个月的依法缴纳税收的凭据；依法免税的供应商，应提供相应文件证明其依法免税。（新成立企业从成立之日起计算）；</w:t>
      </w:r>
    </w:p>
    <w:p>
      <w:pPr>
        <w:pStyle w:val="30"/>
        <w:keepNext w:val="0"/>
        <w:keepLines w:val="0"/>
        <w:pageBreakBefore w:val="0"/>
        <w:kinsoku/>
        <w:overflowPunct/>
        <w:topLinePunct w:val="0"/>
        <w:bidi w:val="0"/>
        <w:spacing w:line="440" w:lineRule="exact"/>
        <w:ind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sz w:val="21"/>
          <w:lang w:val="en-US" w:eastAsia="zh-CN"/>
        </w:rPr>
        <w:t xml:space="preserve">4.3 </w:t>
      </w:r>
      <w:r>
        <w:rPr>
          <w:rFonts w:hint="eastAsia" w:ascii="宋体" w:hAnsi="宋体" w:eastAsia="宋体" w:cs="宋体"/>
          <w:color w:val="auto"/>
          <w:kern w:val="2"/>
          <w:sz w:val="21"/>
          <w:szCs w:val="24"/>
          <w:lang w:val="en-US" w:eastAsia="zh-CN" w:bidi="ar-SA"/>
        </w:rPr>
        <w:t>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 xml:space="preserve">4.4 </w:t>
      </w:r>
      <w:r>
        <w:rPr>
          <w:rFonts w:hint="eastAsia" w:ascii="宋体" w:hAnsi="宋体" w:eastAsia="宋体" w:cs="宋体"/>
          <w:color w:val="auto"/>
          <w:kern w:val="2"/>
          <w:sz w:val="21"/>
          <w:szCs w:val="24"/>
          <w:lang w:val="en-US" w:eastAsia="zh-CN" w:bidi="ar-SA"/>
        </w:rPr>
        <w:t>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cs="宋体"/>
          <w:color w:val="auto"/>
          <w:lang w:val="en-US" w:eastAsia="zh-CN"/>
        </w:rPr>
      </w:pPr>
      <w:r>
        <w:rPr>
          <w:rFonts w:hint="eastAsia" w:ascii="宋体" w:hAnsi="宋体" w:cs="宋体"/>
          <w:color w:val="auto"/>
          <w:lang w:val="en-US" w:eastAsia="zh-CN"/>
        </w:rPr>
        <w:t>4.5 特定资格要求：（1）供应商须具有医疗器械经营许可证，是在中华人民共和国境内注册的设备原制造厂商或原制造厂商授权的单位或具备相关设备维修能力的单位（提供证明文件）。（2）须提供同品牌同型号或高于该品牌型号的维保服务（全保）业绩。</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cs="宋体"/>
          <w:color w:val="auto"/>
          <w:lang w:val="en-US" w:eastAsia="zh-CN"/>
        </w:rPr>
        <w:t xml:space="preserve">4.6 </w:t>
      </w:r>
      <w:r>
        <w:rPr>
          <w:rFonts w:hint="eastAsia" w:ascii="宋体" w:hAnsi="宋体" w:eastAsia="宋体" w:cs="宋体"/>
          <w:color w:val="auto"/>
          <w:lang w:val="en-US" w:eastAsia="zh-CN"/>
        </w:rPr>
        <w:t>根据《关于在政府采购活动中查询及使用信用记录有关问题的通知》（财库【2016】125号）的规定，对列入失信被执行人、</w:t>
      </w:r>
      <w:r>
        <w:rPr>
          <w:rFonts w:hint="eastAsia"/>
          <w:color w:val="auto"/>
          <w:lang w:val="en-US" w:eastAsia="zh-CN"/>
        </w:rPr>
        <w:t>重大税收违法失信主体</w:t>
      </w:r>
      <w:r>
        <w:rPr>
          <w:rFonts w:hint="eastAsia" w:ascii="宋体" w:hAnsi="宋体" w:eastAsia="宋体" w:cs="宋体"/>
          <w:color w:val="auto"/>
          <w:lang w:val="en-US" w:eastAsia="zh-CN"/>
        </w:rPr>
        <w:t>、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9.1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代表只能接受一个</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的委托参加投标。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pPr>
        <w:keepNext w:val="0"/>
        <w:keepLines w:val="0"/>
        <w:pageBreakBefore w:val="0"/>
        <w:widowControl/>
        <w:shd w:val="clear" w:color="auto" w:fill="FFFFFF"/>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的风险</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的风险，并可能导致其投标被拒绝。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通知所有潜在供应商</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2229" w:firstLineChars="694"/>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资格要求、技术要求、商务要求和投标文件格式中对投标的要求），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公章。必要时评标委员会可以要求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16.1、投标书及开标一览表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16.2、</w:t>
      </w:r>
      <w:r>
        <w:rPr>
          <w:rFonts w:hint="eastAsia" w:ascii="宋体" w:hAnsi="宋体" w:cs="宋体"/>
          <w:color w:val="auto"/>
          <w:kern w:val="0"/>
          <w:szCs w:val="21"/>
          <w:highlight w:val="none"/>
        </w:rPr>
        <w:t>报价明细表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、技术响应表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、商务响应表</w:t>
      </w:r>
    </w:p>
    <w:p>
      <w:pPr>
        <w:keepNext w:val="0"/>
        <w:keepLines w:val="0"/>
        <w:pageBreakBefore w:val="0"/>
        <w:widowControl/>
        <w:kinsoku/>
        <w:wordWrap/>
        <w:overflowPunct/>
        <w:topLinePunct w:val="0"/>
        <w:bidi w:val="0"/>
        <w:snapToGrid w:val="0"/>
        <w:spacing w:line="360" w:lineRule="auto"/>
        <w:ind w:left="208" w:leftChars="99"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、法定代表人身份证明</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、法定代表人授权书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、证明文件</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、抵制商业贿赂承诺</w:t>
      </w:r>
    </w:p>
    <w:p>
      <w:pPr>
        <w:pStyle w:val="31"/>
        <w:keepNext w:val="0"/>
        <w:keepLines w:val="0"/>
        <w:pageBreakBefore w:val="0"/>
        <w:kinsoku/>
        <w:wordWrap/>
        <w:overflowPunct/>
        <w:topLinePunct w:val="0"/>
        <w:bidi w:val="0"/>
        <w:snapToGrid w:val="0"/>
        <w:spacing w:beforeAutospacing="0" w:afterAutospacing="0" w:line="360" w:lineRule="auto"/>
        <w:rPr>
          <w:color w:val="auto"/>
          <w:sz w:val="21"/>
          <w:szCs w:val="21"/>
          <w:highlight w:val="none"/>
        </w:rPr>
      </w:pPr>
      <w:r>
        <w:rPr>
          <w:rFonts w:hint="eastAsia"/>
          <w:color w:val="auto"/>
          <w:sz w:val="21"/>
          <w:szCs w:val="21"/>
          <w:highlight w:val="none"/>
        </w:rPr>
        <w:t>16.</w:t>
      </w:r>
      <w:r>
        <w:rPr>
          <w:rFonts w:hint="eastAsia"/>
          <w:color w:val="auto"/>
          <w:sz w:val="21"/>
          <w:szCs w:val="21"/>
          <w:highlight w:val="none"/>
          <w:lang w:val="en-US" w:eastAsia="zh-CN"/>
        </w:rPr>
        <w:t>9</w:t>
      </w:r>
      <w:r>
        <w:rPr>
          <w:rFonts w:hint="eastAsia"/>
          <w:color w:val="auto"/>
          <w:sz w:val="21"/>
          <w:szCs w:val="21"/>
          <w:highlight w:val="none"/>
        </w:rPr>
        <w:t>、</w:t>
      </w:r>
      <w:r>
        <w:rPr>
          <w:rFonts w:hint="eastAsia"/>
          <w:color w:val="auto"/>
          <w:sz w:val="21"/>
          <w:szCs w:val="21"/>
          <w:highlight w:val="none"/>
          <w:lang w:eastAsia="zh-CN"/>
        </w:rPr>
        <w:t>供应商</w:t>
      </w:r>
      <w:r>
        <w:rPr>
          <w:rFonts w:hint="eastAsia"/>
          <w:color w:val="auto"/>
          <w:sz w:val="21"/>
          <w:szCs w:val="21"/>
          <w:highlight w:val="none"/>
        </w:rPr>
        <w:t>认为有必要的其他资料</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须知前附表</w:t>
      </w:r>
      <w:r>
        <w:rPr>
          <w:rFonts w:hint="eastAsia" w:ascii="宋体" w:hAnsi="宋体" w:cs="宋体"/>
          <w:color w:val="auto"/>
          <w:kern w:val="0"/>
          <w:szCs w:val="21"/>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同意延长有效期，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可以拒绝上述要求。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答复不明确或者逾期未答复的，均视为拒绝上述要求。对于接受该要求的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要按开标一览表的内容填写。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lang w:eastAsia="zh-CN"/>
        </w:rPr>
        <w:t>供应商</w:t>
      </w:r>
      <w:r>
        <w:rPr>
          <w:rFonts w:hint="eastAsia" w:ascii="宋体" w:hAnsi="宋体" w:cs="宋体"/>
          <w:color w:val="auto"/>
          <w:spacing w:val="10"/>
          <w:kern w:val="0"/>
          <w:szCs w:val="21"/>
          <w:highlight w:val="none"/>
        </w:rPr>
        <w:t>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19.投标保证金</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详见采购公告</w:t>
      </w:r>
      <w:r>
        <w:rPr>
          <w:rFonts w:hint="eastAsia" w:ascii="宋体" w:hAnsi="宋体" w:cs="宋体"/>
          <w:b/>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r>
        <w:rPr>
          <w:rFonts w:hint="eastAsia" w:ascii="宋体" w:hAnsi="宋体" w:eastAsia="宋体" w:cs="宋体"/>
          <w:color w:val="000000" w:themeColor="text1"/>
          <w:kern w:val="0"/>
          <w:szCs w:val="2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.2 投标文件应当对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文件有关服务期、投标有效期、</w:t>
      </w:r>
      <w:r>
        <w:rPr>
          <w:rFonts w:hint="eastAsia" w:ascii="宋体" w:hAnsi="宋体" w:cs="宋体"/>
          <w:color w:val="000000" w:themeColor="text1"/>
          <w:kern w:val="0"/>
          <w:szCs w:val="21"/>
          <w:highlight w:val="none"/>
          <w:lang w:val="en-US" w:eastAsia="zh-CN"/>
          <w14:textFill>
            <w14:solidFill>
              <w14:schemeClr w14:val="tx1"/>
            </w14:solidFill>
          </w14:textFill>
        </w:rPr>
        <w:t>服务</w:t>
      </w:r>
      <w:r>
        <w:rPr>
          <w:rFonts w:hint="eastAsia" w:ascii="宋体" w:hAnsi="宋体" w:eastAsia="宋体" w:cs="宋体"/>
          <w:color w:val="000000" w:themeColor="text1"/>
          <w:kern w:val="0"/>
          <w:szCs w:val="21"/>
          <w:highlight w:val="none"/>
          <w14:textFill>
            <w14:solidFill>
              <w14:schemeClr w14:val="tx1"/>
            </w14:solidFill>
          </w14:textFill>
        </w:rPr>
        <w:t>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的法定代表人盖章或盖单位公章；投标文件应尽量避免涂改、行间插字或删除，如果出现上述情况，改动之处应加盖单位公章或由</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pPr>
        <w:keepNext w:val="0"/>
        <w:keepLines w:val="0"/>
        <w:pageBreakBefore w:val="0"/>
        <w:widowControl/>
        <w:kinsoku/>
        <w:wordWrap/>
        <w:overflowPunct/>
        <w:topLinePunct w:val="0"/>
        <w:bidi w:val="0"/>
        <w:snapToGrid w:val="0"/>
        <w:spacing w:line="360" w:lineRule="auto"/>
        <w:ind w:firstLine="2554" w:firstLineChars="795"/>
        <w:jc w:val="left"/>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pPr>
        <w:keepNext w:val="0"/>
        <w:keepLines w:val="0"/>
        <w:pageBreakBefore w:val="0"/>
        <w:kinsoku/>
        <w:wordWrap/>
        <w:overflowPunct/>
        <w:topLinePunct w:val="0"/>
        <w:autoSpaceDE/>
        <w:autoSpaceDN/>
        <w:bidi w:val="0"/>
        <w:adjustRightInd/>
        <w:spacing w:line="360" w:lineRule="auto"/>
        <w:ind w:firstLine="424" w:firstLineChars="202"/>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21.1</w:t>
      </w:r>
      <w:r>
        <w:rPr>
          <w:color w:val="auto"/>
          <w:highlight w:val="none"/>
        </w:rPr>
        <w:t>响应文件应密封包装，并在封套的封口处加盖供应商单位章或由供应商的法定代表人（单位负责人）或其授权的代理人签字。</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21.2 投标文件的封套上应清楚地标记“正本”或“副本”字样，封套上应写明的其他内容见</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w:t>
      </w:r>
      <w:r>
        <w:rPr>
          <w:rFonts w:hint="eastAsia" w:ascii="宋体" w:hAnsi="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highlight w:val="none"/>
          <w:lang w:eastAsia="zh-CN"/>
        </w:rPr>
      </w:pPr>
      <w:r>
        <w:rPr>
          <w:rFonts w:hint="eastAsia"/>
          <w:highlight w:val="none"/>
          <w:lang w:eastAsia="zh-CN"/>
        </w:rPr>
        <w:t>2</w:t>
      </w:r>
      <w:r>
        <w:rPr>
          <w:rFonts w:hint="eastAsia"/>
          <w:highlight w:val="none"/>
          <w:lang w:val="en-US" w:eastAsia="zh-CN"/>
        </w:rPr>
        <w:t>1</w:t>
      </w:r>
      <w:r>
        <w:rPr>
          <w:rFonts w:hint="eastAsia"/>
          <w:highlight w:val="none"/>
          <w:lang w:eastAsia="zh-CN"/>
        </w:rPr>
        <w:t>.3 未按本章第2</w:t>
      </w:r>
      <w:r>
        <w:rPr>
          <w:rFonts w:hint="eastAsia"/>
          <w:highlight w:val="none"/>
          <w:lang w:val="en-US" w:eastAsia="zh-CN"/>
        </w:rPr>
        <w:t>1</w:t>
      </w:r>
      <w:r>
        <w:rPr>
          <w:rFonts w:hint="eastAsia"/>
          <w:highlight w:val="none"/>
          <w:lang w:eastAsia="zh-CN"/>
        </w:rPr>
        <w:t>.1项或第2</w:t>
      </w:r>
      <w:r>
        <w:rPr>
          <w:rFonts w:hint="eastAsia"/>
          <w:highlight w:val="none"/>
          <w:lang w:val="en-US" w:eastAsia="zh-CN"/>
        </w:rPr>
        <w:t>1</w:t>
      </w:r>
      <w:r>
        <w:rPr>
          <w:rFonts w:hint="eastAsia"/>
          <w:highlight w:val="none"/>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递交投标文件的地点：见</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须知前附表另有规定外，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23.1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 xml:space="preserve">23.2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在投标截止期后不得修改、撤回投标文件。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组建评标委员会</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评标委员会由采购人代表和评审专家组成。成员由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.2评标委员会成员要依法独立评审，并对评审意见承担个人责任。</w:t>
      </w:r>
      <w:r>
        <w:rPr>
          <w:rFonts w:hint="eastAsia" w:ascii="宋体" w:hAnsi="宋体" w:cs="宋体"/>
          <w:color w:val="auto"/>
          <w:szCs w:val="21"/>
          <w:highlight w:val="none"/>
        </w:rPr>
        <w:t>评标委员会成员对需要共同认定的事项存在争议的，按照少数服从多数的原则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出结论。持不同意见的评标委员会成员应当在评标报告上签署不同意见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确认后产生约束力，</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w:t>
      </w:r>
      <w:r>
        <w:rPr>
          <w:rFonts w:hint="eastAsia" w:ascii="宋体" w:hAnsi="宋体"/>
          <w:color w:val="auto"/>
          <w:szCs w:val="21"/>
          <w:highlight w:val="none"/>
          <w:lang w:eastAsia="zh-CN"/>
        </w:rPr>
        <w:t>供应商</w:t>
      </w:r>
      <w:r>
        <w:rPr>
          <w:rFonts w:hint="eastAsia" w:ascii="宋体" w:hAnsi="宋体"/>
          <w:color w:val="auto"/>
          <w:szCs w:val="21"/>
          <w:highlight w:val="none"/>
        </w:rPr>
        <w:t>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w:t>
      </w:r>
      <w:r>
        <w:rPr>
          <w:rFonts w:hint="eastAsia" w:ascii="宋体" w:hAnsi="宋体"/>
          <w:color w:val="auto"/>
          <w:szCs w:val="21"/>
          <w:highlight w:val="none"/>
          <w:lang w:eastAsia="zh-CN"/>
        </w:rPr>
        <w:t>供应商</w:t>
      </w:r>
      <w:r>
        <w:rPr>
          <w:rFonts w:hint="eastAsia" w:ascii="宋体" w:hAnsi="宋体"/>
          <w:color w:val="auto"/>
          <w:szCs w:val="21"/>
          <w:highlight w:val="none"/>
        </w:rPr>
        <w:t>应提交的证明文件所述的资格标准对</w:t>
      </w:r>
      <w:r>
        <w:rPr>
          <w:rFonts w:hint="eastAsia" w:ascii="宋体" w:hAnsi="宋体"/>
          <w:color w:val="auto"/>
          <w:szCs w:val="21"/>
          <w:highlight w:val="none"/>
          <w:lang w:eastAsia="zh-CN"/>
        </w:rPr>
        <w:t>供应商</w:t>
      </w:r>
      <w:r>
        <w:rPr>
          <w:rFonts w:hint="eastAsia" w:ascii="宋体" w:hAnsi="宋体"/>
          <w:color w:val="auto"/>
          <w:szCs w:val="21"/>
          <w:highlight w:val="none"/>
        </w:rPr>
        <w:t>进行资格审查,以确定其是否具备投标资格。如果</w:t>
      </w:r>
      <w:r>
        <w:rPr>
          <w:rFonts w:hint="eastAsia" w:ascii="宋体" w:hAnsi="宋体"/>
          <w:color w:val="auto"/>
          <w:szCs w:val="21"/>
          <w:highlight w:val="none"/>
          <w:lang w:eastAsia="zh-CN"/>
        </w:rPr>
        <w:t>供应商</w:t>
      </w:r>
      <w:r>
        <w:rPr>
          <w:rFonts w:hint="eastAsia" w:ascii="宋体" w:hAnsi="宋体"/>
          <w:color w:val="auto"/>
          <w:szCs w:val="21"/>
          <w:highlight w:val="none"/>
        </w:rPr>
        <w:t>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应在规定的时限内提供。</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文件的规定，评标委员会将从投标文件的有效性、完整性和对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eastAsia="zh-CN"/>
        </w:rPr>
        <w:t>供应商</w:t>
      </w:r>
      <w:r>
        <w:rPr>
          <w:rFonts w:hint="eastAsia" w:ascii="宋体" w:hAnsi="宋体"/>
          <w:color w:val="auto"/>
          <w:szCs w:val="21"/>
          <w:highlight w:val="none"/>
        </w:rPr>
        <w:t>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w:t>
      </w:r>
      <w:r>
        <w:rPr>
          <w:rFonts w:hint="eastAsia" w:ascii="宋体" w:hAnsi="宋体"/>
          <w:color w:val="000000" w:themeColor="text1"/>
          <w:szCs w:val="21"/>
          <w:highlight w:val="none"/>
          <w14:textFill>
            <w14:solidFill>
              <w14:schemeClr w14:val="tx1"/>
            </w14:solidFill>
          </w14:textFill>
        </w:rPr>
        <w:t>有效期、</w:t>
      </w:r>
      <w:r>
        <w:rPr>
          <w:rFonts w:hint="eastAsia" w:ascii="宋体" w:hAnsi="宋体"/>
          <w:color w:val="000000" w:themeColor="text1"/>
          <w:szCs w:val="21"/>
          <w:highlight w:val="none"/>
          <w:lang w:val="en-US" w:eastAsia="zh-CN"/>
          <w14:textFill>
            <w14:solidFill>
              <w14:schemeClr w14:val="tx1"/>
            </w14:solidFill>
          </w14:textFill>
        </w:rPr>
        <w:t>合同履行期限</w:t>
      </w:r>
      <w:r>
        <w:rPr>
          <w:rFonts w:hint="eastAsia" w:ascii="宋体" w:hAnsi="宋体"/>
          <w:color w:val="auto"/>
          <w:szCs w:val="21"/>
          <w:highlight w:val="none"/>
        </w:rPr>
        <w:t>、</w:t>
      </w:r>
      <w:r>
        <w:rPr>
          <w:rFonts w:hint="eastAsia" w:ascii="宋体" w:hAnsi="宋体"/>
          <w:color w:val="auto"/>
          <w:szCs w:val="21"/>
          <w:highlight w:val="none"/>
          <w:lang w:eastAsia="zh-CN"/>
        </w:rPr>
        <w:t>质量</w:t>
      </w:r>
      <w:r>
        <w:rPr>
          <w:rFonts w:hint="eastAsia" w:ascii="宋体" w:hAnsi="宋体"/>
          <w:color w:val="auto"/>
          <w:szCs w:val="21"/>
          <w:highlight w:val="none"/>
        </w:rPr>
        <w:t>等</w:t>
      </w:r>
      <w:r>
        <w:rPr>
          <w:rFonts w:hint="eastAsia" w:ascii="宋体" w:hAnsi="宋体"/>
          <w:color w:val="000000" w:themeColor="text1"/>
          <w:szCs w:val="21"/>
          <w:highlight w:val="none"/>
          <w14:textFill>
            <w14:solidFill>
              <w14:schemeClr w14:val="tx1"/>
            </w14:solidFill>
          </w14:textFill>
        </w:rPr>
        <w:t>不</w:t>
      </w:r>
      <w:r>
        <w:rPr>
          <w:rFonts w:hint="eastAsia" w:ascii="宋体" w:hAnsi="宋体"/>
          <w:color w:val="auto"/>
          <w:szCs w:val="21"/>
          <w:highlight w:val="none"/>
        </w:rPr>
        <w:t>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在评审过程中，评标委员会发现</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有下列情形之一的，视为</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对投标文件中含义不明确、同类问题表述不一致或者有明显文字和计算错误的内容，评标委员会可以书面形式要求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作出必要的澄清。</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的澄清应当在评标委员会规定的时间内以书面形式作出，由其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代表签字。但澄清事项不得超出投标文件的范围，不得实质性改变投标文件的内容，不得通过澄清等方式对</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实行差别对待。评标委员会不得接受</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.1 评标委员会将按本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.3评标委员会认为</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的报价明显低于其他通过符合性审查</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ind w:firstLine="3050"/>
        <w:jc w:val="left"/>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36"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36"/>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为中标候选人的评标方法。</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本项目由采购人授权评标委员会确定一名中标人并推荐</w:t>
      </w:r>
      <w:r>
        <w:rPr>
          <w:rFonts w:hint="eastAsia" w:ascii="宋体" w:hAnsi="宋体" w:cs="宋体"/>
          <w:bCs/>
          <w:color w:val="auto"/>
          <w:kern w:val="0"/>
          <w:szCs w:val="21"/>
          <w:highlight w:val="none"/>
          <w:lang w:val="en-US" w:eastAsia="zh-CN"/>
        </w:rPr>
        <w:t>一</w:t>
      </w:r>
      <w:r>
        <w:rPr>
          <w:rFonts w:hint="eastAsia" w:ascii="宋体" w:hAnsi="宋体" w:cs="宋体"/>
          <w:bCs/>
          <w:color w:val="auto"/>
          <w:kern w:val="0"/>
          <w:szCs w:val="21"/>
          <w:highlight w:val="none"/>
        </w:rPr>
        <w:t>名中标候选人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中标通知书及中标公告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人将中标候选人的情况在本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不足3家或通过资格性检查或符合性检查的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不足3家的，除采购任务取消情形外，按照以下方式处理：</w:t>
      </w:r>
    </w:p>
    <w:p>
      <w:pPr>
        <w:keepNext w:val="0"/>
        <w:keepLines w:val="0"/>
        <w:pageBreakBefore w:val="0"/>
        <w:numPr>
          <w:ilvl w:val="0"/>
          <w:numId w:val="3"/>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ind w:firstLine="2570" w:firstLineChars="80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37"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采购人、中标人自中标通知书发出之日起，在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文件确定的事项和中标人投标文件签订合同。双方所签订的合同不得对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.3 中标人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按照评标委员会提出的中标候选</w:t>
      </w:r>
      <w:r>
        <w:rPr>
          <w:rFonts w:hint="eastAsia" w:ascii="宋体" w:hAnsi="宋体" w:cs="宋体"/>
          <w:color w:val="auto"/>
          <w:kern w:val="0"/>
          <w:szCs w:val="21"/>
          <w:highlight w:val="none"/>
        </w:rPr>
        <w:t>人</w:t>
      </w:r>
      <w:r>
        <w:rPr>
          <w:rFonts w:hint="eastAsia" w:cs="宋体"/>
          <w:color w:val="auto"/>
          <w:kern w:val="0"/>
          <w:szCs w:val="21"/>
          <w:highlight w:val="none"/>
        </w:rPr>
        <w:t>名单排序依次确定其他中标候选</w:t>
      </w:r>
      <w:r>
        <w:rPr>
          <w:rFonts w:hint="eastAsia" w:ascii="宋体" w:hAnsi="宋体" w:cs="宋体"/>
          <w:color w:val="auto"/>
          <w:kern w:val="0"/>
          <w:szCs w:val="21"/>
          <w:highlight w:val="none"/>
        </w:rPr>
        <w:t>人</w:t>
      </w:r>
      <w:r>
        <w:rPr>
          <w:rFonts w:hint="eastAsia" w:cs="宋体"/>
          <w:color w:val="auto"/>
          <w:kern w:val="0"/>
          <w:szCs w:val="21"/>
          <w:highlight w:val="none"/>
        </w:rPr>
        <w:t>为中标</w:t>
      </w:r>
      <w:r>
        <w:rPr>
          <w:rFonts w:hint="eastAsia" w:ascii="宋体" w:hAnsi="宋体" w:cs="宋体"/>
          <w:color w:val="auto"/>
          <w:kern w:val="0"/>
          <w:szCs w:val="21"/>
          <w:highlight w:val="none"/>
        </w:rPr>
        <w:t>人</w:t>
      </w:r>
      <w:r>
        <w:rPr>
          <w:rFonts w:hint="eastAsia" w:cs="宋体"/>
          <w:color w:val="auto"/>
          <w:kern w:val="0"/>
          <w:szCs w:val="21"/>
          <w:highlight w:val="none"/>
        </w:rPr>
        <w:t>，也可以重新招标。</w:t>
      </w:r>
    </w:p>
    <w:bookmarkEnd w:id="37"/>
    <w:p>
      <w:pPr>
        <w:rPr>
          <w:color w:val="auto"/>
          <w:highlight w:val="none"/>
        </w:rPr>
      </w:pPr>
      <w:bookmarkStart w:id="38" w:name="_Toc4700"/>
      <w:bookmarkStart w:id="39" w:name="_Toc16669"/>
      <w:r>
        <w:rPr>
          <w:color w:val="auto"/>
          <w:highlight w:val="none"/>
        </w:rPr>
        <w:br w:type="page"/>
      </w: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ascii="宋体" w:hAnsi="宋体" w:cs="宋体"/>
          <w:color w:val="auto"/>
          <w:kern w:val="0"/>
          <w:sz w:val="24"/>
          <w:highlight w:val="none"/>
        </w:rPr>
      </w:pPr>
      <w:bookmarkStart w:id="40" w:name="_Toc9022"/>
      <w:r>
        <w:rPr>
          <w:rFonts w:hint="eastAsia" w:ascii="黑体" w:hAnsi="宋体" w:eastAsia="黑体" w:cs="宋体"/>
          <w:b/>
          <w:bCs/>
          <w:color w:val="auto"/>
          <w:kern w:val="0"/>
          <w:sz w:val="32"/>
          <w:szCs w:val="32"/>
          <w:highlight w:val="none"/>
        </w:rPr>
        <w:t>第四章  评标办法及评分标准</w:t>
      </w:r>
      <w:bookmarkEnd w:id="38"/>
      <w:bookmarkEnd w:id="40"/>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2．评标委员会按照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为第一中标候选人。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4"/>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详细评审（100分）</w:t>
      </w:r>
    </w:p>
    <w:tbl>
      <w:tblPr>
        <w:tblStyle w:val="32"/>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68"/>
        <w:gridCol w:w="6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说明：当评标委员会发现</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的投标报价明显低于其他投标报价，使其投标报价可能低于其个别成本的，评标委员会可对其质询，并要求该</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不能合理说明或提供证明材料的，评标委员会应按无效投标处理。</w:t>
            </w:r>
          </w:p>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rPr>
              <w:t>投标报价得分=（评标基准价/有效投标报价）×</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服务质量</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55</w:t>
            </w:r>
            <w:r>
              <w:rPr>
                <w:rFonts w:hint="eastAsia" w:ascii="宋体" w:hAnsi="宋体" w:eastAsia="宋体" w:cs="宋体"/>
                <w:b w:val="0"/>
                <w:bCs w:val="0"/>
                <w:color w:val="auto"/>
                <w:sz w:val="21"/>
                <w:szCs w:val="21"/>
                <w:highlight w:val="none"/>
                <w:lang w:eastAsia="zh-CN"/>
              </w:rPr>
              <w:t>分）</w:t>
            </w:r>
          </w:p>
        </w:tc>
        <w:tc>
          <w:tcPr>
            <w:tcW w:w="1468"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1.服务能力的响应程度(</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0分）</w:t>
            </w:r>
          </w:p>
        </w:tc>
        <w:tc>
          <w:tcPr>
            <w:tcW w:w="6775"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完全满足招标文件第二章 采购需求 </w:t>
            </w:r>
            <w:r>
              <w:rPr>
                <w:rFonts w:hint="eastAsia" w:ascii="宋体" w:hAnsi="宋体" w:cs="宋体"/>
                <w:b w:val="0"/>
                <w:bCs w:val="0"/>
                <w:color w:val="auto"/>
                <w:sz w:val="21"/>
                <w:szCs w:val="21"/>
                <w:highlight w:val="none"/>
                <w:lang w:eastAsia="zh-CN"/>
              </w:rPr>
              <w:t>三</w:t>
            </w:r>
            <w:r>
              <w:rPr>
                <w:rFonts w:hint="eastAsia" w:ascii="宋体" w:hAnsi="宋体" w:eastAsia="宋体" w:cs="宋体"/>
                <w:b w:val="0"/>
                <w:bCs w:val="0"/>
                <w:color w:val="auto"/>
                <w:sz w:val="21"/>
                <w:szCs w:val="21"/>
                <w:highlight w:val="none"/>
              </w:rPr>
              <w:t>、技术要求”的得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0分；一项不满足扣</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得分为0，则投标无效。</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1）供应商需提供参数偏离表，并标注偏离情况。</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2）提供相关证明文件。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tcBorders/>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68"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yellow"/>
                <w:lang w:val="en-US"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lang w:val="en-US" w:eastAsia="zh-CN"/>
              </w:rPr>
              <w:t>实施计划</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lang w:val="en-US" w:eastAsia="zh-CN"/>
              </w:rPr>
              <w:t>分）</w:t>
            </w:r>
          </w:p>
        </w:tc>
        <w:tc>
          <w:tcPr>
            <w:tcW w:w="6775"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w:t>
            </w:r>
            <w:r>
              <w:rPr>
                <w:rFonts w:hint="eastAsia" w:ascii="宋体" w:hAnsi="宋体" w:cs="宋体"/>
                <w:b w:val="0"/>
                <w:bCs w:val="0"/>
                <w:color w:val="auto"/>
                <w:sz w:val="21"/>
                <w:szCs w:val="21"/>
                <w:highlight w:val="none"/>
                <w:lang w:val="en-US" w:eastAsia="zh-CN"/>
              </w:rPr>
              <w:t>供应商</w:t>
            </w:r>
            <w:r>
              <w:rPr>
                <w:rFonts w:hint="eastAsia" w:ascii="宋体" w:hAnsi="宋体" w:eastAsia="宋体" w:cs="宋体"/>
                <w:b w:val="0"/>
                <w:bCs w:val="0"/>
                <w:color w:val="auto"/>
                <w:sz w:val="21"/>
                <w:szCs w:val="21"/>
                <w:highlight w:val="none"/>
                <w:lang w:val="en-US" w:eastAsia="zh-CN"/>
              </w:rPr>
              <w:t>制定的年度服务报告、维修报告、维保报告、巡查报告制度，设备常见故障分析及预防措施，设备维保应急响应方案。</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highlight w:val="yellow"/>
                <w:lang w:val="en-US" w:eastAsia="zh-CN"/>
              </w:rPr>
            </w:pPr>
            <w:r>
              <w:rPr>
                <w:rFonts w:hint="eastAsia" w:ascii="宋体" w:hAnsi="宋体" w:eastAsia="宋体" w:cs="宋体"/>
                <w:b w:val="0"/>
                <w:bCs w:val="0"/>
                <w:color w:val="auto"/>
                <w:sz w:val="21"/>
                <w:szCs w:val="21"/>
                <w:highlight w:val="none"/>
                <w:lang w:val="en-US" w:eastAsia="zh-CN"/>
              </w:rPr>
              <w:t>以上内容具体、完善、合理性程度强得11-</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lang w:val="en-US" w:eastAsia="zh-CN"/>
              </w:rPr>
              <w:t>分，具体、完善、合理性程度一般得6-10分，具体、完善、合理性程度差得1-5分，缺项得0分。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vMerge w:val="continue"/>
            <w:tcBorders/>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68" w:type="dxa"/>
            <w:tcBorders>
              <w:top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Chars="0"/>
              <w:jc w:val="center"/>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3.备品备件</w:t>
            </w:r>
          </w:p>
          <w:p>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0" w:leftChars="0"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（10分）</w:t>
            </w:r>
          </w:p>
        </w:tc>
        <w:tc>
          <w:tcPr>
            <w:tcW w:w="6775" w:type="dxa"/>
            <w:noWrap w:val="0"/>
            <w:vAlign w:val="center"/>
          </w:tcPr>
          <w:p>
            <w:pPr>
              <w:keepNext w:val="0"/>
              <w:keepLines w:val="0"/>
              <w:widowControl/>
              <w:suppressLineNumbers w:val="0"/>
              <w:jc w:val="left"/>
              <w:rPr>
                <w:rFonts w:hint="eastAsia" w:ascii="宋体" w:hAnsi="宋体" w:eastAsia="宋体" w:cs="宋体"/>
                <w:lang w:val="en-US" w:eastAsia="zh-CN"/>
              </w:rPr>
            </w:pPr>
            <w:r>
              <w:rPr>
                <w:rFonts w:hint="eastAsia" w:ascii="宋体" w:hAnsi="宋体" w:eastAsia="宋体" w:cs="宋体"/>
                <w:b w:val="0"/>
                <w:bCs w:val="0"/>
                <w:color w:val="auto"/>
                <w:sz w:val="21"/>
                <w:szCs w:val="21"/>
                <w:highlight w:val="none"/>
                <w:lang w:val="en-US" w:eastAsia="zh-CN"/>
              </w:rPr>
              <w:t>针对本项目的备件库进行计分，根据备件库远近、备件种类及数量情况进行评分，备件库备件种类、数量及方便性完全满足采购人需求的，得 8-10 分；备件库备件种类、数量及方便性不能完全满足采购人需求的，得 4-7 分；备件库备件种类、数量及方便性不满足采购人需求的，得 1-3 分。 （需提供备件库租赁或买卖合同，详细备件报价清单）。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lang w:eastAsia="zh-CN"/>
              </w:rPr>
              <w:t>分)</w:t>
            </w:r>
          </w:p>
        </w:tc>
        <w:tc>
          <w:tcPr>
            <w:tcW w:w="1468"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1.服务团队</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（10分）</w:t>
            </w:r>
          </w:p>
        </w:tc>
        <w:tc>
          <w:tcPr>
            <w:tcW w:w="6775"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lang w:val="en-US" w:eastAsia="zh-CN"/>
              </w:rPr>
            </w:pPr>
            <w:r>
              <w:rPr>
                <w:rFonts w:hint="eastAsia" w:ascii="宋体" w:hAnsi="宋体" w:eastAsia="宋体" w:cs="宋体"/>
                <w:lang w:val="en-US" w:eastAsia="zh-CN"/>
              </w:rPr>
              <w:t>服务团队组织结构合理，人员分工及职责明确、持证上岗。</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lang w:val="en-US" w:eastAsia="zh-CN"/>
              </w:rPr>
              <w:t>完全满足采购需求的得</w:t>
            </w:r>
            <w:r>
              <w:rPr>
                <w:rFonts w:hint="eastAsia" w:ascii="宋体" w:hAnsi="宋体" w:cs="宋体"/>
                <w:lang w:val="en-US" w:eastAsia="zh-CN"/>
              </w:rPr>
              <w:t>8</w:t>
            </w:r>
            <w:r>
              <w:rPr>
                <w:rFonts w:hint="eastAsia" w:ascii="宋体" w:hAnsi="宋体" w:eastAsia="宋体" w:cs="宋体"/>
                <w:lang w:val="en-US" w:eastAsia="zh-CN"/>
              </w:rPr>
              <w:t>-10分；基本满足的得4-</w:t>
            </w:r>
            <w:r>
              <w:rPr>
                <w:rFonts w:hint="eastAsia" w:ascii="宋体" w:hAnsi="宋体" w:cs="宋体"/>
                <w:lang w:val="en-US" w:eastAsia="zh-CN"/>
              </w:rPr>
              <w:t>7</w:t>
            </w:r>
            <w:r>
              <w:rPr>
                <w:rFonts w:hint="eastAsia" w:ascii="宋体" w:hAnsi="宋体" w:eastAsia="宋体" w:cs="宋体"/>
                <w:lang w:val="en-US" w:eastAsia="zh-CN"/>
              </w:rPr>
              <w:t>分；一般满足采购的得1-3分。缺项得0分。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tcBorders/>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68"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2.类似业绩（4分）</w:t>
            </w:r>
          </w:p>
        </w:tc>
        <w:tc>
          <w:tcPr>
            <w:tcW w:w="6775"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lang w:val="en-US" w:eastAsia="zh-CN"/>
              </w:rPr>
            </w:pPr>
            <w:r>
              <w:rPr>
                <w:rFonts w:hint="eastAsia" w:ascii="宋体" w:hAnsi="宋体" w:cs="宋体"/>
                <w:lang w:val="en-US" w:eastAsia="zh-CN"/>
              </w:rPr>
              <w:t>供应商</w:t>
            </w:r>
            <w:r>
              <w:rPr>
                <w:rFonts w:hint="eastAsia" w:ascii="宋体" w:hAnsi="宋体" w:eastAsia="宋体" w:cs="宋体"/>
                <w:lang w:val="en-US" w:eastAsia="zh-CN"/>
              </w:rPr>
              <w:t>2020年1月1日具有的类似服务业绩(以合同文件为准），每提供一份得2分，最多得4分。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tcBorders/>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68"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3.售后服务</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lang w:val="en-US" w:eastAsia="zh-CN"/>
              </w:rPr>
              <w:t>分)</w:t>
            </w:r>
          </w:p>
        </w:tc>
        <w:tc>
          <w:tcPr>
            <w:tcW w:w="6775"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rPr>
            </w:pPr>
            <w:r>
              <w:rPr>
                <w:rFonts w:hint="eastAsia" w:ascii="宋体" w:hAnsi="宋体" w:cs="宋体"/>
                <w:lang w:eastAsia="zh-CN"/>
              </w:rPr>
              <w:t>供应商</w:t>
            </w:r>
            <w:r>
              <w:rPr>
                <w:rFonts w:hint="eastAsia" w:ascii="宋体" w:hAnsi="宋体" w:eastAsia="宋体" w:cs="宋体"/>
              </w:rPr>
              <w:t>服务网点设立情况（提供专业技术人员联系方式和服务站地址）、培训方案、服务及时率、服务到位程度及增值服务等；</w:t>
            </w:r>
          </w:p>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rPr>
            </w:pPr>
            <w:r>
              <w:rPr>
                <w:rFonts w:hint="eastAsia" w:ascii="宋体" w:hAnsi="宋体" w:eastAsia="宋体" w:cs="宋体"/>
              </w:rPr>
              <w:t>以上内容具体、完善、合理性程度强得</w:t>
            </w:r>
            <w:r>
              <w:rPr>
                <w:rFonts w:hint="eastAsia" w:ascii="宋体" w:hAnsi="宋体" w:cs="宋体"/>
                <w:lang w:val="en-US" w:eastAsia="zh-CN"/>
              </w:rPr>
              <w:t>8</w:t>
            </w:r>
            <w:r>
              <w:rPr>
                <w:rFonts w:hint="eastAsia" w:ascii="宋体" w:hAnsi="宋体" w:eastAsia="宋体" w:cs="宋体"/>
              </w:rPr>
              <w:t>-1</w:t>
            </w:r>
            <w:r>
              <w:rPr>
                <w:rFonts w:hint="eastAsia" w:ascii="宋体" w:hAnsi="宋体" w:cs="宋体"/>
                <w:lang w:val="en-US" w:eastAsia="zh-CN"/>
              </w:rPr>
              <w:t>0</w:t>
            </w:r>
            <w:r>
              <w:rPr>
                <w:rFonts w:hint="eastAsia" w:ascii="宋体" w:hAnsi="宋体" w:eastAsia="宋体" w:cs="宋体"/>
              </w:rPr>
              <w:t>分，具体、完善、合理性程度一般得</w:t>
            </w:r>
            <w:r>
              <w:rPr>
                <w:rFonts w:hint="eastAsia" w:ascii="宋体" w:hAnsi="宋体" w:cs="宋体"/>
                <w:lang w:val="en-US" w:eastAsia="zh-CN"/>
              </w:rPr>
              <w:t>4</w:t>
            </w:r>
            <w:r>
              <w:rPr>
                <w:rFonts w:hint="eastAsia" w:ascii="宋体" w:hAnsi="宋体" w:eastAsia="宋体" w:cs="宋体"/>
              </w:rPr>
              <w:t>-</w:t>
            </w:r>
            <w:r>
              <w:rPr>
                <w:rFonts w:hint="eastAsia" w:ascii="宋体" w:hAnsi="宋体" w:cs="宋体"/>
                <w:lang w:val="en-US" w:eastAsia="zh-CN"/>
              </w:rPr>
              <w:t>7</w:t>
            </w:r>
            <w:r>
              <w:rPr>
                <w:rFonts w:hint="eastAsia" w:ascii="宋体" w:hAnsi="宋体" w:eastAsia="宋体" w:cs="宋体"/>
              </w:rPr>
              <w:t>分，具体、完善、合理性程度差得1-</w:t>
            </w:r>
            <w:r>
              <w:rPr>
                <w:rFonts w:hint="eastAsia" w:ascii="宋体" w:hAnsi="宋体" w:cs="宋体"/>
                <w:lang w:val="en-US" w:eastAsia="zh-CN"/>
              </w:rPr>
              <w:t>3</w:t>
            </w:r>
            <w:r>
              <w:rPr>
                <w:rFonts w:hint="eastAsia" w:ascii="宋体" w:hAnsi="宋体" w:eastAsia="宋体" w:cs="宋体"/>
              </w:rPr>
              <w:t>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vMerge w:val="continue"/>
            <w:tcBorders/>
            <w:noWrap w:val="0"/>
            <w:vAlign w:val="top"/>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6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Chars="0"/>
              <w:jc w:val="center"/>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4.其他优惠承诺</w:t>
            </w:r>
          </w:p>
          <w:p>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0" w:leftChars="0"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（6分）</w:t>
            </w:r>
          </w:p>
        </w:tc>
        <w:tc>
          <w:tcPr>
            <w:tcW w:w="6775"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kern w:val="2"/>
                <w:sz w:val="21"/>
                <w:szCs w:val="21"/>
                <w:highlight w:val="none"/>
                <w:lang w:val="en-US" w:eastAsia="zh-CN" w:bidi="ar-SA"/>
              </w:rPr>
              <w:t>根据供应商提出的有利于采购人的优惠条件及优惠承诺进行综合对比，优惠力度强得5-6分，优惠力度一般得3-4分，优惠力度差得1-2分，缺项得0分。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评标委员会成员评分=各项评分因素的汇总得分。</w:t>
            </w:r>
          </w:p>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评标总得分=评标委员会所有成员合计评分/评标委员会组成人员数。</w:t>
            </w:r>
          </w:p>
        </w:tc>
      </w:tr>
    </w:tbl>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color w:val="auto"/>
          <w:kern w:val="0"/>
          <w:szCs w:val="21"/>
          <w:highlight w:val="none"/>
        </w:rPr>
      </w:pPr>
    </w:p>
    <w:p>
      <w:pPr>
        <w:rPr>
          <w:b/>
          <w:color w:val="auto"/>
          <w:highlight w:val="none"/>
        </w:rPr>
      </w:pPr>
      <w:r>
        <w:rPr>
          <w:rFonts w:hint="eastAsia"/>
          <w:b/>
          <w:color w:val="auto"/>
          <w:highlight w:val="none"/>
        </w:rPr>
        <w:br w:type="page"/>
      </w:r>
    </w:p>
    <w:bookmarkEnd w:id="39"/>
    <w:p>
      <w:pPr>
        <w:rPr>
          <w:color w:val="auto"/>
          <w:highlight w:val="none"/>
        </w:rPr>
      </w:pPr>
      <w:bookmarkStart w:id="41" w:name="_Toc1482"/>
      <w:bookmarkStart w:id="42" w:name="_Toc1947"/>
      <w:bookmarkStart w:id="43" w:name="_Toc326786897"/>
      <w:bookmarkStart w:id="44" w:name="_Toc256519703"/>
    </w:p>
    <w:p>
      <w:pPr>
        <w:pStyle w:val="2"/>
        <w:snapToGrid w:val="0"/>
        <w:spacing w:before="0" w:after="0" w:line="480" w:lineRule="auto"/>
        <w:jc w:val="center"/>
        <w:rPr>
          <w:color w:val="auto"/>
          <w:sz w:val="28"/>
          <w:szCs w:val="28"/>
          <w:highlight w:val="yellow"/>
        </w:rPr>
      </w:pPr>
      <w:bookmarkStart w:id="45" w:name="_Toc28988"/>
      <w:r>
        <w:rPr>
          <w:rFonts w:hint="eastAsia"/>
          <w:color w:val="auto"/>
          <w:sz w:val="28"/>
          <w:szCs w:val="28"/>
          <w:highlight w:val="none"/>
        </w:rPr>
        <w:t>第五章  采购合同</w:t>
      </w:r>
      <w:bookmarkEnd w:id="45"/>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以实际合同为准</w:t>
      </w:r>
      <w:r>
        <w:rPr>
          <w:rFonts w:hint="eastAsia" w:ascii="宋体" w:hAnsi="宋体"/>
          <w:sz w:val="21"/>
          <w:szCs w:val="21"/>
          <w:lang w:eastAsia="zh-CN"/>
        </w:rPr>
        <w:t>）</w:t>
      </w:r>
    </w:p>
    <w:p>
      <w:pPr>
        <w:rPr>
          <w:color w:val="auto"/>
          <w:sz w:val="32"/>
          <w:szCs w:val="32"/>
          <w:highlight w:val="none"/>
        </w:rPr>
      </w:pPr>
    </w:p>
    <w:p>
      <w:pPr>
        <w:rPr>
          <w:color w:val="auto"/>
          <w:highlight w:val="none"/>
        </w:rPr>
      </w:pPr>
      <w:r>
        <w:rPr>
          <w:color w:val="auto"/>
          <w:highlight w:val="none"/>
        </w:rPr>
        <w:br w:type="page"/>
      </w:r>
    </w:p>
    <w:p>
      <w:pPr>
        <w:pStyle w:val="30"/>
      </w:pPr>
    </w:p>
    <w:p>
      <w:pPr>
        <w:pStyle w:val="2"/>
        <w:jc w:val="center"/>
        <w:rPr>
          <w:rFonts w:ascii="宋体" w:hAnsi="宋体" w:cs="宋体"/>
          <w:color w:val="auto"/>
          <w:kern w:val="0"/>
          <w:highlight w:val="none"/>
        </w:rPr>
      </w:pPr>
      <w:bookmarkStart w:id="46" w:name="_Toc2638"/>
      <w:r>
        <w:rPr>
          <w:rFonts w:hint="eastAsia"/>
          <w:color w:val="auto"/>
          <w:sz w:val="32"/>
          <w:szCs w:val="32"/>
          <w:highlight w:val="none"/>
        </w:rPr>
        <w:t>第六章  投标文件格式</w:t>
      </w:r>
      <w:bookmarkEnd w:id="41"/>
      <w:bookmarkEnd w:id="42"/>
      <w:bookmarkEnd w:id="46"/>
    </w:p>
    <w:p>
      <w:pPr>
        <w:spacing w:line="440" w:lineRule="exact"/>
        <w:rPr>
          <w:color w:val="auto"/>
          <w:sz w:val="24"/>
          <w:highlight w:val="none"/>
        </w:rPr>
      </w:pPr>
    </w:p>
    <w:p>
      <w:pPr>
        <w:jc w:val="center"/>
        <w:rPr>
          <w:b/>
          <w:bCs/>
          <w:color w:val="auto"/>
          <w:sz w:val="32"/>
          <w:szCs w:val="32"/>
          <w:highlight w:val="none"/>
        </w:rPr>
      </w:pPr>
      <w:bookmarkStart w:id="47" w:name="_Toc13604"/>
      <w:r>
        <w:rPr>
          <w:rFonts w:hint="eastAsia"/>
          <w:b/>
          <w:bCs/>
          <w:color w:val="auto"/>
          <w:sz w:val="32"/>
          <w:szCs w:val="32"/>
          <w:highlight w:val="none"/>
        </w:rPr>
        <w:t>目    录</w:t>
      </w:r>
      <w:bookmarkEnd w:id="47"/>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color w:val="auto"/>
          <w:sz w:val="24"/>
          <w:highlight w:val="none"/>
        </w:rPr>
      </w:pPr>
      <w:bookmarkStart w:id="48" w:name="_Toc11308"/>
      <w:r>
        <w:rPr>
          <w:rFonts w:hint="eastAsia"/>
          <w:color w:val="auto"/>
          <w:sz w:val="24"/>
          <w:highlight w:val="none"/>
        </w:rPr>
        <w:t>附件1投标文件封面（格式）</w:t>
      </w:r>
      <w:bookmarkEnd w:id="48"/>
    </w:p>
    <w:p>
      <w:pPr>
        <w:snapToGrid w:val="0"/>
        <w:spacing w:line="360" w:lineRule="auto"/>
        <w:ind w:firstLine="480" w:firstLineChars="200"/>
        <w:rPr>
          <w:color w:val="auto"/>
          <w:sz w:val="24"/>
          <w:highlight w:val="none"/>
        </w:rPr>
      </w:pPr>
      <w:bookmarkStart w:id="49" w:name="_Toc25345"/>
      <w:r>
        <w:rPr>
          <w:rFonts w:hint="eastAsia"/>
          <w:color w:val="auto"/>
          <w:sz w:val="24"/>
          <w:highlight w:val="none"/>
        </w:rPr>
        <w:t>附件2 投标书（格式）</w:t>
      </w:r>
      <w:bookmarkEnd w:id="49"/>
    </w:p>
    <w:p>
      <w:pPr>
        <w:snapToGrid w:val="0"/>
        <w:spacing w:line="360" w:lineRule="auto"/>
        <w:ind w:firstLine="480" w:firstLineChars="200"/>
        <w:rPr>
          <w:color w:val="auto"/>
          <w:sz w:val="24"/>
          <w:highlight w:val="none"/>
        </w:rPr>
      </w:pPr>
      <w:bookmarkStart w:id="50" w:name="_Toc10217"/>
      <w:r>
        <w:rPr>
          <w:rFonts w:hint="eastAsia"/>
          <w:color w:val="auto"/>
          <w:sz w:val="24"/>
          <w:highlight w:val="none"/>
        </w:rPr>
        <w:t>附件3 开标一览表（格式）</w:t>
      </w:r>
      <w:bookmarkEnd w:id="50"/>
    </w:p>
    <w:p>
      <w:pPr>
        <w:snapToGrid w:val="0"/>
        <w:spacing w:line="360" w:lineRule="auto"/>
        <w:ind w:firstLine="480" w:firstLineChars="200"/>
        <w:rPr>
          <w:rFonts w:hint="default"/>
          <w:color w:val="auto"/>
          <w:sz w:val="24"/>
          <w:highlight w:val="none"/>
          <w:lang w:val="en-US"/>
        </w:rPr>
      </w:pPr>
      <w:bookmarkStart w:id="51" w:name="_Toc9579"/>
      <w:r>
        <w:rPr>
          <w:rFonts w:hint="eastAsia"/>
          <w:color w:val="auto"/>
          <w:sz w:val="24"/>
          <w:highlight w:val="none"/>
        </w:rPr>
        <w:t xml:space="preserve">附件4 </w:t>
      </w:r>
      <w:bookmarkEnd w:id="51"/>
      <w:r>
        <w:rPr>
          <w:rFonts w:hint="eastAsia"/>
          <w:color w:val="auto"/>
          <w:sz w:val="24"/>
          <w:highlight w:val="none"/>
          <w:lang w:val="en-US" w:eastAsia="zh-CN"/>
        </w:rPr>
        <w:t>报价明细表</w:t>
      </w:r>
    </w:p>
    <w:p>
      <w:pPr>
        <w:snapToGrid w:val="0"/>
        <w:spacing w:line="360" w:lineRule="auto"/>
        <w:ind w:firstLine="480" w:firstLineChars="200"/>
        <w:rPr>
          <w:color w:val="auto"/>
          <w:sz w:val="24"/>
          <w:highlight w:val="none"/>
        </w:rPr>
      </w:pPr>
      <w:bookmarkStart w:id="52" w:name="_Toc28392"/>
      <w:r>
        <w:rPr>
          <w:rFonts w:hint="eastAsia"/>
          <w:color w:val="auto"/>
          <w:sz w:val="24"/>
          <w:highlight w:val="none"/>
        </w:rPr>
        <w:t>附件5</w:t>
      </w:r>
      <w:r>
        <w:rPr>
          <w:rFonts w:hint="eastAsia"/>
          <w:color w:val="auto"/>
          <w:sz w:val="24"/>
          <w:highlight w:val="none"/>
          <w:lang w:val="en-US" w:eastAsia="zh-CN"/>
        </w:rPr>
        <w:t xml:space="preserve"> </w:t>
      </w:r>
      <w:r>
        <w:rPr>
          <w:rFonts w:hint="eastAsia"/>
          <w:color w:val="auto"/>
          <w:sz w:val="24"/>
          <w:highlight w:val="none"/>
        </w:rPr>
        <w:t>技术</w:t>
      </w:r>
      <w:r>
        <w:rPr>
          <w:rFonts w:hint="eastAsia"/>
          <w:color w:val="auto"/>
          <w:sz w:val="24"/>
          <w:highlight w:val="none"/>
          <w:lang w:val="en-US" w:eastAsia="zh-CN"/>
        </w:rPr>
        <w:t>部分</w:t>
      </w:r>
      <w:bookmarkEnd w:id="52"/>
    </w:p>
    <w:p>
      <w:pPr>
        <w:snapToGrid w:val="0"/>
        <w:spacing w:line="360" w:lineRule="auto"/>
        <w:ind w:firstLine="480" w:firstLineChars="200"/>
        <w:rPr>
          <w:rFonts w:hint="eastAsia" w:eastAsia="宋体"/>
          <w:color w:val="auto"/>
          <w:sz w:val="24"/>
          <w:highlight w:val="none"/>
          <w:lang w:val="en-US" w:eastAsia="zh-CN"/>
        </w:rPr>
      </w:pPr>
      <w:bookmarkStart w:id="53" w:name="_Toc6234"/>
      <w:r>
        <w:rPr>
          <w:rFonts w:hint="eastAsia"/>
          <w:color w:val="auto"/>
          <w:sz w:val="24"/>
          <w:highlight w:val="none"/>
        </w:rPr>
        <w:t>附件6 商务</w:t>
      </w:r>
      <w:bookmarkEnd w:id="53"/>
      <w:r>
        <w:rPr>
          <w:rFonts w:hint="eastAsia"/>
          <w:color w:val="auto"/>
          <w:sz w:val="24"/>
          <w:highlight w:val="none"/>
          <w:lang w:val="en-US" w:eastAsia="zh-CN"/>
        </w:rPr>
        <w:t>部分</w:t>
      </w:r>
    </w:p>
    <w:p>
      <w:pPr>
        <w:snapToGrid w:val="0"/>
        <w:spacing w:line="360" w:lineRule="auto"/>
        <w:ind w:firstLine="480" w:firstLineChars="200"/>
        <w:rPr>
          <w:color w:val="auto"/>
          <w:sz w:val="24"/>
          <w:highlight w:val="none"/>
        </w:rPr>
      </w:pPr>
      <w:bookmarkStart w:id="54"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4"/>
    </w:p>
    <w:p>
      <w:pPr>
        <w:snapToGrid w:val="0"/>
        <w:spacing w:line="360" w:lineRule="auto"/>
        <w:ind w:firstLine="480" w:firstLineChars="200"/>
        <w:rPr>
          <w:color w:val="auto"/>
          <w:sz w:val="24"/>
          <w:highlight w:val="none"/>
        </w:rPr>
      </w:pPr>
      <w:bookmarkStart w:id="55"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55"/>
    </w:p>
    <w:p>
      <w:pPr>
        <w:snapToGrid w:val="0"/>
        <w:spacing w:line="360" w:lineRule="auto"/>
        <w:ind w:firstLine="480" w:firstLineChars="200"/>
        <w:rPr>
          <w:color w:val="auto"/>
          <w:sz w:val="24"/>
          <w:highlight w:val="none"/>
        </w:rPr>
      </w:pPr>
      <w:bookmarkStart w:id="56" w:name="_Toc31857"/>
      <w:r>
        <w:rPr>
          <w:rFonts w:hint="eastAsia"/>
          <w:color w:val="auto"/>
          <w:sz w:val="24"/>
          <w:highlight w:val="none"/>
        </w:rPr>
        <w:t>附件9 证明文件</w:t>
      </w:r>
      <w:bookmarkEnd w:id="56"/>
    </w:p>
    <w:p>
      <w:pPr>
        <w:snapToGrid w:val="0"/>
        <w:spacing w:line="360" w:lineRule="auto"/>
        <w:ind w:firstLine="480" w:firstLineChars="200"/>
        <w:rPr>
          <w:rFonts w:hint="eastAsia"/>
          <w:color w:val="auto"/>
          <w:sz w:val="24"/>
          <w:highlight w:val="none"/>
        </w:rPr>
      </w:pPr>
      <w:bookmarkStart w:id="57" w:name="_Toc23116"/>
      <w:r>
        <w:rPr>
          <w:rFonts w:hint="eastAsia"/>
          <w:color w:val="auto"/>
          <w:sz w:val="24"/>
          <w:highlight w:val="none"/>
        </w:rPr>
        <w:t>附件10 供应商承诺书（格式）</w:t>
      </w:r>
      <w:bookmarkEnd w:id="57"/>
    </w:p>
    <w:p>
      <w:pPr>
        <w:snapToGrid w:val="0"/>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附件11 供应商信用承诺函（格式）</w:t>
      </w:r>
    </w:p>
    <w:p>
      <w:pPr>
        <w:pStyle w:val="30"/>
        <w:rPr>
          <w:rFonts w:hint="eastAsia"/>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pStyle w:val="3"/>
        <w:rPr>
          <w:rFonts w:ascii="宋体" w:hAnsi="宋体" w:cs="宋体"/>
          <w:b/>
          <w:bCs/>
          <w:color w:val="auto"/>
          <w:kern w:val="0"/>
          <w:sz w:val="24"/>
          <w:highlight w:val="none"/>
        </w:rPr>
      </w:pPr>
    </w:p>
    <w:p>
      <w:pPr>
        <w:pStyle w:val="4"/>
        <w:rPr>
          <w:rFonts w:hAnsi="宋体"/>
          <w:b/>
          <w:bCs/>
          <w:color w:val="auto"/>
          <w:highlight w:val="none"/>
        </w:rPr>
      </w:pPr>
    </w:p>
    <w:p>
      <w:pPr>
        <w:pStyle w:val="4"/>
        <w:rPr>
          <w:rFonts w:hAnsi="宋体"/>
          <w:b/>
          <w:bCs/>
          <w:color w:val="auto"/>
          <w:highlight w:val="none"/>
        </w:rPr>
      </w:pPr>
    </w:p>
    <w:p>
      <w:pPr>
        <w:rPr>
          <w:color w:val="auto"/>
          <w:highlight w:val="none"/>
        </w:rPr>
      </w:pPr>
      <w:r>
        <w:rPr>
          <w:rFonts w:hint="eastAsia"/>
          <w:color w:val="auto"/>
          <w:highlight w:val="none"/>
        </w:rPr>
        <w:br w:type="page"/>
      </w:r>
    </w:p>
    <w:p>
      <w:pPr>
        <w:pStyle w:val="25"/>
        <w:rPr>
          <w:color w:val="auto"/>
          <w:highlight w:val="none"/>
        </w:rPr>
      </w:pPr>
    </w:p>
    <w:p>
      <w:pPr>
        <w:pStyle w:val="6"/>
        <w:rPr>
          <w:color w:val="auto"/>
          <w:highlight w:val="none"/>
        </w:rPr>
      </w:pPr>
      <w:bookmarkStart w:id="58" w:name="_Toc31798"/>
      <w:bookmarkStart w:id="59" w:name="_Toc24743"/>
      <w:r>
        <w:rPr>
          <w:rFonts w:hint="eastAsia"/>
          <w:color w:val="auto"/>
          <w:highlight w:val="none"/>
        </w:rPr>
        <w:t>附件1               投标文件封面（格式）</w:t>
      </w:r>
      <w:bookmarkEnd w:id="58"/>
      <w:bookmarkEnd w:id="59"/>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w:t>
      </w:r>
      <w:r>
        <w:rPr>
          <w:rFonts w:hint="eastAsia" w:ascii="宋体" w:hAnsi="宋体" w:cs="宋体"/>
          <w:b/>
          <w:snapToGrid w:val="0"/>
          <w:color w:val="auto"/>
          <w:spacing w:val="0"/>
          <w:kern w:val="0"/>
          <w:sz w:val="44"/>
          <w:szCs w:val="44"/>
          <w:highlight w:val="none"/>
          <w:u w:val="none"/>
          <w:lang w:val="en-US" w:eastAsia="zh-CN"/>
        </w:rPr>
        <w:t>市</w:t>
      </w:r>
      <w:r>
        <w:rPr>
          <w:rFonts w:hint="eastAsia" w:ascii="宋体" w:hAnsi="宋体" w:eastAsia="宋体" w:cs="宋体"/>
          <w:b/>
          <w:snapToGrid w:val="0"/>
          <w:color w:val="auto"/>
          <w:spacing w:val="0"/>
          <w:kern w:val="0"/>
          <w:sz w:val="44"/>
          <w:szCs w:val="44"/>
          <w:highlight w:val="none"/>
          <w:u w:val="none"/>
          <w:lang w:val="en-US" w:eastAsia="zh-CN"/>
        </w:rPr>
        <w:t>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4"/>
        <w:spacing w:line="360" w:lineRule="auto"/>
        <w:rPr>
          <w:rFonts w:hint="eastAsia" w:ascii="宋体" w:hAnsi="宋体" w:eastAsia="宋体" w:cs="宋体"/>
          <w:color w:val="auto"/>
          <w:highlight w:val="none"/>
        </w:rPr>
      </w:pPr>
    </w:p>
    <w:p>
      <w:pPr>
        <w:pStyle w:val="4"/>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cs="宋体"/>
          <w:color w:val="auto"/>
          <w:sz w:val="28"/>
          <w:szCs w:val="28"/>
          <w:highlight w:val="none"/>
          <w:lang w:val="en-US" w:eastAsia="zh-CN"/>
        </w:rPr>
        <w:t>签字或</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3"/>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6"/>
        <w:rPr>
          <w:color w:val="auto"/>
          <w:highlight w:val="none"/>
        </w:rPr>
      </w:pPr>
      <w:bookmarkStart w:id="60" w:name="_Toc14560"/>
      <w:bookmarkStart w:id="61" w:name="_Toc8818"/>
      <w:r>
        <w:rPr>
          <w:rFonts w:hint="eastAsia"/>
          <w:color w:val="auto"/>
          <w:highlight w:val="none"/>
        </w:rPr>
        <w:t>附件2               投  标  书（格式）</w:t>
      </w:r>
      <w:bookmarkEnd w:id="60"/>
      <w:bookmarkEnd w:id="61"/>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w:t>
      </w:r>
      <w:r>
        <w:rPr>
          <w:rFonts w:hint="eastAsia" w:ascii="宋体" w:hAnsi="宋体" w:cs="宋体"/>
          <w:color w:val="auto"/>
          <w:kern w:val="0"/>
          <w:szCs w:val="21"/>
          <w:highlight w:val="none"/>
          <w:u w:val="single"/>
          <w:lang w:eastAsia="zh-CN"/>
        </w:rPr>
        <w:t>供应商</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2、报价明细表。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13、如果被确定为中标供应商，我方同意在领取中标通知书之日起</w:t>
      </w:r>
      <w:r>
        <w:rPr>
          <w:rFonts w:hint="eastAsia" w:ascii="宋体" w:hAnsi="宋体" w:cs="宋体"/>
          <w:color w:val="auto"/>
          <w:kern w:val="0"/>
          <w:szCs w:val="21"/>
          <w:highlight w:val="none"/>
          <w:u w:val="single"/>
          <w:lang w:val="en-US" w:eastAsia="zh-CN"/>
        </w:rPr>
        <w:t xml:space="preserve"> 30 </w:t>
      </w:r>
      <w:r>
        <w:rPr>
          <w:rFonts w:hint="eastAsia" w:ascii="宋体" w:hAnsi="宋体" w:cs="宋体"/>
          <w:color w:val="auto"/>
          <w:kern w:val="0"/>
          <w:szCs w:val="21"/>
          <w:highlight w:val="none"/>
        </w:rPr>
        <w:t>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p>
    <w:p>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w:t>
      </w:r>
      <w:r>
        <w:rPr>
          <w:rFonts w:hint="eastAsia" w:ascii="宋体" w:hAnsi="宋体" w:cs="宋体"/>
          <w:color w:val="auto"/>
          <w:kern w:val="0"/>
          <w:szCs w:val="21"/>
          <w:highlight w:val="none"/>
          <w:lang w:val="en-US" w:eastAsia="zh-CN"/>
        </w:rPr>
        <w:t>或盖章</w:t>
      </w:r>
      <w:r>
        <w:rPr>
          <w:rFonts w:hint="eastAsia" w:ascii="宋体" w:hAnsi="宋体" w:cs="宋体"/>
          <w:color w:val="auto"/>
          <w:kern w:val="0"/>
          <w:szCs w:val="21"/>
          <w:highlight w:val="none"/>
        </w:rPr>
        <w:t xml:space="preserve">：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6"/>
        <w:spacing w:before="20" w:after="20"/>
        <w:rPr>
          <w:color w:val="auto"/>
          <w:highlight w:val="none"/>
        </w:rPr>
      </w:pPr>
      <w:bookmarkStart w:id="62" w:name="_Toc7838"/>
      <w:r>
        <w:rPr>
          <w:rFonts w:hint="eastAsia"/>
          <w:color w:val="auto"/>
          <w:highlight w:val="none"/>
        </w:rPr>
        <w:t>附件3               开标一览表</w:t>
      </w:r>
      <w:bookmarkEnd w:id="62"/>
    </w:p>
    <w:p>
      <w:pPr>
        <w:spacing w:line="239" w:lineRule="auto"/>
        <w:jc w:val="right"/>
        <w:rPr>
          <w:rFonts w:hint="default" w:ascii="宋体" w:hAnsi="宋体"/>
          <w:color w:val="auto"/>
          <w:sz w:val="24"/>
          <w:highlight w:val="none"/>
          <w:lang w:val="en-US"/>
        </w:rPr>
      </w:pPr>
      <w:r>
        <w:rPr>
          <w:rFonts w:ascii="宋体" w:hAnsi="宋体"/>
          <w:color w:val="auto"/>
          <w:sz w:val="24"/>
          <w:highlight w:val="none"/>
        </w:rPr>
        <w:t>单位：人民币</w:t>
      </w:r>
      <w:r>
        <w:rPr>
          <w:rFonts w:hint="eastAsia"/>
          <w:sz w:val="24"/>
          <w:lang w:val="en-US" w:eastAsia="zh-CN"/>
        </w:rPr>
        <w:t>元</w:t>
      </w:r>
    </w:p>
    <w:p>
      <w:pPr>
        <w:rPr>
          <w:color w:val="auto"/>
          <w:highlight w:val="none"/>
        </w:rPr>
      </w:pPr>
    </w:p>
    <w:tbl>
      <w:tblPr>
        <w:tblStyle w:val="32"/>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名称</w:t>
            </w:r>
          </w:p>
        </w:tc>
        <w:tc>
          <w:tcPr>
            <w:tcW w:w="7708"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pPr>
              <w:jc w:val="center"/>
              <w:rPr>
                <w:rFonts w:ascii="宋体" w:hAnsi="宋体"/>
                <w:color w:val="auto"/>
                <w:spacing w:val="-20"/>
                <w:szCs w:val="21"/>
                <w:highlight w:val="none"/>
              </w:rPr>
            </w:pPr>
            <w:r>
              <w:rPr>
                <w:rFonts w:hint="eastAsia" w:ascii="宋体" w:hAnsi="宋体"/>
                <w:color w:val="auto"/>
                <w:szCs w:val="21"/>
                <w:highlight w:val="none"/>
              </w:rPr>
              <w:t>投标报价</w:t>
            </w:r>
          </w:p>
        </w:tc>
        <w:tc>
          <w:tcPr>
            <w:tcW w:w="7708" w:type="dxa"/>
            <w:noWrap/>
            <w:vAlign w:val="center"/>
          </w:tcPr>
          <w:p>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 xml:space="preserve">大写：        </w:t>
            </w:r>
          </w:p>
          <w:p>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小写：        </w:t>
            </w:r>
            <w:r>
              <w:rPr>
                <w:rFonts w:hint="eastAsia"/>
                <w:sz w:val="24"/>
                <w:lang w:val="en-US" w:eastAsia="zh-CN"/>
              </w:rPr>
              <w:t>元</w:t>
            </w:r>
            <w:r>
              <w:rPr>
                <w:rFonts w:hint="eastAsia" w:ascii="宋体" w:hAnsi="宋体"/>
                <w:color w:val="auto"/>
                <w:szCs w:val="21"/>
                <w:highlight w:val="none"/>
                <w:lang w:val="en-US" w:eastAsia="zh-CN"/>
              </w:rPr>
              <w:t>（详见报价明细表）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合同履行期限</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val="en-US" w:eastAsia="zh-CN"/>
              </w:rPr>
              <w:t>服务</w:t>
            </w:r>
            <w:r>
              <w:rPr>
                <w:rFonts w:hint="eastAsia" w:ascii="宋体" w:hAnsi="宋体" w:cs="宋体"/>
                <w:color w:val="auto"/>
                <w:kern w:val="0"/>
                <w:szCs w:val="21"/>
                <w:highlight w:val="none"/>
              </w:rPr>
              <w:t>地点</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eastAsia" w:ascii="宋体" w:hAnsi="宋体" w:eastAsia="宋体"/>
                <w:color w:val="auto"/>
                <w:szCs w:val="21"/>
                <w:highlight w:val="none"/>
                <w:lang w:eastAsia="zh-CN"/>
              </w:rPr>
            </w:pPr>
            <w:r>
              <w:rPr>
                <w:rFonts w:hint="eastAsia" w:ascii="宋体" w:hAnsi="宋体"/>
                <w:color w:val="000000" w:themeColor="text1"/>
                <w:szCs w:val="21"/>
                <w:highlight w:val="none"/>
                <w:lang w:val="en-US" w:eastAsia="zh-CN"/>
                <w14:textFill>
                  <w14:solidFill>
                    <w14:schemeClr w14:val="tx1"/>
                  </w14:solidFill>
                </w14:textFill>
              </w:rPr>
              <w:t>服务质量</w:t>
            </w:r>
          </w:p>
        </w:tc>
        <w:tc>
          <w:tcPr>
            <w:tcW w:w="7708" w:type="dxa"/>
            <w:noWrap/>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pPr>
              <w:pStyle w:val="20"/>
              <w:ind w:left="0" w:leftChars="0"/>
              <w:rPr>
                <w:color w:val="auto"/>
                <w:sz w:val="21"/>
                <w:szCs w:val="21"/>
                <w:highlight w:val="none"/>
              </w:rPr>
            </w:pPr>
          </w:p>
        </w:tc>
      </w:tr>
    </w:tbl>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color w:val="auto"/>
          <w:highlight w:val="none"/>
        </w:rPr>
      </w:pPr>
      <w:r>
        <w:rPr>
          <w:rFonts w:hint="eastAsia" w:ascii="宋体" w:hAnsi="宋体" w:cs="宋体"/>
          <w:color w:val="auto"/>
          <w:kern w:val="0"/>
          <w:szCs w:val="21"/>
          <w:highlight w:val="none"/>
        </w:rPr>
        <w:t>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按格式填列，不得自行更改。否则引起的不利后果由</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承担。</w:t>
      </w:r>
    </w:p>
    <w:p>
      <w:pPr>
        <w:spacing w:line="360" w:lineRule="auto"/>
        <w:ind w:firstLine="420" w:firstLineChars="200"/>
        <w:jc w:val="center"/>
        <w:rPr>
          <w:rFonts w:ascii="宋体" w:hAnsi="宋体"/>
          <w:color w:val="auto"/>
          <w:szCs w:val="21"/>
          <w:highlight w:val="none"/>
        </w:rPr>
      </w:pPr>
      <w:bookmarkStart w:id="63" w:name="_Toc20877"/>
      <w:bookmarkStart w:id="64" w:name="_Toc11620"/>
      <w:r>
        <w:rPr>
          <w:rFonts w:hint="eastAsia" w:ascii="宋体" w:hAnsi="宋体"/>
          <w:color w:val="auto"/>
          <w:szCs w:val="21"/>
          <w:highlight w:val="none"/>
          <w:lang w:eastAsia="zh-CN"/>
        </w:rPr>
        <w:t>供应商</w:t>
      </w:r>
      <w:r>
        <w:rPr>
          <w:rFonts w:hint="eastAsia" w:ascii="宋体" w:hAnsi="宋体"/>
          <w:color w:val="auto"/>
          <w:szCs w:val="21"/>
          <w:highlight w:val="none"/>
        </w:rPr>
        <w:t>（全称并加盖公章）：</w:t>
      </w:r>
      <w:bookmarkEnd w:id="63"/>
      <w:bookmarkEnd w:id="64"/>
    </w:p>
    <w:p>
      <w:pPr>
        <w:spacing w:line="360" w:lineRule="auto"/>
        <w:ind w:firstLine="420" w:firstLineChars="200"/>
        <w:jc w:val="center"/>
        <w:rPr>
          <w:rFonts w:ascii="宋体" w:hAnsi="宋体"/>
          <w:color w:val="auto"/>
          <w:szCs w:val="21"/>
          <w:highlight w:val="none"/>
          <w:u w:val="single"/>
        </w:rPr>
      </w:pPr>
      <w:bookmarkStart w:id="65" w:name="_Toc12222"/>
      <w:bookmarkStart w:id="66" w:name="_Toc625"/>
      <w:r>
        <w:rPr>
          <w:rFonts w:hint="eastAsia" w:ascii="宋体" w:hAnsi="宋体"/>
          <w:color w:val="auto"/>
          <w:szCs w:val="21"/>
          <w:highlight w:val="none"/>
        </w:rPr>
        <w:t>法定代表人或其委托代理人（签字</w:t>
      </w:r>
      <w:r>
        <w:rPr>
          <w:rFonts w:hint="eastAsia" w:ascii="宋体" w:hAnsi="宋体" w:cs="宋体"/>
          <w:color w:val="auto"/>
          <w:kern w:val="0"/>
          <w:szCs w:val="21"/>
          <w:highlight w:val="none"/>
          <w:lang w:val="en-US" w:eastAsia="zh-CN"/>
        </w:rPr>
        <w:t>或盖章</w:t>
      </w:r>
      <w:r>
        <w:rPr>
          <w:rFonts w:hint="eastAsia" w:ascii="宋体" w:hAnsi="宋体"/>
          <w:color w:val="auto"/>
          <w:szCs w:val="21"/>
          <w:highlight w:val="none"/>
        </w:rPr>
        <w:t>）：</w:t>
      </w:r>
      <w:bookmarkEnd w:id="65"/>
      <w:bookmarkEnd w:id="66"/>
    </w:p>
    <w:p>
      <w:pPr>
        <w:jc w:val="center"/>
        <w:rPr>
          <w:rFonts w:ascii="宋体" w:hAnsi="宋体"/>
          <w:color w:val="auto"/>
          <w:szCs w:val="21"/>
          <w:highlight w:val="none"/>
        </w:rPr>
      </w:pPr>
    </w:p>
    <w:p>
      <w:pPr>
        <w:spacing w:line="360" w:lineRule="auto"/>
        <w:ind w:firstLine="420" w:firstLineChars="200"/>
        <w:jc w:val="center"/>
        <w:rPr>
          <w:color w:val="auto"/>
          <w:highlight w:val="none"/>
        </w:rPr>
      </w:pPr>
      <w:bookmarkStart w:id="67" w:name="_Toc9950"/>
      <w:bookmarkStart w:id="68" w:name="_Toc1330"/>
      <w:r>
        <w:rPr>
          <w:rFonts w:hint="eastAsia" w:ascii="宋体" w:hAnsi="宋体"/>
          <w:color w:val="auto"/>
          <w:szCs w:val="21"/>
          <w:highlight w:val="none"/>
        </w:rPr>
        <w:t>年  月  日</w:t>
      </w:r>
      <w:bookmarkEnd w:id="67"/>
      <w:bookmarkEnd w:id="68"/>
    </w:p>
    <w:p>
      <w:pPr>
        <w:rPr>
          <w:color w:val="auto"/>
          <w:highlight w:val="none"/>
        </w:rPr>
      </w:pPr>
    </w:p>
    <w:bookmarkEnd w:id="43"/>
    <w:bookmarkEnd w:id="44"/>
    <w:p>
      <w:pPr>
        <w:spacing w:before="20" w:after="20"/>
        <w:outlineLvl w:val="9"/>
        <w:rPr>
          <w:rFonts w:hint="eastAsia" w:eastAsia="黑体"/>
          <w:color w:val="000000" w:themeColor="text1"/>
          <w:highlight w:val="none"/>
          <w:lang w:eastAsia="zh-CN"/>
          <w14:textFill>
            <w14:solidFill>
              <w14:schemeClr w14:val="tx1"/>
            </w14:solidFill>
          </w14:textFill>
        </w:rPr>
      </w:pPr>
      <w:bookmarkStart w:id="69" w:name="_Toc24984"/>
      <w:bookmarkStart w:id="70" w:name="_Toc22004"/>
    </w:p>
    <w:p>
      <w:pPr>
        <w:outlineLvl w:val="9"/>
        <w:rPr>
          <w:rFonts w:hint="eastAsia"/>
          <w:lang w:eastAsia="zh-CN"/>
        </w:rPr>
      </w:pP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6"/>
        <w:spacing w:before="20" w:after="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附件4               </w:t>
      </w:r>
      <w:bookmarkEnd w:id="69"/>
      <w:bookmarkEnd w:id="70"/>
      <w:r>
        <w:rPr>
          <w:rFonts w:hint="eastAsia"/>
          <w:color w:val="000000" w:themeColor="text1"/>
          <w:highlight w:val="none"/>
          <w14:textFill>
            <w14:solidFill>
              <w14:schemeClr w14:val="tx1"/>
            </w14:solidFill>
          </w14:textFill>
        </w:rPr>
        <w:t>报价明细表</w:t>
      </w:r>
    </w:p>
    <w:p>
      <w:pPr>
        <w:widowControl/>
        <w:wordWrap w:val="0"/>
        <w:snapToGrid w:val="0"/>
        <w:spacing w:before="50" w:after="50"/>
        <w:ind w:left="88" w:leftChars="42" w:right="-817" w:rightChars="-389" w:firstLine="4161" w:firstLineChars="1734"/>
        <w:jc w:val="left"/>
        <w:rPr>
          <w:rFonts w:ascii="宋体" w:hAnsi="宋体" w:cs="宋体"/>
          <w:color w:val="000000" w:themeColor="text1"/>
          <w:kern w:val="0"/>
          <w:sz w:val="24"/>
          <w:highlight w:val="none"/>
          <w14:textFill>
            <w14:solidFill>
              <w14:schemeClr w14:val="tx1"/>
            </w14:solidFill>
          </w14:textFill>
        </w:rPr>
      </w:pPr>
      <w:r>
        <w:rPr>
          <w:rFonts w:hint="eastAsia" w:cs="宋体"/>
          <w:color w:val="000000" w:themeColor="text1"/>
          <w:kern w:val="0"/>
          <w:sz w:val="24"/>
          <w:highlight w:val="non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 xml:space="preserve">                    金额单位：人民币（元）</w:t>
      </w:r>
    </w:p>
    <w:tbl>
      <w:tblPr>
        <w:tblStyle w:val="32"/>
        <w:tblW w:w="9205" w:type="dxa"/>
        <w:tblInd w:w="13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2017"/>
        <w:gridCol w:w="1516"/>
        <w:gridCol w:w="1541"/>
        <w:gridCol w:w="1198"/>
        <w:gridCol w:w="1117"/>
        <w:gridCol w:w="91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90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201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名称</w:t>
            </w:r>
          </w:p>
        </w:tc>
        <w:tc>
          <w:tcPr>
            <w:tcW w:w="151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单位</w:t>
            </w:r>
          </w:p>
        </w:tc>
        <w:tc>
          <w:tcPr>
            <w:tcW w:w="1541"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数量</w:t>
            </w:r>
          </w:p>
        </w:tc>
        <w:tc>
          <w:tcPr>
            <w:tcW w:w="1198"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单价</w:t>
            </w:r>
          </w:p>
        </w:tc>
        <w:tc>
          <w:tcPr>
            <w:tcW w:w="111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金额</w:t>
            </w:r>
          </w:p>
        </w:tc>
        <w:tc>
          <w:tcPr>
            <w:tcW w:w="91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 xml:space="preserve">…… </w:t>
            </w: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7172" w:type="dxa"/>
            <w:gridSpan w:val="5"/>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default"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投标</w:t>
            </w:r>
            <w:r>
              <w:rPr>
                <w:rFonts w:hint="eastAsia" w:ascii="宋体" w:hAnsi="宋体" w:cs="宋体"/>
                <w:color w:val="000000" w:themeColor="text1"/>
                <w:spacing w:val="20"/>
                <w:kern w:val="0"/>
                <w:sz w:val="24"/>
                <w:highlight w:val="none"/>
                <w:lang w:val="en-US" w:eastAsia="zh-CN"/>
                <w14:textFill>
                  <w14:solidFill>
                    <w14:schemeClr w14:val="tx1"/>
                  </w14:solidFill>
                </w14:textFill>
              </w:rPr>
              <w:t>总</w:t>
            </w:r>
            <w:r>
              <w:rPr>
                <w:rFonts w:hint="eastAsia" w:ascii="宋体" w:hAnsi="宋体" w:cs="宋体"/>
                <w:color w:val="000000" w:themeColor="text1"/>
                <w:spacing w:val="20"/>
                <w:kern w:val="0"/>
                <w:sz w:val="24"/>
                <w:highlight w:val="none"/>
                <w14:textFill>
                  <w14:solidFill>
                    <w14:schemeClr w14:val="tx1"/>
                  </w14:solidFill>
                </w14:textFill>
              </w:rPr>
              <w:t>价(</w:t>
            </w:r>
            <w:r>
              <w:rPr>
                <w:rFonts w:hint="eastAsia" w:ascii="宋体" w:hAnsi="宋体" w:cs="宋体"/>
                <w:color w:val="000000" w:themeColor="text1"/>
                <w:kern w:val="0"/>
                <w:sz w:val="24"/>
                <w:szCs w:val="21"/>
                <w:highlight w:val="none"/>
                <w14:textFill>
                  <w14:solidFill>
                    <w14:schemeClr w14:val="tx1"/>
                  </w14:solidFill>
                </w14:textFill>
              </w:rPr>
              <w:t>大写)：</w:t>
            </w:r>
          </w:p>
        </w:tc>
        <w:tc>
          <w:tcPr>
            <w:tcW w:w="1117"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szCs w:val="21"/>
                <w:highlight w:val="none"/>
                <w14:textFill>
                  <w14:solidFill>
                    <w14:schemeClr w14:val="tx1"/>
                  </w14:solidFill>
                </w14:textFill>
              </w:rPr>
              <w:t>￥</w:t>
            </w:r>
          </w:p>
        </w:tc>
        <w:tc>
          <w:tcPr>
            <w:tcW w:w="916"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000000" w:themeColor="text1"/>
                <w:kern w:val="0"/>
                <w:sz w:val="24"/>
                <w:szCs w:val="21"/>
                <w:highlight w:val="none"/>
                <w14:textFill>
                  <w14:solidFill>
                    <w14:schemeClr w14:val="tx1"/>
                  </w14:solidFill>
                </w14:textFill>
              </w:rPr>
            </w:pPr>
          </w:p>
        </w:tc>
      </w:tr>
    </w:tbl>
    <w:p>
      <w:pPr>
        <w:widowControl/>
        <w:wordWrap w:val="0"/>
        <w:spacing w:line="460" w:lineRule="exact"/>
        <w:ind w:firstLine="2760" w:firstLineChars="1150"/>
        <w:jc w:val="left"/>
        <w:rPr>
          <w:rFonts w:ascii="宋体" w:hAnsi="宋体" w:cs="宋体"/>
          <w:color w:val="auto"/>
          <w:kern w:val="0"/>
          <w:sz w:val="24"/>
          <w:highlight w:val="none"/>
        </w:rPr>
      </w:pPr>
    </w:p>
    <w:p>
      <w:pPr>
        <w:widowControl/>
        <w:shd w:val="clear" w:color="auto" w:fill="FFFFFF"/>
        <w:spacing w:line="360" w:lineRule="auto"/>
        <w:ind w:left="1418" w:hanging="567"/>
        <w:jc w:val="both"/>
        <w:rPr>
          <w:rFonts w:hint="eastAsia" w:ascii="宋体" w:hAnsi="宋体" w:cs="宋体"/>
          <w:color w:val="auto"/>
          <w:kern w:val="0"/>
          <w:sz w:val="24"/>
        </w:rPr>
      </w:pPr>
    </w:p>
    <w:p>
      <w:pPr>
        <w:pStyle w:val="30"/>
        <w:rPr>
          <w:rFonts w:hint="eastAsia"/>
        </w:rPr>
      </w:pPr>
    </w:p>
    <w:p>
      <w:pPr>
        <w:widowControl/>
        <w:shd w:val="clear" w:color="auto" w:fill="FFFFFF"/>
        <w:spacing w:line="360" w:lineRule="auto"/>
        <w:ind w:left="1418" w:hanging="567"/>
        <w:jc w:val="both"/>
        <w:rPr>
          <w:rFonts w:hint="eastAsia" w:ascii="宋体" w:hAnsi="宋体" w:cs="宋体"/>
          <w:color w:val="auto"/>
          <w:kern w:val="0"/>
          <w:sz w:val="24"/>
        </w:rPr>
      </w:pPr>
      <w:r>
        <w:rPr>
          <w:rFonts w:hint="eastAsia" w:ascii="宋体" w:hAnsi="宋体" w:cs="宋体"/>
          <w:color w:val="auto"/>
          <w:kern w:val="0"/>
          <w:sz w:val="24"/>
        </w:rPr>
        <w:t>供应商法定代表人</w:t>
      </w:r>
      <w:r>
        <w:rPr>
          <w:rFonts w:hint="eastAsia" w:ascii="宋体" w:hAnsi="宋体" w:cs="宋体"/>
          <w:color w:val="auto"/>
          <w:kern w:val="0"/>
          <w:sz w:val="24"/>
          <w:lang w:eastAsia="zh-CN"/>
        </w:rPr>
        <w:t>或</w:t>
      </w:r>
      <w:r>
        <w:rPr>
          <w:rFonts w:hint="eastAsia" w:ascii="宋体" w:hAnsi="宋体" w:cs="宋体"/>
          <w:color w:val="auto"/>
          <w:kern w:val="0"/>
          <w:sz w:val="24"/>
        </w:rPr>
        <w:t>其授权代表签字：</w:t>
      </w:r>
      <w:r>
        <w:rPr>
          <w:rFonts w:hint="eastAsia" w:ascii="宋体" w:hAnsi="宋体" w:cs="宋体"/>
          <w:color w:val="auto"/>
          <w:kern w:val="0"/>
          <w:sz w:val="24"/>
          <w:u w:val="single"/>
        </w:rPr>
        <w:t xml:space="preserve">              </w:t>
      </w:r>
    </w:p>
    <w:p>
      <w:pPr>
        <w:widowControl/>
        <w:shd w:val="clear" w:color="auto" w:fill="FFFFFF"/>
        <w:spacing w:line="360" w:lineRule="auto"/>
        <w:jc w:val="left"/>
        <w:rPr>
          <w:rFonts w:ascii="宋体" w:hAnsi="宋体" w:cs="宋体"/>
          <w:color w:val="auto"/>
          <w:kern w:val="0"/>
          <w:sz w:val="24"/>
          <w:highlight w:val="none"/>
        </w:rPr>
      </w:pPr>
      <w:r>
        <w:rPr>
          <w:rFonts w:hint="eastAsia" w:ascii="宋体" w:hAnsi="宋体" w:cs="宋体"/>
          <w:color w:val="auto"/>
          <w:kern w:val="0"/>
          <w:sz w:val="24"/>
        </w:rPr>
        <w:t xml:space="preserve">              供应商名称： </w:t>
      </w:r>
      <w:r>
        <w:rPr>
          <w:rFonts w:hint="eastAsia" w:ascii="宋体" w:hAnsi="宋体" w:cs="宋体"/>
          <w:color w:val="auto"/>
          <w:kern w:val="0"/>
          <w:sz w:val="24"/>
          <w:u w:val="single"/>
        </w:rPr>
        <w:t xml:space="preserve">               </w:t>
      </w:r>
      <w:r>
        <w:rPr>
          <w:rFonts w:hint="eastAsia" w:ascii="宋体" w:hAnsi="宋体" w:cs="宋体"/>
          <w:color w:val="auto"/>
          <w:kern w:val="0"/>
          <w:sz w:val="24"/>
        </w:rPr>
        <w:t>（全称并加盖公章）</w:t>
      </w:r>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2880" w:firstLineChars="1200"/>
        <w:jc w:val="left"/>
        <w:rPr>
          <w:color w:val="auto"/>
          <w:highlight w:val="none"/>
        </w:rPr>
      </w:pPr>
      <w:r>
        <w:rPr>
          <w:rFonts w:hint="eastAsia" w:ascii="宋体" w:hAnsi="宋体" w:cs="宋体"/>
          <w:color w:val="auto"/>
          <w:kern w:val="0"/>
          <w:sz w:val="24"/>
          <w:highlight w:val="none"/>
        </w:rPr>
        <w:t>年    月    日</w:t>
      </w:r>
    </w:p>
    <w:p>
      <w:pPr>
        <w:widowControl/>
        <w:wordWrap w:val="0"/>
        <w:spacing w:line="460" w:lineRule="exact"/>
        <w:ind w:firstLine="4800" w:firstLineChars="2000"/>
        <w:jc w:val="left"/>
        <w:rPr>
          <w:color w:val="auto"/>
          <w:highlight w:val="none"/>
        </w:rPr>
      </w:pPr>
      <w:r>
        <w:rPr>
          <w:rFonts w:hint="eastAsia" w:ascii="宋体" w:hAnsi="宋体" w:cs="宋体"/>
          <w:color w:val="000000" w:themeColor="text1"/>
          <w:kern w:val="0"/>
          <w:sz w:val="24"/>
          <w:highlight w:val="none"/>
          <w14:textFill>
            <w14:solidFill>
              <w14:schemeClr w14:val="tx1"/>
            </w14:solidFill>
          </w14:textFill>
        </w:rPr>
        <w:t xml:space="preserve">     </w:t>
      </w:r>
    </w:p>
    <w:p>
      <w:pPr>
        <w:pStyle w:val="6"/>
        <w:rPr>
          <w:rFonts w:hint="eastAsia" w:eastAsia="黑体"/>
          <w:color w:val="auto"/>
          <w:highlight w:val="none"/>
          <w:lang w:val="en-US" w:eastAsia="zh-CN"/>
        </w:rPr>
      </w:pPr>
      <w:r>
        <w:rPr>
          <w:rFonts w:hint="eastAsia"/>
          <w:color w:val="auto"/>
          <w:highlight w:val="none"/>
        </w:rPr>
        <w:br w:type="page"/>
      </w:r>
      <w:bookmarkStart w:id="71" w:name="_Toc15804"/>
      <w:bookmarkStart w:id="72" w:name="_Toc226"/>
      <w:r>
        <w:rPr>
          <w:rFonts w:hint="eastAsia"/>
          <w:color w:val="auto"/>
          <w:highlight w:val="none"/>
        </w:rPr>
        <w:t xml:space="preserve">附件5         </w:t>
      </w:r>
      <w:bookmarkEnd w:id="71"/>
      <w:bookmarkEnd w:id="72"/>
      <w:r>
        <w:rPr>
          <w:rFonts w:hint="eastAsia"/>
          <w:color w:val="auto"/>
          <w:highlight w:val="none"/>
        </w:rPr>
        <w:t xml:space="preserve">     技术响应</w:t>
      </w:r>
      <w:r>
        <w:rPr>
          <w:rFonts w:hint="eastAsia"/>
          <w:color w:val="auto"/>
          <w:highlight w:val="none"/>
          <w:lang w:val="en-US" w:eastAsia="zh-CN"/>
        </w:rPr>
        <w:t>部分</w:t>
      </w:r>
    </w:p>
    <w:p>
      <w:pPr>
        <w:widowControl/>
        <w:wordWrap w:val="0"/>
        <w:spacing w:line="460" w:lineRule="exact"/>
        <w:ind w:firstLine="643" w:firstLineChars="200"/>
        <w:jc w:val="left"/>
        <w:rPr>
          <w:rFonts w:hint="default"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技术部分相关证明文件</w:t>
      </w:r>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widowControl/>
        <w:wordWrap w:val="0"/>
        <w:snapToGrid w:val="0"/>
        <w:spacing w:line="460" w:lineRule="exact"/>
        <w:jc w:val="left"/>
        <w:outlineLvl w:val="0"/>
        <w:rPr>
          <w:rFonts w:hint="eastAsia" w:ascii="Arial" w:hAnsi="Arial" w:eastAsia="新宋体"/>
          <w:b/>
          <w:color w:val="auto"/>
          <w:sz w:val="28"/>
          <w:highlight w:val="none"/>
          <w:lang w:val="en-US" w:eastAsia="zh-CN"/>
        </w:rPr>
      </w:pPr>
      <w:bookmarkStart w:id="73" w:name="_Toc29960"/>
      <w:bookmarkStart w:id="74" w:name="_Toc20420"/>
      <w:r>
        <w:rPr>
          <w:rFonts w:hint="eastAsia" w:ascii="Arial" w:hAnsi="Arial" w:eastAsia="新宋体"/>
          <w:b/>
          <w:color w:val="auto"/>
          <w:sz w:val="28"/>
          <w:highlight w:val="none"/>
        </w:rPr>
        <w:t>附件6               商务响应</w:t>
      </w:r>
      <w:bookmarkEnd w:id="73"/>
      <w:bookmarkEnd w:id="74"/>
      <w:r>
        <w:rPr>
          <w:rFonts w:hint="eastAsia" w:ascii="Arial" w:hAnsi="Arial" w:eastAsia="新宋体"/>
          <w:b/>
          <w:color w:val="auto"/>
          <w:sz w:val="28"/>
          <w:highlight w:val="none"/>
          <w:lang w:val="en-US" w:eastAsia="zh-CN"/>
        </w:rPr>
        <w:t>部分</w:t>
      </w:r>
    </w:p>
    <w:p>
      <w:pPr>
        <w:widowControl/>
        <w:wordWrap w:val="0"/>
        <w:spacing w:line="460" w:lineRule="exact"/>
        <w:jc w:val="left"/>
        <w:rPr>
          <w:rFonts w:hint="eastAsia" w:ascii="宋体" w:hAnsi="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 xml:space="preserve">  </w:t>
      </w:r>
    </w:p>
    <w:p>
      <w:pPr>
        <w:widowControl/>
        <w:wordWrap w:val="0"/>
        <w:spacing w:line="460" w:lineRule="exact"/>
        <w:ind w:firstLine="643" w:firstLineChars="200"/>
        <w:jc w:val="left"/>
        <w:rPr>
          <w:rFonts w:hint="default"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商务部分相关证明文件</w:t>
      </w:r>
    </w:p>
    <w:p>
      <w:pPr>
        <w:rPr>
          <w:rFonts w:cs="宋体"/>
          <w:b/>
          <w:color w:val="auto"/>
          <w:kern w:val="0"/>
          <w:sz w:val="24"/>
          <w:highlight w:val="none"/>
        </w:rPr>
      </w:pPr>
    </w:p>
    <w:p>
      <w:pPr>
        <w:pStyle w:val="30"/>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rPr>
          <w:rFonts w:hint="eastAsia" w:ascii="Arial" w:hAnsi="Arial" w:eastAsia="新宋体"/>
          <w:b/>
          <w:color w:val="auto"/>
          <w:sz w:val="28"/>
          <w:highlight w:val="none"/>
        </w:rPr>
      </w:pPr>
      <w:bookmarkStart w:id="75" w:name="_Toc31526"/>
      <w:bookmarkStart w:id="76" w:name="_Toc28621"/>
      <w:r>
        <w:rPr>
          <w:rFonts w:hint="eastAsia" w:ascii="Arial" w:hAnsi="Arial" w:eastAsia="新宋体"/>
          <w:b/>
          <w:color w:val="auto"/>
          <w:sz w:val="28"/>
          <w:highlight w:val="none"/>
        </w:rPr>
        <w:br w:type="page"/>
      </w:r>
    </w:p>
    <w:p>
      <w:pPr>
        <w:widowControl/>
        <w:wordWrap w:val="0"/>
        <w:spacing w:line="460" w:lineRule="exact"/>
        <w:jc w:val="left"/>
        <w:outlineLvl w:val="0"/>
        <w:rPr>
          <w:rFonts w:ascii="Arial" w:hAnsi="Arial" w:eastAsia="新宋体"/>
          <w:b/>
          <w:color w:val="auto"/>
          <w:sz w:val="28"/>
          <w:highlight w:val="none"/>
        </w:rPr>
      </w:pPr>
      <w:r>
        <w:rPr>
          <w:rFonts w:hint="eastAsia" w:ascii="Arial" w:hAnsi="Arial" w:eastAsia="新宋体"/>
          <w:b/>
          <w:color w:val="auto"/>
          <w:sz w:val="28"/>
          <w:highlight w:val="none"/>
        </w:rPr>
        <w:t>附件7               法定代表人身份证明（格式）</w:t>
      </w:r>
      <w:bookmarkEnd w:id="75"/>
      <w:bookmarkEnd w:id="76"/>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w:t>
      </w:r>
      <w:r>
        <w:rPr>
          <w:rFonts w:hint="eastAsia" w:ascii="宋体" w:hAnsi="宋体" w:cs="宋体"/>
          <w:color w:val="auto"/>
          <w:kern w:val="0"/>
          <w:sz w:val="24"/>
          <w:szCs w:val="20"/>
          <w:highlight w:val="none"/>
          <w:lang w:eastAsia="zh-CN"/>
        </w:rPr>
        <w:t>供应商</w:t>
      </w:r>
      <w:r>
        <w:rPr>
          <w:rFonts w:hint="eastAsia" w:ascii="宋体" w:hAnsi="宋体" w:cs="宋体"/>
          <w:color w:val="auto"/>
          <w:kern w:val="0"/>
          <w:sz w:val="24"/>
          <w:szCs w:val="20"/>
          <w:highlight w:val="none"/>
        </w:rPr>
        <w:t>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2"/>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2"/>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77" w:name="_Toc13976"/>
      <w:bookmarkStart w:id="78" w:name="_Toc30519"/>
      <w:r>
        <w:rPr>
          <w:rFonts w:hint="eastAsia" w:ascii="Arial" w:hAnsi="Arial" w:eastAsia="新宋体"/>
          <w:b/>
          <w:color w:val="auto"/>
          <w:sz w:val="28"/>
          <w:highlight w:val="none"/>
        </w:rPr>
        <w:t>附件8               法定代表人授权书（格式）</w:t>
      </w:r>
      <w:bookmarkEnd w:id="77"/>
      <w:bookmarkEnd w:id="78"/>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 xml:space="preserve">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2"/>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ascii="宋体" w:hAnsi="宋体" w:cs="宋体"/>
          <w:b/>
          <w:color w:val="auto"/>
          <w:kern w:val="0"/>
          <w:sz w:val="24"/>
          <w:highlight w:val="none"/>
        </w:rPr>
      </w:pPr>
      <w:bookmarkStart w:id="79" w:name="_Toc24693"/>
      <w:bookmarkStart w:id="80" w:name="_Toc18105"/>
      <w:r>
        <w:rPr>
          <w:rFonts w:hint="eastAsia" w:ascii="Arial" w:hAnsi="Arial" w:eastAsia="新宋体"/>
          <w:b/>
          <w:color w:val="auto"/>
          <w:sz w:val="28"/>
          <w:highlight w:val="none"/>
        </w:rPr>
        <w:t>附件9               证明文件</w:t>
      </w:r>
      <w:bookmarkEnd w:id="79"/>
      <w:bookmarkEnd w:id="80"/>
    </w:p>
    <w:p>
      <w:pPr>
        <w:pStyle w:val="10"/>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10"/>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技术方案</w:t>
      </w:r>
    </w:p>
    <w:p>
      <w:pPr>
        <w:pStyle w:val="10"/>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81" w:name="_Toc17966"/>
    </w:p>
    <w:p>
      <w:pPr>
        <w:pStyle w:val="10"/>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10"/>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10"/>
        <w:spacing w:beforeAutospacing="0" w:afterAutospacing="0" w:line="480" w:lineRule="auto"/>
        <w:ind w:firstLine="540" w:firstLineChars="224"/>
        <w:jc w:val="both"/>
        <w:rPr>
          <w:b/>
          <w:bCs/>
          <w:color w:val="auto"/>
          <w:highlight w:val="none"/>
        </w:rPr>
      </w:pPr>
    </w:p>
    <w:p>
      <w:pPr>
        <w:widowControl/>
        <w:snapToGrid w:val="0"/>
        <w:spacing w:line="360" w:lineRule="auto"/>
        <w:jc w:val="center"/>
        <w:outlineLvl w:val="0"/>
        <w:rPr>
          <w:rFonts w:ascii="宋体" w:hAnsi="宋体" w:cs="宋体"/>
          <w:b/>
          <w:color w:val="auto"/>
          <w:kern w:val="0"/>
          <w:sz w:val="28"/>
          <w:szCs w:val="28"/>
          <w:highlight w:val="none"/>
        </w:rPr>
      </w:pPr>
      <w:bookmarkStart w:id="82" w:name="_Toc13726"/>
      <w:bookmarkStart w:id="83" w:name="_Toc12888"/>
      <w:r>
        <w:rPr>
          <w:rFonts w:hint="eastAsia" w:ascii="宋体" w:hAnsi="宋体" w:cs="Lucida Sans Unicode"/>
          <w:b/>
          <w:color w:val="auto"/>
          <w:kern w:val="0"/>
          <w:sz w:val="28"/>
          <w:szCs w:val="28"/>
          <w:highlight w:val="none"/>
        </w:rPr>
        <w:t xml:space="preserve">附件10        </w:t>
      </w:r>
      <w:bookmarkEnd w:id="81"/>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2"/>
      <w:bookmarkEnd w:id="83"/>
    </w:p>
    <w:p>
      <w:pPr>
        <w:bidi w:val="0"/>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rPr>
      </w:pPr>
      <w:r>
        <w:rPr>
          <w:rFonts w:hint="eastAsia" w:ascii="宋体" w:hAnsi="宋体" w:eastAsia="宋体" w:cs="宋体"/>
          <w:sz w:val="24"/>
          <w:szCs w:val="24"/>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pStyle w:val="30"/>
        <w:rPr>
          <w:rFonts w:ascii="宋体" w:hAnsi="宋体" w:cs="宋体"/>
          <w:color w:val="auto"/>
          <w:kern w:val="0"/>
          <w:szCs w:val="21"/>
          <w:highlight w:val="none"/>
        </w:rPr>
      </w:pPr>
    </w:p>
    <w:p>
      <w:pPr>
        <w:pStyle w:val="31"/>
        <w:rPr>
          <w:rFonts w:ascii="宋体" w:hAnsi="宋体" w:cs="宋体"/>
          <w:color w:val="auto"/>
          <w:kern w:val="0"/>
          <w:szCs w:val="21"/>
          <w:highlight w:val="none"/>
        </w:rPr>
      </w:pPr>
    </w:p>
    <w:p>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致（采购人或政府采购代理机构）：</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单位名称（自然人姓名）：</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统一社会信用代码（身份证号码）：</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法定代表人（负责人）：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联系地址和电话：</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仿宋" w:hAnsi="仿宋" w:eastAsia="仿宋" w:cs="仿宋"/>
          <w:sz w:val="32"/>
          <w:szCs w:val="32"/>
        </w:rPr>
      </w:pPr>
      <w:r>
        <w:rPr>
          <w:rFonts w:hint="eastAsia" w:ascii="宋体" w:hAnsi="宋体" w:eastAsia="宋体" w:cs="宋体"/>
          <w:color w:val="auto"/>
          <w:sz w:val="24"/>
          <w:szCs w:val="24"/>
          <w:lang w:val="en-US" w:eastAsia="zh-CN"/>
        </w:rPr>
        <w:t>（四）有依法缴纳税收和社会保障资金的良好</w:t>
      </w:r>
      <w:r>
        <w:rPr>
          <w:rFonts w:hint="eastAsia" w:ascii="仿宋" w:hAnsi="仿宋" w:eastAsia="仿宋" w:cs="仿宋"/>
          <w:sz w:val="32"/>
          <w:szCs w:val="32"/>
          <w:lang w:val="en-US" w:eastAsia="zh-CN"/>
        </w:rPr>
        <w:t>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（六）未被列入严重失信主体名单、失信被执行人、税收违法黑名单、政府采购严重违法失信行为记录名单，未曾作出虚假承诺；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（七）符合法律、行政法规规定的其他条件。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供应商名称（盖章）：</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法定代表人、负责人、自然人或授权代表(签字)：</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日期：       年         月          日</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注：1.供应商须在投标（响应性）文件中按此模板提供承诺函，未提供视为未实质性响应招标文件要求，按无效投标（响应）处理。</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2.供应商的法定代表人或者授权代表的签字或盖章应真实、有效，如由授权代表签字或盖章的，应提供“法定代表人授权书”。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p>
      <w:pPr>
        <w:spacing w:line="360" w:lineRule="auto"/>
        <w:rPr>
          <w:color w:val="auto"/>
          <w:highlight w:val="none"/>
        </w:rPr>
      </w:pPr>
    </w:p>
    <w:p>
      <w:pPr>
        <w:rPr>
          <w:color w:val="auto"/>
          <w:highlight w:val="none"/>
        </w:rPr>
      </w:pPr>
      <w:r>
        <w:rPr>
          <w:color w:val="auto"/>
          <w:highlight w:val="none"/>
        </w:rPr>
        <w:br w:type="page"/>
      </w:r>
    </w:p>
    <w:p>
      <w:pPr>
        <w:pStyle w:val="49"/>
      </w:pPr>
    </w:p>
    <w:p>
      <w:pPr>
        <w:widowControl/>
        <w:snapToGrid w:val="0"/>
        <w:spacing w:line="360" w:lineRule="auto"/>
        <w:jc w:val="center"/>
        <w:outlineLvl w:val="0"/>
        <w:rPr>
          <w:rFonts w:ascii="宋体" w:hAnsi="宋体" w:cs="Lucida Sans Unicode"/>
          <w:b/>
          <w:color w:val="auto"/>
          <w:kern w:val="0"/>
          <w:sz w:val="24"/>
          <w:highlight w:val="none"/>
        </w:rPr>
      </w:pPr>
      <w:bookmarkStart w:id="84" w:name="_Toc25094"/>
      <w:bookmarkStart w:id="85" w:name="_Toc23394"/>
      <w:r>
        <w:rPr>
          <w:rFonts w:hint="eastAsia" w:ascii="宋体" w:hAnsi="宋体" w:cs="Lucida Sans Unicode"/>
          <w:b/>
          <w:color w:val="auto"/>
          <w:kern w:val="0"/>
          <w:sz w:val="24"/>
          <w:highlight w:val="none"/>
          <w:lang w:eastAsia="zh-CN"/>
        </w:rPr>
        <w:t>供应商</w:t>
      </w:r>
      <w:r>
        <w:rPr>
          <w:rFonts w:hint="eastAsia" w:ascii="宋体" w:hAnsi="宋体" w:cs="Lucida Sans Unicode"/>
          <w:b/>
          <w:color w:val="auto"/>
          <w:kern w:val="0"/>
          <w:sz w:val="24"/>
          <w:highlight w:val="none"/>
        </w:rPr>
        <w:t>认为有必要的其他资料</w:t>
      </w:r>
      <w:bookmarkEnd w:id="84"/>
      <w:bookmarkEnd w:id="85"/>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未能提供相关证明文件，将有可能导致废标或者无法得分。</w:t>
      </w: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both"/>
        <w:rPr>
          <w:b/>
          <w:bCs/>
          <w:color w:val="auto"/>
          <w:sz w:val="28"/>
          <w:szCs w:val="28"/>
          <w:highlight w:val="none"/>
        </w:rPr>
      </w:pPr>
    </w:p>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hint="eastAsia"/>
      </w:rPr>
    </w:pPr>
    <w:r>
      <w:rPr>
        <w:rFonts w:hint="eastAsia" w:ascii="宋体" w:hAnsi="宋体" w:cs="宋体"/>
        <w:color w:val="auto"/>
        <w:szCs w:val="21"/>
        <w:highlight w:val="none"/>
        <w:shd w:val="clear" w:color="auto" w:fill="FFFFFF"/>
        <w:lang w:val="en-US" w:eastAsia="zh-CN"/>
      </w:rPr>
      <w:t>驻马店市中心医院皮肤科赛诺秀激光治疗设备全保项目</w:t>
    </w: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hint="eastAsia"/>
      </w:rPr>
    </w:pPr>
    <w:r>
      <w:rPr>
        <w:rFonts w:hint="eastAsia" w:ascii="宋体" w:hAnsi="宋体" w:cs="宋体"/>
        <w:color w:val="auto"/>
        <w:szCs w:val="21"/>
        <w:highlight w:val="none"/>
        <w:shd w:val="clear" w:color="auto" w:fill="FFFFFF"/>
        <w:lang w:val="en-US" w:eastAsia="zh-CN"/>
      </w:rPr>
      <w:t>驻马店市中心医院皮肤科赛诺秀激光治疗设备全保项目</w:t>
    </w: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abstractNum w:abstractNumId="3">
    <w:nsid w:val="64C2BA41"/>
    <w:multiLevelType w:val="singleLevel"/>
    <w:tmpl w:val="64C2BA41"/>
    <w:lvl w:ilvl="0" w:tentative="0">
      <w:start w:val="2"/>
      <w:numFmt w:val="chineseCounting"/>
      <w:suff w:val="nothing"/>
      <w:lvlText w:val="%1、"/>
      <w:lvlJc w:val="left"/>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MTZjMjFkMjFjOGMwYTIzNWEzZDljNjYxZWI0MmY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E6D95"/>
    <w:rsid w:val="01D715BE"/>
    <w:rsid w:val="01EB45BC"/>
    <w:rsid w:val="01FA63A5"/>
    <w:rsid w:val="02011C7D"/>
    <w:rsid w:val="02035523"/>
    <w:rsid w:val="021C6E40"/>
    <w:rsid w:val="02222FF2"/>
    <w:rsid w:val="02384FF4"/>
    <w:rsid w:val="023F67A9"/>
    <w:rsid w:val="0247575A"/>
    <w:rsid w:val="025235B1"/>
    <w:rsid w:val="0262674D"/>
    <w:rsid w:val="02747B01"/>
    <w:rsid w:val="02890D36"/>
    <w:rsid w:val="02D92EF7"/>
    <w:rsid w:val="02DA4665"/>
    <w:rsid w:val="02F40325"/>
    <w:rsid w:val="02FA082F"/>
    <w:rsid w:val="031126C4"/>
    <w:rsid w:val="03475E56"/>
    <w:rsid w:val="035E4919"/>
    <w:rsid w:val="036A009A"/>
    <w:rsid w:val="03844805"/>
    <w:rsid w:val="03845791"/>
    <w:rsid w:val="03A011E9"/>
    <w:rsid w:val="03AE7F27"/>
    <w:rsid w:val="03BD2BCD"/>
    <w:rsid w:val="03CC058D"/>
    <w:rsid w:val="03E017D2"/>
    <w:rsid w:val="03F447E2"/>
    <w:rsid w:val="03F77068"/>
    <w:rsid w:val="03FB660C"/>
    <w:rsid w:val="04416C20"/>
    <w:rsid w:val="047968B1"/>
    <w:rsid w:val="04870542"/>
    <w:rsid w:val="04B30F7A"/>
    <w:rsid w:val="054C0111"/>
    <w:rsid w:val="05545DD3"/>
    <w:rsid w:val="056E2AD6"/>
    <w:rsid w:val="05806815"/>
    <w:rsid w:val="058251D3"/>
    <w:rsid w:val="058C28F1"/>
    <w:rsid w:val="05945CCE"/>
    <w:rsid w:val="059D05A4"/>
    <w:rsid w:val="059D5E17"/>
    <w:rsid w:val="05AA3C68"/>
    <w:rsid w:val="05AB0A28"/>
    <w:rsid w:val="05AB0F81"/>
    <w:rsid w:val="05B93D6B"/>
    <w:rsid w:val="05D53002"/>
    <w:rsid w:val="05D75738"/>
    <w:rsid w:val="05F17CC7"/>
    <w:rsid w:val="061E7D14"/>
    <w:rsid w:val="06446B44"/>
    <w:rsid w:val="06560AED"/>
    <w:rsid w:val="066469C9"/>
    <w:rsid w:val="066646A1"/>
    <w:rsid w:val="06983B20"/>
    <w:rsid w:val="069A3B66"/>
    <w:rsid w:val="06A9264E"/>
    <w:rsid w:val="06B31420"/>
    <w:rsid w:val="06B91765"/>
    <w:rsid w:val="06CA2AD2"/>
    <w:rsid w:val="06CE3071"/>
    <w:rsid w:val="06D33DBA"/>
    <w:rsid w:val="06E13F9F"/>
    <w:rsid w:val="06FB0AC5"/>
    <w:rsid w:val="070D2D5D"/>
    <w:rsid w:val="07111B8D"/>
    <w:rsid w:val="072C5514"/>
    <w:rsid w:val="074A5B92"/>
    <w:rsid w:val="075D0147"/>
    <w:rsid w:val="075E3193"/>
    <w:rsid w:val="078E18EB"/>
    <w:rsid w:val="07B10EA5"/>
    <w:rsid w:val="07CE3FA1"/>
    <w:rsid w:val="07EC2ECB"/>
    <w:rsid w:val="07FE66CB"/>
    <w:rsid w:val="080B4D47"/>
    <w:rsid w:val="08321601"/>
    <w:rsid w:val="08326375"/>
    <w:rsid w:val="083D5C91"/>
    <w:rsid w:val="0847191F"/>
    <w:rsid w:val="08591DC3"/>
    <w:rsid w:val="08672793"/>
    <w:rsid w:val="08695E80"/>
    <w:rsid w:val="087C4541"/>
    <w:rsid w:val="087E5595"/>
    <w:rsid w:val="087F2EF1"/>
    <w:rsid w:val="08BC0A60"/>
    <w:rsid w:val="08C52D6F"/>
    <w:rsid w:val="08EF0201"/>
    <w:rsid w:val="08F41DE8"/>
    <w:rsid w:val="094840A2"/>
    <w:rsid w:val="09737462"/>
    <w:rsid w:val="099156C3"/>
    <w:rsid w:val="09A53F39"/>
    <w:rsid w:val="09A60E13"/>
    <w:rsid w:val="09A82D92"/>
    <w:rsid w:val="09AB2883"/>
    <w:rsid w:val="09D206F0"/>
    <w:rsid w:val="0A321AC2"/>
    <w:rsid w:val="0A342A25"/>
    <w:rsid w:val="0A343D4E"/>
    <w:rsid w:val="0A3E6D2E"/>
    <w:rsid w:val="0A4232E4"/>
    <w:rsid w:val="0A8455AD"/>
    <w:rsid w:val="0AD13A85"/>
    <w:rsid w:val="0AE0655C"/>
    <w:rsid w:val="0B091954"/>
    <w:rsid w:val="0B3B7D65"/>
    <w:rsid w:val="0B637D77"/>
    <w:rsid w:val="0B7006C4"/>
    <w:rsid w:val="0B726646"/>
    <w:rsid w:val="0BAC324F"/>
    <w:rsid w:val="0BC11EE9"/>
    <w:rsid w:val="0BF16C73"/>
    <w:rsid w:val="0BF72F1E"/>
    <w:rsid w:val="0C3152C1"/>
    <w:rsid w:val="0C3957A5"/>
    <w:rsid w:val="0C507E2F"/>
    <w:rsid w:val="0C626DA7"/>
    <w:rsid w:val="0C6876AE"/>
    <w:rsid w:val="0C71390F"/>
    <w:rsid w:val="0C720EC8"/>
    <w:rsid w:val="0C942042"/>
    <w:rsid w:val="0C9D50DC"/>
    <w:rsid w:val="0CA5271D"/>
    <w:rsid w:val="0CAC4D10"/>
    <w:rsid w:val="0CC72121"/>
    <w:rsid w:val="0CEE5A21"/>
    <w:rsid w:val="0D05268E"/>
    <w:rsid w:val="0D0646E7"/>
    <w:rsid w:val="0D0C38CA"/>
    <w:rsid w:val="0D206810"/>
    <w:rsid w:val="0D6C40D7"/>
    <w:rsid w:val="0D735465"/>
    <w:rsid w:val="0DC577E0"/>
    <w:rsid w:val="0DDC6319"/>
    <w:rsid w:val="0E0C0D4C"/>
    <w:rsid w:val="0E115DA1"/>
    <w:rsid w:val="0E162D6D"/>
    <w:rsid w:val="0E2126D9"/>
    <w:rsid w:val="0E541CA2"/>
    <w:rsid w:val="0E594756"/>
    <w:rsid w:val="0E95596D"/>
    <w:rsid w:val="0EAE6205"/>
    <w:rsid w:val="0EAE6579"/>
    <w:rsid w:val="0EAF71BF"/>
    <w:rsid w:val="0ECE6257"/>
    <w:rsid w:val="0EE4129D"/>
    <w:rsid w:val="0F171032"/>
    <w:rsid w:val="0F335E69"/>
    <w:rsid w:val="0F372614"/>
    <w:rsid w:val="0F3D59C9"/>
    <w:rsid w:val="0F516D5A"/>
    <w:rsid w:val="0F565B36"/>
    <w:rsid w:val="0F684933"/>
    <w:rsid w:val="0F821E7D"/>
    <w:rsid w:val="0FCA42ED"/>
    <w:rsid w:val="0FE035F4"/>
    <w:rsid w:val="0FE7592C"/>
    <w:rsid w:val="0FFD20F0"/>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3329E7"/>
    <w:rsid w:val="113F294C"/>
    <w:rsid w:val="11437C85"/>
    <w:rsid w:val="11575085"/>
    <w:rsid w:val="1166372C"/>
    <w:rsid w:val="11700D10"/>
    <w:rsid w:val="1178125A"/>
    <w:rsid w:val="118441E0"/>
    <w:rsid w:val="1196056D"/>
    <w:rsid w:val="11D34654"/>
    <w:rsid w:val="12010480"/>
    <w:rsid w:val="120E707F"/>
    <w:rsid w:val="121D0051"/>
    <w:rsid w:val="12413D84"/>
    <w:rsid w:val="127A7D1C"/>
    <w:rsid w:val="12836D8B"/>
    <w:rsid w:val="12AB0349"/>
    <w:rsid w:val="12B66520"/>
    <w:rsid w:val="12CD57F1"/>
    <w:rsid w:val="12CE5941"/>
    <w:rsid w:val="12CE7AFA"/>
    <w:rsid w:val="12D67466"/>
    <w:rsid w:val="13036052"/>
    <w:rsid w:val="13272A5D"/>
    <w:rsid w:val="13493108"/>
    <w:rsid w:val="134A4EBA"/>
    <w:rsid w:val="13733928"/>
    <w:rsid w:val="13857CA0"/>
    <w:rsid w:val="13920D68"/>
    <w:rsid w:val="139C16C9"/>
    <w:rsid w:val="13B63CE1"/>
    <w:rsid w:val="13BC6684"/>
    <w:rsid w:val="13C72B3A"/>
    <w:rsid w:val="13DF575E"/>
    <w:rsid w:val="13E470BD"/>
    <w:rsid w:val="13EE3A98"/>
    <w:rsid w:val="142123F7"/>
    <w:rsid w:val="142A11D8"/>
    <w:rsid w:val="144B544C"/>
    <w:rsid w:val="145B7B45"/>
    <w:rsid w:val="14717443"/>
    <w:rsid w:val="148D52E3"/>
    <w:rsid w:val="14992B90"/>
    <w:rsid w:val="14AF1856"/>
    <w:rsid w:val="14AF19A3"/>
    <w:rsid w:val="14B53957"/>
    <w:rsid w:val="14C53ECE"/>
    <w:rsid w:val="14CF6CB0"/>
    <w:rsid w:val="14DC5FE6"/>
    <w:rsid w:val="14E002E6"/>
    <w:rsid w:val="14FC36BD"/>
    <w:rsid w:val="14FF5EA7"/>
    <w:rsid w:val="151E3A0F"/>
    <w:rsid w:val="152534E9"/>
    <w:rsid w:val="153A36AA"/>
    <w:rsid w:val="15477903"/>
    <w:rsid w:val="1557566D"/>
    <w:rsid w:val="15811F1B"/>
    <w:rsid w:val="15A30135"/>
    <w:rsid w:val="15A34015"/>
    <w:rsid w:val="15B450DE"/>
    <w:rsid w:val="15BB487B"/>
    <w:rsid w:val="15CE086D"/>
    <w:rsid w:val="15E2236F"/>
    <w:rsid w:val="161D09ED"/>
    <w:rsid w:val="162323A3"/>
    <w:rsid w:val="162F30B1"/>
    <w:rsid w:val="1650762F"/>
    <w:rsid w:val="16510F12"/>
    <w:rsid w:val="166448F9"/>
    <w:rsid w:val="1677211D"/>
    <w:rsid w:val="167954F9"/>
    <w:rsid w:val="168E50BE"/>
    <w:rsid w:val="169F7296"/>
    <w:rsid w:val="16A060BA"/>
    <w:rsid w:val="16A57EAF"/>
    <w:rsid w:val="16AC6E3F"/>
    <w:rsid w:val="16C872D5"/>
    <w:rsid w:val="16D54FA3"/>
    <w:rsid w:val="16D84D9F"/>
    <w:rsid w:val="16E94D3E"/>
    <w:rsid w:val="170D06E0"/>
    <w:rsid w:val="17332185"/>
    <w:rsid w:val="17475951"/>
    <w:rsid w:val="179F2E61"/>
    <w:rsid w:val="17BE19D3"/>
    <w:rsid w:val="17C227C0"/>
    <w:rsid w:val="17D66D7C"/>
    <w:rsid w:val="17EE5BFF"/>
    <w:rsid w:val="17FC0C1E"/>
    <w:rsid w:val="18097740"/>
    <w:rsid w:val="184055B9"/>
    <w:rsid w:val="184A2082"/>
    <w:rsid w:val="185D3C42"/>
    <w:rsid w:val="185F38AF"/>
    <w:rsid w:val="188F0211"/>
    <w:rsid w:val="18AD1BEB"/>
    <w:rsid w:val="18B3004A"/>
    <w:rsid w:val="18B96080"/>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74DFE"/>
    <w:rsid w:val="1A125525"/>
    <w:rsid w:val="1A5F4342"/>
    <w:rsid w:val="1A616E2C"/>
    <w:rsid w:val="1A7F369B"/>
    <w:rsid w:val="1A8C5D82"/>
    <w:rsid w:val="1A994988"/>
    <w:rsid w:val="1A9B546C"/>
    <w:rsid w:val="1AA3511F"/>
    <w:rsid w:val="1AAE3B54"/>
    <w:rsid w:val="1AC10987"/>
    <w:rsid w:val="1AF423FA"/>
    <w:rsid w:val="1B0C5B32"/>
    <w:rsid w:val="1B0D3E82"/>
    <w:rsid w:val="1B1652AB"/>
    <w:rsid w:val="1B181CD5"/>
    <w:rsid w:val="1B265306"/>
    <w:rsid w:val="1B4F2450"/>
    <w:rsid w:val="1B530868"/>
    <w:rsid w:val="1B8C18B7"/>
    <w:rsid w:val="1BB73AE1"/>
    <w:rsid w:val="1BDA6D68"/>
    <w:rsid w:val="1BF14125"/>
    <w:rsid w:val="1C555978"/>
    <w:rsid w:val="1C6554A1"/>
    <w:rsid w:val="1C7971B7"/>
    <w:rsid w:val="1C917D91"/>
    <w:rsid w:val="1CD402EC"/>
    <w:rsid w:val="1CED16EF"/>
    <w:rsid w:val="1CF02333"/>
    <w:rsid w:val="1D0C33A2"/>
    <w:rsid w:val="1D113E6E"/>
    <w:rsid w:val="1D114E5E"/>
    <w:rsid w:val="1D1F0050"/>
    <w:rsid w:val="1D2222DC"/>
    <w:rsid w:val="1D5B3CDE"/>
    <w:rsid w:val="1D6D354A"/>
    <w:rsid w:val="1D6E2950"/>
    <w:rsid w:val="1D98209B"/>
    <w:rsid w:val="1DA23746"/>
    <w:rsid w:val="1DAA14B9"/>
    <w:rsid w:val="1DD04513"/>
    <w:rsid w:val="1DDD2BCB"/>
    <w:rsid w:val="1E0345E3"/>
    <w:rsid w:val="1E1B7B7F"/>
    <w:rsid w:val="1E380731"/>
    <w:rsid w:val="1E656063"/>
    <w:rsid w:val="1E6B06A5"/>
    <w:rsid w:val="1E7F7D9E"/>
    <w:rsid w:val="1E840DA4"/>
    <w:rsid w:val="1EA5444C"/>
    <w:rsid w:val="1EB350EF"/>
    <w:rsid w:val="1EC21749"/>
    <w:rsid w:val="1EEB7C4E"/>
    <w:rsid w:val="1F072441"/>
    <w:rsid w:val="1F171B83"/>
    <w:rsid w:val="1F2D491A"/>
    <w:rsid w:val="1F7369C7"/>
    <w:rsid w:val="1F94547B"/>
    <w:rsid w:val="1FAF308C"/>
    <w:rsid w:val="1FB64FF9"/>
    <w:rsid w:val="1FC11109"/>
    <w:rsid w:val="1FEF08C8"/>
    <w:rsid w:val="1FF72E6A"/>
    <w:rsid w:val="2017470F"/>
    <w:rsid w:val="201B3ED4"/>
    <w:rsid w:val="20230F6D"/>
    <w:rsid w:val="20310B02"/>
    <w:rsid w:val="206F0406"/>
    <w:rsid w:val="20784063"/>
    <w:rsid w:val="207E346A"/>
    <w:rsid w:val="208E12C3"/>
    <w:rsid w:val="209502A3"/>
    <w:rsid w:val="2100305C"/>
    <w:rsid w:val="210F579E"/>
    <w:rsid w:val="212550B5"/>
    <w:rsid w:val="21592B62"/>
    <w:rsid w:val="2172049B"/>
    <w:rsid w:val="21747CD2"/>
    <w:rsid w:val="219263AA"/>
    <w:rsid w:val="219E5782"/>
    <w:rsid w:val="21D10545"/>
    <w:rsid w:val="21E72B0B"/>
    <w:rsid w:val="21F66F4C"/>
    <w:rsid w:val="221F2D96"/>
    <w:rsid w:val="22246DB1"/>
    <w:rsid w:val="22440067"/>
    <w:rsid w:val="225A6017"/>
    <w:rsid w:val="22631AF5"/>
    <w:rsid w:val="227A5532"/>
    <w:rsid w:val="22843A03"/>
    <w:rsid w:val="228E5C2C"/>
    <w:rsid w:val="22A338AB"/>
    <w:rsid w:val="22AD37A2"/>
    <w:rsid w:val="22B31E8A"/>
    <w:rsid w:val="22C05285"/>
    <w:rsid w:val="22C735BD"/>
    <w:rsid w:val="22F06957"/>
    <w:rsid w:val="23122833"/>
    <w:rsid w:val="231D4917"/>
    <w:rsid w:val="23223458"/>
    <w:rsid w:val="23225D32"/>
    <w:rsid w:val="23357BE6"/>
    <w:rsid w:val="2342574E"/>
    <w:rsid w:val="2377331D"/>
    <w:rsid w:val="237D43DE"/>
    <w:rsid w:val="23940114"/>
    <w:rsid w:val="23B57016"/>
    <w:rsid w:val="23C05550"/>
    <w:rsid w:val="23D4764B"/>
    <w:rsid w:val="23EC3718"/>
    <w:rsid w:val="24044EF2"/>
    <w:rsid w:val="2407139D"/>
    <w:rsid w:val="240B04F4"/>
    <w:rsid w:val="242A0646"/>
    <w:rsid w:val="2435301D"/>
    <w:rsid w:val="243A0633"/>
    <w:rsid w:val="243D6E1A"/>
    <w:rsid w:val="24607F91"/>
    <w:rsid w:val="246C581B"/>
    <w:rsid w:val="247C52A2"/>
    <w:rsid w:val="24CC106B"/>
    <w:rsid w:val="24D00598"/>
    <w:rsid w:val="24D725E9"/>
    <w:rsid w:val="25045F70"/>
    <w:rsid w:val="250474F1"/>
    <w:rsid w:val="25056E93"/>
    <w:rsid w:val="25092EBA"/>
    <w:rsid w:val="25241020"/>
    <w:rsid w:val="25302410"/>
    <w:rsid w:val="257572C3"/>
    <w:rsid w:val="25790E85"/>
    <w:rsid w:val="25972C60"/>
    <w:rsid w:val="25974C6F"/>
    <w:rsid w:val="259D1676"/>
    <w:rsid w:val="25A353EB"/>
    <w:rsid w:val="25B87B65"/>
    <w:rsid w:val="25CB78C3"/>
    <w:rsid w:val="25D54390"/>
    <w:rsid w:val="261879A7"/>
    <w:rsid w:val="261A071C"/>
    <w:rsid w:val="264B0BA4"/>
    <w:rsid w:val="268C5256"/>
    <w:rsid w:val="268E455B"/>
    <w:rsid w:val="26912B30"/>
    <w:rsid w:val="269772F0"/>
    <w:rsid w:val="26997893"/>
    <w:rsid w:val="26A30712"/>
    <w:rsid w:val="26AC0C27"/>
    <w:rsid w:val="26C807A6"/>
    <w:rsid w:val="26D1527F"/>
    <w:rsid w:val="26DB67BA"/>
    <w:rsid w:val="26E311CD"/>
    <w:rsid w:val="26EF24ED"/>
    <w:rsid w:val="26F1408A"/>
    <w:rsid w:val="26F96584"/>
    <w:rsid w:val="27015370"/>
    <w:rsid w:val="270B421F"/>
    <w:rsid w:val="274E2228"/>
    <w:rsid w:val="27517A93"/>
    <w:rsid w:val="275E53AF"/>
    <w:rsid w:val="276658E8"/>
    <w:rsid w:val="276F6846"/>
    <w:rsid w:val="277E30D2"/>
    <w:rsid w:val="27803F2A"/>
    <w:rsid w:val="27A34941"/>
    <w:rsid w:val="27EE3A7B"/>
    <w:rsid w:val="28025A64"/>
    <w:rsid w:val="283C23DF"/>
    <w:rsid w:val="283D69F1"/>
    <w:rsid w:val="284C16F5"/>
    <w:rsid w:val="28570AB5"/>
    <w:rsid w:val="285F2CDC"/>
    <w:rsid w:val="28622C36"/>
    <w:rsid w:val="289E7E22"/>
    <w:rsid w:val="28C2534B"/>
    <w:rsid w:val="28C5525A"/>
    <w:rsid w:val="28D14B96"/>
    <w:rsid w:val="29020C46"/>
    <w:rsid w:val="290240C7"/>
    <w:rsid w:val="291713AF"/>
    <w:rsid w:val="291A2B97"/>
    <w:rsid w:val="29274EE0"/>
    <w:rsid w:val="295029E3"/>
    <w:rsid w:val="2969197F"/>
    <w:rsid w:val="29746E87"/>
    <w:rsid w:val="297C03C2"/>
    <w:rsid w:val="299573AB"/>
    <w:rsid w:val="29BE5BD0"/>
    <w:rsid w:val="29C01572"/>
    <w:rsid w:val="29CA4207"/>
    <w:rsid w:val="29E74CE2"/>
    <w:rsid w:val="2A241B69"/>
    <w:rsid w:val="2A306A36"/>
    <w:rsid w:val="2A5372C6"/>
    <w:rsid w:val="2A5B03D8"/>
    <w:rsid w:val="2A6F6D07"/>
    <w:rsid w:val="2A7C7BF7"/>
    <w:rsid w:val="2A882500"/>
    <w:rsid w:val="2AA35184"/>
    <w:rsid w:val="2AAB4E76"/>
    <w:rsid w:val="2AB63ABC"/>
    <w:rsid w:val="2AB63D0A"/>
    <w:rsid w:val="2AB95BD9"/>
    <w:rsid w:val="2AC55177"/>
    <w:rsid w:val="2B003D00"/>
    <w:rsid w:val="2B074D5E"/>
    <w:rsid w:val="2B100BA9"/>
    <w:rsid w:val="2B1B5825"/>
    <w:rsid w:val="2B1E3AFC"/>
    <w:rsid w:val="2B8D373E"/>
    <w:rsid w:val="2B9E4F56"/>
    <w:rsid w:val="2BDB5A88"/>
    <w:rsid w:val="2BE91C37"/>
    <w:rsid w:val="2BEC3F72"/>
    <w:rsid w:val="2C083572"/>
    <w:rsid w:val="2C185F94"/>
    <w:rsid w:val="2C1F1AC4"/>
    <w:rsid w:val="2C2945BA"/>
    <w:rsid w:val="2C2E71FC"/>
    <w:rsid w:val="2C3F3A41"/>
    <w:rsid w:val="2C4431C4"/>
    <w:rsid w:val="2C62059F"/>
    <w:rsid w:val="2C6634FA"/>
    <w:rsid w:val="2CAC022C"/>
    <w:rsid w:val="2CC11807"/>
    <w:rsid w:val="2CF16074"/>
    <w:rsid w:val="2CF81D1B"/>
    <w:rsid w:val="2D3C35F7"/>
    <w:rsid w:val="2D3F2453"/>
    <w:rsid w:val="2D835174"/>
    <w:rsid w:val="2D9331F9"/>
    <w:rsid w:val="2DD90B7B"/>
    <w:rsid w:val="2DDD3FC1"/>
    <w:rsid w:val="2DF701D8"/>
    <w:rsid w:val="2DF970A1"/>
    <w:rsid w:val="2E085834"/>
    <w:rsid w:val="2E1034F8"/>
    <w:rsid w:val="2E120D8E"/>
    <w:rsid w:val="2E443652"/>
    <w:rsid w:val="2E505773"/>
    <w:rsid w:val="2E742F70"/>
    <w:rsid w:val="2E9A689E"/>
    <w:rsid w:val="2EB03CB2"/>
    <w:rsid w:val="2EDC2A13"/>
    <w:rsid w:val="2EFD7DB9"/>
    <w:rsid w:val="2F1A081D"/>
    <w:rsid w:val="2F1C72B3"/>
    <w:rsid w:val="2F1E3DC0"/>
    <w:rsid w:val="2F2D326E"/>
    <w:rsid w:val="2F3112DE"/>
    <w:rsid w:val="2F3B6922"/>
    <w:rsid w:val="2F3D7B25"/>
    <w:rsid w:val="2F506C6D"/>
    <w:rsid w:val="2F512253"/>
    <w:rsid w:val="2F51291F"/>
    <w:rsid w:val="2F55758A"/>
    <w:rsid w:val="2F7F15AE"/>
    <w:rsid w:val="2FA54796"/>
    <w:rsid w:val="2FA674E2"/>
    <w:rsid w:val="2FFE7D49"/>
    <w:rsid w:val="3002294D"/>
    <w:rsid w:val="3011153D"/>
    <w:rsid w:val="30142680"/>
    <w:rsid w:val="302A11B1"/>
    <w:rsid w:val="302A5C42"/>
    <w:rsid w:val="30662043"/>
    <w:rsid w:val="30B8125D"/>
    <w:rsid w:val="30BF439A"/>
    <w:rsid w:val="30CF6A37"/>
    <w:rsid w:val="30D250CF"/>
    <w:rsid w:val="31002970"/>
    <w:rsid w:val="311016AD"/>
    <w:rsid w:val="3136622A"/>
    <w:rsid w:val="3139422E"/>
    <w:rsid w:val="31496359"/>
    <w:rsid w:val="314D19A6"/>
    <w:rsid w:val="316177A4"/>
    <w:rsid w:val="31700E4B"/>
    <w:rsid w:val="3172683C"/>
    <w:rsid w:val="31A359FC"/>
    <w:rsid w:val="31AD0D61"/>
    <w:rsid w:val="31CD297B"/>
    <w:rsid w:val="31CD73BD"/>
    <w:rsid w:val="31D66571"/>
    <w:rsid w:val="31DB4220"/>
    <w:rsid w:val="31DC56CD"/>
    <w:rsid w:val="31E63B94"/>
    <w:rsid w:val="31F27AF7"/>
    <w:rsid w:val="32176602"/>
    <w:rsid w:val="322A7699"/>
    <w:rsid w:val="322B25C6"/>
    <w:rsid w:val="32422E70"/>
    <w:rsid w:val="325E56C6"/>
    <w:rsid w:val="3275698A"/>
    <w:rsid w:val="32A93829"/>
    <w:rsid w:val="32B943EC"/>
    <w:rsid w:val="32DC63A0"/>
    <w:rsid w:val="32E429C1"/>
    <w:rsid w:val="330503EE"/>
    <w:rsid w:val="334045BE"/>
    <w:rsid w:val="334A3B2A"/>
    <w:rsid w:val="3365592E"/>
    <w:rsid w:val="336A31F3"/>
    <w:rsid w:val="336F6533"/>
    <w:rsid w:val="337E5E2F"/>
    <w:rsid w:val="3384610D"/>
    <w:rsid w:val="33AA5979"/>
    <w:rsid w:val="33C03E90"/>
    <w:rsid w:val="33C96649"/>
    <w:rsid w:val="33CC3D88"/>
    <w:rsid w:val="33DD0306"/>
    <w:rsid w:val="33E54075"/>
    <w:rsid w:val="33FD722F"/>
    <w:rsid w:val="3400362D"/>
    <w:rsid w:val="340B09C5"/>
    <w:rsid w:val="341E4CAB"/>
    <w:rsid w:val="34584EE2"/>
    <w:rsid w:val="347D373F"/>
    <w:rsid w:val="34922A93"/>
    <w:rsid w:val="34956481"/>
    <w:rsid w:val="34A35871"/>
    <w:rsid w:val="34C06C9D"/>
    <w:rsid w:val="34DF24AE"/>
    <w:rsid w:val="351C4931"/>
    <w:rsid w:val="351C4EAC"/>
    <w:rsid w:val="351D4C26"/>
    <w:rsid w:val="352E7D40"/>
    <w:rsid w:val="35361A77"/>
    <w:rsid w:val="35461A22"/>
    <w:rsid w:val="35483CC9"/>
    <w:rsid w:val="35677675"/>
    <w:rsid w:val="35A815CB"/>
    <w:rsid w:val="35A85BD0"/>
    <w:rsid w:val="35AA1B9C"/>
    <w:rsid w:val="35DB09A6"/>
    <w:rsid w:val="36080591"/>
    <w:rsid w:val="3609472F"/>
    <w:rsid w:val="369B4CF0"/>
    <w:rsid w:val="36D62629"/>
    <w:rsid w:val="36D76172"/>
    <w:rsid w:val="36D84407"/>
    <w:rsid w:val="36E833BB"/>
    <w:rsid w:val="36EB1E1B"/>
    <w:rsid w:val="36F17F0D"/>
    <w:rsid w:val="37224581"/>
    <w:rsid w:val="3735197D"/>
    <w:rsid w:val="373756A2"/>
    <w:rsid w:val="375E0DA6"/>
    <w:rsid w:val="378B61A6"/>
    <w:rsid w:val="37B90F0B"/>
    <w:rsid w:val="37CD3F98"/>
    <w:rsid w:val="37DF75BA"/>
    <w:rsid w:val="37E148E2"/>
    <w:rsid w:val="37F848EE"/>
    <w:rsid w:val="37F912FC"/>
    <w:rsid w:val="380B007E"/>
    <w:rsid w:val="38304889"/>
    <w:rsid w:val="38382675"/>
    <w:rsid w:val="383B7B0D"/>
    <w:rsid w:val="3848553B"/>
    <w:rsid w:val="3851700B"/>
    <w:rsid w:val="385246B6"/>
    <w:rsid w:val="3876113B"/>
    <w:rsid w:val="38A53DB7"/>
    <w:rsid w:val="38BF3388"/>
    <w:rsid w:val="38CC268D"/>
    <w:rsid w:val="38DF1FDA"/>
    <w:rsid w:val="38EC2960"/>
    <w:rsid w:val="392536E2"/>
    <w:rsid w:val="39465F15"/>
    <w:rsid w:val="39505209"/>
    <w:rsid w:val="396453C5"/>
    <w:rsid w:val="39922CCF"/>
    <w:rsid w:val="39A65327"/>
    <w:rsid w:val="39A65C9B"/>
    <w:rsid w:val="39BC5ED6"/>
    <w:rsid w:val="39D27231"/>
    <w:rsid w:val="39EB39E0"/>
    <w:rsid w:val="39EF02D4"/>
    <w:rsid w:val="3A11342A"/>
    <w:rsid w:val="3A153110"/>
    <w:rsid w:val="3A2149EA"/>
    <w:rsid w:val="3A2507C0"/>
    <w:rsid w:val="3A285AD8"/>
    <w:rsid w:val="3A393FA7"/>
    <w:rsid w:val="3A3A5A22"/>
    <w:rsid w:val="3A524858"/>
    <w:rsid w:val="3A64203E"/>
    <w:rsid w:val="3A663D00"/>
    <w:rsid w:val="3A7428D0"/>
    <w:rsid w:val="3A923AE4"/>
    <w:rsid w:val="3AA50E25"/>
    <w:rsid w:val="3AC566E3"/>
    <w:rsid w:val="3AD6747A"/>
    <w:rsid w:val="3AE21C17"/>
    <w:rsid w:val="3B312338"/>
    <w:rsid w:val="3B3D0FF2"/>
    <w:rsid w:val="3B521A18"/>
    <w:rsid w:val="3B7C60FF"/>
    <w:rsid w:val="3B8D2B96"/>
    <w:rsid w:val="3B923660"/>
    <w:rsid w:val="3BCA44BE"/>
    <w:rsid w:val="3BD056AD"/>
    <w:rsid w:val="3C061F3A"/>
    <w:rsid w:val="3C0A04F9"/>
    <w:rsid w:val="3C495480"/>
    <w:rsid w:val="3C4C3A42"/>
    <w:rsid w:val="3C6F0167"/>
    <w:rsid w:val="3C71667B"/>
    <w:rsid w:val="3C914F3B"/>
    <w:rsid w:val="3CC17F13"/>
    <w:rsid w:val="3CD50B40"/>
    <w:rsid w:val="3CE320A3"/>
    <w:rsid w:val="3CE9196C"/>
    <w:rsid w:val="3CF15105"/>
    <w:rsid w:val="3D0C04B9"/>
    <w:rsid w:val="3D1414C5"/>
    <w:rsid w:val="3D1C763E"/>
    <w:rsid w:val="3D201AA5"/>
    <w:rsid w:val="3D2B37EA"/>
    <w:rsid w:val="3D2F7FF3"/>
    <w:rsid w:val="3D3D1507"/>
    <w:rsid w:val="3D62085B"/>
    <w:rsid w:val="3D7B4622"/>
    <w:rsid w:val="3D8E5820"/>
    <w:rsid w:val="3D942E29"/>
    <w:rsid w:val="3D9D35E8"/>
    <w:rsid w:val="3DA53531"/>
    <w:rsid w:val="3DB54E0C"/>
    <w:rsid w:val="3DB900C1"/>
    <w:rsid w:val="3DDB7ECF"/>
    <w:rsid w:val="3DE91725"/>
    <w:rsid w:val="3DF159B1"/>
    <w:rsid w:val="3E1A106E"/>
    <w:rsid w:val="3E36303B"/>
    <w:rsid w:val="3E526044"/>
    <w:rsid w:val="3E6C2B3A"/>
    <w:rsid w:val="3E8C5311"/>
    <w:rsid w:val="3E8E7E55"/>
    <w:rsid w:val="3EB61473"/>
    <w:rsid w:val="3EC66011"/>
    <w:rsid w:val="3F315E6B"/>
    <w:rsid w:val="3F5175E2"/>
    <w:rsid w:val="3F56276A"/>
    <w:rsid w:val="3F6C10E0"/>
    <w:rsid w:val="3F963015"/>
    <w:rsid w:val="3F964D35"/>
    <w:rsid w:val="3FA327ED"/>
    <w:rsid w:val="3FB11738"/>
    <w:rsid w:val="3FB5581B"/>
    <w:rsid w:val="3FC33D05"/>
    <w:rsid w:val="3FC357FB"/>
    <w:rsid w:val="3FF46B18"/>
    <w:rsid w:val="3FF74A2E"/>
    <w:rsid w:val="3FFC36E2"/>
    <w:rsid w:val="4005572D"/>
    <w:rsid w:val="402833BA"/>
    <w:rsid w:val="40283C2B"/>
    <w:rsid w:val="40394FD1"/>
    <w:rsid w:val="40425879"/>
    <w:rsid w:val="405C1C05"/>
    <w:rsid w:val="40765D15"/>
    <w:rsid w:val="407B4FC1"/>
    <w:rsid w:val="407F2DE9"/>
    <w:rsid w:val="40991379"/>
    <w:rsid w:val="409B3C3D"/>
    <w:rsid w:val="40F701DF"/>
    <w:rsid w:val="40FD480A"/>
    <w:rsid w:val="412A32F8"/>
    <w:rsid w:val="417F433E"/>
    <w:rsid w:val="419C4043"/>
    <w:rsid w:val="41B7239D"/>
    <w:rsid w:val="41FF3845"/>
    <w:rsid w:val="421104A9"/>
    <w:rsid w:val="42143B88"/>
    <w:rsid w:val="42164586"/>
    <w:rsid w:val="425B5DD1"/>
    <w:rsid w:val="4260300C"/>
    <w:rsid w:val="42755200"/>
    <w:rsid w:val="42772802"/>
    <w:rsid w:val="427C799E"/>
    <w:rsid w:val="42800B9B"/>
    <w:rsid w:val="4281223D"/>
    <w:rsid w:val="42A06B6C"/>
    <w:rsid w:val="42A27996"/>
    <w:rsid w:val="42AA04E2"/>
    <w:rsid w:val="42CA7FB0"/>
    <w:rsid w:val="42EA5650"/>
    <w:rsid w:val="431408DA"/>
    <w:rsid w:val="4331401E"/>
    <w:rsid w:val="43591DDA"/>
    <w:rsid w:val="435A0DF2"/>
    <w:rsid w:val="436C42E1"/>
    <w:rsid w:val="437C210F"/>
    <w:rsid w:val="43847F02"/>
    <w:rsid w:val="438F113C"/>
    <w:rsid w:val="439E7EFB"/>
    <w:rsid w:val="43B1568A"/>
    <w:rsid w:val="43B64E08"/>
    <w:rsid w:val="43BD7F58"/>
    <w:rsid w:val="43D43ECA"/>
    <w:rsid w:val="43DD452F"/>
    <w:rsid w:val="43DE6CD4"/>
    <w:rsid w:val="43E51150"/>
    <w:rsid w:val="43EF28BB"/>
    <w:rsid w:val="43EF56D3"/>
    <w:rsid w:val="44095C00"/>
    <w:rsid w:val="440A6FD2"/>
    <w:rsid w:val="44366C11"/>
    <w:rsid w:val="444946CA"/>
    <w:rsid w:val="444B3F54"/>
    <w:rsid w:val="4476661F"/>
    <w:rsid w:val="447E3AC5"/>
    <w:rsid w:val="44805ED4"/>
    <w:rsid w:val="448E5DEE"/>
    <w:rsid w:val="44A90BAA"/>
    <w:rsid w:val="44B24A20"/>
    <w:rsid w:val="44BC0BEE"/>
    <w:rsid w:val="44BF6C07"/>
    <w:rsid w:val="44C55A88"/>
    <w:rsid w:val="44FB1C9C"/>
    <w:rsid w:val="454F1836"/>
    <w:rsid w:val="45887B45"/>
    <w:rsid w:val="458B66DF"/>
    <w:rsid w:val="45940F0E"/>
    <w:rsid w:val="45AC5DBA"/>
    <w:rsid w:val="45C647AF"/>
    <w:rsid w:val="45DD529D"/>
    <w:rsid w:val="45E57886"/>
    <w:rsid w:val="45E945CC"/>
    <w:rsid w:val="46003076"/>
    <w:rsid w:val="46026F63"/>
    <w:rsid w:val="46177E29"/>
    <w:rsid w:val="46205B7F"/>
    <w:rsid w:val="465D501C"/>
    <w:rsid w:val="466367DB"/>
    <w:rsid w:val="46686D18"/>
    <w:rsid w:val="46BF7E28"/>
    <w:rsid w:val="46C3037C"/>
    <w:rsid w:val="46FF15E0"/>
    <w:rsid w:val="4700581C"/>
    <w:rsid w:val="4702516A"/>
    <w:rsid w:val="474A4B33"/>
    <w:rsid w:val="47665A15"/>
    <w:rsid w:val="47677941"/>
    <w:rsid w:val="477F1660"/>
    <w:rsid w:val="4788232A"/>
    <w:rsid w:val="478B0398"/>
    <w:rsid w:val="478F5D0B"/>
    <w:rsid w:val="47A31F5F"/>
    <w:rsid w:val="47B52444"/>
    <w:rsid w:val="47B8724E"/>
    <w:rsid w:val="47D93D43"/>
    <w:rsid w:val="47ED7BCA"/>
    <w:rsid w:val="48016F34"/>
    <w:rsid w:val="480556DB"/>
    <w:rsid w:val="48185C56"/>
    <w:rsid w:val="48450F81"/>
    <w:rsid w:val="484E729D"/>
    <w:rsid w:val="48566773"/>
    <w:rsid w:val="485A23C2"/>
    <w:rsid w:val="48A16B62"/>
    <w:rsid w:val="48BC6222"/>
    <w:rsid w:val="48C245E9"/>
    <w:rsid w:val="48DB312A"/>
    <w:rsid w:val="48DF49D9"/>
    <w:rsid w:val="492108CC"/>
    <w:rsid w:val="49413F52"/>
    <w:rsid w:val="494F6304"/>
    <w:rsid w:val="4A041FE0"/>
    <w:rsid w:val="4A05334F"/>
    <w:rsid w:val="4A244932"/>
    <w:rsid w:val="4A2922C8"/>
    <w:rsid w:val="4A4117B2"/>
    <w:rsid w:val="4A4A6F73"/>
    <w:rsid w:val="4A7A4350"/>
    <w:rsid w:val="4A7E2497"/>
    <w:rsid w:val="4A896826"/>
    <w:rsid w:val="4ABF5E17"/>
    <w:rsid w:val="4AD52CE0"/>
    <w:rsid w:val="4AE01A66"/>
    <w:rsid w:val="4AE104D6"/>
    <w:rsid w:val="4AE724D1"/>
    <w:rsid w:val="4AE77140"/>
    <w:rsid w:val="4AED707B"/>
    <w:rsid w:val="4B015D61"/>
    <w:rsid w:val="4B0B7979"/>
    <w:rsid w:val="4B1530DD"/>
    <w:rsid w:val="4B520DF4"/>
    <w:rsid w:val="4B603107"/>
    <w:rsid w:val="4B7A5635"/>
    <w:rsid w:val="4B9802B0"/>
    <w:rsid w:val="4B9E65BE"/>
    <w:rsid w:val="4B9F33A8"/>
    <w:rsid w:val="4BA80AFD"/>
    <w:rsid w:val="4BB033BA"/>
    <w:rsid w:val="4BB469AD"/>
    <w:rsid w:val="4BC06040"/>
    <w:rsid w:val="4BF441D2"/>
    <w:rsid w:val="4C1C2A09"/>
    <w:rsid w:val="4C423098"/>
    <w:rsid w:val="4C694192"/>
    <w:rsid w:val="4C7964D9"/>
    <w:rsid w:val="4C9269F6"/>
    <w:rsid w:val="4CC84335"/>
    <w:rsid w:val="4CE27936"/>
    <w:rsid w:val="4CE9350A"/>
    <w:rsid w:val="4D225F85"/>
    <w:rsid w:val="4D297BF3"/>
    <w:rsid w:val="4D2D0EAF"/>
    <w:rsid w:val="4D7F0082"/>
    <w:rsid w:val="4D952FD9"/>
    <w:rsid w:val="4D970662"/>
    <w:rsid w:val="4DB33393"/>
    <w:rsid w:val="4DBC3CE3"/>
    <w:rsid w:val="4DCF1E0D"/>
    <w:rsid w:val="4DD632D9"/>
    <w:rsid w:val="4DE05D9E"/>
    <w:rsid w:val="4DE05DF9"/>
    <w:rsid w:val="4DE44800"/>
    <w:rsid w:val="4DEE0709"/>
    <w:rsid w:val="4DFC14EA"/>
    <w:rsid w:val="4DFF6815"/>
    <w:rsid w:val="4E0A3427"/>
    <w:rsid w:val="4E287F63"/>
    <w:rsid w:val="4E304B5D"/>
    <w:rsid w:val="4E611B8B"/>
    <w:rsid w:val="4E6279D7"/>
    <w:rsid w:val="4E682F8C"/>
    <w:rsid w:val="4E6A7BB7"/>
    <w:rsid w:val="4EB23220"/>
    <w:rsid w:val="4F0773B4"/>
    <w:rsid w:val="4F307BB1"/>
    <w:rsid w:val="4F3D562D"/>
    <w:rsid w:val="4F5C4EE0"/>
    <w:rsid w:val="4F6E1972"/>
    <w:rsid w:val="4F943166"/>
    <w:rsid w:val="4FBA02A1"/>
    <w:rsid w:val="4FE7106E"/>
    <w:rsid w:val="50053943"/>
    <w:rsid w:val="50374A3C"/>
    <w:rsid w:val="50550E55"/>
    <w:rsid w:val="50901457"/>
    <w:rsid w:val="509F43E4"/>
    <w:rsid w:val="50A54D3E"/>
    <w:rsid w:val="50B82E88"/>
    <w:rsid w:val="50BB32A7"/>
    <w:rsid w:val="50F1402B"/>
    <w:rsid w:val="50FD2AD9"/>
    <w:rsid w:val="51081E85"/>
    <w:rsid w:val="51097D9A"/>
    <w:rsid w:val="51237D2E"/>
    <w:rsid w:val="515B06D0"/>
    <w:rsid w:val="51996737"/>
    <w:rsid w:val="51B408B8"/>
    <w:rsid w:val="51B80848"/>
    <w:rsid w:val="51CC0868"/>
    <w:rsid w:val="51D5340F"/>
    <w:rsid w:val="52382F2A"/>
    <w:rsid w:val="52386E3D"/>
    <w:rsid w:val="523A7DD1"/>
    <w:rsid w:val="523B7711"/>
    <w:rsid w:val="5271774C"/>
    <w:rsid w:val="52DE008D"/>
    <w:rsid w:val="52EE341E"/>
    <w:rsid w:val="52F37FE6"/>
    <w:rsid w:val="52FC1CAF"/>
    <w:rsid w:val="530B071F"/>
    <w:rsid w:val="531A330F"/>
    <w:rsid w:val="532B6CAF"/>
    <w:rsid w:val="53350D91"/>
    <w:rsid w:val="53412644"/>
    <w:rsid w:val="53433903"/>
    <w:rsid w:val="53517A72"/>
    <w:rsid w:val="5361549D"/>
    <w:rsid w:val="536220DA"/>
    <w:rsid w:val="53650637"/>
    <w:rsid w:val="53757C6B"/>
    <w:rsid w:val="537E1075"/>
    <w:rsid w:val="53A44D07"/>
    <w:rsid w:val="53A46AC8"/>
    <w:rsid w:val="53AB7F1F"/>
    <w:rsid w:val="53AC6F7B"/>
    <w:rsid w:val="53EB297B"/>
    <w:rsid w:val="53EC4BF7"/>
    <w:rsid w:val="53F758A1"/>
    <w:rsid w:val="540D5A7F"/>
    <w:rsid w:val="542E2BC2"/>
    <w:rsid w:val="54352A96"/>
    <w:rsid w:val="54447390"/>
    <w:rsid w:val="544B514D"/>
    <w:rsid w:val="545E1D01"/>
    <w:rsid w:val="54674051"/>
    <w:rsid w:val="54935B8F"/>
    <w:rsid w:val="54CC6227"/>
    <w:rsid w:val="54D10F9B"/>
    <w:rsid w:val="54D97871"/>
    <w:rsid w:val="551D586C"/>
    <w:rsid w:val="55200298"/>
    <w:rsid w:val="55335E1B"/>
    <w:rsid w:val="554B7EF0"/>
    <w:rsid w:val="556F3D99"/>
    <w:rsid w:val="55720837"/>
    <w:rsid w:val="55860894"/>
    <w:rsid w:val="558F6181"/>
    <w:rsid w:val="55B02DF1"/>
    <w:rsid w:val="55DC290C"/>
    <w:rsid w:val="55E71B19"/>
    <w:rsid w:val="55EA5D64"/>
    <w:rsid w:val="55F01FA1"/>
    <w:rsid w:val="55FC19B9"/>
    <w:rsid w:val="56130B60"/>
    <w:rsid w:val="56990B7C"/>
    <w:rsid w:val="569E1126"/>
    <w:rsid w:val="56A8690E"/>
    <w:rsid w:val="56B80DEB"/>
    <w:rsid w:val="56E0560F"/>
    <w:rsid w:val="56E06E61"/>
    <w:rsid w:val="56F653FE"/>
    <w:rsid w:val="574448FC"/>
    <w:rsid w:val="57561D39"/>
    <w:rsid w:val="575B7AFD"/>
    <w:rsid w:val="57660D3F"/>
    <w:rsid w:val="5785783C"/>
    <w:rsid w:val="57D1153D"/>
    <w:rsid w:val="57FA3774"/>
    <w:rsid w:val="58084A3C"/>
    <w:rsid w:val="581715A8"/>
    <w:rsid w:val="582772A7"/>
    <w:rsid w:val="58531B77"/>
    <w:rsid w:val="585D2975"/>
    <w:rsid w:val="585F64F9"/>
    <w:rsid w:val="587E3341"/>
    <w:rsid w:val="587F428B"/>
    <w:rsid w:val="58CF56D8"/>
    <w:rsid w:val="58D31010"/>
    <w:rsid w:val="58D6741E"/>
    <w:rsid w:val="58DB0535"/>
    <w:rsid w:val="58E62E0E"/>
    <w:rsid w:val="58EA3D0E"/>
    <w:rsid w:val="58F24A5D"/>
    <w:rsid w:val="58F71269"/>
    <w:rsid w:val="58FE045E"/>
    <w:rsid w:val="59561946"/>
    <w:rsid w:val="59670F51"/>
    <w:rsid w:val="596A44F9"/>
    <w:rsid w:val="596C19BB"/>
    <w:rsid w:val="59790BDB"/>
    <w:rsid w:val="597E3F42"/>
    <w:rsid w:val="598653AC"/>
    <w:rsid w:val="59AC3C86"/>
    <w:rsid w:val="59D42FDA"/>
    <w:rsid w:val="59DA4E01"/>
    <w:rsid w:val="59F64E82"/>
    <w:rsid w:val="5A0A5DD6"/>
    <w:rsid w:val="5A10435C"/>
    <w:rsid w:val="5A2654CC"/>
    <w:rsid w:val="5A323A44"/>
    <w:rsid w:val="5A395E66"/>
    <w:rsid w:val="5A484352"/>
    <w:rsid w:val="5A5321A5"/>
    <w:rsid w:val="5A8734AF"/>
    <w:rsid w:val="5A9D3E45"/>
    <w:rsid w:val="5AA4101D"/>
    <w:rsid w:val="5AB17576"/>
    <w:rsid w:val="5ABD68E6"/>
    <w:rsid w:val="5ABF73D2"/>
    <w:rsid w:val="5ACB3D8A"/>
    <w:rsid w:val="5AE1508F"/>
    <w:rsid w:val="5AF80256"/>
    <w:rsid w:val="5B110CC9"/>
    <w:rsid w:val="5B1F7B5D"/>
    <w:rsid w:val="5B585171"/>
    <w:rsid w:val="5B585B78"/>
    <w:rsid w:val="5B6D62B9"/>
    <w:rsid w:val="5B9A2B59"/>
    <w:rsid w:val="5BC0085A"/>
    <w:rsid w:val="5BE03293"/>
    <w:rsid w:val="5BF03D58"/>
    <w:rsid w:val="5BF20AFB"/>
    <w:rsid w:val="5C1A6BB2"/>
    <w:rsid w:val="5C37233A"/>
    <w:rsid w:val="5C5355FE"/>
    <w:rsid w:val="5C6F4105"/>
    <w:rsid w:val="5CBB7F6F"/>
    <w:rsid w:val="5CC248CE"/>
    <w:rsid w:val="5D442CB4"/>
    <w:rsid w:val="5D7C3F11"/>
    <w:rsid w:val="5D9D49E0"/>
    <w:rsid w:val="5DDF1821"/>
    <w:rsid w:val="5DE2656A"/>
    <w:rsid w:val="5DEA2F91"/>
    <w:rsid w:val="5DF94AE0"/>
    <w:rsid w:val="5DFA5883"/>
    <w:rsid w:val="5E3146A3"/>
    <w:rsid w:val="5E442F62"/>
    <w:rsid w:val="5E6C2C5B"/>
    <w:rsid w:val="5E6E2DD8"/>
    <w:rsid w:val="5E7251A2"/>
    <w:rsid w:val="5E7C3591"/>
    <w:rsid w:val="5E9D0E18"/>
    <w:rsid w:val="5EA341D7"/>
    <w:rsid w:val="5EA755DE"/>
    <w:rsid w:val="5ED35F0E"/>
    <w:rsid w:val="5EDF7832"/>
    <w:rsid w:val="5EFC1390"/>
    <w:rsid w:val="5EFC3EB6"/>
    <w:rsid w:val="5F03335D"/>
    <w:rsid w:val="5F0368C7"/>
    <w:rsid w:val="5F1544E7"/>
    <w:rsid w:val="5F312D8D"/>
    <w:rsid w:val="5F3C4923"/>
    <w:rsid w:val="5F5A7800"/>
    <w:rsid w:val="5F9A65E6"/>
    <w:rsid w:val="5F9B2627"/>
    <w:rsid w:val="5FAC7B1F"/>
    <w:rsid w:val="5FB80E3D"/>
    <w:rsid w:val="5FB831B4"/>
    <w:rsid w:val="5FD40999"/>
    <w:rsid w:val="5FE5522B"/>
    <w:rsid w:val="5FF03F08"/>
    <w:rsid w:val="5FF2548E"/>
    <w:rsid w:val="5FF313D3"/>
    <w:rsid w:val="602610FD"/>
    <w:rsid w:val="602808B2"/>
    <w:rsid w:val="603814FF"/>
    <w:rsid w:val="604109A8"/>
    <w:rsid w:val="605D2617"/>
    <w:rsid w:val="60616CDC"/>
    <w:rsid w:val="60624E53"/>
    <w:rsid w:val="606319E5"/>
    <w:rsid w:val="607A77D8"/>
    <w:rsid w:val="607B3C50"/>
    <w:rsid w:val="608B6567"/>
    <w:rsid w:val="60AA3E6F"/>
    <w:rsid w:val="60FF21D9"/>
    <w:rsid w:val="613021B3"/>
    <w:rsid w:val="613253FD"/>
    <w:rsid w:val="613C0D96"/>
    <w:rsid w:val="61421F29"/>
    <w:rsid w:val="61712185"/>
    <w:rsid w:val="618B7207"/>
    <w:rsid w:val="61A90D68"/>
    <w:rsid w:val="62065A1D"/>
    <w:rsid w:val="621775E2"/>
    <w:rsid w:val="622F7552"/>
    <w:rsid w:val="6250406E"/>
    <w:rsid w:val="627D6831"/>
    <w:rsid w:val="62811B1C"/>
    <w:rsid w:val="62A20409"/>
    <w:rsid w:val="62B54B44"/>
    <w:rsid w:val="62E045DA"/>
    <w:rsid w:val="62E454A1"/>
    <w:rsid w:val="62F36E4C"/>
    <w:rsid w:val="62F47F8F"/>
    <w:rsid w:val="62F7233F"/>
    <w:rsid w:val="631F3FB4"/>
    <w:rsid w:val="633F1DB4"/>
    <w:rsid w:val="6340438B"/>
    <w:rsid w:val="6353238E"/>
    <w:rsid w:val="63612AB8"/>
    <w:rsid w:val="63620A31"/>
    <w:rsid w:val="6379289B"/>
    <w:rsid w:val="637D0978"/>
    <w:rsid w:val="638968B0"/>
    <w:rsid w:val="638A282C"/>
    <w:rsid w:val="63A85E90"/>
    <w:rsid w:val="63A962DB"/>
    <w:rsid w:val="63AB1A91"/>
    <w:rsid w:val="63B82D47"/>
    <w:rsid w:val="63C74D38"/>
    <w:rsid w:val="63EE4692"/>
    <w:rsid w:val="63FD622D"/>
    <w:rsid w:val="643F32F9"/>
    <w:rsid w:val="64582686"/>
    <w:rsid w:val="64673C87"/>
    <w:rsid w:val="64A170D2"/>
    <w:rsid w:val="64A251DD"/>
    <w:rsid w:val="650242F0"/>
    <w:rsid w:val="65365B2B"/>
    <w:rsid w:val="653F447E"/>
    <w:rsid w:val="654D4C07"/>
    <w:rsid w:val="65542778"/>
    <w:rsid w:val="655829AF"/>
    <w:rsid w:val="656B70C3"/>
    <w:rsid w:val="658F4798"/>
    <w:rsid w:val="659B1EBA"/>
    <w:rsid w:val="65A83379"/>
    <w:rsid w:val="65B461E9"/>
    <w:rsid w:val="65BE39A8"/>
    <w:rsid w:val="65FB3FBE"/>
    <w:rsid w:val="66247D11"/>
    <w:rsid w:val="66736112"/>
    <w:rsid w:val="667F5B5B"/>
    <w:rsid w:val="6694262A"/>
    <w:rsid w:val="66990381"/>
    <w:rsid w:val="66B31B01"/>
    <w:rsid w:val="66CE1E80"/>
    <w:rsid w:val="66E362F9"/>
    <w:rsid w:val="66E47FD9"/>
    <w:rsid w:val="66F127F8"/>
    <w:rsid w:val="67071922"/>
    <w:rsid w:val="673B73C0"/>
    <w:rsid w:val="674743C8"/>
    <w:rsid w:val="675608B6"/>
    <w:rsid w:val="67754402"/>
    <w:rsid w:val="677D54ED"/>
    <w:rsid w:val="67B25E27"/>
    <w:rsid w:val="67B4646D"/>
    <w:rsid w:val="67B464CA"/>
    <w:rsid w:val="67C4383B"/>
    <w:rsid w:val="67D35E1A"/>
    <w:rsid w:val="67F35317"/>
    <w:rsid w:val="680201B7"/>
    <w:rsid w:val="68362BFB"/>
    <w:rsid w:val="683D085A"/>
    <w:rsid w:val="683F1130"/>
    <w:rsid w:val="684456A1"/>
    <w:rsid w:val="685E1363"/>
    <w:rsid w:val="687731D1"/>
    <w:rsid w:val="6878475E"/>
    <w:rsid w:val="688E1089"/>
    <w:rsid w:val="68993219"/>
    <w:rsid w:val="68A026F3"/>
    <w:rsid w:val="68AF6C13"/>
    <w:rsid w:val="68F25680"/>
    <w:rsid w:val="690E07C7"/>
    <w:rsid w:val="69236A65"/>
    <w:rsid w:val="692E469B"/>
    <w:rsid w:val="69315C48"/>
    <w:rsid w:val="694019EC"/>
    <w:rsid w:val="69584DB4"/>
    <w:rsid w:val="696C3D80"/>
    <w:rsid w:val="698A5EE4"/>
    <w:rsid w:val="69C811ED"/>
    <w:rsid w:val="69D33070"/>
    <w:rsid w:val="69E97E75"/>
    <w:rsid w:val="69FB5D9E"/>
    <w:rsid w:val="69FF6FDA"/>
    <w:rsid w:val="6A1A3007"/>
    <w:rsid w:val="6A1E645E"/>
    <w:rsid w:val="6A417049"/>
    <w:rsid w:val="6A7903E5"/>
    <w:rsid w:val="6A8219B9"/>
    <w:rsid w:val="6AA03032"/>
    <w:rsid w:val="6AA86FEC"/>
    <w:rsid w:val="6ADA6AC4"/>
    <w:rsid w:val="6ADB11D6"/>
    <w:rsid w:val="6B1A2C3C"/>
    <w:rsid w:val="6B31644D"/>
    <w:rsid w:val="6B486C86"/>
    <w:rsid w:val="6B554C72"/>
    <w:rsid w:val="6B774DF2"/>
    <w:rsid w:val="6B847AD7"/>
    <w:rsid w:val="6B9A2DF9"/>
    <w:rsid w:val="6BA56BC7"/>
    <w:rsid w:val="6BAC4619"/>
    <w:rsid w:val="6BC60150"/>
    <w:rsid w:val="6BCD2823"/>
    <w:rsid w:val="6BDD15DD"/>
    <w:rsid w:val="6BDF2966"/>
    <w:rsid w:val="6BE86A5F"/>
    <w:rsid w:val="6C234DED"/>
    <w:rsid w:val="6C29198B"/>
    <w:rsid w:val="6C3A67D1"/>
    <w:rsid w:val="6C3D2D5C"/>
    <w:rsid w:val="6C4800AA"/>
    <w:rsid w:val="6C4D28F8"/>
    <w:rsid w:val="6C573E9C"/>
    <w:rsid w:val="6C5C23DC"/>
    <w:rsid w:val="6C6D1126"/>
    <w:rsid w:val="6C986334"/>
    <w:rsid w:val="6CA35B3A"/>
    <w:rsid w:val="6CA41A5D"/>
    <w:rsid w:val="6CA479DF"/>
    <w:rsid w:val="6CAF588C"/>
    <w:rsid w:val="6CB4638E"/>
    <w:rsid w:val="6CBF3C6A"/>
    <w:rsid w:val="6CBF5306"/>
    <w:rsid w:val="6CE70FA1"/>
    <w:rsid w:val="6CFA6351"/>
    <w:rsid w:val="6CFC3C40"/>
    <w:rsid w:val="6D480984"/>
    <w:rsid w:val="6DB13E57"/>
    <w:rsid w:val="6DC71662"/>
    <w:rsid w:val="6DCD5126"/>
    <w:rsid w:val="6DDB6CB0"/>
    <w:rsid w:val="6DE21877"/>
    <w:rsid w:val="6DE52ACD"/>
    <w:rsid w:val="6DFC0B44"/>
    <w:rsid w:val="6E0458E7"/>
    <w:rsid w:val="6E212037"/>
    <w:rsid w:val="6E3B221B"/>
    <w:rsid w:val="6E475779"/>
    <w:rsid w:val="6E663C68"/>
    <w:rsid w:val="6E7764EF"/>
    <w:rsid w:val="6EAD447C"/>
    <w:rsid w:val="6EAE5472"/>
    <w:rsid w:val="6EBC069A"/>
    <w:rsid w:val="6ECD7F59"/>
    <w:rsid w:val="6EED7C80"/>
    <w:rsid w:val="6EF773A4"/>
    <w:rsid w:val="6F1E2E65"/>
    <w:rsid w:val="6F2F2D9E"/>
    <w:rsid w:val="6F4147D9"/>
    <w:rsid w:val="6F581F47"/>
    <w:rsid w:val="6F5A44AE"/>
    <w:rsid w:val="6F5B0D5A"/>
    <w:rsid w:val="6F5C35EA"/>
    <w:rsid w:val="6F6B6A15"/>
    <w:rsid w:val="6F947E4B"/>
    <w:rsid w:val="6FA30BDA"/>
    <w:rsid w:val="6FB21D4C"/>
    <w:rsid w:val="6FB80698"/>
    <w:rsid w:val="701021F4"/>
    <w:rsid w:val="701C29A6"/>
    <w:rsid w:val="7024611F"/>
    <w:rsid w:val="70637B96"/>
    <w:rsid w:val="70797317"/>
    <w:rsid w:val="7099044B"/>
    <w:rsid w:val="709D518F"/>
    <w:rsid w:val="70C759D3"/>
    <w:rsid w:val="70CF2B23"/>
    <w:rsid w:val="70D70CB1"/>
    <w:rsid w:val="70F03B20"/>
    <w:rsid w:val="710952C1"/>
    <w:rsid w:val="71452CD8"/>
    <w:rsid w:val="7158683A"/>
    <w:rsid w:val="715B2F52"/>
    <w:rsid w:val="71764F23"/>
    <w:rsid w:val="71946576"/>
    <w:rsid w:val="71967E84"/>
    <w:rsid w:val="71A61873"/>
    <w:rsid w:val="71AF4936"/>
    <w:rsid w:val="71B12351"/>
    <w:rsid w:val="71D75D0F"/>
    <w:rsid w:val="71E30414"/>
    <w:rsid w:val="721919B3"/>
    <w:rsid w:val="721A6098"/>
    <w:rsid w:val="721D18D3"/>
    <w:rsid w:val="72310D1A"/>
    <w:rsid w:val="725D6B54"/>
    <w:rsid w:val="728A4551"/>
    <w:rsid w:val="72986FA0"/>
    <w:rsid w:val="72A17C99"/>
    <w:rsid w:val="72AD7197"/>
    <w:rsid w:val="72AF6F7E"/>
    <w:rsid w:val="72CD226C"/>
    <w:rsid w:val="73047904"/>
    <w:rsid w:val="73253EFA"/>
    <w:rsid w:val="734C1A6A"/>
    <w:rsid w:val="735C5949"/>
    <w:rsid w:val="73671287"/>
    <w:rsid w:val="73737DA5"/>
    <w:rsid w:val="73740A39"/>
    <w:rsid w:val="73783823"/>
    <w:rsid w:val="73887B3E"/>
    <w:rsid w:val="73892412"/>
    <w:rsid w:val="73AF2114"/>
    <w:rsid w:val="73E96BCA"/>
    <w:rsid w:val="73EE4A6E"/>
    <w:rsid w:val="741048BC"/>
    <w:rsid w:val="742E78D4"/>
    <w:rsid w:val="74317498"/>
    <w:rsid w:val="74335A84"/>
    <w:rsid w:val="74676A28"/>
    <w:rsid w:val="747E40B6"/>
    <w:rsid w:val="74AC3224"/>
    <w:rsid w:val="74BB2C83"/>
    <w:rsid w:val="74C33758"/>
    <w:rsid w:val="74DE4E5F"/>
    <w:rsid w:val="74EB54AB"/>
    <w:rsid w:val="74FF6D43"/>
    <w:rsid w:val="750201A2"/>
    <w:rsid w:val="751A76AF"/>
    <w:rsid w:val="75250574"/>
    <w:rsid w:val="7550443E"/>
    <w:rsid w:val="755F0BCC"/>
    <w:rsid w:val="756F17F9"/>
    <w:rsid w:val="75825461"/>
    <w:rsid w:val="759926FC"/>
    <w:rsid w:val="75A24276"/>
    <w:rsid w:val="75AA231D"/>
    <w:rsid w:val="75E8633A"/>
    <w:rsid w:val="76393874"/>
    <w:rsid w:val="763F09AA"/>
    <w:rsid w:val="764F3FCC"/>
    <w:rsid w:val="7650339F"/>
    <w:rsid w:val="76603C9A"/>
    <w:rsid w:val="76832D41"/>
    <w:rsid w:val="76BB1CAB"/>
    <w:rsid w:val="76C04050"/>
    <w:rsid w:val="76D67314"/>
    <w:rsid w:val="76E65049"/>
    <w:rsid w:val="77076007"/>
    <w:rsid w:val="77413F7E"/>
    <w:rsid w:val="77464076"/>
    <w:rsid w:val="7758241F"/>
    <w:rsid w:val="777A7D22"/>
    <w:rsid w:val="77835654"/>
    <w:rsid w:val="7797109C"/>
    <w:rsid w:val="779A2A38"/>
    <w:rsid w:val="77B4450A"/>
    <w:rsid w:val="77B46E73"/>
    <w:rsid w:val="77E37A12"/>
    <w:rsid w:val="77FE3468"/>
    <w:rsid w:val="78250553"/>
    <w:rsid w:val="78546F0C"/>
    <w:rsid w:val="78EE1C79"/>
    <w:rsid w:val="78F85605"/>
    <w:rsid w:val="78FA66FA"/>
    <w:rsid w:val="79424F6E"/>
    <w:rsid w:val="797239CC"/>
    <w:rsid w:val="79831473"/>
    <w:rsid w:val="79983E9C"/>
    <w:rsid w:val="7999527A"/>
    <w:rsid w:val="79AF76C5"/>
    <w:rsid w:val="79C25EE1"/>
    <w:rsid w:val="79CE2967"/>
    <w:rsid w:val="79E34934"/>
    <w:rsid w:val="79EA664C"/>
    <w:rsid w:val="79F9627A"/>
    <w:rsid w:val="7A2F3BBF"/>
    <w:rsid w:val="7A2F459A"/>
    <w:rsid w:val="7A322A39"/>
    <w:rsid w:val="7A517022"/>
    <w:rsid w:val="7A6F5001"/>
    <w:rsid w:val="7A9635B3"/>
    <w:rsid w:val="7AA2343E"/>
    <w:rsid w:val="7AD60EB8"/>
    <w:rsid w:val="7ADA73A4"/>
    <w:rsid w:val="7AE66B99"/>
    <w:rsid w:val="7AF34646"/>
    <w:rsid w:val="7AFE508C"/>
    <w:rsid w:val="7B0A3BCA"/>
    <w:rsid w:val="7B345AA9"/>
    <w:rsid w:val="7B4048C1"/>
    <w:rsid w:val="7B73082F"/>
    <w:rsid w:val="7B7B492E"/>
    <w:rsid w:val="7BB46FBD"/>
    <w:rsid w:val="7BC62E00"/>
    <w:rsid w:val="7BE35E2A"/>
    <w:rsid w:val="7BF66C24"/>
    <w:rsid w:val="7BFA1CC7"/>
    <w:rsid w:val="7BFB70B3"/>
    <w:rsid w:val="7C0251DA"/>
    <w:rsid w:val="7C0E41D1"/>
    <w:rsid w:val="7C1052F2"/>
    <w:rsid w:val="7C2668D9"/>
    <w:rsid w:val="7C32497F"/>
    <w:rsid w:val="7C3C69AE"/>
    <w:rsid w:val="7C691974"/>
    <w:rsid w:val="7C8A6570"/>
    <w:rsid w:val="7C8B7390"/>
    <w:rsid w:val="7C9B0D0E"/>
    <w:rsid w:val="7CA42B03"/>
    <w:rsid w:val="7CD2318A"/>
    <w:rsid w:val="7CD2702A"/>
    <w:rsid w:val="7CD34C42"/>
    <w:rsid w:val="7CD46B29"/>
    <w:rsid w:val="7CDE3FF9"/>
    <w:rsid w:val="7CE26EBF"/>
    <w:rsid w:val="7CEE3130"/>
    <w:rsid w:val="7D1F6674"/>
    <w:rsid w:val="7D480B34"/>
    <w:rsid w:val="7D777A3E"/>
    <w:rsid w:val="7D9005BC"/>
    <w:rsid w:val="7D9F0AD0"/>
    <w:rsid w:val="7DD12BB7"/>
    <w:rsid w:val="7DF223A2"/>
    <w:rsid w:val="7DFF0955"/>
    <w:rsid w:val="7E0B750E"/>
    <w:rsid w:val="7E1939E8"/>
    <w:rsid w:val="7E2400E7"/>
    <w:rsid w:val="7E2822EA"/>
    <w:rsid w:val="7E355A7B"/>
    <w:rsid w:val="7E6E3E85"/>
    <w:rsid w:val="7E9C184B"/>
    <w:rsid w:val="7EA72948"/>
    <w:rsid w:val="7EB31EDB"/>
    <w:rsid w:val="7EE70CC0"/>
    <w:rsid w:val="7EEB48DB"/>
    <w:rsid w:val="7EF27444"/>
    <w:rsid w:val="7F185A04"/>
    <w:rsid w:val="7F265C58"/>
    <w:rsid w:val="7F347A17"/>
    <w:rsid w:val="7F4C4618"/>
    <w:rsid w:val="7F582CF2"/>
    <w:rsid w:val="7F951B4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6">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autoRedefine/>
    <w:qFormat/>
    <w:uiPriority w:val="0"/>
    <w:pPr>
      <w:keepNext/>
      <w:keepLines/>
      <w:spacing w:before="260" w:after="260" w:line="416" w:lineRule="auto"/>
      <w:outlineLvl w:val="2"/>
    </w:pPr>
    <w:rPr>
      <w:b/>
      <w:bCs/>
      <w:sz w:val="32"/>
      <w:szCs w:val="32"/>
    </w:rPr>
  </w:style>
  <w:style w:type="paragraph" w:styleId="8">
    <w:name w:val="heading 4"/>
    <w:basedOn w:val="1"/>
    <w:next w:val="1"/>
    <w:autoRedefine/>
    <w:qFormat/>
    <w:uiPriority w:val="0"/>
    <w:pPr>
      <w:keepNext/>
      <w:keepLines/>
      <w:spacing w:line="360" w:lineRule="auto"/>
      <w:outlineLvl w:val="3"/>
    </w:pPr>
    <w:rPr>
      <w:rFonts w:ascii="Arial" w:hAnsi="Arial"/>
      <w:b/>
      <w:bCs/>
      <w:szCs w:val="28"/>
    </w:rPr>
  </w:style>
  <w:style w:type="character" w:default="1" w:styleId="34">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3"/>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List Number"/>
    <w:basedOn w:val="1"/>
    <w:autoRedefine/>
    <w:qFormat/>
    <w:uiPriority w:val="0"/>
    <w:pPr>
      <w:widowControl/>
      <w:spacing w:beforeAutospacing="1" w:afterAutospacing="1"/>
      <w:jc w:val="left"/>
    </w:pPr>
    <w:rPr>
      <w:rFonts w:ascii="宋体" w:hAnsi="宋体" w:cs="宋体"/>
      <w:kern w:val="0"/>
      <w:sz w:val="24"/>
    </w:rPr>
  </w:style>
  <w:style w:type="paragraph" w:styleId="10">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1">
    <w:name w:val="Document Map"/>
    <w:basedOn w:val="1"/>
    <w:link w:val="75"/>
    <w:autoRedefine/>
    <w:qFormat/>
    <w:uiPriority w:val="0"/>
    <w:rPr>
      <w:rFonts w:ascii="宋体" w:hAnsi="Calibri"/>
      <w:sz w:val="18"/>
      <w:szCs w:val="18"/>
    </w:rPr>
  </w:style>
  <w:style w:type="paragraph" w:styleId="12">
    <w:name w:val="annotation text"/>
    <w:basedOn w:val="1"/>
    <w:autoRedefine/>
    <w:qFormat/>
    <w:uiPriority w:val="0"/>
    <w:pPr>
      <w:jc w:val="left"/>
    </w:pPr>
  </w:style>
  <w:style w:type="paragraph" w:styleId="13">
    <w:name w:val="Body Text 3"/>
    <w:basedOn w:val="1"/>
    <w:autoRedefine/>
    <w:qFormat/>
    <w:uiPriority w:val="0"/>
    <w:rPr>
      <w:sz w:val="16"/>
      <w:szCs w:val="16"/>
    </w:rPr>
  </w:style>
  <w:style w:type="paragraph" w:styleId="14">
    <w:name w:val="Body Text Indent"/>
    <w:basedOn w:val="1"/>
    <w:next w:val="15"/>
    <w:autoRedefine/>
    <w:qFormat/>
    <w:uiPriority w:val="0"/>
    <w:pPr>
      <w:widowControl/>
      <w:spacing w:beforeAutospacing="1" w:afterAutospacing="1"/>
      <w:jc w:val="left"/>
    </w:pPr>
    <w:rPr>
      <w:rFonts w:ascii="宋体" w:hAnsi="宋体" w:cs="宋体"/>
      <w:kern w:val="0"/>
      <w:sz w:val="24"/>
    </w:rPr>
  </w:style>
  <w:style w:type="paragraph" w:styleId="15">
    <w:name w:val="envelope return"/>
    <w:basedOn w:val="1"/>
    <w:autoRedefine/>
    <w:unhideWhenUsed/>
    <w:qFormat/>
    <w:uiPriority w:val="99"/>
    <w:pPr>
      <w:snapToGrid w:val="0"/>
    </w:pPr>
    <w:rPr>
      <w:rFonts w:ascii="Arial" w:hAnsi="Arial"/>
    </w:rPr>
  </w:style>
  <w:style w:type="paragraph" w:styleId="16">
    <w:name w:val="List 2"/>
    <w:basedOn w:val="1"/>
    <w:autoRedefine/>
    <w:qFormat/>
    <w:uiPriority w:val="0"/>
    <w:pPr>
      <w:ind w:left="100" w:leftChars="200" w:hanging="200" w:hangingChars="200"/>
    </w:pPr>
  </w:style>
  <w:style w:type="paragraph" w:styleId="17">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9">
    <w:name w:val="Plain Text"/>
    <w:basedOn w:val="1"/>
    <w:autoRedefine/>
    <w:qFormat/>
    <w:uiPriority w:val="0"/>
    <w:pPr>
      <w:widowControl/>
      <w:spacing w:beforeAutospacing="1" w:afterAutospacing="1"/>
      <w:jc w:val="left"/>
    </w:pPr>
    <w:rPr>
      <w:rFonts w:ascii="宋体" w:hAnsi="宋体" w:cs="宋体"/>
      <w:kern w:val="0"/>
      <w:sz w:val="24"/>
    </w:rPr>
  </w:style>
  <w:style w:type="paragraph" w:styleId="20">
    <w:name w:val="Date"/>
    <w:basedOn w:val="1"/>
    <w:next w:val="1"/>
    <w:autoRedefine/>
    <w:qFormat/>
    <w:uiPriority w:val="0"/>
    <w:pPr>
      <w:ind w:left="100" w:leftChars="2500"/>
    </w:pPr>
    <w:rPr>
      <w:rFonts w:ascii="宋体" w:hAnsi="宋体"/>
      <w:sz w:val="28"/>
    </w:rPr>
  </w:style>
  <w:style w:type="paragraph" w:styleId="21">
    <w:name w:val="Body Text Indent 2"/>
    <w:basedOn w:val="1"/>
    <w:autoRedefine/>
    <w:qFormat/>
    <w:uiPriority w:val="0"/>
    <w:pPr>
      <w:spacing w:line="480" w:lineRule="auto"/>
      <w:ind w:left="420" w:leftChars="200"/>
    </w:pPr>
  </w:style>
  <w:style w:type="paragraph" w:styleId="22">
    <w:name w:val="footer"/>
    <w:basedOn w:val="1"/>
    <w:qFormat/>
    <w:uiPriority w:val="0"/>
    <w:pPr>
      <w:tabs>
        <w:tab w:val="center" w:pos="4153"/>
        <w:tab w:val="right" w:pos="8306"/>
      </w:tabs>
      <w:snapToGrid w:val="0"/>
      <w:jc w:val="left"/>
    </w:pPr>
    <w:rPr>
      <w:sz w:val="18"/>
      <w:szCs w:val="18"/>
    </w:rPr>
  </w:style>
  <w:style w:type="paragraph" w:styleId="23">
    <w:name w:val="toc 1"/>
    <w:basedOn w:val="1"/>
    <w:next w:val="1"/>
    <w:qFormat/>
    <w:uiPriority w:val="0"/>
  </w:style>
  <w:style w:type="paragraph" w:styleId="24">
    <w:name w:val="List"/>
    <w:basedOn w:val="1"/>
    <w:autoRedefine/>
    <w:qFormat/>
    <w:uiPriority w:val="0"/>
    <w:pPr>
      <w:ind w:left="200" w:hanging="200" w:hangingChars="200"/>
    </w:pPr>
  </w:style>
  <w:style w:type="paragraph" w:styleId="25">
    <w:name w:val="Body Text 2"/>
    <w:basedOn w:val="1"/>
    <w:next w:val="3"/>
    <w:autoRedefine/>
    <w:qFormat/>
    <w:uiPriority w:val="0"/>
    <w:pPr>
      <w:spacing w:line="480" w:lineRule="auto"/>
    </w:pPr>
  </w:style>
  <w:style w:type="paragraph" w:styleId="26">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7">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8">
    <w:name w:val="Normal (Web)"/>
    <w:basedOn w:val="1"/>
    <w:autoRedefine/>
    <w:qFormat/>
    <w:uiPriority w:val="99"/>
    <w:pPr>
      <w:spacing w:before="100" w:beforeAutospacing="1" w:after="100" w:afterAutospacing="1"/>
      <w:jc w:val="left"/>
    </w:pPr>
    <w:rPr>
      <w:kern w:val="0"/>
      <w:sz w:val="24"/>
    </w:rPr>
  </w:style>
  <w:style w:type="paragraph" w:styleId="29">
    <w:name w:val="Title"/>
    <w:basedOn w:val="1"/>
    <w:autoRedefine/>
    <w:qFormat/>
    <w:uiPriority w:val="0"/>
    <w:pPr>
      <w:jc w:val="center"/>
      <w:outlineLvl w:val="0"/>
    </w:pPr>
    <w:rPr>
      <w:rFonts w:ascii="Arial" w:hAnsi="Arial" w:cs="Arial"/>
      <w:b/>
      <w:bCs/>
      <w:sz w:val="32"/>
      <w:szCs w:val="32"/>
    </w:rPr>
  </w:style>
  <w:style w:type="paragraph" w:styleId="30">
    <w:name w:val="Body Text First Indent"/>
    <w:basedOn w:val="3"/>
    <w:next w:val="31"/>
    <w:autoRedefine/>
    <w:qFormat/>
    <w:uiPriority w:val="0"/>
    <w:pPr>
      <w:spacing w:line="360" w:lineRule="auto"/>
      <w:ind w:firstLine="420" w:firstLineChars="100"/>
    </w:pPr>
    <w:rPr>
      <w:szCs w:val="21"/>
    </w:rPr>
  </w:style>
  <w:style w:type="paragraph" w:styleId="31">
    <w:name w:val="Body Text First Indent 2"/>
    <w:basedOn w:val="14"/>
    <w:next w:val="10"/>
    <w:autoRedefine/>
    <w:qFormat/>
    <w:uiPriority w:val="0"/>
    <w:pPr>
      <w:ind w:firstLine="420" w:firstLineChars="200"/>
    </w:pPr>
  </w:style>
  <w:style w:type="table" w:styleId="33">
    <w:name w:val="Table Grid"/>
    <w:basedOn w:val="32"/>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autoRedefine/>
    <w:qFormat/>
    <w:uiPriority w:val="0"/>
    <w:rPr>
      <w:b/>
      <w:bCs/>
      <w:szCs w:val="24"/>
    </w:rPr>
  </w:style>
  <w:style w:type="character" w:styleId="36">
    <w:name w:val="page number"/>
    <w:basedOn w:val="34"/>
    <w:autoRedefine/>
    <w:qFormat/>
    <w:uiPriority w:val="0"/>
  </w:style>
  <w:style w:type="character" w:styleId="37">
    <w:name w:val="FollowedHyperlink"/>
    <w:autoRedefine/>
    <w:qFormat/>
    <w:uiPriority w:val="0"/>
    <w:rPr>
      <w:color w:val="333333"/>
      <w:szCs w:val="24"/>
      <w:u w:val="none"/>
    </w:rPr>
  </w:style>
  <w:style w:type="character" w:styleId="38">
    <w:name w:val="Emphasis"/>
    <w:basedOn w:val="34"/>
    <w:autoRedefine/>
    <w:qFormat/>
    <w:uiPriority w:val="0"/>
  </w:style>
  <w:style w:type="character" w:styleId="39">
    <w:name w:val="HTML Definition"/>
    <w:basedOn w:val="34"/>
    <w:autoRedefine/>
    <w:qFormat/>
    <w:uiPriority w:val="0"/>
  </w:style>
  <w:style w:type="character" w:styleId="40">
    <w:name w:val="HTML Typewriter"/>
    <w:basedOn w:val="34"/>
    <w:qFormat/>
    <w:uiPriority w:val="0"/>
    <w:rPr>
      <w:rFonts w:hint="default" w:ascii="monospace" w:hAnsi="monospace" w:eastAsia="monospace" w:cs="monospace"/>
      <w:sz w:val="20"/>
    </w:rPr>
  </w:style>
  <w:style w:type="character" w:styleId="41">
    <w:name w:val="HTML Acronym"/>
    <w:basedOn w:val="34"/>
    <w:autoRedefine/>
    <w:qFormat/>
    <w:uiPriority w:val="0"/>
  </w:style>
  <w:style w:type="character" w:styleId="42">
    <w:name w:val="HTML Variable"/>
    <w:basedOn w:val="34"/>
    <w:autoRedefine/>
    <w:qFormat/>
    <w:uiPriority w:val="0"/>
  </w:style>
  <w:style w:type="character" w:styleId="43">
    <w:name w:val="Hyperlink"/>
    <w:basedOn w:val="34"/>
    <w:autoRedefine/>
    <w:qFormat/>
    <w:uiPriority w:val="0"/>
    <w:rPr>
      <w:color w:val="333333"/>
      <w:szCs w:val="24"/>
      <w:u w:val="none"/>
    </w:rPr>
  </w:style>
  <w:style w:type="character" w:styleId="44">
    <w:name w:val="HTML Code"/>
    <w:basedOn w:val="34"/>
    <w:autoRedefine/>
    <w:qFormat/>
    <w:uiPriority w:val="0"/>
    <w:rPr>
      <w:rFonts w:ascii="monospace" w:hAnsi="monospace" w:eastAsia="monospace" w:cs="monospace"/>
      <w:sz w:val="20"/>
    </w:rPr>
  </w:style>
  <w:style w:type="character" w:styleId="45">
    <w:name w:val="HTML Cite"/>
    <w:basedOn w:val="34"/>
    <w:autoRedefine/>
    <w:qFormat/>
    <w:uiPriority w:val="0"/>
  </w:style>
  <w:style w:type="character" w:styleId="46">
    <w:name w:val="HTML Keyboard"/>
    <w:basedOn w:val="34"/>
    <w:autoRedefine/>
    <w:qFormat/>
    <w:uiPriority w:val="0"/>
    <w:rPr>
      <w:rFonts w:hint="default" w:ascii="monospace" w:hAnsi="monospace" w:eastAsia="monospace" w:cs="monospace"/>
      <w:sz w:val="20"/>
    </w:rPr>
  </w:style>
  <w:style w:type="character" w:styleId="47">
    <w:name w:val="HTML Sample"/>
    <w:basedOn w:val="34"/>
    <w:autoRedefine/>
    <w:qFormat/>
    <w:uiPriority w:val="0"/>
    <w:rPr>
      <w:rFonts w:hint="default" w:ascii="monospace" w:hAnsi="monospace" w:eastAsia="monospace" w:cs="monospace"/>
    </w:rPr>
  </w:style>
  <w:style w:type="paragraph" w:customStyle="1" w:styleId="48">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49">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0">
    <w:name w:val="No Spacing1"/>
    <w:basedOn w:val="1"/>
    <w:qFormat/>
    <w:uiPriority w:val="0"/>
    <w:pPr>
      <w:spacing w:line="400" w:lineRule="exact"/>
    </w:pPr>
    <w:rPr>
      <w:sz w:val="24"/>
    </w:rPr>
  </w:style>
  <w:style w:type="paragraph" w:customStyle="1" w:styleId="51">
    <w:name w:val="大标题"/>
    <w:basedOn w:val="1"/>
    <w:next w:val="31"/>
    <w:autoRedefine/>
    <w:qFormat/>
    <w:uiPriority w:val="0"/>
    <w:pPr>
      <w:jc w:val="center"/>
    </w:pPr>
    <w:rPr>
      <w:rFonts w:ascii="Arial" w:hAnsi="Arial"/>
      <w:b/>
      <w:sz w:val="28"/>
    </w:rPr>
  </w:style>
  <w:style w:type="paragraph" w:customStyle="1" w:styleId="52">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53">
    <w:name w:val="Char"/>
    <w:basedOn w:val="1"/>
    <w:autoRedefine/>
    <w:qFormat/>
    <w:uiPriority w:val="0"/>
  </w:style>
  <w:style w:type="paragraph" w:customStyle="1" w:styleId="54">
    <w:name w:val="正文缩进1"/>
    <w:basedOn w:val="1"/>
    <w:autoRedefine/>
    <w:qFormat/>
    <w:uiPriority w:val="0"/>
    <w:pPr>
      <w:widowControl/>
      <w:ind w:firstLine="420"/>
      <w:jc w:val="left"/>
    </w:pPr>
    <w:rPr>
      <w:kern w:val="0"/>
      <w:szCs w:val="20"/>
    </w:rPr>
  </w:style>
  <w:style w:type="paragraph" w:customStyle="1" w:styleId="55">
    <w:name w:val="列出段落2"/>
    <w:basedOn w:val="1"/>
    <w:autoRedefine/>
    <w:qFormat/>
    <w:uiPriority w:val="34"/>
    <w:pPr>
      <w:ind w:firstLine="420" w:firstLineChars="200"/>
    </w:pPr>
  </w:style>
  <w:style w:type="paragraph" w:customStyle="1" w:styleId="56">
    <w:name w:val="plaintext"/>
    <w:basedOn w:val="1"/>
    <w:qFormat/>
    <w:uiPriority w:val="0"/>
    <w:pPr>
      <w:widowControl/>
      <w:spacing w:beforeAutospacing="1" w:afterAutospacing="1"/>
      <w:jc w:val="left"/>
    </w:pPr>
    <w:rPr>
      <w:rFonts w:ascii="宋体" w:hAnsi="宋体" w:cs="宋体"/>
      <w:kern w:val="0"/>
      <w:sz w:val="24"/>
    </w:rPr>
  </w:style>
  <w:style w:type="paragraph" w:customStyle="1" w:styleId="57">
    <w:name w:val="1"/>
    <w:basedOn w:val="1"/>
    <w:autoRedefine/>
    <w:qFormat/>
    <w:uiPriority w:val="0"/>
    <w:pPr>
      <w:widowControl/>
      <w:spacing w:beforeAutospacing="1" w:afterAutospacing="1"/>
      <w:jc w:val="left"/>
    </w:pPr>
    <w:rPr>
      <w:rFonts w:ascii="宋体" w:hAnsi="宋体" w:cs="宋体"/>
      <w:kern w:val="0"/>
      <w:sz w:val="24"/>
    </w:rPr>
  </w:style>
  <w:style w:type="paragraph" w:styleId="58">
    <w:name w:val="No Spacing"/>
    <w:qFormat/>
    <w:uiPriority w:val="1"/>
    <w:rPr>
      <w:rFonts w:ascii="Calibri" w:hAnsi="Calibri" w:eastAsia="宋体" w:cs="Times New Roman"/>
      <w:sz w:val="22"/>
      <w:szCs w:val="22"/>
      <w:lang w:val="en-US" w:eastAsia="zh-CN" w:bidi="ar-SA"/>
    </w:rPr>
  </w:style>
  <w:style w:type="paragraph" w:customStyle="1" w:styleId="59">
    <w:name w:val="_Style 2"/>
    <w:basedOn w:val="1"/>
    <w:autoRedefine/>
    <w:qFormat/>
    <w:uiPriority w:val="34"/>
    <w:pPr>
      <w:ind w:firstLine="420" w:firstLineChars="200"/>
    </w:pPr>
    <w:rPr>
      <w:rFonts w:ascii="Calibri" w:hAnsi="Calibri"/>
    </w:rPr>
  </w:style>
  <w:style w:type="paragraph" w:customStyle="1" w:styleId="60">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1">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2">
    <w:name w:val="Char1"/>
    <w:basedOn w:val="1"/>
    <w:qFormat/>
    <w:uiPriority w:val="0"/>
  </w:style>
  <w:style w:type="paragraph" w:customStyle="1" w:styleId="63">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4">
    <w:name w:val="Table Paragraph"/>
    <w:basedOn w:val="1"/>
    <w:autoRedefine/>
    <w:qFormat/>
    <w:uiPriority w:val="1"/>
    <w:pPr>
      <w:jc w:val="left"/>
    </w:pPr>
    <w:rPr>
      <w:rFonts w:ascii="宋体" w:hAnsi="宋体" w:cs="宋体"/>
      <w:kern w:val="0"/>
      <w:sz w:val="22"/>
      <w:szCs w:val="22"/>
      <w:lang w:eastAsia="en-US"/>
    </w:rPr>
  </w:style>
  <w:style w:type="paragraph" w:customStyle="1" w:styleId="65">
    <w:name w:val="无间隔1"/>
    <w:basedOn w:val="1"/>
    <w:autoRedefine/>
    <w:qFormat/>
    <w:uiPriority w:val="1"/>
    <w:pPr>
      <w:spacing w:line="400" w:lineRule="exact"/>
    </w:pPr>
    <w:rPr>
      <w:sz w:val="24"/>
    </w:rPr>
  </w:style>
  <w:style w:type="paragraph" w:customStyle="1" w:styleId="66">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7">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68">
    <w:name w:val="列出段落1"/>
    <w:basedOn w:val="1"/>
    <w:qFormat/>
    <w:uiPriority w:val="34"/>
    <w:pPr>
      <w:ind w:firstLine="420" w:firstLineChars="200"/>
    </w:pPr>
  </w:style>
  <w:style w:type="paragraph" w:customStyle="1" w:styleId="69">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0">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1">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列出段落11"/>
    <w:basedOn w:val="1"/>
    <w:autoRedefine/>
    <w:qFormat/>
    <w:uiPriority w:val="0"/>
    <w:pPr>
      <w:ind w:firstLine="420" w:firstLineChars="200"/>
    </w:pPr>
    <w:rPr>
      <w:rFonts w:ascii="Calibri" w:hAnsi="Calibri"/>
      <w:szCs w:val="22"/>
    </w:rPr>
  </w:style>
  <w:style w:type="character" w:customStyle="1" w:styleId="73">
    <w:name w:val="正文文本 Char"/>
    <w:basedOn w:val="34"/>
    <w:link w:val="3"/>
    <w:qFormat/>
    <w:uiPriority w:val="0"/>
  </w:style>
  <w:style w:type="character" w:customStyle="1" w:styleId="74">
    <w:name w:val="apple-converted-space"/>
    <w:basedOn w:val="34"/>
    <w:autoRedefine/>
    <w:qFormat/>
    <w:uiPriority w:val="0"/>
  </w:style>
  <w:style w:type="character" w:customStyle="1" w:styleId="75">
    <w:name w:val="文档结构图 Char"/>
    <w:link w:val="11"/>
    <w:autoRedefine/>
    <w:qFormat/>
    <w:uiPriority w:val="0"/>
    <w:rPr>
      <w:rFonts w:ascii="宋体"/>
      <w:kern w:val="2"/>
      <w:sz w:val="18"/>
      <w:szCs w:val="18"/>
    </w:rPr>
  </w:style>
  <w:style w:type="character" w:customStyle="1" w:styleId="76">
    <w:name w:val="不明显强调1"/>
    <w:autoRedefine/>
    <w:qFormat/>
    <w:uiPriority w:val="19"/>
    <w:rPr>
      <w:i/>
      <w:iCs/>
      <w:color w:val="7F7F7F"/>
      <w:szCs w:val="24"/>
    </w:rPr>
  </w:style>
  <w:style w:type="character" w:customStyle="1" w:styleId="77">
    <w:name w:val="font71"/>
    <w:autoRedefine/>
    <w:qFormat/>
    <w:uiPriority w:val="0"/>
    <w:rPr>
      <w:rFonts w:hint="eastAsia" w:ascii="宋体" w:hAnsi="宋体" w:eastAsia="宋体" w:cs="宋体"/>
      <w:color w:val="000000"/>
      <w:sz w:val="28"/>
      <w:szCs w:val="28"/>
      <w:u w:val="none"/>
    </w:rPr>
  </w:style>
  <w:style w:type="character" w:customStyle="1" w:styleId="78">
    <w:name w:val="font21"/>
    <w:autoRedefine/>
    <w:qFormat/>
    <w:uiPriority w:val="0"/>
    <w:rPr>
      <w:rFonts w:hint="default" w:ascii="Calibri" w:hAnsi="Calibri" w:cs="Calibri"/>
      <w:color w:val="000000"/>
      <w:sz w:val="28"/>
      <w:szCs w:val="28"/>
      <w:u w:val="none"/>
    </w:rPr>
  </w:style>
  <w:style w:type="character" w:customStyle="1" w:styleId="79">
    <w:name w:val="17"/>
    <w:autoRedefine/>
    <w:qFormat/>
    <w:uiPriority w:val="0"/>
    <w:rPr>
      <w:rFonts w:hint="eastAsia" w:ascii="宋体" w:hAnsi="宋体" w:eastAsia="宋体"/>
      <w:color w:val="000000"/>
    </w:rPr>
  </w:style>
  <w:style w:type="character" w:customStyle="1" w:styleId="80">
    <w:name w:val="font91"/>
    <w:autoRedefine/>
    <w:qFormat/>
    <w:uiPriority w:val="0"/>
    <w:rPr>
      <w:rFonts w:hint="eastAsia" w:ascii="宋体" w:hAnsi="宋体" w:eastAsia="宋体" w:cs="宋体"/>
      <w:color w:val="FF0000"/>
      <w:sz w:val="28"/>
      <w:szCs w:val="28"/>
      <w:u w:val="none"/>
    </w:rPr>
  </w:style>
  <w:style w:type="paragraph" w:customStyle="1" w:styleId="81">
    <w:name w:val="p"/>
    <w:basedOn w:val="1"/>
    <w:autoRedefine/>
    <w:qFormat/>
    <w:uiPriority w:val="0"/>
    <w:pPr>
      <w:widowControl/>
      <w:spacing w:line="432" w:lineRule="auto"/>
      <w:jc w:val="left"/>
    </w:pPr>
    <w:rPr>
      <w:rFonts w:ascii="宋体" w:hAnsi="宋体" w:cs="宋体"/>
      <w:kern w:val="0"/>
      <w:sz w:val="24"/>
    </w:rPr>
  </w:style>
  <w:style w:type="paragraph" w:customStyle="1" w:styleId="82">
    <w:name w:val="WPSOffice手动目录 1"/>
    <w:autoRedefine/>
    <w:qFormat/>
    <w:uiPriority w:val="0"/>
    <w:rPr>
      <w:rFonts w:ascii="Times New Roman" w:hAnsi="Times New Roman" w:eastAsia="宋体" w:cs="Times New Roman"/>
      <w:lang w:val="en-US" w:eastAsia="zh-CN" w:bidi="ar-SA"/>
    </w:rPr>
  </w:style>
  <w:style w:type="paragraph" w:customStyle="1" w:styleId="83">
    <w:name w:val="*正文_1"/>
    <w:basedOn w:val="1"/>
    <w:next w:val="1"/>
    <w:qFormat/>
    <w:uiPriority w:val="0"/>
    <w:pPr>
      <w:widowControl/>
      <w:ind w:firstLine="482"/>
    </w:pPr>
    <w:rPr>
      <w:rFonts w:ascii="微软雅黑" w:hAnsi="微软雅黑" w:eastAsia="微软雅黑"/>
      <w:kern w:val="0"/>
      <w:szCs w:val="20"/>
    </w:rPr>
  </w:style>
  <w:style w:type="paragraph" w:customStyle="1" w:styleId="84">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5">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6">
    <w:name w:val="列表段落1"/>
    <w:basedOn w:val="1"/>
    <w:autoRedefine/>
    <w:qFormat/>
    <w:uiPriority w:val="34"/>
    <w:pPr>
      <w:widowControl/>
      <w:ind w:firstLine="420"/>
      <w:jc w:val="left"/>
    </w:pPr>
    <w:rPr>
      <w:kern w:val="0"/>
    </w:rPr>
  </w:style>
  <w:style w:type="paragraph" w:styleId="87">
    <w:name w:val="List Paragraph"/>
    <w:basedOn w:val="1"/>
    <w:autoRedefine/>
    <w:qFormat/>
    <w:uiPriority w:val="34"/>
    <w:pPr>
      <w:ind w:firstLine="420" w:firstLineChars="200"/>
    </w:pPr>
  </w:style>
  <w:style w:type="character" w:customStyle="1" w:styleId="88">
    <w:name w:val="hover18"/>
    <w:basedOn w:val="34"/>
    <w:autoRedefine/>
    <w:qFormat/>
    <w:uiPriority w:val="0"/>
  </w:style>
  <w:style w:type="table" w:customStyle="1" w:styleId="89">
    <w:name w:val="Table Normal"/>
    <w:autoRedefine/>
    <w:qFormat/>
    <w:uiPriority w:val="0"/>
    <w:tblPr>
      <w:tblCellMar>
        <w:top w:w="0" w:type="dxa"/>
        <w:left w:w="0" w:type="dxa"/>
        <w:bottom w:w="0" w:type="dxa"/>
        <w:right w:w="0" w:type="dxa"/>
      </w:tblCellMar>
    </w:tblPr>
  </w:style>
  <w:style w:type="character" w:customStyle="1" w:styleId="90">
    <w:name w:val="font01"/>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40</Pages>
  <Words>20731</Words>
  <Characters>21695</Characters>
  <Lines>50</Lines>
  <Paragraphs>68</Paragraphs>
  <TotalTime>1</TotalTime>
  <ScaleCrop>false</ScaleCrop>
  <LinksUpToDate>false</LinksUpToDate>
  <CharactersWithSpaces>22703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梧桐叶落</cp:lastModifiedBy>
  <cp:lastPrinted>2021-09-30T00:46:00Z</cp:lastPrinted>
  <dcterms:modified xsi:type="dcterms:W3CDTF">2024-01-24T09:45:20Z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477EB85513624192B33403137E7059A4_13</vt:lpwstr>
  </property>
</Properties>
</file>