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驻马店市中心医院危险废物处置服务项目（二次）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竞争性谈判采购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驻马店市中心医危险废物处置服务项目（二次）</w:t>
      </w:r>
      <w:r>
        <w:rPr>
          <w:rFonts w:hint="eastAsia" w:ascii="宋体" w:hAnsi="宋体" w:eastAsia="宋体" w:cs="宋体"/>
          <w:b/>
          <w:bCs w:val="0"/>
          <w:color w:val="auto"/>
          <w:kern w:val="0"/>
          <w:sz w:val="28"/>
          <w:szCs w:val="28"/>
          <w:u w:val="none"/>
          <w:lang w:val="en-US" w:eastAsia="zh-CN"/>
        </w:rPr>
        <w:t>竞争性</w:t>
      </w:r>
      <w:r>
        <w:rPr>
          <w:rFonts w:hint="eastAsia" w:ascii="宋体" w:hAnsi="宋体" w:cs="宋体"/>
          <w:b/>
          <w:bCs w:val="0"/>
          <w:color w:val="auto"/>
          <w:kern w:val="0"/>
          <w:sz w:val="28"/>
          <w:szCs w:val="28"/>
          <w:u w:val="none"/>
          <w:lang w:val="en-US" w:eastAsia="zh-CN"/>
        </w:rPr>
        <w:t>谈判</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危险废物处置服务 </w:t>
      </w:r>
      <w:r>
        <w:rPr>
          <w:rFonts w:hint="eastAsia" w:ascii="宋体" w:hAnsi="宋体" w:eastAsia="宋体" w:cs="宋体"/>
          <w:color w:val="auto"/>
        </w:rPr>
        <w:t>进行院内</w:t>
      </w:r>
      <w:r>
        <w:rPr>
          <w:rFonts w:hint="eastAsia" w:ascii="宋体" w:hAnsi="宋体" w:eastAsia="宋体" w:cs="宋体"/>
          <w:color w:val="auto"/>
          <w:lang w:val="en-US" w:eastAsia="zh-CN"/>
        </w:rPr>
        <w:t>竞争性</w:t>
      </w:r>
      <w:r>
        <w:rPr>
          <w:rFonts w:hint="eastAsia" w:ascii="宋体" w:hAnsi="宋体" w:cs="宋体"/>
          <w:color w:val="auto"/>
          <w:lang w:val="en-US" w:eastAsia="zh-CN"/>
        </w:rPr>
        <w:t>谈判</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驻马店市中心医院危险废物处置服务项目（二次）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27万元（9万元/年）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cs="宋体"/>
          <w:color w:val="auto"/>
          <w:szCs w:val="21"/>
          <w:highlight w:val="none"/>
          <w:shd w:val="clear" w:color="auto" w:fill="FFFFFF"/>
          <w:lang w:val="en-US" w:eastAsia="zh-CN"/>
        </w:rPr>
        <w:t>3年，合同一年一签，经考核合格后续签一年，最多续签二年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6639"/>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7823"/>
      <w:bookmarkStart w:id="9" w:name="_Toc30643"/>
      <w:bookmarkStart w:id="10" w:name="_Toc9562"/>
      <w:bookmarkStart w:id="11" w:name="_Toc30971"/>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、具有《危险废物经营许可证》，核准经营危险废物类别具备国家危险废物名录中危险废物类别代码HW01（841-004-01</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auto"/>
          <w:sz w:val="21"/>
          <w:szCs w:val="21"/>
          <w:u w:val="none"/>
          <w:vertAlign w:val="baseline"/>
          <w:lang w:val="en-US" w:eastAsia="zh-CN"/>
        </w:rPr>
        <w:t>HW49</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lang w:val="en-US" w:eastAsia="zh-CN" w:bidi="ar-SA"/>
          <w14:textFill>
            <w14:solidFill>
              <w14:schemeClr w14:val="tx1"/>
            </w14:solidFill>
          </w14:textFill>
        </w:rPr>
        <w:t>900-046-49、900-039-49）的资质。</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 xml:space="preserve">、不接受联合体投标。  </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w:t>
      </w:r>
      <w:r>
        <w:rPr>
          <w:rFonts w:hint="eastAsia" w:ascii="宋体" w:hAnsi="宋体" w:eastAsia="宋体" w:cs="宋体"/>
          <w:color w:val="000000" w:themeColor="text1"/>
          <w:szCs w:val="21"/>
          <w:shd w:val="clear" w:color="auto" w:fill="FFFFFF"/>
          <w14:textFill>
            <w14:solidFill>
              <w14:schemeClr w14:val="tx1"/>
            </w14:solidFill>
          </w14:textFill>
        </w:rPr>
        <w:t>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35"/>
      <w:bookmarkStart w:id="14" w:name="_Toc15111"/>
      <w:bookmarkStart w:id="15" w:name="_Toc27480"/>
      <w:bookmarkStart w:id="16" w:name="_Toc10738"/>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6523"/>
      <w:bookmarkStart w:id="20" w:name="_Toc20287"/>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27370"/>
      <w:bookmarkStart w:id="27" w:name="_Toc3604"/>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01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19</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31536"/>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w:t>
      </w:r>
      <w:r>
        <w:rPr>
          <w:rFonts w:hint="eastAsia" w:ascii="宋体" w:hAnsi="宋体" w:cs="宋体"/>
          <w:i w:val="0"/>
          <w:iCs/>
          <w:sz w:val="21"/>
          <w:szCs w:val="21"/>
          <w:highlight w:val="none"/>
          <w:u w:val="none"/>
          <w:lang w:val="en-US" w:eastAsia="zh-CN"/>
        </w:rPr>
        <w:t>驻马店市中心医院危险废物处置服务项目（二次）</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服务范围：对</w:t>
      </w:r>
      <w:r>
        <w:rPr>
          <w:rFonts w:hint="eastAsia" w:ascii="宋体" w:hAnsi="宋体" w:cs="宋体"/>
          <w:b w:val="0"/>
          <w:bCs w:val="0"/>
          <w:kern w:val="2"/>
          <w:sz w:val="21"/>
          <w:szCs w:val="21"/>
          <w:highlight w:val="none"/>
          <w:u w:val="none"/>
          <w:lang w:val="en-US" w:eastAsia="zh-CN" w:bidi="ar-SA"/>
        </w:rPr>
        <w:t>中心院区、妇儿院区进行危险废物处置</w:t>
      </w:r>
      <w:r>
        <w:rPr>
          <w:rFonts w:hint="eastAsia" w:ascii="宋体" w:hAnsi="宋体" w:eastAsia="宋体" w:cs="宋体"/>
          <w:b w:val="0"/>
          <w:bCs w:val="0"/>
          <w:kern w:val="2"/>
          <w:sz w:val="21"/>
          <w:szCs w:val="21"/>
          <w:highlight w:val="none"/>
          <w:u w:val="none"/>
          <w:lang w:val="en-US" w:eastAsia="zh-CN" w:bidi="ar-SA"/>
        </w:rPr>
        <w:t>。</w:t>
      </w:r>
    </w:p>
    <w:p>
      <w:pPr>
        <w:pStyle w:val="14"/>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二、采购标的清单：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2"/>
        <w:gridCol w:w="5"/>
        <w:gridCol w:w="2244"/>
        <w:gridCol w:w="5"/>
        <w:gridCol w:w="857"/>
        <w:gridCol w:w="826"/>
        <w:gridCol w:w="1494"/>
        <w:gridCol w:w="878"/>
        <w:gridCol w:w="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包号</w:t>
            </w:r>
          </w:p>
        </w:tc>
        <w:tc>
          <w:tcPr>
            <w:tcW w:w="972"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序号</w:t>
            </w:r>
          </w:p>
        </w:tc>
        <w:tc>
          <w:tcPr>
            <w:tcW w:w="2249"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标的名称</w:t>
            </w:r>
          </w:p>
        </w:tc>
        <w:tc>
          <w:tcPr>
            <w:tcW w:w="862"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单位</w:t>
            </w:r>
          </w:p>
        </w:tc>
        <w:tc>
          <w:tcPr>
            <w:tcW w:w="826"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数量</w:t>
            </w:r>
          </w:p>
        </w:tc>
        <w:tc>
          <w:tcPr>
            <w:tcW w:w="1494"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预算</w:t>
            </w:r>
          </w:p>
        </w:tc>
        <w:tc>
          <w:tcPr>
            <w:tcW w:w="878"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性质</w:t>
            </w:r>
          </w:p>
        </w:tc>
        <w:tc>
          <w:tcPr>
            <w:tcW w:w="1218"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9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224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危险废物处置服务</w:t>
            </w:r>
          </w:p>
        </w:tc>
        <w:tc>
          <w:tcPr>
            <w:tcW w:w="86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年</w:t>
            </w:r>
          </w:p>
        </w:tc>
        <w:tc>
          <w:tcPr>
            <w:tcW w:w="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9万元</w:t>
            </w:r>
          </w:p>
        </w:tc>
        <w:tc>
          <w:tcPr>
            <w:tcW w:w="8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自筹</w:t>
            </w:r>
          </w:p>
        </w:tc>
        <w:tc>
          <w:tcPr>
            <w:tcW w:w="121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224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8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年</w:t>
            </w:r>
          </w:p>
        </w:tc>
        <w:tc>
          <w:tcPr>
            <w:tcW w:w="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4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27万元</w:t>
            </w:r>
          </w:p>
        </w:tc>
        <w:tc>
          <w:tcPr>
            <w:tcW w:w="88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c>
          <w:tcPr>
            <w:tcW w:w="12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c>
          <w:tcPr>
            <w:tcW w:w="7527"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合同一年一签，经考核合格后续签一年，最多续签二年</w:t>
            </w:r>
          </w:p>
        </w:tc>
      </w:tr>
    </w:tbl>
    <w:p>
      <w:pPr>
        <w:pStyle w:val="14"/>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cs="宋体"/>
          <w:kern w:val="2"/>
          <w:sz w:val="21"/>
          <w:szCs w:val="24"/>
          <w:lang w:val="en-US" w:eastAsia="zh-CN" w:bidi="ar-SA"/>
        </w:rPr>
      </w:pPr>
    </w:p>
    <w:p>
      <w:pPr>
        <w:pStyle w:val="14"/>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三</w:t>
      </w:r>
      <w:r>
        <w:rPr>
          <w:rFonts w:hint="eastAsia" w:ascii="宋体" w:hAnsi="宋体" w:eastAsia="宋体" w:cs="宋体"/>
          <w:kern w:val="2"/>
          <w:sz w:val="21"/>
          <w:szCs w:val="24"/>
          <w:lang w:val="en-US" w:eastAsia="zh-CN" w:bidi="ar-SA"/>
        </w:rPr>
        <w:t>、</w:t>
      </w:r>
      <w:r>
        <w:rPr>
          <w:rFonts w:hint="eastAsia" w:cs="宋体"/>
          <w:kern w:val="2"/>
          <w:sz w:val="21"/>
          <w:szCs w:val="24"/>
          <w:lang w:val="en-US" w:eastAsia="zh-CN" w:bidi="ar-SA"/>
        </w:rPr>
        <w:t>技术商务要求</w:t>
      </w:r>
      <w:r>
        <w:rPr>
          <w:rFonts w:hint="eastAsia" w:ascii="宋体" w:hAnsi="宋体" w:eastAsia="宋体" w:cs="宋体"/>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（1）服务内容及控制价见附件1。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（2）供应商须提供固体废物物联网系统上传所需要的各种资质、合同、运输许可证等。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（3）危险废物转运，运费由乙方承担。车辆必须到达甲方指定地点。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val="0"/>
          <w:i w:val="0"/>
          <w:iCs/>
          <w:sz w:val="21"/>
          <w:szCs w:val="21"/>
          <w:u w:val="none"/>
          <w:lang w:val="en-US" w:eastAsia="zh-CN"/>
        </w:rPr>
      </w:pPr>
      <w:r>
        <w:rPr>
          <w:rFonts w:hint="eastAsia" w:ascii="宋体" w:hAnsi="宋体" w:cs="宋体"/>
          <w:b w:val="0"/>
          <w:bCs w:val="0"/>
          <w:i w:val="0"/>
          <w:iCs/>
          <w:sz w:val="21"/>
          <w:szCs w:val="21"/>
          <w:u w:val="none"/>
          <w:lang w:val="en-US" w:eastAsia="zh-CN"/>
        </w:rPr>
        <w:t xml:space="preserve">（4）接到甲方通知后，供应商须48小时内完成危险废物转运。如果延误转运，由乙方协调生态环境部门重新审核通过。                        </w:t>
      </w:r>
    </w:p>
    <w:p>
      <w:pPr>
        <w:pStyle w:val="14"/>
        <w:keepNext w:val="0"/>
        <w:keepLines w:val="0"/>
        <w:pageBreakBefore w:val="0"/>
        <w:widowControl/>
        <w:kinsoku/>
        <w:wordWrap/>
        <w:overflowPunct/>
        <w:topLinePunct w:val="0"/>
        <w:autoSpaceDE/>
        <w:autoSpaceDN/>
        <w:bidi w:val="0"/>
        <w:adjustRightInd/>
        <w:snapToGrid w:val="0"/>
        <w:spacing w:beforeAutospacing="0" w:afterAutospacing="0"/>
        <w:ind w:left="0" w:leftChars="0" w:firstLine="0" w:firstLineChars="0"/>
        <w:textAlignment w:val="auto"/>
        <w:rPr>
          <w:rFonts w:hint="eastAsia" w:ascii="仿宋" w:hAnsi="仿宋" w:eastAsia="仿宋" w:cs="仿宋"/>
          <w:b/>
          <w:bCs/>
          <w:color w:val="auto"/>
          <w:sz w:val="28"/>
          <w:szCs w:val="28"/>
          <w:u w:val="none"/>
          <w:lang w:val="en-US" w:eastAsia="zh-CN"/>
        </w:rPr>
      </w:pPr>
    </w:p>
    <w:p>
      <w:pPr>
        <w:pStyle w:val="14"/>
        <w:keepNext w:val="0"/>
        <w:keepLines w:val="0"/>
        <w:pageBreakBefore w:val="0"/>
        <w:widowControl/>
        <w:kinsoku/>
        <w:wordWrap/>
        <w:overflowPunct/>
        <w:topLinePunct w:val="0"/>
        <w:autoSpaceDE/>
        <w:autoSpaceDN/>
        <w:bidi w:val="0"/>
        <w:adjustRightInd/>
        <w:snapToGrid w:val="0"/>
        <w:spacing w:beforeAutospacing="0" w:afterAutospacing="0"/>
        <w:ind w:left="0" w:leftChars="0" w:firstLine="0" w:firstLineChars="0"/>
        <w:textAlignment w:val="auto"/>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附件1</w:t>
      </w:r>
    </w:p>
    <w:p>
      <w:pPr>
        <w:pStyle w:val="15"/>
        <w:jc w:val="center"/>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危险废物处置服务清单</w:t>
      </w:r>
    </w:p>
    <w:p>
      <w:pPr>
        <w:pStyle w:val="15"/>
        <w:jc w:val="center"/>
        <w:rPr>
          <w:rFonts w:hint="eastAsia" w:ascii="仿宋" w:hAnsi="仿宋" w:eastAsia="仿宋" w:cs="仿宋"/>
          <w:color w:val="auto"/>
          <w:sz w:val="32"/>
          <w:szCs w:val="32"/>
          <w:u w:val="none"/>
          <w:lang w:val="en-US" w:eastAsia="zh-CN"/>
        </w:rPr>
      </w:pPr>
    </w:p>
    <w:tbl>
      <w:tblPr>
        <w:tblStyle w:val="3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995"/>
        <w:gridCol w:w="1260"/>
        <w:gridCol w:w="1905"/>
        <w:gridCol w:w="1115"/>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序号</w:t>
            </w:r>
          </w:p>
        </w:tc>
        <w:tc>
          <w:tcPr>
            <w:tcW w:w="199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危险废物名称</w:t>
            </w:r>
          </w:p>
        </w:tc>
        <w:tc>
          <w:tcPr>
            <w:tcW w:w="1260"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危废类别</w:t>
            </w:r>
          </w:p>
        </w:tc>
        <w:tc>
          <w:tcPr>
            <w:tcW w:w="190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代码</w:t>
            </w:r>
          </w:p>
        </w:tc>
        <w:tc>
          <w:tcPr>
            <w:tcW w:w="111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单位</w:t>
            </w:r>
          </w:p>
        </w:tc>
        <w:tc>
          <w:tcPr>
            <w:tcW w:w="182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1</w:t>
            </w:r>
          </w:p>
        </w:tc>
        <w:tc>
          <w:tcPr>
            <w:tcW w:w="199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实验室废液</w:t>
            </w:r>
          </w:p>
        </w:tc>
        <w:tc>
          <w:tcPr>
            <w:tcW w:w="1260"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HW01</w:t>
            </w:r>
          </w:p>
        </w:tc>
        <w:tc>
          <w:tcPr>
            <w:tcW w:w="190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841-004-01</w:t>
            </w:r>
          </w:p>
        </w:tc>
        <w:tc>
          <w:tcPr>
            <w:tcW w:w="111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公斤</w:t>
            </w:r>
          </w:p>
        </w:tc>
        <w:tc>
          <w:tcPr>
            <w:tcW w:w="182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2</w:t>
            </w:r>
          </w:p>
        </w:tc>
        <w:tc>
          <w:tcPr>
            <w:tcW w:w="199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污泥</w:t>
            </w:r>
          </w:p>
        </w:tc>
        <w:tc>
          <w:tcPr>
            <w:tcW w:w="1260"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HW49</w:t>
            </w:r>
          </w:p>
        </w:tc>
        <w:tc>
          <w:tcPr>
            <w:tcW w:w="190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900-046-49</w:t>
            </w:r>
          </w:p>
        </w:tc>
        <w:tc>
          <w:tcPr>
            <w:tcW w:w="111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公斤</w:t>
            </w:r>
          </w:p>
        </w:tc>
        <w:tc>
          <w:tcPr>
            <w:tcW w:w="182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3</w:t>
            </w:r>
          </w:p>
        </w:tc>
        <w:tc>
          <w:tcPr>
            <w:tcW w:w="199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废活性炭</w:t>
            </w:r>
          </w:p>
        </w:tc>
        <w:tc>
          <w:tcPr>
            <w:tcW w:w="1260"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HW49</w:t>
            </w:r>
          </w:p>
        </w:tc>
        <w:tc>
          <w:tcPr>
            <w:tcW w:w="190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900-039-49</w:t>
            </w:r>
          </w:p>
        </w:tc>
        <w:tc>
          <w:tcPr>
            <w:tcW w:w="111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公斤</w:t>
            </w:r>
          </w:p>
        </w:tc>
        <w:tc>
          <w:tcPr>
            <w:tcW w:w="1825" w:type="dxa"/>
            <w:vAlign w:val="center"/>
          </w:tcPr>
          <w:p>
            <w:pPr>
              <w:pStyle w:val="15"/>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4</w:t>
            </w:r>
          </w:p>
        </w:tc>
      </w:tr>
    </w:tbl>
    <w:p>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 xml:space="preserve">             </w:t>
      </w:r>
    </w:p>
    <w:p>
      <w:pPr>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br w:type="page"/>
      </w:r>
    </w:p>
    <w:p>
      <w:pPr>
        <w:pStyle w:val="3"/>
        <w:rPr>
          <w:rFonts w:hint="default"/>
          <w:lang w:val="en-US" w:eastAsia="zh-CN"/>
        </w:rPr>
      </w:pPr>
    </w:p>
    <w:p>
      <w:pPr>
        <w:ind w:firstLine="4216" w:firstLineChars="1400"/>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3年。合同一年一签，经考核合格后可续签一年，最多续签二年。。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每次完成转移、处置后，根据实际重量，凭电子联单据实结算费用。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驻马店市中心医院危险废物处置服务项目（二次）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27万元/3年</w:t>
            </w:r>
            <w:r>
              <w:rPr>
                <w:rFonts w:hint="eastAsia" w:ascii="宋体" w:hAnsi="宋体" w:cs="宋体"/>
                <w:color w:val="auto"/>
                <w:kern w:val="0"/>
                <w:szCs w:val="21"/>
                <w:highlight w:val="none"/>
                <w:lang w:eastAsia="zh-CN"/>
              </w:rPr>
              <w:t>；</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谈判</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27万元（9万元/年）</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：27万元（9万元/年）</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 xml:space="preserve">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 xml:space="preserve">4.3 </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4.4 </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4.5 </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具有《危险废物经营许可证》，核准经营危险废物类别具备国家危险废物名录中危险废物类别代码HW01</w:t>
      </w:r>
      <w:bookmarkStart w:id="85" w:name="_GoBack"/>
      <w:bookmarkEnd w:id="85"/>
      <w:r>
        <w:rPr>
          <w:rFonts w:hint="eastAsia" w:ascii="宋体" w:hAnsi="宋体" w:eastAsia="宋体" w:cs="宋体"/>
          <w:color w:val="000000" w:themeColor="text1"/>
          <w:kern w:val="2"/>
          <w:sz w:val="21"/>
          <w:szCs w:val="24"/>
          <w:lang w:val="en-US" w:eastAsia="zh-CN" w:bidi="ar-SA"/>
          <w14:textFill>
            <w14:solidFill>
              <w14:schemeClr w14:val="tx1"/>
            </w14:solidFill>
          </w14:textFill>
        </w:rPr>
        <w:t>（841-004-01</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auto"/>
          <w:sz w:val="21"/>
          <w:szCs w:val="21"/>
          <w:u w:val="none"/>
          <w:vertAlign w:val="baseline"/>
          <w:lang w:val="en-US" w:eastAsia="zh-CN"/>
        </w:rPr>
        <w:t>HW49</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lang w:val="en-US" w:eastAsia="zh-CN" w:bidi="ar-SA"/>
          <w14:textFill>
            <w14:solidFill>
              <w14:schemeClr w14:val="tx1"/>
            </w14:solidFill>
          </w14:textFill>
        </w:rPr>
        <w:t>900-046-49、900-039-49）的资质。</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4.6 </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谈判</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谈判</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谈判</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文件规定的评标方法与标准，对资格性检查和符合性检查合格的供应商，进入本次谈判程序。</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.3本次谈判进行2 轮次（不</w:t>
      </w:r>
      <w:r>
        <w:rPr>
          <w:rFonts w:hint="eastAsia" w:ascii="宋体" w:hAnsi="宋体" w:cs="宋体"/>
          <w:color w:val="auto"/>
          <w:sz w:val="21"/>
          <w:szCs w:val="21"/>
          <w:highlight w:val="none"/>
          <w:lang w:val="en-US" w:eastAsia="zh-CN"/>
        </w:rPr>
        <w:t>低于</w:t>
      </w:r>
      <w:r>
        <w:rPr>
          <w:rFonts w:hint="eastAsia" w:ascii="宋体" w:hAnsi="宋体" w:cs="宋体"/>
          <w:color w:val="auto"/>
          <w:sz w:val="21"/>
          <w:szCs w:val="21"/>
          <w:highlight w:val="none"/>
        </w:rPr>
        <w:t>2轮次）报价，并给予每个供应商相同的机会。响应文件报价为第一轮报价，以后轮次报价不得高于上一轮次报价（除谈判文件有实质性变动外），否则将被视为未实质性响应竞争性谈判文件。谈判二次报价时限由谈判小组根据项目实际情况设定，供应商应在规定的时限内将二次报价递交给谈判小组，逾期系统判定供应商放弃二轮报价,视为无效响应。</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6"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6"/>
    <w:p>
      <w:pPr>
        <w:rPr>
          <w:color w:val="auto"/>
          <w:highlight w:val="none"/>
        </w:rPr>
      </w:pPr>
      <w:bookmarkStart w:id="37" w:name="_Toc4700"/>
      <w:bookmarkStart w:id="38" w:name="_Toc16669"/>
      <w:r>
        <w:rPr>
          <w:color w:val="auto"/>
          <w:highlight w:val="none"/>
        </w:rPr>
        <w:br w:type="page"/>
      </w:r>
    </w:p>
    <w:p>
      <w:pPr>
        <w:pStyle w:val="3"/>
        <w:snapToGrid w:val="0"/>
        <w:spacing w:before="0" w:after="0" w:line="480" w:lineRule="auto"/>
        <w:jc w:val="center"/>
        <w:rPr>
          <w:color w:val="auto"/>
          <w:sz w:val="28"/>
          <w:szCs w:val="28"/>
          <w:highlight w:val="yellow"/>
        </w:rPr>
      </w:pPr>
      <w:bookmarkStart w:id="39" w:name="_Toc9022"/>
      <w:r>
        <w:rPr>
          <w:rFonts w:hint="eastAsia" w:ascii="黑体" w:hAnsi="宋体" w:eastAsia="黑体" w:cs="宋体"/>
          <w:b/>
          <w:bCs/>
          <w:color w:val="auto"/>
          <w:kern w:val="0"/>
          <w:sz w:val="32"/>
          <w:szCs w:val="32"/>
          <w:highlight w:val="none"/>
        </w:rPr>
        <w:t xml:space="preserve">第四章  </w:t>
      </w:r>
      <w:bookmarkEnd w:id="37"/>
      <w:bookmarkEnd w:id="38"/>
      <w:bookmarkEnd w:id="39"/>
      <w:bookmarkStart w:id="40" w:name="_Toc28988"/>
      <w:bookmarkStart w:id="41" w:name="_Toc1947"/>
      <w:bookmarkStart w:id="42" w:name="_Toc1482"/>
      <w:bookmarkStart w:id="43" w:name="_Toc256519703"/>
      <w:bookmarkStart w:id="44" w:name="_Toc326786897"/>
      <w:r>
        <w:rPr>
          <w:rFonts w:hint="eastAsia"/>
          <w:color w:val="auto"/>
          <w:sz w:val="28"/>
          <w:szCs w:val="28"/>
          <w:highlight w:val="none"/>
        </w:rPr>
        <w:t>采购合同</w:t>
      </w:r>
      <w:bookmarkEnd w:id="4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45" w:name="_Toc2638"/>
      <w:r>
        <w:rPr>
          <w:rFonts w:hint="eastAsia"/>
          <w:color w:val="auto"/>
          <w:sz w:val="32"/>
          <w:szCs w:val="32"/>
          <w:highlight w:val="none"/>
        </w:rPr>
        <w:t>第</w:t>
      </w:r>
      <w:r>
        <w:rPr>
          <w:rFonts w:hint="eastAsia"/>
          <w:color w:val="auto"/>
          <w:sz w:val="32"/>
          <w:szCs w:val="32"/>
          <w:highlight w:val="none"/>
          <w:lang w:val="en-US" w:eastAsia="zh-CN"/>
        </w:rPr>
        <w:t>五</w:t>
      </w:r>
      <w:r>
        <w:rPr>
          <w:rFonts w:hint="eastAsia"/>
          <w:color w:val="auto"/>
          <w:sz w:val="32"/>
          <w:szCs w:val="32"/>
          <w:highlight w:val="none"/>
        </w:rPr>
        <w:t>章  投标文件格式</w:t>
      </w:r>
      <w:bookmarkEnd w:id="41"/>
      <w:bookmarkEnd w:id="42"/>
      <w:bookmarkEnd w:id="45"/>
    </w:p>
    <w:p>
      <w:pPr>
        <w:spacing w:line="440" w:lineRule="exact"/>
        <w:rPr>
          <w:color w:val="auto"/>
          <w:sz w:val="24"/>
          <w:highlight w:val="none"/>
        </w:rPr>
      </w:pPr>
    </w:p>
    <w:p>
      <w:pPr>
        <w:jc w:val="center"/>
        <w:rPr>
          <w:b/>
          <w:bCs/>
          <w:color w:val="auto"/>
          <w:sz w:val="32"/>
          <w:szCs w:val="32"/>
          <w:highlight w:val="none"/>
        </w:rPr>
      </w:pPr>
      <w:bookmarkStart w:id="46" w:name="_Toc13604"/>
      <w:r>
        <w:rPr>
          <w:rFonts w:hint="eastAsia"/>
          <w:b/>
          <w:bCs/>
          <w:color w:val="auto"/>
          <w:sz w:val="32"/>
          <w:szCs w:val="32"/>
          <w:highlight w:val="none"/>
        </w:rPr>
        <w:t>目    录</w:t>
      </w:r>
      <w:bookmarkEnd w:id="46"/>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7" w:name="_Toc11308"/>
      <w:r>
        <w:rPr>
          <w:rFonts w:hint="eastAsia"/>
          <w:color w:val="auto"/>
          <w:sz w:val="24"/>
          <w:highlight w:val="none"/>
        </w:rPr>
        <w:t>附件1投标文件封面（格式）</w:t>
      </w:r>
      <w:bookmarkEnd w:id="47"/>
    </w:p>
    <w:p>
      <w:pPr>
        <w:snapToGrid w:val="0"/>
        <w:spacing w:line="360" w:lineRule="auto"/>
        <w:ind w:firstLine="480" w:firstLineChars="200"/>
        <w:rPr>
          <w:color w:val="auto"/>
          <w:sz w:val="24"/>
          <w:highlight w:val="none"/>
        </w:rPr>
      </w:pPr>
      <w:bookmarkStart w:id="48" w:name="_Toc25345"/>
      <w:r>
        <w:rPr>
          <w:rFonts w:hint="eastAsia"/>
          <w:color w:val="auto"/>
          <w:sz w:val="24"/>
          <w:highlight w:val="none"/>
        </w:rPr>
        <w:t>附件2 投标书（格式）</w:t>
      </w:r>
      <w:bookmarkEnd w:id="48"/>
    </w:p>
    <w:p>
      <w:pPr>
        <w:snapToGrid w:val="0"/>
        <w:spacing w:line="360" w:lineRule="auto"/>
        <w:ind w:firstLine="480" w:firstLineChars="200"/>
        <w:rPr>
          <w:color w:val="auto"/>
          <w:sz w:val="24"/>
          <w:highlight w:val="none"/>
        </w:rPr>
      </w:pPr>
      <w:bookmarkStart w:id="49" w:name="_Toc10217"/>
      <w:r>
        <w:rPr>
          <w:rFonts w:hint="eastAsia"/>
          <w:color w:val="auto"/>
          <w:sz w:val="24"/>
          <w:highlight w:val="none"/>
        </w:rPr>
        <w:t>附件3 开标一览表（格式）</w:t>
      </w:r>
      <w:bookmarkEnd w:id="49"/>
    </w:p>
    <w:p>
      <w:pPr>
        <w:snapToGrid w:val="0"/>
        <w:spacing w:line="360" w:lineRule="auto"/>
        <w:ind w:firstLine="480" w:firstLineChars="200"/>
        <w:rPr>
          <w:rFonts w:hint="default"/>
          <w:color w:val="auto"/>
          <w:sz w:val="24"/>
          <w:highlight w:val="none"/>
          <w:lang w:val="en-US"/>
        </w:rPr>
      </w:pPr>
      <w:bookmarkStart w:id="50" w:name="_Toc9579"/>
      <w:r>
        <w:rPr>
          <w:rFonts w:hint="eastAsia"/>
          <w:color w:val="auto"/>
          <w:sz w:val="24"/>
          <w:highlight w:val="none"/>
        </w:rPr>
        <w:t xml:space="preserve">附件4 </w:t>
      </w:r>
      <w:bookmarkEnd w:id="50"/>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1"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1"/>
    </w:p>
    <w:p>
      <w:pPr>
        <w:snapToGrid w:val="0"/>
        <w:spacing w:line="360" w:lineRule="auto"/>
        <w:ind w:firstLine="480" w:firstLineChars="200"/>
        <w:rPr>
          <w:rFonts w:hint="eastAsia" w:eastAsia="宋体"/>
          <w:color w:val="auto"/>
          <w:sz w:val="24"/>
          <w:highlight w:val="none"/>
          <w:lang w:val="en-US" w:eastAsia="zh-CN"/>
        </w:rPr>
      </w:pPr>
      <w:bookmarkStart w:id="52" w:name="_Toc6234"/>
      <w:r>
        <w:rPr>
          <w:rFonts w:hint="eastAsia"/>
          <w:color w:val="auto"/>
          <w:sz w:val="24"/>
          <w:highlight w:val="none"/>
        </w:rPr>
        <w:t>附件6 商务</w:t>
      </w:r>
      <w:bookmarkEnd w:id="52"/>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3"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3"/>
    </w:p>
    <w:p>
      <w:pPr>
        <w:snapToGrid w:val="0"/>
        <w:spacing w:line="360" w:lineRule="auto"/>
        <w:ind w:firstLine="480" w:firstLineChars="200"/>
        <w:rPr>
          <w:color w:val="auto"/>
          <w:sz w:val="24"/>
          <w:highlight w:val="none"/>
        </w:rPr>
      </w:pPr>
      <w:bookmarkStart w:id="54"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4"/>
    </w:p>
    <w:p>
      <w:pPr>
        <w:snapToGrid w:val="0"/>
        <w:spacing w:line="360" w:lineRule="auto"/>
        <w:ind w:firstLine="480" w:firstLineChars="200"/>
        <w:rPr>
          <w:color w:val="auto"/>
          <w:sz w:val="24"/>
          <w:highlight w:val="none"/>
        </w:rPr>
      </w:pPr>
      <w:bookmarkStart w:id="55" w:name="_Toc31857"/>
      <w:r>
        <w:rPr>
          <w:rFonts w:hint="eastAsia"/>
          <w:color w:val="auto"/>
          <w:sz w:val="24"/>
          <w:highlight w:val="none"/>
        </w:rPr>
        <w:t>附件9 证明文件</w:t>
      </w:r>
      <w:bookmarkEnd w:id="55"/>
    </w:p>
    <w:p>
      <w:pPr>
        <w:snapToGrid w:val="0"/>
        <w:spacing w:line="360" w:lineRule="auto"/>
        <w:ind w:firstLine="480" w:firstLineChars="200"/>
        <w:rPr>
          <w:rFonts w:hint="eastAsia"/>
          <w:color w:val="auto"/>
          <w:sz w:val="24"/>
          <w:highlight w:val="none"/>
        </w:rPr>
      </w:pPr>
      <w:bookmarkStart w:id="56" w:name="_Toc23116"/>
      <w:r>
        <w:rPr>
          <w:rFonts w:hint="eastAsia"/>
          <w:color w:val="auto"/>
          <w:sz w:val="24"/>
          <w:highlight w:val="none"/>
        </w:rPr>
        <w:t>附件10 供应商承诺书（格式）</w:t>
      </w:r>
      <w:bookmarkEnd w:id="56"/>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13"/>
        <w:rPr>
          <w:rFonts w:hAnsi="宋体"/>
          <w:b/>
          <w:bCs/>
          <w:color w:val="auto"/>
          <w:highlight w:val="none"/>
        </w:rPr>
      </w:pPr>
    </w:p>
    <w:p>
      <w:pPr>
        <w:pStyle w:val="13"/>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4"/>
        <w:rPr>
          <w:color w:val="auto"/>
          <w:highlight w:val="none"/>
        </w:rPr>
      </w:pPr>
      <w:bookmarkStart w:id="57" w:name="_Toc24743"/>
      <w:bookmarkStart w:id="58" w:name="_Toc31798"/>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3"/>
        <w:spacing w:line="360" w:lineRule="auto"/>
        <w:rPr>
          <w:rFonts w:hint="eastAsia" w:ascii="宋体" w:hAnsi="宋体" w:eastAsia="宋体" w:cs="宋体"/>
          <w:color w:val="auto"/>
          <w:highlight w:val="none"/>
        </w:rPr>
      </w:pPr>
    </w:p>
    <w:p>
      <w:pPr>
        <w:pStyle w:val="13"/>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59" w:name="_Toc14560"/>
      <w:bookmarkStart w:id="60" w:name="_Toc8818"/>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单价之和</w:t>
            </w:r>
            <w:r>
              <w:rPr>
                <w:rFonts w:hint="eastAsia" w:ascii="宋体" w:hAnsi="宋体"/>
                <w:color w:val="auto"/>
                <w:szCs w:val="21"/>
                <w:highlight w:val="none"/>
                <w:lang w:eastAsia="zh-CN"/>
              </w:rPr>
              <w:t>）</w:t>
            </w:r>
          </w:p>
        </w:tc>
        <w:tc>
          <w:tcPr>
            <w:tcW w:w="7708" w:type="dxa"/>
            <w:noWrap/>
            <w:vAlign w:val="center"/>
          </w:tcPr>
          <w:p>
            <w:pPr>
              <w:rPr>
                <w:rFonts w:hint="eastAsia" w:ascii="宋体" w:hAnsi="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2" w:name="_Toc20877"/>
      <w:bookmarkStart w:id="63"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2"/>
      <w:bookmarkEnd w:id="63"/>
    </w:p>
    <w:p>
      <w:pPr>
        <w:spacing w:line="360" w:lineRule="auto"/>
        <w:ind w:firstLine="420" w:firstLineChars="200"/>
        <w:jc w:val="center"/>
        <w:rPr>
          <w:rFonts w:ascii="宋体" w:hAnsi="宋体"/>
          <w:color w:val="auto"/>
          <w:szCs w:val="21"/>
          <w:highlight w:val="none"/>
          <w:u w:val="single"/>
        </w:rPr>
      </w:pPr>
      <w:bookmarkStart w:id="64" w:name="_Toc12222"/>
      <w:bookmarkStart w:id="65"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4"/>
      <w:bookmarkEnd w:id="65"/>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6" w:name="_Toc1330"/>
      <w:bookmarkStart w:id="67" w:name="_Toc9950"/>
      <w:r>
        <w:rPr>
          <w:rFonts w:hint="eastAsia" w:ascii="宋体" w:hAnsi="宋体"/>
          <w:color w:val="auto"/>
          <w:szCs w:val="21"/>
          <w:highlight w:val="none"/>
        </w:rPr>
        <w:t>年  月  日</w:t>
      </w:r>
      <w:bookmarkEnd w:id="66"/>
      <w:bookmarkEnd w:id="67"/>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8" w:name="_Toc22004"/>
      <w:bookmarkStart w:id="69"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8"/>
      <w:bookmarkEnd w:id="69"/>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4"/>
        <w:rPr>
          <w:rFonts w:hint="eastAsia" w:eastAsia="黑体"/>
          <w:color w:val="auto"/>
          <w:highlight w:val="none"/>
          <w:lang w:val="en-US" w:eastAsia="zh-CN"/>
        </w:rPr>
      </w:pPr>
      <w:r>
        <w:rPr>
          <w:rFonts w:hint="eastAsia"/>
          <w:color w:val="auto"/>
          <w:highlight w:val="none"/>
        </w:rPr>
        <w:br w:type="page"/>
      </w:r>
      <w:bookmarkStart w:id="70" w:name="_Toc226"/>
      <w:bookmarkStart w:id="71" w:name="_Toc15804"/>
      <w:r>
        <w:rPr>
          <w:rFonts w:hint="eastAsia"/>
          <w:color w:val="auto"/>
          <w:highlight w:val="none"/>
        </w:rPr>
        <w:t xml:space="preserve">附件5         </w:t>
      </w:r>
      <w:bookmarkEnd w:id="70"/>
      <w:bookmarkEnd w:id="71"/>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2" w:name="_Toc20420"/>
      <w:bookmarkStart w:id="73" w:name="_Toc29960"/>
      <w:r>
        <w:rPr>
          <w:rFonts w:hint="eastAsia" w:ascii="Arial" w:hAnsi="Arial" w:eastAsia="新宋体"/>
          <w:b/>
          <w:color w:val="auto"/>
          <w:sz w:val="28"/>
          <w:highlight w:val="none"/>
        </w:rPr>
        <w:t>附件6               商务响应</w:t>
      </w:r>
      <w:bookmarkEnd w:id="72"/>
      <w:bookmarkEnd w:id="73"/>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4" w:name="_Toc28621"/>
      <w:bookmarkStart w:id="75"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4"/>
      <w:bookmarkEnd w:id="75"/>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6" w:name="_Toc13976"/>
      <w:bookmarkStart w:id="77" w:name="_Toc30519"/>
      <w:r>
        <w:rPr>
          <w:rFonts w:hint="eastAsia" w:ascii="Arial" w:hAnsi="Arial" w:eastAsia="新宋体"/>
          <w:b/>
          <w:color w:val="auto"/>
          <w:sz w:val="28"/>
          <w:highlight w:val="none"/>
        </w:rPr>
        <w:t>附件8               法定代表人授权书（格式）</w:t>
      </w:r>
      <w:bookmarkEnd w:id="76"/>
      <w:bookmarkEnd w:id="77"/>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8" w:name="_Toc24693"/>
      <w:bookmarkStart w:id="79" w:name="_Toc18105"/>
      <w:r>
        <w:rPr>
          <w:rFonts w:hint="eastAsia" w:ascii="Arial" w:hAnsi="Arial" w:eastAsia="新宋体"/>
          <w:b/>
          <w:color w:val="auto"/>
          <w:sz w:val="28"/>
          <w:highlight w:val="none"/>
        </w:rPr>
        <w:t>附件9               证明文件</w:t>
      </w:r>
      <w:bookmarkEnd w:id="78"/>
      <w:bookmarkEnd w:id="79"/>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0"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1" w:name="_Toc12888"/>
      <w:bookmarkStart w:id="82" w:name="_Toc13726"/>
      <w:r>
        <w:rPr>
          <w:rFonts w:hint="eastAsia" w:ascii="宋体" w:hAnsi="宋体" w:cs="Lucida Sans Unicode"/>
          <w:b/>
          <w:color w:val="auto"/>
          <w:kern w:val="0"/>
          <w:sz w:val="28"/>
          <w:szCs w:val="28"/>
          <w:highlight w:val="none"/>
        </w:rPr>
        <w:t xml:space="preserve">附件10        </w:t>
      </w:r>
      <w:bookmarkEnd w:id="80"/>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1"/>
      <w:bookmarkEnd w:id="82"/>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3" w:name="_Toc25094"/>
      <w:bookmarkStart w:id="84"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3"/>
      <w:bookmarkEnd w:id="8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驻马店市中心医院危险废物处置服务项目（二次）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驻马店市中心医院危险废物处置服务项目（二次）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163A15"/>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BE4E06"/>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21C65"/>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56386"/>
    <w:rsid w:val="1E6B06A5"/>
    <w:rsid w:val="1E6C03DB"/>
    <w:rsid w:val="1E7D358A"/>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3B3DA5"/>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AC55177"/>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064BE"/>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84765"/>
    <w:rsid w:val="302A11B1"/>
    <w:rsid w:val="302A5C42"/>
    <w:rsid w:val="304B738B"/>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D372B"/>
    <w:rsid w:val="34DF24AE"/>
    <w:rsid w:val="351C4931"/>
    <w:rsid w:val="351C4EAC"/>
    <w:rsid w:val="351D4C26"/>
    <w:rsid w:val="352E7D40"/>
    <w:rsid w:val="35361A77"/>
    <w:rsid w:val="35461A22"/>
    <w:rsid w:val="35483CC9"/>
    <w:rsid w:val="35677675"/>
    <w:rsid w:val="3579545F"/>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C05072"/>
    <w:rsid w:val="3DDB7ECF"/>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DF2363"/>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CA7FB0"/>
    <w:rsid w:val="42EA5650"/>
    <w:rsid w:val="431408DA"/>
    <w:rsid w:val="4331401E"/>
    <w:rsid w:val="4359067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433C79"/>
    <w:rsid w:val="4C694192"/>
    <w:rsid w:val="4C7964D9"/>
    <w:rsid w:val="4C9269F6"/>
    <w:rsid w:val="4CC84335"/>
    <w:rsid w:val="4CE27936"/>
    <w:rsid w:val="4CE9350A"/>
    <w:rsid w:val="4D225F85"/>
    <w:rsid w:val="4D297BF3"/>
    <w:rsid w:val="4D2D0EAF"/>
    <w:rsid w:val="4D7F0082"/>
    <w:rsid w:val="4D952FD9"/>
    <w:rsid w:val="4D970662"/>
    <w:rsid w:val="4DAE67D8"/>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D53D51"/>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2E14F6"/>
    <w:rsid w:val="56990B7C"/>
    <w:rsid w:val="569E1126"/>
    <w:rsid w:val="56A8690E"/>
    <w:rsid w:val="56B80DEB"/>
    <w:rsid w:val="56E0560F"/>
    <w:rsid w:val="56E06E61"/>
    <w:rsid w:val="56F653FE"/>
    <w:rsid w:val="574448FC"/>
    <w:rsid w:val="57504BBD"/>
    <w:rsid w:val="57561D39"/>
    <w:rsid w:val="575B7AFD"/>
    <w:rsid w:val="57660D3F"/>
    <w:rsid w:val="5785783C"/>
    <w:rsid w:val="57A51C8C"/>
    <w:rsid w:val="57D1153D"/>
    <w:rsid w:val="57FA3774"/>
    <w:rsid w:val="58084A3C"/>
    <w:rsid w:val="582772A7"/>
    <w:rsid w:val="58531B77"/>
    <w:rsid w:val="585D2975"/>
    <w:rsid w:val="585F64F9"/>
    <w:rsid w:val="587245D8"/>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04D6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A7000"/>
    <w:rsid w:val="5C6F4105"/>
    <w:rsid w:val="5CAE050B"/>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6F38"/>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5F767F"/>
    <w:rsid w:val="60616CDC"/>
    <w:rsid w:val="60624E53"/>
    <w:rsid w:val="606319E5"/>
    <w:rsid w:val="607A77D8"/>
    <w:rsid w:val="607B3C50"/>
    <w:rsid w:val="608B6567"/>
    <w:rsid w:val="60AA3E6F"/>
    <w:rsid w:val="60FF21D9"/>
    <w:rsid w:val="613021B3"/>
    <w:rsid w:val="613253FD"/>
    <w:rsid w:val="61421F29"/>
    <w:rsid w:val="61712185"/>
    <w:rsid w:val="61716452"/>
    <w:rsid w:val="618B7207"/>
    <w:rsid w:val="61A90D68"/>
    <w:rsid w:val="62065A1D"/>
    <w:rsid w:val="621775E2"/>
    <w:rsid w:val="621B126D"/>
    <w:rsid w:val="622F7552"/>
    <w:rsid w:val="6250406E"/>
    <w:rsid w:val="627D6831"/>
    <w:rsid w:val="62811B1C"/>
    <w:rsid w:val="62A20409"/>
    <w:rsid w:val="62B54B44"/>
    <w:rsid w:val="62B7672F"/>
    <w:rsid w:val="62E045DA"/>
    <w:rsid w:val="62E454A1"/>
    <w:rsid w:val="62F36E4C"/>
    <w:rsid w:val="62F47F8F"/>
    <w:rsid w:val="62F7233F"/>
    <w:rsid w:val="631F3FB4"/>
    <w:rsid w:val="633075FF"/>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7D45E2"/>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664C44"/>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3A2708"/>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13D6C"/>
    <w:rsid w:val="6C3A67D1"/>
    <w:rsid w:val="6C3D2D5C"/>
    <w:rsid w:val="6C4800AA"/>
    <w:rsid w:val="6C4D28F8"/>
    <w:rsid w:val="6C573E9C"/>
    <w:rsid w:val="6C5C23DC"/>
    <w:rsid w:val="6C6D1126"/>
    <w:rsid w:val="6C7720F3"/>
    <w:rsid w:val="6C986334"/>
    <w:rsid w:val="6CA35B3A"/>
    <w:rsid w:val="6CA41A5D"/>
    <w:rsid w:val="6CA479DF"/>
    <w:rsid w:val="6CAF588C"/>
    <w:rsid w:val="6CB4638E"/>
    <w:rsid w:val="6CBF3C6A"/>
    <w:rsid w:val="6CBF5306"/>
    <w:rsid w:val="6CE70FA1"/>
    <w:rsid w:val="6CFA6351"/>
    <w:rsid w:val="6CFC3C40"/>
    <w:rsid w:val="6D480984"/>
    <w:rsid w:val="6DB13E57"/>
    <w:rsid w:val="6DC144B3"/>
    <w:rsid w:val="6DC71662"/>
    <w:rsid w:val="6DCD5126"/>
    <w:rsid w:val="6DDB6CB0"/>
    <w:rsid w:val="6DE21877"/>
    <w:rsid w:val="6DE52ACD"/>
    <w:rsid w:val="6DFC0B44"/>
    <w:rsid w:val="6E0458E7"/>
    <w:rsid w:val="6E212037"/>
    <w:rsid w:val="6E3B221B"/>
    <w:rsid w:val="6E4111E6"/>
    <w:rsid w:val="6E475779"/>
    <w:rsid w:val="6E663C68"/>
    <w:rsid w:val="6E7764EF"/>
    <w:rsid w:val="6EAD447C"/>
    <w:rsid w:val="6EAE5472"/>
    <w:rsid w:val="6EBC069A"/>
    <w:rsid w:val="6ECD7F59"/>
    <w:rsid w:val="6EED7C80"/>
    <w:rsid w:val="6EF773A4"/>
    <w:rsid w:val="6F1E2E65"/>
    <w:rsid w:val="6F2F2D9E"/>
    <w:rsid w:val="6F4147D9"/>
    <w:rsid w:val="6F581F47"/>
    <w:rsid w:val="6F5A44AE"/>
    <w:rsid w:val="6F5B0D5A"/>
    <w:rsid w:val="6F5C35EA"/>
    <w:rsid w:val="6F6B6A15"/>
    <w:rsid w:val="6F8A5598"/>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D05BA"/>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DB0DCF"/>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84CF6"/>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9018C"/>
    <w:rsid w:val="7C0E41D1"/>
    <w:rsid w:val="7C1052F2"/>
    <w:rsid w:val="7C2668D9"/>
    <w:rsid w:val="7C32497F"/>
    <w:rsid w:val="7C3C69AE"/>
    <w:rsid w:val="7C691974"/>
    <w:rsid w:val="7C8A6570"/>
    <w:rsid w:val="7C8B7390"/>
    <w:rsid w:val="7C9B0D0E"/>
    <w:rsid w:val="7CA16543"/>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w:basedOn w:val="1"/>
    <w:next w:val="13"/>
    <w:link w:val="73"/>
    <w:autoRedefine/>
    <w:qFormat/>
    <w:uiPriority w:val="0"/>
  </w:style>
  <w:style w:type="paragraph" w:customStyle="1" w:styleId="1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12"/>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12"/>
    <w:next w:val="31"/>
    <w:autoRedefine/>
    <w:qFormat/>
    <w:uiPriority w:val="0"/>
    <w:pPr>
      <w:spacing w:line="360" w:lineRule="auto"/>
      <w:ind w:firstLine="420" w:firstLineChars="100"/>
    </w:pPr>
    <w:rPr>
      <w:szCs w:val="21"/>
    </w:rPr>
  </w:style>
  <w:style w:type="paragraph" w:styleId="31">
    <w:name w:val="Body Text First Indent 2"/>
    <w:basedOn w:val="14"/>
    <w:next w:val="8"/>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12"/>
    <w:autoRedefine/>
    <w:qFormat/>
    <w:uiPriority w:val="0"/>
  </w:style>
  <w:style w:type="character" w:customStyle="1" w:styleId="74">
    <w:name w:val="apple-converted-space"/>
    <w:basedOn w:val="34"/>
    <w:autoRedefine/>
    <w:qFormat/>
    <w:uiPriority w:val="0"/>
  </w:style>
  <w:style w:type="character" w:customStyle="1" w:styleId="75">
    <w:name w:val="文档结构图 Char"/>
    <w:link w:val="9"/>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12"/>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character" w:customStyle="1" w:styleId="90">
    <w:name w:val="font01"/>
    <w:autoRedefine/>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2024-01-19T03:19:57Z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F2E2AFF15466455D87005D15FA9A7830_13</vt:lpwstr>
  </property>
</Properties>
</file>