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驻马店市中心医院皮肤科赛诺秀激光治疗设备全保项目</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11</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hint="default" w:ascii="宋体" w:hAnsi="宋体" w:eastAsia="宋体" w:cs="宋体"/>
          <w:color w:val="auto"/>
          <w:szCs w:val="21"/>
          <w:highlight w:val="none"/>
          <w:lang w:val="en-US" w:eastAsia="zh-CN"/>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default" w:ascii="宋体" w:hAnsi="宋体" w:eastAsia="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驻马店市中心医院皮肤科赛诺秀激光治疗设备全保项目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bookmarkStart w:id="86" w:name="_GoBack"/>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皮肤科赛诺秀激光治疗设备全保项目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驻马店市中心医院皮肤科赛诺秀激光治疗设备全保项目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 xml:space="preserve"> 14.7万元</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服务期限：</w:t>
      </w:r>
      <w:r>
        <w:rPr>
          <w:rFonts w:hint="eastAsia" w:ascii="宋体" w:hAnsi="宋体" w:cs="宋体"/>
          <w:color w:val="auto"/>
          <w:szCs w:val="21"/>
          <w:highlight w:val="none"/>
          <w:shd w:val="clear" w:color="auto" w:fill="FFFFFF"/>
          <w:lang w:val="en-US" w:eastAsia="zh-CN"/>
        </w:rPr>
        <w:t>1年</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8607"/>
      <w:bookmarkStart w:id="5" w:name="_Toc27704"/>
      <w:bookmarkStart w:id="6" w:name="_Toc23626"/>
      <w:bookmarkStart w:id="7" w:name="_Toc16639"/>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23395"/>
      <w:bookmarkStart w:id="9" w:name="_Toc30643"/>
      <w:bookmarkStart w:id="10" w:name="_Toc9562"/>
      <w:bookmarkStart w:id="11" w:name="_Toc30971"/>
      <w:bookmarkStart w:id="12" w:name="_Toc7823"/>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、具有履行合同所必需的设备和专业技术能力（提供书面声明函）；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lang w:val="en-US" w:eastAsia="zh-CN" w:bidi="ar-SA"/>
          <w14:textFill>
            <w14:solidFill>
              <w14:schemeClr w14:val="tx1"/>
            </w14:solidFill>
          </w14:textFill>
        </w:rPr>
        <w:t>、参加本采购活动前三年内，在经营活动中没有重大违法记录（提供书面声明函）；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lang w:val="en-US" w:eastAsia="zh-CN" w:bidi="ar-SA"/>
          <w14:textFill>
            <w14:solidFill>
              <w14:schemeClr w14:val="tx1"/>
            </w14:solidFill>
          </w14:textFill>
        </w:rPr>
        <w:t>、符合法律、行政法规规定的其他条件；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6</w:t>
      </w:r>
      <w:r>
        <w:rPr>
          <w:rFonts w:hint="eastAsia" w:ascii="宋体" w:hAnsi="宋体" w:eastAsia="宋体" w:cs="宋体"/>
          <w:color w:val="000000" w:themeColor="text1"/>
          <w:kern w:val="2"/>
          <w:sz w:val="21"/>
          <w:szCs w:val="24"/>
          <w:lang w:val="en-US" w:eastAsia="zh-CN" w:bidi="ar-SA"/>
          <w14:textFill>
            <w14:solidFill>
              <w14:schemeClr w14:val="tx1"/>
            </w14:solidFill>
          </w14:textFill>
        </w:rPr>
        <w:t>、特定资格要求</w:t>
      </w:r>
      <w:r>
        <w:rPr>
          <w:rFonts w:hint="eastAsia" w:cs="宋体"/>
          <w:color w:val="000000" w:themeColor="text1"/>
          <w:kern w:val="2"/>
          <w:sz w:val="21"/>
          <w:szCs w:val="24"/>
          <w:lang w:val="en-US" w:eastAsia="zh-CN" w:bidi="ar-SA"/>
          <w14:textFill>
            <w14:solidFill>
              <w14:schemeClr w14:val="tx1"/>
            </w14:solidFill>
          </w14:textFill>
        </w:rPr>
        <w:t>：</w:t>
      </w:r>
      <w:r>
        <w:rPr>
          <w:rFonts w:hint="eastAsia" w:ascii="宋体" w:hAnsi="宋体" w:eastAsia="宋体" w:cs="宋体"/>
          <w:color w:val="000000" w:themeColor="text1"/>
          <w:kern w:val="2"/>
          <w:sz w:val="21"/>
          <w:szCs w:val="24"/>
          <w:lang w:val="en-US" w:eastAsia="zh-CN" w:bidi="ar-SA"/>
          <w14:textFill>
            <w14:solidFill>
              <w14:schemeClr w14:val="tx1"/>
            </w14:solidFill>
          </w14:textFill>
        </w:rPr>
        <w:t>供应商须具有医疗器械经营许可证，是在中华人民共和国境内注册的设备原制造厂商或原制造厂商授权的单位或具备相关设备维修能力的单位（提供证明文件）。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lang w:val="en-US" w:eastAsia="zh-CN" w:bidi="ar-SA"/>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lang w:val="en-US" w:eastAsia="zh-CN"/>
        </w:rPr>
      </w:pPr>
      <w:r>
        <w:rPr>
          <w:rFonts w:hint="eastAsia" w:cs="宋体"/>
          <w:color w:val="000000" w:themeColor="text1"/>
          <w:kern w:val="2"/>
          <w:sz w:val="21"/>
          <w:szCs w:val="24"/>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lang w:val="en-US" w:eastAsia="zh-CN" w:bidi="ar-SA"/>
          <w14:textFill>
            <w14:solidFill>
              <w14:schemeClr w14:val="tx1"/>
            </w14:solidFill>
          </w14:textFill>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19</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23</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2521227903</w:t>
      </w:r>
      <w:r>
        <w:rPr>
          <w:rFonts w:hint="eastAsia" w:ascii="宋体" w:hAnsi="宋体" w:eastAsia="宋体" w:cs="宋体"/>
          <w:color w:val="auto"/>
          <w:kern w:val="0"/>
          <w:sz w:val="21"/>
          <w:szCs w:val="21"/>
          <w:shd w:val="clear" w:color="auto" w:fill="FFFFFF"/>
          <w:lang w:val="en-US" w:eastAsia="zh-CN" w:bidi="ar-SA"/>
        </w:rPr>
        <w:t>@qq.com并标明XX公司XX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5111"/>
      <w:bookmarkStart w:id="14" w:name="_Toc25869"/>
      <w:bookmarkStart w:id="15" w:name="_Toc27480"/>
      <w:bookmarkStart w:id="16" w:name="_Toc15135"/>
      <w:bookmarkStart w:id="17" w:name="_Toc10738"/>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9784"/>
      <w:bookmarkStart w:id="19" w:name="_Toc6523"/>
      <w:bookmarkStart w:id="20" w:name="_Toc30918"/>
      <w:bookmarkStart w:id="21" w:name="_Toc20287"/>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27370"/>
      <w:bookmarkStart w:id="25" w:name="_Toc3604"/>
      <w:bookmarkStart w:id="26" w:name="_Toc24274"/>
      <w:bookmarkStart w:id="27" w:name="_Toc31928"/>
      <w:bookmarkStart w:id="28" w:name="_Toc16291"/>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报名联系人1：杨先生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联系电话：19139503257</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报名联系人2：</w:t>
      </w:r>
      <w:r>
        <w:rPr>
          <w:rFonts w:hint="eastAsia" w:ascii="宋体" w:hAnsi="宋体" w:cs="宋体"/>
          <w:color w:val="auto"/>
          <w:kern w:val="0"/>
          <w:sz w:val="21"/>
          <w:szCs w:val="21"/>
          <w:shd w:val="clear" w:color="auto" w:fill="FFFFFF"/>
          <w:lang w:val="en-US" w:eastAsia="zh-CN" w:bidi="ar-SA"/>
        </w:rPr>
        <w:t>余女士</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w:t>
      </w:r>
      <w:r>
        <w:rPr>
          <w:rFonts w:hint="eastAsia" w:ascii="宋体" w:hAnsi="宋体" w:cs="宋体"/>
          <w:color w:val="auto"/>
          <w:kern w:val="0"/>
          <w:sz w:val="21"/>
          <w:szCs w:val="21"/>
          <w:shd w:val="clear" w:color="auto" w:fill="FFFFFF"/>
          <w:lang w:val="en-US" w:eastAsia="zh-CN" w:bidi="ar-SA"/>
        </w:rPr>
        <w:t>13783961021</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 xml:space="preserve"> 1</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18</w:t>
      </w:r>
      <w:r>
        <w:rPr>
          <w:rFonts w:hint="eastAsia" w:ascii="宋体" w:hAnsi="宋体" w:eastAsia="宋体" w:cs="宋体"/>
          <w:color w:val="auto"/>
          <w:kern w:val="0"/>
          <w:sz w:val="21"/>
          <w:szCs w:val="21"/>
          <w:highlight w:val="none"/>
          <w:shd w:val="clear" w:color="auto" w:fill="FFFFFF"/>
          <w:lang w:val="en-US" w:eastAsia="zh-CN" w:bidi="ar-SA"/>
        </w:rPr>
        <w:t>日</w:t>
      </w:r>
    </w:p>
    <w:bookmarkEnd w:id="86"/>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23610"/>
      <w:bookmarkStart w:id="33" w:name="_Toc9989"/>
      <w:bookmarkStart w:id="34" w:name="_Toc31536"/>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i w:val="0"/>
          <w:iCs/>
          <w:sz w:val="21"/>
          <w:szCs w:val="21"/>
          <w:highlight w:val="none"/>
          <w:u w:val="none"/>
          <w:lang w:val="en-US" w:eastAsia="zh-CN"/>
        </w:rPr>
      </w:pPr>
      <w:bookmarkStart w:id="35" w:name="_Toc14504"/>
      <w:r>
        <w:rPr>
          <w:rFonts w:hint="eastAsia" w:ascii="宋体" w:hAnsi="宋体" w:eastAsia="宋体" w:cs="宋体"/>
          <w:i w:val="0"/>
          <w:iCs/>
          <w:sz w:val="21"/>
          <w:szCs w:val="21"/>
          <w:highlight w:val="none"/>
          <w:u w:val="none"/>
          <w:lang w:val="en-US" w:eastAsia="zh-CN"/>
        </w:rPr>
        <w:t>一、项目名称、数量：驻马店市中心医院皮肤科赛诺秀激光治疗设备全保项目</w:t>
      </w:r>
    </w:p>
    <w:p>
      <w:pPr>
        <w:pStyle w:val="14"/>
        <w:keepNext w:val="0"/>
        <w:keepLines w:val="0"/>
        <w:pageBreakBefore w:val="0"/>
        <w:widowControl/>
        <w:kinsoku/>
        <w:wordWrap/>
        <w:overflowPunct/>
        <w:topLinePunct w:val="0"/>
        <w:autoSpaceDE/>
        <w:autoSpaceDN/>
        <w:bidi w:val="0"/>
        <w:adjustRightInd/>
        <w:snapToGrid w:val="0"/>
        <w:spacing w:beforeAutospacing="0" w:afterAutospacing="0" w:line="480" w:lineRule="auto"/>
        <w:ind w:firstLine="420" w:firstLineChars="200"/>
        <w:jc w:val="both"/>
        <w:textAlignment w:val="auto"/>
        <w:rPr>
          <w:rFonts w:hint="eastAsia" w:ascii="宋体" w:hAnsi="宋体" w:eastAsia="宋体" w:cs="宋体"/>
          <w:i w:val="0"/>
          <w:iCs/>
          <w:sz w:val="21"/>
          <w:szCs w:val="21"/>
          <w:highlight w:val="none"/>
          <w:u w:val="none"/>
          <w:lang w:val="en-US" w:eastAsia="zh-CN"/>
        </w:rPr>
      </w:pPr>
      <w:r>
        <w:rPr>
          <w:rFonts w:hint="eastAsia" w:ascii="宋体" w:hAnsi="宋体" w:eastAsia="宋体" w:cs="宋体"/>
          <w:i w:val="0"/>
          <w:iCs/>
          <w:sz w:val="21"/>
          <w:szCs w:val="21"/>
          <w:highlight w:val="none"/>
          <w:u w:val="none"/>
          <w:lang w:val="en-US" w:eastAsia="zh-CN"/>
        </w:rPr>
        <w:t>项目概况：皮肤科赛诺秀激光治疗设备全保一年</w:t>
      </w:r>
      <w:r>
        <w:rPr>
          <w:rFonts w:hint="eastAsia" w:cs="宋体"/>
          <w:i w:val="0"/>
          <w:iCs/>
          <w:sz w:val="21"/>
          <w:szCs w:val="21"/>
          <w:highlight w:val="none"/>
          <w:u w:val="none"/>
          <w:lang w:val="en-US" w:eastAsia="zh-CN"/>
        </w:rPr>
        <w:t>。</w:t>
      </w:r>
    </w:p>
    <w:p>
      <w:pPr>
        <w:pStyle w:val="14"/>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480" w:lineRule="auto"/>
        <w:ind w:firstLine="420" w:firstLineChars="200"/>
        <w:jc w:val="both"/>
        <w:textAlignment w:val="auto"/>
        <w:rPr>
          <w:rFonts w:hint="eastAsia" w:cs="宋体"/>
          <w:kern w:val="2"/>
          <w:sz w:val="21"/>
          <w:szCs w:val="24"/>
          <w:lang w:val="en-US" w:eastAsia="zh-CN" w:bidi="ar-SA"/>
        </w:rPr>
      </w:pPr>
      <w:r>
        <w:rPr>
          <w:rFonts w:hint="eastAsia" w:cs="宋体"/>
          <w:kern w:val="2"/>
          <w:sz w:val="21"/>
          <w:szCs w:val="24"/>
          <w:lang w:val="en-US" w:eastAsia="zh-CN" w:bidi="ar-SA"/>
        </w:rPr>
        <w:t>采购标的清单：</w:t>
      </w:r>
    </w:p>
    <w:tbl>
      <w:tblPr>
        <w:tblStyle w:val="33"/>
        <w:tblW w:w="8925"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689"/>
        <w:gridCol w:w="5"/>
        <w:gridCol w:w="2241"/>
        <w:gridCol w:w="5"/>
        <w:gridCol w:w="981"/>
        <w:gridCol w:w="898"/>
        <w:gridCol w:w="6"/>
        <w:gridCol w:w="1079"/>
        <w:gridCol w:w="9"/>
        <w:gridCol w:w="1087"/>
        <w:gridCol w:w="5"/>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vAlign w:val="center"/>
          </w:tcPr>
          <w:p>
            <w:pPr>
              <w:pStyle w:val="15"/>
              <w:numPr>
                <w:ilvl w:val="0"/>
                <w:numId w:val="0"/>
              </w:numPr>
              <w:jc w:val="center"/>
              <w:rPr>
                <w:rFonts w:hint="eastAsia"/>
                <w:lang w:val="en-US" w:eastAsia="zh-CN"/>
              </w:rPr>
            </w:pPr>
            <w:r>
              <w:rPr>
                <w:rFonts w:hint="eastAsia"/>
                <w:lang w:val="en-US" w:eastAsia="zh-CN"/>
              </w:rPr>
              <w:t>包号</w:t>
            </w:r>
          </w:p>
        </w:tc>
        <w:tc>
          <w:tcPr>
            <w:tcW w:w="689" w:type="dxa"/>
            <w:vAlign w:val="center"/>
          </w:tcPr>
          <w:p>
            <w:pPr>
              <w:pStyle w:val="15"/>
              <w:numPr>
                <w:ilvl w:val="0"/>
                <w:numId w:val="0"/>
              </w:numPr>
              <w:jc w:val="center"/>
              <w:rPr>
                <w:rFonts w:hint="eastAsia"/>
                <w:lang w:val="en-US" w:eastAsia="zh-CN"/>
              </w:rPr>
            </w:pPr>
            <w:r>
              <w:rPr>
                <w:rFonts w:hint="eastAsia"/>
                <w:lang w:val="en-US" w:eastAsia="zh-CN"/>
              </w:rPr>
              <w:t>序号</w:t>
            </w:r>
          </w:p>
        </w:tc>
        <w:tc>
          <w:tcPr>
            <w:tcW w:w="2246" w:type="dxa"/>
            <w:gridSpan w:val="2"/>
            <w:vAlign w:val="center"/>
          </w:tcPr>
          <w:p>
            <w:pPr>
              <w:pStyle w:val="15"/>
              <w:numPr>
                <w:ilvl w:val="0"/>
                <w:numId w:val="0"/>
              </w:numPr>
              <w:jc w:val="center"/>
              <w:rPr>
                <w:rFonts w:hint="eastAsia"/>
                <w:lang w:val="en-US" w:eastAsia="zh-CN"/>
              </w:rPr>
            </w:pPr>
            <w:r>
              <w:rPr>
                <w:rFonts w:hint="eastAsia"/>
                <w:lang w:val="en-US" w:eastAsia="zh-CN"/>
              </w:rPr>
              <w:t>标的名称</w:t>
            </w:r>
          </w:p>
        </w:tc>
        <w:tc>
          <w:tcPr>
            <w:tcW w:w="986" w:type="dxa"/>
            <w:gridSpan w:val="2"/>
            <w:vAlign w:val="center"/>
          </w:tcPr>
          <w:p>
            <w:pPr>
              <w:pStyle w:val="15"/>
              <w:numPr>
                <w:ilvl w:val="0"/>
                <w:numId w:val="0"/>
              </w:numPr>
              <w:jc w:val="center"/>
              <w:rPr>
                <w:rFonts w:hint="eastAsia"/>
                <w:lang w:val="en-US" w:eastAsia="zh-CN"/>
              </w:rPr>
            </w:pPr>
            <w:r>
              <w:rPr>
                <w:rFonts w:hint="eastAsia"/>
                <w:lang w:val="en-US" w:eastAsia="zh-CN"/>
              </w:rPr>
              <w:t>单位</w:t>
            </w:r>
          </w:p>
        </w:tc>
        <w:tc>
          <w:tcPr>
            <w:tcW w:w="898" w:type="dxa"/>
            <w:vAlign w:val="center"/>
          </w:tcPr>
          <w:p>
            <w:pPr>
              <w:pStyle w:val="15"/>
              <w:numPr>
                <w:ilvl w:val="0"/>
                <w:numId w:val="0"/>
              </w:numPr>
              <w:jc w:val="center"/>
              <w:rPr>
                <w:rFonts w:hint="eastAsia"/>
                <w:lang w:val="en-US" w:eastAsia="zh-CN"/>
              </w:rPr>
            </w:pPr>
            <w:r>
              <w:rPr>
                <w:rFonts w:hint="eastAsia"/>
                <w:lang w:val="en-US" w:eastAsia="zh-CN"/>
              </w:rPr>
              <w:t>数量</w:t>
            </w:r>
          </w:p>
        </w:tc>
        <w:tc>
          <w:tcPr>
            <w:tcW w:w="1094" w:type="dxa"/>
            <w:gridSpan w:val="3"/>
            <w:vAlign w:val="center"/>
          </w:tcPr>
          <w:p>
            <w:pPr>
              <w:pStyle w:val="15"/>
              <w:numPr>
                <w:ilvl w:val="0"/>
                <w:numId w:val="0"/>
              </w:numPr>
              <w:jc w:val="center"/>
              <w:rPr>
                <w:rFonts w:hint="eastAsia"/>
                <w:lang w:val="en-US" w:eastAsia="zh-CN"/>
              </w:rPr>
            </w:pPr>
            <w:r>
              <w:rPr>
                <w:rFonts w:hint="eastAsia"/>
                <w:lang w:val="en-US" w:eastAsia="zh-CN"/>
              </w:rPr>
              <w:t>资金</w:t>
            </w:r>
          </w:p>
          <w:p>
            <w:pPr>
              <w:pStyle w:val="15"/>
              <w:numPr>
                <w:ilvl w:val="0"/>
                <w:numId w:val="0"/>
              </w:numPr>
              <w:jc w:val="center"/>
              <w:rPr>
                <w:rFonts w:hint="eastAsia"/>
                <w:lang w:val="en-US" w:eastAsia="zh-CN"/>
              </w:rPr>
            </w:pPr>
            <w:r>
              <w:rPr>
                <w:rFonts w:hint="eastAsia"/>
                <w:lang w:val="en-US" w:eastAsia="zh-CN"/>
              </w:rPr>
              <w:t>预算</w:t>
            </w:r>
          </w:p>
        </w:tc>
        <w:tc>
          <w:tcPr>
            <w:tcW w:w="1087" w:type="dxa"/>
            <w:vAlign w:val="center"/>
          </w:tcPr>
          <w:p>
            <w:pPr>
              <w:pStyle w:val="15"/>
              <w:numPr>
                <w:ilvl w:val="0"/>
                <w:numId w:val="0"/>
              </w:numPr>
              <w:jc w:val="center"/>
              <w:rPr>
                <w:rFonts w:hint="eastAsia"/>
                <w:lang w:val="en-US" w:eastAsia="zh-CN"/>
              </w:rPr>
            </w:pPr>
            <w:r>
              <w:rPr>
                <w:rFonts w:hint="eastAsia"/>
                <w:lang w:val="en-US" w:eastAsia="zh-CN"/>
              </w:rPr>
              <w:t>资金</w:t>
            </w:r>
          </w:p>
          <w:p>
            <w:pPr>
              <w:pStyle w:val="15"/>
              <w:numPr>
                <w:ilvl w:val="0"/>
                <w:numId w:val="0"/>
              </w:numPr>
              <w:jc w:val="center"/>
              <w:rPr>
                <w:rFonts w:hint="eastAsia"/>
                <w:lang w:val="en-US" w:eastAsia="zh-CN"/>
              </w:rPr>
            </w:pPr>
            <w:r>
              <w:rPr>
                <w:rFonts w:hint="eastAsia"/>
                <w:lang w:val="en-US" w:eastAsia="zh-CN"/>
              </w:rPr>
              <w:t>性质</w:t>
            </w:r>
          </w:p>
        </w:tc>
        <w:tc>
          <w:tcPr>
            <w:tcW w:w="1217" w:type="dxa"/>
            <w:gridSpan w:val="2"/>
            <w:vAlign w:val="center"/>
          </w:tcPr>
          <w:p>
            <w:pPr>
              <w:pStyle w:val="15"/>
              <w:numPr>
                <w:ilvl w:val="0"/>
                <w:numId w:val="0"/>
              </w:numPr>
              <w:jc w:val="center"/>
              <w:rPr>
                <w:rFonts w:hint="eastAsia"/>
                <w:lang w:val="en-US" w:eastAsia="zh-CN"/>
              </w:rPr>
            </w:pPr>
            <w:r>
              <w:rPr>
                <w:rFonts w:hint="eastAsia"/>
                <w:lang w:val="en-US" w:eastAsia="zh-CN"/>
              </w:rPr>
              <w:t>国产/</w:t>
            </w:r>
          </w:p>
          <w:p>
            <w:pPr>
              <w:pStyle w:val="15"/>
              <w:numPr>
                <w:ilvl w:val="0"/>
                <w:numId w:val="0"/>
              </w:numPr>
              <w:jc w:val="center"/>
              <w:rPr>
                <w:rFonts w:hint="eastAsia"/>
                <w:lang w:val="en-US" w:eastAsia="zh-CN"/>
              </w:rPr>
            </w:pPr>
            <w:r>
              <w:rPr>
                <w:rFonts w:hint="eastAsia"/>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vAlign w:val="center"/>
          </w:tcPr>
          <w:p>
            <w:pPr>
              <w:pStyle w:val="15"/>
              <w:numPr>
                <w:ilvl w:val="0"/>
                <w:numId w:val="0"/>
              </w:numPr>
              <w:jc w:val="center"/>
              <w:rPr>
                <w:rFonts w:hint="eastAsia"/>
                <w:lang w:val="en-US" w:eastAsia="zh-CN"/>
              </w:rPr>
            </w:pPr>
            <w:r>
              <w:rPr>
                <w:rFonts w:hint="eastAsia"/>
                <w:lang w:val="en-US" w:eastAsia="zh-CN"/>
              </w:rPr>
              <w:t>1</w:t>
            </w:r>
          </w:p>
        </w:tc>
        <w:tc>
          <w:tcPr>
            <w:tcW w:w="689" w:type="dxa"/>
            <w:vAlign w:val="center"/>
          </w:tcPr>
          <w:p>
            <w:pPr>
              <w:pStyle w:val="15"/>
              <w:numPr>
                <w:ilvl w:val="0"/>
                <w:numId w:val="0"/>
              </w:numPr>
              <w:jc w:val="center"/>
              <w:rPr>
                <w:rFonts w:hint="eastAsia"/>
                <w:lang w:val="en-US" w:eastAsia="zh-CN"/>
              </w:rPr>
            </w:pPr>
            <w:r>
              <w:rPr>
                <w:rFonts w:hint="eastAsia"/>
                <w:lang w:val="en-US" w:eastAsia="zh-CN"/>
              </w:rPr>
              <w:t>1</w:t>
            </w:r>
          </w:p>
        </w:tc>
        <w:tc>
          <w:tcPr>
            <w:tcW w:w="2246" w:type="dxa"/>
            <w:gridSpan w:val="2"/>
            <w:vAlign w:val="center"/>
          </w:tcPr>
          <w:p>
            <w:pPr>
              <w:pStyle w:val="15"/>
              <w:numPr>
                <w:ilvl w:val="0"/>
                <w:numId w:val="0"/>
              </w:numPr>
              <w:jc w:val="center"/>
              <w:rPr>
                <w:rFonts w:hint="eastAsia"/>
                <w:lang w:val="en-US" w:eastAsia="zh-CN"/>
              </w:rPr>
            </w:pPr>
            <w:r>
              <w:rPr>
                <w:rFonts w:hint="eastAsia"/>
                <w:lang w:val="en-US" w:eastAsia="zh-CN"/>
              </w:rPr>
              <w:t>皮肤科赛诺秀激光治疗设备全保</w:t>
            </w:r>
          </w:p>
        </w:tc>
        <w:tc>
          <w:tcPr>
            <w:tcW w:w="986" w:type="dxa"/>
            <w:gridSpan w:val="2"/>
            <w:vAlign w:val="center"/>
          </w:tcPr>
          <w:p>
            <w:pPr>
              <w:pStyle w:val="15"/>
              <w:numPr>
                <w:ilvl w:val="0"/>
                <w:numId w:val="0"/>
              </w:numPr>
              <w:jc w:val="center"/>
              <w:rPr>
                <w:rFonts w:hint="eastAsia"/>
                <w:lang w:val="en-US" w:eastAsia="zh-CN"/>
              </w:rPr>
            </w:pPr>
            <w:r>
              <w:rPr>
                <w:rFonts w:hint="eastAsia"/>
                <w:lang w:val="en-US" w:eastAsia="zh-CN"/>
              </w:rPr>
              <w:t>年</w:t>
            </w:r>
          </w:p>
        </w:tc>
        <w:tc>
          <w:tcPr>
            <w:tcW w:w="898" w:type="dxa"/>
            <w:vAlign w:val="center"/>
          </w:tcPr>
          <w:p>
            <w:pPr>
              <w:pStyle w:val="15"/>
              <w:numPr>
                <w:ilvl w:val="0"/>
                <w:numId w:val="0"/>
              </w:numPr>
              <w:jc w:val="center"/>
              <w:rPr>
                <w:rFonts w:hint="eastAsia"/>
                <w:lang w:val="en-US" w:eastAsia="zh-CN"/>
              </w:rPr>
            </w:pPr>
            <w:r>
              <w:rPr>
                <w:rFonts w:hint="eastAsia"/>
                <w:lang w:val="en-US" w:eastAsia="zh-CN"/>
              </w:rPr>
              <w:t>1</w:t>
            </w:r>
          </w:p>
        </w:tc>
        <w:tc>
          <w:tcPr>
            <w:tcW w:w="1094" w:type="dxa"/>
            <w:gridSpan w:val="3"/>
            <w:vAlign w:val="center"/>
          </w:tcPr>
          <w:p>
            <w:pPr>
              <w:pStyle w:val="15"/>
              <w:numPr>
                <w:ilvl w:val="0"/>
                <w:numId w:val="0"/>
              </w:numPr>
              <w:jc w:val="center"/>
              <w:rPr>
                <w:rFonts w:hint="eastAsia"/>
                <w:lang w:val="en-US" w:eastAsia="zh-CN"/>
              </w:rPr>
            </w:pPr>
            <w:r>
              <w:rPr>
                <w:rFonts w:hint="eastAsia"/>
                <w:lang w:val="en-US" w:eastAsia="zh-CN"/>
              </w:rPr>
              <w:t>14.7万元</w:t>
            </w:r>
          </w:p>
        </w:tc>
        <w:tc>
          <w:tcPr>
            <w:tcW w:w="1087" w:type="dxa"/>
            <w:vAlign w:val="center"/>
          </w:tcPr>
          <w:p>
            <w:pPr>
              <w:pStyle w:val="15"/>
              <w:numPr>
                <w:ilvl w:val="0"/>
                <w:numId w:val="0"/>
              </w:numPr>
              <w:jc w:val="center"/>
              <w:rPr>
                <w:rFonts w:hint="eastAsia"/>
                <w:lang w:val="en-US" w:eastAsia="zh-CN"/>
              </w:rPr>
            </w:pPr>
            <w:r>
              <w:rPr>
                <w:rFonts w:hint="eastAsia"/>
                <w:lang w:val="en-US" w:eastAsia="zh-CN"/>
              </w:rPr>
              <w:t>自筹</w:t>
            </w:r>
          </w:p>
        </w:tc>
        <w:tc>
          <w:tcPr>
            <w:tcW w:w="1217" w:type="dxa"/>
            <w:gridSpan w:val="2"/>
            <w:vAlign w:val="center"/>
          </w:tcPr>
          <w:p>
            <w:pPr>
              <w:pStyle w:val="15"/>
              <w:numPr>
                <w:ilvl w:val="0"/>
                <w:numId w:val="0"/>
              </w:num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2" w:type="dxa"/>
            <w:gridSpan w:val="3"/>
            <w:vAlign w:val="center"/>
          </w:tcPr>
          <w:p>
            <w:pPr>
              <w:pStyle w:val="15"/>
              <w:numPr>
                <w:ilvl w:val="0"/>
                <w:numId w:val="0"/>
              </w:numPr>
              <w:jc w:val="center"/>
              <w:rPr>
                <w:rFonts w:hint="eastAsia"/>
                <w:lang w:val="en-US" w:eastAsia="zh-CN"/>
              </w:rPr>
            </w:pPr>
            <w:r>
              <w:rPr>
                <w:rFonts w:hint="eastAsia"/>
                <w:lang w:val="en-US" w:eastAsia="zh-CN"/>
              </w:rPr>
              <w:t>合计</w:t>
            </w:r>
          </w:p>
        </w:tc>
        <w:tc>
          <w:tcPr>
            <w:tcW w:w="2246" w:type="dxa"/>
            <w:gridSpan w:val="2"/>
            <w:vAlign w:val="center"/>
          </w:tcPr>
          <w:p>
            <w:pPr>
              <w:pStyle w:val="15"/>
              <w:numPr>
                <w:ilvl w:val="0"/>
                <w:numId w:val="0"/>
              </w:numPr>
              <w:jc w:val="center"/>
              <w:rPr>
                <w:rFonts w:hint="eastAsia"/>
                <w:lang w:val="en-US" w:eastAsia="zh-CN"/>
              </w:rPr>
            </w:pPr>
          </w:p>
        </w:tc>
        <w:tc>
          <w:tcPr>
            <w:tcW w:w="981" w:type="dxa"/>
            <w:vAlign w:val="center"/>
          </w:tcPr>
          <w:p>
            <w:pPr>
              <w:pStyle w:val="15"/>
              <w:numPr>
                <w:ilvl w:val="0"/>
                <w:numId w:val="0"/>
              </w:numPr>
              <w:jc w:val="center"/>
              <w:rPr>
                <w:rFonts w:hint="eastAsia"/>
                <w:lang w:val="en-US" w:eastAsia="zh-CN"/>
              </w:rPr>
            </w:pPr>
          </w:p>
        </w:tc>
        <w:tc>
          <w:tcPr>
            <w:tcW w:w="904" w:type="dxa"/>
            <w:gridSpan w:val="2"/>
            <w:vAlign w:val="center"/>
          </w:tcPr>
          <w:p>
            <w:pPr>
              <w:pStyle w:val="15"/>
              <w:numPr>
                <w:ilvl w:val="0"/>
                <w:numId w:val="0"/>
              </w:numPr>
              <w:jc w:val="center"/>
              <w:rPr>
                <w:rFonts w:hint="eastAsia"/>
                <w:lang w:val="en-US" w:eastAsia="zh-CN"/>
              </w:rPr>
            </w:pPr>
          </w:p>
        </w:tc>
        <w:tc>
          <w:tcPr>
            <w:tcW w:w="1079" w:type="dxa"/>
            <w:vAlign w:val="center"/>
          </w:tcPr>
          <w:p>
            <w:pPr>
              <w:pStyle w:val="15"/>
              <w:numPr>
                <w:ilvl w:val="0"/>
                <w:numId w:val="0"/>
              </w:numPr>
              <w:jc w:val="center"/>
              <w:rPr>
                <w:rFonts w:hint="eastAsia"/>
                <w:lang w:val="en-US" w:eastAsia="zh-CN"/>
              </w:rPr>
            </w:pPr>
          </w:p>
        </w:tc>
        <w:tc>
          <w:tcPr>
            <w:tcW w:w="1101" w:type="dxa"/>
            <w:gridSpan w:val="3"/>
            <w:vAlign w:val="center"/>
          </w:tcPr>
          <w:p>
            <w:pPr>
              <w:pStyle w:val="15"/>
              <w:numPr>
                <w:ilvl w:val="0"/>
                <w:numId w:val="0"/>
              </w:numPr>
              <w:jc w:val="center"/>
              <w:rPr>
                <w:rFonts w:hint="eastAsia"/>
                <w:lang w:val="en-US" w:eastAsia="zh-CN"/>
              </w:rPr>
            </w:pPr>
          </w:p>
        </w:tc>
        <w:tc>
          <w:tcPr>
            <w:tcW w:w="1212" w:type="dxa"/>
            <w:vAlign w:val="center"/>
          </w:tcPr>
          <w:p>
            <w:pPr>
              <w:pStyle w:val="15"/>
              <w:numPr>
                <w:ilvl w:val="0"/>
                <w:numId w:val="0"/>
              </w:num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7" w:type="dxa"/>
            <w:gridSpan w:val="2"/>
            <w:vAlign w:val="center"/>
          </w:tcPr>
          <w:p>
            <w:pPr>
              <w:pStyle w:val="15"/>
              <w:numPr>
                <w:ilvl w:val="0"/>
                <w:numId w:val="0"/>
              </w:numPr>
              <w:rPr>
                <w:rFonts w:hint="eastAsia"/>
                <w:lang w:val="en-US" w:eastAsia="zh-CN"/>
              </w:rPr>
            </w:pPr>
            <w:r>
              <w:rPr>
                <w:rFonts w:hint="eastAsia"/>
                <w:lang w:val="en-US" w:eastAsia="zh-CN"/>
              </w:rPr>
              <w:t>备注</w:t>
            </w:r>
          </w:p>
        </w:tc>
        <w:tc>
          <w:tcPr>
            <w:tcW w:w="7528" w:type="dxa"/>
            <w:gridSpan w:val="11"/>
            <w:vAlign w:val="center"/>
          </w:tcPr>
          <w:p>
            <w:pPr>
              <w:pStyle w:val="15"/>
              <w:numPr>
                <w:ilvl w:val="0"/>
                <w:numId w:val="0"/>
              </w:numPr>
              <w:rPr>
                <w:rFonts w:hint="eastAsia"/>
                <w:lang w:val="en-US" w:eastAsia="zh-CN"/>
              </w:rPr>
            </w:pPr>
            <w:r>
              <w:rPr>
                <w:rFonts w:hint="eastAsia"/>
                <w:lang w:val="en-US" w:eastAsia="zh-CN"/>
              </w:rPr>
              <w:t>皮肤科赛诺秀激光共计一台，设备规格型号为Cynergy(CYDH0621)。</w:t>
            </w:r>
          </w:p>
        </w:tc>
      </w:tr>
    </w:tbl>
    <w:p>
      <w:pPr>
        <w:pStyle w:val="14"/>
        <w:keepNext w:val="0"/>
        <w:keepLines w:val="0"/>
        <w:pageBreakBefore w:val="0"/>
        <w:widowControl/>
        <w:kinsoku/>
        <w:wordWrap/>
        <w:overflowPunct/>
        <w:topLinePunct w:val="0"/>
        <w:autoSpaceDE/>
        <w:autoSpaceDN/>
        <w:bidi w:val="0"/>
        <w:adjustRightInd/>
        <w:snapToGrid w:val="0"/>
        <w:spacing w:before="161" w:beforeLines="50" w:beforeAutospacing="0" w:afterAutospacing="0" w:line="360" w:lineRule="auto"/>
        <w:ind w:firstLine="420" w:firstLineChars="200"/>
        <w:jc w:val="both"/>
        <w:textAlignment w:val="auto"/>
        <w:rPr>
          <w:rFonts w:hint="eastAsia"/>
          <w:b w:val="0"/>
          <w:bCs w:val="0"/>
          <w:sz w:val="21"/>
          <w:szCs w:val="21"/>
          <w:lang w:val="en-US" w:eastAsia="zh-CN"/>
        </w:rPr>
      </w:pPr>
      <w:r>
        <w:rPr>
          <w:rFonts w:hint="eastAsia" w:cs="宋体"/>
          <w:b w:val="0"/>
          <w:bCs w:val="0"/>
          <w:kern w:val="2"/>
          <w:sz w:val="21"/>
          <w:szCs w:val="21"/>
          <w:lang w:val="en-US" w:eastAsia="zh-CN" w:bidi="ar-SA"/>
        </w:rPr>
        <w:t>三</w:t>
      </w:r>
      <w:r>
        <w:rPr>
          <w:rFonts w:hint="eastAsia" w:ascii="宋体" w:hAnsi="宋体" w:eastAsia="宋体" w:cs="宋体"/>
          <w:b w:val="0"/>
          <w:bCs w:val="0"/>
          <w:kern w:val="2"/>
          <w:sz w:val="21"/>
          <w:szCs w:val="21"/>
          <w:lang w:val="en-US" w:eastAsia="zh-CN" w:bidi="ar-SA"/>
        </w:rPr>
        <w:t>、</w:t>
      </w:r>
      <w:r>
        <w:rPr>
          <w:rFonts w:hint="eastAsia" w:ascii="宋体" w:hAnsi="宋体" w:eastAsia="宋体" w:cs="宋体"/>
          <w:b w:val="0"/>
          <w:bCs w:val="0"/>
          <w:kern w:val="2"/>
          <w:sz w:val="21"/>
          <w:szCs w:val="21"/>
          <w:highlight w:val="none"/>
          <w:u w:val="none"/>
          <w:lang w:val="en-US" w:eastAsia="zh-CN" w:bidi="ar-SA"/>
        </w:rPr>
        <w:t>技术</w:t>
      </w:r>
      <w:r>
        <w:rPr>
          <w:rFonts w:hint="eastAsia" w:ascii="宋体" w:hAnsi="宋体" w:cs="宋体"/>
          <w:b w:val="0"/>
          <w:bCs w:val="0"/>
          <w:kern w:val="2"/>
          <w:sz w:val="21"/>
          <w:szCs w:val="21"/>
          <w:highlight w:val="none"/>
          <w:u w:val="none"/>
          <w:lang w:val="en-US" w:eastAsia="zh-CN" w:bidi="ar-SA"/>
        </w:rPr>
        <w:t>商务</w:t>
      </w:r>
      <w:r>
        <w:rPr>
          <w:rFonts w:hint="eastAsia" w:ascii="宋体" w:hAnsi="宋体" w:eastAsia="宋体" w:cs="宋体"/>
          <w:b w:val="0"/>
          <w:bCs w:val="0"/>
          <w:kern w:val="2"/>
          <w:sz w:val="21"/>
          <w:szCs w:val="21"/>
          <w:highlight w:val="none"/>
          <w:u w:val="none"/>
          <w:lang w:val="en-US" w:eastAsia="zh-CN" w:bidi="ar-SA"/>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1.技术要求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w:t>
      </w:r>
      <w:r>
        <w:rPr>
          <w:rFonts w:hint="eastAsia" w:ascii="宋体" w:hAnsi="宋体" w:eastAsia="宋体" w:cs="宋体"/>
          <w:b w:val="0"/>
          <w:bCs w:val="0"/>
          <w:i w:val="0"/>
          <w:iCs/>
          <w:sz w:val="21"/>
          <w:szCs w:val="21"/>
          <w:u w:val="none"/>
          <w:lang w:val="en-US" w:eastAsia="zh-CN"/>
        </w:rPr>
        <w:tab/>
      </w:r>
      <w:r>
        <w:rPr>
          <w:rFonts w:hint="eastAsia" w:ascii="宋体" w:hAnsi="宋体" w:eastAsia="宋体" w:cs="宋体"/>
          <w:b w:val="0"/>
          <w:bCs w:val="0"/>
          <w:i w:val="0"/>
          <w:iCs/>
          <w:sz w:val="21"/>
          <w:szCs w:val="21"/>
          <w:u w:val="none"/>
          <w:lang w:val="en-US" w:eastAsia="zh-CN"/>
        </w:rPr>
        <w:t>保修期内每年至少提供4次设备维护保养，包含但不限于如下项目：设备清洁、性能测试及校准、必要的电气环境检测等，使之保持原厂QC标准或国家质量监督部门的标准，并提供保养清单。</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2)</w:t>
      </w:r>
      <w:r>
        <w:rPr>
          <w:rFonts w:hint="eastAsia" w:ascii="宋体" w:hAnsi="宋体" w:eastAsia="宋体" w:cs="宋体"/>
          <w:b w:val="0"/>
          <w:bCs w:val="0"/>
          <w:i w:val="0"/>
          <w:iCs/>
          <w:sz w:val="21"/>
          <w:szCs w:val="21"/>
          <w:u w:val="none"/>
          <w:lang w:val="en-US" w:eastAsia="zh-CN"/>
        </w:rPr>
        <w:tab/>
      </w:r>
      <w:r>
        <w:rPr>
          <w:rFonts w:hint="eastAsia" w:ascii="宋体" w:hAnsi="宋体" w:eastAsia="宋体" w:cs="宋体"/>
          <w:b w:val="0"/>
          <w:bCs w:val="0"/>
          <w:i w:val="0"/>
          <w:iCs/>
          <w:sz w:val="21"/>
          <w:szCs w:val="21"/>
          <w:u w:val="none"/>
          <w:lang w:val="en-US" w:eastAsia="zh-CN"/>
        </w:rPr>
        <w:t>每次维修保养更换配件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3)为本医院配置具备维修资质的固定工程师不少于2人，本设备维修经验不少于2年，需提供证明材料（培训证书）和承诺函。</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4)</w:t>
      </w:r>
      <w:r>
        <w:rPr>
          <w:rFonts w:hint="eastAsia" w:ascii="宋体" w:hAnsi="宋体" w:eastAsia="宋体" w:cs="宋体"/>
          <w:b w:val="0"/>
          <w:bCs w:val="0"/>
          <w:i w:val="0"/>
          <w:iCs/>
          <w:sz w:val="21"/>
          <w:szCs w:val="21"/>
          <w:u w:val="none"/>
          <w:lang w:val="en-US" w:eastAsia="zh-CN"/>
        </w:rPr>
        <w:tab/>
      </w:r>
      <w:r>
        <w:rPr>
          <w:rFonts w:hint="eastAsia" w:ascii="宋体" w:hAnsi="宋体" w:eastAsia="宋体" w:cs="宋体"/>
          <w:b w:val="0"/>
          <w:bCs w:val="0"/>
          <w:i w:val="0"/>
          <w:iCs/>
          <w:sz w:val="21"/>
          <w:szCs w:val="21"/>
          <w:u w:val="none"/>
          <w:lang w:val="en-US" w:eastAsia="zh-CN"/>
        </w:rPr>
        <w:t>所换备件必须是全新合格的产品，并满足设备运行要求, 进口配件需提供商检及海关报关单等材料。因所换备件造成的设备故障及医院损失，由投标人全权负责。</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5)</w:t>
      </w:r>
      <w:r>
        <w:rPr>
          <w:rFonts w:hint="eastAsia" w:ascii="宋体" w:hAnsi="宋体" w:eastAsia="宋体" w:cs="宋体"/>
          <w:b w:val="0"/>
          <w:bCs w:val="0"/>
          <w:i w:val="0"/>
          <w:iCs/>
          <w:sz w:val="21"/>
          <w:szCs w:val="21"/>
          <w:u w:val="none"/>
          <w:lang w:val="en-US" w:eastAsia="zh-CN"/>
        </w:rPr>
        <w:tab/>
      </w:r>
      <w:r>
        <w:rPr>
          <w:rFonts w:hint="eastAsia" w:ascii="宋体" w:hAnsi="宋体" w:eastAsia="宋体" w:cs="宋体"/>
          <w:b w:val="0"/>
          <w:bCs w:val="0"/>
          <w:i w:val="0"/>
          <w:iCs/>
          <w:sz w:val="21"/>
          <w:szCs w:val="21"/>
          <w:u w:val="none"/>
          <w:lang w:val="en-US" w:eastAsia="zh-CN"/>
        </w:rPr>
        <w:t>软硬件及工作站免费安全升级，并开放维修密码等。</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6)</w:t>
      </w:r>
      <w:r>
        <w:rPr>
          <w:rFonts w:hint="eastAsia" w:ascii="宋体" w:hAnsi="宋体" w:eastAsia="宋体" w:cs="宋体"/>
          <w:b w:val="0"/>
          <w:bCs w:val="0"/>
          <w:i w:val="0"/>
          <w:iCs/>
          <w:sz w:val="21"/>
          <w:szCs w:val="21"/>
          <w:u w:val="none"/>
          <w:lang w:val="en-US" w:eastAsia="zh-CN"/>
        </w:rPr>
        <w:tab/>
      </w:r>
      <w:r>
        <w:rPr>
          <w:rFonts w:hint="eastAsia" w:ascii="宋体" w:hAnsi="宋体" w:eastAsia="宋体" w:cs="宋体"/>
          <w:b w:val="0"/>
          <w:bCs w:val="0"/>
          <w:i w:val="0"/>
          <w:iCs/>
          <w:sz w:val="21"/>
          <w:szCs w:val="21"/>
          <w:u w:val="none"/>
          <w:lang w:val="en-US" w:eastAsia="zh-CN"/>
        </w:rPr>
        <w:t>提供24小时远程技术支持及临床应用支持，签署由招标人提供的信息系统数据安全保密承诺书。</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7）配件故障时不维修，直接更换备件且备件无限次更换；</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8）须国内有备件库</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9）如需更换备件，国内备件仓库有货的备件在2个工作日内送达医院，进口配件5个工作日送达；非标件和不可抗力除外</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10）定期进行安全检查及质量保障，保证24h*365天维修热线连接；提供全国400热线服务电话</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11）紧急人工和工程师现场紧急维修服务；</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12）提供ISO9001和13485质量认证证书</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13）工程师需配备有专用工具，工程师的工具符合国家检测和校准的规定（提供相关校准证明）</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14）保修期最后一个月内更换的配件，中标公司应保证自更换之日起三个月内正常使用，如三个月内出现故障，由中标公司承担维修费用。</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15）须有具备应用培训工程师且提供原厂认证的培训证书。</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16） 对我院的维修工程师提供每年至少2人次的专业培训，并提供培训证明材料。</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17）每年制定临床使用人员的使用维护培训计划，按计划进行培训并提供记录。</w:t>
      </w:r>
    </w:p>
    <w:p>
      <w:pPr>
        <w:bidi w:val="0"/>
        <w:rPr>
          <w:rFonts w:hint="eastAsia"/>
          <w:lang w:val="en-US" w:eastAsia="zh-CN"/>
        </w:rPr>
      </w:pPr>
      <w:r>
        <w:rPr>
          <w:rFonts w:hint="eastAsia"/>
          <w:lang w:val="en-US" w:eastAsia="zh-CN"/>
        </w:rPr>
        <w:t xml:space="preserve"> </w:t>
      </w:r>
    </w:p>
    <w:p>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20分钟内电话响应，2小时内工程师到达现场，一般故障24小时内维修完毕。如需外地专家支持，4小时内响应，24小时内到达现场。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i w:val="0"/>
                <w:iCs/>
                <w:sz w:val="21"/>
                <w:szCs w:val="21"/>
                <w:u w:val="none"/>
                <w:lang w:val="en-US" w:eastAsia="zh-CN"/>
              </w:rPr>
              <w:t>周一至周日，7天24小时包括法定节假日</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先服务后付款，服务六个月之后支付50%合同款，服务期满后支付余下50%合同款。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r>
              <w:rPr>
                <w:rFonts w:hint="eastAsia" w:cs="宋体"/>
                <w:sz w:val="21"/>
                <w:szCs w:val="21"/>
                <w:lang w:val="en-US" w:eastAsia="zh-CN"/>
              </w:rPr>
              <w:t>，投标人保证我院保修的设备正常开机率大于95% （一年按365天计算），且单次维修不能超过1天，否则设备维修占用日期每增加一天，保修时间往后顺延七天</w:t>
            </w:r>
            <w:r>
              <w:rPr>
                <w:rFonts w:hint="eastAsia" w:ascii="宋体" w:hAnsi="宋体" w:eastAsia="宋体" w:cs="宋体"/>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驻马店市中心医院皮肤科赛诺秀激光治疗设备全保项目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14.7万元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14.7万元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：14.7万元</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w:t>
      </w:r>
      <w:r>
        <w:rPr>
          <w:rFonts w:hint="eastAsia" w:ascii="宋体" w:hAnsi="宋体" w:cs="宋体"/>
          <w:color w:val="auto"/>
          <w:kern w:val="2"/>
          <w:sz w:val="21"/>
          <w:szCs w:val="24"/>
          <w:lang w:val="en-US" w:eastAsia="zh-CN" w:bidi="ar-SA"/>
        </w:rPr>
        <w:t xml:space="preserve"> </w:t>
      </w:r>
      <w:r>
        <w:rPr>
          <w:rFonts w:hint="eastAsia" w:ascii="宋体" w:hAnsi="宋体" w:eastAsia="宋体" w:cs="宋体"/>
          <w:color w:val="auto"/>
          <w:kern w:val="2"/>
          <w:sz w:val="21"/>
          <w:szCs w:val="24"/>
          <w:lang w:val="en-US" w:eastAsia="zh-CN" w:bidi="ar-SA"/>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w:t>
      </w:r>
      <w:r>
        <w:rPr>
          <w:rFonts w:hint="eastAsia" w:ascii="宋体" w:hAnsi="宋体" w:cs="宋体"/>
          <w:color w:val="auto"/>
          <w:kern w:val="2"/>
          <w:sz w:val="21"/>
          <w:szCs w:val="24"/>
          <w:lang w:val="en-US" w:eastAsia="zh-CN" w:bidi="ar-SA"/>
        </w:rPr>
        <w:t xml:space="preserve">2 </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pStyle w:val="30"/>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 xml:space="preserve">4.3 </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 xml:space="preserve">4.4 </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4.5 特定资格要求：（1）供应商须具有医疗器械经营许可证，是在中华人民共和国境内注册的设备原制造厂商或原制造厂商授权的单位或具备相关设备维修能力的单位（提供证明文件）。（2）须提供同品牌同型号或高于该品牌型号的维保服务（全保）业绩。</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 xml:space="preserve">4.6 </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完全满足招标文件第二章 采购需求 二、技术要求”的得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制定的年度服务报告、维修报告、维保报告、巡查报告制度，设备常见故障分析及预防措施，设备维保应急响应方案。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yellow"/>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w:t>
            </w:r>
            <w:r>
              <w:rPr>
                <w:rFonts w:hint="eastAsia" w:ascii="宋体" w:hAnsi="宋体" w:cs="宋体"/>
                <w:lang w:val="en-US" w:eastAsia="zh-CN"/>
              </w:rPr>
              <w:t>8</w:t>
            </w:r>
            <w:r>
              <w:rPr>
                <w:rFonts w:hint="eastAsia" w:ascii="宋体" w:hAnsi="宋体" w:eastAsia="宋体" w:cs="宋体"/>
              </w:rPr>
              <w:t>-1</w:t>
            </w:r>
            <w:r>
              <w:rPr>
                <w:rFonts w:hint="eastAsia" w:ascii="宋体" w:hAnsi="宋体" w:cs="宋体"/>
                <w:lang w:val="en-US" w:eastAsia="zh-CN"/>
              </w:rPr>
              <w:t>1</w:t>
            </w:r>
            <w:r>
              <w:rPr>
                <w:rFonts w:hint="eastAsia" w:ascii="宋体" w:hAnsi="宋体" w:eastAsia="宋体" w:cs="宋体"/>
              </w:rPr>
              <w:t>分，具体、完善、合理性程度一般得</w:t>
            </w:r>
            <w:r>
              <w:rPr>
                <w:rFonts w:hint="eastAsia" w:ascii="宋体" w:hAnsi="宋体" w:cs="宋体"/>
                <w:lang w:val="en-US" w:eastAsia="zh-CN"/>
              </w:rPr>
              <w:t>4</w:t>
            </w:r>
            <w:r>
              <w:rPr>
                <w:rFonts w:hint="eastAsia" w:ascii="宋体" w:hAnsi="宋体" w:eastAsia="宋体" w:cs="宋体"/>
              </w:rPr>
              <w:t>-</w:t>
            </w:r>
            <w:r>
              <w:rPr>
                <w:rFonts w:hint="eastAsia" w:ascii="宋体" w:hAnsi="宋体" w:cs="宋体"/>
                <w:lang w:val="en-US" w:eastAsia="zh-CN"/>
              </w:rPr>
              <w:t>7</w:t>
            </w:r>
            <w:r>
              <w:rPr>
                <w:rFonts w:hint="eastAsia" w:ascii="宋体" w:hAnsi="宋体" w:eastAsia="宋体" w:cs="宋体"/>
              </w:rPr>
              <w:t>分，具体、完善、合理性程度差得1-</w:t>
            </w:r>
            <w:r>
              <w:rPr>
                <w:rFonts w:hint="eastAsia" w:ascii="宋体" w:hAnsi="宋体" w:cs="宋体"/>
                <w:lang w:val="en-US" w:eastAsia="zh-CN"/>
              </w:rPr>
              <w:t>3</w:t>
            </w:r>
            <w:r>
              <w:rPr>
                <w:rFonts w:hint="eastAsia" w:ascii="宋体" w:hAnsi="宋体" w:eastAsia="宋体" w:cs="宋体"/>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947"/>
      <w:bookmarkStart w:id="42" w:name="_Toc1482"/>
      <w:bookmarkStart w:id="43" w:name="_Toc256519703"/>
      <w:bookmarkStart w:id="44" w:name="_Toc326786897"/>
    </w:p>
    <w:p>
      <w:pPr>
        <w:pStyle w:val="2"/>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rFonts w:hint="default"/>
          <w:color w:val="auto"/>
          <w:sz w:val="24"/>
          <w:highlight w:val="none"/>
          <w:lang w:val="en-US"/>
        </w:rPr>
      </w:pPr>
      <w:bookmarkStart w:id="51" w:name="_Toc9579"/>
      <w:r>
        <w:rPr>
          <w:rFonts w:hint="eastAsia"/>
          <w:color w:val="auto"/>
          <w:sz w:val="24"/>
          <w:highlight w:val="none"/>
        </w:rPr>
        <w:t xml:space="preserve">附件4 </w:t>
      </w:r>
      <w:bookmarkEnd w:id="51"/>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2"/>
    </w:p>
    <w:p>
      <w:pPr>
        <w:snapToGrid w:val="0"/>
        <w:spacing w:line="360" w:lineRule="auto"/>
        <w:ind w:firstLine="480" w:firstLineChars="200"/>
        <w:rPr>
          <w:rFonts w:hint="eastAsia" w:eastAsia="宋体"/>
          <w:color w:val="auto"/>
          <w:sz w:val="24"/>
          <w:highlight w:val="none"/>
          <w:lang w:val="en-US" w:eastAsia="zh-CN"/>
        </w:rPr>
      </w:pPr>
      <w:bookmarkStart w:id="53" w:name="_Toc6234"/>
      <w:r>
        <w:rPr>
          <w:rFonts w:hint="eastAsia"/>
          <w:color w:val="auto"/>
          <w:sz w:val="24"/>
          <w:highlight w:val="none"/>
        </w:rPr>
        <w:t>附件6 商务</w:t>
      </w:r>
      <w:bookmarkEnd w:id="53"/>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5"/>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附件9 证明文件</w:t>
      </w:r>
      <w:bookmarkEnd w:id="56"/>
    </w:p>
    <w:p>
      <w:pPr>
        <w:snapToGrid w:val="0"/>
        <w:spacing w:line="360" w:lineRule="auto"/>
        <w:ind w:firstLine="480" w:firstLineChars="200"/>
        <w:rPr>
          <w:rFonts w:hint="eastAsia"/>
          <w:color w:val="auto"/>
          <w:sz w:val="24"/>
          <w:highlight w:val="none"/>
        </w:rPr>
      </w:pPr>
      <w:bookmarkStart w:id="57" w:name="_Toc23116"/>
      <w:r>
        <w:rPr>
          <w:rFonts w:hint="eastAsia"/>
          <w:color w:val="auto"/>
          <w:sz w:val="24"/>
          <w:highlight w:val="none"/>
        </w:rPr>
        <w:t>附件10 供应商承诺书（格式）</w:t>
      </w:r>
      <w:bookmarkEnd w:id="57"/>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6"/>
        <w:rPr>
          <w:color w:val="auto"/>
          <w:highlight w:val="none"/>
        </w:rPr>
      </w:pPr>
      <w:bookmarkStart w:id="58" w:name="_Toc31798"/>
      <w:bookmarkStart w:id="59" w:name="_Toc24743"/>
      <w:r>
        <w:rPr>
          <w:rFonts w:hint="eastAsia"/>
          <w:color w:val="auto"/>
          <w:highlight w:val="none"/>
        </w:rPr>
        <w:t>附件1               投标文件封面（格式）</w:t>
      </w:r>
      <w:bookmarkEnd w:id="58"/>
      <w:bookmarkEnd w:id="59"/>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0" w:name="_Toc14560"/>
      <w:bookmarkStart w:id="61" w:name="_Toc8818"/>
      <w:r>
        <w:rPr>
          <w:rFonts w:hint="eastAsia"/>
          <w:color w:val="auto"/>
          <w:highlight w:val="none"/>
        </w:rPr>
        <w:t>附件2               投  标  书（格式）</w:t>
      </w:r>
      <w:bookmarkEnd w:id="60"/>
      <w:bookmarkEnd w:id="61"/>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color w:val="auto"/>
          <w:highlight w:val="none"/>
        </w:rPr>
      </w:pPr>
      <w:bookmarkStart w:id="62" w:name="_Toc7838"/>
      <w:r>
        <w:rPr>
          <w:rFonts w:hint="eastAsia"/>
          <w:color w:val="auto"/>
          <w:highlight w:val="none"/>
        </w:rPr>
        <w:t>附件3               开标一览表</w:t>
      </w:r>
      <w:bookmarkEnd w:id="62"/>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sz w:val="24"/>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3" w:name="_Toc20877"/>
      <w:bookmarkStart w:id="64"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3"/>
      <w:bookmarkEnd w:id="64"/>
    </w:p>
    <w:p>
      <w:pPr>
        <w:spacing w:line="360" w:lineRule="auto"/>
        <w:ind w:firstLine="420" w:firstLineChars="200"/>
        <w:jc w:val="center"/>
        <w:rPr>
          <w:rFonts w:ascii="宋体" w:hAnsi="宋体"/>
          <w:color w:val="auto"/>
          <w:szCs w:val="21"/>
          <w:highlight w:val="none"/>
          <w:u w:val="single"/>
        </w:rPr>
      </w:pPr>
      <w:bookmarkStart w:id="65" w:name="_Toc12222"/>
      <w:bookmarkStart w:id="66"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5"/>
      <w:bookmarkEnd w:id="66"/>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67" w:name="_Toc9950"/>
      <w:bookmarkStart w:id="68" w:name="_Toc1330"/>
      <w:r>
        <w:rPr>
          <w:rFonts w:hint="eastAsia" w:ascii="宋体" w:hAnsi="宋体"/>
          <w:color w:val="auto"/>
          <w:szCs w:val="21"/>
          <w:highlight w:val="none"/>
        </w:rPr>
        <w:t>年  月  日</w:t>
      </w:r>
      <w:bookmarkEnd w:id="67"/>
      <w:bookmarkEnd w:id="68"/>
    </w:p>
    <w:p>
      <w:pPr>
        <w:rPr>
          <w:color w:val="auto"/>
          <w:highlight w:val="none"/>
        </w:rPr>
      </w:pPr>
    </w:p>
    <w:bookmarkEnd w:id="43"/>
    <w:bookmarkEnd w:id="44"/>
    <w:p>
      <w:pPr>
        <w:spacing w:before="20" w:after="20"/>
        <w:outlineLvl w:val="9"/>
        <w:rPr>
          <w:rFonts w:hint="eastAsia" w:eastAsia="黑体"/>
          <w:color w:val="000000" w:themeColor="text1"/>
          <w:highlight w:val="none"/>
          <w:lang w:eastAsia="zh-CN"/>
          <w14:textFill>
            <w14:solidFill>
              <w14:schemeClr w14:val="tx1"/>
            </w14:solidFill>
          </w14:textFill>
        </w:rPr>
      </w:pPr>
      <w:bookmarkStart w:id="69" w:name="_Toc24984"/>
      <w:bookmarkStart w:id="70" w:name="_Toc2200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6"/>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9"/>
      <w:bookmarkEnd w:id="70"/>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6"/>
        <w:rPr>
          <w:rFonts w:hint="eastAsia" w:eastAsia="黑体"/>
          <w:color w:val="auto"/>
          <w:highlight w:val="none"/>
          <w:lang w:val="en-US" w:eastAsia="zh-CN"/>
        </w:rPr>
      </w:pPr>
      <w:r>
        <w:rPr>
          <w:rFonts w:hint="eastAsia"/>
          <w:color w:val="auto"/>
          <w:highlight w:val="none"/>
        </w:rPr>
        <w:br w:type="page"/>
      </w:r>
      <w:bookmarkStart w:id="71" w:name="_Toc226"/>
      <w:bookmarkStart w:id="72" w:name="_Toc15804"/>
      <w:r>
        <w:rPr>
          <w:rFonts w:hint="eastAsia"/>
          <w:color w:val="auto"/>
          <w:highlight w:val="none"/>
        </w:rPr>
        <w:t xml:space="preserve">附件5         </w:t>
      </w:r>
      <w:bookmarkEnd w:id="71"/>
      <w:bookmarkEnd w:id="72"/>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3" w:name="_Toc20420"/>
      <w:bookmarkStart w:id="74" w:name="_Toc29960"/>
      <w:r>
        <w:rPr>
          <w:rFonts w:hint="eastAsia" w:ascii="Arial" w:hAnsi="Arial" w:eastAsia="新宋体"/>
          <w:b/>
          <w:color w:val="auto"/>
          <w:sz w:val="28"/>
          <w:highlight w:val="none"/>
        </w:rPr>
        <w:t>附件6               商务响应</w:t>
      </w:r>
      <w:bookmarkEnd w:id="73"/>
      <w:bookmarkEnd w:id="74"/>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5" w:name="_Toc28621"/>
      <w:bookmarkStart w:id="76"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5"/>
      <w:bookmarkEnd w:id="76"/>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7" w:name="_Toc13976"/>
      <w:bookmarkStart w:id="78" w:name="_Toc30519"/>
      <w:r>
        <w:rPr>
          <w:rFonts w:hint="eastAsia" w:ascii="Arial" w:hAnsi="Arial" w:eastAsia="新宋体"/>
          <w:b/>
          <w:color w:val="auto"/>
          <w:sz w:val="28"/>
          <w:highlight w:val="none"/>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9" w:name="_Toc24693"/>
      <w:bookmarkStart w:id="80" w:name="_Toc18105"/>
      <w:r>
        <w:rPr>
          <w:rFonts w:hint="eastAsia" w:ascii="Arial" w:hAnsi="Arial" w:eastAsia="新宋体"/>
          <w:b/>
          <w:color w:val="auto"/>
          <w:sz w:val="28"/>
          <w:highlight w:val="none"/>
        </w:rPr>
        <w:t>附件9               证明文件</w:t>
      </w:r>
      <w:bookmarkEnd w:id="79"/>
      <w:bookmarkEnd w:id="80"/>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1" w:name="_Toc17966"/>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0"/>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2" w:name="_Toc12888"/>
      <w:bookmarkStart w:id="83" w:name="_Toc13726"/>
      <w:r>
        <w:rPr>
          <w:rFonts w:hint="eastAsia" w:ascii="宋体" w:hAnsi="宋体" w:cs="Lucida Sans Unicode"/>
          <w:b/>
          <w:color w:val="auto"/>
          <w:kern w:val="0"/>
          <w:sz w:val="28"/>
          <w:szCs w:val="28"/>
          <w:highlight w:val="none"/>
        </w:rPr>
        <w:t xml:space="preserve">附件10        </w:t>
      </w:r>
      <w:bookmarkEnd w:id="81"/>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2"/>
      <w:bookmarkEnd w:id="83"/>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4" w:name="_Toc23394"/>
      <w:bookmarkStart w:id="85" w:name="_Toc250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4"/>
      <w:bookmarkEnd w:id="85"/>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rPr>
    </w:pPr>
    <w:r>
      <w:rPr>
        <w:rFonts w:hint="eastAsia" w:ascii="宋体" w:hAnsi="宋体" w:cs="宋体"/>
        <w:color w:val="auto"/>
        <w:szCs w:val="21"/>
        <w:highlight w:val="none"/>
        <w:shd w:val="clear" w:color="auto" w:fill="FFFFFF"/>
        <w:lang w:val="en-US" w:eastAsia="zh-CN"/>
      </w:rPr>
      <w:t>驻马店市中心医院皮肤科赛诺秀激光治疗设备全保项目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rPr>
    </w:pPr>
    <w:r>
      <w:rPr>
        <w:rFonts w:hint="eastAsia" w:ascii="宋体" w:hAnsi="宋体" w:cs="宋体"/>
        <w:color w:val="auto"/>
        <w:szCs w:val="21"/>
        <w:highlight w:val="none"/>
        <w:shd w:val="clear" w:color="auto" w:fill="FFFFFF"/>
        <w:lang w:val="en-US" w:eastAsia="zh-CN"/>
      </w:rPr>
      <w:t>驻马店市中心医院皮肤科赛诺秀激光治疗设备全保项目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abstractNum w:abstractNumId="3">
    <w:nsid w:val="64C2BA41"/>
    <w:multiLevelType w:val="singleLevel"/>
    <w:tmpl w:val="64C2BA41"/>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A3C68"/>
    <w:rsid w:val="05AB0A28"/>
    <w:rsid w:val="05AB0F81"/>
    <w:rsid w:val="05B93D6B"/>
    <w:rsid w:val="05D53002"/>
    <w:rsid w:val="05D75738"/>
    <w:rsid w:val="05F17CC7"/>
    <w:rsid w:val="061E7D14"/>
    <w:rsid w:val="06446B44"/>
    <w:rsid w:val="06560AED"/>
    <w:rsid w:val="066469C9"/>
    <w:rsid w:val="066646A1"/>
    <w:rsid w:val="06983B20"/>
    <w:rsid w:val="069A3B6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D206F0"/>
    <w:rsid w:val="0A321AC2"/>
    <w:rsid w:val="0A342A25"/>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6C40D7"/>
    <w:rsid w:val="0D735465"/>
    <w:rsid w:val="0DC577E0"/>
    <w:rsid w:val="0DDC6319"/>
    <w:rsid w:val="0E0C0D4C"/>
    <w:rsid w:val="0E115DA1"/>
    <w:rsid w:val="0E162D6D"/>
    <w:rsid w:val="0E2126D9"/>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450DE"/>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BE19D3"/>
    <w:rsid w:val="17C227C0"/>
    <w:rsid w:val="17D66D7C"/>
    <w:rsid w:val="17EE5BFF"/>
    <w:rsid w:val="17FC0C1E"/>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D354A"/>
    <w:rsid w:val="1D6E2950"/>
    <w:rsid w:val="1D98209B"/>
    <w:rsid w:val="1DA23746"/>
    <w:rsid w:val="1DAA14B9"/>
    <w:rsid w:val="1DD04513"/>
    <w:rsid w:val="1DDD2BCB"/>
    <w:rsid w:val="1E0345E3"/>
    <w:rsid w:val="1E1B7B7F"/>
    <w:rsid w:val="1E380731"/>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7470F"/>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C05550"/>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025A64"/>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AB95BD9"/>
    <w:rsid w:val="2AC55177"/>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B03CB2"/>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677675"/>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E21C17"/>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9D35E8"/>
    <w:rsid w:val="3DA53531"/>
    <w:rsid w:val="3DB54E0C"/>
    <w:rsid w:val="3DB900C1"/>
    <w:rsid w:val="3DDB7ECF"/>
    <w:rsid w:val="3DE91725"/>
    <w:rsid w:val="3DF159B1"/>
    <w:rsid w:val="3E1A106E"/>
    <w:rsid w:val="3E36303B"/>
    <w:rsid w:val="3E526044"/>
    <w:rsid w:val="3E6C2B3A"/>
    <w:rsid w:val="3E8C5311"/>
    <w:rsid w:val="3E8E7E55"/>
    <w:rsid w:val="3EB61473"/>
    <w:rsid w:val="3EC66011"/>
    <w:rsid w:val="3F315E6B"/>
    <w:rsid w:val="3F5175E2"/>
    <w:rsid w:val="3F56276A"/>
    <w:rsid w:val="3F6C10E0"/>
    <w:rsid w:val="3F963015"/>
    <w:rsid w:val="3F964D35"/>
    <w:rsid w:val="3FA327ED"/>
    <w:rsid w:val="3FB11738"/>
    <w:rsid w:val="3FB5581B"/>
    <w:rsid w:val="3FC33D05"/>
    <w:rsid w:val="3FC357FB"/>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CA7FB0"/>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D93D43"/>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41FE0"/>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27936"/>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3F1DB4"/>
    <w:rsid w:val="6340438B"/>
    <w:rsid w:val="6353238E"/>
    <w:rsid w:val="63612AB8"/>
    <w:rsid w:val="63620A31"/>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4D4C07"/>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ED7C80"/>
    <w:rsid w:val="6EF773A4"/>
    <w:rsid w:val="6F1E2E65"/>
    <w:rsid w:val="6F2F2D9E"/>
    <w:rsid w:val="6F4147D9"/>
    <w:rsid w:val="6F581F47"/>
    <w:rsid w:val="6F5A44AE"/>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0F03B20"/>
    <w:rsid w:val="710952C1"/>
    <w:rsid w:val="71452CD8"/>
    <w:rsid w:val="7158683A"/>
    <w:rsid w:val="715B2F52"/>
    <w:rsid w:val="71764F23"/>
    <w:rsid w:val="71946576"/>
    <w:rsid w:val="71967E84"/>
    <w:rsid w:val="71A61873"/>
    <w:rsid w:val="71AF4936"/>
    <w:rsid w:val="71B12351"/>
    <w:rsid w:val="71D75D0F"/>
    <w:rsid w:val="71E30414"/>
    <w:rsid w:val="721919B3"/>
    <w:rsid w:val="721A6098"/>
    <w:rsid w:val="721D18D3"/>
    <w:rsid w:val="72310D1A"/>
    <w:rsid w:val="725D6B54"/>
    <w:rsid w:val="728A4551"/>
    <w:rsid w:val="72986FA0"/>
    <w:rsid w:val="72A17C99"/>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93874"/>
    <w:rsid w:val="763F09AA"/>
    <w:rsid w:val="764F3FCC"/>
    <w:rsid w:val="7650339F"/>
    <w:rsid w:val="76603C9A"/>
    <w:rsid w:val="76832D41"/>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EE1C79"/>
    <w:rsid w:val="78F85605"/>
    <w:rsid w:val="78FA66FA"/>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347A17"/>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3"/>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qFormat/>
    <w:uiPriority w:val="0"/>
    <w:pPr>
      <w:widowControl/>
      <w:spacing w:beforeAutospacing="1" w:afterAutospacing="1"/>
      <w:jc w:val="left"/>
    </w:pPr>
    <w:rPr>
      <w:rFonts w:ascii="宋体" w:hAnsi="宋体" w:cs="宋体"/>
      <w:kern w:val="0"/>
      <w:sz w:val="24"/>
    </w:rPr>
  </w:style>
  <w:style w:type="paragraph" w:styleId="11">
    <w:name w:val="Document Map"/>
    <w:basedOn w:val="1"/>
    <w:link w:val="75"/>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toc 1"/>
    <w:basedOn w:val="1"/>
    <w:next w:val="1"/>
    <w:qFormat/>
    <w:uiPriority w:val="0"/>
  </w:style>
  <w:style w:type="paragraph" w:styleId="24">
    <w:name w:val="List"/>
    <w:basedOn w:val="1"/>
    <w:autoRedefine/>
    <w:qFormat/>
    <w:uiPriority w:val="0"/>
    <w:pPr>
      <w:ind w:left="200" w:hanging="200" w:hangingChars="200"/>
    </w:pPr>
  </w:style>
  <w:style w:type="paragraph" w:styleId="25">
    <w:name w:val="Body Text 2"/>
    <w:basedOn w:val="1"/>
    <w:next w:val="3"/>
    <w:autoRedefine/>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autoRedefine/>
    <w:qFormat/>
    <w:uiPriority w:val="99"/>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3"/>
    <w:next w:val="31"/>
    <w:autoRedefine/>
    <w:qFormat/>
    <w:uiPriority w:val="0"/>
    <w:pPr>
      <w:spacing w:line="360" w:lineRule="auto"/>
      <w:ind w:firstLine="420" w:firstLineChars="100"/>
    </w:pPr>
    <w:rPr>
      <w:szCs w:val="21"/>
    </w:rPr>
  </w:style>
  <w:style w:type="paragraph" w:styleId="31">
    <w:name w:val="Body Text First Indent 2"/>
    <w:basedOn w:val="14"/>
    <w:next w:val="10"/>
    <w:autoRedefine/>
    <w:qFormat/>
    <w:uiPriority w:val="0"/>
    <w:pPr>
      <w:ind w:firstLine="420" w:firstLineChars="200"/>
    </w:p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qFormat/>
    <w:uiPriority w:val="0"/>
  </w:style>
  <w:style w:type="character" w:styleId="37">
    <w:name w:val="FollowedHyperlink"/>
    <w:autoRedefine/>
    <w:qFormat/>
    <w:uiPriority w:val="0"/>
    <w:rPr>
      <w:color w:val="333333"/>
      <w:szCs w:val="24"/>
      <w:u w:val="none"/>
    </w:rPr>
  </w:style>
  <w:style w:type="character" w:styleId="38">
    <w:name w:val="Emphasis"/>
    <w:basedOn w:val="34"/>
    <w:qFormat/>
    <w:uiPriority w:val="0"/>
  </w:style>
  <w:style w:type="character" w:styleId="39">
    <w:name w:val="HTML Definition"/>
    <w:basedOn w:val="34"/>
    <w:autoRedefine/>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1"/>
    <w:autoRedefine/>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4"/>
    <w:link w:val="3"/>
    <w:qFormat/>
    <w:uiPriority w:val="0"/>
  </w:style>
  <w:style w:type="character" w:customStyle="1" w:styleId="74">
    <w:name w:val="apple-converted-space"/>
    <w:basedOn w:val="34"/>
    <w:qFormat/>
    <w:uiPriority w:val="0"/>
  </w:style>
  <w:style w:type="character" w:customStyle="1" w:styleId="75">
    <w:name w:val="文档结构图 Char"/>
    <w:link w:val="11"/>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autoRedefine/>
    <w:qFormat/>
    <w:uiPriority w:val="0"/>
  </w:style>
  <w:style w:type="table" w:customStyle="1" w:styleId="89">
    <w:name w:val="Table Normal"/>
    <w:qFormat/>
    <w:uiPriority w:val="0"/>
    <w:tblPr>
      <w:tblCellMar>
        <w:top w:w="0" w:type="dxa"/>
        <w:left w:w="0" w:type="dxa"/>
        <w:bottom w:w="0" w:type="dxa"/>
        <w:right w:w="0" w:type="dxa"/>
      </w:tblCellMar>
    </w:tblPr>
  </w:style>
  <w:style w:type="character" w:customStyle="1" w:styleId="90">
    <w:name w:val="font01"/>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1</TotalTime>
  <ScaleCrop>false</ScaleCrop>
  <LinksUpToDate>false</LinksUpToDate>
  <CharactersWithSpaces>22703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2024-01-18T00:16:22Z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B1BE4C19C0F444FA89C430BBCFAE0254_13</vt:lpwstr>
  </property>
</Properties>
</file>