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auto"/>
          <w:sz w:val="48"/>
          <w:szCs w:val="48"/>
          <w:highlight w:val="none"/>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eastAsia" w:ascii="宋体" w:hAnsi="宋体" w:eastAsia="宋体" w:cs="宋体"/>
          <w:b/>
          <w:bCs/>
          <w:color w:val="auto"/>
          <w:sz w:val="48"/>
          <w:szCs w:val="48"/>
          <w:highlight w:val="none"/>
        </w:rPr>
      </w:pPr>
      <w:r>
        <w:rPr>
          <w:rFonts w:hint="eastAsia" w:cs="宋体"/>
          <w:b/>
          <w:bCs/>
          <w:color w:val="auto"/>
          <w:sz w:val="48"/>
          <w:szCs w:val="48"/>
          <w:highlight w:val="none"/>
          <w:lang w:val="en-US" w:eastAsia="zh-CN"/>
        </w:rPr>
        <w:t xml:space="preserve">驻马店市中心医院办公用电脑相关耗材采购项目 </w:t>
      </w:r>
    </w:p>
    <w:p>
      <w:pPr>
        <w:pStyle w:val="19"/>
        <w:bidi w:val="0"/>
        <w:jc w:val="center"/>
        <w:rPr>
          <w:rStyle w:val="44"/>
          <w:rFonts w:hint="eastAsia" w:ascii="宋体" w:hAnsi="宋体" w:eastAsia="宋体" w:cs="宋体"/>
          <w:b/>
          <w:bCs/>
          <w:color w:val="auto"/>
          <w:sz w:val="48"/>
          <w:szCs w:val="48"/>
          <w:highlight w:val="none"/>
        </w:rPr>
      </w:pPr>
    </w:p>
    <w:p>
      <w:pPr>
        <w:pStyle w:val="19"/>
        <w:bidi w:val="0"/>
        <w:jc w:val="center"/>
        <w:rPr>
          <w:rStyle w:val="44"/>
          <w:rFonts w:hint="eastAsia" w:ascii="宋体" w:hAnsi="宋体" w:eastAsia="宋体" w:cs="宋体"/>
          <w:b/>
          <w:bCs/>
          <w:color w:val="auto"/>
          <w:szCs w:val="44"/>
          <w:highlight w:val="none"/>
        </w:rPr>
      </w:pPr>
      <w:r>
        <w:rPr>
          <w:rStyle w:val="44"/>
          <w:rFonts w:hint="eastAsia"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pPr>
        <w:snapToGrid w:val="0"/>
        <w:spacing w:line="380" w:lineRule="exact"/>
        <w:jc w:val="center"/>
        <w:rPr>
          <w:rFonts w:hint="eastAsia" w:ascii="宋体" w:hAnsi="宋体" w:eastAsia="宋体" w:cs="宋体"/>
          <w:b/>
          <w:color w:val="auto"/>
          <w:sz w:val="32"/>
          <w:szCs w:val="32"/>
          <w:highlight w:val="none"/>
        </w:rPr>
      </w:pPr>
    </w:p>
    <w:p>
      <w:pPr>
        <w:pStyle w:val="32"/>
        <w:rPr>
          <w:rFonts w:hint="eastAsia"/>
          <w:color w:val="auto"/>
          <w:highlight w:val="none"/>
        </w:rPr>
      </w:pPr>
    </w:p>
    <w:p>
      <w:pPr>
        <w:pStyle w:val="59"/>
        <w:rPr>
          <w:rFonts w:hint="eastAsia" w:ascii="宋体" w:hAnsi="宋体" w:eastAsia="宋体" w:cs="宋体"/>
          <w:bCs/>
          <w:color w:val="auto"/>
          <w:sz w:val="2"/>
          <w:szCs w:val="2"/>
          <w:highlight w:val="none"/>
        </w:rPr>
      </w:pPr>
    </w:p>
    <w:p>
      <w:pPr>
        <w:rPr>
          <w:rFonts w:hint="eastAsia" w:ascii="宋体" w:hAnsi="宋体" w:eastAsia="宋体" w:cs="宋体"/>
          <w:bCs/>
          <w:color w:val="auto"/>
          <w:sz w:val="2"/>
          <w:szCs w:val="2"/>
          <w:highlight w:val="none"/>
        </w:rPr>
      </w:pPr>
    </w:p>
    <w:p>
      <w:pPr>
        <w:spacing w:line="20" w:lineRule="exact"/>
        <w:rPr>
          <w:rFonts w:hint="eastAsia" w:ascii="宋体" w:hAnsi="宋体" w:eastAsia="宋体" w:cs="宋体"/>
          <w:bCs/>
          <w:color w:val="auto"/>
          <w:sz w:val="2"/>
          <w:szCs w:val="2"/>
          <w:highlight w:val="none"/>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w:t>
      </w:r>
      <w:r>
        <w:rPr>
          <w:rFonts w:hint="eastAsia" w:ascii="宋体" w:hAnsi="宋体" w:cs="宋体"/>
          <w:b/>
          <w:bCs/>
          <w:color w:val="auto"/>
          <w:spacing w:val="40"/>
          <w:sz w:val="34"/>
          <w:szCs w:val="34"/>
          <w:highlight w:val="none"/>
          <w:lang w:val="en-US" w:eastAsia="zh-CN"/>
        </w:rPr>
        <w:t>4</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1</w:t>
      </w:r>
      <w:r>
        <w:rPr>
          <w:rFonts w:hint="eastAsia" w:ascii="宋体" w:hAnsi="宋体" w:eastAsia="宋体" w:cs="宋体"/>
          <w:b/>
          <w:bCs/>
          <w:color w:val="auto"/>
          <w:spacing w:val="40"/>
          <w:sz w:val="34"/>
          <w:szCs w:val="34"/>
          <w:highlight w:val="none"/>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hint="eastAsia" w:ascii="宋体" w:hAnsi="宋体" w:eastAsia="宋体" w:cs="宋体"/>
          <w:color w:val="auto"/>
          <w:szCs w:val="21"/>
          <w:highlight w:val="none"/>
          <w:lang w:val="en-US" w:eastAsia="zh-CN"/>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1</w:t>
      </w:r>
    </w:p>
    <w:p>
      <w:pPr>
        <w:pStyle w:val="25"/>
        <w:tabs>
          <w:tab w:val="right" w:leader="dot" w:pos="8958"/>
        </w:tabs>
        <w:snapToGrid w:val="0"/>
        <w:spacing w:line="480" w:lineRule="auto"/>
        <w:rPr>
          <w:rFonts w:hint="eastAsia" w:ascii="宋体" w:hAnsi="宋体" w:eastAsia="宋体" w:cs="宋体"/>
          <w:color w:val="auto"/>
          <w:szCs w:val="21"/>
          <w:highlight w:val="none"/>
          <w:lang w:val="en-US" w:eastAsia="zh-CN"/>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1</w:t>
      </w:r>
    </w:p>
    <w:p>
      <w:pPr>
        <w:pStyle w:val="25"/>
        <w:tabs>
          <w:tab w:val="right" w:leader="dot" w:pos="8958"/>
        </w:tabs>
        <w:snapToGrid w:val="0"/>
        <w:spacing w:line="480" w:lineRule="auto"/>
        <w:rPr>
          <w:rFonts w:hint="eastAsia" w:ascii="宋体" w:hAnsi="宋体" w:eastAsia="宋体" w:cs="宋体"/>
          <w:color w:val="auto"/>
          <w:szCs w:val="21"/>
          <w:highlight w:val="none"/>
          <w:lang w:val="en-US" w:eastAsia="zh-CN"/>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3</w:t>
      </w:r>
    </w:p>
    <w:p>
      <w:pPr>
        <w:pStyle w:val="25"/>
        <w:tabs>
          <w:tab w:val="right" w:leader="dot" w:pos="8958"/>
        </w:tabs>
        <w:snapToGrid w:val="0"/>
        <w:spacing w:line="480" w:lineRule="auto"/>
        <w:rPr>
          <w:rFonts w:hint="eastAsia" w:ascii="宋体" w:hAnsi="宋体" w:eastAsia="宋体" w:cs="宋体"/>
          <w:b/>
          <w:bCs/>
          <w:color w:val="auto"/>
          <w:sz w:val="32"/>
          <w:szCs w:val="32"/>
          <w:highlight w:val="none"/>
          <w:lang w:val="en-US" w:eastAsia="zh-CN"/>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4</w:t>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highlight w:val="none"/>
        </w:rPr>
      </w:pPr>
      <w:bookmarkStart w:id="3" w:name="_Toc25063"/>
      <w:bookmarkStart w:id="4" w:name="_Toc29890"/>
      <w:bookmarkStart w:id="5" w:name="_Toc23793"/>
      <w:r>
        <w:rPr>
          <w:rFonts w:hint="eastAsia" w:ascii="黑体" w:hAnsi="黑体" w:eastAsia="黑体" w:cs="宋体"/>
          <w:bCs/>
          <w:color w:val="auto"/>
          <w:kern w:val="0"/>
          <w:sz w:val="28"/>
          <w:szCs w:val="28"/>
          <w:highlight w:val="none"/>
          <w:u w:val="none"/>
          <w:lang w:val="en-US" w:eastAsia="zh-CN"/>
        </w:rPr>
        <w:t>驻马店市中心医院办公用电脑相关耗材采购项目竞争性磋商</w:t>
      </w:r>
      <w:r>
        <w:rPr>
          <w:rFonts w:hint="eastAsia" w:ascii="黑体" w:hAnsi="黑体" w:eastAsia="黑体" w:cs="宋体"/>
          <w:bCs/>
          <w:color w:val="auto"/>
          <w:kern w:val="0"/>
          <w:sz w:val="28"/>
          <w:szCs w:val="28"/>
          <w:highlight w:val="none"/>
        </w:rPr>
        <w:t>公告</w:t>
      </w:r>
    </w:p>
    <w:p>
      <w:pPr>
        <w:keepNext w:val="0"/>
        <w:keepLines w:val="0"/>
        <w:pageBreakBefore w:val="0"/>
        <w:kinsoku/>
        <w:overflowPunct/>
        <w:topLinePunct w:val="0"/>
        <w:bidi w:val="0"/>
        <w:snapToGrid w:val="0"/>
        <w:spacing w:line="44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驻马店市中心医院现对</w:t>
      </w:r>
      <w:r>
        <w:rPr>
          <w:rFonts w:hint="eastAsia" w:ascii="宋体" w:hAnsi="宋体" w:cs="宋体"/>
          <w:color w:val="auto"/>
          <w:sz w:val="24"/>
          <w:szCs w:val="24"/>
          <w:highlight w:val="none"/>
          <w:u w:val="single"/>
          <w:lang w:eastAsia="zh-CN"/>
        </w:rPr>
        <w:t>办公用电脑相关耗材采购</w:t>
      </w:r>
      <w:r>
        <w:rPr>
          <w:rFonts w:hint="eastAsia" w:ascii="宋体" w:hAnsi="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rPr>
        <w:t>进行院内</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采购，欢迎符合资格条件的供应商前来</w:t>
      </w:r>
      <w:r>
        <w:rPr>
          <w:rFonts w:hint="eastAsia" w:ascii="宋体" w:hAnsi="宋体" w:eastAsia="宋体" w:cs="宋体"/>
          <w:color w:val="auto"/>
          <w:sz w:val="24"/>
          <w:szCs w:val="24"/>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eastAsia="zh-CN"/>
        </w:rPr>
        <w:t>驻马店市中心医院办公用电脑相关耗材采购</w:t>
      </w:r>
      <w:r>
        <w:rPr>
          <w:rFonts w:hint="eastAsia" w:ascii="宋体" w:hAnsi="宋体" w:cs="宋体"/>
          <w:color w:val="auto"/>
          <w:sz w:val="24"/>
          <w:szCs w:val="24"/>
          <w:highlight w:val="none"/>
          <w:shd w:val="clear" w:color="auto" w:fill="FFFFFF"/>
          <w:lang w:val="en-US" w:eastAsia="zh-CN"/>
        </w:rPr>
        <w:t>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cs="宋体"/>
          <w:i w:val="0"/>
          <w:caps w:val="0"/>
          <w:color w:val="auto"/>
          <w:spacing w:val="0"/>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6"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20万元</w:t>
      </w:r>
      <w:r>
        <w:rPr>
          <w:rFonts w:hint="eastAsia" w:ascii="宋体" w:hAnsi="宋体" w:eastAsia="宋体" w:cs="宋体"/>
          <w:color w:val="auto"/>
          <w:sz w:val="24"/>
          <w:szCs w:val="24"/>
          <w:highlight w:val="none"/>
          <w:shd w:val="clear" w:color="auto" w:fill="FFFFFF"/>
        </w:rPr>
        <w:t>（据实结算）</w:t>
      </w:r>
      <w:r>
        <w:rPr>
          <w:rFonts w:hint="eastAsia" w:ascii="宋体" w:hAnsi="宋体" w:eastAsia="宋体" w:cs="宋体"/>
          <w:color w:val="auto"/>
          <w:sz w:val="24"/>
          <w:szCs w:val="24"/>
          <w:highlight w:val="none"/>
          <w:shd w:val="clear" w:color="auto" w:fill="FFFFFF"/>
          <w:lang w:val="en-US" w:eastAsia="zh-CN"/>
        </w:rPr>
        <w:t>；</w:t>
      </w:r>
    </w:p>
    <w:p>
      <w:pPr>
        <w:keepNext w:val="0"/>
        <w:keepLines w:val="0"/>
        <w:pageBreakBefore w:val="0"/>
        <w:kinsoku/>
        <w:overflowPunct/>
        <w:topLinePunct w:val="0"/>
        <w:bidi w:val="0"/>
        <w:snapToGrid w:val="0"/>
        <w:spacing w:line="44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eastAsia="宋体"/>
          <w:color w:val="auto"/>
          <w:sz w:val="24"/>
          <w:szCs w:val="24"/>
          <w:highlight w:val="none"/>
        </w:rPr>
      </w:pPr>
      <w:bookmarkStart w:id="7" w:name="_Toc19521"/>
      <w:bookmarkStart w:id="8" w:name="_Toc27913"/>
      <w:bookmarkStart w:id="9" w:name="_Toc21071"/>
      <w:bookmarkStart w:id="10" w:name="_Toc26079"/>
      <w:bookmarkStart w:id="11" w:name="_Toc24040"/>
      <w:r>
        <w:rPr>
          <w:rFonts w:hint="eastAsia" w:ascii="宋体" w:hAnsi="宋体" w:eastAsia="宋体" w:cs="宋体"/>
          <w:color w:val="auto"/>
          <w:sz w:val="24"/>
          <w:szCs w:val="24"/>
          <w:highlight w:val="none"/>
          <w:shd w:val="clear" w:color="auto" w:fill="FFFFFF"/>
        </w:rPr>
        <w:t>5、</w:t>
      </w:r>
      <w:bookmarkEnd w:id="7"/>
      <w:bookmarkEnd w:id="8"/>
      <w:bookmarkEnd w:id="9"/>
      <w:bookmarkEnd w:id="10"/>
      <w:bookmarkEnd w:id="11"/>
      <w:r>
        <w:rPr>
          <w:rFonts w:hint="eastAsia" w:ascii="宋体" w:hAnsi="宋体" w:eastAsia="宋体" w:cs="宋体"/>
          <w:bCs/>
          <w:color w:val="auto"/>
          <w:sz w:val="24"/>
          <w:szCs w:val="24"/>
          <w:highlight w:val="none"/>
          <w:shd w:val="clear" w:color="auto" w:fill="FFFFFF"/>
        </w:rPr>
        <w:t>合同履行期限：</w:t>
      </w:r>
      <w:r>
        <w:rPr>
          <w:rFonts w:hint="eastAsia" w:ascii="宋体" w:hAnsi="宋体" w:cs="宋体"/>
          <w:bCs/>
          <w:color w:val="auto"/>
          <w:sz w:val="24"/>
          <w:szCs w:val="24"/>
          <w:highlight w:val="none"/>
          <w:shd w:val="clear" w:color="auto" w:fill="FFFFFF"/>
          <w:lang w:val="en-US" w:eastAsia="zh-CN"/>
        </w:rPr>
        <w:t>一年</w:t>
      </w:r>
      <w:r>
        <w:rPr>
          <w:rFonts w:hint="eastAsia" w:ascii="宋体" w:hAnsi="宋体" w:cs="宋体"/>
          <w:bCs/>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6、</w:t>
      </w:r>
      <w:r>
        <w:rPr>
          <w:rFonts w:hint="eastAsia" w:ascii="宋体" w:hAnsi="宋体" w:eastAsia="宋体" w:cs="宋体"/>
          <w:color w:val="auto"/>
          <w:sz w:val="24"/>
          <w:szCs w:val="24"/>
          <w:highlight w:val="none"/>
          <w:shd w:val="clear" w:color="auto" w:fill="FFFFFF"/>
        </w:rPr>
        <w:t>质量要求：</w:t>
      </w:r>
      <w:r>
        <w:rPr>
          <w:rFonts w:hint="eastAsia" w:ascii="宋体" w:hAnsi="宋体" w:eastAsia="宋体" w:cs="宋体"/>
          <w:color w:val="auto"/>
          <w:sz w:val="24"/>
          <w:szCs w:val="24"/>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shd w:val="clear" w:color="auto" w:fill="FFFFFF"/>
          <w:lang w:val="en-US" w:eastAsia="zh-CN" w:bidi="ar-SA"/>
        </w:rPr>
      </w:pPr>
      <w:bookmarkStart w:id="12" w:name="_Toc23626"/>
      <w:bookmarkStart w:id="13" w:name="_Toc27704"/>
      <w:bookmarkStart w:id="14" w:name="_Toc16639"/>
      <w:bookmarkStart w:id="15" w:name="_Toc18607"/>
      <w:r>
        <w:rPr>
          <w:rFonts w:hint="eastAsia" w:ascii="宋体" w:hAnsi="宋体" w:eastAsia="宋体" w:cs="宋体"/>
          <w:b/>
          <w:bCs/>
          <w:color w:val="auto"/>
          <w:kern w:val="2"/>
          <w:sz w:val="24"/>
          <w:szCs w:val="24"/>
          <w:highlight w:val="none"/>
          <w:shd w:val="clear" w:color="auto" w:fill="FFFFFF"/>
          <w:lang w:val="en-US" w:eastAsia="zh-CN" w:bidi="ar-SA"/>
        </w:rPr>
        <w:t>二、</w:t>
      </w:r>
      <w:bookmarkEnd w:id="6"/>
      <w:bookmarkEnd w:id="12"/>
      <w:bookmarkEnd w:id="13"/>
      <w:bookmarkEnd w:id="14"/>
      <w:bookmarkEnd w:id="15"/>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bookmarkStart w:id="16" w:name="_Toc30971"/>
      <w:bookmarkStart w:id="17" w:name="_Toc30643"/>
      <w:bookmarkStart w:id="18" w:name="_Toc23395"/>
      <w:bookmarkStart w:id="19" w:name="_Toc9562"/>
      <w:bookmarkStart w:id="20" w:name="_Toc7823"/>
      <w:r>
        <w:rPr>
          <w:rFonts w:hint="eastAsia" w:ascii="宋体" w:hAnsi="宋体" w:eastAsia="宋体" w:cs="宋体"/>
          <w:color w:val="auto"/>
          <w:sz w:val="24"/>
          <w:szCs w:val="24"/>
          <w:highlight w:val="none"/>
          <w:shd w:val="clear" w:color="auto" w:fill="FFFFFF"/>
          <w:lang w:val="en-US" w:eastAsia="zh-CN"/>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3、具有履行合同所必需的设备和专业技术能力（提供书面声明函）；</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4、参加本采购活动前三年内，在经营活动中没有重大违法记录（提供书面声明函）；</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5、符合法律、行政法规规定的其他条件；</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7、不接受联合体投标。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16"/>
      <w:bookmarkEnd w:id="17"/>
      <w:bookmarkEnd w:id="18"/>
      <w:bookmarkEnd w:id="19"/>
      <w:bookmarkEnd w:id="20"/>
    </w:p>
    <w:p>
      <w:pPr>
        <w:keepNext w:val="0"/>
        <w:keepLines w:val="0"/>
        <w:pageBreakBefore w:val="0"/>
        <w:widowControl/>
        <w:kinsoku/>
        <w:overflowPunct/>
        <w:topLinePunct w:val="0"/>
        <w:bidi w:val="0"/>
        <w:adjustRightInd w:val="0"/>
        <w:snapToGrid w:val="0"/>
        <w:spacing w:line="440" w:lineRule="exact"/>
        <w:ind w:firstLine="480" w:firstLineChars="200"/>
        <w:jc w:val="left"/>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报名</w:t>
      </w:r>
      <w:r>
        <w:rPr>
          <w:rFonts w:hint="eastAsia" w:ascii="宋体" w:hAnsi="宋体" w:eastAsia="宋体" w:cs="宋体"/>
          <w:color w:val="auto"/>
          <w:sz w:val="24"/>
          <w:szCs w:val="24"/>
          <w:highlight w:val="none"/>
          <w:shd w:val="clear" w:color="auto" w:fill="FFFFFF"/>
        </w:rPr>
        <w:t>时间：</w:t>
      </w:r>
      <w:r>
        <w:rPr>
          <w:rFonts w:hint="eastAsia" w:ascii="宋体" w:hAnsi="宋体" w:cs="宋体"/>
          <w:color w:val="auto"/>
          <w:sz w:val="24"/>
          <w:szCs w:val="24"/>
          <w:shd w:val="clear" w:color="auto" w:fill="FFFFFF"/>
          <w:lang w:eastAsia="zh-CN"/>
        </w:rPr>
        <w:t>2024年1月</w:t>
      </w:r>
      <w:r>
        <w:rPr>
          <w:rFonts w:hint="eastAsia" w:ascii="宋体" w:hAnsi="宋体" w:cs="宋体"/>
          <w:color w:val="auto"/>
          <w:sz w:val="24"/>
          <w:szCs w:val="24"/>
          <w:shd w:val="clear" w:color="auto" w:fill="FFFFFF"/>
          <w:lang w:val="en-US" w:eastAsia="zh-CN"/>
        </w:rPr>
        <w:t>18</w:t>
      </w:r>
      <w:r>
        <w:rPr>
          <w:rFonts w:hint="eastAsia" w:ascii="宋体" w:hAnsi="宋体" w:eastAsia="宋体" w:cs="宋体"/>
          <w:color w:val="auto"/>
          <w:sz w:val="24"/>
          <w:szCs w:val="24"/>
          <w:highlight w:val="none"/>
          <w:shd w:val="clear" w:color="auto" w:fill="FFFFFF"/>
        </w:rPr>
        <w:t>日-</w:t>
      </w:r>
      <w:r>
        <w:rPr>
          <w:rFonts w:hint="eastAsia" w:ascii="宋体" w:hAnsi="宋体" w:cs="宋体"/>
          <w:color w:val="auto"/>
          <w:sz w:val="24"/>
          <w:szCs w:val="24"/>
          <w:highlight w:val="none"/>
          <w:shd w:val="clear" w:color="auto" w:fill="FFFFFF"/>
          <w:lang w:eastAsia="zh-CN"/>
        </w:rPr>
        <w:t>2024年1月</w:t>
      </w:r>
      <w:r>
        <w:rPr>
          <w:rFonts w:hint="eastAsia" w:ascii="宋体" w:hAnsi="宋体" w:cs="宋体"/>
          <w:color w:val="auto"/>
          <w:sz w:val="24"/>
          <w:szCs w:val="24"/>
          <w:highlight w:val="none"/>
          <w:shd w:val="clear" w:color="auto" w:fill="FFFFFF"/>
          <w:lang w:val="en-US" w:eastAsia="zh-CN"/>
        </w:rPr>
        <w:t>22</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上午8：30-11:30，下午14:30-17:30（北京时间，法定节假日除外）</w:t>
      </w:r>
      <w:r>
        <w:rPr>
          <w:rFonts w:hint="eastAsia" w:ascii="宋体" w:hAnsi="宋体" w:eastAsia="宋体" w:cs="宋体"/>
          <w:color w:val="auto"/>
          <w:sz w:val="24"/>
          <w:szCs w:val="24"/>
          <w:highlight w:val="none"/>
          <w:shd w:val="clear" w:color="auto" w:fill="FFFFFF"/>
          <w:lang w:val="en-US" w:eastAsia="zh-CN"/>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80" w:firstLineChars="200"/>
        <w:jc w:val="left"/>
        <w:textAlignment w:val="auto"/>
        <w:rPr>
          <w:rFonts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zxcxmglyxgs@163.</w:t>
      </w:r>
      <w:r>
        <w:rPr>
          <w:rFonts w:hint="eastAsia" w:ascii="宋体" w:hAnsi="宋体" w:eastAsia="宋体" w:cs="宋体"/>
          <w:color w:val="auto"/>
          <w:kern w:val="0"/>
          <w:sz w:val="24"/>
          <w:szCs w:val="24"/>
          <w:highlight w:val="none"/>
          <w:shd w:val="clear" w:color="auto" w:fill="FFFFFF"/>
          <w:lang w:val="en-US" w:eastAsia="zh-CN" w:bidi="ar-SA"/>
        </w:rPr>
        <w:t>com并标明XX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cs="宋体"/>
          <w:color w:val="auto"/>
          <w:kern w:val="0"/>
          <w:sz w:val="24"/>
          <w:szCs w:val="24"/>
          <w:highlight w:val="none"/>
          <w:shd w:val="clear" w:color="auto" w:fill="FFFFFF"/>
          <w:lang w:val="en-US" w:eastAsia="zh-CN" w:bidi="ar-SA"/>
        </w:rPr>
        <w:t>公司</w:t>
      </w:r>
      <w:r>
        <w:rPr>
          <w:rFonts w:hint="eastAsia" w:ascii="宋体" w:hAnsi="宋体" w:eastAsia="宋体" w:cs="宋体"/>
          <w:color w:val="auto"/>
          <w:kern w:val="0"/>
          <w:sz w:val="24"/>
          <w:szCs w:val="24"/>
          <w:highlight w:val="none"/>
          <w:shd w:val="clear" w:color="auto" w:fill="FFFFFF"/>
          <w:lang w:val="en-US" w:eastAsia="zh-CN" w:bidi="ar-SA"/>
        </w:rPr>
        <w:t>XX项目报名资料；审核通过后按要求交纳</w:t>
      </w:r>
      <w:r>
        <w:rPr>
          <w:rFonts w:hint="eastAsia" w:ascii="宋体" w:hAnsi="宋体" w:cs="宋体"/>
          <w:color w:val="auto"/>
          <w:kern w:val="0"/>
          <w:sz w:val="24"/>
          <w:szCs w:val="24"/>
          <w:highlight w:val="none"/>
          <w:shd w:val="clear" w:color="auto" w:fill="FFFFFF"/>
          <w:lang w:val="en-US" w:eastAsia="zh-CN" w:bidi="ar-SA"/>
        </w:rPr>
        <w:t>报名费</w:t>
      </w:r>
      <w:r>
        <w:rPr>
          <w:rFonts w:hint="eastAsia" w:ascii="宋体" w:hAnsi="宋体" w:eastAsia="宋体" w:cs="宋体"/>
          <w:color w:val="auto"/>
          <w:kern w:val="0"/>
          <w:sz w:val="24"/>
          <w:szCs w:val="24"/>
          <w:highlight w:val="none"/>
          <w:shd w:val="clear" w:color="auto" w:fill="FFFFFF"/>
          <w:lang w:val="en-US" w:eastAsia="zh-CN" w:bidi="ar-SA"/>
        </w:rPr>
        <w:t>。</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21" w:name="_Toc10738"/>
      <w:bookmarkStart w:id="22" w:name="_Toc15111"/>
      <w:bookmarkStart w:id="23" w:name="_Toc27480"/>
      <w:bookmarkStart w:id="24" w:name="_Toc15135"/>
      <w:bookmarkStart w:id="25" w:name="_Toc25869"/>
      <w:r>
        <w:rPr>
          <w:rFonts w:hint="eastAsia" w:ascii="宋体" w:hAnsi="宋体" w:eastAsia="宋体" w:cs="宋体"/>
          <w:b/>
          <w:bCs/>
          <w:color w:val="auto"/>
          <w:kern w:val="2"/>
          <w:sz w:val="24"/>
          <w:szCs w:val="24"/>
          <w:highlight w:val="none"/>
          <w:shd w:val="clear" w:color="auto" w:fill="FFFFFF"/>
          <w:lang w:val="en-US" w:eastAsia="zh-CN" w:bidi="ar-SA"/>
        </w:rPr>
        <w:t>四、投标截止时间及地点</w:t>
      </w:r>
      <w:bookmarkEnd w:id="21"/>
      <w:bookmarkEnd w:id="22"/>
      <w:bookmarkEnd w:id="23"/>
      <w:bookmarkEnd w:id="24"/>
      <w:bookmarkEnd w:id="25"/>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26" w:name="_Toc30918"/>
      <w:bookmarkStart w:id="27" w:name="_Toc29784"/>
      <w:bookmarkStart w:id="28" w:name="_Toc6523"/>
      <w:bookmarkStart w:id="29" w:name="_Toc20287"/>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26"/>
      <w:bookmarkEnd w:id="27"/>
      <w:bookmarkEnd w:id="28"/>
      <w:bookmarkEnd w:id="29"/>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w:t>
      </w:r>
      <w:r>
        <w:rPr>
          <w:rFonts w:hint="eastAsia" w:ascii="宋体" w:hAnsi="宋体" w:cs="宋体"/>
          <w:color w:val="auto"/>
          <w:kern w:val="0"/>
          <w:sz w:val="24"/>
          <w:szCs w:val="24"/>
          <w:highlight w:val="none"/>
          <w:shd w:val="clear" w:color="auto" w:fill="FFFFFF"/>
          <w:lang w:val="en-US" w:eastAsia="zh-CN" w:bidi="ar-SA"/>
        </w:rPr>
        <w:t>院内</w:t>
      </w:r>
      <w:r>
        <w:rPr>
          <w:rFonts w:hint="eastAsia" w:ascii="宋体" w:hAnsi="宋体" w:eastAsia="宋体" w:cs="宋体"/>
          <w:color w:val="auto"/>
          <w:kern w:val="0"/>
          <w:sz w:val="24"/>
          <w:szCs w:val="24"/>
          <w:highlight w:val="none"/>
          <w:shd w:val="clear" w:color="auto" w:fill="FFFFFF"/>
          <w:lang w:val="en-US" w:eastAsia="zh-CN" w:bidi="ar-SA"/>
        </w:rPr>
        <w:t>网</w:t>
      </w:r>
      <w:r>
        <w:rPr>
          <w:rFonts w:hint="eastAsia" w:ascii="宋体" w:hAnsi="宋体" w:eastAsia="宋体" w:cs="宋体"/>
          <w:color w:val="auto"/>
          <w:sz w:val="24"/>
          <w:szCs w:val="24"/>
          <w:highlight w:val="none"/>
          <w:shd w:val="clear" w:color="auto" w:fill="auto"/>
        </w:rPr>
        <w:t>上发布</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cs="宋体"/>
          <w:color w:val="auto"/>
          <w:sz w:val="24"/>
          <w:szCs w:val="24"/>
          <w:highlight w:val="none"/>
          <w:shd w:val="clear" w:color="auto" w:fill="auto"/>
          <w:lang w:eastAsia="zh-CN"/>
        </w:rPr>
        <w:t>公告期限为</w:t>
      </w:r>
      <w:r>
        <w:rPr>
          <w:rFonts w:hint="eastAsia" w:ascii="宋体" w:hAnsi="宋体" w:cs="宋体"/>
          <w:color w:val="auto"/>
          <w:sz w:val="24"/>
          <w:szCs w:val="24"/>
          <w:highlight w:val="none"/>
          <w:shd w:val="clear" w:color="auto" w:fill="auto"/>
          <w:lang w:val="en-US" w:eastAsia="zh-CN"/>
        </w:rPr>
        <w:t>三</w:t>
      </w:r>
      <w:r>
        <w:rPr>
          <w:rFonts w:hint="eastAsia" w:ascii="宋体" w:hAnsi="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30" w:name="_Toc35393626"/>
      <w:bookmarkStart w:id="31" w:name="_Toc35393795"/>
    </w:p>
    <w:bookmarkEnd w:id="30"/>
    <w:bookmarkEnd w:id="31"/>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32" w:name="_Toc27370"/>
      <w:bookmarkStart w:id="33" w:name="_Toc3604"/>
      <w:bookmarkStart w:id="34" w:name="_Toc16291"/>
      <w:bookmarkStart w:id="35" w:name="_Toc31928"/>
      <w:bookmarkStart w:id="36" w:name="_Toc24274"/>
      <w:r>
        <w:rPr>
          <w:rFonts w:hint="eastAsia" w:ascii="宋体" w:hAnsi="宋体" w:eastAsia="宋体" w:cs="宋体"/>
          <w:b/>
          <w:bCs/>
          <w:color w:val="auto"/>
          <w:kern w:val="2"/>
          <w:sz w:val="24"/>
          <w:szCs w:val="24"/>
          <w:highlight w:val="none"/>
          <w:shd w:val="clear" w:color="auto" w:fill="FFFFFF"/>
          <w:lang w:val="en-US" w:eastAsia="zh-CN" w:bidi="ar-SA"/>
        </w:rPr>
        <w:t>七、</w:t>
      </w:r>
      <w:bookmarkEnd w:id="32"/>
      <w:bookmarkEnd w:id="33"/>
      <w:bookmarkEnd w:id="34"/>
      <w:bookmarkEnd w:id="35"/>
      <w:bookmarkEnd w:id="36"/>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default" w:ascii="宋体" w:hAnsi="宋体" w:eastAsia="宋体" w:cs="宋体"/>
          <w:color w:val="auto"/>
          <w:kern w:val="0"/>
          <w:sz w:val="24"/>
          <w:szCs w:val="24"/>
          <w:highlight w:val="none"/>
          <w:shd w:val="clear" w:color="auto" w:fill="FFFFFF"/>
          <w:lang w:val="en-US" w:eastAsia="zh-CN" w:bidi="ar-SA"/>
        </w:rPr>
        <w:t>报名联系人：李女士</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default" w:ascii="宋体" w:hAnsi="宋体" w:eastAsia="宋体" w:cs="宋体"/>
          <w:color w:val="auto"/>
          <w:kern w:val="0"/>
          <w:sz w:val="24"/>
          <w:szCs w:val="24"/>
          <w:highlight w:val="none"/>
          <w:shd w:val="clear" w:color="auto" w:fill="FFFFFF"/>
          <w:lang w:val="en-US" w:eastAsia="zh-CN" w:bidi="ar-SA"/>
        </w:rPr>
        <w:t>联系电话：</w:t>
      </w:r>
      <w:r>
        <w:rPr>
          <w:rFonts w:hint="eastAsia" w:ascii="宋体" w:hAnsi="宋体" w:eastAsia="宋体" w:cs="宋体"/>
          <w:color w:val="auto"/>
          <w:kern w:val="0"/>
          <w:sz w:val="24"/>
          <w:szCs w:val="24"/>
          <w:highlight w:val="none"/>
          <w:shd w:val="clear" w:color="auto" w:fill="FFFFFF"/>
          <w:lang w:val="en-US" w:eastAsia="zh-CN" w:bidi="ar-SA"/>
        </w:rPr>
        <w:t>18137647844  0396-3676106</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"mailto:zxyyjzcgbgs@163.com"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t>zxyyjzcgbgs@163.com</w:t>
      </w:r>
      <w:r>
        <w:rPr>
          <w:rFonts w:hint="eastAsia" w:ascii="宋体" w:hAnsi="宋体" w:eastAsia="宋体" w:cs="宋体"/>
          <w:color w:val="auto"/>
          <w:kern w:val="0"/>
          <w:sz w:val="24"/>
          <w:szCs w:val="24"/>
          <w:highlight w:val="none"/>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w:t>
      </w:r>
      <w:r>
        <w:rPr>
          <w:rFonts w:hint="eastAsia" w:ascii="宋体" w:hAnsi="宋体" w:cs="宋体"/>
          <w:color w:val="auto"/>
          <w:kern w:val="0"/>
          <w:sz w:val="24"/>
          <w:szCs w:val="24"/>
          <w:highlight w:val="none"/>
          <w:shd w:val="clear" w:color="auto" w:fill="FFFFFF"/>
          <w:lang w:val="en-US" w:eastAsia="zh-CN" w:bidi="ar-SA"/>
        </w:rPr>
        <w:t>6678</w:t>
      </w:r>
    </w:p>
    <w:p>
      <w:pPr>
        <w:widowControl/>
        <w:snapToGrid w:val="0"/>
        <w:spacing w:before="0" w:beforeAutospacing="0" w:after="0" w:afterAutospacing="0" w:line="360" w:lineRule="auto"/>
        <w:ind w:firstLine="480" w:firstLineChars="200"/>
        <w:jc w:val="right"/>
        <w:rPr>
          <w:rFonts w:hint="eastAsi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r>
        <w:rPr>
          <w:rFonts w:hint="eastAsia" w:ascii="宋体" w:hAnsi="宋体" w:cs="宋体"/>
          <w:color w:val="auto"/>
          <w:kern w:val="0"/>
          <w:sz w:val="24"/>
          <w:szCs w:val="24"/>
          <w:highlight w:val="none"/>
          <w:shd w:val="clear" w:color="auto" w:fill="FFFFFF"/>
          <w:lang w:val="en-US" w:eastAsia="zh-CN" w:bidi="ar-SA"/>
        </w:rPr>
        <w:t xml:space="preserve">                                                            </w:t>
      </w:r>
      <w:r>
        <w:rPr>
          <w:rFonts w:hint="eastAsia" w:ascii="宋体" w:hAnsi="宋体" w:cs="宋体"/>
          <w:color w:val="auto"/>
          <w:kern w:val="0"/>
          <w:sz w:val="24"/>
          <w:szCs w:val="24"/>
          <w:shd w:val="clear" w:color="auto" w:fill="FFFFFF"/>
          <w:lang w:val="en-US" w:eastAsia="zh-CN" w:bidi="ar-SA"/>
        </w:rPr>
        <w:t>2024年1月17</w:t>
      </w:r>
      <w:r>
        <w:rPr>
          <w:rFonts w:hint="eastAsia" w:ascii="宋体" w:hAnsi="宋体" w:eastAsia="宋体" w:cs="宋体"/>
          <w:color w:val="auto"/>
          <w:kern w:val="0"/>
          <w:sz w:val="24"/>
          <w:szCs w:val="24"/>
          <w:highlight w:val="none"/>
          <w:shd w:val="clear" w:color="auto" w:fill="FFFFFF"/>
          <w:lang w:val="en-US" w:eastAsia="zh-CN" w:bidi="ar-SA"/>
        </w:rPr>
        <w:t>日</w:t>
      </w:r>
    </w:p>
    <w:p>
      <w:pPr>
        <w:widowControl/>
        <w:snapToGrid w:val="0"/>
        <w:spacing w:before="0" w:beforeAutospacing="0" w:after="0" w:afterAutospacing="0" w:line="360" w:lineRule="auto"/>
        <w:ind w:firstLine="420" w:firstLineChars="200"/>
        <w:jc w:val="right"/>
        <w:rPr>
          <w:rFonts w:hint="eastAsia"/>
          <w:color w:val="auto"/>
          <w:highlight w:val="none"/>
        </w:rPr>
      </w:pP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
      <w:bookmarkStart w:id="37" w:name="_Toc9989"/>
      <w:bookmarkStart w:id="38" w:name="_Toc31536"/>
      <w:bookmarkStart w:id="39" w:name="_Toc23610"/>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一、项目名称、数量：</w:t>
      </w:r>
      <w:r>
        <w:rPr>
          <w:rFonts w:hint="eastAsia" w:ascii="宋体" w:hAnsi="宋体" w:eastAsia="宋体" w:cs="宋体"/>
          <w:color w:val="auto"/>
          <w:kern w:val="0"/>
          <w:sz w:val="21"/>
          <w:szCs w:val="21"/>
          <w:highlight w:val="none"/>
          <w:shd w:val="clear" w:color="auto" w:fill="FFFFFF"/>
          <w:lang w:val="en-US" w:eastAsia="zh-CN" w:bidi="ar-SA"/>
        </w:rPr>
        <w:t>电脑相关耗材采购项目一项。</w:t>
      </w:r>
    </w:p>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二、项目用途说明：</w:t>
      </w:r>
      <w:r>
        <w:rPr>
          <w:rFonts w:hint="eastAsia" w:ascii="宋体" w:hAnsi="宋体" w:eastAsia="宋体" w:cs="宋体"/>
          <w:color w:val="auto"/>
          <w:kern w:val="0"/>
          <w:sz w:val="21"/>
          <w:szCs w:val="21"/>
          <w:highlight w:val="none"/>
          <w:shd w:val="clear" w:color="auto" w:fill="FFFFFF"/>
          <w:lang w:val="en-US" w:eastAsia="zh-CN" w:bidi="ar-SA"/>
        </w:rPr>
        <w:t xml:space="preserve">满足我院各科室在未来一年各种计算机用品的日常办公需要。         </w:t>
      </w:r>
      <w:r>
        <w:rPr>
          <w:rFonts w:hint="eastAsia" w:ascii="宋体" w:hAnsi="宋体" w:eastAsia="宋体" w:cs="宋体"/>
          <w:b/>
          <w:bCs/>
          <w:color w:val="auto"/>
          <w:kern w:val="0"/>
          <w:sz w:val="21"/>
          <w:szCs w:val="21"/>
          <w:highlight w:val="none"/>
          <w:shd w:val="clear" w:color="auto" w:fill="FFFFFF"/>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三</w:t>
      </w:r>
      <w:r>
        <w:rPr>
          <w:rFonts w:hint="eastAsia" w:ascii="宋体" w:hAnsi="宋体" w:eastAsia="宋体" w:cs="宋体"/>
          <w:b/>
          <w:bCs/>
          <w:color w:val="auto"/>
          <w:kern w:val="0"/>
          <w:sz w:val="21"/>
          <w:szCs w:val="21"/>
          <w:highlight w:val="none"/>
          <w:shd w:val="clear" w:color="auto" w:fill="FFFFFF"/>
          <w:lang w:val="en-US" w:eastAsia="zh-CN" w:bidi="ar-SA"/>
        </w:rPr>
        <w:t>、配置规格、附件及零配件（包括专用工具）：</w:t>
      </w:r>
    </w:p>
    <w:tbl>
      <w:tblPr>
        <w:tblStyle w:val="33"/>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699"/>
        <w:gridCol w:w="2103"/>
        <w:gridCol w:w="965"/>
        <w:gridCol w:w="1018"/>
        <w:gridCol w:w="1228"/>
        <w:gridCol w:w="1176"/>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序号</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包号</w:t>
            </w:r>
          </w:p>
        </w:tc>
        <w:tc>
          <w:tcPr>
            <w:tcW w:w="2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采购内容（包名称）</w:t>
            </w:r>
          </w:p>
        </w:tc>
        <w:tc>
          <w:tcPr>
            <w:tcW w:w="9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单位</w:t>
            </w:r>
          </w:p>
        </w:tc>
        <w:tc>
          <w:tcPr>
            <w:tcW w:w="10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单价</w:t>
            </w:r>
          </w:p>
        </w:tc>
        <w:tc>
          <w:tcPr>
            <w:tcW w:w="1228" w:type="dxa"/>
            <w:tcBorders>
              <w:top w:val="single" w:color="auto" w:sz="4" w:space="0"/>
              <w:left w:val="nil"/>
              <w:bottom w:val="single" w:color="auto" w:sz="4" w:space="0"/>
              <w:right w:val="single" w:color="auto" w:sz="4" w:space="0"/>
            </w:tcBorders>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年资金预算</w:t>
            </w:r>
          </w:p>
        </w:tc>
        <w:tc>
          <w:tcPr>
            <w:tcW w:w="1176" w:type="dxa"/>
            <w:tcBorders>
              <w:top w:val="single" w:color="auto" w:sz="4" w:space="0"/>
              <w:left w:val="nil"/>
              <w:bottom w:val="single" w:color="auto" w:sz="4" w:space="0"/>
              <w:right w:val="single" w:color="auto" w:sz="4" w:space="0"/>
            </w:tcBorders>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资金性质</w:t>
            </w:r>
          </w:p>
        </w:tc>
        <w:tc>
          <w:tcPr>
            <w:tcW w:w="1277" w:type="dxa"/>
            <w:tcBorders>
              <w:top w:val="single" w:color="auto" w:sz="4" w:space="0"/>
              <w:left w:val="nil"/>
              <w:bottom w:val="single" w:color="auto" w:sz="4" w:space="0"/>
              <w:right w:val="single" w:color="auto" w:sz="4" w:space="0"/>
            </w:tcBorders>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国产/进口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1"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1</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1</w:t>
            </w:r>
          </w:p>
        </w:tc>
        <w:tc>
          <w:tcPr>
            <w:tcW w:w="2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办公用电脑相关耗材</w:t>
            </w:r>
          </w:p>
        </w:tc>
        <w:tc>
          <w:tcPr>
            <w:tcW w:w="9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批</w:t>
            </w:r>
          </w:p>
        </w:tc>
        <w:tc>
          <w:tcPr>
            <w:tcW w:w="10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auto"/>
                <w:kern w:val="0"/>
                <w:sz w:val="21"/>
                <w:szCs w:val="21"/>
                <w:highlight w:val="none"/>
                <w:shd w:val="clear" w:color="auto" w:fill="FFFFFF"/>
                <w:lang w:val="en-US" w:eastAsia="zh-CN" w:bidi="ar-SA"/>
              </w:rPr>
            </w:pPr>
          </w:p>
        </w:tc>
        <w:tc>
          <w:tcPr>
            <w:tcW w:w="12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20</w:t>
            </w:r>
            <w:r>
              <w:rPr>
                <w:rFonts w:hint="eastAsia" w:ascii="宋体" w:hAnsi="宋体" w:eastAsia="宋体" w:cs="宋体"/>
                <w:color w:val="auto"/>
                <w:kern w:val="0"/>
                <w:sz w:val="21"/>
                <w:szCs w:val="21"/>
                <w:highlight w:val="none"/>
                <w:shd w:val="clear" w:color="auto" w:fill="FFFFFF"/>
                <w:lang w:val="en-US" w:eastAsia="zh-CN" w:bidi="ar-SA"/>
              </w:rPr>
              <w:t>万元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自筹</w:t>
            </w:r>
          </w:p>
        </w:tc>
        <w:tc>
          <w:tcPr>
            <w:tcW w:w="12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合计</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p>
        </w:tc>
        <w:tc>
          <w:tcPr>
            <w:tcW w:w="2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p>
        </w:tc>
        <w:tc>
          <w:tcPr>
            <w:tcW w:w="9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shd w:val="clear" w:color="auto" w:fill="FFFFFF"/>
                <w:lang w:val="en-US" w:eastAsia="zh-CN" w:bidi="ar-SA"/>
              </w:rPr>
            </w:pPr>
          </w:p>
        </w:tc>
        <w:tc>
          <w:tcPr>
            <w:tcW w:w="10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shd w:val="clear" w:color="auto" w:fill="FFFFFF"/>
                <w:lang w:val="en-US" w:eastAsia="zh-CN" w:bidi="ar-SA"/>
              </w:rPr>
            </w:pPr>
          </w:p>
        </w:tc>
        <w:tc>
          <w:tcPr>
            <w:tcW w:w="12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20</w:t>
            </w:r>
            <w:r>
              <w:rPr>
                <w:rFonts w:hint="eastAsia" w:ascii="宋体" w:hAnsi="宋体" w:eastAsia="宋体" w:cs="宋体"/>
                <w:color w:val="auto"/>
                <w:kern w:val="0"/>
                <w:sz w:val="21"/>
                <w:szCs w:val="21"/>
                <w:highlight w:val="none"/>
                <w:shd w:val="clear" w:color="auto" w:fill="FFFFFF"/>
                <w:lang w:val="en-US" w:eastAsia="zh-CN" w:bidi="ar-SA"/>
              </w:rPr>
              <w:t>万元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auto"/>
                <w:kern w:val="0"/>
                <w:sz w:val="21"/>
                <w:szCs w:val="21"/>
                <w:highlight w:val="none"/>
                <w:shd w:val="clear" w:color="auto" w:fill="FFFFFF"/>
                <w:lang w:val="en-US" w:eastAsia="zh-CN" w:bidi="ar-SA"/>
              </w:rPr>
            </w:pPr>
          </w:p>
        </w:tc>
        <w:tc>
          <w:tcPr>
            <w:tcW w:w="12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备注</w:t>
            </w:r>
          </w:p>
        </w:tc>
        <w:tc>
          <w:tcPr>
            <w:tcW w:w="8466" w:type="dxa"/>
            <w:gridSpan w:val="7"/>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招两家供应商，</w:t>
            </w:r>
            <w:r>
              <w:rPr>
                <w:rFonts w:hint="eastAsia" w:ascii="宋体" w:hAnsi="宋体" w:eastAsia="宋体" w:cs="宋体"/>
                <w:color w:val="auto"/>
                <w:kern w:val="0"/>
                <w:sz w:val="21"/>
                <w:szCs w:val="21"/>
                <w:highlight w:val="none"/>
                <w:shd w:val="clear" w:color="auto" w:fill="FFFFFF"/>
                <w:lang w:val="en-US" w:eastAsia="zh-CN" w:bidi="ar-SA"/>
              </w:rPr>
              <w:t>服务</w:t>
            </w:r>
            <w:r>
              <w:rPr>
                <w:rFonts w:hint="eastAsia" w:ascii="宋体" w:hAnsi="宋体" w:cs="宋体"/>
                <w:color w:val="auto"/>
                <w:kern w:val="0"/>
                <w:sz w:val="21"/>
                <w:szCs w:val="21"/>
                <w:highlight w:val="none"/>
                <w:shd w:val="clear" w:color="auto" w:fill="FFFFFF"/>
                <w:lang w:val="en-US" w:eastAsia="zh-CN" w:bidi="ar-SA"/>
              </w:rPr>
              <w:t>期限一年</w:t>
            </w:r>
            <w:r>
              <w:rPr>
                <w:rFonts w:hint="eastAsia" w:ascii="宋体" w:hAnsi="宋体" w:eastAsia="宋体" w:cs="宋体"/>
                <w:color w:val="auto"/>
                <w:kern w:val="0"/>
                <w:sz w:val="21"/>
                <w:szCs w:val="21"/>
                <w:highlight w:val="none"/>
                <w:shd w:val="clear" w:color="auto" w:fill="FFFFFF"/>
                <w:lang w:val="en-US" w:eastAsia="zh-CN" w:bidi="ar-SA"/>
              </w:rPr>
              <w:t>，按实际需要数量供货，据实结算</w:t>
            </w:r>
          </w:p>
        </w:tc>
      </w:tr>
    </w:tbl>
    <w:p>
      <w:pPr>
        <w:numPr>
          <w:ilvl w:val="0"/>
          <w:numId w:val="1"/>
        </w:numPr>
        <w:spacing w:line="560" w:lineRule="exact"/>
        <w:jc w:val="left"/>
        <w:rPr>
          <w:rFonts w:hint="eastAsia" w:ascii="宋体" w:hAnsi="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技术参数要求：</w:t>
      </w:r>
    </w:p>
    <w:tbl>
      <w:tblPr>
        <w:tblStyle w:val="33"/>
        <w:tblW w:w="5044" w:type="pct"/>
        <w:tblInd w:w="0" w:type="dxa"/>
        <w:tblLayout w:type="fixed"/>
        <w:tblCellMar>
          <w:top w:w="0" w:type="dxa"/>
          <w:left w:w="108" w:type="dxa"/>
          <w:bottom w:w="0" w:type="dxa"/>
          <w:right w:w="108" w:type="dxa"/>
        </w:tblCellMar>
      </w:tblPr>
      <w:tblGrid>
        <w:gridCol w:w="419"/>
        <w:gridCol w:w="1472"/>
        <w:gridCol w:w="4941"/>
        <w:gridCol w:w="762"/>
        <w:gridCol w:w="609"/>
        <w:gridCol w:w="1052"/>
      </w:tblGrid>
      <w:tr>
        <w:tblPrEx>
          <w:tblCellMar>
            <w:top w:w="0" w:type="dxa"/>
            <w:left w:w="108" w:type="dxa"/>
            <w:bottom w:w="0" w:type="dxa"/>
            <w:right w:w="108" w:type="dxa"/>
          </w:tblCellMar>
        </w:tblPrEx>
        <w:trPr>
          <w:trHeight w:val="72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序号</w:t>
            </w:r>
          </w:p>
        </w:tc>
        <w:tc>
          <w:tcPr>
            <w:tcW w:w="79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分项</w:t>
            </w:r>
            <w:r>
              <w:rPr>
                <w:rFonts w:hint="eastAsia" w:ascii="宋体" w:hAnsi="宋体" w:eastAsia="宋体" w:cs="宋体"/>
                <w:b/>
                <w:bCs/>
                <w:color w:val="auto"/>
                <w:kern w:val="0"/>
                <w:szCs w:val="21"/>
                <w:highlight w:val="none"/>
              </w:rPr>
              <w:t>（加★为核心</w:t>
            </w:r>
            <w:r>
              <w:rPr>
                <w:rFonts w:hint="eastAsia" w:ascii="宋体" w:hAnsi="宋体" w:cs="宋体"/>
                <w:b/>
                <w:bCs/>
                <w:color w:val="auto"/>
                <w:kern w:val="0"/>
                <w:szCs w:val="21"/>
                <w:highlight w:val="none"/>
                <w:lang w:val="en-US" w:eastAsia="zh-CN"/>
              </w:rPr>
              <w:t>产品</w:t>
            </w:r>
            <w:r>
              <w:rPr>
                <w:rFonts w:hint="eastAsia" w:ascii="宋体" w:hAnsi="宋体" w:eastAsia="宋体" w:cs="宋体"/>
                <w:b/>
                <w:bCs/>
                <w:color w:val="auto"/>
                <w:kern w:val="0"/>
                <w:szCs w:val="21"/>
                <w:highlight w:val="none"/>
              </w:rPr>
              <w:t>）</w:t>
            </w:r>
          </w:p>
        </w:tc>
        <w:tc>
          <w:tcPr>
            <w:tcW w:w="266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技术参数要求</w:t>
            </w:r>
          </w:p>
        </w:tc>
        <w:tc>
          <w:tcPr>
            <w:tcW w:w="41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数量</w:t>
            </w:r>
          </w:p>
        </w:tc>
        <w:tc>
          <w:tcPr>
            <w:tcW w:w="32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单位</w:t>
            </w:r>
          </w:p>
        </w:tc>
        <w:tc>
          <w:tcPr>
            <w:tcW w:w="56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单价</w:t>
            </w:r>
          </w:p>
        </w:tc>
      </w:tr>
      <w:tr>
        <w:tblPrEx>
          <w:tblCellMar>
            <w:top w:w="0" w:type="dxa"/>
            <w:left w:w="108" w:type="dxa"/>
            <w:bottom w:w="0" w:type="dxa"/>
            <w:right w:w="108" w:type="dxa"/>
          </w:tblCellMar>
        </w:tblPrEx>
        <w:trPr>
          <w:trHeight w:val="1098"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ascii="宋体" w:hAnsi="宋体" w:eastAsia="宋体" w:cs="宋体"/>
                <w:color w:val="auto"/>
                <w:kern w:val="0"/>
                <w:sz w:val="22"/>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rPr>
              <w:t>显示器</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尺寸</w:t>
            </w:r>
            <w:r>
              <w:rPr>
                <w:rFonts w:hint="eastAsia" w:cs="宋体" w:asciiTheme="minorEastAsia" w:hAnsiTheme="minorEastAsia"/>
                <w:color w:val="auto"/>
                <w:kern w:val="0"/>
                <w:szCs w:val="21"/>
                <w:highlight w:val="none"/>
              </w:rPr>
              <w:t>≥23.8英寸，</w:t>
            </w:r>
            <w:r>
              <w:rPr>
                <w:rFonts w:hint="eastAsia" w:cs="宋体" w:asciiTheme="minorEastAsia" w:hAnsiTheme="minorEastAsia"/>
                <w:color w:val="auto"/>
                <w:kern w:val="0"/>
                <w:szCs w:val="21"/>
                <w:highlight w:val="none"/>
                <w:lang w:val="en-US" w:eastAsia="zh-CN"/>
              </w:rPr>
              <w:t>屏幕比例：</w:t>
            </w:r>
            <w:r>
              <w:rPr>
                <w:rFonts w:hint="eastAsia" w:cs="宋体" w:asciiTheme="minorEastAsia" w:hAnsiTheme="minorEastAsia"/>
                <w:color w:val="auto"/>
                <w:kern w:val="0"/>
                <w:szCs w:val="21"/>
                <w:highlight w:val="none"/>
              </w:rPr>
              <w:t>16:9，</w:t>
            </w:r>
            <w:r>
              <w:rPr>
                <w:rFonts w:hint="eastAsia" w:cs="宋体" w:asciiTheme="minorEastAsia" w:hAnsiTheme="minorEastAsia"/>
                <w:color w:val="auto"/>
                <w:kern w:val="0"/>
                <w:szCs w:val="21"/>
                <w:highlight w:val="none"/>
                <w:lang w:val="en-US" w:eastAsia="zh-CN"/>
              </w:rPr>
              <w:t>刷新率</w:t>
            </w:r>
            <w:r>
              <w:rPr>
                <w:rFonts w:hint="eastAsia" w:cs="宋体" w:asciiTheme="minorEastAsia" w:hAnsiTheme="minorEastAsia"/>
                <w:color w:val="auto"/>
                <w:kern w:val="0"/>
                <w:szCs w:val="21"/>
                <w:highlight w:val="none"/>
              </w:rPr>
              <w:t>≥75Hz，</w:t>
            </w:r>
            <w:r>
              <w:rPr>
                <w:rFonts w:hint="eastAsia" w:cs="宋体" w:asciiTheme="minorEastAsia" w:hAnsiTheme="minorEastAsia"/>
                <w:color w:val="auto"/>
                <w:kern w:val="0"/>
                <w:szCs w:val="21"/>
                <w:highlight w:val="none"/>
                <w:lang w:val="en-US" w:eastAsia="zh-CN"/>
              </w:rPr>
              <w:t>分辨率</w:t>
            </w:r>
            <w:r>
              <w:rPr>
                <w:rFonts w:hint="eastAsia" w:cs="宋体" w:asciiTheme="minorEastAsia" w:hAnsiTheme="minorEastAsia"/>
                <w:color w:val="auto"/>
                <w:kern w:val="0"/>
                <w:szCs w:val="21"/>
                <w:highlight w:val="none"/>
              </w:rPr>
              <w:t>≥1920*1080，HDMI+VGA+音频接口,可壁挂，≥3年质保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台</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¥599.00</w:t>
            </w:r>
          </w:p>
        </w:tc>
      </w:tr>
      <w:tr>
        <w:tblPrEx>
          <w:tblCellMar>
            <w:top w:w="0" w:type="dxa"/>
            <w:left w:w="108" w:type="dxa"/>
            <w:bottom w:w="0" w:type="dxa"/>
            <w:right w:w="108" w:type="dxa"/>
          </w:tblCellMar>
        </w:tblPrEx>
        <w:trPr>
          <w:trHeight w:val="751"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ascii="宋体" w:hAnsi="宋体" w:eastAsia="宋体" w:cs="宋体"/>
                <w:color w:val="auto"/>
                <w:kern w:val="0"/>
                <w:sz w:val="22"/>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有线鼠标</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全尺寸鼠标，左右手通用，光电，≥1000DPI，USB口</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¥49.00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ascii="宋体" w:hAnsi="宋体" w:eastAsia="宋体" w:cs="宋体"/>
                <w:color w:val="auto"/>
                <w:kern w:val="0"/>
                <w:sz w:val="22"/>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有线键盘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全尺寸标准键盘，防泼溅，USB口，≥3年质保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¥52.00</w:t>
            </w:r>
          </w:p>
        </w:tc>
      </w:tr>
      <w:tr>
        <w:tblPrEx>
          <w:tblCellMar>
            <w:top w:w="0" w:type="dxa"/>
            <w:left w:w="108" w:type="dxa"/>
            <w:bottom w:w="0" w:type="dxa"/>
            <w:right w:w="108" w:type="dxa"/>
          </w:tblCellMar>
        </w:tblPrEx>
        <w:trPr>
          <w:trHeight w:val="79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ascii="宋体" w:hAnsi="宋体" w:eastAsia="宋体" w:cs="宋体"/>
                <w:color w:val="auto"/>
                <w:kern w:val="0"/>
                <w:sz w:val="22"/>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有线键鼠套装</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全尺寸鼠标，左右手通用，光电，≥1000DPI，USB口，全尺寸标准键盘，防泼溅，USB口≥3年质保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套</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¥89.00</w:t>
            </w:r>
          </w:p>
        </w:tc>
      </w:tr>
      <w:tr>
        <w:tblPrEx>
          <w:tblCellMar>
            <w:top w:w="0" w:type="dxa"/>
            <w:left w:w="108" w:type="dxa"/>
            <w:bottom w:w="0" w:type="dxa"/>
            <w:right w:w="108" w:type="dxa"/>
          </w:tblCellMar>
        </w:tblPrEx>
        <w:trPr>
          <w:trHeight w:val="82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ascii="宋体" w:hAnsi="宋体" w:eastAsia="宋体" w:cs="宋体"/>
                <w:color w:val="auto"/>
                <w:kern w:val="0"/>
                <w:sz w:val="22"/>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无线鼠标</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全尺寸鼠标，左右手通用，≥10米接收距离，光电，≥1000DPI，USB口接收器，即插即用，≥3年质保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¥99.00</w:t>
            </w:r>
          </w:p>
        </w:tc>
      </w:tr>
      <w:tr>
        <w:tblPrEx>
          <w:tblCellMar>
            <w:top w:w="0" w:type="dxa"/>
            <w:left w:w="108" w:type="dxa"/>
            <w:bottom w:w="0" w:type="dxa"/>
            <w:right w:w="108" w:type="dxa"/>
          </w:tblCellMar>
        </w:tblPrEx>
        <w:trPr>
          <w:trHeight w:val="780"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ascii="等线" w:hAnsi="等线" w:eastAsia="等线" w:cs="宋体"/>
                <w:color w:val="auto"/>
                <w:kern w:val="0"/>
                <w:sz w:val="22"/>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无线键盘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全尺寸标准键盘，防泼溅，≥10米接收距离，USB口接收器，即插即用，≥3年质保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¥99.00</w:t>
            </w:r>
          </w:p>
        </w:tc>
      </w:tr>
      <w:tr>
        <w:tblPrEx>
          <w:tblCellMar>
            <w:top w:w="0" w:type="dxa"/>
            <w:left w:w="108" w:type="dxa"/>
            <w:bottom w:w="0" w:type="dxa"/>
            <w:right w:w="108" w:type="dxa"/>
          </w:tblCellMar>
        </w:tblPrEx>
        <w:trPr>
          <w:trHeight w:val="143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无线键鼠套装</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全尺寸鼠标，左右手通用，≥10米接收距离，光电，≥1000DPI，USB口接收器，全尺寸标准键盘，防泼溅，≥10米接收距离，USB口接收器，即插即用；≥3年质保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套</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¥100.00</w:t>
            </w:r>
          </w:p>
        </w:tc>
      </w:tr>
      <w:tr>
        <w:tblPrEx>
          <w:tblCellMar>
            <w:top w:w="0" w:type="dxa"/>
            <w:left w:w="108" w:type="dxa"/>
            <w:bottom w:w="0" w:type="dxa"/>
            <w:right w:w="108" w:type="dxa"/>
          </w:tblCellMar>
        </w:tblPrEx>
        <w:trPr>
          <w:trHeight w:val="90"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鼠标垫</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无图文，≥250mm*210mm*2mm</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¥3.00</w:t>
            </w:r>
          </w:p>
        </w:tc>
      </w:tr>
      <w:tr>
        <w:tblPrEx>
          <w:tblCellMar>
            <w:top w:w="0" w:type="dxa"/>
            <w:left w:w="108" w:type="dxa"/>
            <w:bottom w:w="0" w:type="dxa"/>
            <w:right w:w="108" w:type="dxa"/>
          </w:tblCellMar>
        </w:tblPrEx>
        <w:trPr>
          <w:trHeight w:val="808"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手写板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免驱，全屏书写，有效区域</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lang w:val="en-US" w:eastAsia="zh-CN"/>
              </w:rPr>
              <w:t>150</w:t>
            </w:r>
            <w:r>
              <w:rPr>
                <w:rFonts w:hint="eastAsia" w:cs="宋体" w:asciiTheme="minorEastAsia" w:hAnsiTheme="minorEastAsia"/>
                <w:color w:val="auto"/>
                <w:kern w:val="0"/>
                <w:szCs w:val="21"/>
                <w:highlight w:val="none"/>
              </w:rPr>
              <w:t>mm*8</w:t>
            </w:r>
            <w:r>
              <w:rPr>
                <w:rFonts w:hint="eastAsia" w:cs="宋体" w:asciiTheme="minorEastAsia" w:hAnsiTheme="minorEastAsia"/>
                <w:color w:val="auto"/>
                <w:kern w:val="0"/>
                <w:szCs w:val="21"/>
                <w:highlight w:val="none"/>
                <w:lang w:val="en-US" w:eastAsia="zh-CN"/>
              </w:rPr>
              <w:t>5</w:t>
            </w:r>
            <w:r>
              <w:rPr>
                <w:rFonts w:hint="eastAsia" w:cs="宋体" w:asciiTheme="minorEastAsia" w:hAnsiTheme="minorEastAsia"/>
                <w:color w:val="auto"/>
                <w:kern w:val="0"/>
                <w:szCs w:val="21"/>
                <w:highlight w:val="none"/>
              </w:rPr>
              <w:t>mm</w:t>
            </w:r>
            <w:r>
              <w:rPr>
                <w:rFonts w:hint="eastAsia" w:cs="宋体" w:asciiTheme="minorEastAsia" w:hAnsiTheme="minorEastAsia"/>
                <w:color w:val="auto"/>
                <w:kern w:val="0"/>
                <w:szCs w:val="21"/>
                <w:highlight w:val="none"/>
                <w:lang w:val="en-US" w:eastAsia="zh-CN"/>
              </w:rPr>
              <w:t>±10mm</w:t>
            </w:r>
            <w:r>
              <w:rPr>
                <w:rFonts w:hint="eastAsia" w:cs="宋体" w:asciiTheme="minorEastAsia" w:hAnsiTheme="minorEastAsia"/>
                <w:color w:val="auto"/>
                <w:kern w:val="0"/>
                <w:szCs w:val="21"/>
                <w:highlight w:val="none"/>
              </w:rPr>
              <w:t>，usb口，即插即用，≥1年质保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¥100.00</w:t>
            </w:r>
          </w:p>
        </w:tc>
      </w:tr>
      <w:tr>
        <w:tblPrEx>
          <w:tblCellMar>
            <w:top w:w="0" w:type="dxa"/>
            <w:left w:w="108" w:type="dxa"/>
            <w:bottom w:w="0" w:type="dxa"/>
            <w:right w:w="108" w:type="dxa"/>
          </w:tblCellMar>
        </w:tblPrEx>
        <w:trPr>
          <w:trHeight w:val="169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耳机</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头戴可调节，带麦克风可180°调节，左右两侧均可佩戴，有线，3.5mm双插头，灵敏度不低于-58dBV/uBar,频率范围耳机不低于20Hz-20000Hz，麦克风不低于100Hz-16000Hz，线长≥1.5米，≥1年质保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¥45.00</w:t>
            </w:r>
          </w:p>
        </w:tc>
      </w:tr>
      <w:tr>
        <w:tblPrEx>
          <w:tblCellMar>
            <w:top w:w="0" w:type="dxa"/>
            <w:left w:w="108" w:type="dxa"/>
            <w:bottom w:w="0" w:type="dxa"/>
            <w:right w:w="108" w:type="dxa"/>
          </w:tblCellMar>
        </w:tblPrEx>
        <w:trPr>
          <w:trHeight w:val="90"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音箱</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台式迷你双喇叭，有线，USB供电，3.5mm音频口，线控音量调节，线长≥1.5米，信噪比≥80dB，失真度≤0.1%，支持低音，频率范围不低于130Hz-18KHz，≥1年质保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对</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¥29.90</w:t>
            </w:r>
          </w:p>
        </w:tc>
      </w:tr>
      <w:tr>
        <w:tblPrEx>
          <w:tblCellMar>
            <w:top w:w="0" w:type="dxa"/>
            <w:left w:w="108" w:type="dxa"/>
            <w:bottom w:w="0" w:type="dxa"/>
            <w:right w:w="108" w:type="dxa"/>
          </w:tblCellMar>
        </w:tblPrEx>
        <w:trPr>
          <w:trHeight w:val="751"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有线麦克风</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台式，独立开关，3.5mm音频口，线长≥1.5米，灵敏度≥-58dB，全指向，≥1年质保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¥21.90</w:t>
            </w:r>
          </w:p>
        </w:tc>
      </w:tr>
      <w:tr>
        <w:tblPrEx>
          <w:tblCellMar>
            <w:top w:w="0" w:type="dxa"/>
            <w:left w:w="108" w:type="dxa"/>
            <w:bottom w:w="0" w:type="dxa"/>
            <w:right w:w="108" w:type="dxa"/>
          </w:tblCellMar>
        </w:tblPrEx>
        <w:trPr>
          <w:trHeight w:val="1418"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无线麦克风</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台式，独立开关，全指向，USB接收器一拖一，≥30米接收</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≥50频点，频点宽度≥50MHz，频偏≤48KHz，自动对频，频率范围不低于50Hz-15000Hz，信噪比≥95dB，可更换电池，即插即用，≥1年质保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¥189.00</w:t>
            </w:r>
          </w:p>
        </w:tc>
      </w:tr>
      <w:tr>
        <w:tblPrEx>
          <w:tblCellMar>
            <w:top w:w="0" w:type="dxa"/>
            <w:left w:w="108" w:type="dxa"/>
            <w:bottom w:w="0" w:type="dxa"/>
            <w:right w:w="108" w:type="dxa"/>
          </w:tblCellMar>
        </w:tblPrEx>
        <w:trPr>
          <w:trHeight w:val="108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全向麦克风</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台式，有线，≥3米全向拾音，带扬声器，USB接口，蓝牙≥5.0，一键静音，灵敏度≥-40dB，信噪比≥3</w:t>
            </w:r>
            <w:r>
              <w:rPr>
                <w:rFonts w:hint="eastAsia" w:cs="宋体" w:asciiTheme="minorEastAsia" w:hAnsiTheme="minorEastAsia"/>
                <w:color w:val="auto"/>
                <w:kern w:val="0"/>
                <w:szCs w:val="21"/>
                <w:highlight w:val="none"/>
                <w:lang w:val="en-US" w:eastAsia="zh-CN"/>
              </w:rPr>
              <w:t>5</w:t>
            </w:r>
            <w:r>
              <w:rPr>
                <w:rFonts w:hint="eastAsia" w:cs="宋体" w:asciiTheme="minorEastAsia" w:hAnsiTheme="minorEastAsia"/>
                <w:color w:val="auto"/>
                <w:kern w:val="0"/>
                <w:szCs w:val="21"/>
                <w:highlight w:val="none"/>
              </w:rPr>
              <w:t>dB，线长≥1米，免驱，≥1年质保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¥129.00</w:t>
            </w:r>
          </w:p>
        </w:tc>
      </w:tr>
      <w:tr>
        <w:tblPrEx>
          <w:tblCellMar>
            <w:top w:w="0" w:type="dxa"/>
            <w:left w:w="108" w:type="dxa"/>
            <w:bottom w:w="0" w:type="dxa"/>
            <w:right w:w="108" w:type="dxa"/>
          </w:tblCellMar>
        </w:tblPrEx>
        <w:trPr>
          <w:trHeight w:val="108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外置刻录机</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外置，USB口，读取速度DVD8X,CD24X,写入速度DVD-R8X，DVD+RW8X，DVD+R8X，CD-R24X，CD-RW24X,免驱，≥1年质保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¥189.00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刻录光盘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700MB/80MIN，1-52X，</w:t>
            </w:r>
            <w:r>
              <w:rPr>
                <w:rFonts w:hint="eastAsia" w:cs="宋体" w:asciiTheme="minorEastAsia" w:hAnsiTheme="minorEastAsia"/>
                <w:color w:val="auto"/>
                <w:kern w:val="0"/>
                <w:szCs w:val="21"/>
                <w:highlight w:val="none"/>
                <w:lang w:val="en-US" w:eastAsia="zh-CN"/>
              </w:rPr>
              <w:t>光盘品质：</w:t>
            </w:r>
            <w:r>
              <w:rPr>
                <w:rFonts w:hint="eastAsia" w:cs="宋体" w:asciiTheme="minorEastAsia" w:hAnsiTheme="minorEastAsia"/>
                <w:color w:val="auto"/>
                <w:kern w:val="0"/>
                <w:szCs w:val="21"/>
                <w:highlight w:val="none"/>
              </w:rPr>
              <w:t>≥A+品质，带保护套</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张</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刻录光盘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4.7GB/120MIN，1-16X,</w:t>
            </w:r>
            <w:r>
              <w:rPr>
                <w:rFonts w:hint="eastAsia" w:cs="宋体" w:asciiTheme="minorEastAsia" w:hAnsiTheme="minorEastAsia"/>
                <w:color w:val="auto"/>
                <w:kern w:val="0"/>
                <w:szCs w:val="21"/>
                <w:highlight w:val="none"/>
                <w:lang w:val="en-US" w:eastAsia="zh-CN"/>
              </w:rPr>
              <w:t>光盘品质：</w:t>
            </w:r>
            <w:r>
              <w:rPr>
                <w:rFonts w:hint="eastAsia" w:cs="宋体" w:asciiTheme="minorEastAsia" w:hAnsiTheme="minorEastAsia"/>
                <w:color w:val="auto"/>
                <w:kern w:val="0"/>
                <w:szCs w:val="21"/>
                <w:highlight w:val="none"/>
              </w:rPr>
              <w:t>≥A+品质，带保护套</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张</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U盘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16GB，USB2.0，读速≥15MB/s，写速≥5MB/s金属机身，防水，≥3年质保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¥18.90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rPr>
              <w:t>U盘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32GB，USB3.2，读速≥180MB/s，写速≥35MB/s，金属机身，防水防尘防震，≥3年质保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¥27.90</w:t>
            </w:r>
          </w:p>
        </w:tc>
      </w:tr>
      <w:tr>
        <w:tblPrEx>
          <w:tblCellMar>
            <w:top w:w="0" w:type="dxa"/>
            <w:left w:w="108" w:type="dxa"/>
            <w:bottom w:w="0" w:type="dxa"/>
            <w:right w:w="108" w:type="dxa"/>
          </w:tblCellMar>
        </w:tblPrEx>
        <w:trPr>
          <w:trHeight w:val="90"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rPr>
              <w:t>U盘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64GB，USB3.2，读速≥180MB/s，写速≥35MB/s，金属机身，防水防尘防震，≥3年质保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¥37.90</w:t>
            </w:r>
          </w:p>
        </w:tc>
      </w:tr>
      <w:tr>
        <w:tblPrEx>
          <w:tblCellMar>
            <w:top w:w="0" w:type="dxa"/>
            <w:left w:w="108" w:type="dxa"/>
            <w:bottom w:w="0" w:type="dxa"/>
            <w:right w:w="108" w:type="dxa"/>
          </w:tblCellMar>
        </w:tblPrEx>
        <w:trPr>
          <w:trHeight w:val="62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U盘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128GB，USB3.2，读速≥180MB/s，写速≥35MB/s，金属机身，防水防尘防震，≥3年质保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¥69.80</w:t>
            </w:r>
          </w:p>
        </w:tc>
      </w:tr>
      <w:tr>
        <w:tblPrEx>
          <w:tblCellMar>
            <w:top w:w="0" w:type="dxa"/>
            <w:left w:w="108" w:type="dxa"/>
            <w:bottom w:w="0" w:type="dxa"/>
            <w:right w:w="108" w:type="dxa"/>
          </w:tblCellMar>
        </w:tblPrEx>
        <w:trPr>
          <w:trHeight w:val="62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U盘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256GB，USB3.2，读速≥180MB/s，写速≥35MB/s，金属机身，防水防尘防震，≥3年质保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¥149.00</w:t>
            </w:r>
          </w:p>
        </w:tc>
      </w:tr>
      <w:tr>
        <w:tblPrEx>
          <w:tblCellMar>
            <w:top w:w="0" w:type="dxa"/>
            <w:left w:w="108" w:type="dxa"/>
            <w:bottom w:w="0" w:type="dxa"/>
            <w:right w:w="108" w:type="dxa"/>
          </w:tblCellMar>
        </w:tblPrEx>
        <w:trPr>
          <w:trHeight w:val="801"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移动硬盘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2TB，≥USB3.0（向下兼容USB2.0），2.5英寸机械盘，≥3年质保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¥459.00</w:t>
            </w:r>
          </w:p>
        </w:tc>
      </w:tr>
      <w:tr>
        <w:tblPrEx>
          <w:tblCellMar>
            <w:top w:w="0" w:type="dxa"/>
            <w:left w:w="108" w:type="dxa"/>
            <w:bottom w:w="0" w:type="dxa"/>
            <w:right w:w="108" w:type="dxa"/>
          </w:tblCellMar>
        </w:tblPrEx>
        <w:trPr>
          <w:trHeight w:val="1113"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翻页/激光笔</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≥50米控制距离，≥200米激光射程，360°无方向限制，一键黑屏全屏，电池供电（随机附送电池），低电量提示，磁吸接收器，免驱，≥1年质保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支</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打印机共享器</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2进1出，支持2台电脑共享1台打印机，一键秒切，配2条≥1.5米USB打印线，≥USB2.0，免驱，≥1年质保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lang w:val="en-US" w:eastAsia="zh-CN"/>
              </w:rPr>
              <w:t>59</w:t>
            </w:r>
            <w:r>
              <w:rPr>
                <w:rFonts w:hint="eastAsia" w:cs="宋体" w:asciiTheme="minorEastAsia" w:hAnsiTheme="minorEastAsia"/>
                <w:color w:val="auto"/>
                <w:kern w:val="0"/>
                <w:szCs w:val="21"/>
                <w:highlight w:val="none"/>
              </w:rPr>
              <w:t>.00</w:t>
            </w:r>
          </w:p>
        </w:tc>
      </w:tr>
      <w:tr>
        <w:tblPrEx>
          <w:tblCellMar>
            <w:top w:w="0" w:type="dxa"/>
            <w:left w:w="108" w:type="dxa"/>
            <w:bottom w:w="0" w:type="dxa"/>
            <w:right w:w="108" w:type="dxa"/>
          </w:tblCellMar>
        </w:tblPrEx>
        <w:trPr>
          <w:trHeight w:val="1070"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KVM切换器</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2进1出，支持2台电脑共享1套鼠标键盘显示器打印机，≥USB2.0，VGA接口， ≥1920*1440，一键秒切，配2条≥1.2米KMV线，免驱，≥1年质保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KVM切换器</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2进1出，支持2台电脑共享1套鼠标键盘显示器打印机，≥USB2.0，HDMI接口，≥4K，一键秒切，配2条≥1.8米HDMI线，免驱，≥1年质保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¥100.00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台式机内存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台式机，8GB，DDR4 3200MHz，工作电源≤1.2V，终身质保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条</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¥139.00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台式机内存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台式机，16GB，DDR4 3200MHz，工作电源≤1.2V，终身质保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条</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¥269.00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固态硬盘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固态盘，256GB，M.2（NVMe协议），顺序读速≥2000MB/s，顺序写入≥1300MB/s，≥5年质保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块</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¥269.00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固态硬盘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固态盘，512GB，M.2（NVMe协议），顺序读速≥3200MB/s，顺序写入≥2200MB/s，≥5年质保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块</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¥399.00</w:t>
            </w:r>
          </w:p>
        </w:tc>
      </w:tr>
      <w:tr>
        <w:tblPrEx>
          <w:tblCellMar>
            <w:top w:w="0" w:type="dxa"/>
            <w:left w:w="108" w:type="dxa"/>
            <w:bottom w:w="0" w:type="dxa"/>
            <w:right w:w="108" w:type="dxa"/>
          </w:tblCellMar>
        </w:tblPrEx>
        <w:trPr>
          <w:trHeight w:val="79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机械硬盘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机械盘，3.5英寸，2TB，256MB缓存,7200RPM，SATA ≥6Gb/s，≥2年质保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块</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¥409.00</w:t>
            </w:r>
          </w:p>
        </w:tc>
      </w:tr>
      <w:tr>
        <w:tblPrEx>
          <w:tblCellMar>
            <w:top w:w="0" w:type="dxa"/>
            <w:left w:w="108" w:type="dxa"/>
            <w:bottom w:w="0" w:type="dxa"/>
            <w:right w:w="108" w:type="dxa"/>
          </w:tblCellMar>
        </w:tblPrEx>
        <w:trPr>
          <w:trHeight w:val="425"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显卡</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2GB，GDDR3，64bit，≥3年质保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¥269.00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有线网卡</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10/100/1000M自适应，RJ45网口，1000Base-T，PCI-E内置网卡，支持网络唤醒，≥1年质保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¥45.00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有线网卡</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10/100/1000M自适应，RJ45网口，1000Base-T，PCI内置网卡，支持无盘启动，≥1年质保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有线网卡</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10/100/1000M自适应，USB3.0转RJ45网卡，1000Base-T，免驱，≥1年质保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无线网卡</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2.4GHz/5GHz，速率≥433Mbps，不低于5dBi增益天线，USB接口，免驱，≥1年质保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¥100.00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USB延长线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≥USB3.0，公对母，≥1.5米，双层屏蔽，镀锡铜芯，PVC外被，镀金接口，≥1年质保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¥15.00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rPr>
              <w:t>USB分线器</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≥USB3.0，≥4口，≥0.25米，免驱，支持硬盘读取 ≥1年质保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¥29.90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rPr>
              <w:t>USB分线器</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≥USB3.0，≥4口，≥1.5米，免驱，支持硬盘读取 ≥1年质保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¥55.90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电源线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国标三孔品字尾</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≥2500W，≥AC 250V，≥1.5米，≥1年质保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¥12.50</w:t>
            </w:r>
          </w:p>
        </w:tc>
      </w:tr>
      <w:tr>
        <w:tblPrEx>
          <w:tblCellMar>
            <w:top w:w="0" w:type="dxa"/>
            <w:left w:w="108" w:type="dxa"/>
            <w:bottom w:w="0" w:type="dxa"/>
            <w:right w:w="108" w:type="dxa"/>
          </w:tblCellMar>
        </w:tblPrEx>
        <w:trPr>
          <w:trHeight w:val="38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VGA线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支持1080P/60Hz，多重屏蔽，≥1.8米，≥1年质保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¥9.90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HDMI线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支持HDMI2.0，4K/60Hz，音视频同步传输，多重屏蔽，镀金接口，≥2米，≥1年质保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¥12.90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录音笔</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支持≥22中语言转写，准确度≥98%，≥32GB，≥5米全向拾音，双麦克风阵列，蓝牙≥10米接收，带背夹，连续录音≥10小时，≥1年质保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¥390.00</w:t>
            </w:r>
          </w:p>
        </w:tc>
      </w:tr>
      <w:tr>
        <w:tblPrEx>
          <w:tblCellMar>
            <w:top w:w="0" w:type="dxa"/>
            <w:left w:w="108" w:type="dxa"/>
            <w:bottom w:w="0" w:type="dxa"/>
            <w:right w:w="108" w:type="dxa"/>
          </w:tblCellMar>
        </w:tblPrEx>
        <w:trPr>
          <w:trHeight w:val="115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rPr>
              <w:t>视频采集卡/高清</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最大输入：1920*1080p@60/50fps in </w:t>
            </w:r>
            <w:r>
              <w:rPr>
                <w:rFonts w:hint="default" w:ascii="Arial" w:hAnsi="Arial" w:cs="Arial"/>
                <w:color w:val="auto"/>
                <w:kern w:val="0"/>
                <w:szCs w:val="21"/>
                <w:highlight w:val="none"/>
                <w:lang w:val="en-US" w:eastAsia="zh-CN"/>
              </w:rPr>
              <w:t>→</w:t>
            </w:r>
            <w:r>
              <w:rPr>
                <w:rFonts w:hint="eastAsia" w:cs="宋体" w:asciiTheme="minorEastAsia" w:hAnsiTheme="minorEastAsia"/>
                <w:color w:val="auto"/>
                <w:kern w:val="0"/>
                <w:szCs w:val="21"/>
                <w:highlight w:val="none"/>
                <w:lang w:val="en-US" w:eastAsia="zh-CN"/>
              </w:rPr>
              <w:t>1920*1080p@60/50fps out</w:t>
            </w:r>
          </w:p>
          <w:p>
            <w:pPr>
              <w:widowControl/>
              <w:jc w:val="left"/>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录制模式：软压缩，实时</w:t>
            </w:r>
          </w:p>
          <w:p>
            <w:pPr>
              <w:widowControl/>
              <w:jc w:val="left"/>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录制视频格式：H.264（软压缩）</w:t>
            </w:r>
          </w:p>
          <w:p>
            <w:pPr>
              <w:widowControl/>
              <w:jc w:val="left"/>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视频输入：1xHDMI,1xDVI,1xYbPr,1xSDI,1xCVBS,1xS-Video</w:t>
            </w:r>
          </w:p>
          <w:p>
            <w:pPr>
              <w:widowControl/>
              <w:jc w:val="left"/>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I/O: 16</w:t>
            </w:r>
          </w:p>
          <w:p>
            <w:pPr>
              <w:widowControl/>
              <w:jc w:val="left"/>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支持一机多卡</w:t>
            </w:r>
          </w:p>
          <w:p>
            <w:pPr>
              <w:widowControl/>
              <w:jc w:val="left"/>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支持SDK二次开发，带采集软件，操作系统支持：WIN 7/8/8.1/10</w:t>
            </w:r>
            <w:r>
              <w:rPr>
                <w:rFonts w:hint="eastAsia" w:cs="宋体" w:asciiTheme="minorEastAsia" w:hAnsiTheme="minorEastAsia"/>
                <w:color w:val="auto"/>
                <w:kern w:val="0"/>
                <w:szCs w:val="21"/>
                <w:highlight w:val="none"/>
                <w:lang w:val="en-US" w:eastAsia="zh-CN"/>
              </w:rPr>
              <w:t xml:space="preserve"> Linux 4.8 or Higher</w:t>
            </w:r>
            <w:r>
              <w:rPr>
                <w:rFonts w:hint="eastAsia" w:cs="宋体" w:asciiTheme="minorEastAsia" w:hAnsiTheme="minorEastAsia"/>
                <w:color w:val="auto"/>
                <w:kern w:val="0"/>
                <w:szCs w:val="21"/>
                <w:highlight w:val="none"/>
              </w:rPr>
              <w:t>（32-bit and 64-bit）</w:t>
            </w:r>
          </w:p>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lang w:val="en-US" w:eastAsia="zh-CN"/>
              </w:rPr>
              <w:t>400</w:t>
            </w:r>
            <w:r>
              <w:rPr>
                <w:rFonts w:hint="eastAsia" w:cs="宋体" w:asciiTheme="minorEastAsia" w:hAnsiTheme="minorEastAsia"/>
                <w:color w:val="auto"/>
                <w:kern w:val="0"/>
                <w:szCs w:val="21"/>
                <w:highlight w:val="none"/>
              </w:rPr>
              <w:t>.00</w:t>
            </w:r>
          </w:p>
        </w:tc>
      </w:tr>
      <w:tr>
        <w:tblPrEx>
          <w:tblCellMar>
            <w:top w:w="0" w:type="dxa"/>
            <w:left w:w="108" w:type="dxa"/>
            <w:bottom w:w="0" w:type="dxa"/>
            <w:right w:w="108" w:type="dxa"/>
          </w:tblCellMar>
        </w:tblPrEx>
        <w:trPr>
          <w:trHeight w:val="2150"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rPr>
              <w:t>视频采集卡/高清</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压缩方式：H.264软压</w:t>
            </w:r>
            <w:r>
              <w:rPr>
                <w:rFonts w:hint="eastAsia" w:cs="宋体" w:asciiTheme="minorEastAsia" w:hAnsiTheme="minorEastAsia"/>
                <w:color w:val="auto"/>
                <w:kern w:val="0"/>
                <w:szCs w:val="21"/>
                <w:highlight w:val="none"/>
              </w:rPr>
              <w:br w:type="textWrapping"/>
            </w:r>
            <w:r>
              <w:rPr>
                <w:rFonts w:hint="eastAsia" w:cs="宋体" w:asciiTheme="minorEastAsia" w:hAnsiTheme="minorEastAsia"/>
                <w:color w:val="auto"/>
                <w:kern w:val="0"/>
                <w:szCs w:val="21"/>
                <w:highlight w:val="none"/>
              </w:rPr>
              <w:t>输入最大分辨率：720*576</w:t>
            </w:r>
            <w:r>
              <w:rPr>
                <w:rFonts w:hint="eastAsia" w:cs="宋体" w:asciiTheme="minorEastAsia" w:hAnsiTheme="minorEastAsia"/>
                <w:color w:val="auto"/>
                <w:kern w:val="0"/>
                <w:szCs w:val="21"/>
                <w:highlight w:val="none"/>
              </w:rPr>
              <w:br w:type="textWrapping"/>
            </w:r>
            <w:r>
              <w:rPr>
                <w:rFonts w:hint="eastAsia" w:cs="宋体" w:asciiTheme="minorEastAsia" w:hAnsiTheme="minorEastAsia"/>
                <w:color w:val="auto"/>
                <w:kern w:val="0"/>
                <w:szCs w:val="21"/>
                <w:highlight w:val="none"/>
              </w:rPr>
              <w:t>采集最大分辨率：720*576</w:t>
            </w:r>
            <w:r>
              <w:rPr>
                <w:rFonts w:hint="eastAsia" w:cs="宋体" w:asciiTheme="minorEastAsia" w:hAnsiTheme="minorEastAsia"/>
                <w:color w:val="auto"/>
                <w:kern w:val="0"/>
                <w:szCs w:val="21"/>
                <w:highlight w:val="none"/>
              </w:rPr>
              <w:br w:type="textWrapping"/>
            </w:r>
            <w:r>
              <w:rPr>
                <w:rFonts w:hint="eastAsia" w:cs="宋体" w:asciiTheme="minorEastAsia" w:hAnsiTheme="minorEastAsia"/>
                <w:color w:val="auto"/>
                <w:kern w:val="0"/>
                <w:szCs w:val="21"/>
                <w:highlight w:val="none"/>
              </w:rPr>
              <w:t>视频输入接口：CVBS*1 S端子*1</w:t>
            </w:r>
            <w:r>
              <w:rPr>
                <w:rFonts w:hint="eastAsia" w:cs="宋体" w:asciiTheme="minorEastAsia" w:hAnsiTheme="minorEastAsia"/>
                <w:color w:val="auto"/>
                <w:kern w:val="0"/>
                <w:szCs w:val="21"/>
                <w:highlight w:val="none"/>
              </w:rPr>
              <w:br w:type="textWrapping"/>
            </w:r>
            <w:r>
              <w:rPr>
                <w:rFonts w:hint="eastAsia" w:cs="宋体" w:asciiTheme="minorEastAsia" w:hAnsiTheme="minorEastAsia"/>
                <w:color w:val="auto"/>
                <w:kern w:val="0"/>
                <w:szCs w:val="21"/>
                <w:highlight w:val="none"/>
              </w:rPr>
              <w:t>支持系统：WINDOWS系统</w:t>
            </w:r>
            <w:r>
              <w:rPr>
                <w:rFonts w:hint="eastAsia" w:cs="宋体" w:asciiTheme="minorEastAsia" w:hAnsiTheme="minorEastAsia"/>
                <w:color w:val="auto"/>
                <w:kern w:val="0"/>
                <w:szCs w:val="21"/>
                <w:highlight w:val="none"/>
              </w:rPr>
              <w:br w:type="textWrapping"/>
            </w:r>
            <w:r>
              <w:rPr>
                <w:rFonts w:hint="eastAsia" w:cs="宋体" w:asciiTheme="minorEastAsia" w:hAnsiTheme="minorEastAsia"/>
                <w:color w:val="auto"/>
                <w:kern w:val="0"/>
                <w:szCs w:val="21"/>
                <w:highlight w:val="none"/>
              </w:rPr>
              <w:t>SDK开发：支持SDK开发</w:t>
            </w:r>
            <w:r>
              <w:rPr>
                <w:rFonts w:hint="eastAsia" w:cs="宋体" w:asciiTheme="minorEastAsia" w:hAnsiTheme="minorEastAsia"/>
                <w:color w:val="auto"/>
                <w:kern w:val="0"/>
                <w:szCs w:val="21"/>
                <w:highlight w:val="none"/>
              </w:rPr>
              <w:br w:type="textWrapping"/>
            </w:r>
            <w:r>
              <w:rPr>
                <w:rFonts w:hint="eastAsia" w:cs="宋体" w:asciiTheme="minorEastAsia" w:hAnsiTheme="minorEastAsia"/>
                <w:color w:val="auto"/>
                <w:kern w:val="0"/>
                <w:szCs w:val="21"/>
                <w:highlight w:val="none"/>
              </w:rPr>
              <w:t>≥1年质保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lang w:val="en-US" w:eastAsia="zh-CN"/>
              </w:rPr>
              <w:t>600</w:t>
            </w:r>
            <w:r>
              <w:rPr>
                <w:rFonts w:hint="eastAsia" w:cs="宋体" w:asciiTheme="minorEastAsia" w:hAnsiTheme="minorEastAsia"/>
                <w:color w:val="auto"/>
                <w:kern w:val="0"/>
                <w:szCs w:val="21"/>
                <w:highlight w:val="none"/>
              </w:rPr>
              <w:t>.00</w:t>
            </w:r>
          </w:p>
        </w:tc>
      </w:tr>
      <w:tr>
        <w:tblPrEx>
          <w:tblCellMar>
            <w:top w:w="0" w:type="dxa"/>
            <w:left w:w="108" w:type="dxa"/>
            <w:bottom w:w="0" w:type="dxa"/>
            <w:right w:w="108" w:type="dxa"/>
          </w:tblCellMar>
        </w:tblPrEx>
        <w:trPr>
          <w:trHeight w:val="855"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网络机柜</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12U,19英寸标准网络机柜，≥高635mm*宽550mm*深450mm，壁挂落地两用，防护等级≥IP20，透明钢化玻璃前门，可拆卸侧门，模块化安装，立柱≥1.2mm，侧门≥0.8mm，网门≥0.8mm，≥1年质保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¥499.00</w:t>
            </w:r>
          </w:p>
        </w:tc>
      </w:tr>
      <w:tr>
        <w:tblPrEx>
          <w:tblCellMar>
            <w:top w:w="0" w:type="dxa"/>
            <w:left w:w="108" w:type="dxa"/>
            <w:bottom w:w="0" w:type="dxa"/>
            <w:right w:w="108" w:type="dxa"/>
          </w:tblCellMar>
        </w:tblPrEx>
        <w:trPr>
          <w:trHeight w:val="629"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PDU</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8位16A总控过载保护，万用孔，线长≥1.8米，≥1年质保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¥149.00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理线架</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24档48口，适用19英寸标准机柜，≥1U高度，金属，可拆卸盖板，配螺钉≥4套，≥1年质保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¥42.00</w:t>
            </w:r>
          </w:p>
        </w:tc>
      </w:tr>
      <w:tr>
        <w:tblPrEx>
          <w:tblCellMar>
            <w:top w:w="0" w:type="dxa"/>
            <w:left w:w="108" w:type="dxa"/>
            <w:bottom w:w="0" w:type="dxa"/>
            <w:right w:w="108" w:type="dxa"/>
          </w:tblCellMar>
        </w:tblPrEx>
        <w:trPr>
          <w:trHeight w:val="1728"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交换机</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机架式，交换容量≥336Gbps，包转发率≥120Mpps，≥48*10/100/1000Base-T电口，≥4*SFP光口，支持端口镜像和流镜像，支持端口聚合，支持STP/RSTP/MSTP，支持静态路由，支持DHCP,支持SNMP V1/V2/V3,支持Console/AUX Modem/Telnet/SSH 命令行配置,支持FTP、TFTP、Xmodem、SFTP文件上下载管理,支持NTP时钟，≥3年质保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¥2,300.00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交换机</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桌面式，交换容量≥16Gbps，包转发率≥12Mpps，≥8*10/100/1000Base-T电口，防雷电路保护，≥1年质保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交换机</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桌面式，交换容量≥10Gbps，包转发率≥1488000pps，≥5*10/100/1000Base-T电口，防雷电路保护，≥1年质保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¥76.00</w:t>
            </w:r>
          </w:p>
        </w:tc>
      </w:tr>
      <w:tr>
        <w:tblPrEx>
          <w:tblCellMar>
            <w:top w:w="0" w:type="dxa"/>
            <w:left w:w="108" w:type="dxa"/>
            <w:bottom w:w="0" w:type="dxa"/>
            <w:right w:w="108" w:type="dxa"/>
          </w:tblCellMar>
        </w:tblPrEx>
        <w:trPr>
          <w:trHeight w:val="86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rPr>
              <w:t>无线路由器</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桌面式，双频千兆，≥4*10/100/1000Base-T电口，5G频率速率可达433Mbps，2.4G频率速率可达72Mbps，支持IPV6，支持mesh，≥2*2MIMO，支持APP控制，支持WiFi6≥1年质保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¥200.00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光纤收发器</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10/100/1000M自适应，单模单纤，≥25KM，SC接口，支持看门狗功能，防雷保护，拨码开关，≥1年质保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对</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¥399.00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光纤跳线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单模单芯，SC-FC，插拔次数≥1000次，插入损耗≤0.28dB，回波损耗≥50dB,线长≥3米，≥1年质保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¥12.50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rPr>
              <w:t>网络信息点</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含超六类网线、六类水晶头、线槽、模块、扎带、标签、工费等，接入交换机到终端穿墙走线适用，≥1年质保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套</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¥160.00</w:t>
            </w:r>
          </w:p>
        </w:tc>
      </w:tr>
      <w:tr>
        <w:tblPrEx>
          <w:tblCellMar>
            <w:top w:w="0" w:type="dxa"/>
            <w:left w:w="108" w:type="dxa"/>
            <w:bottom w:w="0" w:type="dxa"/>
            <w:right w:w="108" w:type="dxa"/>
          </w:tblCellMar>
        </w:tblPrEx>
        <w:trPr>
          <w:trHeight w:val="315"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CAT6，UTP，≥23AWG，TIA/EIA-568B.1-2001标准，≥1年质保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米</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¥3.50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网线跳线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CAT6，UTP，1米，≥24AWG高纯度无氧铜，8P8C，≥15U镀金弹片，水晶头带保护套，≥1年质保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条</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¥8.90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网线跳线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CAT6，UTP，2米，≥24AWG高纯度无氧铜，8P8C，≥15U镀金弹片，水晶头带保护套，≥1年质保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条</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¥9.90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网线跳线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CAT6，UTP，3米，≥24AWG高纯度无氧铜，8P8C，≥15U镀金弹片，水晶头带保护套，≥1年质保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条</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¥13.90</w:t>
            </w:r>
          </w:p>
        </w:tc>
      </w:tr>
      <w:tr>
        <w:tblPrEx>
          <w:tblCellMar>
            <w:top w:w="0" w:type="dxa"/>
            <w:left w:w="108" w:type="dxa"/>
            <w:bottom w:w="0" w:type="dxa"/>
            <w:right w:w="108" w:type="dxa"/>
          </w:tblCellMar>
        </w:tblPrEx>
        <w:trPr>
          <w:trHeight w:val="618"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网线跳线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CAT6，UTP，5米，≥24AWG高纯度无氧铜，8P8C，≥15U镀金弹片，水晶头带保护套，≥1年质保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条</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¥19.90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网线跳线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CAT6，UTP，10米，≥24AWG高纯度无氧铜，8P8C，≥15U镀金弹片，水晶头带保护套，≥1年质保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条</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¥29.90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水晶头</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CAT6，8P8C，≥15U镀金芯片，≥1年质保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¥0.7</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网络直通头</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支持千兆，RJ45，网线对接，金属屏蔽，≥100米延长，≥1年质保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网络模块</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CAT6，8P8C，≥30μm镀金层，RJ45，拔插≥750次，≥1年质保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¥11.90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网络面板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单口，不含模块，86型通用，螺丝≥2个，标识卡≥1个，≥1年质保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¥8.50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网络面板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双口，不含模块，86型通用，螺丝≥2个，标识卡≥1个，≥1年质保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¥8.50</w:t>
            </w:r>
          </w:p>
        </w:tc>
      </w:tr>
      <w:tr>
        <w:tblPrEx>
          <w:tblCellMar>
            <w:top w:w="0" w:type="dxa"/>
            <w:left w:w="108" w:type="dxa"/>
            <w:bottom w:w="0" w:type="dxa"/>
            <w:right w:w="108" w:type="dxa"/>
          </w:tblCellMar>
        </w:tblPrEx>
        <w:trPr>
          <w:trHeight w:val="497"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底盒</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86型通用标准底盒，≥1年质保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¥2.00</w:t>
            </w:r>
          </w:p>
        </w:tc>
      </w:tr>
      <w:tr>
        <w:tblPrEx>
          <w:tblCellMar>
            <w:top w:w="0" w:type="dxa"/>
            <w:left w:w="108" w:type="dxa"/>
            <w:bottom w:w="0" w:type="dxa"/>
            <w:right w:w="108" w:type="dxa"/>
          </w:tblCellMar>
        </w:tblPrEx>
        <w:trPr>
          <w:trHeight w:val="45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线槽</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≥60mm*40mm，PVC国标方槽，≥1年质保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米</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¥13.00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线槽</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≥39mm*19mm，PVC国标方槽，≥1年质保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米</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线槽</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≥24mm*14mm，PVC国标方槽，≥1年质保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米</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地槽</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≥外宽48mm*内宽30mm*内高10mm,铝合金弧形地槽，≥1年质保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米</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¥20.00</w:t>
            </w:r>
          </w:p>
        </w:tc>
      </w:tr>
      <w:tr>
        <w:tblPrEx>
          <w:tblCellMar>
            <w:top w:w="0" w:type="dxa"/>
            <w:left w:w="108" w:type="dxa"/>
            <w:bottom w:w="0" w:type="dxa"/>
            <w:right w:w="108" w:type="dxa"/>
          </w:tblCellMar>
        </w:tblPrEx>
        <w:trPr>
          <w:trHeight w:val="621"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活扣扎带</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≥7.5*200mm，尼龙，≥50条，≥1年质保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包</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¥25.00</w:t>
            </w:r>
          </w:p>
        </w:tc>
      </w:tr>
      <w:tr>
        <w:tblPrEx>
          <w:tblCellMar>
            <w:top w:w="0" w:type="dxa"/>
            <w:left w:w="108" w:type="dxa"/>
            <w:bottom w:w="0" w:type="dxa"/>
            <w:right w:w="108" w:type="dxa"/>
          </w:tblCellMar>
        </w:tblPrEx>
        <w:trPr>
          <w:trHeight w:val="90"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ind w:left="425" w:leftChars="0" w:hanging="425" w:firstLineChars="0"/>
              <w:jc w:val="center"/>
              <w:rPr>
                <w:rFonts w:hint="eastAsia"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魔术扎带</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≥15cm，尼龙，≥50条，≥1年质保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包</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ind w:left="425" w:leftChars="0" w:hanging="425" w:firstLineChars="0"/>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lang w:val="en-US" w:eastAsia="zh-CN"/>
              </w:rPr>
              <w:t>扫码墩</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线长</w:t>
            </w:r>
            <w:r>
              <w:rPr>
                <w:rFonts w:hint="eastAsia" w:cs="宋体" w:asciiTheme="minorEastAsia" w:hAnsiTheme="minorEastAsia"/>
                <w:color w:val="auto"/>
                <w:kern w:val="0"/>
                <w:szCs w:val="21"/>
                <w:highlight w:val="none"/>
              </w:rPr>
              <w:t>≥1</w:t>
            </w:r>
            <w:r>
              <w:rPr>
                <w:rFonts w:hint="eastAsia" w:cs="宋体" w:asciiTheme="minorEastAsia" w:hAnsiTheme="minorEastAsia"/>
                <w:color w:val="auto"/>
                <w:kern w:val="0"/>
                <w:szCs w:val="21"/>
                <w:highlight w:val="none"/>
                <w:lang w:val="en-US" w:eastAsia="zh-CN"/>
              </w:rPr>
              <w:t>m，支持医保卡、电子医保凭证扫码</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eastAsia="zh-CN"/>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lang w:val="en-US" w:eastAsia="zh-CN"/>
              </w:rPr>
              <w:t>70</w:t>
            </w:r>
            <w:r>
              <w:rPr>
                <w:rFonts w:hint="eastAsia" w:cs="宋体" w:asciiTheme="minorEastAsia" w:hAnsiTheme="minorEastAsia"/>
                <w:color w:val="auto"/>
                <w:kern w:val="0"/>
                <w:szCs w:val="21"/>
                <w:highlight w:val="none"/>
              </w:rPr>
              <w:t>.00</w:t>
            </w:r>
          </w:p>
        </w:tc>
      </w:tr>
      <w:bookmarkEnd w:id="4"/>
      <w:bookmarkEnd w:id="5"/>
    </w:tbl>
    <w:p>
      <w:pPr>
        <w:numPr>
          <w:ilvl w:val="0"/>
          <w:numId w:val="0"/>
        </w:numPr>
        <w:spacing w:line="460" w:lineRule="exact"/>
        <w:rPr>
          <w:rFonts w:hint="eastAsia" w:ascii="宋体" w:hAnsi="宋体" w:eastAsia="宋体" w:cs="宋体"/>
          <w:b/>
          <w:bCs/>
          <w:color w:val="auto"/>
          <w:kern w:val="2"/>
          <w:sz w:val="21"/>
          <w:szCs w:val="21"/>
          <w:highlight w:val="none"/>
          <w:lang w:val="en-US" w:eastAsia="zh-CN" w:bidi="ar-SA"/>
        </w:rPr>
      </w:pPr>
    </w:p>
    <w:p>
      <w:pPr>
        <w:numPr>
          <w:ilvl w:val="0"/>
          <w:numId w:val="0"/>
        </w:numPr>
        <w:spacing w:line="460" w:lineRule="exac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w:t>
      </w:r>
      <w:r>
        <w:rPr>
          <w:rFonts w:hint="eastAsia" w:ascii="宋体" w:hAnsi="宋体" w:cs="宋体"/>
          <w:b/>
          <w:bCs/>
          <w:color w:val="auto"/>
          <w:kern w:val="2"/>
          <w:sz w:val="21"/>
          <w:szCs w:val="21"/>
          <w:highlight w:val="none"/>
          <w:lang w:val="en-US" w:eastAsia="zh-CN" w:bidi="ar-SA"/>
        </w:rPr>
        <w:t>技术</w:t>
      </w:r>
      <w:r>
        <w:rPr>
          <w:rFonts w:hint="eastAsia" w:ascii="宋体" w:hAnsi="宋体" w:eastAsia="宋体" w:cs="宋体"/>
          <w:b/>
          <w:bCs/>
          <w:color w:val="auto"/>
          <w:kern w:val="2"/>
          <w:sz w:val="21"/>
          <w:szCs w:val="21"/>
          <w:highlight w:val="none"/>
          <w:lang w:val="en-US" w:eastAsia="zh-CN" w:bidi="ar-SA"/>
        </w:rPr>
        <w:t>商务要求：</w:t>
      </w:r>
    </w:p>
    <w:p>
      <w:pPr>
        <w:pageBreakBefore w:val="0"/>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1.技术要求</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1.1、根据各科室日常需求按需供货，每次供货时提供送货单，注明货物名称、品牌、型号、数量、单价、总价、质保期，货物经信息科验收签字后，再根据需要送到使用科室，送货单须货物接收科室签字，根据送货单按月结算，1年服务期。</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1.2、从采购需求列表中供货，如遇停产或缺货等不可抗力导致无法供货，应提供同品牌替代产品，指标不低于采购需求。</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1.3、新采购的办公用电脑耗材在维保期内，包修、包换，所更换配件和设备须为原装正品，或同档次配件和设备，所有维修更换费用包含在采购费用内，维保期内不再产生其他任何费用。</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default"/>
          <w:color w:val="auto"/>
          <w:highlight w:val="none"/>
          <w:lang w:val="en-US" w:eastAsia="zh-CN"/>
        </w:rPr>
      </w:pPr>
      <w:r>
        <w:rPr>
          <w:rFonts w:hint="eastAsia" w:ascii="宋体" w:hAnsi="宋体" w:cs="宋体"/>
          <w:b w:val="0"/>
          <w:bCs w:val="0"/>
          <w:color w:val="auto"/>
          <w:kern w:val="0"/>
          <w:sz w:val="21"/>
          <w:szCs w:val="21"/>
          <w:highlight w:val="none"/>
          <w:shd w:val="clear" w:color="auto" w:fill="FFFFFF"/>
          <w:lang w:val="en-US" w:eastAsia="zh-CN" w:bidi="ar-SA"/>
        </w:rPr>
        <w:t>2.商务要求</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2.</w:t>
      </w:r>
      <w:r>
        <w:rPr>
          <w:rFonts w:hint="eastAsia" w:ascii="宋体" w:hAnsi="宋体" w:eastAsia="宋体" w:cs="宋体"/>
          <w:b w:val="0"/>
          <w:bCs w:val="0"/>
          <w:color w:val="auto"/>
          <w:kern w:val="0"/>
          <w:sz w:val="21"/>
          <w:szCs w:val="21"/>
          <w:highlight w:val="none"/>
          <w:shd w:val="clear" w:color="auto" w:fill="FFFFFF"/>
          <w:lang w:val="en-US" w:eastAsia="zh-CN" w:bidi="ar-SA"/>
        </w:rPr>
        <w:t>1、合同签署之日起提供服务。</w:t>
      </w:r>
    </w:p>
    <w:p>
      <w:pPr>
        <w:pageBreakBefore w:val="0"/>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2.</w:t>
      </w:r>
      <w:r>
        <w:rPr>
          <w:rFonts w:hint="eastAsia" w:ascii="宋体" w:hAnsi="宋体" w:eastAsia="宋体" w:cs="宋体"/>
          <w:b w:val="0"/>
          <w:bCs w:val="0"/>
          <w:color w:val="auto"/>
          <w:kern w:val="0"/>
          <w:sz w:val="21"/>
          <w:szCs w:val="21"/>
          <w:highlight w:val="none"/>
          <w:shd w:val="clear" w:color="auto" w:fill="FFFFFF"/>
          <w:lang w:val="en-US" w:eastAsia="zh-CN" w:bidi="ar-SA"/>
        </w:rPr>
        <w:t>2、提供的设备在质保期内经2次维修仍存在质量问题的，乙方必须负责更换。</w:t>
      </w:r>
    </w:p>
    <w:p>
      <w:pPr>
        <w:pageBreakBefore w:val="0"/>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2.</w:t>
      </w:r>
      <w:r>
        <w:rPr>
          <w:rFonts w:hint="eastAsia" w:ascii="宋体" w:hAnsi="宋体" w:eastAsia="宋体" w:cs="宋体"/>
          <w:b w:val="0"/>
          <w:bCs w:val="0"/>
          <w:color w:val="auto"/>
          <w:kern w:val="0"/>
          <w:sz w:val="21"/>
          <w:szCs w:val="21"/>
          <w:highlight w:val="none"/>
          <w:shd w:val="clear" w:color="auto" w:fill="FFFFFF"/>
          <w:lang w:val="en-US" w:eastAsia="zh-CN" w:bidi="ar-SA"/>
        </w:rPr>
        <w:t>3、定期按照《驻马店市中心医院信息服务第三方人员管理方法》进行考核；乙方未按标准履行服务义务发生或被投诉的，经多次批评教育仍不改正的，甲方有权终止合同；乙方偿付的违约金由甲方从服务费中扣除，不足的款额由乙方另向甲方支付。乙方未按标准履行服务义务，导致甲方业务运行中断而造成损失的，乙方负责赔偿。</w:t>
      </w:r>
    </w:p>
    <w:p>
      <w:pPr>
        <w:pageBreakBefore w:val="0"/>
        <w:kinsoku/>
        <w:wordWrap/>
        <w:overflowPunct/>
        <w:topLinePunct w:val="0"/>
        <w:bidi w:val="0"/>
        <w:snapToGrid w:val="0"/>
        <w:spacing w:beforeAutospacing="0" w:afterAutospacing="0" w:line="500" w:lineRule="exact"/>
        <w:ind w:firstLine="420" w:firstLineChars="200"/>
        <w:jc w:val="both"/>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2.</w:t>
      </w:r>
      <w:r>
        <w:rPr>
          <w:rFonts w:hint="eastAsia" w:ascii="宋体" w:hAnsi="宋体" w:eastAsia="宋体" w:cs="宋体"/>
          <w:b w:val="0"/>
          <w:bCs w:val="0"/>
          <w:color w:val="auto"/>
          <w:kern w:val="0"/>
          <w:sz w:val="21"/>
          <w:szCs w:val="21"/>
          <w:highlight w:val="none"/>
          <w:shd w:val="clear" w:color="auto" w:fill="FFFFFF"/>
          <w:lang w:val="en-US" w:eastAsia="zh-CN" w:bidi="ar-SA"/>
        </w:rPr>
        <w:t>4、提供7*24小时技术支持。</w:t>
      </w:r>
    </w:p>
    <w:p>
      <w:pPr>
        <w:pageBreakBefore w:val="0"/>
        <w:kinsoku/>
        <w:wordWrap/>
        <w:overflowPunct/>
        <w:topLinePunct w:val="0"/>
        <w:bidi w:val="0"/>
        <w:snapToGrid w:val="0"/>
        <w:spacing w:beforeAutospacing="0" w:afterAutospacing="0" w:line="500" w:lineRule="exact"/>
        <w:jc w:val="center"/>
        <w:textAlignment w:val="auto"/>
        <w:rPr>
          <w:color w:val="auto"/>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采购人指定地点</w:t>
            </w:r>
            <w:r>
              <w:rPr>
                <w:rFonts w:hint="eastAsia" w:ascii="宋体" w:hAnsi="宋体" w:cs="宋体"/>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从产品最终验收合格之日起，整机保修≥</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年</w:t>
            </w:r>
            <w:r>
              <w:rPr>
                <w:rFonts w:hint="eastAsia" w:ascii="宋体" w:hAnsi="宋体" w:cs="宋体"/>
                <w:color w:val="auto"/>
                <w:highlight w:val="none"/>
                <w:lang w:val="en-US" w:eastAsia="zh-CN"/>
              </w:rPr>
              <w:t>（特殊要求除外）</w:t>
            </w:r>
            <w:r>
              <w:rPr>
                <w:rFonts w:hint="eastAsia" w:ascii="宋体" w:hAnsi="宋体" w:eastAsia="宋体" w:cs="宋体"/>
                <w:color w:val="auto"/>
                <w:highlight w:val="none"/>
                <w:lang w:val="en-US" w:eastAsia="zh-CN"/>
              </w:rPr>
              <w:t>，出具相关服务承诺书。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bCs/>
                <w:color w:val="auto"/>
                <w:szCs w:val="21"/>
                <w:highlight w:val="none"/>
                <w:shd w:val="clear" w:color="auto" w:fill="FFFFFF"/>
                <w:lang w:val="en-US" w:eastAsia="zh-CN"/>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由采购人按照有关规定组织验收</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以供货合同签订为准</w:t>
            </w:r>
            <w:r>
              <w:rPr>
                <w:rFonts w:hint="eastAsia" w:ascii="宋体" w:hAnsi="宋体" w:cs="宋体"/>
                <w:color w:val="auto"/>
                <w:kern w:val="0"/>
                <w:szCs w:val="21"/>
                <w:highlight w:val="none"/>
                <w:lang w:eastAsia="zh-CN"/>
              </w:rPr>
              <w:t>。</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3"/>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w:t>
            </w:r>
            <w:r>
              <w:rPr>
                <w:rFonts w:hint="eastAsia" w:ascii="宋体" w:hAnsi="宋体" w:eastAsia="宋体" w:cs="宋体"/>
                <w:b w:val="0"/>
                <w:bCs w:val="0"/>
                <w:i w:val="0"/>
                <w:iCs w:val="0"/>
                <w:caps w:val="0"/>
                <w:color w:val="000000" w:themeColor="text1"/>
                <w:spacing w:val="0"/>
                <w:sz w:val="21"/>
                <w:szCs w:val="21"/>
                <w:vertAlign w:val="baseline"/>
                <w:lang w:val="en-US" w:eastAsia="zh-CN"/>
                <w14:textFill>
                  <w14:solidFill>
                    <w14:schemeClr w14:val="tx1"/>
                  </w14:solidFill>
                </w14:textFill>
              </w:rPr>
              <w:t>授权评标委员会确定</w:t>
            </w:r>
            <w:r>
              <w:rPr>
                <w:rFonts w:hint="eastAsia" w:ascii="宋体" w:hAnsi="宋体" w:eastAsia="宋体" w:cs="宋体"/>
                <w:b/>
                <w:bCs/>
                <w:i w:val="0"/>
                <w:iCs w:val="0"/>
                <w:caps w:val="0"/>
                <w:color w:val="000000" w:themeColor="text1"/>
                <w:spacing w:val="0"/>
                <w:sz w:val="21"/>
                <w:szCs w:val="21"/>
                <w:vertAlign w:val="baseline"/>
                <w:lang w:val="en-US" w:eastAsia="zh-CN"/>
                <w14:textFill>
                  <w14:solidFill>
                    <w14:schemeClr w14:val="tx1"/>
                  </w14:solidFill>
                </w14:textFill>
              </w:rPr>
              <w:t>二名中标人</w:t>
            </w:r>
            <w:r>
              <w:rPr>
                <w:rFonts w:hint="eastAsia" w:ascii="宋体" w:hAnsi="宋体" w:eastAsia="宋体" w:cs="宋体"/>
                <w:b w:val="0"/>
                <w:bCs w:val="0"/>
                <w:i w:val="0"/>
                <w:iCs w:val="0"/>
                <w:caps w:val="0"/>
                <w:color w:val="000000" w:themeColor="text1"/>
                <w:spacing w:val="0"/>
                <w:sz w:val="21"/>
                <w:szCs w:val="21"/>
                <w:vertAlign w:val="baseline"/>
                <w:lang w:val="en-US" w:eastAsia="zh-CN"/>
                <w14:textFill>
                  <w14:solidFill>
                    <w14:schemeClr w14:val="tx1"/>
                  </w14:solidFill>
                </w14:textFill>
              </w:rPr>
              <w:t>并推荐一名中标候选人</w:t>
            </w:r>
            <w:r>
              <w:rPr>
                <w:rFonts w:hint="eastAsia" w:ascii="宋体" w:hAnsi="宋体" w:cs="宋体"/>
                <w:color w:val="auto"/>
                <w:kern w:val="0"/>
                <w:szCs w:val="21"/>
                <w:highlight w:val="none"/>
              </w:rPr>
              <w:t>。</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w:t>
            </w:r>
            <w:bookmarkStart w:id="91" w:name="_GoBack"/>
            <w:bookmarkEnd w:id="91"/>
            <w:r>
              <w:rPr>
                <w:rFonts w:hint="eastAsia" w:ascii="宋体" w:hAnsi="宋体" w:cs="宋体"/>
                <w:color w:val="auto"/>
                <w:spacing w:val="14"/>
                <w:szCs w:val="21"/>
                <w:highlight w:val="none"/>
              </w:rPr>
              <w:t>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eastAsia="zh-CN"/>
              </w:rPr>
              <w:t xml:space="preserve">驻马店市中心医院办公用电脑相关耗材采购 </w:t>
            </w:r>
            <w:r>
              <w:rPr>
                <w:rFonts w:hint="eastAsia"/>
                <w:color w:val="auto"/>
                <w:highlight w:val="none"/>
                <w:lang w:val="en-US" w:eastAsia="zh-CN"/>
              </w:rPr>
              <w:t>。</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color w:val="auto"/>
                <w:highlight w:val="none"/>
              </w:rPr>
              <w:t>驻马店市中心医院</w:t>
            </w:r>
            <w:r>
              <w:rPr>
                <w:rFonts w:hint="eastAsia" w:ascii="宋体" w:hAnsi="宋体" w:cs="宋体"/>
                <w:color w:val="auto"/>
                <w:highlight w:val="none"/>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20万</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val="en-US" w:eastAsia="zh-CN"/>
              </w:rPr>
              <w:t>（据实结算）</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color w:val="auto"/>
                <w:highlight w:val="none"/>
              </w:rPr>
            </w:pPr>
            <w:r>
              <w:rPr>
                <w:rFonts w:hint="eastAsia" w:ascii="宋体" w:hAnsi="宋体" w:eastAsia="宋体" w:cs="宋体"/>
                <w:color w:val="auto"/>
                <w:highlight w:val="none"/>
              </w:rPr>
              <w:t>投标文件组成：纸质投标文件正本1份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w:t>
            </w:r>
            <w:r>
              <w:rPr>
                <w:rFonts w:hint="eastAsia" w:ascii="宋体" w:hAnsi="宋体" w:cs="宋体"/>
                <w:color w:val="auto"/>
                <w:kern w:val="0"/>
                <w:szCs w:val="21"/>
                <w:highlight w:val="none"/>
                <w:lang w:val="en-US" w:eastAsia="zh-CN"/>
              </w:rPr>
              <w:t>二</w:t>
            </w:r>
            <w:r>
              <w:rPr>
                <w:rFonts w:hint="eastAsia" w:ascii="宋体" w:hAnsi="宋体" w:cs="宋体"/>
                <w:color w:val="auto"/>
                <w:kern w:val="0"/>
                <w:szCs w:val="21"/>
                <w:highlight w:val="none"/>
              </w:rPr>
              <w:t>名中标人。评审结束后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w:t>
      </w:r>
      <w:r>
        <w:rPr>
          <w:rFonts w:hint="eastAsia" w:ascii="宋体" w:hAnsi="宋体" w:cs="宋体"/>
          <w:b/>
          <w:bCs/>
          <w:color w:val="auto"/>
          <w:kern w:val="0"/>
          <w:szCs w:val="21"/>
          <w:highlight w:val="none"/>
          <w:lang w:val="en-US" w:eastAsia="zh-CN"/>
        </w:rPr>
        <w:t>20万</w:t>
      </w:r>
      <w:r>
        <w:rPr>
          <w:rFonts w:hint="eastAsia" w:ascii="宋体" w:hAnsi="宋体" w:cs="宋体"/>
          <w:b/>
          <w:bCs/>
          <w:color w:val="auto"/>
          <w:kern w:val="0"/>
          <w:szCs w:val="21"/>
          <w:highlight w:val="none"/>
        </w:rPr>
        <w:t>元（据实结算）。</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供应商应提供</w:t>
      </w:r>
      <w:r>
        <w:rPr>
          <w:rFonts w:hint="eastAsia" w:ascii="宋体" w:hAnsi="宋体" w:cs="宋体"/>
          <w:color w:val="auto"/>
          <w:sz w:val="21"/>
          <w:szCs w:val="21"/>
          <w:highlight w:val="none"/>
          <w:lang w:val="en-US" w:eastAsia="zh-CN"/>
        </w:rPr>
        <w:t>2022年度</w:t>
      </w:r>
      <w:r>
        <w:rPr>
          <w:rFonts w:hint="eastAsia" w:ascii="宋体" w:hAnsi="宋体" w:eastAsia="宋体" w:cs="宋体"/>
          <w:color w:val="auto"/>
          <w:sz w:val="21"/>
          <w:szCs w:val="21"/>
          <w:highlight w:val="none"/>
          <w:lang w:val="en-US" w:eastAsia="zh-CN"/>
        </w:rPr>
        <w:t>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color w:val="auto"/>
          <w:sz w:val="24"/>
          <w:highlight w:val="none"/>
        </w:rPr>
        <w:t>技术响应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color w:val="auto"/>
          <w:sz w:val="24"/>
          <w:highlight w:val="none"/>
        </w:rPr>
        <w:t>商务响应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Times New Roman" w:hAnsi="Times New Roman" w:eastAsia="宋体" w:cs="Times New Roman"/>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19.</w:t>
      </w:r>
      <w:r>
        <w:rPr>
          <w:rFonts w:hint="eastAsia" w:ascii="宋体" w:hAnsi="宋体" w:cs="宋体"/>
          <w:b/>
          <w:color w:val="auto"/>
          <w:kern w:val="0"/>
          <w:szCs w:val="21"/>
          <w:highlight w:val="none"/>
          <w:lang w:val="en-US" w:eastAsia="zh-CN"/>
        </w:rPr>
        <w:t>本项目不收取</w:t>
      </w:r>
      <w:r>
        <w:rPr>
          <w:rFonts w:hint="eastAsia" w:ascii="宋体" w:hAnsi="宋体" w:cs="宋体"/>
          <w:b/>
          <w:color w:val="auto"/>
          <w:kern w:val="0"/>
          <w:szCs w:val="21"/>
          <w:highlight w:val="none"/>
        </w:rPr>
        <w:t>投标保证金</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highlight w:val="none"/>
          <w:lang w:eastAsia="zh-CN"/>
        </w:rPr>
      </w:pPr>
      <w:r>
        <w:rPr>
          <w:rFonts w:hint="eastAsia"/>
          <w:color w:val="auto"/>
          <w:highlight w:val="none"/>
          <w:lang w:eastAsia="zh-CN"/>
        </w:rPr>
        <w:t>2</w:t>
      </w:r>
      <w:r>
        <w:rPr>
          <w:rFonts w:hint="eastAsia"/>
          <w:color w:val="auto"/>
          <w:highlight w:val="none"/>
          <w:lang w:val="en-US" w:eastAsia="zh-CN"/>
        </w:rPr>
        <w:t>1</w:t>
      </w:r>
      <w:r>
        <w:rPr>
          <w:rFonts w:hint="eastAsia"/>
          <w:color w:val="auto"/>
          <w:highlight w:val="none"/>
          <w:lang w:eastAsia="zh-CN"/>
        </w:rPr>
        <w:t>.3 未按本章第2</w:t>
      </w:r>
      <w:r>
        <w:rPr>
          <w:rFonts w:hint="eastAsia"/>
          <w:color w:val="auto"/>
          <w:highlight w:val="none"/>
          <w:lang w:val="en-US" w:eastAsia="zh-CN"/>
        </w:rPr>
        <w:t>1</w:t>
      </w:r>
      <w:r>
        <w:rPr>
          <w:rFonts w:hint="eastAsia"/>
          <w:color w:val="auto"/>
          <w:highlight w:val="none"/>
          <w:lang w:eastAsia="zh-CN"/>
        </w:rPr>
        <w:t>.1项或第2</w:t>
      </w:r>
      <w:r>
        <w:rPr>
          <w:rFonts w:hint="eastAsia"/>
          <w:color w:val="auto"/>
          <w:highlight w:val="none"/>
          <w:lang w:val="en-US" w:eastAsia="zh-CN"/>
        </w:rPr>
        <w:t>1</w:t>
      </w:r>
      <w:r>
        <w:rPr>
          <w:rFonts w:hint="eastAsia"/>
          <w:color w:val="auto"/>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
          <w:bCs/>
          <w:color w:val="auto"/>
          <w:kern w:val="0"/>
          <w:szCs w:val="21"/>
          <w:highlight w:val="none"/>
        </w:rPr>
      </w:pPr>
      <w:r>
        <w:rPr>
          <w:rFonts w:hint="eastAsia" w:ascii="宋体" w:hAnsi="宋体" w:cs="宋体"/>
          <w:bCs/>
          <w:color w:val="auto"/>
          <w:kern w:val="0"/>
          <w:szCs w:val="21"/>
          <w:highlight w:val="none"/>
        </w:rPr>
        <w:t>本项目由采购人</w:t>
      </w:r>
      <w:r>
        <w:rPr>
          <w:rFonts w:hint="eastAsia" w:ascii="宋体" w:hAnsi="宋体" w:cs="宋体"/>
          <w:b w:val="0"/>
          <w:bCs w:val="0"/>
          <w:color w:val="auto"/>
          <w:kern w:val="0"/>
          <w:szCs w:val="21"/>
          <w:highlight w:val="none"/>
        </w:rPr>
        <w:t>授权评标委员会确定</w:t>
      </w:r>
      <w:r>
        <w:rPr>
          <w:rFonts w:hint="eastAsia" w:ascii="宋体" w:hAnsi="宋体" w:cs="宋体"/>
          <w:b w:val="0"/>
          <w:bCs w:val="0"/>
          <w:color w:val="auto"/>
          <w:kern w:val="0"/>
          <w:szCs w:val="21"/>
          <w:highlight w:val="none"/>
          <w:lang w:val="en-US" w:eastAsia="zh-CN"/>
        </w:rPr>
        <w:t>二</w:t>
      </w:r>
      <w:r>
        <w:rPr>
          <w:rFonts w:hint="eastAsia" w:ascii="宋体" w:hAnsi="宋体" w:cs="宋体"/>
          <w:b w:val="0"/>
          <w:bCs w:val="0"/>
          <w:color w:val="auto"/>
          <w:kern w:val="0"/>
          <w:szCs w:val="21"/>
          <w:highlight w:val="none"/>
        </w:rPr>
        <w:t>名中标人并推荐</w:t>
      </w:r>
      <w:r>
        <w:rPr>
          <w:rFonts w:hint="eastAsia" w:ascii="宋体" w:hAnsi="宋体" w:cs="宋体"/>
          <w:bCs/>
          <w:color w:val="auto"/>
          <w:kern w:val="0"/>
          <w:szCs w:val="21"/>
          <w:highlight w:val="none"/>
          <w:lang w:val="en-US" w:eastAsia="zh-CN"/>
        </w:rPr>
        <w:t>二</w:t>
      </w:r>
      <w:r>
        <w:rPr>
          <w:rFonts w:hint="eastAsia" w:ascii="宋体" w:hAnsi="宋体" w:cs="宋体"/>
          <w:bCs/>
          <w:color w:val="auto"/>
          <w:kern w:val="0"/>
          <w:szCs w:val="21"/>
          <w:highlight w:val="none"/>
        </w:rPr>
        <w:t>名中标候选人</w:t>
      </w:r>
      <w:r>
        <w:rPr>
          <w:rFonts w:hint="eastAsia" w:ascii="宋体" w:hAnsi="宋体" w:cs="宋体"/>
          <w:b/>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4"/>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9022"/>
      <w:bookmarkStart w:id="44" w:name="_Toc4700"/>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59"/>
        <w:gridCol w:w="6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rPr>
              <w:t>加★号</w:t>
            </w:r>
            <w:r>
              <w:rPr>
                <w:rFonts w:hint="eastAsia" w:ascii="宋体" w:hAnsi="宋体" w:eastAsia="宋体" w:cs="宋体"/>
                <w:b w:val="0"/>
                <w:bCs w:val="0"/>
                <w:color w:val="auto"/>
                <w:sz w:val="21"/>
                <w:szCs w:val="21"/>
                <w:highlight w:val="none"/>
                <w:u w:val="none"/>
                <w:lang w:val="en-US" w:eastAsia="zh-CN"/>
              </w:rPr>
              <w:t>产品报价（20分）</w:t>
            </w:r>
          </w:p>
        </w:tc>
        <w:tc>
          <w:tcPr>
            <w:tcW w:w="6184" w:type="dxa"/>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pPr>
          </w:p>
        </w:tc>
        <w:tc>
          <w:tcPr>
            <w:tcW w:w="2059"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ascii="Times New Roman" w:hAnsi="Times New Roman" w:eastAsia="宋体" w:cs="Times New Roman"/>
                <w:kern w:val="2"/>
                <w:sz w:val="21"/>
                <w:szCs w:val="24"/>
                <w:lang w:val="en-US" w:eastAsia="zh-CN" w:bidi="ar-SA"/>
              </w:rPr>
            </w:pPr>
            <w:r>
              <w:rPr>
                <w:rFonts w:hint="eastAsia" w:ascii="宋体" w:hAnsi="宋体" w:cs="宋体"/>
                <w:b w:val="0"/>
                <w:bCs w:val="0"/>
                <w:color w:val="auto"/>
                <w:sz w:val="21"/>
                <w:szCs w:val="21"/>
                <w:highlight w:val="none"/>
                <w:lang w:val="en-US" w:eastAsia="zh-CN"/>
              </w:rPr>
              <w:t>2.不</w:t>
            </w:r>
            <w:r>
              <w:rPr>
                <w:rFonts w:hint="eastAsia" w:ascii="宋体" w:hAnsi="宋体" w:eastAsia="宋体" w:cs="宋体"/>
                <w:b w:val="0"/>
                <w:bCs w:val="0"/>
                <w:color w:val="000000" w:themeColor="text1"/>
                <w:sz w:val="21"/>
                <w:szCs w:val="21"/>
                <w:highlight w:val="none"/>
                <w14:textFill>
                  <w14:solidFill>
                    <w14:schemeClr w14:val="tx1"/>
                  </w14:solidFill>
                </w14:textFill>
              </w:rPr>
              <w:t>加★号</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产品</w:t>
            </w:r>
            <w:r>
              <w:rPr>
                <w:rFonts w:hint="eastAsia" w:ascii="宋体" w:hAnsi="宋体" w:cs="宋体"/>
                <w:b w:val="0"/>
                <w:bCs w:val="0"/>
                <w:color w:val="auto"/>
                <w:sz w:val="21"/>
                <w:szCs w:val="21"/>
                <w:highlight w:val="none"/>
                <w:lang w:val="en-US" w:eastAsia="zh-CN"/>
              </w:rPr>
              <w:t>报价（15分）</w:t>
            </w:r>
          </w:p>
        </w:tc>
        <w:tc>
          <w:tcPr>
            <w:tcW w:w="6184" w:type="dxa"/>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FF"/>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投标人对“第二章  采购需求”技术参数</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要求</w:t>
            </w:r>
            <w:r>
              <w:rPr>
                <w:rFonts w:hint="eastAsia" w:ascii="宋体" w:hAnsi="宋体" w:eastAsia="宋体" w:cs="宋体"/>
                <w:b w:val="0"/>
                <w:bCs w:val="0"/>
                <w:color w:val="000000" w:themeColor="text1"/>
                <w:sz w:val="21"/>
                <w:szCs w:val="21"/>
                <w:highlight w:val="none"/>
                <w14:textFill>
                  <w14:solidFill>
                    <w14:schemeClr w14:val="tx1"/>
                  </w14:solidFill>
                </w14:textFill>
              </w:rPr>
              <w:t>的响应，所投内容全部满足磋商文件要求得30</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val="en-US" w:eastAsia="zh-CN"/>
              </w:rPr>
              <w:t>所投产品的技术参数</w:t>
            </w:r>
            <w:r>
              <w:rPr>
                <w:rFonts w:hint="eastAsia" w:ascii="宋体" w:hAnsi="宋体" w:eastAsia="宋体" w:cs="宋体"/>
                <w:b w:val="0"/>
                <w:bCs w:val="0"/>
                <w:color w:val="auto"/>
                <w:sz w:val="21"/>
                <w:szCs w:val="21"/>
                <w:highlight w:val="none"/>
              </w:rPr>
              <w:t>一项不满足扣</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分，如此项得分为0分，则投标无效。</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1）供应商需提供参数偏离表，并标注偏离情况。</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2.实施方案（10分）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供应商对项目实施方案的整体规划，包括设备对接方案、调试方案、交货期保证措施。</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以上措施详细、合理、可行的7-10分；基本详细、基本合理、基本可行的4-6分；基本详细度、合理性差、可行性差的1-3分；缺项</w:t>
            </w:r>
            <w:r>
              <w:rPr>
                <w:rFonts w:hint="eastAsia" w:ascii="宋体" w:hAnsi="宋体" w:cs="宋体"/>
                <w:b w:val="0"/>
                <w:bCs w:val="0"/>
                <w:color w:val="auto"/>
                <w:sz w:val="21"/>
                <w:szCs w:val="21"/>
                <w:highlight w:val="none"/>
                <w:lang w:val="en-US" w:eastAsia="zh-CN"/>
              </w:rPr>
              <w:t>得</w:t>
            </w:r>
            <w:r>
              <w:rPr>
                <w:rFonts w:hint="eastAsia" w:ascii="宋体" w:hAnsi="宋体" w:eastAsia="宋体" w:cs="宋体"/>
                <w:b w:val="0"/>
                <w:bCs w:val="0"/>
                <w:color w:val="auto"/>
                <w:sz w:val="21"/>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2059" w:type="dxa"/>
            <w:tcBorders>
              <w:top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1.质保期（6分）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2.类似业绩（4分）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.售后服务体系（1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售后服务承诺内容具体、完善、合理性程度强得11-15分，具体、完善、合理性程度一般得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-10分，具体、完善、合理性程度差得1-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5"/>
    </w:tbl>
    <w:p>
      <w:pPr>
        <w:rPr>
          <w:color w:val="auto"/>
          <w:highlight w:val="none"/>
        </w:rPr>
      </w:pPr>
      <w:bookmarkStart w:id="46" w:name="_Toc1947"/>
      <w:bookmarkStart w:id="47" w:name="_Toc256519703"/>
      <w:bookmarkStart w:id="48" w:name="_Toc326786897"/>
      <w:bookmarkStart w:id="49" w:name="_Toc1482"/>
    </w:p>
    <w:p>
      <w:pPr>
        <w:rPr>
          <w:rFonts w:hint="eastAsia" w:ascii="黑体" w:hAnsi="宋体" w:eastAsia="黑体" w:cs="宋体"/>
          <w:b/>
          <w:bCs/>
          <w:color w:val="auto"/>
          <w:kern w:val="0"/>
          <w:sz w:val="32"/>
          <w:szCs w:val="32"/>
          <w:highlight w:val="none"/>
        </w:rPr>
      </w:pPr>
      <w:bookmarkStart w:id="50" w:name="_Toc28988"/>
      <w:r>
        <w:rPr>
          <w:rFonts w:hint="eastAsia" w:ascii="黑体" w:hAnsi="宋体" w:eastAsia="黑体" w:cs="宋体"/>
          <w:b/>
          <w:bCs/>
          <w:color w:val="auto"/>
          <w:kern w:val="0"/>
          <w:sz w:val="32"/>
          <w:szCs w:val="32"/>
          <w:highlight w:val="none"/>
        </w:rPr>
        <w:br w:type="page"/>
      </w:r>
    </w:p>
    <w:p>
      <w:pPr>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以实际合同为准</w:t>
      </w:r>
      <w:r>
        <w:rPr>
          <w:rFonts w:hint="eastAsia" w:ascii="宋体" w:hAnsi="宋体"/>
          <w:color w:val="auto"/>
          <w:sz w:val="21"/>
          <w:szCs w:val="21"/>
          <w:highlight w:val="none"/>
          <w:lang w:eastAsia="zh-CN"/>
        </w:rPr>
        <w:t>）</w:t>
      </w:r>
    </w:p>
    <w:p>
      <w:pPr>
        <w:rPr>
          <w:color w:val="auto"/>
          <w:sz w:val="32"/>
          <w:szCs w:val="32"/>
          <w:highlight w:val="none"/>
        </w:rPr>
      </w:pPr>
    </w:p>
    <w:p>
      <w:pPr>
        <w:rPr>
          <w:color w:val="auto"/>
          <w:highlight w:val="none"/>
        </w:rPr>
      </w:pPr>
      <w:r>
        <w:rPr>
          <w:color w:val="auto"/>
          <w:highlight w:val="none"/>
        </w:rPr>
        <w:br w:type="page"/>
      </w:r>
    </w:p>
    <w:bookmarkEnd w:id="46"/>
    <w:bookmarkEnd w:id="47"/>
    <w:bookmarkEnd w:id="48"/>
    <w:bookmarkEnd w:id="49"/>
    <w:p>
      <w:pPr>
        <w:pStyle w:val="32"/>
        <w:rPr>
          <w:color w:val="auto"/>
          <w:highlight w:val="none"/>
        </w:rPr>
      </w:pPr>
    </w:p>
    <w:p>
      <w:pPr>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rFonts w:hint="default" w:eastAsia="宋体"/>
          <w:color w:val="auto"/>
          <w:sz w:val="24"/>
          <w:highlight w:val="none"/>
          <w:lang w:val="en-US" w:eastAsia="zh-CN"/>
        </w:rPr>
      </w:pPr>
      <w:bookmarkStart w:id="57" w:name="_Toc28392"/>
      <w:r>
        <w:rPr>
          <w:rFonts w:hint="eastAsia"/>
          <w:color w:val="auto"/>
          <w:sz w:val="24"/>
          <w:highlight w:val="none"/>
        </w:rPr>
        <w:t>附件5</w:t>
      </w:r>
      <w:bookmarkEnd w:id="57"/>
      <w:r>
        <w:rPr>
          <w:rFonts w:hint="eastAsia"/>
          <w:color w:val="auto"/>
          <w:sz w:val="24"/>
          <w:highlight w:val="none"/>
        </w:rPr>
        <w:t>技术响应表</w:t>
      </w:r>
      <w:r>
        <w:rPr>
          <w:rFonts w:hint="eastAsia"/>
          <w:color w:val="auto"/>
          <w:sz w:val="24"/>
          <w:highlight w:val="none"/>
          <w:lang w:eastAsia="zh-CN"/>
        </w:rPr>
        <w:t>（</w:t>
      </w:r>
      <w:r>
        <w:rPr>
          <w:rFonts w:hint="eastAsia"/>
          <w:color w:val="auto"/>
          <w:sz w:val="24"/>
          <w:highlight w:val="none"/>
          <w:lang w:val="en-US" w:eastAsia="zh-CN"/>
        </w:rPr>
        <w:t>格式）</w:t>
      </w:r>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 xml:space="preserve">附件6 </w:t>
      </w:r>
      <w:bookmarkEnd w:id="58"/>
      <w:r>
        <w:rPr>
          <w:rFonts w:hint="eastAsia"/>
          <w:color w:val="auto"/>
          <w:sz w:val="24"/>
          <w:highlight w:val="none"/>
        </w:rPr>
        <w:t>商务响应</w:t>
      </w:r>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ascii="Times New Roman" w:hAnsi="Times New Roman" w:eastAsia="宋体" w:cs="Times New Roman"/>
          <w:color w:val="auto"/>
          <w:sz w:val="24"/>
          <w:highlight w:val="none"/>
          <w:lang w:val="en-US" w:eastAsia="zh-CN"/>
        </w:rPr>
        <w:t xml:space="preserve"> 供应商信用承诺函（格式）</w:t>
      </w:r>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附件12 </w:t>
      </w:r>
      <w:r>
        <w:rPr>
          <w:rFonts w:hint="eastAsia"/>
          <w:color w:val="auto"/>
          <w:sz w:val="24"/>
          <w:highlight w:val="none"/>
        </w:rPr>
        <w:t>投标人认为有必要的其他资料</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5"/>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投标人：（全称并加盖公章）</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5"/>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cs="宋体"/>
          <w:color w:val="auto"/>
          <w:kern w:val="0"/>
          <w:szCs w:val="21"/>
          <w:highlight w:val="none"/>
          <w:u w:val="single"/>
          <w:lang w:val="en-US" w:eastAsia="zh-CN"/>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978" w:type="dxa"/>
            <w:vMerge w:val="restart"/>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费率%</w:t>
            </w:r>
            <w:r>
              <w:rPr>
                <w:rFonts w:hint="eastAsia" w:ascii="宋体" w:hAnsi="宋体"/>
                <w:color w:val="auto"/>
                <w:szCs w:val="21"/>
                <w:highlight w:val="none"/>
                <w:lang w:eastAsia="zh-CN"/>
              </w:rPr>
              <w:t>）</w:t>
            </w:r>
          </w:p>
        </w:tc>
        <w:tc>
          <w:tcPr>
            <w:tcW w:w="7708" w:type="dxa"/>
            <w:noWrap/>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000000" w:themeColor="text1"/>
                <w:sz w:val="21"/>
                <w:szCs w:val="21"/>
                <w:highlight w:val="none"/>
                <w14:textFill>
                  <w14:solidFill>
                    <w14:schemeClr w14:val="tx1"/>
                  </w14:solidFill>
                </w14:textFill>
              </w:rPr>
              <w:t>加★号</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产品</w:t>
            </w:r>
            <w:r>
              <w:rPr>
                <w:rFonts w:hint="eastAsia" w:ascii="宋体" w:hAnsi="宋体"/>
                <w:color w:val="auto"/>
                <w:szCs w:val="21"/>
                <w:highlight w:val="none"/>
                <w:lang w:val="en-US" w:eastAsia="zh-CN"/>
              </w:rPr>
              <w:t>在控制价基础上报价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978" w:type="dxa"/>
            <w:vMerge w:val="continue"/>
            <w:noWrap/>
            <w:vAlign w:val="center"/>
          </w:tcPr>
          <w:p/>
        </w:tc>
        <w:tc>
          <w:tcPr>
            <w:tcW w:w="7708" w:type="dxa"/>
            <w:noWrap/>
            <w:vAlign w:val="center"/>
          </w:tcPr>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2</w:t>
            </w:r>
            <w:r>
              <w:rPr>
                <w:rFonts w:hint="eastAsia" w:ascii="宋体" w:hAnsi="宋体" w:cs="宋体"/>
                <w:b w:val="0"/>
                <w:bCs w:val="0"/>
                <w:color w:val="auto"/>
                <w:sz w:val="21"/>
                <w:szCs w:val="21"/>
                <w:highlight w:val="none"/>
                <w:lang w:val="en-US" w:eastAsia="zh-CN"/>
              </w:rPr>
              <w:t>.不</w:t>
            </w:r>
            <w:r>
              <w:rPr>
                <w:rFonts w:hint="eastAsia" w:ascii="宋体" w:hAnsi="宋体" w:eastAsia="宋体" w:cs="宋体"/>
                <w:b w:val="0"/>
                <w:bCs w:val="0"/>
                <w:color w:val="000000" w:themeColor="text1"/>
                <w:sz w:val="21"/>
                <w:szCs w:val="21"/>
                <w:highlight w:val="none"/>
                <w14:textFill>
                  <w14:solidFill>
                    <w14:schemeClr w14:val="tx1"/>
                  </w14:solidFill>
                </w14:textFill>
              </w:rPr>
              <w:t>加★号</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产品</w:t>
            </w:r>
            <w:r>
              <w:rPr>
                <w:rFonts w:hint="eastAsia" w:ascii="宋体" w:hAnsi="宋体"/>
                <w:color w:val="auto"/>
                <w:szCs w:val="21"/>
                <w:highlight w:val="none"/>
                <w:lang w:val="en-US" w:eastAsia="zh-CN"/>
              </w:rPr>
              <w:t>在控制价基础上报价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239" w:lineRule="auto"/>
        <w:jc w:val="right"/>
        <w:rPr>
          <w:rFonts w:ascii="宋体" w:hAnsi="宋体"/>
          <w:color w:val="auto"/>
          <w:sz w:val="24"/>
          <w:highlight w:val="none"/>
        </w:rPr>
      </w:pPr>
    </w:p>
    <w:p>
      <w:pPr>
        <w:rPr>
          <w:color w:val="auto"/>
          <w:highlight w:val="none"/>
        </w:rPr>
      </w:pPr>
    </w:p>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74" w:name="_Toc22004"/>
      <w:bookmarkStart w:id="75" w:name="_Toc2498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5"/>
        <w:rPr>
          <w:color w:val="auto"/>
          <w:highlight w:val="none"/>
        </w:rPr>
      </w:pPr>
      <w:r>
        <w:rPr>
          <w:rFonts w:hint="eastAsia"/>
          <w:color w:val="auto"/>
          <w:highlight w:val="none"/>
        </w:rPr>
        <w:br w:type="page"/>
      </w:r>
      <w:bookmarkStart w:id="76" w:name="_Toc15804"/>
      <w:bookmarkStart w:id="77" w:name="_Toc226"/>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8" w:name="_Toc29960"/>
      <w:bookmarkStart w:id="79" w:name="_Toc2042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rPr>
          <w:color w:val="auto"/>
          <w:highlight w:val="none"/>
        </w:rPr>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rPr>
          <w:color w:val="auto"/>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highlight w:val="none"/>
        </w:rPr>
      </w:pPr>
      <w:r>
        <w:rPr>
          <w:rFonts w:hint="eastAsia" w:ascii="宋体" w:hAnsi="宋体" w:eastAsia="宋体" w:cs="宋体"/>
          <w:color w:val="auto"/>
          <w:sz w:val="24"/>
          <w:szCs w:val="24"/>
          <w:highlight w:val="none"/>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color w:val="auto"/>
          <w:highlight w:val="none"/>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color w:val="auto"/>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仿宋" w:hAnsi="仿宋" w:eastAsia="仿宋" w:cs="仿宋"/>
          <w:color w:val="auto"/>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0"/>
        <w:rPr>
          <w:color w:val="auto"/>
          <w:highlight w:val="none"/>
        </w:rPr>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lang w:val="en-US" w:eastAsia="zh-CN"/>
        </w:rPr>
        <w:t xml:space="preserve">附件12 </w:t>
      </w:r>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p>
      <w:pPr>
        <w:rPr>
          <w:color w:val="auto"/>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驻马店市中心医院办公用电脑相关耗材采购项目</w:t>
    </w:r>
    <w:r>
      <w:rPr>
        <w:rFonts w:hint="eastAsia"/>
        <w:lang w:val="en-US"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驻马店市中心医院办公用电脑相关耗材采购项目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595A6"/>
    <w:multiLevelType w:val="singleLevel"/>
    <w:tmpl w:val="B85595A6"/>
    <w:lvl w:ilvl="0" w:tentative="0">
      <w:start w:val="1"/>
      <w:numFmt w:val="decimal"/>
      <w:lvlText w:val="%1."/>
      <w:lvlJc w:val="left"/>
      <w:pPr>
        <w:ind w:left="425" w:hanging="425"/>
      </w:pPr>
      <w:rPr>
        <w:rFonts w:hint="default"/>
      </w:rPr>
    </w:lvl>
  </w:abstractNum>
  <w:abstractNum w:abstractNumId="1">
    <w:nsid w:val="DF95BC51"/>
    <w:multiLevelType w:val="singleLevel"/>
    <w:tmpl w:val="DF95BC51"/>
    <w:lvl w:ilvl="0" w:tentative="0">
      <w:start w:val="4"/>
      <w:numFmt w:val="chineseCounting"/>
      <w:suff w:val="nothing"/>
      <w:lvlText w:val="%1、"/>
      <w:lvlJc w:val="left"/>
      <w:rPr>
        <w:rFonts w:hint="eastAsia"/>
      </w:r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509"/>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263D"/>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93B84"/>
    <w:rsid w:val="040B7160"/>
    <w:rsid w:val="04416C20"/>
    <w:rsid w:val="047968B1"/>
    <w:rsid w:val="04870542"/>
    <w:rsid w:val="04B844FD"/>
    <w:rsid w:val="04BC0AE9"/>
    <w:rsid w:val="04C72531"/>
    <w:rsid w:val="05376505"/>
    <w:rsid w:val="05545DD3"/>
    <w:rsid w:val="05663F99"/>
    <w:rsid w:val="056E2AD6"/>
    <w:rsid w:val="05806815"/>
    <w:rsid w:val="058251D3"/>
    <w:rsid w:val="05945CCE"/>
    <w:rsid w:val="059D05A4"/>
    <w:rsid w:val="059D5E17"/>
    <w:rsid w:val="05AA02EA"/>
    <w:rsid w:val="05AB0A28"/>
    <w:rsid w:val="05AB0F81"/>
    <w:rsid w:val="05B93D6B"/>
    <w:rsid w:val="05D53002"/>
    <w:rsid w:val="05D75738"/>
    <w:rsid w:val="05E75EEA"/>
    <w:rsid w:val="05EB284D"/>
    <w:rsid w:val="06145DC8"/>
    <w:rsid w:val="061E7D14"/>
    <w:rsid w:val="06412A76"/>
    <w:rsid w:val="06560AED"/>
    <w:rsid w:val="066469C9"/>
    <w:rsid w:val="066646A1"/>
    <w:rsid w:val="06983B20"/>
    <w:rsid w:val="069A3B66"/>
    <w:rsid w:val="06B91765"/>
    <w:rsid w:val="06CA2AD2"/>
    <w:rsid w:val="06CB2601"/>
    <w:rsid w:val="06CE3071"/>
    <w:rsid w:val="06D33DBA"/>
    <w:rsid w:val="06E13F9F"/>
    <w:rsid w:val="06F556D3"/>
    <w:rsid w:val="06FB0AC5"/>
    <w:rsid w:val="070D2D5D"/>
    <w:rsid w:val="07111B8D"/>
    <w:rsid w:val="074A5B92"/>
    <w:rsid w:val="075E3193"/>
    <w:rsid w:val="078E18EB"/>
    <w:rsid w:val="07B10EA5"/>
    <w:rsid w:val="07CE3FA1"/>
    <w:rsid w:val="07EC2ECB"/>
    <w:rsid w:val="07FE66CB"/>
    <w:rsid w:val="08092947"/>
    <w:rsid w:val="080B4D47"/>
    <w:rsid w:val="081A5D66"/>
    <w:rsid w:val="08321601"/>
    <w:rsid w:val="083D5C91"/>
    <w:rsid w:val="0847191F"/>
    <w:rsid w:val="08591DC3"/>
    <w:rsid w:val="0869448C"/>
    <w:rsid w:val="087C4541"/>
    <w:rsid w:val="087E5595"/>
    <w:rsid w:val="08847FA2"/>
    <w:rsid w:val="08C52D6F"/>
    <w:rsid w:val="08EF0201"/>
    <w:rsid w:val="08F024B8"/>
    <w:rsid w:val="08F41DE8"/>
    <w:rsid w:val="092C4EB6"/>
    <w:rsid w:val="09737462"/>
    <w:rsid w:val="099156C3"/>
    <w:rsid w:val="09A53F39"/>
    <w:rsid w:val="09A60E13"/>
    <w:rsid w:val="09D206F0"/>
    <w:rsid w:val="0A11626D"/>
    <w:rsid w:val="0A321AC2"/>
    <w:rsid w:val="0A343D4E"/>
    <w:rsid w:val="0A3463D4"/>
    <w:rsid w:val="0A3E6D2E"/>
    <w:rsid w:val="0AA3501D"/>
    <w:rsid w:val="0AD13A85"/>
    <w:rsid w:val="0AD31FDE"/>
    <w:rsid w:val="0AF448C5"/>
    <w:rsid w:val="0B091954"/>
    <w:rsid w:val="0B637D77"/>
    <w:rsid w:val="0B6815BF"/>
    <w:rsid w:val="0B977C2D"/>
    <w:rsid w:val="0BAC324F"/>
    <w:rsid w:val="0BF72F1E"/>
    <w:rsid w:val="0C3957A5"/>
    <w:rsid w:val="0C626DA7"/>
    <w:rsid w:val="0C6876AE"/>
    <w:rsid w:val="0C720EC8"/>
    <w:rsid w:val="0C942042"/>
    <w:rsid w:val="0C9D50DC"/>
    <w:rsid w:val="0CA33FE6"/>
    <w:rsid w:val="0CA5271D"/>
    <w:rsid w:val="0CAC4D10"/>
    <w:rsid w:val="0CBE467B"/>
    <w:rsid w:val="0CC72121"/>
    <w:rsid w:val="0CE45DCA"/>
    <w:rsid w:val="0CEA6DC6"/>
    <w:rsid w:val="0CEE5A21"/>
    <w:rsid w:val="0CFA5B77"/>
    <w:rsid w:val="0D0646E7"/>
    <w:rsid w:val="0D0C38CA"/>
    <w:rsid w:val="0D1A73CC"/>
    <w:rsid w:val="0D350DE1"/>
    <w:rsid w:val="0DAE2941"/>
    <w:rsid w:val="0DC577E0"/>
    <w:rsid w:val="0DDC6319"/>
    <w:rsid w:val="0E0C0D4C"/>
    <w:rsid w:val="0E115DA1"/>
    <w:rsid w:val="0E162D6D"/>
    <w:rsid w:val="0E541CA2"/>
    <w:rsid w:val="0E594756"/>
    <w:rsid w:val="0E95596D"/>
    <w:rsid w:val="0EAB264A"/>
    <w:rsid w:val="0EAE6205"/>
    <w:rsid w:val="0EAE6579"/>
    <w:rsid w:val="0EAE7EF9"/>
    <w:rsid w:val="0EAF71BF"/>
    <w:rsid w:val="0ECE6257"/>
    <w:rsid w:val="0EE4129D"/>
    <w:rsid w:val="0F171032"/>
    <w:rsid w:val="0F335E69"/>
    <w:rsid w:val="0F3D59C9"/>
    <w:rsid w:val="0F516D5A"/>
    <w:rsid w:val="0F565B36"/>
    <w:rsid w:val="0F7200CA"/>
    <w:rsid w:val="0F821E7D"/>
    <w:rsid w:val="0F986DD1"/>
    <w:rsid w:val="0FC7113A"/>
    <w:rsid w:val="0FE72B1E"/>
    <w:rsid w:val="0FE7592C"/>
    <w:rsid w:val="0FFD20F0"/>
    <w:rsid w:val="10120F66"/>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6D104B"/>
    <w:rsid w:val="11700D10"/>
    <w:rsid w:val="11763776"/>
    <w:rsid w:val="1178125A"/>
    <w:rsid w:val="11953833"/>
    <w:rsid w:val="1196056D"/>
    <w:rsid w:val="11BA2DA2"/>
    <w:rsid w:val="11D34654"/>
    <w:rsid w:val="12010480"/>
    <w:rsid w:val="120E707F"/>
    <w:rsid w:val="121961FC"/>
    <w:rsid w:val="12467268"/>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247B0"/>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520AF"/>
    <w:rsid w:val="15794927"/>
    <w:rsid w:val="15811F1B"/>
    <w:rsid w:val="15A30135"/>
    <w:rsid w:val="15A34015"/>
    <w:rsid w:val="15A94E30"/>
    <w:rsid w:val="15B771DF"/>
    <w:rsid w:val="15E2236F"/>
    <w:rsid w:val="161D09ED"/>
    <w:rsid w:val="162323A3"/>
    <w:rsid w:val="162F30B1"/>
    <w:rsid w:val="16510F12"/>
    <w:rsid w:val="16566D1F"/>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7B43C5"/>
    <w:rsid w:val="178E5C4B"/>
    <w:rsid w:val="179F2E61"/>
    <w:rsid w:val="17B6195E"/>
    <w:rsid w:val="17C227C0"/>
    <w:rsid w:val="17E0618F"/>
    <w:rsid w:val="17EE4314"/>
    <w:rsid w:val="18097740"/>
    <w:rsid w:val="181F7674"/>
    <w:rsid w:val="185D3C42"/>
    <w:rsid w:val="185F38AF"/>
    <w:rsid w:val="18765C25"/>
    <w:rsid w:val="188224E9"/>
    <w:rsid w:val="18A40BC9"/>
    <w:rsid w:val="18AD1BEB"/>
    <w:rsid w:val="18B3004A"/>
    <w:rsid w:val="18B90B18"/>
    <w:rsid w:val="18B96080"/>
    <w:rsid w:val="18BD3CB3"/>
    <w:rsid w:val="18CB1907"/>
    <w:rsid w:val="18F67868"/>
    <w:rsid w:val="190B2D88"/>
    <w:rsid w:val="190E6B63"/>
    <w:rsid w:val="19123928"/>
    <w:rsid w:val="19153875"/>
    <w:rsid w:val="19194264"/>
    <w:rsid w:val="19306900"/>
    <w:rsid w:val="193548EA"/>
    <w:rsid w:val="19420786"/>
    <w:rsid w:val="19427EC0"/>
    <w:rsid w:val="195711D7"/>
    <w:rsid w:val="195D2A3F"/>
    <w:rsid w:val="198310E9"/>
    <w:rsid w:val="198D2276"/>
    <w:rsid w:val="198D747A"/>
    <w:rsid w:val="19942A44"/>
    <w:rsid w:val="19A15638"/>
    <w:rsid w:val="19E40400"/>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9D2042"/>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0D00C8"/>
    <w:rsid w:val="1E656063"/>
    <w:rsid w:val="1E666B0D"/>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6AC"/>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3E777F"/>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A0646"/>
    <w:rsid w:val="2435301D"/>
    <w:rsid w:val="243D6E1A"/>
    <w:rsid w:val="24607F91"/>
    <w:rsid w:val="246C581B"/>
    <w:rsid w:val="247C52A2"/>
    <w:rsid w:val="24CC106B"/>
    <w:rsid w:val="24D00598"/>
    <w:rsid w:val="24D725E9"/>
    <w:rsid w:val="24F44E2B"/>
    <w:rsid w:val="25045F70"/>
    <w:rsid w:val="25056E93"/>
    <w:rsid w:val="25092EBA"/>
    <w:rsid w:val="25241020"/>
    <w:rsid w:val="25535E5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CE0F29"/>
    <w:rsid w:val="26DB67BA"/>
    <w:rsid w:val="26E311CD"/>
    <w:rsid w:val="26EF24ED"/>
    <w:rsid w:val="26F1408A"/>
    <w:rsid w:val="27015370"/>
    <w:rsid w:val="270B421F"/>
    <w:rsid w:val="27105115"/>
    <w:rsid w:val="274E2228"/>
    <w:rsid w:val="27517A93"/>
    <w:rsid w:val="276658E8"/>
    <w:rsid w:val="277E30D2"/>
    <w:rsid w:val="27803F2A"/>
    <w:rsid w:val="27A34941"/>
    <w:rsid w:val="27B150B0"/>
    <w:rsid w:val="27DC09B5"/>
    <w:rsid w:val="28127727"/>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8342B1"/>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2B10ED"/>
    <w:rsid w:val="2B9E4F56"/>
    <w:rsid w:val="2BA25B52"/>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4E753A"/>
    <w:rsid w:val="2E505773"/>
    <w:rsid w:val="2E6115DE"/>
    <w:rsid w:val="2E742F70"/>
    <w:rsid w:val="2E793ED9"/>
    <w:rsid w:val="2E7F2F97"/>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1002970"/>
    <w:rsid w:val="311016AD"/>
    <w:rsid w:val="311A5A74"/>
    <w:rsid w:val="3136622A"/>
    <w:rsid w:val="3139422E"/>
    <w:rsid w:val="315471D8"/>
    <w:rsid w:val="31700E4B"/>
    <w:rsid w:val="3172683C"/>
    <w:rsid w:val="319A0963"/>
    <w:rsid w:val="31A359FC"/>
    <w:rsid w:val="31AD0D61"/>
    <w:rsid w:val="31BC3A1D"/>
    <w:rsid w:val="31CD73BD"/>
    <w:rsid w:val="31D66571"/>
    <w:rsid w:val="31DB4220"/>
    <w:rsid w:val="31E46868"/>
    <w:rsid w:val="31E63B94"/>
    <w:rsid w:val="32176602"/>
    <w:rsid w:val="322A7699"/>
    <w:rsid w:val="322B25C6"/>
    <w:rsid w:val="32422E70"/>
    <w:rsid w:val="325E56C6"/>
    <w:rsid w:val="32655B69"/>
    <w:rsid w:val="326E1DE0"/>
    <w:rsid w:val="3275698A"/>
    <w:rsid w:val="32B51EF8"/>
    <w:rsid w:val="32B943EC"/>
    <w:rsid w:val="32CE6A40"/>
    <w:rsid w:val="32DC63A0"/>
    <w:rsid w:val="32E429C1"/>
    <w:rsid w:val="330C2739"/>
    <w:rsid w:val="334A3B2A"/>
    <w:rsid w:val="335D6E68"/>
    <w:rsid w:val="3365592E"/>
    <w:rsid w:val="336F6533"/>
    <w:rsid w:val="337E5E2F"/>
    <w:rsid w:val="33805334"/>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5F20B88"/>
    <w:rsid w:val="36973983"/>
    <w:rsid w:val="369B4CF0"/>
    <w:rsid w:val="36AD060C"/>
    <w:rsid w:val="36D62629"/>
    <w:rsid w:val="36D76172"/>
    <w:rsid w:val="36E65D57"/>
    <w:rsid w:val="36E833BB"/>
    <w:rsid w:val="36EB1E1B"/>
    <w:rsid w:val="36EE3C2B"/>
    <w:rsid w:val="36F17F0D"/>
    <w:rsid w:val="37010D02"/>
    <w:rsid w:val="370B0095"/>
    <w:rsid w:val="3735197D"/>
    <w:rsid w:val="373756A2"/>
    <w:rsid w:val="375E0DA6"/>
    <w:rsid w:val="37761D13"/>
    <w:rsid w:val="378B61A6"/>
    <w:rsid w:val="37CD3F98"/>
    <w:rsid w:val="37DF75BA"/>
    <w:rsid w:val="37E148E2"/>
    <w:rsid w:val="38037262"/>
    <w:rsid w:val="38304889"/>
    <w:rsid w:val="38382675"/>
    <w:rsid w:val="3851700B"/>
    <w:rsid w:val="385246B6"/>
    <w:rsid w:val="387B329C"/>
    <w:rsid w:val="38A53DB7"/>
    <w:rsid w:val="38BF3388"/>
    <w:rsid w:val="38CC268D"/>
    <w:rsid w:val="38CF183A"/>
    <w:rsid w:val="38D46E50"/>
    <w:rsid w:val="38EC2960"/>
    <w:rsid w:val="38F640E2"/>
    <w:rsid w:val="392536E2"/>
    <w:rsid w:val="39395448"/>
    <w:rsid w:val="39465F15"/>
    <w:rsid w:val="396453C5"/>
    <w:rsid w:val="3986014B"/>
    <w:rsid w:val="39922CCF"/>
    <w:rsid w:val="39A1345D"/>
    <w:rsid w:val="39A65327"/>
    <w:rsid w:val="39A65C9B"/>
    <w:rsid w:val="39BC5ED6"/>
    <w:rsid w:val="39EB39E0"/>
    <w:rsid w:val="39EF02D4"/>
    <w:rsid w:val="3A11342A"/>
    <w:rsid w:val="3A153110"/>
    <w:rsid w:val="3A192785"/>
    <w:rsid w:val="3A2507C0"/>
    <w:rsid w:val="3A393FA7"/>
    <w:rsid w:val="3A64203E"/>
    <w:rsid w:val="3A663D00"/>
    <w:rsid w:val="3A7428D0"/>
    <w:rsid w:val="3A923AE4"/>
    <w:rsid w:val="3AA50E25"/>
    <w:rsid w:val="3AC566E3"/>
    <w:rsid w:val="3AD13648"/>
    <w:rsid w:val="3AD24831"/>
    <w:rsid w:val="3AD6747A"/>
    <w:rsid w:val="3B0F5F1E"/>
    <w:rsid w:val="3B3D0FF2"/>
    <w:rsid w:val="3B521A18"/>
    <w:rsid w:val="3B527435"/>
    <w:rsid w:val="3B923660"/>
    <w:rsid w:val="3B9823B7"/>
    <w:rsid w:val="3BCA44BE"/>
    <w:rsid w:val="3C061F3A"/>
    <w:rsid w:val="3C4165AB"/>
    <w:rsid w:val="3C495480"/>
    <w:rsid w:val="3C6F0167"/>
    <w:rsid w:val="3C71667B"/>
    <w:rsid w:val="3C7431EF"/>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740A03"/>
    <w:rsid w:val="3E8C5311"/>
    <w:rsid w:val="3E8E7E55"/>
    <w:rsid w:val="3EB61473"/>
    <w:rsid w:val="3EDA0A4D"/>
    <w:rsid w:val="3F315E6B"/>
    <w:rsid w:val="3F3C35FB"/>
    <w:rsid w:val="3F5175E2"/>
    <w:rsid w:val="3F56276A"/>
    <w:rsid w:val="3F6C10E0"/>
    <w:rsid w:val="3F870779"/>
    <w:rsid w:val="3F963015"/>
    <w:rsid w:val="3F964D35"/>
    <w:rsid w:val="3FA327ED"/>
    <w:rsid w:val="3FA330D9"/>
    <w:rsid w:val="3FB11738"/>
    <w:rsid w:val="3FB5581B"/>
    <w:rsid w:val="3FC33D05"/>
    <w:rsid w:val="3FEC757D"/>
    <w:rsid w:val="3FF46B18"/>
    <w:rsid w:val="3FF74A2E"/>
    <w:rsid w:val="3FFC36E2"/>
    <w:rsid w:val="4005572D"/>
    <w:rsid w:val="401F2D13"/>
    <w:rsid w:val="402833BA"/>
    <w:rsid w:val="40283C2B"/>
    <w:rsid w:val="402E4D28"/>
    <w:rsid w:val="40394FD1"/>
    <w:rsid w:val="40425879"/>
    <w:rsid w:val="40626FEA"/>
    <w:rsid w:val="40765D15"/>
    <w:rsid w:val="407F2DE9"/>
    <w:rsid w:val="40991379"/>
    <w:rsid w:val="409B3C3D"/>
    <w:rsid w:val="40E53A33"/>
    <w:rsid w:val="40F701DF"/>
    <w:rsid w:val="40FD480A"/>
    <w:rsid w:val="411424E0"/>
    <w:rsid w:val="412A32F8"/>
    <w:rsid w:val="417F433E"/>
    <w:rsid w:val="41B617E9"/>
    <w:rsid w:val="41B7239D"/>
    <w:rsid w:val="41D713F8"/>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3FA001E"/>
    <w:rsid w:val="440A6FD2"/>
    <w:rsid w:val="444946CA"/>
    <w:rsid w:val="444B3F54"/>
    <w:rsid w:val="4476661F"/>
    <w:rsid w:val="447E3AC5"/>
    <w:rsid w:val="449818E5"/>
    <w:rsid w:val="44A90BAA"/>
    <w:rsid w:val="44B24A20"/>
    <w:rsid w:val="44BC0BEE"/>
    <w:rsid w:val="44C922B6"/>
    <w:rsid w:val="44E066EA"/>
    <w:rsid w:val="44FB1C9C"/>
    <w:rsid w:val="454F1836"/>
    <w:rsid w:val="45887B45"/>
    <w:rsid w:val="458B66DF"/>
    <w:rsid w:val="45940F0E"/>
    <w:rsid w:val="45AC5DBA"/>
    <w:rsid w:val="45C647AF"/>
    <w:rsid w:val="45CA1598"/>
    <w:rsid w:val="45DD529D"/>
    <w:rsid w:val="45E57886"/>
    <w:rsid w:val="45FC0381"/>
    <w:rsid w:val="46003076"/>
    <w:rsid w:val="46177E29"/>
    <w:rsid w:val="46205B7F"/>
    <w:rsid w:val="46476EB4"/>
    <w:rsid w:val="465D501C"/>
    <w:rsid w:val="466060B3"/>
    <w:rsid w:val="466367DB"/>
    <w:rsid w:val="46686D18"/>
    <w:rsid w:val="466B3CF0"/>
    <w:rsid w:val="46A62AF8"/>
    <w:rsid w:val="46C3037C"/>
    <w:rsid w:val="46D218DD"/>
    <w:rsid w:val="46DD105A"/>
    <w:rsid w:val="46FF15E0"/>
    <w:rsid w:val="4700581C"/>
    <w:rsid w:val="4702516A"/>
    <w:rsid w:val="472334C2"/>
    <w:rsid w:val="473E02B7"/>
    <w:rsid w:val="474A4B33"/>
    <w:rsid w:val="47665A15"/>
    <w:rsid w:val="47677941"/>
    <w:rsid w:val="477F1660"/>
    <w:rsid w:val="4788232A"/>
    <w:rsid w:val="478B0398"/>
    <w:rsid w:val="478F5D0B"/>
    <w:rsid w:val="47B8724E"/>
    <w:rsid w:val="47D16DE0"/>
    <w:rsid w:val="47ED7BCA"/>
    <w:rsid w:val="48016F34"/>
    <w:rsid w:val="480556DB"/>
    <w:rsid w:val="48185C56"/>
    <w:rsid w:val="48450F81"/>
    <w:rsid w:val="484E729D"/>
    <w:rsid w:val="485526E0"/>
    <w:rsid w:val="485A23C2"/>
    <w:rsid w:val="488F0E1B"/>
    <w:rsid w:val="48A16B62"/>
    <w:rsid w:val="48BC6222"/>
    <w:rsid w:val="48C245E9"/>
    <w:rsid w:val="48DB312A"/>
    <w:rsid w:val="48DF49D9"/>
    <w:rsid w:val="48E1539E"/>
    <w:rsid w:val="492108CC"/>
    <w:rsid w:val="4933581D"/>
    <w:rsid w:val="4956426C"/>
    <w:rsid w:val="49BC2FBD"/>
    <w:rsid w:val="49F66C27"/>
    <w:rsid w:val="4A05334F"/>
    <w:rsid w:val="4A176B9D"/>
    <w:rsid w:val="4A244932"/>
    <w:rsid w:val="4A2922C8"/>
    <w:rsid w:val="4A381A7F"/>
    <w:rsid w:val="4A4117B2"/>
    <w:rsid w:val="4A730277"/>
    <w:rsid w:val="4A7A4350"/>
    <w:rsid w:val="4A7E2497"/>
    <w:rsid w:val="4A896826"/>
    <w:rsid w:val="4ABF5E17"/>
    <w:rsid w:val="4AE01A66"/>
    <w:rsid w:val="4AED707B"/>
    <w:rsid w:val="4AF4454F"/>
    <w:rsid w:val="4B0B7979"/>
    <w:rsid w:val="4B386DCB"/>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B41821"/>
    <w:rsid w:val="4DCF1E0D"/>
    <w:rsid w:val="4DD632D9"/>
    <w:rsid w:val="4DDD4E1A"/>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BE01E7"/>
    <w:rsid w:val="4FE7106E"/>
    <w:rsid w:val="50053943"/>
    <w:rsid w:val="501F0559"/>
    <w:rsid w:val="504A7CCC"/>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22686A"/>
    <w:rsid w:val="542E2BC2"/>
    <w:rsid w:val="54352A96"/>
    <w:rsid w:val="54447390"/>
    <w:rsid w:val="545E1D01"/>
    <w:rsid w:val="54935B8F"/>
    <w:rsid w:val="54AD4386"/>
    <w:rsid w:val="54CC6227"/>
    <w:rsid w:val="54D10F9B"/>
    <w:rsid w:val="54DC2EBD"/>
    <w:rsid w:val="54EE662F"/>
    <w:rsid w:val="551D586C"/>
    <w:rsid w:val="55200298"/>
    <w:rsid w:val="55335E1B"/>
    <w:rsid w:val="554B7EF0"/>
    <w:rsid w:val="556F1F83"/>
    <w:rsid w:val="556F3D99"/>
    <w:rsid w:val="55860894"/>
    <w:rsid w:val="558F587D"/>
    <w:rsid w:val="5598250C"/>
    <w:rsid w:val="55B02DF1"/>
    <w:rsid w:val="55DC290C"/>
    <w:rsid w:val="55F01FA1"/>
    <w:rsid w:val="56384123"/>
    <w:rsid w:val="56532591"/>
    <w:rsid w:val="5666669C"/>
    <w:rsid w:val="56990B7C"/>
    <w:rsid w:val="569E1126"/>
    <w:rsid w:val="56B80DEB"/>
    <w:rsid w:val="56BE3705"/>
    <w:rsid w:val="56E06E61"/>
    <w:rsid w:val="56E174BF"/>
    <w:rsid w:val="56F653FE"/>
    <w:rsid w:val="57082813"/>
    <w:rsid w:val="572F484E"/>
    <w:rsid w:val="574D1ABF"/>
    <w:rsid w:val="575B7AFD"/>
    <w:rsid w:val="57660D3F"/>
    <w:rsid w:val="57A203EE"/>
    <w:rsid w:val="57C3665F"/>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027EB7"/>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A92B4D"/>
    <w:rsid w:val="5CBB7F6F"/>
    <w:rsid w:val="5D5171CF"/>
    <w:rsid w:val="5D7C3F11"/>
    <w:rsid w:val="5D9D49E0"/>
    <w:rsid w:val="5DDF1821"/>
    <w:rsid w:val="5DE07E68"/>
    <w:rsid w:val="5DEA2F91"/>
    <w:rsid w:val="5E2B3B29"/>
    <w:rsid w:val="5E3146A3"/>
    <w:rsid w:val="5E3C677A"/>
    <w:rsid w:val="5E442F62"/>
    <w:rsid w:val="5E6C13CF"/>
    <w:rsid w:val="5E6C2C5B"/>
    <w:rsid w:val="5E6C52B2"/>
    <w:rsid w:val="5E7251A2"/>
    <w:rsid w:val="5E7C3591"/>
    <w:rsid w:val="5E9D0E18"/>
    <w:rsid w:val="5EA341D7"/>
    <w:rsid w:val="5EA755DE"/>
    <w:rsid w:val="5ED35F0E"/>
    <w:rsid w:val="5EEB4428"/>
    <w:rsid w:val="5EFA0740"/>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D31405"/>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A736D"/>
    <w:rsid w:val="637D0978"/>
    <w:rsid w:val="637F15E3"/>
    <w:rsid w:val="638968B0"/>
    <w:rsid w:val="638A282C"/>
    <w:rsid w:val="63A85E90"/>
    <w:rsid w:val="63A962DB"/>
    <w:rsid w:val="63AB1A91"/>
    <w:rsid w:val="63EE4692"/>
    <w:rsid w:val="63FD622D"/>
    <w:rsid w:val="643F32F9"/>
    <w:rsid w:val="64501EDD"/>
    <w:rsid w:val="64582686"/>
    <w:rsid w:val="64673C87"/>
    <w:rsid w:val="64835103"/>
    <w:rsid w:val="64A251DD"/>
    <w:rsid w:val="650242F0"/>
    <w:rsid w:val="653B26B5"/>
    <w:rsid w:val="65542778"/>
    <w:rsid w:val="65562452"/>
    <w:rsid w:val="655829AF"/>
    <w:rsid w:val="656535B2"/>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4F1CD8"/>
    <w:rsid w:val="685E1363"/>
    <w:rsid w:val="688E1089"/>
    <w:rsid w:val="68A026F3"/>
    <w:rsid w:val="68AF6C13"/>
    <w:rsid w:val="690C2BBD"/>
    <w:rsid w:val="690E07C7"/>
    <w:rsid w:val="69236A65"/>
    <w:rsid w:val="692E469B"/>
    <w:rsid w:val="69315C48"/>
    <w:rsid w:val="694019EC"/>
    <w:rsid w:val="69482477"/>
    <w:rsid w:val="69584DB4"/>
    <w:rsid w:val="696C3D80"/>
    <w:rsid w:val="698A5EE4"/>
    <w:rsid w:val="69C811ED"/>
    <w:rsid w:val="69D33070"/>
    <w:rsid w:val="69D62B4B"/>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001CC"/>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701F209A"/>
    <w:rsid w:val="7024611F"/>
    <w:rsid w:val="702937E8"/>
    <w:rsid w:val="70637B96"/>
    <w:rsid w:val="70797317"/>
    <w:rsid w:val="7099044B"/>
    <w:rsid w:val="709D518F"/>
    <w:rsid w:val="70C41BB9"/>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1663D0"/>
    <w:rsid w:val="73414465"/>
    <w:rsid w:val="73432A7A"/>
    <w:rsid w:val="734C1A6A"/>
    <w:rsid w:val="735C5949"/>
    <w:rsid w:val="73737DA5"/>
    <w:rsid w:val="7375030D"/>
    <w:rsid w:val="73887B3E"/>
    <w:rsid w:val="73892412"/>
    <w:rsid w:val="73E96BCA"/>
    <w:rsid w:val="73EE4A6E"/>
    <w:rsid w:val="74082F2F"/>
    <w:rsid w:val="741048BC"/>
    <w:rsid w:val="742E78D4"/>
    <w:rsid w:val="74474029"/>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F09AA"/>
    <w:rsid w:val="764F3FCC"/>
    <w:rsid w:val="7650339F"/>
    <w:rsid w:val="76603C9A"/>
    <w:rsid w:val="76967FC0"/>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BE1FC7"/>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811899"/>
    <w:rsid w:val="7A94551C"/>
    <w:rsid w:val="7AA2343E"/>
    <w:rsid w:val="7ACF29F8"/>
    <w:rsid w:val="7ADA73A4"/>
    <w:rsid w:val="7AE66B99"/>
    <w:rsid w:val="7B0A3BCA"/>
    <w:rsid w:val="7B4048C1"/>
    <w:rsid w:val="7B73082F"/>
    <w:rsid w:val="7BA43E85"/>
    <w:rsid w:val="7BB06B1C"/>
    <w:rsid w:val="7BC62E00"/>
    <w:rsid w:val="7BE2279E"/>
    <w:rsid w:val="7BE35E2A"/>
    <w:rsid w:val="7BF5648F"/>
    <w:rsid w:val="7BFA1CC7"/>
    <w:rsid w:val="7BFB70B3"/>
    <w:rsid w:val="7C0251DA"/>
    <w:rsid w:val="7C1052F2"/>
    <w:rsid w:val="7C2668D9"/>
    <w:rsid w:val="7C32497F"/>
    <w:rsid w:val="7C3C69AE"/>
    <w:rsid w:val="7C672474"/>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1"/>
    <w:autoRedefine/>
    <w:qFormat/>
    <w:uiPriority w:val="0"/>
    <w:pPr>
      <w:ind w:firstLine="420" w:firstLineChars="200"/>
    </w:pPr>
  </w:style>
  <w:style w:type="paragraph" w:styleId="11">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0"/>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0"/>
    <w:autoRedefine/>
    <w:qFormat/>
    <w:uiPriority w:val="0"/>
    <w:pPr>
      <w:jc w:val="center"/>
    </w:pPr>
    <w:rPr>
      <w:rFonts w:ascii="Arial" w:hAnsi="Arial"/>
      <w:b/>
      <w:sz w:val="28"/>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character" w:customStyle="1" w:styleId="90">
    <w:name w:val="font41"/>
    <w:basedOn w:val="35"/>
    <w:autoRedefine/>
    <w:qFormat/>
    <w:uiPriority w:val="0"/>
    <w:rPr>
      <w:rFonts w:hint="eastAsia" w:ascii="宋体" w:hAnsi="宋体" w:eastAsia="宋体" w:cs="宋体"/>
      <w:color w:val="000000"/>
      <w:sz w:val="21"/>
      <w:szCs w:val="21"/>
      <w:u w:val="none"/>
    </w:rPr>
  </w:style>
  <w:style w:type="character" w:customStyle="1" w:styleId="91">
    <w:name w:val="font51"/>
    <w:basedOn w:val="35"/>
    <w:autoRedefine/>
    <w:qFormat/>
    <w:uiPriority w:val="0"/>
    <w:rPr>
      <w:rFonts w:hint="eastAsia" w:ascii="宋体" w:hAnsi="宋体" w:eastAsia="宋体" w:cs="宋体"/>
      <w:b/>
      <w:color w:val="000000"/>
      <w:sz w:val="21"/>
      <w:szCs w:val="21"/>
      <w:u w:val="none"/>
    </w:rPr>
  </w:style>
  <w:style w:type="character" w:customStyle="1" w:styleId="92">
    <w:name w:val="font31"/>
    <w:basedOn w:val="35"/>
    <w:autoRedefine/>
    <w:qFormat/>
    <w:uiPriority w:val="0"/>
    <w:rPr>
      <w:rFonts w:hint="eastAsia" w:ascii="宋体" w:hAnsi="宋体" w:eastAsia="宋体" w:cs="宋体"/>
      <w:color w:val="000000"/>
      <w:sz w:val="24"/>
      <w:szCs w:val="24"/>
      <w:u w:val="none"/>
    </w:rPr>
  </w:style>
  <w:style w:type="paragraph" w:customStyle="1" w:styleId="93">
    <w:name w:val="普通(网站)1"/>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15636</Words>
  <Characters>16439</Characters>
  <Lines>50</Lines>
  <Paragraphs>68</Paragraphs>
  <TotalTime>0</TotalTime>
  <ScaleCrop>false</ScaleCrop>
  <LinksUpToDate>false</LinksUpToDate>
  <CharactersWithSpaces>17371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2024-01-17T02:23:50Z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FBD74280D3654F1497D0666B779CA61A_13</vt:lpwstr>
  </property>
  <property fmtid="{D5CDD505-2E9C-101B-9397-08002B2CF9AE}" pid="4" name="commondata">
    <vt:lpwstr>eyJoZGlkIjoiYzIwMjRmYTY4OTJhZjc1NTA1MGQwNDc0NzZhNTkwMmUifQ==</vt:lpwstr>
  </property>
</Properties>
</file>