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驻马店市中心医院口腔CT、DR、骨密度仪、移动DR技术保项目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驻马店市中心医院口腔CT、DR、骨密度仪、移动DR技术保项目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口腔CT、DR、骨密度仪、移动DR技术保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驻马店市中心医院口腔CT、DR、骨密度仪、移动DR技术保项目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7.9万元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6639"/>
      <w:bookmarkStart w:id="5" w:name="_Toc23626"/>
      <w:bookmarkStart w:id="6" w:name="_Toc27704"/>
      <w:bookmarkStart w:id="7" w:name="_Toc1860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9562"/>
      <w:bookmarkStart w:id="9" w:name="_Toc30971"/>
      <w:bookmarkStart w:id="10" w:name="_Toc23395"/>
      <w:bookmarkStart w:id="11" w:name="_Toc7823"/>
      <w:bookmarkStart w:id="12" w:name="_Toc30643"/>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6、特定资格要求：供应商须具有医疗器械经营许可证，是在中华人民共和国境内注册的设备原制造厂商或原制造厂商授权的单位或具备相关设备维修能力的单位（提供证明文件）。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11"/>
      <w:bookmarkStart w:id="14" w:name="_Toc27480"/>
      <w:bookmarkStart w:id="15" w:name="_Toc15135"/>
      <w:bookmarkStart w:id="16" w:name="_Toc10738"/>
      <w:bookmarkStart w:id="17" w:name="_Toc25869"/>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20287"/>
      <w:bookmarkStart w:id="20" w:name="_Toc6523"/>
      <w:bookmarkStart w:id="21" w:name="_Toc30918"/>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16291"/>
      <w:bookmarkStart w:id="25" w:name="_Toc24274"/>
      <w:bookmarkStart w:id="26" w:name="_Toc27370"/>
      <w:bookmarkStart w:id="27" w:name="_Toc31928"/>
      <w:bookmarkStart w:id="28" w:name="_Toc3604"/>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bookmarkStart w:id="86" w:name="_GoBack"/>
      <w:bookmarkEnd w:id="86"/>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31536"/>
      <w:bookmarkStart w:id="34" w:name="_Toc9989"/>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口腔CT、DR、骨密度仪、移动DR技术保项目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w:t>
      </w:r>
      <w:r>
        <w:rPr>
          <w:rFonts w:hint="eastAsia" w:ascii="宋体" w:hAnsi="宋体" w:cs="宋体"/>
          <w:i w:val="0"/>
          <w:iCs/>
          <w:sz w:val="21"/>
          <w:szCs w:val="21"/>
          <w:highlight w:val="none"/>
          <w:u w:val="none"/>
          <w:lang w:val="en-US" w:eastAsia="zh-CN"/>
        </w:rPr>
        <w:t>口腔CT、DR、骨密度仪、移动DR技术保</w:t>
      </w:r>
      <w:r>
        <w:rPr>
          <w:rFonts w:hint="eastAsia" w:ascii="宋体" w:hAnsi="宋体" w:eastAsia="宋体" w:cs="宋体"/>
          <w:i w:val="0"/>
          <w:iCs/>
          <w:sz w:val="21"/>
          <w:szCs w:val="21"/>
          <w:highlight w:val="none"/>
          <w:u w:val="none"/>
          <w:lang w:val="en-US" w:eastAsia="zh-CN"/>
        </w:rPr>
        <w:t>一年。</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包号</w:t>
            </w:r>
          </w:p>
        </w:tc>
        <w:tc>
          <w:tcPr>
            <w:tcW w:w="950"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序号</w:t>
            </w:r>
          </w:p>
        </w:tc>
        <w:tc>
          <w:tcPr>
            <w:tcW w:w="2207"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标的名称</w:t>
            </w:r>
          </w:p>
        </w:tc>
        <w:tc>
          <w:tcPr>
            <w:tcW w:w="971"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单位</w:t>
            </w:r>
          </w:p>
        </w:tc>
        <w:tc>
          <w:tcPr>
            <w:tcW w:w="886"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数量</w:t>
            </w:r>
          </w:p>
        </w:tc>
        <w:tc>
          <w:tcPr>
            <w:tcW w:w="1075" w:type="dxa"/>
            <w:gridSpan w:val="3"/>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资金</w:t>
            </w:r>
          </w:p>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预算</w:t>
            </w:r>
          </w:p>
        </w:tc>
        <w:tc>
          <w:tcPr>
            <w:tcW w:w="1069"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资金</w:t>
            </w:r>
          </w:p>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性质</w:t>
            </w:r>
          </w:p>
        </w:tc>
        <w:tc>
          <w:tcPr>
            <w:tcW w:w="1197"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国产/</w:t>
            </w:r>
          </w:p>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1</w:t>
            </w:r>
          </w:p>
        </w:tc>
        <w:tc>
          <w:tcPr>
            <w:tcW w:w="950"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1</w:t>
            </w:r>
          </w:p>
        </w:tc>
        <w:tc>
          <w:tcPr>
            <w:tcW w:w="2207" w:type="dxa"/>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口腔CT、DR、骨密度仪、移动DR技术保</w:t>
            </w:r>
          </w:p>
        </w:tc>
        <w:tc>
          <w:tcPr>
            <w:tcW w:w="971" w:type="dxa"/>
            <w:gridSpan w:val="2"/>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台/年</w:t>
            </w:r>
          </w:p>
        </w:tc>
        <w:tc>
          <w:tcPr>
            <w:tcW w:w="886" w:type="dxa"/>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075" w:type="dxa"/>
            <w:gridSpan w:val="3"/>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7.9万元</w:t>
            </w:r>
          </w:p>
        </w:tc>
        <w:tc>
          <w:tcPr>
            <w:tcW w:w="1069" w:type="dxa"/>
            <w:vAlign w:val="center"/>
          </w:tcPr>
          <w:p>
            <w:pPr>
              <w:pStyle w:val="15"/>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自筹</w:t>
            </w:r>
          </w:p>
        </w:tc>
        <w:tc>
          <w:tcPr>
            <w:tcW w:w="1197" w:type="dxa"/>
            <w:gridSpan w:val="2"/>
            <w:vAlign w:val="center"/>
          </w:tcPr>
          <w:p>
            <w:pPr>
              <w:pStyle w:val="15"/>
              <w:numPr>
                <w:ilvl w:val="0"/>
                <w:numId w:val="0"/>
              </w:num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合计</w:t>
            </w:r>
          </w:p>
        </w:tc>
        <w:tc>
          <w:tcPr>
            <w:tcW w:w="2212" w:type="dxa"/>
            <w:gridSpan w:val="2"/>
            <w:vAlign w:val="center"/>
          </w:tcPr>
          <w:p>
            <w:pPr>
              <w:pStyle w:val="15"/>
              <w:numPr>
                <w:ilvl w:val="0"/>
                <w:numId w:val="0"/>
              </w:numPr>
              <w:rPr>
                <w:rFonts w:hint="eastAsia" w:ascii="宋体" w:hAnsi="宋体" w:eastAsia="宋体" w:cs="宋体"/>
                <w:lang w:val="en-US" w:eastAsia="zh-CN"/>
              </w:rPr>
            </w:pPr>
          </w:p>
        </w:tc>
        <w:tc>
          <w:tcPr>
            <w:tcW w:w="966" w:type="dxa"/>
            <w:vAlign w:val="center"/>
          </w:tcPr>
          <w:p>
            <w:pPr>
              <w:pStyle w:val="15"/>
              <w:numPr>
                <w:ilvl w:val="0"/>
                <w:numId w:val="0"/>
              </w:numPr>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台/年</w:t>
            </w:r>
          </w:p>
        </w:tc>
        <w:tc>
          <w:tcPr>
            <w:tcW w:w="892" w:type="dxa"/>
            <w:gridSpan w:val="2"/>
            <w:vAlign w:val="center"/>
          </w:tcPr>
          <w:p>
            <w:pPr>
              <w:pStyle w:val="15"/>
              <w:numPr>
                <w:ilvl w:val="0"/>
                <w:numId w:val="0"/>
              </w:numPr>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4</w:t>
            </w:r>
          </w:p>
        </w:tc>
        <w:tc>
          <w:tcPr>
            <w:tcW w:w="1060" w:type="dxa"/>
            <w:vAlign w:val="center"/>
          </w:tcPr>
          <w:p>
            <w:pPr>
              <w:pStyle w:val="15"/>
              <w:numPr>
                <w:ilvl w:val="0"/>
                <w:numId w:val="0"/>
              </w:numPr>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7.9万元</w:t>
            </w:r>
          </w:p>
        </w:tc>
        <w:tc>
          <w:tcPr>
            <w:tcW w:w="1083" w:type="dxa"/>
            <w:gridSpan w:val="3"/>
            <w:vAlign w:val="center"/>
          </w:tcPr>
          <w:p>
            <w:pPr>
              <w:pStyle w:val="15"/>
              <w:numPr>
                <w:ilvl w:val="0"/>
                <w:numId w:val="0"/>
              </w:numPr>
              <w:jc w:val="center"/>
              <w:rPr>
                <w:rFonts w:hint="eastAsia" w:ascii="宋体" w:hAnsi="宋体" w:eastAsia="宋体" w:cs="宋体"/>
                <w:lang w:val="en-US" w:eastAsia="zh-CN"/>
              </w:rPr>
            </w:pPr>
          </w:p>
        </w:tc>
        <w:tc>
          <w:tcPr>
            <w:tcW w:w="1192" w:type="dxa"/>
            <w:vAlign w:val="center"/>
          </w:tcPr>
          <w:p>
            <w:pPr>
              <w:pStyle w:val="15"/>
              <w:numPr>
                <w:ilvl w:val="0"/>
                <w:numId w:val="0"/>
              </w:num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备注</w:t>
            </w:r>
          </w:p>
        </w:tc>
        <w:tc>
          <w:tcPr>
            <w:tcW w:w="7405" w:type="dxa"/>
            <w:gridSpan w:val="10"/>
            <w:vAlign w:val="center"/>
          </w:tcPr>
          <w:p>
            <w:pPr>
              <w:pStyle w:val="15"/>
              <w:numPr>
                <w:ilvl w:val="0"/>
                <w:numId w:val="0"/>
              </w:numPr>
              <w:rPr>
                <w:rFonts w:hint="eastAsia" w:ascii="宋体" w:hAnsi="宋体" w:eastAsia="宋体" w:cs="宋体"/>
                <w:lang w:val="en-US" w:eastAsia="zh-CN"/>
              </w:rPr>
            </w:pPr>
            <w:r>
              <w:rPr>
                <w:rFonts w:hint="eastAsia" w:ascii="宋体" w:hAnsi="宋体" w:eastAsia="宋体" w:cs="宋体"/>
                <w:lang w:val="en-US" w:eastAsia="zh-CN"/>
              </w:rPr>
              <w:t>设备分别为口腔CT卡瓦3DeXam、迈瑞DR DigEye、骨密度仪MEDXT DR、迈瑞移动DR CX700，共计四台</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2)</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3)为本医院配置具备维修资质的固定工程师不少于2人，本设备维修经验不少于2年，需提供证明材料（培训证书）和承诺函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4)</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所换备件必须是全新合格的产品，并满足设备运行要求, 进口配件需提供商检及海关报关单等材料。因所换备件造成的设备故障及医院损失，由投标人全权负责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5)</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软硬件及工作站免费安全升级，并开放维修密码等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6)</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提供24小时远程技术支持及临床应用支持，签署由招标人提供的信息系统数据安全保密承诺书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7）更换维修备件需要院内工程师及科室主任在场拍照，更换维修备件超过三万元需要先招标后更换，特殊情况除外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8）如需更换备件，国内备件仓库有货的备件在2个工作日内送达医院，进口配件5个工作日送达；非标件和不可抗力除外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9）定期进行安全检查及质量保障，保证24h*365天维修热线连接；提供全国400热线服务电话</w:t>
      </w:r>
      <w:r>
        <w:rPr>
          <w:rFonts w:hint="eastAsia" w:ascii="宋体" w:hAnsi="宋体" w:cs="宋体"/>
          <w:kern w:val="2"/>
          <w:sz w:val="21"/>
          <w:szCs w:val="24"/>
          <w:lang w:val="en-US" w:eastAsia="zh-CN" w:bidi="ar-SA"/>
        </w:rPr>
        <w:t>（供应商需注明电话号码）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10）紧急人工和工程师现场紧急维修服务；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11）提供ISO9001和13485质量认证证书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12）工程师需配备有专用工具，工程师的工具符合国家检测和校准的规定（提供相关校准证明）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13）保修期最后一个月内更换的配件，中标公司应保证自更换之日起三个月内正常使用，如三个月内出现故障，由中标公司承担维修费用。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14）须有具备应用培训工程师且提供原厂认证的培训证书。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15） 对我院的维修工程师提供每年至少2人次的专业培训，并提供培训证明材料。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16）每年制定临床使用人员的使用维护培训计划，按计划进行培训并提供记录。</w:t>
      </w: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cs="宋体"/>
                <w:kern w:val="2"/>
                <w:sz w:val="21"/>
                <w:szCs w:val="24"/>
                <w:lang w:val="en-US" w:eastAsia="zh-CN" w:bidi="ar-SA"/>
              </w:rPr>
              <w:t>20分钟内电话响应，2小时内工程师到达现场，一般故障24小时内维修完毕。如需外地专家支持，4小时内响应，24小时内到达现场。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auto"/>
                <w:sz w:val="21"/>
                <w:szCs w:val="21"/>
                <w:highlight w:val="none"/>
                <w:lang w:val="en-US" w:eastAsia="zh-CN"/>
              </w:rPr>
            </w:pPr>
            <w:r>
              <w:rPr>
                <w:rFonts w:hint="default" w:ascii="宋体" w:hAnsi="宋体" w:cs="宋体"/>
                <w:kern w:val="2"/>
                <w:sz w:val="21"/>
                <w:szCs w:val="24"/>
                <w:lang w:val="en-US" w:eastAsia="zh-CN" w:bidi="ar-SA"/>
              </w:rPr>
              <w:t>周一至周日，7天24小时包括法定节假日</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default" w:ascii="宋体" w:hAnsi="宋体" w:cs="宋体"/>
                <w:kern w:val="2"/>
                <w:sz w:val="21"/>
                <w:szCs w:val="24"/>
                <w:lang w:val="en-US" w:eastAsia="zh-CN" w:bidi="ar-SA"/>
              </w:rPr>
              <w:t>先服务后付款，服务六个月之后支付50%合同款，服务期满后支付余下50%合同款。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r>
              <w:rPr>
                <w:rFonts w:hint="eastAsia" w:cs="宋体"/>
                <w:sz w:val="21"/>
                <w:szCs w:val="21"/>
                <w:lang w:val="en-US" w:eastAsia="zh-CN"/>
              </w:rPr>
              <w:t>，投标人保证我院保修的设备正常开机率大于95% （一年按365天计算），且单次维修不能超过1天，否则设备维修占用日期每增加一天，保修时间往后顺延七天</w:t>
            </w:r>
            <w:r>
              <w:rPr>
                <w:rFonts w:hint="eastAsia" w:ascii="宋体" w:hAnsi="宋体" w:eastAsia="宋体" w:cs="宋体"/>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驻马店市中心医院口腔CT、DR、骨密度仪、移动DR技术保项目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7.9万元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7.9万元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7.9万元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 特定资格要求：供应商须具有医疗器械经营许可证，是在中华人民共和国境内注册的设备原制造厂商或原制造厂商授权的单位或具备相关设备维修能力的单位（提供证明文件）。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3.备品备件</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6770" w:type="dxa"/>
            <w:noWrap w:val="0"/>
            <w:vAlign w:val="center"/>
          </w:tcPr>
          <w:p>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针对本项目的备件库进行计分，根据备件库远近、备件种类及数量情况进行评分，备件库备件种类、数量及方便性完全满足采购人需求的，得 8-10 分；备件库备件种类、数量及方便性不能完全满足采购人需求的，得 4-7 分；备件库备件种类、数量及方便性不满足采购人需求的，得 1-3 分。 （需提供备件库租赁或买卖合同，详细备件报价清单）。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w:t>
            </w:r>
            <w:r>
              <w:rPr>
                <w:rFonts w:hint="eastAsia" w:ascii="宋体" w:hAnsi="宋体" w:cs="宋体"/>
                <w:lang w:val="en-US" w:eastAsia="zh-CN"/>
              </w:rPr>
              <w:t>8</w:t>
            </w:r>
            <w:r>
              <w:rPr>
                <w:rFonts w:hint="eastAsia" w:ascii="宋体" w:hAnsi="宋体" w:eastAsia="宋体" w:cs="宋体"/>
                <w:lang w:val="en-US" w:eastAsia="zh-CN"/>
              </w:rPr>
              <w:t>-10分；基本满足的得4-</w:t>
            </w:r>
            <w:r>
              <w:rPr>
                <w:rFonts w:hint="eastAsia" w:ascii="宋体" w:hAnsi="宋体" w:cs="宋体"/>
                <w:lang w:val="en-US" w:eastAsia="zh-CN"/>
              </w:rPr>
              <w:t>7</w:t>
            </w:r>
            <w:r>
              <w:rPr>
                <w:rFonts w:hint="eastAsia" w:ascii="宋体" w:hAnsi="宋体" w:eastAsia="宋体" w:cs="宋体"/>
                <w:lang w:val="en-US" w:eastAsia="zh-CN"/>
              </w:rPr>
              <w:t>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8</w:t>
            </w:r>
            <w:r>
              <w:rPr>
                <w:rFonts w:hint="eastAsia" w:ascii="宋体" w:hAnsi="宋体" w:eastAsia="宋体" w:cs="宋体"/>
              </w:rPr>
              <w:t>-1</w:t>
            </w:r>
            <w:r>
              <w:rPr>
                <w:rFonts w:hint="eastAsia" w:ascii="宋体" w:hAnsi="宋体" w:cs="宋体"/>
                <w:lang w:val="en-US" w:eastAsia="zh-CN"/>
              </w:rPr>
              <w:t>0</w:t>
            </w:r>
            <w:r>
              <w:rPr>
                <w:rFonts w:hint="eastAsia" w:ascii="宋体" w:hAnsi="宋体" w:eastAsia="宋体" w:cs="宋体"/>
              </w:rPr>
              <w:t>分，具体、完善、合理性程度一般得</w:t>
            </w: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分，具体、完善、合理性程度差得1-</w:t>
            </w:r>
            <w:r>
              <w:rPr>
                <w:rFonts w:hint="eastAsia" w:ascii="宋体" w:hAnsi="宋体" w:cs="宋体"/>
                <w:lang w:val="en-US" w:eastAsia="zh-CN"/>
              </w:rPr>
              <w:t>3</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4.其他优惠承诺</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color w:val="auto"/>
                <w:kern w:val="2"/>
                <w:sz w:val="21"/>
                <w:szCs w:val="21"/>
                <w:highlight w:val="none"/>
                <w:lang w:val="en-US" w:eastAsia="zh-CN" w:bidi="ar-SA"/>
              </w:rPr>
              <w:t>根据供应商提出的有利于采购人的优惠条件及优惠承诺进行综合对比，优惠力度强得5-6分，优惠力度一般得3-4分，优惠力度差得1-2分，缺项得0分。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31798"/>
      <w:bookmarkStart w:id="59" w:name="_Toc24743"/>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8818"/>
      <w:bookmarkStart w:id="61" w:name="_Toc14560"/>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20877"/>
      <w:bookmarkStart w:id="64" w:name="_Toc11620"/>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625"/>
      <w:bookmarkStart w:id="66" w:name="_Toc12222"/>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1330"/>
      <w:bookmarkStart w:id="68" w:name="_Toc995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2004"/>
      <w:bookmarkStart w:id="70" w:name="_Toc2498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226"/>
      <w:bookmarkStart w:id="72" w:name="_Toc15804"/>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0420"/>
      <w:bookmarkStart w:id="74" w:name="_Toc2996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28621"/>
      <w:bookmarkStart w:id="76"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13976"/>
      <w:bookmarkStart w:id="78" w:name="_Toc30519"/>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18105"/>
      <w:bookmarkStart w:id="80" w:name="_Toc24693"/>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2888"/>
      <w:bookmarkStart w:id="83" w:name="_Toc13726"/>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3394"/>
      <w:bookmarkStart w:id="85" w:name="_Toc250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驻马店市中心医院口腔CT、DR、骨密度仪、移动DR技术保项目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E4F67"/>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1A1D5C"/>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ED04E1"/>
    <w:rsid w:val="3CF15105"/>
    <w:rsid w:val="3D0C04B9"/>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DF26DC"/>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6E1972"/>
    <w:rsid w:val="4F943166"/>
    <w:rsid w:val="4FBA02A1"/>
    <w:rsid w:val="4FE7106E"/>
    <w:rsid w:val="50053943"/>
    <w:rsid w:val="50374A3C"/>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DB2433"/>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042FB1"/>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170D2"/>
    <w:rsid w:val="64A251DD"/>
    <w:rsid w:val="650242F0"/>
    <w:rsid w:val="6504696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C3224"/>
    <w:rsid w:val="74B21065"/>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AD6340"/>
    <w:rsid w:val="75E8633A"/>
    <w:rsid w:val="76393874"/>
    <w:rsid w:val="763F09AA"/>
    <w:rsid w:val="764F3FCC"/>
    <w:rsid w:val="7650339F"/>
    <w:rsid w:val="76603C9A"/>
    <w:rsid w:val="76832D41"/>
    <w:rsid w:val="76A034B0"/>
    <w:rsid w:val="76BB1CAB"/>
    <w:rsid w:val="76C04050"/>
    <w:rsid w:val="76D67314"/>
    <w:rsid w:val="76E65049"/>
    <w:rsid w:val="77076007"/>
    <w:rsid w:val="77413F7E"/>
    <w:rsid w:val="77464076"/>
    <w:rsid w:val="7758241F"/>
    <w:rsid w:val="777A7D22"/>
    <w:rsid w:val="77835654"/>
    <w:rsid w:val="7797109C"/>
    <w:rsid w:val="779A2A38"/>
    <w:rsid w:val="77B4450A"/>
    <w:rsid w:val="77B46E73"/>
    <w:rsid w:val="77CA7587"/>
    <w:rsid w:val="77E37A12"/>
    <w:rsid w:val="77FE3468"/>
    <w:rsid w:val="78250553"/>
    <w:rsid w:val="78546F0C"/>
    <w:rsid w:val="786778FE"/>
    <w:rsid w:val="78EE1C79"/>
    <w:rsid w:val="78F85605"/>
    <w:rsid w:val="78FA66FA"/>
    <w:rsid w:val="79424F6E"/>
    <w:rsid w:val="797239CC"/>
    <w:rsid w:val="79831473"/>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164B9E"/>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DE3CB2"/>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2024-01-05T09:22:30Z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