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cs="宋体"/>
          <w:b/>
          <w:bCs/>
          <w:sz w:val="48"/>
          <w:szCs w:val="48"/>
          <w:lang w:val="en-US" w:eastAsia="zh-CN"/>
        </w:rPr>
      </w:pPr>
      <w:bookmarkStart w:id="0" w:name="_Toc22804073"/>
      <w:bookmarkEnd w:id="0"/>
      <w:bookmarkStart w:id="1" w:name="_Toc22953395"/>
      <w:bookmarkEnd w:id="1"/>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r>
        <w:rPr>
          <w:rFonts w:hint="eastAsia" w:cs="宋体"/>
          <w:b/>
          <w:bCs/>
          <w:sz w:val="48"/>
          <w:szCs w:val="48"/>
          <w:lang w:val="en-US" w:eastAsia="zh-CN"/>
        </w:rPr>
        <w:t xml:space="preserve">驻马店市中心医院监护除颤类、血压计类、理疗类、医用灯泡类常用配件采购项目 </w:t>
      </w:r>
    </w:p>
    <w:p>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default" w:ascii="宋体" w:hAnsi="宋体" w:eastAsia="宋体" w:cs="宋体"/>
          <w:b/>
          <w:bCs/>
          <w:sz w:val="48"/>
          <w:szCs w:val="48"/>
          <w:lang w:val="en-US" w:eastAsia="zh-CN"/>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 w:val="48"/>
          <w:szCs w:val="48"/>
        </w:rPr>
      </w:pPr>
    </w:p>
    <w:p>
      <w:pPr>
        <w:pStyle w:val="20"/>
        <w:bidi w:val="0"/>
        <w:jc w:val="center"/>
        <w:rPr>
          <w:rStyle w:val="44"/>
          <w:rFonts w:hint="eastAsia" w:ascii="宋体" w:hAnsi="宋体" w:eastAsia="宋体" w:cs="宋体"/>
          <w:b/>
          <w:bCs/>
          <w:color w:val="auto"/>
          <w:szCs w:val="44"/>
        </w:rPr>
      </w:pPr>
      <w:r>
        <w:rPr>
          <w:rStyle w:val="44"/>
          <w:rFonts w:hint="eastAsia" w:cs="宋体"/>
          <w:b/>
          <w:bCs/>
          <w:color w:val="auto"/>
          <w:sz w:val="72"/>
          <w:szCs w:val="72"/>
          <w:lang w:val="en-US" w:eastAsia="zh-CN"/>
        </w:rPr>
        <w:t>采购</w:t>
      </w:r>
      <w:r>
        <w:rPr>
          <w:rStyle w:val="44"/>
          <w:rFonts w:hint="eastAsia" w:ascii="宋体" w:hAnsi="宋体" w:eastAsia="宋体" w:cs="宋体"/>
          <w:b/>
          <w:bCs/>
          <w:color w:val="auto"/>
          <w:sz w:val="72"/>
          <w:szCs w:val="72"/>
        </w:rPr>
        <w:t>文件</w:t>
      </w:r>
    </w:p>
    <w:p>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spacing w:val="-10"/>
          <w:sz w:val="34"/>
          <w:szCs w:val="34"/>
          <w:lang w:val="en-US" w:eastAsia="zh-CN"/>
        </w:rPr>
      </w:pPr>
    </w:p>
    <w:p>
      <w:pPr>
        <w:snapToGrid w:val="0"/>
        <w:spacing w:line="380" w:lineRule="exact"/>
        <w:jc w:val="center"/>
        <w:rPr>
          <w:rFonts w:hint="eastAsia" w:ascii="宋体" w:hAnsi="宋体" w:eastAsia="宋体" w:cs="宋体"/>
          <w:b/>
          <w:sz w:val="32"/>
          <w:szCs w:val="32"/>
        </w:rPr>
      </w:pPr>
    </w:p>
    <w:p>
      <w:pPr>
        <w:pStyle w:val="32"/>
        <w:rPr>
          <w:rFonts w:hint="eastAsia"/>
        </w:rPr>
      </w:pPr>
    </w:p>
    <w:p>
      <w:pPr>
        <w:pStyle w:val="59"/>
        <w:rPr>
          <w:rFonts w:hint="eastAsia" w:ascii="宋体" w:hAnsi="宋体" w:eastAsia="宋体" w:cs="宋体"/>
          <w:bCs/>
          <w:sz w:val="2"/>
          <w:szCs w:val="2"/>
        </w:rPr>
      </w:pPr>
    </w:p>
    <w:p>
      <w:pPr>
        <w:rPr>
          <w:rFonts w:hint="eastAsia" w:ascii="宋体" w:hAnsi="宋体" w:eastAsia="宋体" w:cs="宋体"/>
          <w:bCs/>
          <w:sz w:val="2"/>
          <w:szCs w:val="2"/>
        </w:rPr>
      </w:pPr>
    </w:p>
    <w:p>
      <w:pPr>
        <w:spacing w:line="20" w:lineRule="exact"/>
        <w:rPr>
          <w:rFonts w:hint="eastAsia" w:ascii="宋体" w:hAnsi="宋体" w:eastAsia="宋体" w:cs="宋体"/>
          <w:bCs/>
          <w:sz w:val="2"/>
          <w:szCs w:val="2"/>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10"/>
          <w:sz w:val="34"/>
          <w:szCs w:val="34"/>
          <w:lang w:val="en-US" w:eastAsia="zh-CN"/>
        </w:rPr>
      </w:pPr>
    </w:p>
    <w:p>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spacing w:val="80"/>
          <w:sz w:val="34"/>
          <w:szCs w:val="34"/>
        </w:rPr>
      </w:pPr>
      <w:r>
        <w:rPr>
          <w:rFonts w:hint="eastAsia" w:ascii="宋体" w:hAnsi="宋体" w:eastAsia="宋体" w:cs="宋体"/>
          <w:b/>
          <w:bCs/>
          <w:spacing w:val="-10"/>
          <w:sz w:val="34"/>
          <w:szCs w:val="34"/>
          <w:lang w:val="en-US" w:eastAsia="zh-CN"/>
        </w:rPr>
        <w:t>采 购</w:t>
      </w:r>
      <w:r>
        <w:rPr>
          <w:rFonts w:hint="eastAsia" w:ascii="宋体" w:hAnsi="宋体" w:eastAsia="宋体" w:cs="宋体"/>
          <w:b/>
          <w:bCs/>
          <w:spacing w:val="-10"/>
          <w:sz w:val="34"/>
          <w:szCs w:val="34"/>
        </w:rPr>
        <w:t xml:space="preserve"> 人：驻马店市中心医院</w:t>
      </w:r>
    </w:p>
    <w:p>
      <w:pPr>
        <w:tabs>
          <w:tab w:val="left" w:pos="2505"/>
          <w:tab w:val="center" w:pos="4535"/>
        </w:tabs>
        <w:snapToGrid w:val="0"/>
        <w:spacing w:line="480" w:lineRule="auto"/>
        <w:jc w:val="center"/>
        <w:rPr>
          <w:rFonts w:hint="eastAsia" w:ascii="宋体" w:hAnsi="宋体" w:eastAsia="宋体" w:cs="宋体"/>
          <w:b/>
          <w:sz w:val="36"/>
          <w:szCs w:val="36"/>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spacing w:val="40"/>
          <w:sz w:val="34"/>
          <w:szCs w:val="34"/>
          <w:lang w:val="en-US" w:eastAsia="zh-CN"/>
        </w:rPr>
        <w:t>202</w:t>
      </w:r>
      <w:r>
        <w:rPr>
          <w:rFonts w:hint="eastAsia" w:ascii="宋体" w:hAnsi="宋体" w:cs="宋体"/>
          <w:b/>
          <w:bCs/>
          <w:spacing w:val="40"/>
          <w:sz w:val="34"/>
          <w:szCs w:val="34"/>
          <w:lang w:val="en-US" w:eastAsia="zh-CN"/>
        </w:rPr>
        <w:t>4</w:t>
      </w:r>
      <w:r>
        <w:rPr>
          <w:rFonts w:hint="eastAsia" w:ascii="宋体" w:hAnsi="宋体" w:eastAsia="宋体" w:cs="宋体"/>
          <w:b/>
          <w:bCs/>
          <w:spacing w:val="40"/>
          <w:sz w:val="34"/>
          <w:szCs w:val="34"/>
        </w:rPr>
        <w:t>年</w:t>
      </w:r>
      <w:r>
        <w:rPr>
          <w:rFonts w:hint="eastAsia" w:ascii="宋体" w:hAnsi="宋体" w:cs="宋体"/>
          <w:b/>
          <w:bCs/>
          <w:spacing w:val="40"/>
          <w:sz w:val="34"/>
          <w:szCs w:val="34"/>
          <w:lang w:val="en-US" w:eastAsia="zh-CN"/>
        </w:rPr>
        <w:t>01</w:t>
      </w:r>
      <w:r>
        <w:rPr>
          <w:rFonts w:hint="eastAsia" w:ascii="宋体" w:hAnsi="宋体" w:eastAsia="宋体" w:cs="宋体"/>
          <w:b/>
          <w:bCs/>
          <w:spacing w:val="40"/>
          <w:sz w:val="34"/>
          <w:szCs w:val="34"/>
        </w:rPr>
        <w:t>月</w:t>
      </w:r>
    </w:p>
    <w:p>
      <w:pPr>
        <w:rPr>
          <w:rFonts w:ascii="宋体" w:hAnsi="宋体"/>
          <w:bCs/>
          <w:color w:val="auto"/>
          <w:sz w:val="24"/>
          <w:highlight w:val="none"/>
        </w:rPr>
      </w:pPr>
    </w:p>
    <w:p>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目录</w:t>
      </w:r>
    </w:p>
    <w:p>
      <w:pPr>
        <w:pStyle w:val="53"/>
        <w:rPr>
          <w:color w:val="auto"/>
          <w:highlight w:val="none"/>
        </w:rPr>
      </w:pPr>
    </w:p>
    <w:p>
      <w:pPr>
        <w:pStyle w:val="25"/>
        <w:tabs>
          <w:tab w:val="right" w:leader="dot" w:pos="8958"/>
        </w:tabs>
        <w:snapToGrid w:val="0"/>
        <w:spacing w:line="480" w:lineRule="auto"/>
        <w:rPr>
          <w:rFonts w:ascii="宋体" w:hAnsi="宋体" w:cs="宋体"/>
          <w:color w:val="auto"/>
          <w:szCs w:val="21"/>
          <w:highlight w:val="none"/>
        </w:rPr>
      </w:pP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TOC \o "1-1" \h \u </w:instrText>
      </w:r>
      <w:r>
        <w:rPr>
          <w:rFonts w:hint="eastAsia" w:ascii="宋体" w:hAnsi="宋体" w:cs="宋体"/>
          <w:b/>
          <w:bCs/>
          <w:color w:val="auto"/>
          <w:sz w:val="32"/>
          <w:szCs w:val="32"/>
          <w:highlight w:val="none"/>
        </w:rPr>
        <w:fldChar w:fldCharType="separate"/>
      </w:r>
      <w:r>
        <w:rPr>
          <w:color w:val="auto"/>
          <w:highlight w:val="none"/>
        </w:rPr>
        <w:fldChar w:fldCharType="begin"/>
      </w:r>
      <w:r>
        <w:rPr>
          <w:color w:val="auto"/>
          <w:highlight w:val="none"/>
        </w:rPr>
        <w:instrText xml:space="preserve"> HYPERLINK \l "_Toc9075" </w:instrText>
      </w:r>
      <w:r>
        <w:rPr>
          <w:color w:val="auto"/>
          <w:highlight w:val="none"/>
        </w:rPr>
        <w:fldChar w:fldCharType="separate"/>
      </w:r>
      <w:r>
        <w:rPr>
          <w:rFonts w:hint="eastAsia" w:ascii="宋体" w:hAnsi="宋体" w:cs="宋体"/>
          <w:color w:val="auto"/>
          <w:szCs w:val="21"/>
          <w:highlight w:val="none"/>
        </w:rPr>
        <w:t>第一章  招 标 公 告</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_Toc9075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"_Toc25063" </w:instrText>
      </w:r>
      <w:r>
        <w:rPr>
          <w:color w:val="auto"/>
          <w:highlight w:val="none"/>
        </w:rPr>
        <w:fldChar w:fldCharType="separate"/>
      </w:r>
      <w:r>
        <w:rPr>
          <w:rFonts w:hint="eastAsia" w:ascii="宋体" w:hAnsi="宋体" w:cs="宋体"/>
          <w:color w:val="auto"/>
          <w:szCs w:val="21"/>
          <w:highlight w:val="none"/>
        </w:rPr>
        <w:t xml:space="preserve">第二章  </w:t>
      </w:r>
      <w:r>
        <w:rPr>
          <w:rFonts w:hint="eastAsia" w:ascii="宋体" w:hAnsi="宋体" w:cs="宋体"/>
          <w:color w:val="auto"/>
          <w:szCs w:val="21"/>
          <w:highlight w:val="none"/>
          <w:lang w:eastAsia="zh-CN"/>
        </w:rPr>
        <w:t>采购</w:t>
      </w:r>
      <w:r>
        <w:rPr>
          <w:rFonts w:hint="eastAsia" w:ascii="宋体" w:hAnsi="宋体" w:cs="宋体"/>
          <w:color w:val="auto"/>
          <w:szCs w:val="21"/>
          <w:highlight w:val="none"/>
        </w:rPr>
        <w:t>需求</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_Toc25063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4</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"_Toc14504" </w:instrText>
      </w:r>
      <w:r>
        <w:rPr>
          <w:color w:val="auto"/>
          <w:highlight w:val="none"/>
        </w:rPr>
        <w:fldChar w:fldCharType="separate"/>
      </w:r>
      <w:r>
        <w:rPr>
          <w:rFonts w:hint="eastAsia" w:ascii="宋体" w:hAnsi="宋体" w:cs="宋体"/>
          <w:color w:val="auto"/>
          <w:szCs w:val="21"/>
          <w:highlight w:val="none"/>
        </w:rPr>
        <w:t>第三章  投标人须知</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_Toc14504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10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"_Toc9022" </w:instrText>
      </w:r>
      <w:r>
        <w:rPr>
          <w:color w:val="auto"/>
          <w:highlight w:val="none"/>
        </w:rPr>
        <w:fldChar w:fldCharType="separate"/>
      </w:r>
      <w:r>
        <w:rPr>
          <w:rFonts w:hint="eastAsia" w:ascii="宋体" w:hAnsi="宋体" w:cs="宋体"/>
          <w:color w:val="auto"/>
          <w:kern w:val="0"/>
          <w:szCs w:val="21"/>
          <w:highlight w:val="none"/>
        </w:rPr>
        <w:t>第四章  评标办法及评分标准</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_Toc9022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20</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color w:val="auto"/>
          <w:szCs w:val="21"/>
          <w:highlight w:val="none"/>
        </w:rPr>
      </w:pPr>
      <w:r>
        <w:rPr>
          <w:color w:val="auto"/>
          <w:highlight w:val="none"/>
        </w:rPr>
        <w:fldChar w:fldCharType="begin"/>
      </w:r>
      <w:r>
        <w:rPr>
          <w:color w:val="auto"/>
          <w:highlight w:val="none"/>
        </w:rPr>
        <w:instrText xml:space="preserve"> HYPERLINK \l "_Toc28988" </w:instrText>
      </w:r>
      <w:r>
        <w:rPr>
          <w:color w:val="auto"/>
          <w:highlight w:val="none"/>
        </w:rPr>
        <w:fldChar w:fldCharType="separate"/>
      </w:r>
      <w:r>
        <w:rPr>
          <w:rFonts w:hint="eastAsia" w:ascii="宋体" w:hAnsi="宋体" w:cs="宋体"/>
          <w:color w:val="auto"/>
          <w:szCs w:val="21"/>
          <w:highlight w:val="none"/>
        </w:rPr>
        <w:t>第五章  采购合同（主要条款）</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_Toc28988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21</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25"/>
        <w:tabs>
          <w:tab w:val="right" w:leader="dot" w:pos="8958"/>
        </w:tabs>
        <w:snapToGrid w:val="0"/>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"_Toc2638" </w:instrText>
      </w:r>
      <w:r>
        <w:rPr>
          <w:color w:val="auto"/>
          <w:highlight w:val="none"/>
        </w:rPr>
        <w:fldChar w:fldCharType="separate"/>
      </w:r>
      <w:r>
        <w:rPr>
          <w:rFonts w:hint="eastAsia" w:ascii="宋体" w:hAnsi="宋体" w:cs="宋体"/>
          <w:color w:val="auto"/>
          <w:szCs w:val="21"/>
          <w:highlight w:val="none"/>
        </w:rPr>
        <w:t>第六章  投标文件格式</w:t>
      </w:r>
      <w:r>
        <w:rPr>
          <w:rFonts w:hint="eastAsia" w:ascii="宋体" w:hAnsi="宋体" w:cs="宋体"/>
          <w:color w:val="auto"/>
          <w:szCs w:val="21"/>
          <w:highlight w:val="none"/>
        </w:rPr>
        <w:tab/>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PAGEREF _Toc2638 \h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22</w:t>
      </w:r>
      <w:r>
        <w:rPr>
          <w:rFonts w:hint="eastAsia" w:ascii="宋体" w:hAnsi="宋体" w:cs="宋体"/>
          <w:color w:val="auto"/>
          <w:szCs w:val="21"/>
          <w:highlight w:val="none"/>
        </w:rPr>
        <w:fldChar w:fldCharType="end"/>
      </w:r>
      <w:r>
        <w:rPr>
          <w:rFonts w:hint="eastAsia" w:ascii="宋体" w:hAnsi="宋体" w:cs="宋体"/>
          <w:color w:val="auto"/>
          <w:szCs w:val="21"/>
          <w:highlight w:val="none"/>
        </w:rPr>
        <w:fldChar w:fldCharType="end"/>
      </w:r>
    </w:p>
    <w:p>
      <w:pPr>
        <w:pStyle w:val="83"/>
        <w:tabs>
          <w:tab w:val="right" w:leader="dot" w:pos="8300"/>
        </w:tabs>
        <w:snapToGrid w:val="0"/>
        <w:spacing w:line="480" w:lineRule="auto"/>
        <w:rPr>
          <w:rFonts w:ascii="宋体" w:hAnsi="宋体" w:cs="宋体"/>
          <w:color w:val="auto"/>
          <w:sz w:val="32"/>
          <w:szCs w:val="32"/>
          <w:highlight w:val="none"/>
        </w:rPr>
      </w:pPr>
      <w:r>
        <w:rPr>
          <w:rFonts w:hint="eastAsia" w:ascii="宋体" w:hAnsi="宋体" w:cs="宋体"/>
          <w:b/>
          <w:bCs/>
          <w:color w:val="auto"/>
          <w:sz w:val="32"/>
          <w:szCs w:val="32"/>
          <w:highlight w:val="none"/>
        </w:rPr>
        <w:fldChar w:fldCharType="end"/>
      </w:r>
    </w:p>
    <w:p>
      <w:pPr>
        <w:spacing w:line="440" w:lineRule="exact"/>
        <w:rPr>
          <w:rFonts w:ascii="宋体" w:hAnsi="宋体"/>
          <w:b/>
          <w:color w:val="auto"/>
          <w:sz w:val="32"/>
          <w:szCs w:val="32"/>
          <w:highlight w:val="none"/>
        </w:rPr>
      </w:pPr>
    </w:p>
    <w:p>
      <w:pPr>
        <w:spacing w:line="360" w:lineRule="auto"/>
        <w:ind w:firstLine="2409" w:firstLineChars="600"/>
        <w:rPr>
          <w:rFonts w:ascii="宋体" w:hAnsi="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pPr>
        <w:spacing w:line="360" w:lineRule="auto"/>
        <w:jc w:val="center"/>
        <w:outlineLvl w:val="0"/>
        <w:rPr>
          <w:rFonts w:ascii="宋体" w:hAnsi="宋体"/>
          <w:b/>
          <w:color w:val="auto"/>
          <w:sz w:val="32"/>
          <w:szCs w:val="32"/>
          <w:highlight w:val="none"/>
        </w:rPr>
      </w:pPr>
      <w:bookmarkStart w:id="2" w:name="_Toc9075"/>
      <w:r>
        <w:rPr>
          <w:rFonts w:hint="eastAsia" w:ascii="宋体" w:hAnsi="宋体"/>
          <w:b/>
          <w:color w:val="auto"/>
          <w:sz w:val="32"/>
          <w:szCs w:val="32"/>
          <w:highlight w:val="none"/>
        </w:rPr>
        <w:t xml:space="preserve">第一章  </w:t>
      </w:r>
      <w:r>
        <w:rPr>
          <w:rFonts w:hint="eastAsia" w:ascii="宋体" w:hAnsi="宋体"/>
          <w:b/>
          <w:color w:val="auto"/>
          <w:sz w:val="32"/>
          <w:szCs w:val="32"/>
          <w:highlight w:val="none"/>
          <w:lang w:val="en-US" w:eastAsia="zh-CN"/>
        </w:rPr>
        <w:t>竞争性磋商采购</w:t>
      </w:r>
      <w:r>
        <w:rPr>
          <w:rFonts w:hint="eastAsia" w:ascii="宋体" w:hAnsi="宋体"/>
          <w:b/>
          <w:color w:val="auto"/>
          <w:sz w:val="32"/>
          <w:szCs w:val="32"/>
          <w:highlight w:val="none"/>
        </w:rPr>
        <w:t>公告</w:t>
      </w:r>
      <w:bookmarkEnd w:id="2"/>
    </w:p>
    <w:p>
      <w:pPr>
        <w:keepNext w:val="0"/>
        <w:keepLines w:val="0"/>
        <w:pageBreakBefore w:val="0"/>
        <w:widowControl/>
        <w:kinsoku/>
        <w:wordWrap/>
        <w:overflowPunct/>
        <w:topLinePunct w:val="0"/>
        <w:autoSpaceDE/>
        <w:autoSpaceDN/>
        <w:bidi w:val="0"/>
        <w:adjustRightInd w:val="0"/>
        <w:snapToGrid w:val="0"/>
        <w:spacing w:beforeAutospacing="0" w:after="157" w:afterLines="50" w:line="360" w:lineRule="auto"/>
        <w:jc w:val="center"/>
        <w:textAlignment w:val="auto"/>
        <w:rPr>
          <w:rFonts w:hint="eastAsia" w:ascii="黑体" w:hAnsi="黑体" w:eastAsia="黑体" w:cs="宋体"/>
          <w:bCs/>
          <w:color w:val="auto"/>
          <w:kern w:val="0"/>
          <w:sz w:val="28"/>
          <w:szCs w:val="28"/>
        </w:rPr>
      </w:pPr>
      <w:r>
        <w:rPr>
          <w:rFonts w:hint="eastAsia" w:ascii="黑体" w:hAnsi="黑体" w:eastAsia="黑体" w:cs="宋体"/>
          <w:bCs/>
          <w:color w:val="auto"/>
          <w:kern w:val="0"/>
          <w:sz w:val="28"/>
          <w:szCs w:val="28"/>
          <w:u w:val="none"/>
          <w:lang w:val="en-US" w:eastAsia="zh-CN"/>
        </w:rPr>
        <w:t>驻马店市中心医院监护除颤类、血压计类、理疗类、医用灯泡类常用配件采购项目竞争性磋商</w:t>
      </w:r>
      <w:r>
        <w:rPr>
          <w:rFonts w:hint="eastAsia" w:ascii="黑体" w:hAnsi="黑体" w:eastAsia="黑体" w:cs="宋体"/>
          <w:bCs/>
          <w:color w:val="auto"/>
          <w:kern w:val="0"/>
          <w:sz w:val="28"/>
          <w:szCs w:val="28"/>
        </w:rPr>
        <w:t>公告</w:t>
      </w:r>
    </w:p>
    <w:p>
      <w:pPr>
        <w:keepNext w:val="0"/>
        <w:keepLines w:val="0"/>
        <w:pageBreakBefore w:val="0"/>
        <w:kinsoku/>
        <w:overflowPunct/>
        <w:topLinePunct w:val="0"/>
        <w:bidi w:val="0"/>
        <w:snapToGrid w:val="0"/>
        <w:spacing w:line="440" w:lineRule="exact"/>
        <w:ind w:firstLine="480" w:firstLineChars="200"/>
        <w:textAlignment w:val="auto"/>
        <w:rPr>
          <w:rFonts w:ascii="宋体" w:hAnsi="宋体" w:eastAsia="宋体" w:cs="宋体"/>
          <w:color w:val="auto"/>
          <w:sz w:val="24"/>
          <w:szCs w:val="24"/>
        </w:rPr>
      </w:pPr>
      <w:r>
        <w:rPr>
          <w:rFonts w:hint="eastAsia" w:ascii="宋体" w:hAnsi="宋体" w:eastAsia="宋体" w:cs="宋体"/>
          <w:color w:val="auto"/>
          <w:sz w:val="24"/>
          <w:szCs w:val="24"/>
        </w:rPr>
        <w:t>驻马店市中心医院现对</w:t>
      </w:r>
      <w:r>
        <w:rPr>
          <w:rFonts w:hint="eastAsia" w:ascii="宋体" w:hAnsi="宋体" w:eastAsia="宋体" w:cs="宋体"/>
          <w:color w:val="auto"/>
          <w:sz w:val="24"/>
          <w:szCs w:val="24"/>
          <w:u w:val="single"/>
        </w:rPr>
        <w:t>监护除颤类、血压计类、理疗类、医用灯泡类常用配件采购</w:t>
      </w:r>
      <w:r>
        <w:rPr>
          <w:rFonts w:hint="eastAsia" w:ascii="宋体" w:hAnsi="宋体" w:cs="宋体"/>
          <w:color w:val="auto"/>
          <w:sz w:val="24"/>
          <w:szCs w:val="24"/>
          <w:u w:val="single"/>
          <w:lang w:val="en-US" w:eastAsia="zh-CN"/>
        </w:rPr>
        <w:t>项目</w:t>
      </w:r>
      <w:r>
        <w:rPr>
          <w:rFonts w:hint="eastAsia" w:ascii="宋体" w:hAnsi="宋体" w:eastAsia="宋体" w:cs="宋体"/>
          <w:color w:val="auto"/>
          <w:sz w:val="24"/>
          <w:szCs w:val="24"/>
        </w:rPr>
        <w:t>进行院内</w:t>
      </w:r>
      <w:r>
        <w:rPr>
          <w:rFonts w:hint="eastAsia" w:ascii="宋体" w:hAnsi="宋体" w:eastAsia="宋体" w:cs="宋体"/>
          <w:color w:val="auto"/>
          <w:sz w:val="24"/>
          <w:szCs w:val="24"/>
          <w:lang w:val="en-US" w:eastAsia="zh-CN"/>
        </w:rPr>
        <w:t>竞争性磋商</w:t>
      </w:r>
      <w:r>
        <w:rPr>
          <w:rFonts w:hint="eastAsia" w:ascii="宋体" w:hAnsi="宋体" w:eastAsia="宋体" w:cs="宋体"/>
          <w:color w:val="auto"/>
          <w:sz w:val="24"/>
          <w:szCs w:val="24"/>
        </w:rPr>
        <w:t>采购，欢迎符合资格条件的供应商前来</w:t>
      </w:r>
      <w:r>
        <w:rPr>
          <w:rFonts w:hint="eastAsia" w:ascii="宋体" w:hAnsi="宋体" w:eastAsia="宋体" w:cs="宋体"/>
          <w:color w:val="auto"/>
          <w:sz w:val="24"/>
          <w:szCs w:val="24"/>
          <w:lang w:val="en-US" w:eastAsia="zh-CN"/>
        </w:rPr>
        <w:t>报名并</w:t>
      </w:r>
      <w:r>
        <w:rPr>
          <w:rFonts w:hint="eastAsia" w:ascii="宋体" w:hAnsi="宋体" w:eastAsia="宋体" w:cs="宋体"/>
          <w:color w:val="auto"/>
          <w:sz w:val="24"/>
          <w:szCs w:val="24"/>
        </w:rPr>
        <w:t>获取</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文件。</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r>
        <w:rPr>
          <w:rFonts w:hint="eastAsia" w:ascii="宋体" w:hAnsi="宋体" w:eastAsia="宋体" w:cs="宋体"/>
          <w:b/>
          <w:bCs/>
          <w:color w:val="auto"/>
          <w:kern w:val="2"/>
          <w:sz w:val="24"/>
          <w:szCs w:val="24"/>
          <w:shd w:val="clear" w:color="auto" w:fill="FFFFFF"/>
          <w:lang w:val="en-US" w:eastAsia="zh-CN" w:bidi="ar-SA"/>
        </w:rPr>
        <w:t>一、项目基本情况</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yellow"/>
          <w:shd w:val="clear" w:color="auto" w:fill="FFFFFF"/>
          <w:lang w:eastAsia="zh-CN"/>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sz w:val="24"/>
          <w:szCs w:val="24"/>
          <w:highlight w:val="none"/>
          <w:shd w:val="clear" w:color="auto" w:fill="FFFFFF"/>
          <w:lang w:val="en-US" w:eastAsia="zh-CN"/>
        </w:rPr>
        <w:t>采购</w:t>
      </w:r>
      <w:r>
        <w:rPr>
          <w:rFonts w:hint="eastAsia" w:ascii="宋体" w:hAnsi="宋体" w:eastAsia="宋体" w:cs="宋体"/>
          <w:color w:val="auto"/>
          <w:sz w:val="24"/>
          <w:szCs w:val="24"/>
          <w:highlight w:val="none"/>
          <w:shd w:val="clear" w:color="auto" w:fill="FFFFFF"/>
        </w:rPr>
        <w:t>项目名称：</w:t>
      </w:r>
      <w:r>
        <w:rPr>
          <w:rFonts w:hint="eastAsia" w:ascii="宋体" w:hAnsi="宋体" w:cs="宋体"/>
          <w:color w:val="auto"/>
          <w:sz w:val="24"/>
          <w:szCs w:val="24"/>
          <w:highlight w:val="none"/>
          <w:shd w:val="clear" w:color="auto" w:fill="FFFFFF"/>
          <w:lang w:eastAsia="zh-CN"/>
        </w:rPr>
        <w:t>驻马店市中心医院监护除颤类、血压计类、理疗类、医用灯泡类常用配件采购项目</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rPr>
        <w:t>2、采购需求</w:t>
      </w:r>
      <w:r>
        <w:rPr>
          <w:rFonts w:hint="eastAsia" w:ascii="宋体" w:hAnsi="宋体" w:cs="宋体"/>
          <w:i w:val="0"/>
          <w:caps w:val="0"/>
          <w:color w:val="auto"/>
          <w:spacing w:val="0"/>
          <w:sz w:val="24"/>
          <w:szCs w:val="24"/>
          <w:shd w:val="clear" w:color="auto" w:fill="FFFFFF"/>
          <w:lang w:eastAsia="zh-CN"/>
        </w:rPr>
        <w:t>：</w:t>
      </w:r>
      <w:r>
        <w:rPr>
          <w:rFonts w:hint="eastAsia" w:ascii="宋体" w:hAnsi="宋体" w:eastAsia="宋体" w:cs="宋体"/>
          <w:color w:val="auto"/>
          <w:sz w:val="24"/>
          <w:szCs w:val="24"/>
          <w:highlight w:val="none"/>
          <w:shd w:val="clear" w:color="auto" w:fill="FFFFFF"/>
        </w:rPr>
        <w:t>具体要求详见附件</w:t>
      </w:r>
      <w:r>
        <w:rPr>
          <w:rFonts w:hint="eastAsia" w:ascii="宋体" w:hAnsi="宋体" w:eastAsia="宋体" w:cs="宋体"/>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3</w:t>
      </w:r>
      <w:bookmarkStart w:id="3" w:name="_Toc26725"/>
      <w:r>
        <w:rPr>
          <w:rFonts w:hint="eastAsia" w:ascii="宋体" w:hAnsi="宋体" w:eastAsia="宋体" w:cs="宋体"/>
          <w:color w:val="auto"/>
          <w:sz w:val="24"/>
          <w:szCs w:val="24"/>
          <w:highlight w:val="none"/>
          <w:shd w:val="clear" w:color="auto" w:fill="FFFFFF"/>
        </w:rPr>
        <w:t>、预算金额</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24万元（据实结算），自</w:t>
      </w:r>
      <w:r>
        <w:rPr>
          <w:rFonts w:hint="eastAsia" w:ascii="宋体" w:hAnsi="宋体" w:eastAsia="宋体" w:cs="宋体"/>
          <w:color w:val="auto"/>
          <w:sz w:val="24"/>
          <w:szCs w:val="24"/>
          <w:highlight w:val="none"/>
          <w:shd w:val="clear" w:color="auto" w:fill="FFFFFF"/>
          <w:lang w:val="en-US" w:eastAsia="zh-CN"/>
        </w:rPr>
        <w:t>筹资金；</w:t>
      </w:r>
    </w:p>
    <w:p>
      <w:pPr>
        <w:keepNext w:val="0"/>
        <w:keepLines w:val="0"/>
        <w:pageBreakBefore w:val="0"/>
        <w:kinsoku/>
        <w:overflowPunct/>
        <w:topLinePunct w:val="0"/>
        <w:bidi w:val="0"/>
        <w:snapToGrid w:val="0"/>
        <w:spacing w:line="440" w:lineRule="exact"/>
        <w:ind w:firstLine="480" w:firstLineChars="200"/>
        <w:textAlignment w:val="auto"/>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rPr>
        <w:t>4、</w:t>
      </w:r>
      <w:r>
        <w:rPr>
          <w:rFonts w:hint="eastAsia" w:ascii="宋体" w:hAnsi="宋体" w:eastAsia="宋体" w:cs="宋体"/>
          <w:color w:val="auto"/>
          <w:sz w:val="24"/>
          <w:szCs w:val="24"/>
          <w:highlight w:val="none"/>
          <w:shd w:val="clear" w:color="auto" w:fill="FFFFFF"/>
          <w:lang w:val="en-US" w:eastAsia="zh-CN"/>
        </w:rPr>
        <w:t>交货地点：采购人指定地点；</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eastAsia="宋体"/>
          <w:color w:val="auto"/>
          <w:sz w:val="24"/>
          <w:szCs w:val="24"/>
          <w:highlight w:val="none"/>
        </w:rPr>
      </w:pPr>
      <w:bookmarkStart w:id="4" w:name="_Toc24040"/>
      <w:bookmarkStart w:id="5" w:name="_Toc19521"/>
      <w:bookmarkStart w:id="6" w:name="_Toc21071"/>
      <w:bookmarkStart w:id="7" w:name="_Toc27913"/>
      <w:bookmarkStart w:id="8" w:name="_Toc26079"/>
      <w:r>
        <w:rPr>
          <w:rFonts w:hint="eastAsia" w:ascii="宋体" w:hAnsi="宋体" w:eastAsia="宋体" w:cs="宋体"/>
          <w:color w:val="auto"/>
          <w:sz w:val="24"/>
          <w:szCs w:val="24"/>
          <w:highlight w:val="none"/>
          <w:shd w:val="clear" w:color="auto" w:fill="FFFFFF"/>
        </w:rPr>
        <w:t>5、</w:t>
      </w:r>
      <w:bookmarkEnd w:id="4"/>
      <w:bookmarkEnd w:id="5"/>
      <w:bookmarkEnd w:id="6"/>
      <w:bookmarkEnd w:id="7"/>
      <w:bookmarkEnd w:id="8"/>
      <w:r>
        <w:rPr>
          <w:rFonts w:hint="eastAsia" w:ascii="宋体" w:hAnsi="宋体" w:eastAsia="宋体" w:cs="宋体"/>
          <w:bCs/>
          <w:color w:val="auto"/>
          <w:sz w:val="24"/>
          <w:szCs w:val="24"/>
          <w:highlight w:val="none"/>
          <w:shd w:val="clear" w:color="auto" w:fill="FFFFFF"/>
        </w:rPr>
        <w:t>合同履行期限：</w:t>
      </w:r>
      <w:r>
        <w:rPr>
          <w:rFonts w:hint="eastAsia" w:ascii="宋体" w:hAnsi="宋体" w:cs="宋体"/>
          <w:bCs/>
          <w:color w:val="auto"/>
          <w:sz w:val="24"/>
          <w:szCs w:val="24"/>
          <w:highlight w:val="none"/>
          <w:shd w:val="clear" w:color="auto" w:fill="FFFFFF"/>
          <w:lang w:val="en-US" w:eastAsia="zh-CN"/>
        </w:rPr>
        <w:t>一年</w:t>
      </w:r>
      <w:r>
        <w:rPr>
          <w:rFonts w:hint="eastAsia" w:ascii="宋体" w:hAnsi="宋体" w:cs="宋体"/>
          <w:bCs/>
          <w:color w:val="auto"/>
          <w:sz w:val="24"/>
          <w:szCs w:val="24"/>
          <w:highlight w:val="none"/>
          <w:shd w:val="clear" w:color="auto" w:fill="FFFFFF"/>
          <w:lang w:eastAsia="zh-CN"/>
        </w:rPr>
        <w:t>；</w:t>
      </w:r>
    </w:p>
    <w:p>
      <w:pPr>
        <w:keepNext w:val="0"/>
        <w:keepLines w:val="0"/>
        <w:pageBreakBefore w:val="0"/>
        <w:widowControl/>
        <w:tabs>
          <w:tab w:val="left" w:pos="840"/>
        </w:tabs>
        <w:kinsoku/>
        <w:overflowPunct/>
        <w:topLinePunct w:val="0"/>
        <w:bidi w:val="0"/>
        <w:snapToGrid w:val="0"/>
        <w:spacing w:line="440" w:lineRule="exact"/>
        <w:ind w:firstLine="480" w:firstLineChars="200"/>
        <w:jc w:val="left"/>
        <w:textAlignment w:val="auto"/>
        <w:rPr>
          <w:rFonts w:ascii="宋体" w:hAnsi="宋体" w:eastAsia="宋体" w:cs="宋体"/>
          <w:color w:val="auto"/>
          <w:sz w:val="24"/>
          <w:szCs w:val="24"/>
          <w:highlight w:val="none"/>
          <w:shd w:val="clear" w:color="auto" w:fill="FFFFFF"/>
        </w:rPr>
      </w:pPr>
      <w:r>
        <w:rPr>
          <w:rFonts w:hint="eastAsia" w:ascii="宋体" w:hAnsi="宋体" w:eastAsia="宋体" w:cs="宋体"/>
          <w:bCs/>
          <w:color w:val="auto"/>
          <w:sz w:val="24"/>
          <w:szCs w:val="24"/>
          <w:highlight w:val="none"/>
          <w:shd w:val="clear" w:color="auto" w:fill="FFFFFF"/>
        </w:rPr>
        <w:t>6、</w:t>
      </w:r>
      <w:r>
        <w:rPr>
          <w:rFonts w:hint="eastAsia" w:ascii="宋体" w:hAnsi="宋体" w:eastAsia="宋体" w:cs="宋体"/>
          <w:color w:val="auto"/>
          <w:sz w:val="24"/>
          <w:szCs w:val="24"/>
          <w:highlight w:val="none"/>
          <w:shd w:val="clear" w:color="auto" w:fill="FFFFFF"/>
        </w:rPr>
        <w:t>质量要求：</w:t>
      </w:r>
      <w:r>
        <w:rPr>
          <w:rFonts w:hint="eastAsia" w:ascii="宋体" w:hAnsi="宋体" w:eastAsia="宋体" w:cs="宋体"/>
          <w:color w:val="auto"/>
          <w:sz w:val="24"/>
          <w:szCs w:val="24"/>
          <w:highlight w:val="none"/>
          <w:shd w:val="clear" w:color="auto" w:fill="FFFFFF"/>
          <w:lang w:eastAsia="zh-CN"/>
        </w:rPr>
        <w:t>合格。</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shd w:val="clear" w:color="auto" w:fill="FFFFFF"/>
          <w:lang w:val="en-US" w:eastAsia="zh-CN" w:bidi="ar-SA"/>
        </w:rPr>
      </w:pPr>
      <w:bookmarkStart w:id="9" w:name="_Toc16639"/>
      <w:bookmarkStart w:id="10" w:name="_Toc23626"/>
      <w:bookmarkStart w:id="11" w:name="_Toc27704"/>
      <w:bookmarkStart w:id="12" w:name="_Toc18607"/>
      <w:r>
        <w:rPr>
          <w:rFonts w:hint="eastAsia" w:ascii="宋体" w:hAnsi="宋体" w:eastAsia="宋体" w:cs="宋体"/>
          <w:b/>
          <w:bCs/>
          <w:color w:val="auto"/>
          <w:kern w:val="2"/>
          <w:sz w:val="24"/>
          <w:szCs w:val="24"/>
          <w:shd w:val="clear" w:color="auto" w:fill="FFFFFF"/>
          <w:lang w:val="en-US" w:eastAsia="zh-CN" w:bidi="ar-SA"/>
        </w:rPr>
        <w:t>二、</w:t>
      </w:r>
      <w:bookmarkEnd w:id="3"/>
      <w:bookmarkEnd w:id="9"/>
      <w:bookmarkEnd w:id="10"/>
      <w:bookmarkEnd w:id="11"/>
      <w:bookmarkEnd w:id="12"/>
      <w:r>
        <w:rPr>
          <w:rFonts w:hint="eastAsia" w:ascii="宋体" w:hAnsi="宋体" w:eastAsia="宋体" w:cs="宋体"/>
          <w:b/>
          <w:bCs/>
          <w:color w:val="auto"/>
          <w:kern w:val="2"/>
          <w:sz w:val="24"/>
          <w:szCs w:val="24"/>
          <w:shd w:val="clear" w:color="auto" w:fill="FFFFFF"/>
          <w:lang w:val="en-US" w:eastAsia="zh-CN" w:bidi="ar-SA"/>
        </w:rPr>
        <w:t>供应商资格要求：</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供应商应提供2022年度经审计的财务报告或者其基本开户银行出具的资信证明；采购活动近三个月或上个季度任意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3、具有履行合同所必需的设备和专业技术能力（提供书面声明函）；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4、参加本采购活动前三年内，在经营活动中没有重大违法记录（提供书面声明函）；</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5、符合法律、行政法规规定的其他条件；</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sz w:val="24"/>
          <w:szCs w:val="24"/>
          <w:lang w:val="en-US" w:eastAsia="zh-CN"/>
        </w:rPr>
      </w:pPr>
      <w:r>
        <w:rPr>
          <w:rFonts w:hint="eastAsia" w:ascii="宋体" w:hAnsi="宋体" w:cs="宋体"/>
          <w:color w:val="auto"/>
          <w:kern w:val="2"/>
          <w:sz w:val="24"/>
          <w:szCs w:val="24"/>
          <w:lang w:val="en-US" w:eastAsia="zh-CN" w:bidi="ar-SA"/>
        </w:rPr>
        <w:t>6</w:t>
      </w:r>
      <w:r>
        <w:rPr>
          <w:rFonts w:hint="eastAsia" w:ascii="宋体" w:hAnsi="宋体" w:eastAsia="宋体" w:cs="宋体"/>
          <w:color w:val="auto"/>
          <w:kern w:val="2"/>
          <w:sz w:val="24"/>
          <w:szCs w:val="24"/>
          <w:lang w:val="en-US" w:eastAsia="zh-CN" w:bidi="ar-SA"/>
        </w:rPr>
        <w:t>、根据《关于在政府采购活动中查询及使用信用记录有关问题的通知》（财库【2016】125号）的规定，对列入失信被执行人、</w:t>
      </w:r>
      <w:r>
        <w:rPr>
          <w:rFonts w:hint="eastAsia" w:ascii="宋体" w:hAnsi="宋体" w:cs="宋体"/>
          <w:color w:val="auto"/>
          <w:kern w:val="2"/>
          <w:sz w:val="24"/>
          <w:szCs w:val="24"/>
          <w:lang w:val="en-US" w:eastAsia="zh-CN" w:bidi="ar-SA"/>
        </w:rPr>
        <w:t>重大税收违法失信主体</w:t>
      </w:r>
      <w:r>
        <w:rPr>
          <w:rFonts w:hint="eastAsia" w:ascii="宋体" w:hAnsi="宋体" w:eastAsia="宋体" w:cs="宋体"/>
          <w:color w:val="auto"/>
          <w:kern w:val="2"/>
          <w:sz w:val="24"/>
          <w:szCs w:val="24"/>
          <w:lang w:val="en-US" w:eastAsia="zh-CN" w:bidi="ar-SA"/>
        </w:rPr>
        <w:t>、政府采购严重违法失信行为记录名单的供应商，拒绝参与本项目政府采购活动，参与采购的供应商应提供</w:t>
      </w:r>
      <w:r>
        <w:rPr>
          <w:rFonts w:hint="eastAsia" w:ascii="宋体" w:hAnsi="宋体" w:eastAsia="宋体" w:cs="宋体"/>
          <w:color w:val="auto"/>
          <w:sz w:val="24"/>
          <w:szCs w:val="24"/>
          <w:lang w:val="en-US" w:eastAsia="zh-CN"/>
        </w:rPr>
        <w:t>查询企业信用记录的网页打印页并加盖供应商公章，查询时间应在采购公告发布日期之后，【查询渠道：“信用中国”网站、中国政府采购网】；</w:t>
      </w:r>
    </w:p>
    <w:p>
      <w:pPr>
        <w:keepNext w:val="0"/>
        <w:keepLines w:val="0"/>
        <w:pageBreakBefore w:val="0"/>
        <w:widowControl w:val="0"/>
        <w:kinsoku/>
        <w:overflowPunct/>
        <w:topLinePunct w:val="0"/>
        <w:autoSpaceDE w:val="0"/>
        <w:autoSpaceDN w:val="0"/>
        <w:bidi w:val="0"/>
        <w:adjustRightInd w:val="0"/>
        <w:snapToGrid w:val="0"/>
        <w:spacing w:line="440" w:lineRule="exact"/>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7</w:t>
      </w:r>
      <w:r>
        <w:rPr>
          <w:rFonts w:hint="eastAsia" w:ascii="宋体" w:hAnsi="宋体" w:eastAsia="宋体" w:cs="宋体"/>
          <w:color w:val="auto"/>
          <w:kern w:val="2"/>
          <w:sz w:val="24"/>
          <w:szCs w:val="24"/>
          <w:lang w:val="en-US" w:eastAsia="zh-CN" w:bidi="ar-SA"/>
        </w:rPr>
        <w:t>、不接受联合体投标。</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3" w:name="_Toc7823"/>
      <w:bookmarkStart w:id="14" w:name="_Toc23395"/>
      <w:bookmarkStart w:id="15" w:name="_Toc30643"/>
      <w:bookmarkStart w:id="16" w:name="_Toc30971"/>
      <w:bookmarkStart w:id="17" w:name="_Toc9562"/>
      <w:r>
        <w:rPr>
          <w:rFonts w:hint="eastAsia" w:ascii="宋体" w:hAnsi="宋体" w:eastAsia="宋体" w:cs="宋体"/>
          <w:b/>
          <w:bCs/>
          <w:color w:val="auto"/>
          <w:kern w:val="2"/>
          <w:sz w:val="24"/>
          <w:szCs w:val="24"/>
          <w:lang w:val="en-US" w:eastAsia="zh-CN" w:bidi="ar-SA"/>
        </w:rPr>
        <w:t>三、获取采购文件</w:t>
      </w:r>
      <w:bookmarkEnd w:id="13"/>
      <w:bookmarkEnd w:id="14"/>
      <w:bookmarkEnd w:id="15"/>
      <w:bookmarkEnd w:id="16"/>
      <w:bookmarkEnd w:id="17"/>
    </w:p>
    <w:p>
      <w:pPr>
        <w:keepNext w:val="0"/>
        <w:keepLines w:val="0"/>
        <w:pageBreakBefore w:val="0"/>
        <w:widowControl/>
        <w:kinsoku/>
        <w:overflowPunct/>
        <w:topLinePunct w:val="0"/>
        <w:bidi w:val="0"/>
        <w:adjustRightInd w:val="0"/>
        <w:snapToGrid w:val="0"/>
        <w:spacing w:line="440" w:lineRule="exact"/>
        <w:ind w:firstLine="480" w:firstLineChars="200"/>
        <w:jc w:val="left"/>
        <w:textAlignment w:val="auto"/>
        <w:rPr>
          <w:rFonts w:ascii="宋体" w:hAnsi="宋体" w:eastAsia="宋体" w:cs="宋体"/>
          <w:color w:val="000000" w:themeColor="text1"/>
          <w:sz w:val="24"/>
          <w:szCs w:val="24"/>
          <w:shd w:val="clear" w:color="auto" w:fill="FFFFFF"/>
          <w14:textFill>
            <w14:solidFill>
              <w14:schemeClr w14:val="tx1"/>
            </w14:solidFill>
          </w14:textFill>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val="en-US" w:eastAsia="zh-CN"/>
        </w:rPr>
        <w:t>报</w:t>
      </w:r>
      <w:r>
        <w:rPr>
          <w:rFonts w:hint="eastAsia" w:ascii="宋体" w:hAnsi="宋体" w:cs="宋体"/>
          <w:color w:val="000000" w:themeColor="text1"/>
          <w:sz w:val="24"/>
          <w:szCs w:val="24"/>
          <w:shd w:val="clear" w:color="auto" w:fill="FFFFFF"/>
          <w:lang w:val="en-US" w:eastAsia="zh-CN"/>
          <w14:textFill>
            <w14:solidFill>
              <w14:schemeClr w14:val="tx1"/>
            </w14:solidFill>
          </w14:textFill>
        </w:rPr>
        <w:t>名</w:t>
      </w:r>
      <w:r>
        <w:rPr>
          <w:rFonts w:hint="eastAsia" w:ascii="宋体" w:hAnsi="宋体" w:eastAsia="宋体" w:cs="宋体"/>
          <w:color w:val="000000" w:themeColor="text1"/>
          <w:sz w:val="24"/>
          <w:szCs w:val="24"/>
          <w:shd w:val="clear" w:color="auto" w:fill="FFFFFF"/>
          <w14:textFill>
            <w14:solidFill>
              <w14:schemeClr w14:val="tx1"/>
            </w14:solidFill>
          </w14:textFill>
        </w:rPr>
        <w:t>时间：202</w:t>
      </w:r>
      <w:r>
        <w:rPr>
          <w:rFonts w:hint="eastAsia" w:ascii="宋体" w:hAnsi="宋体" w:cs="宋体"/>
          <w:color w:val="000000" w:themeColor="text1"/>
          <w:sz w:val="24"/>
          <w:szCs w:val="24"/>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shd w:val="clear" w:color="auto" w:fill="FFFFFF"/>
          <w14:textFill>
            <w14:solidFill>
              <w14:schemeClr w14:val="tx1"/>
            </w14:solidFill>
          </w14:textFill>
        </w:rPr>
        <w:t>年</w:t>
      </w:r>
      <w:r>
        <w:rPr>
          <w:rFonts w:hint="eastAsia" w:ascii="宋体" w:hAnsi="宋体" w:cs="宋体"/>
          <w:color w:val="000000" w:themeColor="text1"/>
          <w:sz w:val="24"/>
          <w:szCs w:val="24"/>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8</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日-202</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年</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月</w:t>
      </w:r>
      <w:r>
        <w:rPr>
          <w:rFonts w:hint="eastAsia" w:ascii="宋体" w:hAnsi="宋体" w:cs="宋体"/>
          <w:color w:val="000000" w:themeColor="text1"/>
          <w:sz w:val="24"/>
          <w:szCs w:val="24"/>
          <w:highlight w:val="none"/>
          <w:shd w:val="clear" w:color="auto" w:fill="FFFFFF"/>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日，</w:t>
      </w:r>
      <w:r>
        <w:rPr>
          <w:rFonts w:hint="eastAsia" w:ascii="宋体" w:hAnsi="宋体" w:eastAsia="宋体" w:cs="宋体"/>
          <w:color w:val="000000" w:themeColor="text1"/>
          <w:sz w:val="24"/>
          <w:szCs w:val="24"/>
          <w:shd w:val="clear" w:color="auto" w:fill="FFFFFF"/>
          <w14:textFill>
            <w14:solidFill>
              <w14:schemeClr w14:val="tx1"/>
            </w14:solidFill>
          </w14:textFill>
        </w:rPr>
        <w:t>上午8：30-11:30，下午14:30-17:30（北京时间，法定节假日除外）</w:t>
      </w:r>
      <w:r>
        <w:rPr>
          <w:rFonts w:hint="eastAsia" w:ascii="宋体" w:hAnsi="宋体" w:eastAsia="宋体" w:cs="宋体"/>
          <w:color w:val="000000" w:themeColor="text1"/>
          <w:sz w:val="24"/>
          <w:szCs w:val="24"/>
          <w:shd w:val="clear" w:color="auto" w:fill="FFFFFF"/>
          <w:lang w:val="en-US" w:eastAsia="zh-CN"/>
          <w14:textFill>
            <w14:solidFill>
              <w14:schemeClr w14:val="tx1"/>
            </w14:solidFill>
          </w14:textFill>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 xml:space="preserve">2.凡报名成功的供应商无故不来参与投标的列入我院黑名单，一年内不得参与我院任何采购活动。中标供应商缴纳相应服务费。 </w:t>
      </w:r>
    </w:p>
    <w:p>
      <w:pPr>
        <w:keepNext w:val="0"/>
        <w:keepLines w:val="0"/>
        <w:pageBreakBefore w:val="0"/>
        <w:widowControl/>
        <w:kinsoku/>
        <w:wordWrap w:val="0"/>
        <w:overflowPunct/>
        <w:topLinePunct w:val="0"/>
        <w:bidi w:val="0"/>
        <w:snapToGrid w:val="0"/>
        <w:spacing w:before="0" w:beforeAutospacing="0" w:after="0" w:afterAutospacing="0" w:line="440" w:lineRule="exact"/>
        <w:ind w:left="0" w:leftChars="0" w:firstLine="480" w:firstLineChars="200"/>
        <w:jc w:val="left"/>
        <w:textAlignment w:val="auto"/>
        <w:rPr>
          <w:rFonts w:ascii="宋体" w:hAnsi="宋体" w:eastAsia="宋体" w:cs="宋体"/>
          <w:color w:val="auto"/>
          <w:kern w:val="0"/>
          <w:sz w:val="24"/>
          <w:szCs w:val="24"/>
          <w:u w:val="single"/>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3.采购文件获取方式：供应商须把填写完整的报名登记表及报名登记表要求提供的相关资料扫描件按序排版为PDF格式文件，发送至以下邮箱：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cs="宋体"/>
          <w:color w:val="auto"/>
          <w:kern w:val="0"/>
          <w:sz w:val="24"/>
          <w:szCs w:val="24"/>
          <w:shd w:val="clear" w:color="auto" w:fill="FFFFFF"/>
          <w:lang w:val="en-US" w:eastAsia="zh-CN" w:bidi="ar-SA"/>
        </w:rPr>
        <w:t>zxcxmglyxgs@163.</w:t>
      </w:r>
      <w:r>
        <w:rPr>
          <w:rFonts w:hint="eastAsia" w:ascii="宋体" w:hAnsi="宋体" w:eastAsia="宋体" w:cs="宋体"/>
          <w:color w:val="auto"/>
          <w:kern w:val="0"/>
          <w:sz w:val="24"/>
          <w:szCs w:val="24"/>
          <w:highlight w:val="none"/>
          <w:shd w:val="clear" w:color="auto" w:fill="FFFFFF"/>
          <w:lang w:val="en-US" w:eastAsia="zh-CN" w:bidi="ar-SA"/>
        </w:rPr>
        <w:t>com</w:t>
      </w:r>
      <w:r>
        <w:rPr>
          <w:rFonts w:hint="eastAsia" w:ascii="宋体" w:hAnsi="宋体" w:eastAsia="宋体" w:cs="宋体"/>
          <w:color w:val="auto"/>
          <w:kern w:val="0"/>
          <w:sz w:val="24"/>
          <w:szCs w:val="24"/>
          <w:shd w:val="clear" w:color="auto" w:fill="FFFFFF"/>
          <w:lang w:val="en-US" w:eastAsia="zh-CN" w:bidi="ar-SA"/>
        </w:rPr>
        <w:t>并标明XX</w:t>
      </w:r>
      <w:r>
        <w:rPr>
          <w:rFonts w:hint="eastAsia" w:ascii="宋体" w:hAnsi="宋体" w:eastAsia="宋体" w:cs="宋体"/>
          <w:color w:val="auto"/>
          <w:kern w:val="0"/>
          <w:sz w:val="24"/>
          <w:szCs w:val="24"/>
          <w:shd w:val="clear" w:color="auto" w:fill="FFFFFF"/>
          <w:lang w:val="en-US" w:eastAsia="zh-CN" w:bidi="ar-SA"/>
        </w:rPr>
        <w:fldChar w:fldCharType="end"/>
      </w:r>
      <w:r>
        <w:rPr>
          <w:rFonts w:hint="eastAsia" w:ascii="宋体" w:hAnsi="宋体" w:cs="宋体"/>
          <w:color w:val="auto"/>
          <w:kern w:val="0"/>
          <w:sz w:val="24"/>
          <w:szCs w:val="24"/>
          <w:shd w:val="clear" w:color="auto" w:fill="FFFFFF"/>
          <w:lang w:val="en-US" w:eastAsia="zh-CN" w:bidi="ar-SA"/>
        </w:rPr>
        <w:t>公司</w:t>
      </w:r>
      <w:r>
        <w:rPr>
          <w:rFonts w:hint="eastAsia" w:ascii="宋体" w:hAnsi="宋体" w:eastAsia="宋体" w:cs="宋体"/>
          <w:color w:val="auto"/>
          <w:kern w:val="0"/>
          <w:sz w:val="24"/>
          <w:szCs w:val="24"/>
          <w:shd w:val="clear" w:color="auto" w:fill="FFFFFF"/>
          <w:lang w:val="en-US" w:eastAsia="zh-CN" w:bidi="ar-SA"/>
        </w:rPr>
        <w:t>XX项目报名资料。</w:t>
      </w:r>
    </w:p>
    <w:p>
      <w:pPr>
        <w:keepNext w:val="0"/>
        <w:keepLines w:val="0"/>
        <w:pageBreakBefore w:val="0"/>
        <w:widowControl/>
        <w:kinsoku/>
        <w:wordWrap w:val="0"/>
        <w:overflowPunct/>
        <w:topLinePunct w:val="0"/>
        <w:bidi w:val="0"/>
        <w:snapToGrid w:val="0"/>
        <w:spacing w:before="0" w:beforeAutospacing="0" w:after="0" w:afterAutospacing="0" w:line="440" w:lineRule="exact"/>
        <w:ind w:left="420" w:left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4.报名登记表：请从附件中下载。</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18" w:name="_Toc27480"/>
      <w:bookmarkStart w:id="19" w:name="_Toc10738"/>
      <w:bookmarkStart w:id="20" w:name="_Toc15111"/>
      <w:bookmarkStart w:id="21" w:name="_Toc25869"/>
      <w:bookmarkStart w:id="22" w:name="_Toc15135"/>
      <w:r>
        <w:rPr>
          <w:rFonts w:hint="eastAsia" w:ascii="宋体" w:hAnsi="宋体" w:eastAsia="宋体" w:cs="宋体"/>
          <w:b/>
          <w:bCs/>
          <w:color w:val="auto"/>
          <w:kern w:val="2"/>
          <w:sz w:val="24"/>
          <w:szCs w:val="24"/>
          <w:shd w:val="clear" w:color="auto" w:fill="FFFFFF"/>
          <w:lang w:val="en-US" w:eastAsia="zh-CN" w:bidi="ar-SA"/>
        </w:rPr>
        <w:t>四、投标截止时间及地点</w:t>
      </w:r>
      <w:bookmarkEnd w:id="18"/>
      <w:bookmarkEnd w:id="19"/>
      <w:bookmarkEnd w:id="20"/>
      <w:bookmarkEnd w:id="21"/>
      <w:bookmarkEnd w:id="22"/>
      <w:bookmarkStart w:id="91" w:name="_GoBack"/>
      <w:bookmarkEnd w:id="91"/>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shd w:val="clear" w:color="auto" w:fill="FFFFFF"/>
          <w:lang w:val="en-US" w:eastAsia="zh-CN" w:bidi="ar-SA"/>
        </w:rPr>
        <w:t>五、开标时间及地点</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shd w:val="clear" w:color="auto" w:fill="FFFFFF"/>
          <w:lang w:val="en-US" w:eastAsia="zh-CN" w:bidi="ar-SA"/>
        </w:rPr>
        <w:t>1.时间：</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shd w:val="clear" w:color="auto" w:fill="FFFFFF"/>
          <w:lang w:val="en-US" w:eastAsia="zh-CN" w:bidi="ar-SA"/>
        </w:rPr>
        <w:t>。</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2.地点：</w:t>
      </w:r>
      <w:r>
        <w:rPr>
          <w:rFonts w:hint="eastAsia" w:ascii="宋体" w:hAnsi="宋体" w:eastAsia="宋体" w:cs="宋体"/>
          <w:color w:val="auto"/>
          <w:sz w:val="24"/>
          <w:szCs w:val="24"/>
          <w:shd w:val="clear" w:color="auto" w:fill="auto"/>
          <w:lang w:val="en-US" w:eastAsia="zh-CN"/>
        </w:rPr>
        <w:t>另行通知</w:t>
      </w:r>
      <w:r>
        <w:rPr>
          <w:rFonts w:hint="eastAsia" w:ascii="宋体" w:hAnsi="宋体" w:eastAsia="宋体" w:cs="宋体"/>
          <w:color w:val="auto"/>
          <w:kern w:val="0"/>
          <w:sz w:val="24"/>
          <w:szCs w:val="24"/>
          <w:u w:val="none"/>
          <w:shd w:val="clear" w:color="auto" w:fill="FFFFFF"/>
          <w:lang w:val="en-US" w:eastAsia="zh-CN" w:bidi="ar-SA"/>
        </w:rPr>
        <w:t>。</w:t>
      </w:r>
    </w:p>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lang w:val="en-US" w:eastAsia="zh-CN" w:bidi="ar-SA"/>
        </w:rPr>
      </w:pPr>
      <w:bookmarkStart w:id="23" w:name="_Toc30918"/>
      <w:bookmarkStart w:id="24" w:name="_Toc20287"/>
      <w:bookmarkStart w:id="25" w:name="_Toc6523"/>
      <w:bookmarkStart w:id="26" w:name="_Toc29784"/>
      <w:r>
        <w:rPr>
          <w:rFonts w:hint="eastAsia" w:ascii="宋体" w:hAnsi="宋体" w:eastAsia="宋体" w:cs="宋体"/>
          <w:b/>
          <w:bCs/>
          <w:color w:val="auto"/>
          <w:kern w:val="2"/>
          <w:sz w:val="24"/>
          <w:szCs w:val="24"/>
          <w:shd w:val="clear" w:color="auto" w:fill="FFFFFF"/>
          <w:lang w:val="en-US" w:eastAsia="zh-CN" w:bidi="ar-SA"/>
        </w:rPr>
        <w:t>六、发布公告的媒介及</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b/>
          <w:bCs/>
          <w:color w:val="auto"/>
          <w:kern w:val="2"/>
          <w:sz w:val="24"/>
          <w:szCs w:val="24"/>
          <w:shd w:val="clear" w:color="auto" w:fill="FFFFFF"/>
          <w:lang w:val="en-US" w:eastAsia="zh-CN" w:bidi="ar-SA"/>
        </w:rPr>
        <w:t>公告期限</w:t>
      </w:r>
      <w:bookmarkEnd w:id="23"/>
      <w:bookmarkEnd w:id="24"/>
      <w:bookmarkEnd w:id="25"/>
      <w:bookmarkEnd w:id="26"/>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本次</w:t>
      </w:r>
      <w:r>
        <w:rPr>
          <w:rFonts w:hint="eastAsia" w:ascii="宋体" w:hAnsi="宋体" w:eastAsia="宋体" w:cs="宋体"/>
          <w:color w:val="auto"/>
          <w:sz w:val="24"/>
          <w:szCs w:val="24"/>
          <w:shd w:val="clear" w:color="auto" w:fill="auto"/>
          <w:lang w:val="en-US" w:eastAsia="zh-CN"/>
        </w:rPr>
        <w:t>采购</w:t>
      </w:r>
      <w:r>
        <w:rPr>
          <w:rFonts w:hint="eastAsia" w:ascii="宋体" w:hAnsi="宋体" w:eastAsia="宋体" w:cs="宋体"/>
          <w:color w:val="auto"/>
          <w:kern w:val="0"/>
          <w:sz w:val="24"/>
          <w:szCs w:val="24"/>
          <w:shd w:val="clear" w:color="auto" w:fill="FFFFFF"/>
          <w:lang w:val="en-US" w:eastAsia="zh-CN" w:bidi="ar-SA"/>
        </w:rPr>
        <w:t>公告在《驻马店市中心医院》</w:t>
      </w:r>
      <w:r>
        <w:rPr>
          <w:rFonts w:hint="eastAsia" w:ascii="宋体" w:hAnsi="宋体" w:cs="宋体"/>
          <w:color w:val="auto"/>
          <w:kern w:val="0"/>
          <w:sz w:val="24"/>
          <w:szCs w:val="24"/>
          <w:shd w:val="clear" w:color="auto" w:fill="FFFFFF"/>
          <w:lang w:val="en-US" w:eastAsia="zh-CN" w:bidi="ar-SA"/>
        </w:rPr>
        <w:t>院内</w:t>
      </w:r>
      <w:r>
        <w:rPr>
          <w:rFonts w:hint="eastAsia" w:ascii="宋体" w:hAnsi="宋体" w:eastAsia="宋体" w:cs="宋体"/>
          <w:color w:val="auto"/>
          <w:kern w:val="0"/>
          <w:sz w:val="24"/>
          <w:szCs w:val="24"/>
          <w:shd w:val="clear" w:color="auto" w:fill="FFFFFF"/>
          <w:lang w:val="en-US" w:eastAsia="zh-CN" w:bidi="ar-SA"/>
        </w:rPr>
        <w:t>网</w:t>
      </w:r>
      <w:r>
        <w:rPr>
          <w:rFonts w:hint="eastAsia" w:ascii="宋体" w:hAnsi="宋体" w:eastAsia="宋体" w:cs="宋体"/>
          <w:color w:val="auto"/>
          <w:sz w:val="24"/>
          <w:szCs w:val="24"/>
          <w:shd w:val="clear" w:color="auto" w:fill="auto"/>
        </w:rPr>
        <w:t>上发布</w:t>
      </w:r>
      <w:r>
        <w:rPr>
          <w:rFonts w:hint="eastAsia" w:ascii="宋体" w:hAnsi="宋体" w:cs="宋体"/>
          <w:color w:val="auto"/>
          <w:sz w:val="24"/>
          <w:szCs w:val="24"/>
          <w:highlight w:val="none"/>
          <w:shd w:val="clear" w:color="auto" w:fill="auto"/>
          <w:lang w:eastAsia="zh-CN"/>
        </w:rPr>
        <w:t>，</w:t>
      </w:r>
      <w:r>
        <w:rPr>
          <w:rFonts w:hint="eastAsia" w:ascii="宋体" w:hAnsi="宋体" w:eastAsia="宋体" w:cs="宋体"/>
          <w:color w:val="auto"/>
          <w:sz w:val="24"/>
          <w:szCs w:val="24"/>
          <w:shd w:val="clear" w:color="auto" w:fill="auto"/>
          <w:lang w:val="en-US" w:eastAsia="zh-CN"/>
        </w:rPr>
        <w:t>采购</w:t>
      </w:r>
      <w:r>
        <w:rPr>
          <w:rFonts w:hint="eastAsia" w:ascii="宋体" w:hAnsi="宋体" w:cs="宋体"/>
          <w:color w:val="auto"/>
          <w:sz w:val="24"/>
          <w:szCs w:val="24"/>
          <w:highlight w:val="none"/>
          <w:shd w:val="clear" w:color="auto" w:fill="auto"/>
          <w:lang w:eastAsia="zh-CN"/>
        </w:rPr>
        <w:t>公告期限为</w:t>
      </w:r>
      <w:r>
        <w:rPr>
          <w:rFonts w:hint="eastAsia" w:ascii="宋体" w:hAnsi="宋体" w:cs="宋体"/>
          <w:color w:val="auto"/>
          <w:sz w:val="24"/>
          <w:szCs w:val="24"/>
          <w:highlight w:val="none"/>
          <w:shd w:val="clear" w:color="auto" w:fill="auto"/>
          <w:lang w:val="en-US" w:eastAsia="zh-CN"/>
        </w:rPr>
        <w:t>三</w:t>
      </w:r>
      <w:r>
        <w:rPr>
          <w:rFonts w:hint="eastAsia" w:ascii="宋体" w:hAnsi="宋体" w:cs="宋体"/>
          <w:color w:val="auto"/>
          <w:sz w:val="24"/>
          <w:szCs w:val="24"/>
          <w:highlight w:val="none"/>
          <w:shd w:val="clear" w:color="auto" w:fill="auto"/>
          <w:lang w:eastAsia="zh-CN"/>
        </w:rPr>
        <w:t>个工作日</w:t>
      </w:r>
      <w:r>
        <w:rPr>
          <w:rFonts w:hint="eastAsia" w:ascii="宋体" w:hAnsi="宋体" w:eastAsia="宋体" w:cs="宋体"/>
          <w:color w:val="auto"/>
          <w:kern w:val="0"/>
          <w:sz w:val="24"/>
          <w:szCs w:val="24"/>
          <w:highlight w:val="none"/>
          <w:shd w:val="clear" w:color="auto" w:fill="FFFFFF"/>
          <w:lang w:val="en-US" w:eastAsia="zh-CN" w:bidi="ar-SA"/>
        </w:rPr>
        <w:t>。</w:t>
      </w:r>
      <w:bookmarkStart w:id="27" w:name="_Toc35393795"/>
      <w:bookmarkStart w:id="28" w:name="_Toc35393626"/>
    </w:p>
    <w:bookmarkEnd w:id="27"/>
    <w:bookmarkEnd w:id="28"/>
    <w:p>
      <w:pPr>
        <w:keepNext w:val="0"/>
        <w:keepLines w:val="0"/>
        <w:pageBreakBefore w:val="0"/>
        <w:widowControl/>
        <w:kinsoku/>
        <w:overflowPunct/>
        <w:topLinePunct w:val="0"/>
        <w:bidi w:val="0"/>
        <w:snapToGrid w:val="0"/>
        <w:spacing w:before="0" w:after="0" w:line="440" w:lineRule="exact"/>
        <w:jc w:val="left"/>
        <w:textAlignment w:val="auto"/>
        <w:outlineLvl w:val="1"/>
        <w:rPr>
          <w:rFonts w:ascii="宋体" w:hAnsi="宋体" w:eastAsia="宋体" w:cs="宋体"/>
          <w:b/>
          <w:bCs/>
          <w:color w:val="auto"/>
          <w:kern w:val="2"/>
          <w:sz w:val="24"/>
          <w:szCs w:val="24"/>
          <w:highlight w:val="none"/>
          <w:lang w:val="en-US" w:eastAsia="zh-CN" w:bidi="ar-SA"/>
        </w:rPr>
      </w:pPr>
      <w:bookmarkStart w:id="29" w:name="_Toc24274"/>
      <w:bookmarkStart w:id="30" w:name="_Toc27370"/>
      <w:bookmarkStart w:id="31" w:name="_Toc3604"/>
      <w:bookmarkStart w:id="32" w:name="_Toc16291"/>
      <w:bookmarkStart w:id="33" w:name="_Toc31928"/>
      <w:r>
        <w:rPr>
          <w:rFonts w:hint="eastAsia" w:ascii="宋体" w:hAnsi="宋体" w:cs="宋体"/>
          <w:b/>
          <w:bCs/>
          <w:color w:val="auto"/>
          <w:kern w:val="2"/>
          <w:sz w:val="24"/>
          <w:szCs w:val="24"/>
          <w:shd w:val="clear" w:color="auto" w:fill="FFFFFF"/>
          <w:lang w:val="en-US" w:eastAsia="zh-CN" w:bidi="ar-SA"/>
        </w:rPr>
        <w:t>七</w:t>
      </w:r>
      <w:r>
        <w:rPr>
          <w:rFonts w:hint="eastAsia" w:ascii="宋体" w:hAnsi="宋体" w:eastAsia="宋体" w:cs="宋体"/>
          <w:b/>
          <w:bCs/>
          <w:color w:val="auto"/>
          <w:kern w:val="2"/>
          <w:sz w:val="24"/>
          <w:szCs w:val="24"/>
          <w:shd w:val="clear" w:color="auto" w:fill="FFFFFF"/>
          <w:lang w:val="en-US" w:eastAsia="zh-CN" w:bidi="ar-SA"/>
        </w:rPr>
        <w:t>、</w:t>
      </w:r>
      <w:bookmarkEnd w:id="29"/>
      <w:bookmarkEnd w:id="30"/>
      <w:bookmarkEnd w:id="31"/>
      <w:bookmarkEnd w:id="32"/>
      <w:bookmarkEnd w:id="33"/>
      <w:r>
        <w:rPr>
          <w:rFonts w:hint="eastAsia" w:ascii="宋体" w:hAnsi="宋体" w:eastAsia="宋体" w:cs="宋体"/>
          <w:b/>
          <w:bCs/>
          <w:color w:val="auto"/>
          <w:kern w:val="2"/>
          <w:sz w:val="24"/>
          <w:szCs w:val="24"/>
          <w:highlight w:val="none"/>
          <w:shd w:val="clear" w:color="auto" w:fill="FFFFFF"/>
          <w:lang w:val="en-US" w:eastAsia="zh-CN" w:bidi="ar-SA"/>
        </w:rPr>
        <w:t>凡对本次招标提出询问，请按照以下方式联系</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bookmarkStart w:id="34" w:name="_Toc25063"/>
      <w:bookmarkStart w:id="35" w:name="_Toc23793"/>
      <w:bookmarkStart w:id="36" w:name="_Toc29890"/>
      <w:r>
        <w:rPr>
          <w:rFonts w:hint="default" w:ascii="宋体" w:hAnsi="宋体" w:eastAsia="宋体" w:cs="宋体"/>
          <w:color w:val="auto"/>
          <w:kern w:val="0"/>
          <w:sz w:val="24"/>
          <w:szCs w:val="24"/>
          <w:shd w:val="clear" w:color="auto" w:fill="FFFFFF"/>
          <w:lang w:val="en-US" w:eastAsia="zh-CN" w:bidi="ar-SA"/>
        </w:rPr>
        <w:t>报名联系人：李女士</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shd w:val="clear" w:color="auto" w:fill="FFFFFF"/>
          <w:lang w:val="en-US" w:eastAsia="zh-CN" w:bidi="ar-SA"/>
        </w:rPr>
      </w:pPr>
      <w:r>
        <w:rPr>
          <w:rFonts w:hint="default" w:ascii="宋体" w:hAnsi="宋体" w:eastAsia="宋体" w:cs="宋体"/>
          <w:color w:val="auto"/>
          <w:kern w:val="0"/>
          <w:sz w:val="24"/>
          <w:szCs w:val="24"/>
          <w:shd w:val="clear" w:color="auto" w:fill="FFFFFF"/>
          <w:lang w:val="en-US" w:eastAsia="zh-CN" w:bidi="ar-SA"/>
        </w:rPr>
        <w:t>联系电话：</w:t>
      </w:r>
      <w:r>
        <w:rPr>
          <w:rFonts w:hint="eastAsia" w:ascii="宋体" w:hAnsi="宋体" w:eastAsia="宋体" w:cs="宋体"/>
          <w:color w:val="auto"/>
          <w:kern w:val="0"/>
          <w:sz w:val="24"/>
          <w:szCs w:val="24"/>
          <w:shd w:val="clear" w:color="auto" w:fill="FFFFFF"/>
          <w:lang w:val="en-US" w:eastAsia="zh-CN" w:bidi="ar-SA"/>
        </w:rPr>
        <w:t>18137647844  0396-3676106</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联系人：陈先生</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联系电话：0396-2726379</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联系邮箱：</w:t>
      </w:r>
      <w:r>
        <w:rPr>
          <w:rFonts w:hint="eastAsia" w:ascii="宋体" w:hAnsi="宋体" w:eastAsia="宋体" w:cs="宋体"/>
          <w:color w:val="auto"/>
          <w:kern w:val="0"/>
          <w:sz w:val="24"/>
          <w:szCs w:val="24"/>
          <w:shd w:val="clear" w:color="auto" w:fill="FFFFFF"/>
          <w:lang w:val="en-US" w:eastAsia="zh-CN" w:bidi="ar-SA"/>
        </w:rPr>
        <w:fldChar w:fldCharType="begin"/>
      </w:r>
      <w:r>
        <w:rPr>
          <w:rFonts w:hint="eastAsia" w:ascii="宋体" w:hAnsi="宋体" w:eastAsia="宋体" w:cs="宋体"/>
          <w:color w:val="auto"/>
          <w:kern w:val="0"/>
          <w:sz w:val="24"/>
          <w:szCs w:val="24"/>
          <w:shd w:val="clear" w:color="auto" w:fill="FFFFFF"/>
          <w:lang w:val="en-US" w:eastAsia="zh-CN" w:bidi="ar-SA"/>
        </w:rPr>
        <w:instrText xml:space="preserve"> HYPERLINK "mailto:zxyyjzcgbgs@163.com" </w:instrText>
      </w:r>
      <w:r>
        <w:rPr>
          <w:rFonts w:hint="eastAsia" w:ascii="宋体" w:hAnsi="宋体" w:eastAsia="宋体" w:cs="宋体"/>
          <w:color w:val="auto"/>
          <w:kern w:val="0"/>
          <w:sz w:val="24"/>
          <w:szCs w:val="24"/>
          <w:shd w:val="clear" w:color="auto" w:fill="FFFFFF"/>
          <w:lang w:val="en-US" w:eastAsia="zh-CN" w:bidi="ar-SA"/>
        </w:rPr>
        <w:fldChar w:fldCharType="separate"/>
      </w:r>
      <w:r>
        <w:rPr>
          <w:rFonts w:hint="eastAsia" w:ascii="宋体" w:hAnsi="宋体" w:eastAsia="宋体" w:cs="宋体"/>
          <w:color w:val="auto"/>
          <w:kern w:val="0"/>
          <w:sz w:val="24"/>
          <w:szCs w:val="24"/>
          <w:shd w:val="clear" w:color="auto" w:fill="FFFFFF"/>
          <w:lang w:val="en-US" w:eastAsia="zh-CN" w:bidi="ar-SA"/>
        </w:rPr>
        <w:t>zxyyjzcgbgs@163.com</w:t>
      </w:r>
      <w:r>
        <w:rPr>
          <w:rFonts w:hint="eastAsia" w:ascii="宋体" w:hAnsi="宋体" w:eastAsia="宋体" w:cs="宋体"/>
          <w:color w:val="auto"/>
          <w:kern w:val="0"/>
          <w:sz w:val="24"/>
          <w:szCs w:val="24"/>
          <w:shd w:val="clear" w:color="auto" w:fill="FFFFFF"/>
          <w:lang w:val="en-US" w:eastAsia="zh-CN" w:bidi="ar-SA"/>
        </w:rPr>
        <w:fldChar w:fldCharType="end"/>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eastAsia" w:ascii="宋体" w:hAnsi="宋体" w:eastAsia="宋体" w:cs="宋体"/>
          <w:color w:val="auto"/>
          <w:kern w:val="0"/>
          <w:sz w:val="24"/>
          <w:szCs w:val="24"/>
          <w:shd w:val="clear" w:color="auto" w:fill="FFFFFF"/>
          <w:lang w:val="en-US" w:eastAsia="zh-CN" w:bidi="ar-SA"/>
        </w:rPr>
      </w:pPr>
      <w:r>
        <w:rPr>
          <w:rFonts w:hint="eastAsia" w:ascii="宋体" w:hAnsi="宋体" w:eastAsia="宋体" w:cs="宋体"/>
          <w:color w:val="auto"/>
          <w:kern w:val="0"/>
          <w:sz w:val="24"/>
          <w:szCs w:val="24"/>
          <w:shd w:val="clear" w:color="auto" w:fill="FFFFFF"/>
          <w:lang w:val="en-US" w:eastAsia="zh-CN" w:bidi="ar-SA"/>
        </w:rPr>
        <w:t>监督部门：驻马店市中心医院纪检监察室</w:t>
      </w:r>
    </w:p>
    <w:p>
      <w:pPr>
        <w:keepNext w:val="0"/>
        <w:keepLines w:val="0"/>
        <w:pageBreakBefore w:val="0"/>
        <w:widowControl/>
        <w:kinsoku/>
        <w:overflowPunct/>
        <w:topLinePunct w:val="0"/>
        <w:bidi w:val="0"/>
        <w:snapToGrid w:val="0"/>
        <w:spacing w:before="0" w:beforeAutospacing="0" w:after="0" w:afterAutospacing="0" w:line="440" w:lineRule="exact"/>
        <w:ind w:firstLine="480" w:firstLineChars="200"/>
        <w:jc w:val="left"/>
        <w:textAlignment w:val="auto"/>
        <w:rPr>
          <w:rFonts w:hint="default" w:ascii="宋体" w:hAnsi="宋体" w:eastAsia="宋体" w:cs="宋体"/>
          <w:color w:val="auto"/>
          <w:kern w:val="0"/>
          <w:sz w:val="24"/>
          <w:szCs w:val="24"/>
          <w:highlight w:val="none"/>
          <w:shd w:val="clear" w:color="auto" w:fill="FFFFFF"/>
          <w:lang w:val="en-US" w:eastAsia="zh-CN" w:bidi="ar-SA"/>
        </w:rPr>
      </w:pPr>
      <w:r>
        <w:rPr>
          <w:rFonts w:hint="eastAsia" w:ascii="宋体" w:hAnsi="宋体" w:eastAsia="宋体" w:cs="宋体"/>
          <w:color w:val="auto"/>
          <w:kern w:val="0"/>
          <w:sz w:val="24"/>
          <w:szCs w:val="24"/>
          <w:highlight w:val="none"/>
          <w:shd w:val="clear" w:color="auto" w:fill="FFFFFF"/>
          <w:lang w:val="en-US" w:eastAsia="zh-CN" w:bidi="ar-SA"/>
        </w:rPr>
        <w:t>监督电话：0396-272</w:t>
      </w:r>
      <w:r>
        <w:rPr>
          <w:rFonts w:hint="eastAsia" w:ascii="宋体" w:hAnsi="宋体" w:cs="宋体"/>
          <w:color w:val="auto"/>
          <w:kern w:val="0"/>
          <w:sz w:val="24"/>
          <w:szCs w:val="24"/>
          <w:highlight w:val="none"/>
          <w:shd w:val="clear" w:color="auto" w:fill="FFFFFF"/>
          <w:lang w:val="en-US" w:eastAsia="zh-CN" w:bidi="ar-SA"/>
        </w:rPr>
        <w:t>6678</w:t>
      </w:r>
    </w:p>
    <w:p>
      <w:pPr>
        <w:widowControl/>
        <w:snapToGrid w:val="0"/>
        <w:spacing w:before="0" w:beforeAutospacing="0" w:after="0" w:afterAutospacing="0" w:line="360" w:lineRule="auto"/>
        <w:ind w:firstLine="480" w:firstLineChars="200"/>
        <w:jc w:val="right"/>
        <w:rPr>
          <w:rFonts w:hint="eastAsia"/>
        </w:rPr>
      </w:pPr>
      <w:r>
        <w:rPr>
          <w:rFonts w:hint="eastAsia" w:ascii="宋体" w:hAnsi="宋体" w:eastAsia="宋体" w:cs="宋体"/>
          <w:kern w:val="0"/>
          <w:sz w:val="24"/>
          <w:szCs w:val="24"/>
          <w:shd w:val="clear" w:color="auto" w:fill="FFFFFF"/>
          <w:lang w:val="en-US" w:eastAsia="zh-CN" w:bidi="ar-SA"/>
        </w:rPr>
        <w:t>驻马店市中心医院采购科</w:t>
      </w:r>
      <w:r>
        <w:rPr>
          <w:rFonts w:hint="eastAsia" w:ascii="宋体" w:hAnsi="宋体" w:cs="宋体"/>
          <w:kern w:val="0"/>
          <w:sz w:val="24"/>
          <w:szCs w:val="24"/>
          <w:shd w:val="clear" w:color="auto" w:fill="FFFFFF"/>
          <w:lang w:val="en-US" w:eastAsia="zh-CN" w:bidi="ar-SA"/>
        </w:rPr>
        <w:t xml:space="preserve">                                                         </w:t>
      </w:r>
      <w:r>
        <w:rPr>
          <w:rFonts w:hint="eastAsia" w:ascii="宋体" w:hAnsi="宋体" w:cs="宋体"/>
          <w:color w:val="FF0000"/>
          <w:kern w:val="0"/>
          <w:sz w:val="24"/>
          <w:szCs w:val="24"/>
          <w:shd w:val="clear" w:color="auto" w:fill="FFFFFF"/>
          <w:lang w:val="en-US" w:eastAsia="zh-CN" w:bidi="ar-SA"/>
        </w:rPr>
        <w:t xml:space="preserve">   </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202</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4</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年</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1</w:t>
      </w:r>
      <w:r>
        <w:rPr>
          <w:rFonts w:hint="eastAsia" w:ascii="宋体" w:hAnsi="宋体" w:eastAsia="宋体" w:cs="宋体"/>
          <w:color w:val="000000" w:themeColor="text1"/>
          <w:kern w:val="0"/>
          <w:sz w:val="24"/>
          <w:szCs w:val="24"/>
          <w:shd w:val="clear" w:color="auto" w:fill="FFFFFF"/>
          <w:lang w:val="en-US" w:eastAsia="zh-CN" w:bidi="ar-SA"/>
          <w14:textFill>
            <w14:solidFill>
              <w14:schemeClr w14:val="tx1"/>
            </w14:solidFill>
          </w14:textFill>
        </w:rPr>
        <w:t>月</w:t>
      </w:r>
      <w:r>
        <w:rPr>
          <w:rFonts w:hint="eastAsia" w:ascii="宋体" w:hAnsi="宋体" w:cs="宋体"/>
          <w:color w:val="000000" w:themeColor="text1"/>
          <w:kern w:val="0"/>
          <w:sz w:val="24"/>
          <w:szCs w:val="24"/>
          <w:shd w:val="clear" w:color="auto" w:fill="FFFFFF"/>
          <w:lang w:val="en-US" w:eastAsia="zh-CN" w:bidi="ar-SA"/>
          <w14:textFill>
            <w14:solidFill>
              <w14:schemeClr w14:val="tx1"/>
            </w14:solidFill>
          </w14:textFill>
        </w:rPr>
        <w:t>5</w:t>
      </w:r>
      <w:r>
        <w:rPr>
          <w:rFonts w:hint="eastAsia" w:ascii="宋体" w:hAnsi="宋体" w:eastAsia="宋体" w:cs="宋体"/>
          <w:color w:val="000000" w:themeColor="text1"/>
          <w:kern w:val="0"/>
          <w:sz w:val="24"/>
          <w:szCs w:val="24"/>
          <w:highlight w:val="none"/>
          <w:shd w:val="clear" w:color="auto" w:fill="FFFFFF"/>
          <w:lang w:val="en-US" w:eastAsia="zh-CN" w:bidi="ar-SA"/>
          <w14:textFill>
            <w14:solidFill>
              <w14:schemeClr w14:val="tx1"/>
            </w14:solidFill>
          </w14:textFill>
        </w:rPr>
        <w:t>日</w:t>
      </w:r>
    </w:p>
    <w:p>
      <w:pPr>
        <w:rPr>
          <w:rFonts w:hint="eastAsia" w:ascii="宋体" w:hAnsi="宋体"/>
          <w:b/>
          <w:color w:val="auto"/>
          <w:sz w:val="32"/>
          <w:szCs w:val="32"/>
          <w:highlight w:val="none"/>
        </w:rPr>
      </w:pPr>
      <w:r>
        <w:rPr>
          <w:rFonts w:hint="eastAsia" w:ascii="宋体" w:hAnsi="宋体"/>
          <w:b/>
          <w:color w:val="auto"/>
          <w:sz w:val="32"/>
          <w:szCs w:val="32"/>
          <w:highlight w:val="none"/>
        </w:rPr>
        <w:br w:type="page"/>
      </w:r>
    </w:p>
    <w:p>
      <w:pPr>
        <w:jc w:val="center"/>
        <w:rPr>
          <w:rFonts w:ascii="宋体" w:hAnsi="宋体"/>
          <w:b/>
          <w:color w:val="auto"/>
          <w:sz w:val="32"/>
          <w:szCs w:val="32"/>
          <w:highlight w:val="none"/>
        </w:rPr>
      </w:pPr>
      <w:r>
        <w:rPr>
          <w:rFonts w:hint="eastAsia" w:ascii="宋体" w:hAnsi="宋体"/>
          <w:b/>
          <w:color w:val="auto"/>
          <w:sz w:val="32"/>
          <w:szCs w:val="32"/>
          <w:highlight w:val="none"/>
        </w:rPr>
        <w:t xml:space="preserve">第二章  </w:t>
      </w:r>
      <w:r>
        <w:rPr>
          <w:rFonts w:hint="eastAsia" w:ascii="宋体" w:hAnsi="宋体"/>
          <w:b/>
          <w:color w:val="auto"/>
          <w:sz w:val="32"/>
          <w:szCs w:val="32"/>
          <w:highlight w:val="none"/>
          <w:lang w:eastAsia="zh-CN"/>
        </w:rPr>
        <w:t>采购</w:t>
      </w:r>
      <w:r>
        <w:rPr>
          <w:rFonts w:hint="eastAsia" w:ascii="宋体" w:hAnsi="宋体"/>
          <w:b/>
          <w:color w:val="auto"/>
          <w:sz w:val="32"/>
          <w:szCs w:val="32"/>
          <w:highlight w:val="none"/>
        </w:rPr>
        <w:t>需求</w:t>
      </w:r>
      <w:bookmarkEnd w:id="34"/>
      <w:bookmarkStart w:id="37" w:name="_Toc9989"/>
      <w:bookmarkStart w:id="38" w:name="_Toc23610"/>
      <w:bookmarkStart w:id="39" w:name="_Toc31536"/>
    </w:p>
    <w:bookmarkEnd w:id="37"/>
    <w:bookmarkEnd w:id="38"/>
    <w:bookmarkEnd w:id="39"/>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cs="宋体"/>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一、项目名称、数量：</w:t>
      </w:r>
      <w:r>
        <w:rPr>
          <w:rFonts w:hint="eastAsia" w:ascii="宋体" w:hAnsi="宋体" w:cs="宋体"/>
          <w:color w:val="auto"/>
          <w:kern w:val="0"/>
          <w:sz w:val="21"/>
          <w:szCs w:val="21"/>
          <w:shd w:val="clear" w:color="auto" w:fill="FFFFFF"/>
          <w:lang w:val="en-US" w:eastAsia="zh-CN" w:bidi="ar-SA"/>
        </w:rPr>
        <w:t>驻马店市中心医院监护除颤类、血压计类、理疗类、医用灯泡类常用配件采购项目。</w:t>
      </w:r>
    </w:p>
    <w:p>
      <w:pPr>
        <w:pageBreakBefore w:val="0"/>
        <w:widowControl/>
        <w:kinsoku/>
        <w:wordWrap/>
        <w:overflowPunct/>
        <w:topLinePunct w:val="0"/>
        <w:bidi w:val="0"/>
        <w:snapToGrid w:val="0"/>
        <w:spacing w:before="0" w:beforeAutospacing="0" w:after="0" w:afterAutospacing="0" w:line="500" w:lineRule="exact"/>
        <w:ind w:left="0" w:leftChars="0" w:firstLine="0" w:firstLineChars="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eastAsia="宋体" w:cs="宋体"/>
          <w:b/>
          <w:bCs/>
          <w:color w:val="auto"/>
          <w:kern w:val="0"/>
          <w:sz w:val="21"/>
          <w:szCs w:val="21"/>
          <w:shd w:val="clear" w:color="auto" w:fill="FFFFFF"/>
          <w:lang w:val="en-US" w:eastAsia="zh-CN" w:bidi="ar-SA"/>
        </w:rPr>
        <w:t>二、项目用途说明：</w:t>
      </w:r>
      <w:r>
        <w:rPr>
          <w:rFonts w:hint="eastAsia" w:ascii="宋体" w:hAnsi="宋体" w:cs="宋体"/>
          <w:color w:val="auto"/>
          <w:kern w:val="0"/>
          <w:sz w:val="21"/>
          <w:szCs w:val="21"/>
          <w:shd w:val="clear" w:color="auto" w:fill="FFFFFF"/>
          <w:lang w:val="en-US" w:eastAsia="zh-CN" w:bidi="ar-SA"/>
        </w:rPr>
        <w:t>理疗类、监护类设备常用配件</w:t>
      </w:r>
      <w:r>
        <w:rPr>
          <w:rFonts w:hint="eastAsia" w:ascii="宋体" w:hAnsi="宋体" w:cs="宋体"/>
          <w:b/>
          <w:bCs/>
          <w:color w:val="auto"/>
          <w:kern w:val="0"/>
          <w:sz w:val="21"/>
          <w:szCs w:val="21"/>
          <w:shd w:val="clear" w:color="auto" w:fill="FFFFFF"/>
          <w:lang w:val="en-US" w:eastAsia="zh-CN" w:bidi="ar-SA"/>
        </w:rPr>
        <w:t>招标2家供应商，</w:t>
      </w:r>
      <w:r>
        <w:rPr>
          <w:rFonts w:hint="eastAsia" w:ascii="宋体" w:hAnsi="宋体" w:cs="宋体"/>
          <w:color w:val="auto"/>
          <w:kern w:val="0"/>
          <w:sz w:val="21"/>
          <w:szCs w:val="21"/>
          <w:shd w:val="clear" w:color="auto" w:fill="FFFFFF"/>
          <w:lang w:val="en-US" w:eastAsia="zh-CN" w:bidi="ar-SA"/>
        </w:rPr>
        <w:t xml:space="preserve">供货期一年，根据全年实际用量据实结算，年费用约 24万元。  </w:t>
      </w:r>
      <w:r>
        <w:rPr>
          <w:rFonts w:hint="eastAsia" w:ascii="宋体" w:hAnsi="宋体" w:eastAsia="宋体" w:cs="宋体"/>
          <w:b/>
          <w:bCs/>
          <w:color w:val="auto"/>
          <w:kern w:val="0"/>
          <w:sz w:val="21"/>
          <w:szCs w:val="21"/>
          <w:shd w:val="clear" w:color="auto" w:fill="FFFFFF"/>
          <w:lang w:val="en-US" w:eastAsia="zh-CN" w:bidi="ar-SA"/>
        </w:rPr>
        <w:t xml:space="preserve">                   </w:t>
      </w:r>
    </w:p>
    <w:p>
      <w:pPr>
        <w:pageBreakBefore w:val="0"/>
        <w:widowControl/>
        <w:kinsoku/>
        <w:wordWrap/>
        <w:overflowPunct/>
        <w:topLinePunct w:val="0"/>
        <w:bidi w:val="0"/>
        <w:snapToGrid w:val="0"/>
        <w:spacing w:before="0" w:beforeAutospacing="0" w:after="0" w:afterAutospacing="0" w:line="500" w:lineRule="exact"/>
        <w:ind w:left="420" w:hanging="422" w:hangingChars="200"/>
        <w:jc w:val="left"/>
        <w:textAlignment w:val="auto"/>
        <w:rPr>
          <w:rFonts w:hint="eastAsia" w:ascii="宋体" w:hAnsi="宋体" w:eastAsia="宋体" w:cs="宋体"/>
          <w:b/>
          <w:bCs/>
          <w:color w:val="auto"/>
          <w:kern w:val="0"/>
          <w:sz w:val="21"/>
          <w:szCs w:val="21"/>
          <w:shd w:val="clear" w:color="auto" w:fill="FFFFFF"/>
          <w:lang w:val="en-US" w:eastAsia="zh-CN" w:bidi="ar-SA"/>
        </w:rPr>
      </w:pPr>
      <w:r>
        <w:rPr>
          <w:rFonts w:hint="eastAsia" w:ascii="宋体" w:hAnsi="宋体" w:cs="宋体"/>
          <w:b/>
          <w:bCs/>
          <w:color w:val="auto"/>
          <w:kern w:val="0"/>
          <w:sz w:val="21"/>
          <w:szCs w:val="21"/>
          <w:shd w:val="clear" w:color="auto" w:fill="FFFFFF"/>
          <w:lang w:val="en-US" w:eastAsia="zh-CN" w:bidi="ar-SA"/>
        </w:rPr>
        <w:t>三</w:t>
      </w:r>
      <w:r>
        <w:rPr>
          <w:rFonts w:hint="eastAsia" w:ascii="宋体" w:hAnsi="宋体" w:eastAsia="宋体" w:cs="宋体"/>
          <w:b/>
          <w:bCs/>
          <w:color w:val="auto"/>
          <w:kern w:val="0"/>
          <w:sz w:val="21"/>
          <w:szCs w:val="21"/>
          <w:shd w:val="clear" w:color="auto" w:fill="FFFFFF"/>
          <w:lang w:val="en-US" w:eastAsia="zh-CN" w:bidi="ar-SA"/>
        </w:rPr>
        <w:t>、采购标的清单：</w:t>
      </w:r>
    </w:p>
    <w:tbl>
      <w:tblPr>
        <w:tblStyle w:val="34"/>
        <w:tblpPr w:leftFromText="180" w:rightFromText="180" w:vertAnchor="text" w:horzAnchor="page" w:tblpXSpec="center" w:tblpY="43"/>
        <w:tblOverlap w:val="never"/>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4"/>
        <w:gridCol w:w="777"/>
        <w:gridCol w:w="1755"/>
        <w:gridCol w:w="827"/>
        <w:gridCol w:w="752"/>
        <w:gridCol w:w="1831"/>
        <w:gridCol w:w="1281"/>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684"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包号</w:t>
            </w:r>
          </w:p>
        </w:tc>
        <w:tc>
          <w:tcPr>
            <w:tcW w:w="77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rPr>
              <w:t>序号</w:t>
            </w:r>
          </w:p>
        </w:tc>
        <w:tc>
          <w:tcPr>
            <w:tcW w:w="1755"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标的名称</w:t>
            </w:r>
          </w:p>
        </w:tc>
        <w:tc>
          <w:tcPr>
            <w:tcW w:w="827"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单位</w:t>
            </w:r>
          </w:p>
        </w:tc>
        <w:tc>
          <w:tcPr>
            <w:tcW w:w="752"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数量</w:t>
            </w:r>
          </w:p>
        </w:tc>
        <w:tc>
          <w:tcPr>
            <w:tcW w:w="183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rPr>
              <w:t>预算</w:t>
            </w:r>
            <w:r>
              <w:rPr>
                <w:rFonts w:hint="eastAsia" w:ascii="宋体" w:hAnsi="宋体" w:eastAsia="宋体" w:cs="宋体"/>
                <w:b w:val="0"/>
                <w:bCs w:val="0"/>
                <w:sz w:val="21"/>
                <w:szCs w:val="21"/>
                <w:lang w:eastAsia="zh-CN"/>
              </w:rPr>
              <w:t>（万元）</w:t>
            </w:r>
          </w:p>
        </w:tc>
        <w:tc>
          <w:tcPr>
            <w:tcW w:w="1281"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资金</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性质</w:t>
            </w:r>
          </w:p>
        </w:tc>
        <w:tc>
          <w:tcPr>
            <w:tcW w:w="1189" w:type="dxa"/>
            <w:vAlign w:val="center"/>
          </w:tcPr>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国产/</w:t>
            </w:r>
          </w:p>
          <w:p>
            <w:pPr>
              <w:pStyle w:val="11"/>
              <w:keepNext w:val="0"/>
              <w:keepLines w:val="0"/>
              <w:pageBreakBefore w:val="0"/>
              <w:widowControl w:val="0"/>
              <w:kinsoku/>
              <w:wordWrap/>
              <w:overflowPunct/>
              <w:topLinePunct w:val="0"/>
              <w:autoSpaceDE/>
              <w:autoSpaceDN/>
              <w:bidi w:val="0"/>
              <w:adjustRightInd/>
              <w:snapToGrid/>
              <w:spacing w:before="0" w:beforeAutospacing="0" w:after="0" w:line="240" w:lineRule="auto"/>
              <w:ind w:left="0" w:leftChars="0" w:firstLine="0" w:firstLineChars="0"/>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lang w:val="en-US" w:eastAsia="zh-CN"/>
              </w:rPr>
              <w:t>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1</w:t>
            </w: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监护除颤类配件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19.5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2</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血压计类配件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tabs>
                <w:tab w:val="left" w:pos="424"/>
              </w:tabs>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3</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理疗类配件</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684"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7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4</w:t>
            </w:r>
          </w:p>
        </w:tc>
        <w:tc>
          <w:tcPr>
            <w:tcW w:w="1755" w:type="dxa"/>
            <w:vAlign w:val="center"/>
          </w:tcPr>
          <w:p>
            <w:pPr>
              <w:spacing w:line="240" w:lineRule="auto"/>
              <w:jc w:val="both"/>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医用灯泡类</w:t>
            </w:r>
          </w:p>
        </w:tc>
        <w:tc>
          <w:tcPr>
            <w:tcW w:w="827"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批</w:t>
            </w:r>
          </w:p>
        </w:tc>
        <w:tc>
          <w:tcPr>
            <w:tcW w:w="752"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kern w:val="2"/>
                <w:sz w:val="21"/>
                <w:szCs w:val="21"/>
                <w:vertAlign w:val="baseline"/>
                <w:lang w:val="en-US" w:eastAsia="zh-CN" w:bidi="ar-SA"/>
              </w:rPr>
              <w:t>1</w:t>
            </w:r>
          </w:p>
        </w:tc>
        <w:tc>
          <w:tcPr>
            <w:tcW w:w="1831" w:type="dxa"/>
            <w:vAlign w:val="center"/>
          </w:tcPr>
          <w:p>
            <w:pPr>
              <w:spacing w:line="24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eastAsia="宋体" w:cs="宋体"/>
                <w:b w:val="0"/>
                <w:bCs w:val="0"/>
                <w:sz w:val="21"/>
                <w:szCs w:val="21"/>
                <w:vertAlign w:val="baseline"/>
                <w:lang w:val="en-US" w:eastAsia="zh-CN"/>
              </w:rPr>
              <w:t>1.5</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自筹</w:t>
            </w: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461"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合计</w:t>
            </w:r>
          </w:p>
        </w:tc>
        <w:tc>
          <w:tcPr>
            <w:tcW w:w="17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827"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752"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83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w:t>
            </w:r>
          </w:p>
        </w:tc>
        <w:tc>
          <w:tcPr>
            <w:tcW w:w="1281"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c>
          <w:tcPr>
            <w:tcW w:w="118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jc w:val="center"/>
              <w:textAlignment w:val="auto"/>
              <w:rPr>
                <w:rFonts w:hint="eastAsia" w:ascii="宋体" w:hAnsi="宋体" w:eastAsia="宋体" w:cs="宋体"/>
                <w:b w:val="0"/>
                <w:bCs w:val="0"/>
                <w:sz w:val="21"/>
                <w:szCs w:val="21"/>
                <w:vertAlign w:val="baseline"/>
                <w:lang w:val="en-US" w:eastAsia="zh-CN"/>
              </w:rPr>
            </w:pPr>
          </w:p>
        </w:tc>
      </w:tr>
    </w:tbl>
    <w:p>
      <w:pPr>
        <w:numPr>
          <w:ilvl w:val="0"/>
          <w:numId w:val="0"/>
        </w:numPr>
        <w:spacing w:line="460" w:lineRule="exact"/>
        <w:rPr>
          <w:rFonts w:hint="eastAsia" w:ascii="宋体" w:hAnsi="宋体" w:eastAsia="宋体" w:cs="宋体"/>
          <w:b/>
          <w:bCs/>
          <w:kern w:val="2"/>
          <w:sz w:val="21"/>
          <w:szCs w:val="21"/>
          <w:lang w:val="en-US" w:eastAsia="zh-CN" w:bidi="ar-SA"/>
        </w:rPr>
      </w:pPr>
      <w:r>
        <w:rPr>
          <w:rFonts w:hint="eastAsia" w:ascii="宋体" w:hAnsi="宋体" w:cs="宋体"/>
          <w:b/>
          <w:bCs/>
          <w:color w:val="auto"/>
          <w:kern w:val="0"/>
          <w:sz w:val="21"/>
          <w:szCs w:val="21"/>
          <w:shd w:val="clear" w:color="auto" w:fill="FFFFFF"/>
          <w:lang w:val="en-US" w:eastAsia="zh-CN" w:bidi="ar-SA"/>
        </w:rPr>
        <w:t>四</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技术参数、性能及产品功能要求</w:t>
      </w:r>
      <w:r>
        <w:rPr>
          <w:rFonts w:hint="eastAsia" w:ascii="宋体" w:hAnsi="宋体" w:eastAsia="宋体" w:cs="宋体"/>
          <w:b/>
          <w:bCs/>
          <w:kern w:val="2"/>
          <w:sz w:val="21"/>
          <w:szCs w:val="21"/>
          <w:lang w:val="en-US" w:eastAsia="zh-CN" w:bidi="ar-SA"/>
        </w:rPr>
        <w:t>：</w:t>
      </w:r>
    </w:p>
    <w:bookmarkEnd w:id="35"/>
    <w:bookmarkEnd w:id="36"/>
    <w:tbl>
      <w:tblPr>
        <w:tblStyle w:val="33"/>
        <w:tblW w:w="9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3"/>
        <w:gridCol w:w="3801"/>
        <w:gridCol w:w="884"/>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915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监护除颤类、血压计类、理疗类、医用灯泡类配件招标工作表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项目类别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配件名称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监护除颤类（迈瑞、飞利浦、科曼、日本（上海）光电、宝莱特）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原装遥测导联线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健太郎电子血压计袖套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电源线（加长）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6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红光治疗仪灯泡230v100w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6v20w带座米泡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12v100w杯泡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15v150w杯泡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6v30w米泡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无影灯泡24v50w</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4.54</w:t>
            </w:r>
          </w:p>
        </w:tc>
      </w:tr>
    </w:tbl>
    <w:p>
      <w:pPr>
        <w:pageBreakBefore w:val="0"/>
        <w:kinsoku/>
        <w:wordWrap/>
        <w:overflowPunct/>
        <w:topLinePunct w:val="0"/>
        <w:bidi w:val="0"/>
        <w:snapToGrid w:val="0"/>
        <w:spacing w:beforeAutospacing="0" w:afterAutospacing="0" w:line="500" w:lineRule="exact"/>
        <w:jc w:val="center"/>
        <w:textAlignment w:val="auto"/>
        <w:rPr>
          <w:rFonts w:hint="eastAsia" w:ascii="Times New Roman" w:hAnsi="Times New Roman" w:eastAsia="宋体" w:cs="Times New Roman"/>
          <w:b/>
          <w:bCs/>
          <w:color w:val="auto"/>
          <w:sz w:val="30"/>
          <w:szCs w:val="30"/>
          <w:highlight w:val="none"/>
          <w:lang w:val="en-US" w:eastAsia="zh-CN"/>
        </w:rPr>
      </w:pPr>
      <w:r>
        <w:rPr>
          <w:rFonts w:hint="eastAsia" w:ascii="Times New Roman" w:hAnsi="Times New Roman" w:eastAsia="宋体" w:cs="Times New Roman"/>
          <w:b/>
          <w:bCs/>
          <w:color w:val="auto"/>
          <w:sz w:val="30"/>
          <w:szCs w:val="30"/>
          <w:highlight w:val="none"/>
          <w:lang w:val="en-US" w:eastAsia="zh-CN"/>
        </w:rPr>
        <w:t>商务要求</w:t>
      </w:r>
    </w:p>
    <w:tbl>
      <w:tblPr>
        <w:tblStyle w:val="33"/>
        <w:tblpPr w:leftFromText="180" w:rightFromText="180" w:vertAnchor="text" w:tblpXSpec="center" w:tblpY="1"/>
        <w:tblOverlap w:val="never"/>
        <w:tblW w:w="911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06"/>
        <w:gridCol w:w="70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合同签订时间</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lang w:val="en-US" w:eastAsia="zh-CN"/>
              </w:rPr>
            </w:pPr>
            <w:r>
              <w:rPr>
                <w:rFonts w:hint="eastAsia" w:ascii="宋体" w:hAnsi="宋体" w:eastAsia="宋体" w:cs="宋体"/>
                <w:lang w:val="en-US" w:eastAsia="zh-CN"/>
              </w:rPr>
              <w:t>自成交通知书发出之日起三十个日历日内。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交货地点</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lang w:val="en-US" w:eastAsia="zh-CN"/>
              </w:rPr>
            </w:pPr>
            <w:r>
              <w:rPr>
                <w:rFonts w:hint="eastAsia" w:ascii="宋体" w:hAnsi="宋体" w:eastAsia="宋体" w:cs="宋体"/>
                <w:lang w:val="en-US" w:eastAsia="zh-CN"/>
              </w:rPr>
              <w:t>采购人指定地点</w:t>
            </w:r>
            <w:r>
              <w:rPr>
                <w:rFonts w:hint="eastAsia" w:ascii="宋体" w:hAnsi="宋体" w:cs="宋体"/>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质保期</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default" w:ascii="宋体" w:hAnsi="宋体" w:eastAsia="宋体" w:cs="宋体"/>
                <w:lang w:val="en-US" w:eastAsia="zh-CN"/>
              </w:rPr>
            </w:pPr>
            <w:r>
              <w:rPr>
                <w:rFonts w:hint="eastAsia" w:ascii="宋体" w:hAnsi="宋体" w:eastAsia="宋体" w:cs="宋体"/>
                <w:b w:val="0"/>
                <w:bCs w:val="0"/>
                <w:color w:val="auto"/>
                <w:kern w:val="0"/>
                <w:sz w:val="21"/>
                <w:szCs w:val="21"/>
                <w:shd w:val="clear" w:color="auto" w:fill="FFFFFF"/>
                <w:lang w:val="en-US" w:eastAsia="zh-CN" w:bidi="ar-SA"/>
              </w:rPr>
              <w:t>供货方向院方提供的产品符合国家标准要求，质保期一年内实行三包，质保开始时间以科室领用签字时间起计算。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合同履行期限</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default" w:ascii="宋体" w:hAnsi="宋体" w:eastAsia="宋体" w:cs="宋体"/>
                <w:color w:val="auto"/>
                <w:kern w:val="0"/>
                <w:szCs w:val="21"/>
                <w:highlight w:val="none"/>
                <w:lang w:val="en-US" w:eastAsia="zh-CN"/>
              </w:rPr>
            </w:pPr>
            <w:r>
              <w:rPr>
                <w:rFonts w:hint="eastAsia" w:ascii="宋体" w:hAnsi="宋体" w:cs="宋体"/>
                <w:bCs/>
                <w:color w:val="auto"/>
                <w:szCs w:val="21"/>
                <w:highlight w:val="none"/>
                <w:shd w:val="clear" w:color="auto" w:fill="FFFFFF"/>
                <w:lang w:val="en-US" w:eastAsia="zh-CN"/>
              </w:rPr>
              <w:t>一年。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验   收</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由采购人按照有关规定组织验收</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质量要求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合格</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付款方式</w:t>
            </w:r>
          </w:p>
        </w:tc>
        <w:tc>
          <w:tcPr>
            <w:tcW w:w="7009"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textAlignment w:val="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以供货合同签订为准</w:t>
            </w:r>
            <w:r>
              <w:rPr>
                <w:rFonts w:hint="eastAsia" w:ascii="宋体" w:hAnsi="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06" w:type="dxa"/>
            <w:tcBorders>
              <w:top w:val="single" w:color="auto" w:sz="4" w:space="0"/>
              <w:left w:val="single" w:color="auto" w:sz="4" w:space="0"/>
              <w:bottom w:val="single" w:color="auto" w:sz="4" w:space="0"/>
              <w:right w:val="single" w:color="auto" w:sz="4" w:space="0"/>
            </w:tcBorders>
            <w:noWrap/>
            <w:vAlign w:val="center"/>
          </w:tcPr>
          <w:p>
            <w:pPr>
              <w:pageBreakBefore w:val="0"/>
              <w:widowControl/>
              <w:kinsoku/>
              <w:wordWrap/>
              <w:overflowPunct/>
              <w:topLinePunct w:val="0"/>
              <w:bidi w:val="0"/>
              <w:snapToGrid w:val="0"/>
              <w:spacing w:beforeAutospacing="0" w:afterAutospacing="0" w:line="240" w:lineRule="auto"/>
              <w:jc w:val="center"/>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其他要求</w:t>
            </w:r>
          </w:p>
        </w:tc>
        <w:tc>
          <w:tcPr>
            <w:tcW w:w="7009" w:type="dxa"/>
            <w:tcBorders>
              <w:top w:val="single" w:color="auto" w:sz="4" w:space="0"/>
              <w:left w:val="single" w:color="auto" w:sz="4" w:space="0"/>
              <w:bottom w:val="single" w:color="auto" w:sz="4" w:space="0"/>
              <w:right w:val="single" w:color="auto" w:sz="4" w:space="0"/>
            </w:tcBorders>
            <w:noWrap/>
            <w:vAlign w:val="center"/>
          </w:tcPr>
          <w:p>
            <w:pPr>
              <w:numPr>
                <w:ilvl w:val="0"/>
                <w:numId w:val="0"/>
              </w:numPr>
              <w:spacing w:line="240" w:lineRule="auto"/>
              <w:rPr>
                <w:rFonts w:hint="eastAsia" w:ascii="宋体" w:hAnsi="宋体" w:eastAsia="宋体" w:cs="宋体"/>
                <w:b w:val="0"/>
                <w:bCs w:val="0"/>
                <w:color w:val="auto"/>
                <w:kern w:val="0"/>
                <w:sz w:val="21"/>
                <w:szCs w:val="21"/>
                <w:shd w:val="clear" w:color="auto" w:fill="FFFFFF"/>
                <w:lang w:val="en-US" w:eastAsia="zh-CN" w:bidi="ar-SA"/>
              </w:rPr>
            </w:pPr>
            <w:r>
              <w:rPr>
                <w:rFonts w:hint="eastAsia" w:ascii="宋体" w:hAnsi="宋体" w:eastAsia="宋体" w:cs="宋体"/>
                <w:b w:val="0"/>
                <w:bCs w:val="0"/>
                <w:color w:val="auto"/>
                <w:kern w:val="0"/>
                <w:sz w:val="21"/>
                <w:szCs w:val="21"/>
                <w:shd w:val="clear" w:color="auto" w:fill="FFFFFF"/>
                <w:lang w:val="en-US" w:eastAsia="zh-CN" w:bidi="ar-SA"/>
              </w:rPr>
              <w:t>供货方须保证供应货源和及时交货，按照交易习惯或者合理期限内不能按时交货时，须提前5个工作日以书面形式通知院方并协商解决。如因供货方未能按时供货的原因导致的的一切损失由供货方进行赔偿。</w:t>
            </w:r>
          </w:p>
          <w:p>
            <w:pPr>
              <w:numPr>
                <w:ilvl w:val="0"/>
                <w:numId w:val="0"/>
              </w:numPr>
              <w:spacing w:line="240" w:lineRule="auto"/>
              <w:rPr>
                <w:rFonts w:hint="eastAsia" w:ascii="宋体" w:hAnsi="宋体" w:cs="宋体"/>
                <w:color w:val="auto"/>
                <w:kern w:val="0"/>
                <w:szCs w:val="21"/>
                <w:highlight w:val="none"/>
              </w:rPr>
            </w:pPr>
            <w:r>
              <w:rPr>
                <w:rFonts w:hint="eastAsia" w:ascii="宋体" w:hAnsi="宋体" w:eastAsia="宋体" w:cs="宋体"/>
                <w:b w:val="0"/>
                <w:bCs w:val="0"/>
                <w:color w:val="auto"/>
                <w:kern w:val="0"/>
                <w:sz w:val="21"/>
                <w:szCs w:val="21"/>
                <w:shd w:val="clear" w:color="auto" w:fill="FFFFFF"/>
                <w:lang w:val="en-US" w:eastAsia="zh-CN" w:bidi="ar-SA"/>
              </w:rPr>
              <w:t>如供货方所提供货物的品种、型号、规格、数量和质量不符合规定或约定的，应当自接受货物的15天内向提出更换通知，如未提出异议，视为货物符合合同规定。</w:t>
            </w:r>
          </w:p>
        </w:tc>
      </w:tr>
    </w:tbl>
    <w:p>
      <w:pPr>
        <w:pageBreakBefore w:val="0"/>
        <w:kinsoku/>
        <w:wordWrap/>
        <w:overflowPunct/>
        <w:topLinePunct w:val="0"/>
        <w:bidi w:val="0"/>
        <w:snapToGrid w:val="0"/>
        <w:spacing w:beforeAutospacing="0" w:afterAutospacing="0" w:line="500" w:lineRule="exact"/>
        <w:jc w:val="center"/>
        <w:textAlignment w:val="auto"/>
        <w:rPr>
          <w:b/>
          <w:bCs/>
          <w:color w:val="auto"/>
          <w:sz w:val="30"/>
          <w:szCs w:val="30"/>
          <w:highlight w:val="none"/>
        </w:rPr>
      </w:pPr>
      <w:r>
        <w:rPr>
          <w:rFonts w:hint="eastAsia"/>
          <w:b/>
          <w:bCs/>
          <w:color w:val="auto"/>
          <w:sz w:val="30"/>
          <w:szCs w:val="30"/>
          <w:highlight w:val="none"/>
        </w:rPr>
        <w:t>采购人对项目的特殊要求及说明</w:t>
      </w:r>
    </w:p>
    <w:tbl>
      <w:tblPr>
        <w:tblStyle w:val="33"/>
        <w:tblW w:w="9090" w:type="dxa"/>
        <w:tblInd w:w="6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55"/>
        <w:gridCol w:w="70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055"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bidi w:val="0"/>
              <w:snapToGrid w:val="0"/>
              <w:spacing w:beforeAutospacing="0" w:afterAutospacing="0" w:line="500" w:lineRule="exact"/>
              <w:jc w:val="center"/>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采购人的特殊要求及说明理由</w:t>
            </w:r>
          </w:p>
        </w:tc>
        <w:tc>
          <w:tcPr>
            <w:tcW w:w="7035" w:type="dxa"/>
            <w:tcBorders>
              <w:top w:val="single" w:color="auto" w:sz="4" w:space="0"/>
              <w:left w:val="single" w:color="auto" w:sz="4" w:space="0"/>
              <w:bottom w:val="single" w:color="auto" w:sz="4" w:space="0"/>
              <w:right w:val="single" w:color="auto" w:sz="4" w:space="0"/>
            </w:tcBorders>
            <w:vAlign w:val="center"/>
          </w:tcPr>
          <w:p>
            <w:pPr>
              <w:pageBreakBefore w:val="0"/>
              <w:widowControl/>
              <w:numPr>
                <w:ilvl w:val="0"/>
                <w:numId w:val="1"/>
              </w:numPr>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rPr>
              <w:t>不接受联合体投标，不允许转包和分包。</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w:t>
            </w:r>
          </w:p>
          <w:p>
            <w:pPr>
              <w:pageBreakBefore w:val="0"/>
              <w:widowControl/>
              <w:kinsoku/>
              <w:wordWrap/>
              <w:overflowPunct/>
              <w:topLinePunct w:val="0"/>
              <w:bidi w:val="0"/>
              <w:snapToGrid w:val="0"/>
              <w:spacing w:beforeAutospacing="0" w:afterAutospacing="0" w:line="360" w:lineRule="auto"/>
              <w:textAlignment w:val="auto"/>
              <w:rPr>
                <w:rFonts w:ascii="宋体" w:hAnsi="宋体" w:cs="宋体"/>
                <w:color w:val="auto"/>
                <w:spacing w:val="14"/>
                <w:szCs w:val="21"/>
                <w:highlight w:val="none"/>
              </w:rPr>
            </w:pPr>
            <w:r>
              <w:rPr>
                <w:rFonts w:hint="eastAsia"/>
                <w:color w:val="auto"/>
                <w:sz w:val="21"/>
                <w:szCs w:val="21"/>
                <w:highlight w:val="none"/>
                <w:lang w:val="en-US" w:eastAsia="zh-CN"/>
              </w:rPr>
              <w:t>3</w:t>
            </w:r>
            <w:r>
              <w:rPr>
                <w:rFonts w:hint="eastAsia"/>
                <w:color w:val="auto"/>
                <w:sz w:val="21"/>
                <w:szCs w:val="21"/>
                <w:highlight w:val="none"/>
              </w:rPr>
              <w:t>、</w:t>
            </w:r>
            <w:r>
              <w:rPr>
                <w:rFonts w:hint="eastAsia" w:ascii="宋体" w:hAnsi="宋体" w:cs="宋体"/>
                <w:color w:val="auto"/>
                <w:spacing w:val="14"/>
                <w:szCs w:val="21"/>
                <w:highlight w:val="none"/>
              </w:rPr>
              <w:t>供应商应根据</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文件的要求提供技术响应表、商务响应表等内容以对</w:t>
            </w:r>
            <w:r>
              <w:rPr>
                <w:rFonts w:hint="eastAsia" w:ascii="宋体" w:hAnsi="宋体" w:cs="宋体"/>
                <w:color w:val="auto"/>
                <w:spacing w:val="14"/>
                <w:szCs w:val="21"/>
                <w:highlight w:val="none"/>
                <w:lang w:eastAsia="zh-CN"/>
              </w:rPr>
              <w:t>采购</w:t>
            </w:r>
            <w:r>
              <w:rPr>
                <w:rFonts w:hint="eastAsia" w:ascii="宋体" w:hAnsi="宋体" w:cs="宋体"/>
                <w:color w:val="auto"/>
                <w:spacing w:val="14"/>
                <w:szCs w:val="21"/>
                <w:highlight w:val="none"/>
              </w:rPr>
              <w:t>文件作出响应。</w:t>
            </w:r>
          </w:p>
        </w:tc>
      </w:tr>
    </w:tbl>
    <w:p>
      <w:pPr>
        <w:rPr>
          <w:rFonts w:hint="eastAsia"/>
          <w:b/>
          <w:bCs/>
          <w:color w:val="auto"/>
          <w:sz w:val="32"/>
          <w:szCs w:val="32"/>
          <w:highlight w:val="none"/>
        </w:rPr>
      </w:pPr>
      <w:bookmarkStart w:id="40" w:name="_Toc14504"/>
      <w:r>
        <w:rPr>
          <w:rFonts w:hint="eastAsia"/>
          <w:b/>
          <w:bCs/>
          <w:color w:val="auto"/>
          <w:sz w:val="32"/>
          <w:szCs w:val="32"/>
          <w:highlight w:val="none"/>
        </w:rPr>
        <w:br w:type="page"/>
      </w:r>
    </w:p>
    <w:p>
      <w:pPr>
        <w:jc w:val="center"/>
        <w:rPr>
          <w:b/>
          <w:bCs/>
          <w:color w:val="auto"/>
          <w:sz w:val="32"/>
          <w:szCs w:val="32"/>
          <w:highlight w:val="none"/>
        </w:rPr>
      </w:pPr>
      <w:r>
        <w:rPr>
          <w:rFonts w:hint="eastAsia"/>
          <w:b/>
          <w:bCs/>
          <w:color w:val="auto"/>
          <w:sz w:val="32"/>
          <w:szCs w:val="32"/>
          <w:highlight w:val="none"/>
        </w:rPr>
        <w:t>第三章  投标人须知</w:t>
      </w:r>
      <w:bookmarkEnd w:id="40"/>
    </w:p>
    <w:p>
      <w:pPr>
        <w:snapToGrid w:val="0"/>
        <w:spacing w:beforeLines="50" w:line="360" w:lineRule="auto"/>
        <w:jc w:val="center"/>
        <w:rPr>
          <w:rFonts w:ascii="宋体" w:hAnsi="宋体"/>
          <w:color w:val="auto"/>
          <w:sz w:val="28"/>
          <w:szCs w:val="28"/>
          <w:highlight w:val="none"/>
        </w:rPr>
      </w:pPr>
      <w:r>
        <w:rPr>
          <w:rFonts w:hint="eastAsia" w:ascii="宋体" w:hAnsi="宋体"/>
          <w:color w:val="auto"/>
          <w:sz w:val="28"/>
          <w:szCs w:val="28"/>
          <w:highlight w:val="none"/>
        </w:rPr>
        <w:t>投标人须知前附表</w:t>
      </w:r>
    </w:p>
    <w:tbl>
      <w:tblPr>
        <w:tblStyle w:val="33"/>
        <w:tblW w:w="9183" w:type="dxa"/>
        <w:jc w:val="center"/>
        <w:tblLayout w:type="fixed"/>
        <w:tblCellMar>
          <w:top w:w="0" w:type="dxa"/>
          <w:left w:w="0" w:type="dxa"/>
          <w:bottom w:w="0" w:type="dxa"/>
          <w:right w:w="0" w:type="dxa"/>
        </w:tblCellMar>
      </w:tblPr>
      <w:tblGrid>
        <w:gridCol w:w="696"/>
        <w:gridCol w:w="8487"/>
      </w:tblGrid>
      <w:tr>
        <w:tblPrEx>
          <w:tblCellMar>
            <w:top w:w="0" w:type="dxa"/>
            <w:left w:w="0" w:type="dxa"/>
            <w:bottom w:w="0" w:type="dxa"/>
            <w:right w:w="0" w:type="dxa"/>
          </w:tblCellMar>
        </w:tblPrEx>
        <w:trPr>
          <w:trHeight w:val="450" w:hRule="atLeast"/>
          <w:jc w:val="center"/>
        </w:trPr>
        <w:tc>
          <w:tcPr>
            <w:tcW w:w="69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8487"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内容、要求</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outlineLvl w:val="0"/>
              <w:rPr>
                <w:rFonts w:hint="default"/>
                <w:color w:val="auto"/>
                <w:highlight w:val="none"/>
                <w:lang w:val="en-US"/>
              </w:rPr>
            </w:pPr>
            <w:r>
              <w:rPr>
                <w:rFonts w:hint="eastAsia"/>
                <w:color w:val="auto"/>
                <w:highlight w:val="none"/>
              </w:rPr>
              <w:t>1.1 项目名称：</w:t>
            </w:r>
            <w:r>
              <w:rPr>
                <w:rFonts w:hint="eastAsia"/>
                <w:color w:val="auto"/>
                <w:highlight w:val="none"/>
                <w:lang w:eastAsia="zh-CN"/>
              </w:rPr>
              <w:t xml:space="preserve">驻马店市中心医院监护除颤类、血压计类、理疗类、医用灯泡类常用配件采购项目 </w:t>
            </w:r>
            <w:r>
              <w:rPr>
                <w:rFonts w:hint="eastAsia"/>
                <w:color w:val="auto"/>
                <w:highlight w:val="none"/>
                <w:lang w:val="en-US" w:eastAsia="zh-CN"/>
              </w:rPr>
              <w:t>。</w:t>
            </w:r>
          </w:p>
          <w:p>
            <w:pPr>
              <w:widowControl/>
              <w:snapToGrid w:val="0"/>
              <w:spacing w:line="440" w:lineRule="exact"/>
              <w:jc w:val="left"/>
              <w:outlineLvl w:val="0"/>
              <w:rPr>
                <w:rFonts w:hint="eastAsia" w:eastAsia="宋体"/>
                <w:color w:val="auto"/>
                <w:highlight w:val="none"/>
                <w:lang w:eastAsia="zh-CN"/>
              </w:rPr>
            </w:pPr>
            <w:r>
              <w:rPr>
                <w:rFonts w:hint="eastAsia"/>
                <w:color w:val="auto"/>
                <w:highlight w:val="none"/>
              </w:rPr>
              <w:t>1.2 采购人名称：</w:t>
            </w:r>
            <w:r>
              <w:rPr>
                <w:rFonts w:hint="eastAsia" w:ascii="宋体" w:hAnsi="宋体" w:eastAsia="宋体" w:cs="宋体"/>
              </w:rPr>
              <w:t>驻马店市中心医院</w:t>
            </w:r>
            <w:r>
              <w:rPr>
                <w:rFonts w:hint="eastAsia" w:ascii="宋体" w:hAnsi="宋体" w:cs="宋体"/>
                <w:lang w:eastAsia="zh-CN"/>
              </w:rPr>
              <w:t>。</w:t>
            </w:r>
          </w:p>
          <w:p>
            <w:pPr>
              <w:widowControl/>
              <w:snapToGrid w:val="0"/>
              <w:spacing w:line="440" w:lineRule="exact"/>
              <w:jc w:val="left"/>
              <w:outlineLvl w:val="0"/>
              <w:rPr>
                <w:rFonts w:hint="eastAsia" w:ascii="Times New Roman" w:hAnsi="Times New Roman" w:eastAsia="宋体" w:cs="Times New Roman"/>
                <w:color w:val="auto"/>
                <w:kern w:val="2"/>
                <w:sz w:val="21"/>
                <w:szCs w:val="24"/>
                <w:highlight w:val="none"/>
                <w:lang w:val="en-US" w:eastAsia="zh-CN" w:bidi="ar-SA"/>
              </w:rPr>
            </w:pPr>
            <w:r>
              <w:rPr>
                <w:rFonts w:hint="eastAsia"/>
                <w:color w:val="auto"/>
                <w:highlight w:val="none"/>
              </w:rPr>
              <w:t>1.</w:t>
            </w:r>
            <w:r>
              <w:rPr>
                <w:rFonts w:hint="eastAsia"/>
                <w:color w:val="auto"/>
                <w:highlight w:val="none"/>
                <w:lang w:val="en-US" w:eastAsia="zh-CN"/>
              </w:rPr>
              <w:t>3</w:t>
            </w:r>
            <w:r>
              <w:rPr>
                <w:rFonts w:hint="eastAsia"/>
                <w:color w:val="auto"/>
                <w:highlight w:val="none"/>
              </w:rPr>
              <w:t>采购范围：详</w:t>
            </w:r>
            <w:r>
              <w:rPr>
                <w:rFonts w:hint="eastAsia"/>
                <w:color w:val="auto"/>
                <w:highlight w:val="none"/>
                <w:lang w:val="en-US" w:eastAsia="zh-CN"/>
              </w:rPr>
              <w:t>见第二章采购</w:t>
            </w:r>
            <w:r>
              <w:rPr>
                <w:rFonts w:hint="eastAsia"/>
                <w:color w:val="auto"/>
                <w:highlight w:val="none"/>
              </w:rPr>
              <w:t>需求</w:t>
            </w:r>
            <w:r>
              <w:rPr>
                <w:rFonts w:hint="eastAsia"/>
                <w:color w:val="auto"/>
                <w:highlight w:val="none"/>
                <w:lang w:eastAsia="zh-CN"/>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rPr>
                <w:rFonts w:ascii="宋体" w:hAnsi="宋体" w:cs="宋体"/>
                <w:color w:val="auto"/>
                <w:kern w:val="0"/>
                <w:szCs w:val="21"/>
                <w:highlight w:val="none"/>
              </w:rPr>
            </w:pPr>
            <w:r>
              <w:rPr>
                <w:rFonts w:hint="eastAsia" w:ascii="宋体" w:hAnsi="宋体" w:cs="宋体"/>
                <w:color w:val="auto"/>
                <w:kern w:val="0"/>
                <w:szCs w:val="21"/>
                <w:highlight w:val="none"/>
              </w:rPr>
              <w:t>合格投标人：具备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公告第二项规定的条件。</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采购预算（最高投标限价）：</w:t>
            </w:r>
            <w:r>
              <w:rPr>
                <w:rFonts w:hint="eastAsia" w:ascii="宋体" w:hAnsi="宋体" w:cs="宋体"/>
                <w:color w:val="auto"/>
                <w:kern w:val="0"/>
                <w:szCs w:val="21"/>
                <w:highlight w:val="none"/>
                <w:lang w:val="en-US" w:eastAsia="zh-CN"/>
              </w:rPr>
              <w:t>24万元（据实结算）</w:t>
            </w:r>
            <w:r>
              <w:rPr>
                <w:rFonts w:hint="eastAsia" w:ascii="宋体" w:hAnsi="宋体" w:cs="宋体"/>
                <w:color w:val="auto"/>
                <w:kern w:val="0"/>
                <w:szCs w:val="21"/>
                <w:highlight w:val="none"/>
                <w:lang w:eastAsia="zh-CN"/>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3.1 本项目投标报价以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3.2 供应商的报价超过采购预算，采购人不能支付的，按废标处理。</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3.3 本项目</w:t>
            </w:r>
            <w:r>
              <w:rPr>
                <w:rFonts w:hint="eastAsia" w:ascii="宋体" w:hAnsi="宋体" w:cs="宋体"/>
                <w:color w:val="auto"/>
                <w:kern w:val="0"/>
                <w:szCs w:val="21"/>
                <w:highlight w:val="none"/>
                <w:lang w:val="en-US" w:eastAsia="zh-CN"/>
              </w:rPr>
              <w:t>由成交供应商缴纳</w:t>
            </w:r>
            <w:r>
              <w:rPr>
                <w:rFonts w:hint="eastAsia" w:ascii="宋体" w:hAnsi="宋体" w:cs="宋体"/>
                <w:color w:val="auto"/>
                <w:kern w:val="0"/>
                <w:szCs w:val="21"/>
                <w:highlight w:val="none"/>
              </w:rPr>
              <w:t>招标代理服务费。</w:t>
            </w:r>
          </w:p>
        </w:tc>
      </w:tr>
      <w:tr>
        <w:tblPrEx>
          <w:tblCellMar>
            <w:top w:w="0" w:type="dxa"/>
            <w:left w:w="0" w:type="dxa"/>
            <w:bottom w:w="0" w:type="dxa"/>
            <w:right w:w="0" w:type="dxa"/>
          </w:tblCellMar>
        </w:tblPrEx>
        <w:trPr>
          <w:trHeight w:val="657"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现场踏勘或标前答疑：本项目不组织现场踏勘或标前答疑会。</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pPr>
            <w:r>
              <w:rPr>
                <w:rFonts w:hint="eastAsia" w:ascii="宋体" w:hAnsi="宋体" w:eastAsia="宋体" w:cs="宋体"/>
              </w:rPr>
              <w:t>投标文件组成：纸质投标文件正本1份</w:t>
            </w:r>
            <w:r>
              <w:rPr>
                <w:rFonts w:hint="eastAsia" w:ascii="宋体" w:hAnsi="宋体" w:eastAsia="宋体" w:cs="宋体"/>
                <w:lang w:eastAsia="zh-CN"/>
              </w:rPr>
              <w:t>、</w:t>
            </w:r>
            <w:r>
              <w:rPr>
                <w:rFonts w:hint="eastAsia" w:ascii="宋体" w:hAnsi="宋体" w:eastAsia="宋体" w:cs="宋体"/>
                <w:lang w:val="en-US" w:eastAsia="zh-CN"/>
              </w:rPr>
              <w:t>副本2份</w:t>
            </w:r>
            <w:r>
              <w:rPr>
                <w:rFonts w:hint="eastAsia" w:ascii="宋体" w:hAnsi="宋体" w:eastAsia="宋体" w:cs="宋体"/>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napToGrid w:val="0"/>
              <w:spacing w:line="4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投标截止时间</w:t>
            </w:r>
            <w:r>
              <w:rPr>
                <w:rFonts w:hint="eastAsia" w:ascii="宋体" w:hAnsi="宋体" w:cs="宋体"/>
                <w:color w:val="auto"/>
                <w:kern w:val="0"/>
                <w:szCs w:val="21"/>
                <w:highlight w:val="none"/>
                <w:lang w:val="en-US" w:eastAsia="zh-CN"/>
              </w:rPr>
              <w:t>及开标时间</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p>
          <w:p>
            <w:pPr>
              <w:widowControl/>
              <w:snapToGrid w:val="0"/>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投标文件递交地点</w:t>
            </w:r>
            <w:r>
              <w:rPr>
                <w:rFonts w:hint="eastAsia" w:ascii="宋体" w:hAnsi="宋体" w:cs="宋体"/>
                <w:color w:val="auto"/>
                <w:kern w:val="0"/>
                <w:szCs w:val="21"/>
                <w:highlight w:val="none"/>
                <w:lang w:val="en-US" w:eastAsia="zh-CN"/>
              </w:rPr>
              <w:t>及开标地点</w:t>
            </w:r>
            <w:r>
              <w:rPr>
                <w:rFonts w:hint="eastAsia" w:ascii="宋体" w:hAnsi="宋体" w:cs="宋体"/>
                <w:color w:val="auto"/>
                <w:kern w:val="0"/>
                <w:szCs w:val="21"/>
                <w:highlight w:val="none"/>
              </w:rPr>
              <w:t>：</w:t>
            </w:r>
            <w:r>
              <w:rPr>
                <w:rFonts w:hint="eastAsia" w:ascii="宋体" w:hAnsi="宋体" w:cs="宋体"/>
                <w:color w:val="000000"/>
                <w:szCs w:val="21"/>
                <w:highlight w:val="none"/>
                <w:lang w:val="en-US" w:eastAsia="zh-CN"/>
              </w:rPr>
              <w:t>另行通知</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440" w:lineRule="exact"/>
              <w:rPr>
                <w:rFonts w:ascii="宋体" w:hAnsi="宋体" w:cs="宋体"/>
                <w:color w:val="auto"/>
                <w:szCs w:val="21"/>
                <w:highlight w:val="none"/>
              </w:rPr>
            </w:pPr>
            <w:r>
              <w:rPr>
                <w:rFonts w:hint="eastAsia" w:ascii="宋体" w:hAnsi="宋体" w:cs="宋体"/>
                <w:color w:val="auto"/>
                <w:szCs w:val="21"/>
                <w:highlight w:val="none"/>
              </w:rPr>
              <w:t>评审委员会成</w:t>
            </w:r>
            <w:r>
              <w:rPr>
                <w:rFonts w:hint="eastAsia" w:ascii="宋体" w:hAnsi="宋体" w:cs="宋体"/>
                <w:color w:val="auto"/>
                <w:kern w:val="0"/>
                <w:szCs w:val="21"/>
                <w:highlight w:val="none"/>
              </w:rPr>
              <w:t>员：</w:t>
            </w:r>
            <w:r>
              <w:rPr>
                <w:rFonts w:hint="eastAsia" w:ascii="宋体" w:hAnsi="宋体" w:cs="宋体"/>
                <w:color w:val="auto"/>
                <w:szCs w:val="21"/>
                <w:highlight w:val="none"/>
                <w:lang w:val="en-US" w:eastAsia="zh-CN"/>
              </w:rPr>
              <w:t>3</w:t>
            </w:r>
            <w:r>
              <w:rPr>
                <w:rFonts w:hint="eastAsia" w:ascii="宋体" w:hAnsi="宋体" w:cs="宋体"/>
                <w:color w:val="auto"/>
                <w:highlight w:val="none"/>
              </w:rPr>
              <w:t>人</w:t>
            </w:r>
            <w:r>
              <w:rPr>
                <w:rFonts w:hint="eastAsia" w:ascii="宋体" w:hAnsi="宋体" w:cs="宋体"/>
                <w:color w:val="auto"/>
                <w:highlight w:val="none"/>
                <w:lang w:val="en-US" w:eastAsia="zh-CN"/>
              </w:rPr>
              <w:t>及以上单数</w:t>
            </w:r>
            <w:r>
              <w:rPr>
                <w:rFonts w:hint="eastAsia" w:ascii="宋体" w:hAnsi="宋体" w:cs="宋体"/>
                <w:color w:val="auto"/>
                <w:kern w:val="0"/>
                <w:szCs w:val="21"/>
                <w:highlight w:val="none"/>
              </w:rPr>
              <w:t>。</w:t>
            </w:r>
          </w:p>
          <w:p>
            <w:pPr>
              <w:widowControl/>
              <w:spacing w:line="440" w:lineRule="exact"/>
              <w:jc w:val="left"/>
              <w:rPr>
                <w:rFonts w:ascii="宋体" w:hAnsi="宋体" w:cs="宋体"/>
                <w:color w:val="auto"/>
                <w:kern w:val="0"/>
                <w:szCs w:val="21"/>
                <w:highlight w:val="none"/>
              </w:rPr>
            </w:pPr>
            <w:r>
              <w:rPr>
                <w:rFonts w:hint="eastAsia" w:ascii="宋体" w:hAnsi="宋体" w:cs="宋体"/>
                <w:color w:val="auto"/>
                <w:szCs w:val="21"/>
                <w:highlight w:val="none"/>
              </w:rPr>
              <w:t>专家确定方式：</w:t>
            </w:r>
            <w:r>
              <w:rPr>
                <w:rFonts w:hint="eastAsia" w:ascii="宋体" w:hAnsi="宋体" w:cs="宋体"/>
                <w:color w:val="auto"/>
                <w:kern w:val="0"/>
                <w:szCs w:val="21"/>
                <w:highlight w:val="none"/>
              </w:rPr>
              <w:t>由采购人</w:t>
            </w:r>
            <w:r>
              <w:rPr>
                <w:rFonts w:hint="eastAsia" w:ascii="宋体" w:hAnsi="宋体" w:cs="宋体"/>
                <w:color w:val="auto"/>
                <w:kern w:val="0"/>
                <w:szCs w:val="21"/>
                <w:highlight w:val="none"/>
                <w:lang w:val="en-US" w:eastAsia="zh-CN"/>
              </w:rPr>
              <w:t>抽取相关的技术人员组成</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8 </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240" w:lineRule="auto"/>
              <w:rPr>
                <w:rFonts w:ascii="宋体" w:hAnsi="宋体" w:cs="宋体"/>
                <w:color w:val="auto"/>
                <w:kern w:val="0"/>
                <w:szCs w:val="21"/>
                <w:highlight w:val="none"/>
              </w:rPr>
            </w:pPr>
            <w:r>
              <w:rPr>
                <w:rFonts w:hint="eastAsia" w:ascii="宋体" w:hAnsi="宋体" w:cs="宋体"/>
                <w:color w:val="auto"/>
                <w:szCs w:val="21"/>
                <w:highlight w:val="none"/>
              </w:rPr>
              <w:t>评标办法：</w:t>
            </w:r>
            <w:r>
              <w:rPr>
                <w:rFonts w:hint="eastAsia" w:ascii="宋体" w:hAnsi="宋体" w:cs="宋体"/>
                <w:color w:val="auto"/>
                <w:kern w:val="0"/>
                <w:szCs w:val="21"/>
                <w:highlight w:val="none"/>
              </w:rPr>
              <w:t>本项目采用</w:t>
            </w:r>
            <w:r>
              <w:rPr>
                <w:rFonts w:hint="eastAsia" w:ascii="宋体" w:hAnsi="宋体" w:cs="宋体"/>
                <w:color w:val="auto"/>
                <w:szCs w:val="21"/>
                <w:highlight w:val="none"/>
              </w:rPr>
              <w:t>综合评分法</w:t>
            </w:r>
            <w:r>
              <w:rPr>
                <w:rFonts w:hint="eastAsia" w:ascii="宋体" w:hAnsi="宋体" w:cs="宋体"/>
                <w:color w:val="auto"/>
                <w:kern w:val="0"/>
                <w:szCs w:val="21"/>
                <w:highlight w:val="none"/>
              </w:rPr>
              <w:t>。</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中标公告及中标通知书：由采购人授权评标委员会确定</w:t>
            </w:r>
            <w:r>
              <w:rPr>
                <w:rFonts w:hint="eastAsia" w:ascii="宋体" w:hAnsi="宋体" w:cs="宋体"/>
                <w:b/>
                <w:bCs/>
                <w:color w:val="auto"/>
                <w:kern w:val="0"/>
                <w:szCs w:val="21"/>
                <w:highlight w:val="none"/>
                <w:lang w:eastAsia="zh-CN"/>
              </w:rPr>
              <w:t>二名中标人</w:t>
            </w:r>
            <w:r>
              <w:rPr>
                <w:rFonts w:hint="eastAsia" w:ascii="宋体" w:hAnsi="宋体" w:cs="宋体"/>
                <w:color w:val="auto"/>
                <w:kern w:val="0"/>
                <w:szCs w:val="21"/>
                <w:highlight w:val="none"/>
              </w:rPr>
              <w:t>。评审结束后</w:t>
            </w:r>
            <w:r>
              <w:rPr>
                <w:rFonts w:hint="eastAsia" w:ascii="宋体" w:hAnsi="宋体" w:cs="宋体"/>
                <w:color w:val="auto"/>
                <w:kern w:val="0"/>
                <w:szCs w:val="21"/>
                <w:highlight w:val="none"/>
                <w:lang w:val="en-US" w:eastAsia="zh-CN"/>
              </w:rPr>
              <w:t>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驻马店市中心医院网</w:t>
            </w:r>
            <w:r>
              <w:rPr>
                <w:rFonts w:hint="eastAsia" w:ascii="宋体" w:hAnsi="宋体" w:cs="宋体"/>
                <w:color w:val="auto"/>
                <w:kern w:val="0"/>
                <w:szCs w:val="21"/>
                <w:highlight w:val="none"/>
                <w:lang w:eastAsia="zh-CN"/>
              </w:rPr>
              <w:t>》</w:t>
            </w:r>
            <w:r>
              <w:rPr>
                <w:rFonts w:hint="eastAsia" w:ascii="宋体" w:hAnsi="宋体" w:cs="Arial"/>
                <w:color w:val="auto"/>
                <w:kern w:val="0"/>
                <w:szCs w:val="21"/>
                <w:highlight w:val="none"/>
              </w:rPr>
              <w:t>上</w:t>
            </w:r>
            <w:r>
              <w:rPr>
                <w:rFonts w:hint="eastAsia" w:ascii="宋体" w:hAnsi="宋体" w:cs="宋体"/>
                <w:color w:val="auto"/>
                <w:kern w:val="0"/>
                <w:szCs w:val="21"/>
                <w:highlight w:val="none"/>
              </w:rPr>
              <w:t>发布中标公告，</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签订合同：自中标通知书发出之日起</w:t>
            </w:r>
            <w:r>
              <w:rPr>
                <w:rFonts w:hint="eastAsia" w:ascii="宋体" w:hAnsi="宋体" w:cs="宋体"/>
                <w:color w:val="auto"/>
                <w:kern w:val="0"/>
                <w:szCs w:val="21"/>
                <w:highlight w:val="none"/>
                <w:lang w:val="en-US" w:eastAsia="zh-CN"/>
              </w:rPr>
              <w:t>三十</w:t>
            </w:r>
            <w:r>
              <w:rPr>
                <w:rFonts w:hint="eastAsia" w:ascii="宋体" w:hAnsi="宋体" w:cs="宋体"/>
                <w:color w:val="auto"/>
                <w:kern w:val="0"/>
                <w:szCs w:val="21"/>
                <w:highlight w:val="none"/>
              </w:rPr>
              <w:t>个</w:t>
            </w:r>
            <w:r>
              <w:rPr>
                <w:rFonts w:hint="eastAsia" w:ascii="宋体" w:hAnsi="宋体" w:cs="宋体"/>
                <w:color w:val="auto"/>
                <w:kern w:val="0"/>
                <w:szCs w:val="21"/>
                <w:highlight w:val="none"/>
                <w:lang w:val="en-US" w:eastAsia="zh-CN"/>
              </w:rPr>
              <w:t>日历</w:t>
            </w:r>
            <w:r>
              <w:rPr>
                <w:rFonts w:hint="eastAsia" w:ascii="宋体" w:hAnsi="宋体" w:cs="宋体"/>
                <w:color w:val="auto"/>
                <w:kern w:val="0"/>
                <w:szCs w:val="21"/>
                <w:highlight w:val="none"/>
              </w:rPr>
              <w:t>日内。</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FF0000"/>
                <w:kern w:val="0"/>
                <w:szCs w:val="21"/>
                <w:highlight w:val="none"/>
              </w:rPr>
            </w:pPr>
            <w:r>
              <w:rPr>
                <w:rFonts w:hint="eastAsia" w:ascii="宋体" w:hAnsi="宋体" w:cs="宋体"/>
                <w:color w:val="auto"/>
                <w:kern w:val="0"/>
                <w:szCs w:val="21"/>
                <w:highlight w:val="none"/>
              </w:rPr>
              <w:t>11</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FF0000"/>
                <w:kern w:val="0"/>
                <w:szCs w:val="21"/>
                <w:highlight w:val="none"/>
              </w:rPr>
            </w:pPr>
            <w:r>
              <w:rPr>
                <w:rFonts w:hint="eastAsia" w:ascii="宋体" w:hAnsi="宋体" w:cs="宋体"/>
                <w:color w:val="auto"/>
                <w:kern w:val="0"/>
                <w:szCs w:val="21"/>
                <w:highlight w:val="none"/>
              </w:rPr>
              <w:t>采购资金来源：自筹资金。</w:t>
            </w:r>
          </w:p>
        </w:tc>
      </w:tr>
      <w:tr>
        <w:tblPrEx>
          <w:tblCellMar>
            <w:top w:w="0" w:type="dxa"/>
            <w:left w:w="0" w:type="dxa"/>
            <w:bottom w:w="0" w:type="dxa"/>
            <w:right w:w="0" w:type="dxa"/>
          </w:tblCellMar>
        </w:tblPrEx>
        <w:trPr>
          <w:trHeight w:val="680"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12</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付款方式：详见第二章</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13</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440" w:lineRule="exact"/>
              <w:jc w:val="left"/>
              <w:textAlignment w:val="bottom"/>
              <w:rPr>
                <w:rFonts w:ascii="宋体" w:hAnsi="宋体" w:cs="宋体"/>
                <w:color w:val="auto"/>
                <w:kern w:val="0"/>
                <w:szCs w:val="21"/>
                <w:highlight w:val="none"/>
              </w:rPr>
            </w:pPr>
            <w:r>
              <w:rPr>
                <w:rFonts w:hint="eastAsia" w:ascii="宋体" w:hAnsi="宋体" w:cs="宋体"/>
                <w:color w:val="auto"/>
                <w:kern w:val="0"/>
                <w:szCs w:val="21"/>
                <w:highlight w:val="none"/>
              </w:rPr>
              <w:t>投标文件有效期：投标</w:t>
            </w:r>
            <w:r>
              <w:rPr>
                <w:rFonts w:hint="eastAsia" w:ascii="宋体" w:hAnsi="宋体" w:cs="宋体"/>
                <w:color w:val="auto"/>
                <w:kern w:val="0"/>
                <w:szCs w:val="21"/>
                <w:highlight w:val="none"/>
                <w:lang w:val="en-US" w:eastAsia="zh-CN"/>
              </w:rPr>
              <w:t>文件递交</w:t>
            </w:r>
            <w:r>
              <w:rPr>
                <w:rFonts w:hint="eastAsia" w:ascii="宋体" w:hAnsi="宋体" w:cs="宋体"/>
                <w:color w:val="auto"/>
                <w:kern w:val="0"/>
                <w:szCs w:val="21"/>
                <w:highlight w:val="none"/>
              </w:rPr>
              <w:t>截止期结束后</w:t>
            </w:r>
            <w:r>
              <w:rPr>
                <w:rFonts w:hint="eastAsia" w:ascii="宋体" w:hAnsi="宋体" w:cs="宋体"/>
                <w:color w:val="auto"/>
                <w:kern w:val="0"/>
                <w:szCs w:val="21"/>
                <w:highlight w:val="none"/>
                <w:lang w:val="en-US" w:eastAsia="zh-CN"/>
              </w:rPr>
              <w:t>90</w:t>
            </w:r>
            <w:r>
              <w:rPr>
                <w:rFonts w:hint="eastAsia" w:ascii="宋体" w:hAnsi="宋体" w:cs="宋体"/>
                <w:color w:val="auto"/>
                <w:kern w:val="0"/>
                <w:szCs w:val="21"/>
                <w:highlight w:val="none"/>
              </w:rPr>
              <w:t>日。中标人的投标文件是合同的组成部分,有效期至合同完全履行止。 </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14</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rPr>
              <w:t>供应商须提供信用中国网站、中国政府采购网网站查询的网页截图。</w:t>
            </w:r>
          </w:p>
        </w:tc>
      </w:tr>
      <w:tr>
        <w:tblPrEx>
          <w:tblCellMar>
            <w:top w:w="0" w:type="dxa"/>
            <w:left w:w="0" w:type="dxa"/>
            <w:bottom w:w="0" w:type="dxa"/>
            <w:right w:w="0" w:type="dxa"/>
          </w:tblCellMar>
        </w:tblPrEx>
        <w:trPr>
          <w:trHeight w:val="678"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15</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rPr>
                <w:rFonts w:ascii="宋体" w:hAnsi="宋体" w:cs="宋体"/>
                <w:color w:val="auto"/>
                <w:kern w:val="0"/>
                <w:szCs w:val="21"/>
                <w:highlight w:val="none"/>
              </w:rPr>
            </w:pPr>
            <w:r>
              <w:rPr>
                <w:rFonts w:hint="eastAsia" w:ascii="宋体" w:hAnsi="宋体" w:cs="宋体"/>
                <w:color w:val="auto"/>
                <w:szCs w:val="21"/>
                <w:highlight w:val="none"/>
                <w:lang w:val="en-US" w:eastAsia="zh-CN"/>
              </w:rPr>
              <w:t>商品包装和快递包装应符合《商品包装政府采购需求标准（试行）》和《快递包装政府采购需求标准（试行）》规定，商品的包装和快递包装验收标准应符合《商品包装政府采购需求标准（试行）》和《快递包装政府采购需求标准（试行）》规定，并提供相关的检测报告</w:t>
            </w:r>
            <w:r>
              <w:rPr>
                <w:rFonts w:hint="eastAsia" w:ascii="宋体" w:hAnsi="宋体" w:cs="宋体"/>
                <w:color w:val="auto"/>
                <w:szCs w:val="21"/>
                <w:highlight w:val="none"/>
              </w:rPr>
              <w:t>。</w:t>
            </w:r>
          </w:p>
        </w:tc>
      </w:tr>
      <w:tr>
        <w:tblPrEx>
          <w:tblCellMar>
            <w:top w:w="0" w:type="dxa"/>
            <w:left w:w="0" w:type="dxa"/>
            <w:bottom w:w="0" w:type="dxa"/>
            <w:right w:w="0" w:type="dxa"/>
          </w:tblCellMar>
        </w:tblPrEx>
        <w:trPr>
          <w:trHeight w:val="699"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16</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spacing w:line="360" w:lineRule="auto"/>
              <w:rPr>
                <w:rFonts w:ascii="宋体" w:hAnsi="宋体" w:cs="宋体"/>
                <w:color w:val="auto"/>
                <w:kern w:val="0"/>
                <w:szCs w:val="21"/>
                <w:highlight w:val="none"/>
              </w:rPr>
            </w:pPr>
            <w:r>
              <w:rPr>
                <w:rFonts w:hint="eastAsia" w:ascii="宋体" w:hAnsi="宋体" w:cs="宋体"/>
                <w:bCs/>
                <w:color w:val="auto"/>
                <w:kern w:val="0"/>
                <w:szCs w:val="21"/>
                <w:highlight w:val="none"/>
              </w:rPr>
              <w:t>质疑和投诉：供应商认为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bCs/>
                <w:color w:val="auto"/>
                <w:kern w:val="0"/>
                <w:szCs w:val="21"/>
                <w:highlight w:val="none"/>
                <w:lang w:eastAsia="zh-CN"/>
              </w:rPr>
              <w:t>。</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未在规定时间内作出答复的，可以在答复期满后15个工作日内向同级财政部门投诉。</w:t>
            </w:r>
          </w:p>
        </w:tc>
      </w:tr>
      <w:tr>
        <w:tblPrEx>
          <w:tblCellMar>
            <w:top w:w="0" w:type="dxa"/>
            <w:left w:w="0" w:type="dxa"/>
            <w:bottom w:w="0" w:type="dxa"/>
            <w:right w:w="0" w:type="dxa"/>
          </w:tblCellMar>
        </w:tblPrEx>
        <w:trPr>
          <w:trHeight w:val="851" w:hRule="atLeast"/>
          <w:jc w:val="center"/>
        </w:trPr>
        <w:tc>
          <w:tcPr>
            <w:tcW w:w="69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pPr>
              <w:widowControl/>
              <w:spacing w:line="46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17</w:t>
            </w:r>
          </w:p>
        </w:tc>
        <w:tc>
          <w:tcPr>
            <w:tcW w:w="8487"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pPr>
              <w:widowControl/>
              <w:spacing w:line="360" w:lineRule="auto"/>
              <w:jc w:val="left"/>
              <w:textAlignment w:val="bottom"/>
              <w:rPr>
                <w:rFonts w:hint="eastAsia" w:ascii="宋体" w:hAnsi="宋体" w:eastAsia="宋体" w:cs="宋体"/>
                <w:color w:val="auto"/>
                <w:highlight w:val="none"/>
              </w:rPr>
            </w:pPr>
            <w:r>
              <w:rPr>
                <w:rFonts w:hint="eastAsia"/>
                <w:color w:val="auto"/>
                <w:highlight w:val="none"/>
              </w:rPr>
              <w:t>解释：</w:t>
            </w:r>
            <w:r>
              <w:rPr>
                <w:rFonts w:hint="eastAsia" w:ascii="宋体" w:hAnsi="宋体" w:eastAsia="宋体" w:cs="宋体"/>
                <w:color w:val="auto"/>
                <w:highlight w:val="none"/>
              </w:rPr>
              <w:t>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公告、供应商须知、评标办法、投标文件格式的先后顺序解释；同一组成文件中就同一事项的规定或约定不一致的，以编排顺序在后者为准；当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pPr>
              <w:widowControl/>
              <w:spacing w:line="360" w:lineRule="auto"/>
              <w:jc w:val="left"/>
              <w:textAlignment w:val="bottom"/>
              <w:rPr>
                <w:rFonts w:ascii="宋体" w:hAnsi="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pPr>
        <w:rPr>
          <w:color w:val="auto"/>
          <w:highlight w:val="none"/>
        </w:rPr>
      </w:pP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28"/>
          <w:szCs w:val="28"/>
          <w:highlight w:val="none"/>
        </w:rPr>
        <w:t>一 、说 明</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1.适用范围</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文件仅适用于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公告中所叙述项目的货物采购。</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2.定义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 “采购人”系指本次采购项目的业主方。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2.2 “投标人”系指</w:t>
      </w:r>
      <w:r>
        <w:rPr>
          <w:rFonts w:hint="eastAsia" w:ascii="宋体" w:hAnsi="宋体" w:cs="宋体"/>
          <w:color w:val="auto"/>
          <w:kern w:val="0"/>
          <w:szCs w:val="21"/>
          <w:highlight w:val="none"/>
          <w:lang w:val="en-US" w:eastAsia="zh-CN"/>
        </w:rPr>
        <w:t>领取</w:t>
      </w:r>
      <w:r>
        <w:rPr>
          <w:rFonts w:hint="eastAsia" w:ascii="宋体" w:hAnsi="宋体" w:cs="宋体"/>
          <w:color w:val="auto"/>
          <w:kern w:val="0"/>
          <w:szCs w:val="21"/>
          <w:highlight w:val="none"/>
        </w:rPr>
        <w:t>了本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文件，且已经提交本次投标文件的投标人。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 “投标人代表”系指代表投标人参加本次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活动的投标人的法定代表人或其委托代理人。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2.4 “货物”系指投标人按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文件规定向采购人提供的一切设备、机械、仪器仪表、备品备件、工具、手册及其它有关技术资料和材料。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2.5 “相关服务”系指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文件规定投标人须承担的与本次采购货物相关的安装、调试、技术协助、校准、培训以及其他类似的义务。</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3.本次采购预算（最高限价）</w:t>
      </w:r>
      <w:r>
        <w:rPr>
          <w:rFonts w:hint="eastAsia" w:ascii="宋体" w:hAnsi="宋体" w:cs="宋体"/>
          <w:b/>
          <w:bCs/>
          <w:color w:val="auto"/>
          <w:kern w:val="0"/>
          <w:szCs w:val="21"/>
          <w:highlight w:val="none"/>
          <w:lang w:val="en-US" w:eastAsia="zh-CN"/>
        </w:rPr>
        <w:t>24万元</w:t>
      </w:r>
      <w:r>
        <w:rPr>
          <w:rFonts w:hint="eastAsia" w:ascii="宋体" w:hAnsi="宋体" w:cs="宋体"/>
          <w:color w:val="auto"/>
          <w:kern w:val="0"/>
          <w:szCs w:val="21"/>
          <w:highlight w:val="none"/>
          <w:lang w:val="en-US" w:eastAsia="zh-CN"/>
        </w:rPr>
        <w:t>（据实结算）</w:t>
      </w:r>
      <w:r>
        <w:rPr>
          <w:rFonts w:hint="eastAsia" w:ascii="宋体" w:hAnsi="宋体" w:cs="宋体"/>
          <w:b/>
          <w:bCs/>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szCs w:val="21"/>
          <w:highlight w:val="none"/>
        </w:rPr>
      </w:pPr>
      <w:r>
        <w:rPr>
          <w:rFonts w:hint="eastAsia" w:ascii="宋体" w:hAnsi="宋体" w:cs="宋体"/>
          <w:b/>
          <w:bCs/>
          <w:color w:val="auto"/>
          <w:kern w:val="0"/>
          <w:szCs w:val="21"/>
          <w:highlight w:val="none"/>
        </w:rPr>
        <w:t>4.投标人应提交的证明文件</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为注册在中华人民共和国境内的，且具有独立承担民事责任能力，提供法人或者其他组织的营业执照等证明文件。单位负责人为同一人或者存在直接控股、管理关系的不同供应商，不得参加同一合同项下的投标。一经发现，将导致投标同时被拒绝。</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供应商应提供</w:t>
      </w:r>
      <w:r>
        <w:rPr>
          <w:rFonts w:hint="eastAsia" w:ascii="宋体" w:hAnsi="宋体" w:cs="宋体"/>
          <w:color w:val="auto"/>
          <w:sz w:val="21"/>
          <w:szCs w:val="21"/>
          <w:highlight w:val="none"/>
          <w:lang w:val="en-US" w:eastAsia="zh-CN"/>
        </w:rPr>
        <w:t>2022年度</w:t>
      </w:r>
      <w:r>
        <w:rPr>
          <w:rFonts w:hint="eastAsia" w:ascii="宋体" w:hAnsi="宋体" w:eastAsia="宋体" w:cs="宋体"/>
          <w:color w:val="auto"/>
          <w:sz w:val="21"/>
          <w:szCs w:val="21"/>
          <w:highlight w:val="none"/>
          <w:lang w:val="en-US" w:eastAsia="zh-CN"/>
        </w:rPr>
        <w:t>经审计的财务报告或者其基本开户银行出具的资信证明；采购活动前近三个月内或上个季度任一个月的依法缴纳税收的凭据和缴纳社会保险的凭据；依法免税或不需要缴纳社会保障资金的供应商，应提供相应文件证明其依法免税或不需要缴纳社会保障资金。（新成立企业从成立之日起计算）。</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具有履行合同所必需的设备和专业技术能力（提供书面声明函）。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参加本采购活动前三年内，在经营活动中没有重大违法记录（提供书面声明函）。</w:t>
      </w:r>
    </w:p>
    <w:p>
      <w:pPr>
        <w:keepNext w:val="0"/>
        <w:keepLines w:val="0"/>
        <w:pageBreakBefore w:val="0"/>
        <w:widowControl/>
        <w:kinsoku/>
        <w:wordWrap/>
        <w:overflowPunct/>
        <w:topLinePunct w:val="0"/>
        <w:bidi w:val="0"/>
        <w:snapToGrid w:val="0"/>
        <w:spacing w:line="480" w:lineRule="exact"/>
        <w:ind w:firstLine="420" w:firstLineChars="200"/>
        <w:jc w:val="left"/>
        <w:textAlignment w:val="auto"/>
        <w:rPr>
          <w:rFonts w:ascii="宋体" w:hAnsi="宋体" w:cs="宋体"/>
          <w:b/>
          <w:bCs/>
          <w:color w:val="auto"/>
          <w:kern w:val="0"/>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 </w:t>
      </w:r>
      <w:r>
        <w:rPr>
          <w:rFonts w:hint="eastAsia"/>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参与采购的供应商应提供查询企业信用记录的网页打印页并加盖供应商公章，查询时间应在采购公告发布日期之后，【查询渠道：“信用中国”网站、中国政府采购网】</w:t>
      </w:r>
      <w:r>
        <w:rPr>
          <w:rFonts w:hint="eastAsia" w:ascii="宋体" w:hAnsi="宋体" w:cs="宋体"/>
          <w:color w:val="auto"/>
          <w:szCs w:val="21"/>
          <w:highlight w:val="none"/>
        </w:rPr>
        <w:t>。</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5.投标费用</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不论投标结果如何，投标人均应自行承担所有与投标有关的全部费用。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6.联合体投标：本项目不接受联合体投标。</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7.关联企业投标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7.1 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提供加盖供应商公章的“国家企业信用信息公示系统”网站查询结果网页截图，须显示公司基本信息、主要人员信息、股东信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7.3 为采购项目提供整体设计、规范编制或者项目管理、监理、检测等服务的供应商，不得再参加该采购项目的投标活动。</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8.转包与分包</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8.1本项目不允许采取转包方式履行合同。</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8.2本项目不允许采取分包方式履行合同。</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9.特别说明：</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9.1 投标人投标所使用的资格、信誉、荣誉、业绩与企业认证必须为本法人所拥有。  </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9.2 投标人代表只能接受一个投标人的委托参加投标。</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9.3《政府采购法》第二十二条第五款“参加政府采购活动前三年内，在经营活动中没有重大违法记录”，“重大违法记录”包括投标人或者其法定代表人、董事、监事、高级管理人员因经营活动中的违法行为受到行政处罚，但警告和罚款额在人民币3万元以下的行政处罚除外；投标人或其法定代表人、董事、监事、高级管理人员因经营活动中的违法行为受到刑事处罚。</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9.4投标人在投标活动中提供虚假材料或从事其他违法活动的,其投标无效，由相关部门查处。</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10.质疑和投诉</w:t>
      </w:r>
    </w:p>
    <w:p>
      <w:pPr>
        <w:keepNext w:val="0"/>
        <w:keepLines w:val="0"/>
        <w:pageBreakBefore w:val="0"/>
        <w:widowControl/>
        <w:kinsoku/>
        <w:wordWrap/>
        <w:overflowPunct/>
        <w:topLinePunct w:val="0"/>
        <w:bidi w:val="0"/>
        <w:snapToGrid w:val="0"/>
        <w:spacing w:line="360" w:lineRule="auto"/>
        <w:ind w:firstLine="411" w:firstLineChars="196"/>
        <w:jc w:val="left"/>
        <w:rPr>
          <w:rFonts w:ascii="宋体" w:hAnsi="宋体" w:cs="宋体"/>
          <w:color w:val="auto"/>
          <w:kern w:val="0"/>
          <w:szCs w:val="21"/>
          <w:highlight w:val="none"/>
        </w:rPr>
      </w:pPr>
      <w:r>
        <w:rPr>
          <w:rFonts w:hint="eastAsia" w:ascii="宋体" w:hAnsi="宋体" w:cs="宋体"/>
          <w:color w:val="auto"/>
          <w:kern w:val="0"/>
          <w:szCs w:val="21"/>
          <w:highlight w:val="none"/>
        </w:rPr>
        <w:t>10.1 </w:t>
      </w:r>
      <w:r>
        <w:rPr>
          <w:rFonts w:hint="eastAsia" w:ascii="宋体" w:hAnsi="宋体" w:cs="宋体"/>
          <w:bCs/>
          <w:color w:val="auto"/>
          <w:kern w:val="0"/>
          <w:szCs w:val="21"/>
          <w:highlight w:val="none"/>
        </w:rPr>
        <w:t>供应商认为</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文件使自己的合法权益受到损害的，</w:t>
      </w:r>
      <w:r>
        <w:rPr>
          <w:rFonts w:hint="eastAsia" w:ascii="宋体" w:hAnsi="宋体" w:cs="宋体"/>
          <w:color w:val="auto"/>
          <w:kern w:val="0"/>
          <w:szCs w:val="21"/>
          <w:highlight w:val="none"/>
        </w:rPr>
        <w:t>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公告期限届满之日(或收到</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文件之日)起</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个工作日之内向</w:t>
      </w:r>
      <w:r>
        <w:rPr>
          <w:rFonts w:hint="eastAsia" w:ascii="宋体" w:hAnsi="宋体" w:cs="宋体"/>
          <w:bCs/>
          <w:color w:val="auto"/>
          <w:kern w:val="0"/>
          <w:szCs w:val="21"/>
          <w:highlight w:val="none"/>
        </w:rPr>
        <w:t>采购人提出质疑；供应商认为</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过程和中标结果使自己的合法权益受到损害的，应当在知道或者应知其权益受到损害之日起</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个工作日内提出质疑。</w:t>
      </w:r>
      <w:r>
        <w:rPr>
          <w:rFonts w:hint="eastAsia" w:ascii="宋体" w:hAnsi="宋体" w:cs="宋体"/>
          <w:color w:val="auto"/>
          <w:kern w:val="0"/>
          <w:szCs w:val="21"/>
          <w:highlight w:val="none"/>
        </w:rPr>
        <w:t>逾期不再受理,</w:t>
      </w:r>
      <w:r>
        <w:rPr>
          <w:rFonts w:hint="eastAsia" w:ascii="宋体" w:hAnsi="宋体" w:cs="宋体"/>
          <w:bCs/>
          <w:color w:val="auto"/>
          <w:kern w:val="0"/>
          <w:szCs w:val="21"/>
          <w:highlight w:val="none"/>
        </w:rPr>
        <w:t>供应商在法定质疑期内应一次性提出针对同一采购环节的质疑。</w:t>
      </w:r>
      <w:r>
        <w:rPr>
          <w:rFonts w:hint="eastAsia" w:ascii="宋体" w:hAnsi="宋体" w:cs="宋体"/>
          <w:color w:val="auto"/>
          <w:kern w:val="0"/>
          <w:szCs w:val="21"/>
          <w:highlight w:val="none"/>
        </w:rPr>
        <w:t>供应商对</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的质疑答复不满意,或</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未在规定时间内作出答复的，可以在答复期满后15个工作日内向</w:t>
      </w:r>
      <w:r>
        <w:rPr>
          <w:rFonts w:hint="eastAsia" w:ascii="宋体" w:hAnsi="宋体" w:cs="宋体"/>
          <w:color w:val="auto"/>
          <w:kern w:val="0"/>
          <w:szCs w:val="21"/>
          <w:highlight w:val="none"/>
          <w:lang w:val="en-US" w:eastAsia="zh-CN"/>
        </w:rPr>
        <w:t>医院纪检</w:t>
      </w:r>
      <w:r>
        <w:rPr>
          <w:rFonts w:hint="eastAsia" w:ascii="宋体" w:hAnsi="宋体" w:cs="宋体"/>
          <w:color w:val="auto"/>
          <w:kern w:val="0"/>
          <w:szCs w:val="21"/>
          <w:highlight w:val="none"/>
        </w:rPr>
        <w:t>部门投诉。</w:t>
      </w:r>
    </w:p>
    <w:p>
      <w:pPr>
        <w:keepNext w:val="0"/>
        <w:keepLines w:val="0"/>
        <w:pageBreakBefore w:val="0"/>
        <w:widowControl/>
        <w:shd w:val="clear" w:color="auto"/>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10.2 </w:t>
      </w:r>
      <w:r>
        <w:rPr>
          <w:rFonts w:hint="eastAsia" w:ascii="宋体" w:hAnsi="宋体" w:cs="宋体"/>
          <w:bCs/>
          <w:color w:val="auto"/>
          <w:kern w:val="0"/>
          <w:szCs w:val="21"/>
          <w:highlight w:val="none"/>
        </w:rPr>
        <w:t>质疑、投诉应当采用书面形式，质疑书、投诉书均应明确阐述</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w:t>
      </w:r>
      <w:r>
        <w:rPr>
          <w:rFonts w:hint="eastAsia" w:ascii="宋体" w:hAnsi="宋体" w:cs="宋体"/>
          <w:bCs/>
          <w:color w:val="auto"/>
          <w:kern w:val="0"/>
          <w:szCs w:val="21"/>
          <w:highlight w:val="none"/>
          <w:lang w:eastAsia="zh-CN"/>
        </w:rPr>
        <w:t>磋商</w:t>
      </w:r>
      <w:r>
        <w:rPr>
          <w:rFonts w:hint="eastAsia" w:ascii="宋体" w:hAnsi="宋体" w:cs="宋体"/>
          <w:bCs/>
          <w:color w:val="auto"/>
          <w:kern w:val="0"/>
          <w:szCs w:val="21"/>
          <w:highlight w:val="none"/>
        </w:rPr>
        <w:t>过程和中标结果中使自己合法权益受到损害的实质性内容，提供相关事实、依据和证据及其来源或线索，便于有关单位调查、答复和处理。</w:t>
      </w:r>
    </w:p>
    <w:p>
      <w:pPr>
        <w:keepNext w:val="0"/>
        <w:keepLines w:val="0"/>
        <w:pageBreakBefore w:val="0"/>
        <w:widowControl/>
        <w:kinsoku/>
        <w:wordWrap/>
        <w:overflowPunct/>
        <w:topLinePunct w:val="0"/>
        <w:bidi w:val="0"/>
        <w:snapToGrid w:val="0"/>
        <w:spacing w:line="360" w:lineRule="auto"/>
        <w:ind w:firstLine="420"/>
        <w:jc w:val="left"/>
        <w:rPr>
          <w:rFonts w:ascii="宋体" w:hAnsi="宋体" w:cs="宋体"/>
          <w:color w:val="auto"/>
          <w:kern w:val="0"/>
          <w:szCs w:val="21"/>
          <w:highlight w:val="none"/>
        </w:rPr>
      </w:pPr>
      <w:r>
        <w:rPr>
          <w:rFonts w:hint="eastAsia" w:ascii="宋体" w:hAnsi="宋体" w:cs="宋体"/>
          <w:b/>
          <w:bCs/>
          <w:color w:val="auto"/>
          <w:kern w:val="0"/>
          <w:szCs w:val="21"/>
          <w:highlight w:val="none"/>
        </w:rPr>
        <w:t>11.投标人的风险</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投标人没有按照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文件要求提供全部资料，或者投标人没有对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文件在各方面都作出实质性响应是投标人的风险，并可能导致其投标被拒绝。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二、</w:t>
      </w:r>
      <w:r>
        <w:rPr>
          <w:rFonts w:hint="eastAsia" w:ascii="黑体" w:hAnsi="宋体" w:eastAsia="黑体" w:cs="宋体"/>
          <w:b/>
          <w:bCs/>
          <w:color w:val="auto"/>
          <w:kern w:val="0"/>
          <w:sz w:val="32"/>
          <w:szCs w:val="32"/>
          <w:highlight w:val="none"/>
          <w:lang w:val="en-US" w:eastAsia="zh-CN"/>
        </w:rPr>
        <w:t>采购</w:t>
      </w:r>
      <w:r>
        <w:rPr>
          <w:rFonts w:hint="eastAsia" w:ascii="黑体" w:hAnsi="宋体" w:eastAsia="黑体" w:cs="宋体"/>
          <w:b/>
          <w:bCs/>
          <w:color w:val="auto"/>
          <w:kern w:val="0"/>
          <w:sz w:val="32"/>
          <w:szCs w:val="32"/>
          <w:highlight w:val="none"/>
        </w:rPr>
        <w:t>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12.</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文件的构成。本</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文件由以下部分组成：</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12.1 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需求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12.3 投标人须知</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12.4 评标办法</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12.5 合同主要条款</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12.6 投标文件格式</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bCs/>
          <w:color w:val="auto"/>
          <w:kern w:val="0"/>
          <w:szCs w:val="21"/>
          <w:highlight w:val="none"/>
        </w:rPr>
      </w:pPr>
      <w:r>
        <w:rPr>
          <w:rFonts w:hint="eastAsia" w:ascii="宋体" w:hAnsi="宋体" w:cs="宋体"/>
          <w:b/>
          <w:bCs/>
          <w:color w:val="auto"/>
          <w:kern w:val="0"/>
          <w:szCs w:val="21"/>
          <w:highlight w:val="none"/>
        </w:rPr>
        <w:t>13.</w:t>
      </w:r>
      <w:r>
        <w:rPr>
          <w:rFonts w:hint="eastAsia" w:ascii="宋体" w:hAnsi="宋体" w:cs="宋体"/>
          <w:b/>
          <w:bCs/>
          <w:color w:val="auto"/>
          <w:kern w:val="0"/>
          <w:szCs w:val="21"/>
          <w:highlight w:val="none"/>
          <w:lang w:val="en-US" w:eastAsia="zh-CN"/>
        </w:rPr>
        <w:t>采购</w:t>
      </w:r>
      <w:r>
        <w:rPr>
          <w:rFonts w:hint="eastAsia" w:ascii="宋体" w:hAnsi="宋体" w:cs="宋体"/>
          <w:b/>
          <w:bCs/>
          <w:color w:val="auto"/>
          <w:kern w:val="0"/>
          <w:szCs w:val="21"/>
          <w:highlight w:val="none"/>
        </w:rPr>
        <w:t>文件的澄清与修改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13.1 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对已发出的</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文件进行必要澄清、修改或补充的，应当在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文件要求提交投标文件截止时间</w:t>
      </w:r>
      <w:r>
        <w:rPr>
          <w:rFonts w:hint="eastAsia" w:ascii="宋体" w:hAnsi="宋体" w:cs="宋体"/>
          <w:color w:val="auto"/>
          <w:kern w:val="0"/>
          <w:szCs w:val="21"/>
          <w:highlight w:val="none"/>
          <w:lang w:val="en-US" w:eastAsia="zh-CN"/>
        </w:rPr>
        <w:t>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前，在</w:t>
      </w:r>
      <w:r>
        <w:rPr>
          <w:rFonts w:hint="eastAsia" w:ascii="宋体" w:hAnsi="宋体" w:cs="宋体"/>
          <w:color w:val="auto"/>
          <w:kern w:val="0"/>
          <w:szCs w:val="21"/>
          <w:highlight w:val="none"/>
          <w:lang w:val="en-US" w:eastAsia="zh-CN"/>
        </w:rPr>
        <w:t>原采购公告发布</w:t>
      </w:r>
      <w:r>
        <w:rPr>
          <w:rFonts w:hint="eastAsia" w:ascii="宋体" w:hAnsi="宋体" w:cs="宋体"/>
          <w:color w:val="auto"/>
          <w:kern w:val="0"/>
          <w:szCs w:val="21"/>
          <w:highlight w:val="none"/>
        </w:rPr>
        <w:t>相关媒体上发布更正公告或变更公告。</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文件公示期间对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文件进行的澄清、修改或补充不受上述限制。</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文件澄清、修改或补充的内容为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文件的组成部分。</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13.3 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文件的澄清、修改或补充都应以法定形式发布。采购人未对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文件进行的澄清、修改或补充无效，评标时不予认可。</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kern w:val="0"/>
          <w:szCs w:val="21"/>
          <w:highlight w:val="none"/>
        </w:rPr>
        <w:t>13.4 </w:t>
      </w: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可以视招标具体情况延长投标截止时间和开标时间，但至少应当在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文件要求提交投标文件的截止时间3</w:t>
      </w:r>
      <w:r>
        <w:rPr>
          <w:rFonts w:hint="eastAsia" w:ascii="宋体" w:hAnsi="宋体" w:cs="宋体"/>
          <w:bCs/>
          <w:color w:val="auto"/>
          <w:kern w:val="0"/>
          <w:szCs w:val="21"/>
          <w:highlight w:val="none"/>
        </w:rPr>
        <w:t>日</w:t>
      </w:r>
      <w:r>
        <w:rPr>
          <w:rFonts w:hint="eastAsia" w:ascii="宋体" w:hAnsi="宋体" w:cs="宋体"/>
          <w:color w:val="auto"/>
          <w:kern w:val="0"/>
          <w:szCs w:val="21"/>
          <w:highlight w:val="none"/>
        </w:rPr>
        <w:t>前，将变更时间</w:t>
      </w:r>
      <w:r>
        <w:rPr>
          <w:rFonts w:hint="eastAsia" w:ascii="宋体" w:hAnsi="宋体" w:cs="宋体"/>
          <w:color w:val="auto"/>
          <w:kern w:val="0"/>
          <w:szCs w:val="21"/>
          <w:highlight w:val="none"/>
          <w:lang w:val="en-US" w:eastAsia="zh-CN"/>
        </w:rPr>
        <w:t>通知所有潜在投标人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三</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投标文件的编制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14.要求</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14.1 投标人应仔细阅读</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文件的所有内容，按照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文件提供的格式编写投标文件，不得缺少或留空任何</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文件要求填写的表格或提交的资料。</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文件提供格式的按格式填列，未提供格式的可自行拟定。投标文件应对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文件的要求作出实质性响应（包括投标人资格要求、技术要求、商务要求和投标文件格式中对投标的要求），投标人对所提供的全部资料的合法性、真实性负责。</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14.2 投标人应完整签署投标文件格式附件中《投标书》和《抵制商业贿赂承诺》，不得增减或修改内容。否则视为对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15.投标文件的语言和计量单位</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15.1投标文件以及投标人与采购人就有关投标事宜的所有来往函电均应使用简体中文书写。</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15.2 关于投标计量单位，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文件已有明确规定的，使用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文件规定的计量单位；</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文件没有规定的，应采用中华人民共和国法定计量单位。否则视为对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文件未作出实质性响应。</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15.3 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16.投标文件的组成</w:t>
      </w:r>
      <w:r>
        <w:rPr>
          <w:rFonts w:hint="eastAsia" w:ascii="宋体" w:hAnsi="宋体" w:cs="宋体"/>
          <w:color w:val="auto"/>
          <w:kern w:val="0"/>
          <w:szCs w:val="21"/>
          <w:highlight w:val="none"/>
        </w:rPr>
        <w:t>。</w:t>
      </w:r>
      <w:r>
        <w:rPr>
          <w:rFonts w:hint="eastAsia" w:ascii="宋体" w:hAnsi="宋体" w:cs="宋体"/>
          <w:b/>
          <w:bCs/>
          <w:color w:val="auto"/>
          <w:kern w:val="0"/>
          <w:szCs w:val="21"/>
          <w:highlight w:val="none"/>
        </w:rPr>
        <w:t>投标文件应包括下列部分：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16.1、投标书及开标一览表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16.2、</w:t>
      </w:r>
      <w:r>
        <w:rPr>
          <w:rFonts w:hint="eastAsia" w:ascii="宋体" w:hAnsi="宋体" w:cs="宋体"/>
          <w:color w:val="auto"/>
          <w:kern w:val="0"/>
          <w:szCs w:val="21"/>
          <w:highlight w:val="none"/>
        </w:rPr>
        <w:t>报价明细表</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、技术响应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、商务响应</w:t>
      </w:r>
      <w:r>
        <w:rPr>
          <w:rFonts w:hint="eastAsia" w:ascii="宋体" w:hAnsi="宋体" w:cs="宋体"/>
          <w:color w:val="auto"/>
          <w:kern w:val="0"/>
          <w:szCs w:val="21"/>
          <w:highlight w:val="none"/>
          <w:lang w:val="en-US" w:eastAsia="zh-CN"/>
        </w:rPr>
        <w:t>部分</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、法定代表人身份证明</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、法定代表人授权书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、证明文件</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、供应商承诺书</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16.</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供应商信用承诺函</w:t>
      </w:r>
    </w:p>
    <w:p>
      <w:pPr>
        <w:keepNext w:val="0"/>
        <w:keepLines w:val="0"/>
        <w:pageBreakBefore w:val="0"/>
        <w:widowControl/>
        <w:kinsoku/>
        <w:wordWrap/>
        <w:overflowPunct/>
        <w:topLinePunct w:val="0"/>
        <w:bidi w:val="0"/>
        <w:snapToGrid w:val="0"/>
        <w:spacing w:line="360" w:lineRule="auto"/>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16.10、</w:t>
      </w:r>
      <w:r>
        <w:rPr>
          <w:rFonts w:hint="eastAsia" w:ascii="宋体" w:hAnsi="宋体" w:cs="宋体"/>
          <w:color w:val="auto"/>
          <w:kern w:val="0"/>
          <w:szCs w:val="21"/>
          <w:highlight w:val="none"/>
        </w:rPr>
        <w:t>投标人认为有必要的其他资料</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17.投标有效期</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17.1 投标文件从</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公告所规定的投标截止期之后开始生效，在</w:t>
      </w:r>
      <w:r>
        <w:rPr>
          <w:rFonts w:hint="eastAsia" w:ascii="宋体" w:hAnsi="宋体" w:cs="宋体"/>
          <w:bCs/>
          <w:color w:val="auto"/>
          <w:kern w:val="0"/>
          <w:szCs w:val="21"/>
          <w:highlight w:val="none"/>
        </w:rPr>
        <w:t>投标人须知前附表</w:t>
      </w:r>
      <w:r>
        <w:rPr>
          <w:rFonts w:hint="eastAsia" w:ascii="宋体" w:hAnsi="宋体" w:cs="宋体"/>
          <w:color w:val="auto"/>
          <w:kern w:val="0"/>
          <w:szCs w:val="21"/>
          <w:highlight w:val="none"/>
        </w:rPr>
        <w:t>第16项所规定的期限内保持有效。有效期不足将导致其投标文件被拒绝。中标人的投标文件有效期至合同完全履行止。</w:t>
      </w:r>
    </w:p>
    <w:p>
      <w:pPr>
        <w:keepNext w:val="0"/>
        <w:keepLines w:val="0"/>
        <w:pageBreakBefore w:val="0"/>
        <w:widowControl/>
        <w:kinsoku/>
        <w:wordWrap/>
        <w:overflowPunct/>
        <w:topLinePunct w:val="0"/>
        <w:bidi w:val="0"/>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17.2特殊情况下</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可于投标有效期满之前书面要求投标人同意延长有效期，投标人应在</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规定的期限内以书面形式予以答复。投标人可以拒绝上述要求。投标人答复不明确或者逾期未答复的，均视为拒绝上述要求。对于接受该要求的投标人，既不要求也不允许其修改投标文件。</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color w:val="auto"/>
          <w:kern w:val="0"/>
          <w:szCs w:val="21"/>
          <w:highlight w:val="none"/>
        </w:rPr>
      </w:pPr>
      <w:r>
        <w:rPr>
          <w:rFonts w:hint="eastAsia" w:ascii="宋体" w:hAnsi="宋体" w:cs="宋体"/>
          <w:b/>
          <w:bCs/>
          <w:color w:val="auto"/>
          <w:kern w:val="0"/>
          <w:szCs w:val="21"/>
          <w:highlight w:val="none"/>
        </w:rPr>
        <w:t>18.投标报价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18.1 投标报价以</w:t>
      </w:r>
      <w:r>
        <w:rPr>
          <w:rFonts w:hint="eastAsia" w:ascii="宋体" w:hAnsi="宋体" w:cs="宋体"/>
          <w:color w:val="auto"/>
          <w:kern w:val="0"/>
          <w:szCs w:val="21"/>
          <w:highlight w:val="none"/>
          <w:lang w:val="en-US" w:eastAsia="zh-CN"/>
        </w:rPr>
        <w:t>百分比费率形式报价</w:t>
      </w:r>
      <w:r>
        <w:rPr>
          <w:rFonts w:hint="eastAsia" w:ascii="宋体" w:hAnsi="宋体" w:cs="宋体"/>
          <w:color w:val="auto"/>
          <w:kern w:val="0"/>
          <w:szCs w:val="21"/>
          <w:highlight w:val="none"/>
        </w:rPr>
        <w:t>。投标人的投标报价为交货地点交货价格，包括货物、随配附件、备品备件、工具、厂家赠品、运抵指定交货地点费用、保险费、安装调试费、服务费、售后服务、税金及其他所有费用的总和。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18.2 投标人要按开标一览表的内容填写。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18.3 </w:t>
      </w:r>
      <w:r>
        <w:rPr>
          <w:rFonts w:hint="eastAsia" w:ascii="宋体" w:hAnsi="宋体" w:cs="宋体"/>
          <w:color w:val="auto"/>
          <w:spacing w:val="10"/>
          <w:kern w:val="0"/>
          <w:szCs w:val="21"/>
          <w:highlight w:val="none"/>
        </w:rPr>
        <w:t>投标人投报多标包的，应对每标包分别报价并分别填报开标一览表。</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18.4 开标一览表中标明的价格在政府采购合同执行过程中是固定不变的，投标人不得以任何理由予以变更。以可调整的价格提交的投标将被作为无效投标处理。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18.5 </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不接受可选择的投标报价。</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18.6 对于投标人在开标一览表和投标文件中列出的赠送条款，在评审时不得作为价格评分因素或者调整评标价格的依据。</w:t>
      </w:r>
    </w:p>
    <w:p>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cs="宋体"/>
          <w:b/>
          <w:color w:val="auto"/>
          <w:kern w:val="0"/>
          <w:szCs w:val="21"/>
          <w:highlight w:val="none"/>
        </w:rPr>
      </w:pPr>
      <w:r>
        <w:rPr>
          <w:rFonts w:hint="eastAsia" w:ascii="宋体" w:hAnsi="宋体" w:cs="宋体"/>
          <w:b/>
          <w:color w:val="auto"/>
          <w:kern w:val="0"/>
          <w:szCs w:val="21"/>
          <w:highlight w:val="none"/>
        </w:rPr>
        <w:t>19.</w:t>
      </w:r>
      <w:r>
        <w:rPr>
          <w:rFonts w:hint="eastAsia" w:ascii="宋体" w:hAnsi="宋体" w:cs="宋体"/>
          <w:b/>
          <w:color w:val="auto"/>
          <w:kern w:val="0"/>
          <w:szCs w:val="21"/>
          <w:highlight w:val="none"/>
          <w:lang w:val="en-US" w:eastAsia="zh-CN"/>
        </w:rPr>
        <w:t>本项目不收取</w:t>
      </w:r>
      <w:r>
        <w:rPr>
          <w:rFonts w:hint="eastAsia" w:ascii="宋体" w:hAnsi="宋体" w:cs="宋体"/>
          <w:b/>
          <w:color w:val="auto"/>
          <w:kern w:val="0"/>
          <w:szCs w:val="21"/>
          <w:highlight w:val="none"/>
        </w:rPr>
        <w:t>投标保证金</w:t>
      </w:r>
    </w:p>
    <w:p>
      <w:pPr>
        <w:keepNext w:val="0"/>
        <w:keepLines w:val="0"/>
        <w:pageBreakBefore w:val="0"/>
        <w:widowControl/>
        <w:kinsoku/>
        <w:wordWrap/>
        <w:overflowPunct/>
        <w:topLinePunct w:val="0"/>
        <w:bidi w:val="0"/>
        <w:snapToGrid w:val="0"/>
        <w:spacing w:line="360" w:lineRule="auto"/>
        <w:ind w:firstLine="417" w:firstLineChars="198"/>
        <w:rPr>
          <w:rFonts w:hint="default" w:ascii="宋体" w:hAnsi="宋体" w:eastAsia="宋体" w:cs="宋体"/>
          <w:b/>
          <w:color w:val="auto"/>
          <w:kern w:val="0"/>
          <w:szCs w:val="21"/>
          <w:highlight w:val="none"/>
          <w:lang w:val="en-US" w:eastAsia="zh-CN"/>
        </w:rPr>
      </w:pPr>
      <w:r>
        <w:rPr>
          <w:rFonts w:hint="eastAsia" w:ascii="宋体" w:hAnsi="宋体" w:cs="宋体"/>
          <w:b/>
          <w:color w:val="auto"/>
          <w:kern w:val="0"/>
          <w:szCs w:val="21"/>
          <w:highlight w:val="none"/>
        </w:rPr>
        <w:t>20.投标文件的签署</w:t>
      </w:r>
      <w:r>
        <w:rPr>
          <w:rFonts w:hint="eastAsia" w:ascii="宋体" w:hAnsi="宋体" w:cs="宋体"/>
          <w:b/>
          <w:color w:val="auto"/>
          <w:kern w:val="0"/>
          <w:szCs w:val="21"/>
          <w:highlight w:val="none"/>
          <w:lang w:val="en-US" w:eastAsia="zh-CN"/>
        </w:rPr>
        <w:t>及其他规定</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.1投标文件应按第六章“投标文件格式”进行编写，如有必要，可以增加附页，作为投标文件的组成部分。其中，投标报价一览表在满足</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.2 投标文件应当对</w:t>
      </w:r>
      <w:r>
        <w:rPr>
          <w:rFonts w:hint="eastAsia" w:ascii="宋体" w:hAnsi="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w:t>
      </w:r>
      <w:r>
        <w:rPr>
          <w:rFonts w:hint="eastAsia" w:ascii="宋体" w:hAnsi="宋体" w:eastAsia="宋体" w:cs="宋体"/>
          <w:color w:val="auto"/>
          <w:kern w:val="0"/>
          <w:szCs w:val="21"/>
          <w:highlight w:val="none"/>
        </w:rPr>
        <w:t>期、投标有效期、质量要求、技术标准和要求、</w:t>
      </w:r>
      <w:r>
        <w:rPr>
          <w:rFonts w:hint="eastAsia" w:ascii="宋体" w:hAnsi="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投标文件应用不褪色的材料书写或打印，并由投标人的法定代表人盖章或盖单位公章；投标文件应尽量避免涂改、行间插字或删除，如果出现上述情况，改动之处应加盖单位公章或由投标人的法定代表人盖章确认。签字或盖章的具体要求见投标人须知前附表。</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.4投标文件份数见投标人须知前附表。投标文件正本和副本的封面上应清楚地标记“正本”或“副本”的字样。</w:t>
      </w:r>
    </w:p>
    <w:p>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.5投标文件的具体装订要求见投标人须知前附表规定。</w:t>
      </w:r>
    </w:p>
    <w:p>
      <w:pPr>
        <w:keepNext w:val="0"/>
        <w:keepLines w:val="0"/>
        <w:pageBreakBefore w:val="0"/>
        <w:widowControl/>
        <w:kinsoku/>
        <w:wordWrap/>
        <w:overflowPunct/>
        <w:topLinePunct w:val="0"/>
        <w:bidi w:val="0"/>
        <w:snapToGrid w:val="0"/>
        <w:spacing w:line="360" w:lineRule="auto"/>
        <w:jc w:val="center"/>
        <w:rPr>
          <w:rFonts w:ascii="黑体" w:hAnsi="宋体" w:eastAsia="黑体" w:cs="宋体"/>
          <w:b/>
          <w:color w:val="auto"/>
          <w:kern w:val="0"/>
          <w:sz w:val="32"/>
          <w:szCs w:val="32"/>
          <w:highlight w:val="none"/>
        </w:rPr>
      </w:pPr>
      <w:r>
        <w:rPr>
          <w:rFonts w:hint="eastAsia" w:ascii="黑体" w:hAnsi="宋体" w:eastAsia="黑体" w:cs="宋体"/>
          <w:b/>
          <w:color w:val="auto"/>
          <w:kern w:val="0"/>
          <w:sz w:val="32"/>
          <w:szCs w:val="32"/>
          <w:highlight w:val="none"/>
        </w:rPr>
        <w:t>四、投标文件的递交</w:t>
      </w:r>
    </w:p>
    <w:p>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ascii="宋体" w:hAnsi="宋体" w:cs="宋体"/>
          <w:b/>
          <w:color w:val="auto"/>
          <w:kern w:val="0"/>
          <w:szCs w:val="21"/>
          <w:highlight w:val="none"/>
        </w:rPr>
      </w:pPr>
      <w:r>
        <w:rPr>
          <w:rFonts w:hint="eastAsia" w:ascii="宋体" w:hAnsi="宋体" w:cs="宋体"/>
          <w:b/>
          <w:color w:val="auto"/>
          <w:kern w:val="0"/>
          <w:szCs w:val="21"/>
          <w:highlight w:val="none"/>
        </w:rPr>
        <w:t>21. 投标文件的密封、标记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21.1投标文件的正本与副本应分开包装，加贴封条，并在封套的封口处加盖投标人单位公章。</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21.2 投标文件的封套上应清楚地标记“正本”或“副本”字样，封套上应写明的其他内容见投标人须知前附表</w:t>
      </w:r>
      <w:r>
        <w:rPr>
          <w:rFonts w:hint="eastAsia" w:ascii="宋体" w:hAnsi="宋体" w:cs="宋体"/>
          <w:color w:val="auto"/>
          <w:kern w:val="0"/>
          <w:szCs w:val="21"/>
          <w:highlight w:val="none"/>
          <w:lang w:eastAsia="zh-CN"/>
        </w:rPr>
        <w:t>。</w:t>
      </w:r>
    </w:p>
    <w:p>
      <w:pPr>
        <w:keepNext w:val="0"/>
        <w:keepLines w:val="0"/>
        <w:pageBreakBefore w:val="0"/>
        <w:widowControl/>
        <w:kinsoku/>
        <w:wordWrap/>
        <w:overflowPunct/>
        <w:topLinePunct w:val="0"/>
        <w:bidi w:val="0"/>
        <w:snapToGrid w:val="0"/>
        <w:spacing w:line="360" w:lineRule="auto"/>
        <w:ind w:firstLine="420" w:firstLineChars="200"/>
        <w:jc w:val="left"/>
        <w:rPr>
          <w:rFonts w:hint="eastAsia"/>
          <w:lang w:eastAsia="zh-CN"/>
        </w:rPr>
      </w:pPr>
      <w:r>
        <w:rPr>
          <w:rFonts w:hint="eastAsia"/>
          <w:lang w:eastAsia="zh-CN"/>
        </w:rPr>
        <w:t>2</w:t>
      </w:r>
      <w:r>
        <w:rPr>
          <w:rFonts w:hint="eastAsia"/>
          <w:lang w:val="en-US" w:eastAsia="zh-CN"/>
        </w:rPr>
        <w:t>1</w:t>
      </w:r>
      <w:r>
        <w:rPr>
          <w:rFonts w:hint="eastAsia"/>
          <w:lang w:eastAsia="zh-CN"/>
        </w:rPr>
        <w:t>.3 未按本章第2</w:t>
      </w:r>
      <w:r>
        <w:rPr>
          <w:rFonts w:hint="eastAsia"/>
          <w:lang w:val="en-US" w:eastAsia="zh-CN"/>
        </w:rPr>
        <w:t>1</w:t>
      </w:r>
      <w:r>
        <w:rPr>
          <w:rFonts w:hint="eastAsia"/>
          <w:lang w:eastAsia="zh-CN"/>
        </w:rPr>
        <w:t>.1项或第2</w:t>
      </w:r>
      <w:r>
        <w:rPr>
          <w:rFonts w:hint="eastAsia"/>
          <w:lang w:val="en-US" w:eastAsia="zh-CN"/>
        </w:rPr>
        <w:t>1</w:t>
      </w:r>
      <w:r>
        <w:rPr>
          <w:rFonts w:hint="eastAsia"/>
          <w:lang w:eastAsia="zh-CN"/>
        </w:rPr>
        <w:t>.2项要求密封和加写标记的投标文件，采购人不予受理。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22. 投标文件的递交</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 投标人应在规定的投标截止时间前</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投标文件。</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 投标人递交投标文件的地点：见投标人须知前附表。</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 除投标人须知前附表另有规定外，投标人所递交的投标文件不予退还。</w:t>
      </w:r>
    </w:p>
    <w:p>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.4 逾期送达的或者未送达指定地点的投标文件，采购人不予受理。</w:t>
      </w:r>
    </w:p>
    <w:p>
      <w:pPr>
        <w:keepNext w:val="0"/>
        <w:keepLines w:val="0"/>
        <w:pageBreakBefore w:val="0"/>
        <w:widowControl/>
        <w:kinsoku/>
        <w:wordWrap/>
        <w:overflowPunct/>
        <w:topLinePunct w:val="0"/>
        <w:bidi w:val="0"/>
        <w:snapToGrid w:val="0"/>
        <w:spacing w:line="360" w:lineRule="auto"/>
        <w:ind w:firstLine="417" w:firstLineChars="198"/>
        <w:rPr>
          <w:rFonts w:ascii="宋体" w:hAnsi="宋体" w:cs="宋体"/>
          <w:b/>
          <w:color w:val="auto"/>
          <w:kern w:val="0"/>
          <w:szCs w:val="21"/>
          <w:highlight w:val="none"/>
        </w:rPr>
      </w:pPr>
      <w:r>
        <w:rPr>
          <w:rFonts w:hint="eastAsia" w:ascii="宋体" w:hAnsi="宋体" w:cs="宋体"/>
          <w:b/>
          <w:color w:val="auto"/>
          <w:kern w:val="0"/>
          <w:szCs w:val="21"/>
          <w:highlight w:val="none"/>
        </w:rPr>
        <w:t>23. 投标文件的修改和撤回</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23.1 投标人在投标截止时间前，可以对所提交的投标文件进行补充、修改或者撤回，并书面通知</w:t>
      </w:r>
      <w:r>
        <w:rPr>
          <w:rFonts w:hint="eastAsia" w:ascii="宋体" w:hAnsi="宋体" w:cs="宋体"/>
          <w:color w:val="auto"/>
          <w:kern w:val="0"/>
          <w:szCs w:val="21"/>
          <w:highlight w:val="none"/>
          <w:lang w:eastAsia="zh-CN"/>
        </w:rPr>
        <w:t>采购人</w:t>
      </w:r>
      <w:r>
        <w:rPr>
          <w:rFonts w:hint="eastAsia" w:ascii="宋体" w:hAnsi="宋体" w:cs="宋体"/>
          <w:color w:val="auto"/>
          <w:kern w:val="0"/>
          <w:szCs w:val="21"/>
          <w:highlight w:val="none"/>
        </w:rPr>
        <w:t>。补充、修改的内容和撤回通知应当按本须知要求签署、盖章、密封，并作为投标文件的组成部分。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color w:val="auto"/>
          <w:kern w:val="0"/>
          <w:szCs w:val="21"/>
          <w:highlight w:val="none"/>
        </w:rPr>
        <w:t>23.2 投标人在投标截止期后不得修改、撤回投标文件。投标人在投标截止期后修改投标文件的，其投标将被拒绝。</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五</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评标</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 组建评标委员会</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评标委员会由采购人代表和评审专家组成。成员由</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人以上单数组成。</w:t>
      </w:r>
      <w:r>
        <w:rPr>
          <w:rFonts w:hint="eastAsia" w:ascii="宋体" w:hAnsi="宋体" w:cs="宋体"/>
          <w:color w:val="auto"/>
          <w:szCs w:val="21"/>
          <w:highlight w:val="none"/>
        </w:rPr>
        <w:t>在开标后由评标委员会对投标文件进行审查、质疑、评估和比较，并做合理的建议。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.2评标委员会成员要依法独立评审，并对评审意见承担个人责任。</w:t>
      </w:r>
      <w:r>
        <w:rPr>
          <w:rFonts w:hint="eastAsia" w:ascii="宋体" w:hAnsi="宋体" w:cs="宋体"/>
          <w:color w:val="auto"/>
          <w:szCs w:val="21"/>
          <w:highlight w:val="none"/>
        </w:rPr>
        <w:t>评标委员会成员对需要共同认定的事项存在争议的，按照少数服从多数的原则</w:t>
      </w:r>
      <w:r>
        <w:rPr>
          <w:rFonts w:hint="eastAsia" w:ascii="宋体" w:hAnsi="宋体" w:cs="宋体"/>
          <w:color w:val="auto"/>
          <w:kern w:val="0"/>
          <w:szCs w:val="21"/>
          <w:highlight w:val="none"/>
        </w:rPr>
        <w:t>做</w:t>
      </w:r>
      <w:r>
        <w:rPr>
          <w:rFonts w:hint="eastAsia" w:ascii="宋体" w:hAnsi="宋体" w:cs="宋体"/>
          <w:color w:val="auto"/>
          <w:szCs w:val="21"/>
          <w:highlight w:val="none"/>
        </w:rPr>
        <w:t>出结论。持不同意见的评标委员会成员应当在评标报告上签署不同意见</w:t>
      </w:r>
      <w:r>
        <w:rPr>
          <w:rFonts w:hint="eastAsia" w:ascii="宋体" w:hAnsi="宋体" w:cs="宋体"/>
          <w:color w:val="auto"/>
          <w:kern w:val="0"/>
          <w:szCs w:val="21"/>
          <w:highlight w:val="none"/>
        </w:rPr>
        <w:t>并说明</w:t>
      </w:r>
      <w:r>
        <w:rPr>
          <w:rFonts w:hint="eastAsia" w:ascii="宋体" w:hAnsi="宋体" w:cs="宋体"/>
          <w:color w:val="auto"/>
          <w:szCs w:val="21"/>
          <w:highlight w:val="none"/>
        </w:rPr>
        <w:t>理由，否则视为同意。</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2</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rPr>
        <w:t>. 投标文件的初审</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.1对所有投标人的评估，都采用相同的程序和标准。评标过程将严格按照</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文件的要求和条件进行。</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.2 评标委员会将对投标文件进行检查，以确定投标文件是否完整、有无计算上的错误、文件是否已正确签署等。</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ascii="宋体" w:hAnsi="宋体" w:cs="宋体"/>
          <w:color w:val="auto"/>
          <w:kern w:val="0"/>
          <w:szCs w:val="21"/>
          <w:highlight w:val="none"/>
        </w:rPr>
        <w:t>.</w:t>
      </w:r>
      <w:r>
        <w:rPr>
          <w:rFonts w:hint="eastAsia" w:ascii="宋体" w:hAnsi="宋体" w:cs="宋体"/>
          <w:color w:val="auto"/>
          <w:kern w:val="0"/>
          <w:szCs w:val="21"/>
          <w:highlight w:val="none"/>
        </w:rPr>
        <w:t>3</w:t>
      </w:r>
      <w:r>
        <w:rPr>
          <w:rFonts w:ascii="宋体" w:hAnsi="宋体" w:cs="宋体"/>
          <w:color w:val="auto"/>
          <w:kern w:val="0"/>
          <w:szCs w:val="21"/>
          <w:highlight w:val="none"/>
        </w:rPr>
        <w:t> </w:t>
      </w:r>
      <w:r>
        <w:rPr>
          <w:rFonts w:hint="eastAsia"/>
          <w:color w:val="auto"/>
          <w:kern w:val="0"/>
          <w:szCs w:val="21"/>
          <w:highlight w:val="none"/>
        </w:rPr>
        <w:t>投标文件报价出现前后不一致的，除</w:t>
      </w:r>
      <w:r>
        <w:rPr>
          <w:rFonts w:hint="eastAsia"/>
          <w:color w:val="auto"/>
          <w:kern w:val="0"/>
          <w:szCs w:val="21"/>
          <w:highlight w:val="none"/>
          <w:lang w:val="en-US" w:eastAsia="zh-CN"/>
        </w:rPr>
        <w:t>采购</w:t>
      </w:r>
      <w:r>
        <w:rPr>
          <w:rFonts w:hint="eastAsia"/>
          <w:color w:val="auto"/>
          <w:kern w:val="0"/>
          <w:szCs w:val="21"/>
          <w:highlight w:val="none"/>
        </w:rPr>
        <w:t>文件另有规定外，</w:t>
      </w:r>
      <w:r>
        <w:rPr>
          <w:rFonts w:hint="eastAsia" w:cs="宋体"/>
          <w:color w:val="auto"/>
          <w:kern w:val="0"/>
          <w:szCs w:val="21"/>
          <w:highlight w:val="none"/>
        </w:rPr>
        <w:t>修正错误的原则如下：</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.3.1</w:t>
      </w:r>
      <w:r>
        <w:rPr>
          <w:rFonts w:hint="eastAsia" w:ascii="宋体" w:hAnsi="宋体" w:cs="宋体"/>
          <w:color w:val="auto"/>
          <w:sz w:val="21"/>
          <w:szCs w:val="21"/>
          <w:highlight w:val="none"/>
          <w:shd w:val="clear" w:color="auto" w:fill="FFFFFF"/>
        </w:rPr>
        <w:t>投标文件开标一览表（报价表）内容与投标文件中相应内容不一致的，以开标一览表（报价表）为准；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.3.2</w:t>
      </w:r>
      <w:r>
        <w:rPr>
          <w:rFonts w:hint="eastAsia" w:ascii="宋体" w:hAnsi="宋体" w:cs="宋体"/>
          <w:color w:val="auto"/>
          <w:sz w:val="21"/>
          <w:szCs w:val="21"/>
          <w:highlight w:val="none"/>
          <w:shd w:val="clear" w:color="auto" w:fill="FFFFFF"/>
        </w:rPr>
        <w:t>大写金额</w:t>
      </w:r>
      <w:r>
        <w:rPr>
          <w:rFonts w:hint="eastAsia" w:ascii="宋体" w:hAnsi="宋体" w:cs="宋体"/>
          <w:color w:val="auto"/>
          <w:sz w:val="21"/>
          <w:szCs w:val="21"/>
          <w:highlight w:val="none"/>
        </w:rPr>
        <w:t>与</w:t>
      </w:r>
      <w:r>
        <w:rPr>
          <w:rFonts w:hint="eastAsia" w:ascii="宋体" w:hAnsi="宋体" w:cs="宋体"/>
          <w:color w:val="auto"/>
          <w:sz w:val="21"/>
          <w:szCs w:val="21"/>
          <w:highlight w:val="none"/>
          <w:shd w:val="clear" w:color="auto" w:fill="FFFFFF"/>
        </w:rPr>
        <w:t>小写金额不一致的，以大写金额为准；</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.3.3</w:t>
      </w:r>
      <w:r>
        <w:rPr>
          <w:rFonts w:hint="eastAsia" w:ascii="宋体" w:hAnsi="宋体" w:cs="宋体"/>
          <w:color w:val="auto"/>
          <w:sz w:val="21"/>
          <w:szCs w:val="21"/>
          <w:highlight w:val="none"/>
          <w:shd w:val="clear" w:color="auto" w:fill="FFFFFF"/>
        </w:rPr>
        <w:t>单价金额小数点或者百分比有明显错位的，以开标一览表的总价为准，并修改单价；</w:t>
      </w:r>
    </w:p>
    <w:p>
      <w:pPr>
        <w:pStyle w:val="30"/>
        <w:keepNext w:val="0"/>
        <w:keepLines w:val="0"/>
        <w:pageBreakBefore w:val="0"/>
        <w:widowControl/>
        <w:shd w:val="clear" w:color="auto"/>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.3.4</w:t>
      </w:r>
      <w:r>
        <w:rPr>
          <w:rFonts w:hint="eastAsia" w:ascii="宋体" w:hAnsi="宋体" w:cs="宋体"/>
          <w:color w:val="auto"/>
          <w:sz w:val="21"/>
          <w:szCs w:val="21"/>
          <w:highlight w:val="none"/>
          <w:shd w:val="clear" w:color="auto" w:fill="FFFFFF"/>
        </w:rPr>
        <w:t>总价金额与按单价汇总金额不一致的，以单价金额计算结果为准。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.3.5 对不同文字文本投标文件的解释发生异议的，以中文文本为准。</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.3.6 同时出现两种以上不一致的，按照前款规定的顺序修正。修正后的报价按照财政部87号令第五十一条第二款的规定经投标人确认后产生约束力，投标人不确认的，其投标无效。</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 资格性检查和符合性检查。</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w:t>
      </w:r>
      <w:r>
        <w:rPr>
          <w:rFonts w:hint="eastAsia" w:ascii="宋体" w:hAnsi="宋体"/>
          <w:color w:val="auto"/>
          <w:szCs w:val="21"/>
          <w:highlight w:val="none"/>
        </w:rPr>
        <w:t>资格性检查。依据法规政策和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文件的规定，在对投标文件详细评估之前，采购人将依据投标人提交的投标文件按</w:t>
      </w:r>
      <w:r>
        <w:rPr>
          <w:rFonts w:hint="eastAsia" w:ascii="宋体" w:hAnsi="宋体"/>
          <w:color w:val="auto"/>
          <w:szCs w:val="21"/>
          <w:highlight w:val="none"/>
          <w:lang w:val="en-US" w:eastAsia="zh-CN"/>
        </w:rPr>
        <w:t>采购</w:t>
      </w:r>
      <w:r>
        <w:rPr>
          <w:rFonts w:hint="eastAsia" w:ascii="宋体" w:hAnsi="宋体"/>
          <w:color w:val="auto"/>
          <w:szCs w:val="21"/>
          <w:highlight w:val="none"/>
        </w:rPr>
        <w:t>公告第二项和</w:t>
      </w:r>
      <w:r>
        <w:rPr>
          <w:rFonts w:hint="eastAsia" w:ascii="宋体" w:hAnsi="宋体"/>
          <w:color w:val="auto"/>
          <w:szCs w:val="21"/>
          <w:highlight w:val="none"/>
          <w:lang w:val="en-US" w:eastAsia="zh-CN"/>
        </w:rPr>
        <w:t>采购</w:t>
      </w:r>
      <w:r>
        <w:rPr>
          <w:rFonts w:hint="eastAsia" w:ascii="宋体" w:hAnsi="宋体"/>
          <w:color w:val="auto"/>
          <w:szCs w:val="21"/>
          <w:highlight w:val="none"/>
        </w:rPr>
        <w:t>文件第三章4.投标人应提交的证明文件所述的资格标准对投标人进行资格审查,以确定其是否具备投标资格。如果投标人不具备投标资格、不满足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文件所规定的资格标准或提供资格证明文件不全,其投标将被作为无效投标。</w:t>
      </w:r>
      <w:r>
        <w:rPr>
          <w:rFonts w:hint="eastAsia" w:ascii="宋体" w:hAnsi="宋体" w:cs="Lucida Sans Unicode"/>
          <w:color w:val="auto"/>
          <w:szCs w:val="21"/>
          <w:highlight w:val="none"/>
        </w:rPr>
        <w:t>在审查过程中，采购人有权要求投标人按</w:t>
      </w:r>
      <w:r>
        <w:rPr>
          <w:rFonts w:hint="eastAsia" w:ascii="宋体" w:hAnsi="宋体" w:cs="Lucida Sans Unicode"/>
          <w:color w:val="auto"/>
          <w:szCs w:val="21"/>
          <w:highlight w:val="none"/>
          <w:lang w:val="en-US" w:eastAsia="zh-CN"/>
        </w:rPr>
        <w:t>采购</w:t>
      </w:r>
      <w:r>
        <w:rPr>
          <w:rFonts w:hint="eastAsia" w:ascii="宋体" w:hAnsi="宋体" w:cs="Lucida Sans Unicode"/>
          <w:color w:val="auto"/>
          <w:szCs w:val="21"/>
          <w:highlight w:val="none"/>
        </w:rPr>
        <w:t>文件的规定提供相关资格证明材料的原件以供审查。投标人应在规定的时限内提供。投标人拒不提供的，或者不能在规定时限内提供的，视为其不具备该资格条件。</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Lucida Sans Unicode"/>
          <w:color w:val="auto"/>
          <w:szCs w:val="21"/>
          <w:highlight w:val="none"/>
        </w:rPr>
      </w:pPr>
      <w:r>
        <w:rPr>
          <w:rFonts w:hint="eastAsia" w:ascii="宋体" w:hAnsi="宋体" w:cs="Lucida Sans Unicode"/>
          <w:color w:val="auto"/>
          <w:szCs w:val="21"/>
          <w:highlight w:val="none"/>
        </w:rPr>
        <w:t>2</w:t>
      </w:r>
      <w:r>
        <w:rPr>
          <w:rFonts w:hint="eastAsia" w:ascii="宋体" w:hAnsi="宋体" w:cs="Lucida Sans Unicode"/>
          <w:color w:val="auto"/>
          <w:szCs w:val="21"/>
          <w:highlight w:val="none"/>
          <w:lang w:val="en-US" w:eastAsia="zh-CN"/>
        </w:rPr>
        <w:t>5</w:t>
      </w:r>
      <w:r>
        <w:rPr>
          <w:rFonts w:hint="eastAsia" w:ascii="宋体" w:hAnsi="宋体" w:cs="Lucida Sans Unicode"/>
          <w:color w:val="auto"/>
          <w:szCs w:val="21"/>
          <w:highlight w:val="none"/>
        </w:rPr>
        <w:t>.4.2 资格审查后合格的投标人不足3家的，不得评标。</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 符合性检查。依据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文件的规定，评标委员会将从投标文件的有效性、完整性和对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文件的响应程度进行审查，以确定是否符合对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文件的实质性要求作出响应。对没有实质性响应的投标文件将不进行评估，其投标被作为无效投标。凡有下列情况之一者，投标文件也将被视为未实质性响应</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文件要求：</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（1）投标文件未按规定签字、盖章的。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（2）投标人未能出具有效身份证明，或与身份不符的。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（3）资格证明文件不全的，或不符合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文件标明的资格要求的。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（4）投标有效期、交货时间、质保期等不满足</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（5）未按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文件提供的格式填列、项目不齐全或内容虚假的。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（6）投标文件的实质性内容未使用中文表述，或意思表述不明确，或前后矛盾，或使用计量单位不符合</w:t>
      </w:r>
      <w:r>
        <w:rPr>
          <w:rFonts w:hint="eastAsia" w:ascii="宋体" w:hAnsi="宋体"/>
          <w:color w:val="auto"/>
          <w:szCs w:val="21"/>
          <w:highlight w:val="none"/>
          <w:lang w:val="en-US" w:eastAsia="zh-CN"/>
        </w:rPr>
        <w:t>采购</w:t>
      </w:r>
      <w:r>
        <w:rPr>
          <w:rFonts w:hint="eastAsia" w:ascii="宋体" w:hAnsi="宋体"/>
          <w:color w:val="auto"/>
          <w:szCs w:val="21"/>
          <w:highlight w:val="none"/>
        </w:rPr>
        <w:t>文件要求的。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olor w:val="auto"/>
          <w:szCs w:val="21"/>
          <w:highlight w:val="none"/>
        </w:rPr>
      </w:pPr>
      <w:r>
        <w:rPr>
          <w:rFonts w:hint="eastAsia" w:ascii="宋体" w:hAnsi="宋体"/>
          <w:color w:val="auto"/>
          <w:szCs w:val="21"/>
          <w:highlight w:val="none"/>
        </w:rPr>
        <w:t>（7）投标文件的关键内容字迹模糊、无法辨认,或投标文件中经修正的内容字迹模糊无法辩认，或修改处未按规定签名盖章的。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olor w:val="auto"/>
          <w:szCs w:val="21"/>
          <w:highlight w:val="none"/>
        </w:rPr>
        <w:t>（8）投标文件内容未按</w:t>
      </w:r>
      <w:r>
        <w:rPr>
          <w:rFonts w:hint="eastAsia" w:ascii="宋体" w:hAnsi="宋体"/>
          <w:color w:val="auto"/>
          <w:szCs w:val="21"/>
          <w:highlight w:val="none"/>
          <w:lang w:val="en-US" w:eastAsia="zh-CN"/>
        </w:rPr>
        <w:t>采购</w:t>
      </w:r>
      <w:r>
        <w:rPr>
          <w:rFonts w:hint="eastAsia" w:ascii="宋体" w:hAnsi="宋体"/>
          <w:color w:val="auto"/>
          <w:szCs w:val="21"/>
          <w:highlight w:val="none"/>
        </w:rPr>
        <w:t>文件响应的。</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（9）不符合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文件中规定的其它实质性条款。</w:t>
      </w:r>
    </w:p>
    <w:p>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评标委员会决定投标的响应性只根据投标文件本身的内容，而不寻求其他的外部证据。</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.4.4 对资格性检查和符合性检查不合格的投标人，将</w:t>
      </w:r>
      <w:r>
        <w:rPr>
          <w:rFonts w:hint="eastAsia" w:ascii="宋体" w:hAnsi="宋体" w:cs="宋体"/>
          <w:color w:val="auto"/>
          <w:kern w:val="0"/>
          <w:szCs w:val="21"/>
          <w:highlight w:val="none"/>
          <w:lang w:val="en-US" w:eastAsia="zh-CN"/>
        </w:rPr>
        <w:t>通过评标系统</w:t>
      </w:r>
      <w:r>
        <w:rPr>
          <w:rFonts w:hint="eastAsia" w:ascii="宋体" w:hAnsi="宋体" w:cs="宋体"/>
          <w:color w:val="auto"/>
          <w:kern w:val="0"/>
          <w:szCs w:val="21"/>
          <w:highlight w:val="none"/>
        </w:rPr>
        <w:t>告知其理由。</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5</w:t>
      </w:r>
      <w:r>
        <w:rPr>
          <w:rFonts w:hint="eastAsia" w:ascii="宋体" w:hAnsi="宋体" w:cs="宋体"/>
          <w:color w:val="auto"/>
          <w:sz w:val="21"/>
          <w:szCs w:val="21"/>
          <w:highlight w:val="none"/>
        </w:rPr>
        <w:t>.5 在评审过程中，评标委员会发现投标人有下列情形之一的，视为投标人串通投标，其投标无效：</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.5.1不同投标人的投标文件异常一致。</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.5.2不同投标人的投标文件由同一单位或者个人编制；</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.5.3不同投标人委托同一单位或者个人办理投标事宜；</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.5.4不同投标人的投标文件载明的项目管理成员或者联系人员为同一人；　　</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.5.5不同投标人的投标文件相互混装；</w:t>
      </w:r>
    </w:p>
    <w:p>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5</w:t>
      </w:r>
      <w:r>
        <w:rPr>
          <w:rFonts w:hint="eastAsia" w:ascii="宋体" w:hAnsi="宋体" w:cs="宋体"/>
          <w:color w:val="auto"/>
          <w:szCs w:val="21"/>
          <w:highlight w:val="none"/>
        </w:rPr>
        <w:t>.5.6不同投标人的投标保证金从同一单位或者个人的账户转出（若收取）。</w:t>
      </w:r>
    </w:p>
    <w:p>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.5.7 有证据证明投标人串通投标的其他情形的；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.5.8 不同投标人的投标文件制作机器码一致；</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eastAsia="zh-CN"/>
        </w:rPr>
        <w:t>5</w:t>
      </w:r>
      <w:r>
        <w:rPr>
          <w:rFonts w:hint="eastAsia" w:ascii="宋体" w:hAnsi="宋体" w:cs="宋体"/>
          <w:color w:val="auto"/>
          <w:kern w:val="0"/>
          <w:szCs w:val="21"/>
          <w:highlight w:val="none"/>
        </w:rPr>
        <w:t>.5.9 评标委员会认定的其他串通投标情形。</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rPr>
        <w:t>. 投标文件的澄清</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对投标文件中含义不明确、同类问题表述不一致或者有明显文字和计算错误的内容，评标委员会可以书面形式要求投标人作出必要的澄清。投标人的澄清应当在评标委员会规定的时间内以书面形式作出，由其投标人代表签字。但澄清事项不得超出投标文件的范围，不得实质性改变投标文件的内容，不得通过澄清等方式对投标人实行差别对待。评标委员会不得接受投标人主动提出的澄清和解释。</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rPr>
        <w:t>. 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.1 评标委员会将按本</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文件规定的评标方法与标准，对资格性检查和符合性检查合格的投标文件进行商务和技术评估，综合比较与评价。</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.2对漏（缺）报项的处理：</w:t>
      </w:r>
      <w:r>
        <w:rPr>
          <w:rFonts w:hint="eastAsia" w:ascii="宋体" w:hAnsi="宋体" w:cs="宋体"/>
          <w:color w:val="auto"/>
          <w:sz w:val="21"/>
          <w:szCs w:val="21"/>
          <w:highlight w:val="none"/>
          <w:lang w:val="en-US" w:eastAsia="zh-CN"/>
        </w:rPr>
        <w:t>采购</w:t>
      </w:r>
      <w:r>
        <w:rPr>
          <w:rFonts w:hint="eastAsia" w:ascii="宋体" w:hAnsi="宋体" w:cs="宋体"/>
          <w:color w:val="auto"/>
          <w:sz w:val="21"/>
          <w:szCs w:val="21"/>
          <w:highlight w:val="none"/>
        </w:rPr>
        <w:t>文件中要求列入报价的费用（含配置、功能），漏（缺）报的视同已含在投标总价中。</w:t>
      </w:r>
    </w:p>
    <w:p>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ascii="宋体" w:hAnsi="宋体" w:cs="宋体"/>
          <w:b/>
          <w:bCs/>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7</w:t>
      </w:r>
      <w:r>
        <w:rPr>
          <w:rFonts w:hint="eastAsia" w:ascii="宋体" w:hAnsi="宋体" w:cs="宋体"/>
          <w:color w:val="auto"/>
          <w:sz w:val="21"/>
          <w:szCs w:val="21"/>
          <w:highlight w:val="none"/>
        </w:rPr>
        <w:t>.3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bCs/>
          <w:color w:val="auto"/>
          <w:kern w:val="0"/>
          <w:szCs w:val="21"/>
          <w:highlight w:val="none"/>
        </w:rPr>
        <w:t>2</w:t>
      </w:r>
      <w:r>
        <w:rPr>
          <w:rFonts w:hint="eastAsia" w:ascii="宋体" w:hAnsi="宋体" w:cs="宋体"/>
          <w:b/>
          <w:bCs/>
          <w:color w:val="auto"/>
          <w:kern w:val="0"/>
          <w:szCs w:val="21"/>
          <w:highlight w:val="none"/>
          <w:lang w:val="en-US" w:eastAsia="zh-CN"/>
        </w:rPr>
        <w:t>8</w:t>
      </w:r>
      <w:r>
        <w:rPr>
          <w:rFonts w:hint="eastAsia" w:ascii="宋体" w:hAnsi="宋体" w:cs="宋体"/>
          <w:b/>
          <w:bCs/>
          <w:color w:val="auto"/>
          <w:kern w:val="0"/>
          <w:szCs w:val="21"/>
          <w:highlight w:val="none"/>
        </w:rPr>
        <w:t>. 评标过程及保密原则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 凡与本次</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有关人员对属于审查、澄清、评价和比较投标的有关资料以及定标意向等，均不得向投标人或其他人员透露。否则,将按有关规定追究相关人员的责任。</w:t>
      </w:r>
    </w:p>
    <w:p>
      <w:pPr>
        <w:keepNext w:val="0"/>
        <w:keepLines w:val="0"/>
        <w:pageBreakBefore w:val="0"/>
        <w:widowControl/>
        <w:kinsoku/>
        <w:wordWrap/>
        <w:overflowPunct/>
        <w:topLinePunct w:val="0"/>
        <w:bidi w:val="0"/>
        <w:snapToGrid w:val="0"/>
        <w:spacing w:line="360" w:lineRule="auto"/>
        <w:ind w:firstLine="420" w:firstLineChars="200"/>
        <w:jc w:val="left"/>
        <w:rPr>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 在评标期间，投标人试图影响或干预评审的任何行为，将导致其投标被作为无效投标，并承担相应的法律责任。</w:t>
      </w:r>
    </w:p>
    <w:p>
      <w:pPr>
        <w:keepNext w:val="0"/>
        <w:keepLines w:val="0"/>
        <w:pageBreakBefore w:val="0"/>
        <w:widowControl/>
        <w:kinsoku/>
        <w:wordWrap/>
        <w:overflowPunct/>
        <w:topLinePunct w:val="0"/>
        <w:bidi w:val="0"/>
        <w:snapToGrid w:val="0"/>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29</w:t>
      </w:r>
      <w:r>
        <w:rPr>
          <w:rFonts w:hint="eastAsia" w:ascii="宋体" w:hAnsi="宋体" w:cs="宋体"/>
          <w:b/>
          <w:color w:val="auto"/>
          <w:kern w:val="0"/>
          <w:szCs w:val="21"/>
          <w:highlight w:val="none"/>
        </w:rPr>
        <w:t>.评标异议登记</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 w:val="24"/>
          <w:highlight w:val="none"/>
        </w:rPr>
      </w:pPr>
      <w:r>
        <w:rPr>
          <w:rFonts w:hint="eastAsia" w:ascii="宋体" w:hAnsi="宋体" w:cs="宋体"/>
          <w:bCs/>
          <w:color w:val="auto"/>
          <w:kern w:val="0"/>
          <w:szCs w:val="21"/>
          <w:highlight w:val="none"/>
        </w:rPr>
        <w:t>采购人</w:t>
      </w:r>
      <w:r>
        <w:rPr>
          <w:rFonts w:hint="eastAsia" w:ascii="宋体" w:hAnsi="宋体" w:cs="宋体"/>
          <w:color w:val="auto"/>
          <w:kern w:val="0"/>
          <w:szCs w:val="21"/>
          <w:highlight w:val="none"/>
        </w:rPr>
        <w:t>工作人员对评审专家等相关人员在评审过程中发现、提出的异议进行逐项登记。</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六</w:t>
      </w:r>
      <w:r>
        <w:rPr>
          <w:rFonts w:hint="eastAsia" w:ascii="黑体" w:hAnsi="宋体" w:eastAsia="黑体" w:cs="宋体"/>
          <w:b/>
          <w:bCs/>
          <w:color w:val="auto"/>
          <w:kern w:val="0"/>
          <w:sz w:val="32"/>
          <w:highlight w:val="none"/>
        </w:rPr>
        <w:t>、</w:t>
      </w:r>
      <w:r>
        <w:rPr>
          <w:rFonts w:hint="eastAsia" w:ascii="黑体" w:hAnsi="宋体" w:eastAsia="黑体" w:cs="宋体"/>
          <w:b/>
          <w:bCs/>
          <w:color w:val="auto"/>
          <w:kern w:val="0"/>
          <w:sz w:val="32"/>
          <w:szCs w:val="32"/>
          <w:highlight w:val="none"/>
        </w:rPr>
        <w:t>定标</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0</w:t>
      </w:r>
      <w:r>
        <w:rPr>
          <w:rFonts w:hint="eastAsia" w:ascii="宋体" w:hAnsi="宋体" w:cs="宋体"/>
          <w:b/>
          <w:bCs/>
          <w:color w:val="auto"/>
          <w:kern w:val="0"/>
          <w:szCs w:val="21"/>
          <w:highlight w:val="none"/>
        </w:rPr>
        <w:t>. 定标原则</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.1 最低投标价不作为中标的保证。</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 确定实质上响应</w:t>
      </w:r>
      <w:r>
        <w:rPr>
          <w:rFonts w:hint="eastAsia" w:ascii="宋体" w:hAnsi="宋体" w:cs="宋体"/>
          <w:bCs/>
          <w:color w:val="auto"/>
          <w:kern w:val="0"/>
          <w:szCs w:val="21"/>
          <w:highlight w:val="none"/>
          <w:lang w:val="en-US" w:eastAsia="zh-CN"/>
        </w:rPr>
        <w:t>采购</w:t>
      </w:r>
      <w:r>
        <w:rPr>
          <w:rFonts w:hint="eastAsia" w:ascii="宋体" w:hAnsi="宋体" w:cs="宋体"/>
          <w:bCs/>
          <w:color w:val="auto"/>
          <w:kern w:val="0"/>
          <w:szCs w:val="21"/>
          <w:highlight w:val="none"/>
        </w:rPr>
        <w:t>文件且满足下列条件的为中标候选人（或中标人）</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bookmarkStart w:id="41" w:name="_Toc32200"/>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0</w:t>
      </w:r>
      <w:r>
        <w:rPr>
          <w:rFonts w:hint="eastAsia" w:ascii="宋体" w:hAnsi="宋体" w:cs="宋体"/>
          <w:bCs/>
          <w:color w:val="auto"/>
          <w:kern w:val="0"/>
          <w:szCs w:val="21"/>
          <w:highlight w:val="none"/>
        </w:rPr>
        <w:t>.2.1</w:t>
      </w:r>
      <w:bookmarkEnd w:id="41"/>
      <w:r>
        <w:rPr>
          <w:rFonts w:hint="eastAsia" w:ascii="宋体" w:hAnsi="宋体" w:cs="宋体"/>
          <w:bCs/>
          <w:color w:val="auto"/>
          <w:kern w:val="0"/>
          <w:szCs w:val="21"/>
          <w:highlight w:val="none"/>
        </w:rPr>
        <w:t>本次评标采用</w:t>
      </w:r>
      <w:r>
        <w:rPr>
          <w:rFonts w:hint="eastAsia" w:ascii="宋体" w:hAnsi="宋体" w:cs="宋体"/>
          <w:color w:val="auto"/>
          <w:szCs w:val="21"/>
          <w:highlight w:val="none"/>
        </w:rPr>
        <w:t>综合评分法，是指响应文件满足采购文件全部实质性要求，且按照评审因素的量化指标评审得分最高的投标人为中标候选人的评标方法。</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采用综合评分法的，评标结果按评审后得分由高到低顺序排列。投标文件满足</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全部实质性要求，且按照评审因素的量化指标评审得分最高的投标人为排名第一的中标候选人，以此类推。得分相同的，按投标报价由低到高顺序排列。得分且投标报价相同的，按技术部分得分顺序排列。得分与技术指标优劣均相同的，通过随机抽取产生。</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1</w:t>
      </w:r>
      <w:r>
        <w:rPr>
          <w:rFonts w:hint="eastAsia" w:ascii="宋体" w:hAnsi="宋体" w:cs="宋体"/>
          <w:b/>
          <w:bCs/>
          <w:color w:val="auto"/>
          <w:kern w:val="0"/>
          <w:szCs w:val="21"/>
          <w:highlight w:val="none"/>
        </w:rPr>
        <w:t>. 确定中标人和中标候选人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bCs/>
          <w:color w:val="auto"/>
          <w:kern w:val="0"/>
          <w:szCs w:val="21"/>
          <w:highlight w:val="none"/>
        </w:rPr>
        <w:t>本项目由采购人授权评标委员会确定</w:t>
      </w:r>
      <w:r>
        <w:rPr>
          <w:rFonts w:hint="eastAsia" w:ascii="宋体" w:hAnsi="宋体" w:cs="宋体"/>
          <w:b/>
          <w:bCs w:val="0"/>
          <w:color w:val="auto"/>
          <w:kern w:val="0"/>
          <w:szCs w:val="21"/>
          <w:highlight w:val="none"/>
          <w:lang w:eastAsia="zh-CN"/>
        </w:rPr>
        <w:t>二名中标人</w:t>
      </w:r>
      <w:r>
        <w:rPr>
          <w:rFonts w:hint="eastAsia" w:ascii="宋体" w:hAnsi="宋体" w:cs="宋体"/>
          <w:color w:val="auto"/>
          <w:kern w:val="0"/>
          <w:szCs w:val="21"/>
          <w:highlight w:val="none"/>
        </w:rPr>
        <w:t>。</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2</w:t>
      </w:r>
      <w:r>
        <w:rPr>
          <w:rFonts w:hint="eastAsia" w:ascii="宋体" w:hAnsi="宋体" w:cs="宋体"/>
          <w:b/>
          <w:bCs/>
          <w:color w:val="auto"/>
          <w:kern w:val="0"/>
          <w:szCs w:val="21"/>
          <w:highlight w:val="none"/>
        </w:rPr>
        <w:t>. 中标通知书及中标公告</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.1评审结束后，</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人将中标候选人的情况在本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项目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公告发布的同一媒介予以公示，公示</w:t>
      </w:r>
      <w:r>
        <w:rPr>
          <w:rFonts w:hint="eastAsia" w:ascii="宋体" w:hAnsi="宋体" w:cs="宋体"/>
          <w:color w:val="auto"/>
          <w:kern w:val="0"/>
          <w:szCs w:val="21"/>
          <w:highlight w:val="none"/>
          <w:lang w:eastAsia="zh-CN"/>
        </w:rPr>
        <w:t>期限</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lang w:eastAsia="zh-CN"/>
        </w:rPr>
        <w:t>个工作日</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公示期结束后</w:t>
      </w:r>
      <w:r>
        <w:rPr>
          <w:rFonts w:hint="eastAsia" w:ascii="宋体" w:hAnsi="宋体" w:cs="宋体"/>
          <w:color w:val="auto"/>
          <w:kern w:val="0"/>
          <w:szCs w:val="21"/>
          <w:highlight w:val="none"/>
        </w:rPr>
        <w:t>向中标人发出中标通知书。</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.2中标人在规定的时间内不领取中标通知书的，视为中标后自动放弃中标资格；中标人在有效报价中报价最低,非不可抗力放弃中标资格的。发生上述情况的承担由此引起的一切后果。</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.3中标通知书对采购人和中标人具有同等法律效力。中标通知书发出后，采购人改变中标结果，或者中标人放弃中标，应按相关法律、规章、规范性文件的要求承担相应的法律责任。</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2</w:t>
      </w:r>
      <w:r>
        <w:rPr>
          <w:rFonts w:hint="eastAsia" w:ascii="宋体" w:hAnsi="宋体" w:cs="宋体"/>
          <w:bCs/>
          <w:color w:val="auto"/>
          <w:kern w:val="0"/>
          <w:szCs w:val="21"/>
          <w:highlight w:val="none"/>
        </w:rPr>
        <w:t>.4中标通知书将作为签订合同的依据。合同签订后，中标通知书成为合同的一部分。</w:t>
      </w:r>
    </w:p>
    <w:p>
      <w:pPr>
        <w:keepNext w:val="0"/>
        <w:keepLines w:val="0"/>
        <w:pageBreakBefore w:val="0"/>
        <w:widowControl/>
        <w:kinsoku/>
        <w:wordWrap/>
        <w:overflowPunct/>
        <w:topLinePunct w:val="0"/>
        <w:bidi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3</w:t>
      </w:r>
      <w:r>
        <w:rPr>
          <w:rFonts w:hint="eastAsia" w:ascii="宋体" w:hAnsi="宋体" w:cs="宋体"/>
          <w:b/>
          <w:bCs/>
          <w:color w:val="auto"/>
          <w:kern w:val="0"/>
          <w:szCs w:val="21"/>
          <w:highlight w:val="none"/>
        </w:rPr>
        <w:t>. 采购人宣布废标的权利</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.1出现下列情况之一时，采购人有权宣布废标，并将理由通知所有投标人：</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.1.1出现影响采购公正的违法、违规行为的。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.1.2投标人的报价均超过了</w:t>
      </w:r>
      <w:r>
        <w:rPr>
          <w:rFonts w:hint="eastAsia" w:ascii="宋体" w:hAnsi="宋体" w:cs="宋体"/>
          <w:bCs/>
          <w:color w:val="auto"/>
          <w:kern w:val="0"/>
          <w:szCs w:val="21"/>
          <w:highlight w:val="none"/>
          <w:lang w:val="en-US" w:eastAsia="zh-CN"/>
        </w:rPr>
        <w:t>采购预算金额</w:t>
      </w:r>
      <w:r>
        <w:rPr>
          <w:rFonts w:hint="eastAsia" w:ascii="宋体" w:hAnsi="宋体" w:cs="宋体"/>
          <w:bCs/>
          <w:color w:val="auto"/>
          <w:kern w:val="0"/>
          <w:szCs w:val="21"/>
          <w:highlight w:val="none"/>
        </w:rPr>
        <w:t>，采购人不能支付的。</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bCs/>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.1.3因重大变故，采购任务取消的。</w:t>
      </w:r>
    </w:p>
    <w:p>
      <w:pPr>
        <w:keepNext w:val="0"/>
        <w:keepLines w:val="0"/>
        <w:pageBreakBefore w:val="0"/>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3</w:t>
      </w:r>
      <w:r>
        <w:rPr>
          <w:rFonts w:hint="eastAsia" w:ascii="宋体" w:hAnsi="宋体" w:cs="宋体"/>
          <w:bCs/>
          <w:color w:val="auto"/>
          <w:kern w:val="0"/>
          <w:szCs w:val="21"/>
          <w:highlight w:val="none"/>
          <w:lang w:val="en-US" w:eastAsia="zh-CN"/>
        </w:rPr>
        <w:t>3</w:t>
      </w:r>
      <w:r>
        <w:rPr>
          <w:rFonts w:hint="eastAsia" w:ascii="宋体" w:hAnsi="宋体" w:cs="宋体"/>
          <w:color w:val="auto"/>
          <w:kern w:val="0"/>
          <w:szCs w:val="21"/>
          <w:highlight w:val="none"/>
        </w:rPr>
        <w:t xml:space="preserve">.2 </w:t>
      </w:r>
      <w:r>
        <w:rPr>
          <w:rFonts w:hint="eastAsia" w:ascii="宋体" w:hAnsi="宋体" w:cs="宋体"/>
          <w:color w:val="auto"/>
          <w:szCs w:val="21"/>
          <w:highlight w:val="none"/>
        </w:rPr>
        <w:t>投标截止后投标人不足3家或通过资格性检查或符合性检查的投标人不足3家的，除采购任务取消情形外，按照以下方式处理：</w:t>
      </w:r>
    </w:p>
    <w:p>
      <w:pPr>
        <w:keepNext w:val="0"/>
        <w:keepLines w:val="0"/>
        <w:pageBreakBefore w:val="0"/>
        <w:numPr>
          <w:ilvl w:val="0"/>
          <w:numId w:val="2"/>
        </w:numPr>
        <w:kinsoku/>
        <w:wordWrap/>
        <w:overflowPunct/>
        <w:topLinePunct w:val="0"/>
        <w:bidi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文件存在不合理条款或者招标程序不符合规定的，采购人正后依法重新招标；　</w:t>
      </w:r>
    </w:p>
    <w:p>
      <w:pPr>
        <w:keepNext w:val="0"/>
        <w:keepLines w:val="0"/>
        <w:pageBreakBefore w:val="0"/>
        <w:kinsoku/>
        <w:wordWrap/>
        <w:overflowPunct/>
        <w:topLinePunct w:val="0"/>
        <w:bidi w:val="0"/>
        <w:snapToGrid w:val="0"/>
        <w:spacing w:line="360" w:lineRule="auto"/>
        <w:ind w:firstLine="420" w:firstLineChars="200"/>
        <w:rPr>
          <w:rFonts w:ascii="宋体" w:hAnsi="宋体" w:cs="宋体"/>
          <w:b/>
          <w:color w:val="auto"/>
          <w:kern w:val="0"/>
          <w:sz w:val="52"/>
          <w:szCs w:val="52"/>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文件没有不合理条款、招标程序符合规定，需要采用其他采购方式采购的，采购人应当依法报财政部门批准。</w:t>
      </w:r>
    </w:p>
    <w:p>
      <w:pPr>
        <w:keepNext w:val="0"/>
        <w:keepLines w:val="0"/>
        <w:pageBreakBefore w:val="0"/>
        <w:widowControl/>
        <w:kinsoku/>
        <w:wordWrap/>
        <w:overflowPunct/>
        <w:topLinePunct w:val="0"/>
        <w:bidi w:val="0"/>
        <w:snapToGrid w:val="0"/>
        <w:spacing w:line="360" w:lineRule="auto"/>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lang w:val="en-US" w:eastAsia="zh-CN"/>
        </w:rPr>
        <w:t>七</w:t>
      </w:r>
      <w:r>
        <w:rPr>
          <w:rFonts w:hint="eastAsia" w:ascii="黑体" w:hAnsi="宋体" w:eastAsia="黑体" w:cs="宋体"/>
          <w:b/>
          <w:bCs/>
          <w:color w:val="auto"/>
          <w:kern w:val="0"/>
          <w:sz w:val="32"/>
          <w:szCs w:val="32"/>
          <w:highlight w:val="none"/>
        </w:rPr>
        <w:t>、合同授予</w:t>
      </w:r>
    </w:p>
    <w:p>
      <w:pPr>
        <w:keepNext w:val="0"/>
        <w:keepLines w:val="0"/>
        <w:pageBreakBefore w:val="0"/>
        <w:widowControl/>
        <w:kinsoku/>
        <w:wordWrap/>
        <w:overflowPunct/>
        <w:topLinePunct w:val="0"/>
        <w:bidi w:val="0"/>
        <w:snapToGrid w:val="0"/>
        <w:spacing w:line="360" w:lineRule="auto"/>
        <w:ind w:firstLine="472" w:firstLineChars="224"/>
        <w:rPr>
          <w:rFonts w:ascii="宋体" w:hAnsi="宋体" w:cs="宋体"/>
          <w:color w:val="auto"/>
          <w:kern w:val="0"/>
          <w:szCs w:val="21"/>
          <w:highlight w:val="none"/>
        </w:rPr>
      </w:pPr>
      <w:r>
        <w:rPr>
          <w:rFonts w:hint="eastAsia" w:ascii="宋体" w:hAnsi="宋体" w:cs="宋体"/>
          <w:b/>
          <w:bCs/>
          <w:color w:val="auto"/>
          <w:kern w:val="0"/>
          <w:szCs w:val="21"/>
          <w:highlight w:val="none"/>
        </w:rPr>
        <w:t>3</w:t>
      </w:r>
      <w:r>
        <w:rPr>
          <w:rFonts w:hint="eastAsia" w:ascii="宋体" w:hAnsi="宋体" w:cs="宋体"/>
          <w:b/>
          <w:bCs/>
          <w:color w:val="auto"/>
          <w:kern w:val="0"/>
          <w:szCs w:val="21"/>
          <w:highlight w:val="none"/>
          <w:lang w:val="en-US" w:eastAsia="zh-CN"/>
        </w:rPr>
        <w:t>4</w:t>
      </w:r>
      <w:r>
        <w:rPr>
          <w:rFonts w:hint="eastAsia" w:ascii="宋体" w:hAnsi="宋体" w:cs="宋体"/>
          <w:b/>
          <w:bCs/>
          <w:color w:val="auto"/>
          <w:kern w:val="0"/>
          <w:szCs w:val="21"/>
          <w:highlight w:val="none"/>
        </w:rPr>
        <w:t>.合同签订</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u w:val="single"/>
        </w:rPr>
      </w:pPr>
      <w:bookmarkStart w:id="42" w:name="_Toc8594"/>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 采购人、中标人自中标通知书发出之日起，在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文件第三章《投标人须知前附表》规定的时间内，根据</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文件确定的事项和中标人投标文件签订合同。双方所签订的合同不得对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文件和中标人投标文件作实质性修改。</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 xml:space="preserve">.2 </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文件的修改文件、中标人的投标文件、补充或修改的文件及澄清或承诺文件等，均为双方签订合同的组成部分，并与合同一并作为本</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文件所列采购项目的互补性法律文件，与合同具有同等法律效力。</w:t>
      </w:r>
    </w:p>
    <w:p>
      <w:pPr>
        <w:keepNext w:val="0"/>
        <w:keepLines w:val="0"/>
        <w:pageBreakBefore w:val="0"/>
        <w:widowControl/>
        <w:kinsoku/>
        <w:wordWrap/>
        <w:overflowPunct/>
        <w:topLinePunct w:val="0"/>
        <w:bidi w:val="0"/>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.3 中标人</w:t>
      </w:r>
      <w:r>
        <w:rPr>
          <w:rFonts w:hint="eastAsia" w:cs="宋体"/>
          <w:color w:val="auto"/>
          <w:kern w:val="0"/>
          <w:szCs w:val="21"/>
          <w:highlight w:val="none"/>
        </w:rPr>
        <w:t>放弃中标、因不可抗力不能履行合同、不按照</w:t>
      </w:r>
      <w:r>
        <w:rPr>
          <w:rFonts w:hint="eastAsia" w:cs="宋体"/>
          <w:color w:val="auto"/>
          <w:kern w:val="0"/>
          <w:szCs w:val="21"/>
          <w:highlight w:val="none"/>
          <w:lang w:val="en-US" w:eastAsia="zh-CN"/>
        </w:rPr>
        <w:t>采购</w:t>
      </w:r>
      <w:r>
        <w:rPr>
          <w:rFonts w:hint="eastAsia" w:cs="宋体"/>
          <w:color w:val="auto"/>
          <w:kern w:val="0"/>
          <w:szCs w:val="21"/>
          <w:highlight w:val="none"/>
        </w:rPr>
        <w:t>文件要求提交履约保证金，或者被查实存在影响中标结果的违法行为等情形，不符合中标条件的，</w:t>
      </w:r>
      <w:r>
        <w:rPr>
          <w:rFonts w:hint="eastAsia" w:ascii="宋体" w:hAnsi="宋体" w:cs="宋体"/>
          <w:color w:val="auto"/>
          <w:kern w:val="0"/>
          <w:szCs w:val="21"/>
          <w:highlight w:val="none"/>
        </w:rPr>
        <w:t>采购人可以</w:t>
      </w:r>
      <w:r>
        <w:rPr>
          <w:rFonts w:hint="eastAsia" w:cs="宋体"/>
          <w:color w:val="auto"/>
          <w:kern w:val="0"/>
          <w:szCs w:val="21"/>
          <w:highlight w:val="none"/>
        </w:rPr>
        <w:t>按照评标委员会提出的中标候选</w:t>
      </w:r>
      <w:r>
        <w:rPr>
          <w:rFonts w:hint="eastAsia" w:ascii="宋体" w:hAnsi="宋体" w:cs="宋体"/>
          <w:color w:val="auto"/>
          <w:kern w:val="0"/>
          <w:szCs w:val="21"/>
          <w:highlight w:val="none"/>
        </w:rPr>
        <w:t>人</w:t>
      </w:r>
      <w:r>
        <w:rPr>
          <w:rFonts w:hint="eastAsia" w:cs="宋体"/>
          <w:color w:val="auto"/>
          <w:kern w:val="0"/>
          <w:szCs w:val="21"/>
          <w:highlight w:val="none"/>
        </w:rPr>
        <w:t>名单排序依次确定其他中标候选</w:t>
      </w:r>
      <w:r>
        <w:rPr>
          <w:rFonts w:hint="eastAsia" w:ascii="宋体" w:hAnsi="宋体" w:cs="宋体"/>
          <w:color w:val="auto"/>
          <w:kern w:val="0"/>
          <w:szCs w:val="21"/>
          <w:highlight w:val="none"/>
        </w:rPr>
        <w:t>人</w:t>
      </w:r>
      <w:r>
        <w:rPr>
          <w:rFonts w:hint="eastAsia" w:cs="宋体"/>
          <w:color w:val="auto"/>
          <w:kern w:val="0"/>
          <w:szCs w:val="21"/>
          <w:highlight w:val="none"/>
        </w:rPr>
        <w:t>为中标</w:t>
      </w:r>
      <w:r>
        <w:rPr>
          <w:rFonts w:hint="eastAsia" w:ascii="宋体" w:hAnsi="宋体" w:cs="宋体"/>
          <w:color w:val="auto"/>
          <w:kern w:val="0"/>
          <w:szCs w:val="21"/>
          <w:highlight w:val="none"/>
        </w:rPr>
        <w:t>人</w:t>
      </w:r>
      <w:r>
        <w:rPr>
          <w:rFonts w:hint="eastAsia" w:cs="宋体"/>
          <w:color w:val="auto"/>
          <w:kern w:val="0"/>
          <w:szCs w:val="21"/>
          <w:highlight w:val="none"/>
        </w:rPr>
        <w:t>，也可以重新招标。</w:t>
      </w:r>
    </w:p>
    <w:bookmarkEnd w:id="42"/>
    <w:p>
      <w:pPr>
        <w:rPr>
          <w:rFonts w:hint="eastAsia" w:ascii="黑体" w:hAnsi="宋体" w:eastAsia="黑体" w:cs="宋体"/>
          <w:b/>
          <w:bCs/>
          <w:color w:val="auto"/>
          <w:kern w:val="0"/>
          <w:sz w:val="32"/>
          <w:szCs w:val="32"/>
          <w:highlight w:val="none"/>
        </w:rPr>
      </w:pPr>
      <w:bookmarkStart w:id="43" w:name="_Toc9022"/>
      <w:bookmarkStart w:id="44" w:name="_Toc4700"/>
      <w:bookmarkStart w:id="45" w:name="_Toc16669"/>
      <w:r>
        <w:rPr>
          <w:rFonts w:hint="eastAsia" w:ascii="黑体" w:hAnsi="宋体" w:eastAsia="黑体" w:cs="宋体"/>
          <w:b/>
          <w:bCs/>
          <w:color w:val="auto"/>
          <w:kern w:val="0"/>
          <w:sz w:val="32"/>
          <w:szCs w:val="32"/>
          <w:highlight w:val="none"/>
        </w:rPr>
        <w:br w:type="page"/>
      </w:r>
    </w:p>
    <w:p>
      <w:pPr>
        <w:jc w:val="center"/>
        <w:rPr>
          <w:rFonts w:ascii="宋体" w:hAnsi="宋体" w:cs="宋体"/>
          <w:color w:val="auto"/>
          <w:kern w:val="0"/>
          <w:sz w:val="24"/>
          <w:highlight w:val="none"/>
        </w:rPr>
      </w:pPr>
      <w:r>
        <w:rPr>
          <w:rFonts w:hint="eastAsia" w:ascii="黑体" w:hAnsi="宋体" w:eastAsia="黑体" w:cs="宋体"/>
          <w:b/>
          <w:bCs/>
          <w:color w:val="auto"/>
          <w:kern w:val="0"/>
          <w:sz w:val="32"/>
          <w:szCs w:val="32"/>
          <w:highlight w:val="none"/>
        </w:rPr>
        <w:t>第四章  评标办法及评分标准</w:t>
      </w:r>
      <w:bookmarkEnd w:id="43"/>
      <w:bookmarkEnd w:id="44"/>
    </w:p>
    <w:p>
      <w:pPr>
        <w:rPr>
          <w:color w:val="auto"/>
          <w:highlight w:val="none"/>
        </w:rPr>
      </w:pP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按照“公平、公正”的原则对待所有投标人</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2．评标委员会按照</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文件中规定的评标方法和标准，对投标文件进行综合比较与评价。</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.投标文件满足</w:t>
      </w:r>
      <w:r>
        <w:rPr>
          <w:rFonts w:hint="eastAsia" w:ascii="宋体"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文件全部实质性要求，且评审得分最高的投标人为中标候选人。</w:t>
      </w:r>
    </w:p>
    <w:p>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301"/>
        <w:gridCol w:w="6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6" w:hRule="atLeast"/>
          <w:jc w:val="center"/>
        </w:trPr>
        <w:tc>
          <w:tcPr>
            <w:tcW w:w="1239" w:type="dxa"/>
            <w:vMerge w:val="restart"/>
            <w:noWrap w:val="0"/>
            <w:vAlign w:val="center"/>
          </w:tcPr>
          <w:p>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报价（25分）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报价（15分）</w:t>
            </w:r>
          </w:p>
        </w:tc>
        <w:tc>
          <w:tcPr>
            <w:tcW w:w="6942" w:type="dxa"/>
            <w:noWrap w:val="0"/>
            <w:vAlign w:val="center"/>
          </w:tcPr>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评标委员会发现投标人的投标报价明显低于其他投标报价，使其投标报价可能低于其个别成本的，评标委员会可对其质询，并要求该投标人做出书面说明和提供相关的证明材料；该投标人不能合理说明或提供证明材料的，评标委员会应按无效投标处理。</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hAnsi="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pPr>
              <w:pStyle w:val="4"/>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hAnsi="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35</w:t>
            </w:r>
            <w:r>
              <w:rPr>
                <w:rFonts w:hint="eastAsia" w:ascii="宋体" w:hAnsi="宋体" w:eastAsia="宋体" w:cs="宋体"/>
                <w:b w:val="0"/>
                <w:bCs w:val="0"/>
                <w:color w:val="auto"/>
                <w:sz w:val="21"/>
                <w:szCs w:val="21"/>
                <w:highlight w:val="none"/>
                <w:lang w:eastAsia="zh-CN"/>
              </w:rPr>
              <w:t>分）</w:t>
            </w: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1.产品技术参数（</w:t>
            </w:r>
            <w:r>
              <w:rPr>
                <w:rFonts w:hint="eastAsia" w:ascii="宋体" w:hAnsi="宋体" w:cs="宋体"/>
                <w:b w:val="0"/>
                <w:bCs w:val="0"/>
                <w:color w:val="auto"/>
                <w:sz w:val="21"/>
                <w:szCs w:val="21"/>
                <w:highlight w:val="none"/>
                <w:lang w:val="en-US" w:eastAsia="zh-CN"/>
              </w:rPr>
              <w:t>10</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000000" w:themeColor="text1"/>
                <w:sz w:val="21"/>
                <w:szCs w:val="21"/>
                <w:highlight w:val="none"/>
                <w14:textFill>
                  <w14:solidFill>
                    <w14:schemeClr w14:val="tx1"/>
                  </w14:solidFill>
                </w14:textFill>
              </w:rPr>
              <w:t>投标人对“第二章  采购需求”技术参数、性能及产品功能等的响应，所投内容全部满足磋商文件要求得</w:t>
            </w:r>
            <w:r>
              <w:rPr>
                <w:rFonts w:hint="eastAsia" w:ascii="宋体" w:hAnsi="宋体" w:cs="宋体"/>
                <w:b w:val="0"/>
                <w:bCs w:val="0"/>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highlight w:val="none"/>
                <w14:textFill>
                  <w14:solidFill>
                    <w14:schemeClr w14:val="tx1"/>
                  </w14:solidFill>
                </w14:textFill>
              </w:rPr>
              <w:t>分，</w:t>
            </w:r>
            <w:r>
              <w:rPr>
                <w:rFonts w:hint="eastAsia" w:ascii="宋体" w:hAnsi="宋体" w:cs="宋体"/>
                <w:b w:val="0"/>
                <w:bCs w:val="0"/>
                <w:color w:val="auto"/>
                <w:sz w:val="21"/>
                <w:szCs w:val="21"/>
                <w:highlight w:val="none"/>
                <w:lang w:val="en-US" w:eastAsia="zh-CN"/>
              </w:rPr>
              <w:t>存在负偏离的得0分，</w:t>
            </w:r>
            <w:r>
              <w:rPr>
                <w:rFonts w:hint="eastAsia" w:ascii="宋体" w:hAnsi="宋体" w:eastAsia="宋体" w:cs="宋体"/>
                <w:b w:val="0"/>
                <w:bCs w:val="0"/>
                <w:color w:val="auto"/>
                <w:sz w:val="21"/>
                <w:szCs w:val="21"/>
                <w:highlight w:val="none"/>
              </w:rPr>
              <w:t>则投标无效。</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1）供应商需提供参数偏离表，并标注偏离情况。</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2）提供相关证明文件，并对响应技术参数部分做出明显标注。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2.产品综合评议（10分）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由评委根据项目特性结合各响应产品制造工艺、稳定性、性能及技术先进性等进行打分。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响应产品制造工艺、稳定性好，性能好、技术先进的得8-10分；响应产品制造工艺、稳定性较好，性能较好、技术较先进的得4-7分；响应产品制造工艺、稳定性、性能一般，技术保守的得1-3分。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2.实施方案（1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供应商对项目实施方案的整体规划，包括设备对接方案、调试方案、交货期保证措施</w:t>
            </w:r>
            <w:r>
              <w:rPr>
                <w:rFonts w:hint="eastAsia" w:ascii="宋体" w:hAnsi="宋体" w:cs="宋体"/>
                <w:b w:val="0"/>
                <w:bCs w:val="0"/>
                <w:color w:val="auto"/>
                <w:sz w:val="21"/>
                <w:szCs w:val="21"/>
                <w:highlight w:val="none"/>
                <w:lang w:val="en-US" w:eastAsia="zh-CN"/>
              </w:rPr>
              <w:t>、应急处置措施</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以上措施详细、合理、可行的</w:t>
            </w:r>
            <w:r>
              <w:rPr>
                <w:rFonts w:hint="eastAsia" w:ascii="宋体" w:hAnsi="宋体" w:cs="宋体"/>
                <w:b w:val="0"/>
                <w:bCs w:val="0"/>
                <w:color w:val="auto"/>
                <w:sz w:val="21"/>
                <w:szCs w:val="21"/>
                <w:highlight w:val="none"/>
                <w:lang w:val="en-US" w:eastAsia="zh-CN"/>
              </w:rPr>
              <w:t>11</w:t>
            </w:r>
            <w:r>
              <w:rPr>
                <w:rFonts w:hint="eastAsia" w:ascii="宋体" w:hAnsi="宋体" w:eastAsia="宋体" w:cs="宋体"/>
                <w:b w:val="0"/>
                <w:bCs w:val="0"/>
                <w:color w:val="auto"/>
                <w:sz w:val="21"/>
                <w:szCs w:val="21"/>
                <w:highlight w:val="none"/>
                <w:lang w:val="en-US" w:eastAsia="zh-CN"/>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lang w:val="en-US" w:eastAsia="zh-CN"/>
              </w:rPr>
              <w:t>分；基本详细、基本合理、基本可行的</w:t>
            </w:r>
            <w:r>
              <w:rPr>
                <w:rFonts w:hint="eastAsia" w:ascii="宋体" w:hAnsi="宋体" w:cs="宋体"/>
                <w:b w:val="0"/>
                <w:bCs w:val="0"/>
                <w:color w:val="auto"/>
                <w:sz w:val="21"/>
                <w:szCs w:val="21"/>
                <w:highlight w:val="none"/>
                <w:lang w:val="en-US" w:eastAsia="zh-CN"/>
              </w:rPr>
              <w:t>6-10</w:t>
            </w:r>
            <w:r>
              <w:rPr>
                <w:rFonts w:hint="eastAsia" w:ascii="宋体" w:hAnsi="宋体" w:eastAsia="宋体" w:cs="宋体"/>
                <w:b w:val="0"/>
                <w:bCs w:val="0"/>
                <w:color w:val="auto"/>
                <w:sz w:val="21"/>
                <w:szCs w:val="21"/>
                <w:highlight w:val="none"/>
                <w:lang w:val="en-US" w:eastAsia="zh-CN"/>
              </w:rPr>
              <w:t>分；基本详细度、合理性差、可行性差的1-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分；缺项</w:t>
            </w:r>
            <w:r>
              <w:rPr>
                <w:rFonts w:hint="eastAsia" w:ascii="宋体" w:hAnsi="宋体" w:cs="宋体"/>
                <w:b w:val="0"/>
                <w:bCs w:val="0"/>
                <w:color w:val="auto"/>
                <w:sz w:val="21"/>
                <w:szCs w:val="21"/>
                <w:highlight w:val="none"/>
                <w:lang w:val="en-US" w:eastAsia="zh-CN"/>
              </w:rPr>
              <w:t>得</w:t>
            </w:r>
            <w:r>
              <w:rPr>
                <w:rFonts w:hint="eastAsia" w:ascii="宋体" w:hAnsi="宋体" w:eastAsia="宋体" w:cs="宋体"/>
                <w:b w:val="0"/>
                <w:bCs w:val="0"/>
                <w:color w:val="auto"/>
                <w:sz w:val="21"/>
                <w:szCs w:val="21"/>
                <w:highlight w:val="none"/>
                <w:lang w:val="en-US" w:eastAsia="zh-CN"/>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239" w:type="dxa"/>
            <w:vMerge w:val="restart"/>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商务</w:t>
            </w:r>
            <w:r>
              <w:rPr>
                <w:rFonts w:hint="eastAsia" w:ascii="宋体" w:hAnsi="宋体" w:eastAsia="宋体" w:cs="宋体"/>
                <w:b w:val="0"/>
                <w:bCs w:val="0"/>
                <w:color w:val="auto"/>
                <w:sz w:val="21"/>
                <w:szCs w:val="21"/>
                <w:highlight w:val="none"/>
              </w:rPr>
              <w:t>部分（</w:t>
            </w:r>
            <w:r>
              <w:rPr>
                <w:rFonts w:hint="eastAsia" w:ascii="宋体" w:hAnsi="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c>
          <w:tcPr>
            <w:tcW w:w="1301" w:type="dxa"/>
            <w:tcBorders>
              <w:top w:val="single" w:color="auto" w:sz="4" w:space="0"/>
            </w:tcBorders>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1.质保期（6分）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质保期达到招标要求的，得基础分2分，超过招标文件规定的，每增加半年加1分,最多加4分（出具相关服务承诺书）；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2.类似业绩（4分）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自2020年1月1日以来具有的类似项目(以合同文件为准），每提供一份得2分，最多得4分。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1239" w:type="dxa"/>
            <w:vMerge w:val="continue"/>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p>
        </w:tc>
        <w:tc>
          <w:tcPr>
            <w:tcW w:w="1301" w:type="dxa"/>
            <w:noWrap w:val="0"/>
            <w:vAlign w:val="center"/>
          </w:tcPr>
          <w:p>
            <w:pPr>
              <w:keepNext w:val="0"/>
              <w:keepLines w:val="0"/>
              <w:pageBreakBefore w:val="0"/>
              <w:widowControl/>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en-US" w:eastAsia="zh-CN"/>
              </w:rPr>
              <w:t>.售后服务体系（1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p>
        </w:tc>
        <w:tc>
          <w:tcPr>
            <w:tcW w:w="6942" w:type="dxa"/>
            <w:noWrap w:val="0"/>
            <w:vAlign w:val="center"/>
          </w:tcPr>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根据投标人服务团队设立情况、备品备件供应、售后服务及时率、详细的维修时间和处理方案、售后服务承诺等内容进行综合对比评分。</w:t>
            </w:r>
          </w:p>
          <w:p>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售后服务承诺内容具体、完善、合理性程度强得11-15分，具体、完善、合理性程度一般得</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rPr>
              <w:t>-10分，具体、完善、合理性程度差得1-</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分，缺项得0分。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39" w:type="dxa"/>
            <w:noWrap w:val="0"/>
            <w:vAlign w:val="top"/>
          </w:tcPr>
          <w:p>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评标委员会成员评分=各项评分因素的汇总得分。</w:t>
            </w:r>
          </w:p>
          <w:p>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评标总得分=评标委员会所有成员合计评分/评标委员会组成人员数。</w:t>
            </w:r>
          </w:p>
        </w:tc>
      </w:tr>
      <w:bookmarkEnd w:id="45"/>
    </w:tbl>
    <w:p>
      <w:pPr>
        <w:rPr>
          <w:color w:val="auto"/>
          <w:highlight w:val="none"/>
        </w:rPr>
      </w:pPr>
      <w:bookmarkStart w:id="46" w:name="_Toc256519703"/>
      <w:bookmarkStart w:id="47" w:name="_Toc326786897"/>
      <w:bookmarkStart w:id="48" w:name="_Toc1482"/>
      <w:bookmarkStart w:id="49" w:name="_Toc1947"/>
    </w:p>
    <w:p>
      <w:pPr>
        <w:rPr>
          <w:rFonts w:hint="eastAsia" w:ascii="黑体" w:hAnsi="宋体" w:eastAsia="黑体" w:cs="宋体"/>
          <w:b/>
          <w:bCs/>
          <w:color w:val="auto"/>
          <w:kern w:val="0"/>
          <w:sz w:val="32"/>
          <w:szCs w:val="32"/>
          <w:highlight w:val="none"/>
        </w:rPr>
      </w:pPr>
      <w:bookmarkStart w:id="50" w:name="_Toc28988"/>
      <w:r>
        <w:rPr>
          <w:rFonts w:hint="eastAsia" w:ascii="黑体" w:hAnsi="宋体" w:eastAsia="黑体" w:cs="宋体"/>
          <w:b/>
          <w:bCs/>
          <w:color w:val="auto"/>
          <w:kern w:val="0"/>
          <w:sz w:val="32"/>
          <w:szCs w:val="32"/>
          <w:highlight w:val="none"/>
        </w:rPr>
        <w:br w:type="page"/>
      </w:r>
    </w:p>
    <w:p>
      <w:pPr>
        <w:jc w:val="center"/>
        <w:rPr>
          <w:rFonts w:hint="eastAsia" w:ascii="黑体" w:hAnsi="宋体" w:eastAsia="黑体" w:cs="宋体"/>
          <w:b/>
          <w:bCs/>
          <w:color w:val="auto"/>
          <w:kern w:val="0"/>
          <w:sz w:val="32"/>
          <w:szCs w:val="32"/>
          <w:highlight w:val="none"/>
        </w:rPr>
      </w:pPr>
      <w:r>
        <w:rPr>
          <w:rFonts w:hint="eastAsia" w:ascii="黑体" w:hAnsi="宋体" w:eastAsia="黑体" w:cs="宋体"/>
          <w:b/>
          <w:bCs/>
          <w:color w:val="auto"/>
          <w:kern w:val="0"/>
          <w:sz w:val="32"/>
          <w:szCs w:val="32"/>
          <w:highlight w:val="none"/>
        </w:rPr>
        <w:t>第五章  采购合同</w:t>
      </w:r>
      <w:bookmarkEnd w:id="50"/>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sz w:val="21"/>
          <w:szCs w:val="21"/>
          <w:lang w:eastAsia="zh-CN"/>
        </w:rPr>
      </w:pPr>
      <w:r>
        <w:rPr>
          <w:rFonts w:hint="eastAsia" w:ascii="宋体" w:hAnsi="宋体"/>
          <w:sz w:val="21"/>
          <w:szCs w:val="21"/>
          <w:lang w:eastAsia="zh-CN"/>
        </w:rPr>
        <w:t>（</w:t>
      </w:r>
      <w:r>
        <w:rPr>
          <w:rFonts w:hint="eastAsia" w:ascii="宋体" w:hAnsi="宋体"/>
          <w:sz w:val="21"/>
          <w:szCs w:val="21"/>
          <w:lang w:val="en-US" w:eastAsia="zh-CN"/>
        </w:rPr>
        <w:t>以实际合同为准</w:t>
      </w:r>
      <w:r>
        <w:rPr>
          <w:rFonts w:hint="eastAsia" w:ascii="宋体" w:hAnsi="宋体"/>
          <w:sz w:val="21"/>
          <w:szCs w:val="21"/>
          <w:lang w:eastAsia="zh-CN"/>
        </w:rPr>
        <w:t>）</w:t>
      </w:r>
    </w:p>
    <w:p>
      <w:pPr>
        <w:rPr>
          <w:color w:val="auto"/>
          <w:sz w:val="32"/>
          <w:szCs w:val="32"/>
          <w:highlight w:val="none"/>
        </w:rPr>
      </w:pPr>
    </w:p>
    <w:p>
      <w:pPr>
        <w:rPr>
          <w:color w:val="auto"/>
          <w:highlight w:val="none"/>
        </w:rPr>
      </w:pPr>
      <w:r>
        <w:rPr>
          <w:color w:val="auto"/>
          <w:highlight w:val="none"/>
        </w:rPr>
        <w:br w:type="page"/>
      </w:r>
    </w:p>
    <w:bookmarkEnd w:id="46"/>
    <w:bookmarkEnd w:id="47"/>
    <w:bookmarkEnd w:id="48"/>
    <w:bookmarkEnd w:id="49"/>
    <w:p>
      <w:pPr>
        <w:jc w:val="center"/>
        <w:rPr>
          <w:rFonts w:hint="eastAsia" w:ascii="宋体" w:hAnsi="宋体" w:eastAsia="宋体" w:cs="宋体"/>
          <w:b/>
          <w:bCs/>
          <w:color w:val="auto"/>
          <w:kern w:val="44"/>
          <w:sz w:val="32"/>
          <w:szCs w:val="32"/>
          <w:highlight w:val="none"/>
          <w:lang w:val="en-US" w:eastAsia="zh-CN" w:bidi="ar-SA"/>
        </w:rPr>
      </w:pPr>
      <w:bookmarkStart w:id="51" w:name="_Toc2638"/>
      <w:r>
        <w:rPr>
          <w:rFonts w:hint="eastAsia" w:ascii="宋体" w:hAnsi="宋体" w:eastAsia="宋体" w:cs="宋体"/>
          <w:b/>
          <w:bCs/>
          <w:color w:val="auto"/>
          <w:kern w:val="44"/>
          <w:sz w:val="32"/>
          <w:szCs w:val="32"/>
          <w:highlight w:val="none"/>
          <w:lang w:val="en-US" w:eastAsia="zh-CN" w:bidi="ar-SA"/>
        </w:rPr>
        <w:t>第六章  投标文件格式</w:t>
      </w:r>
      <w:bookmarkEnd w:id="51"/>
    </w:p>
    <w:p>
      <w:pPr>
        <w:spacing w:line="440" w:lineRule="exact"/>
        <w:rPr>
          <w:color w:val="auto"/>
          <w:sz w:val="24"/>
          <w:highlight w:val="none"/>
        </w:rPr>
      </w:pPr>
    </w:p>
    <w:p>
      <w:pPr>
        <w:jc w:val="center"/>
        <w:rPr>
          <w:b/>
          <w:bCs/>
          <w:color w:val="auto"/>
          <w:sz w:val="32"/>
          <w:szCs w:val="32"/>
          <w:highlight w:val="none"/>
        </w:rPr>
      </w:pPr>
      <w:bookmarkStart w:id="52" w:name="_Toc13604"/>
      <w:r>
        <w:rPr>
          <w:rFonts w:hint="eastAsia"/>
          <w:b/>
          <w:bCs/>
          <w:color w:val="auto"/>
          <w:sz w:val="32"/>
          <w:szCs w:val="32"/>
          <w:highlight w:val="none"/>
        </w:rPr>
        <w:t>目    录</w:t>
      </w:r>
      <w:bookmarkEnd w:id="52"/>
    </w:p>
    <w:p>
      <w:pPr>
        <w:widowControl/>
        <w:wordWrap w:val="0"/>
        <w:spacing w:line="460" w:lineRule="exact"/>
        <w:ind w:firstLine="480" w:firstLineChars="200"/>
        <w:jc w:val="left"/>
        <w:rPr>
          <w:rFonts w:ascii="宋体" w:hAnsi="宋体" w:cs="宋体"/>
          <w:color w:val="auto"/>
          <w:kern w:val="0"/>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bookmarkStart w:id="53" w:name="_Toc11308"/>
      <w:r>
        <w:rPr>
          <w:rFonts w:hint="eastAsia" w:ascii="Times New Roman" w:hAnsi="Times New Roman" w:cs="Times New Roman"/>
          <w:color w:val="auto"/>
          <w:sz w:val="24"/>
          <w:highlight w:val="none"/>
        </w:rPr>
        <w:t>附件1投标文件封面（格式）</w:t>
      </w:r>
      <w:bookmarkEnd w:id="53"/>
    </w:p>
    <w:p>
      <w:pPr>
        <w:snapToGrid w:val="0"/>
        <w:spacing w:line="360" w:lineRule="auto"/>
        <w:ind w:firstLine="480" w:firstLineChars="200"/>
        <w:rPr>
          <w:rFonts w:hint="eastAsia" w:ascii="Times New Roman" w:hAnsi="Times New Roman" w:cs="Times New Roman"/>
          <w:color w:val="auto"/>
          <w:sz w:val="24"/>
          <w:highlight w:val="none"/>
        </w:rPr>
      </w:pPr>
      <w:bookmarkStart w:id="54" w:name="_Toc25345"/>
      <w:r>
        <w:rPr>
          <w:rFonts w:hint="eastAsia" w:ascii="Times New Roman" w:hAnsi="Times New Roman" w:cs="Times New Roman"/>
          <w:color w:val="auto"/>
          <w:sz w:val="24"/>
          <w:highlight w:val="none"/>
        </w:rPr>
        <w:t>附件2 投标书（格式）</w:t>
      </w:r>
      <w:bookmarkEnd w:id="54"/>
    </w:p>
    <w:p>
      <w:pPr>
        <w:snapToGrid w:val="0"/>
        <w:spacing w:line="360" w:lineRule="auto"/>
        <w:ind w:firstLine="480" w:firstLineChars="200"/>
        <w:rPr>
          <w:rFonts w:hint="eastAsia" w:ascii="Times New Roman" w:hAnsi="Times New Roman" w:cs="Times New Roman"/>
          <w:color w:val="auto"/>
          <w:sz w:val="24"/>
          <w:highlight w:val="none"/>
        </w:rPr>
      </w:pPr>
      <w:bookmarkStart w:id="55" w:name="_Toc10217"/>
      <w:r>
        <w:rPr>
          <w:rFonts w:hint="eastAsia" w:ascii="Times New Roman" w:hAnsi="Times New Roman" w:cs="Times New Roman"/>
          <w:color w:val="auto"/>
          <w:sz w:val="24"/>
          <w:highlight w:val="none"/>
        </w:rPr>
        <w:t>附件3 开标一览表（格式）</w:t>
      </w:r>
      <w:bookmarkEnd w:id="55"/>
    </w:p>
    <w:p>
      <w:pPr>
        <w:snapToGrid w:val="0"/>
        <w:spacing w:line="360" w:lineRule="auto"/>
        <w:ind w:firstLine="480" w:firstLineChars="200"/>
        <w:rPr>
          <w:rFonts w:hint="eastAsia" w:ascii="Times New Roman" w:hAnsi="Times New Roman" w:cs="Times New Roman"/>
          <w:color w:val="auto"/>
          <w:sz w:val="24"/>
          <w:highlight w:val="none"/>
        </w:rPr>
      </w:pPr>
      <w:bookmarkStart w:id="56" w:name="_Toc9579"/>
      <w:r>
        <w:rPr>
          <w:rFonts w:hint="eastAsia" w:ascii="Times New Roman" w:hAnsi="Times New Roman" w:cs="Times New Roman"/>
          <w:color w:val="auto"/>
          <w:sz w:val="24"/>
          <w:highlight w:val="none"/>
        </w:rPr>
        <w:t>附件4 投标报价明细表（格式）</w:t>
      </w:r>
      <w:bookmarkEnd w:id="56"/>
    </w:p>
    <w:p>
      <w:pPr>
        <w:snapToGrid w:val="0"/>
        <w:spacing w:line="360" w:lineRule="auto"/>
        <w:ind w:firstLine="480" w:firstLineChars="200"/>
        <w:rPr>
          <w:rFonts w:hint="default" w:ascii="Times New Roman" w:hAnsi="Times New Roman" w:cs="Times New Roman"/>
          <w:color w:val="auto"/>
          <w:sz w:val="24"/>
          <w:highlight w:val="none"/>
          <w:lang w:val="en-US" w:eastAsia="zh-CN"/>
        </w:rPr>
      </w:pPr>
      <w:bookmarkStart w:id="57" w:name="_Toc28392"/>
      <w:r>
        <w:rPr>
          <w:rFonts w:hint="eastAsia" w:ascii="Times New Roman" w:hAnsi="Times New Roman" w:cs="Times New Roman"/>
          <w:color w:val="auto"/>
          <w:sz w:val="24"/>
          <w:highlight w:val="none"/>
        </w:rPr>
        <w:t>附件5</w:t>
      </w:r>
      <w:bookmarkEnd w:id="57"/>
      <w:r>
        <w:rPr>
          <w:rFonts w:hint="eastAsia" w:ascii="Times New Roman" w:hAnsi="Times New Roman" w:cs="Times New Roman"/>
          <w:color w:val="auto"/>
          <w:sz w:val="24"/>
          <w:highlight w:val="none"/>
        </w:rPr>
        <w:t>技术响应表</w:t>
      </w:r>
      <w:r>
        <w:rPr>
          <w:rFonts w:hint="eastAsia" w:ascii="Times New Roman" w:hAnsi="Times New Roman" w:cs="Times New Roman"/>
          <w:color w:val="auto"/>
          <w:sz w:val="24"/>
          <w:highlight w:val="none"/>
          <w:lang w:eastAsia="zh-CN"/>
        </w:rPr>
        <w:t>（</w:t>
      </w:r>
      <w:r>
        <w:rPr>
          <w:rFonts w:hint="eastAsia" w:ascii="Times New Roman" w:hAnsi="Times New Roman" w:cs="Times New Roman"/>
          <w:color w:val="auto"/>
          <w:sz w:val="24"/>
          <w:highlight w:val="none"/>
          <w:lang w:val="en-US" w:eastAsia="zh-CN"/>
        </w:rPr>
        <w:t>格式）</w:t>
      </w:r>
    </w:p>
    <w:p>
      <w:pPr>
        <w:snapToGrid w:val="0"/>
        <w:spacing w:line="360" w:lineRule="auto"/>
        <w:ind w:firstLine="480" w:firstLineChars="200"/>
        <w:rPr>
          <w:rFonts w:hint="eastAsia" w:ascii="Times New Roman" w:hAnsi="Times New Roman" w:cs="Times New Roman"/>
          <w:color w:val="auto"/>
          <w:sz w:val="24"/>
          <w:highlight w:val="none"/>
        </w:rPr>
      </w:pPr>
      <w:bookmarkStart w:id="58" w:name="_Toc6234"/>
      <w:r>
        <w:rPr>
          <w:rFonts w:hint="eastAsia" w:ascii="Times New Roman" w:hAnsi="Times New Roman" w:cs="Times New Roman"/>
          <w:color w:val="auto"/>
          <w:sz w:val="24"/>
          <w:highlight w:val="none"/>
        </w:rPr>
        <w:t xml:space="preserve">附件6 </w:t>
      </w:r>
      <w:bookmarkEnd w:id="58"/>
      <w:r>
        <w:rPr>
          <w:rFonts w:hint="eastAsia" w:ascii="Times New Roman" w:hAnsi="Times New Roman" w:cs="Times New Roman"/>
          <w:color w:val="auto"/>
          <w:sz w:val="24"/>
          <w:highlight w:val="none"/>
        </w:rPr>
        <w:t>商务响应</w:t>
      </w:r>
      <w:r>
        <w:rPr>
          <w:rFonts w:hint="eastAsia" w:ascii="Times New Roman" w:hAnsi="Times New Roman" w:cs="Times New Roman"/>
          <w:color w:val="auto"/>
          <w:sz w:val="24"/>
          <w:highlight w:val="none"/>
          <w:lang w:val="en-US" w:eastAsia="zh-CN"/>
        </w:rPr>
        <w:t>部分</w:t>
      </w:r>
    </w:p>
    <w:p>
      <w:pPr>
        <w:snapToGrid w:val="0"/>
        <w:spacing w:line="360" w:lineRule="auto"/>
        <w:ind w:firstLine="480" w:firstLineChars="200"/>
        <w:rPr>
          <w:rFonts w:hint="eastAsia" w:ascii="Times New Roman" w:hAnsi="Times New Roman" w:cs="Times New Roman"/>
          <w:color w:val="auto"/>
          <w:sz w:val="24"/>
          <w:highlight w:val="none"/>
        </w:rPr>
      </w:pPr>
      <w:bookmarkStart w:id="59" w:name="_Toc26231"/>
      <w:r>
        <w:rPr>
          <w:rFonts w:hint="eastAsia" w:ascii="Times New Roman" w:hAnsi="Times New Roman" w:cs="Times New Roman"/>
          <w:color w:val="auto"/>
          <w:sz w:val="24"/>
          <w:highlight w:val="none"/>
        </w:rPr>
        <w:t>附件7</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法定代表人身份证明（格式）</w:t>
      </w:r>
      <w:bookmarkEnd w:id="59"/>
    </w:p>
    <w:p>
      <w:pPr>
        <w:snapToGrid w:val="0"/>
        <w:spacing w:line="360" w:lineRule="auto"/>
        <w:ind w:firstLine="480" w:firstLineChars="200"/>
        <w:rPr>
          <w:rFonts w:hint="eastAsia" w:ascii="Times New Roman" w:hAnsi="Times New Roman" w:cs="Times New Roman"/>
          <w:color w:val="auto"/>
          <w:sz w:val="24"/>
          <w:highlight w:val="none"/>
        </w:rPr>
      </w:pPr>
      <w:bookmarkStart w:id="60" w:name="_Toc18484"/>
      <w:r>
        <w:rPr>
          <w:rFonts w:hint="eastAsia" w:ascii="Times New Roman" w:hAnsi="Times New Roman" w:cs="Times New Roman"/>
          <w:color w:val="auto"/>
          <w:sz w:val="24"/>
          <w:highlight w:val="none"/>
        </w:rPr>
        <w:t>附件8</w:t>
      </w:r>
      <w:r>
        <w:rPr>
          <w:rFonts w:hint="eastAsia" w:ascii="Times New Roman" w:hAnsi="Times New Roman" w:cs="Times New Roman"/>
          <w:color w:val="auto"/>
          <w:sz w:val="24"/>
          <w:highlight w:val="none"/>
          <w:lang w:val="en-US" w:eastAsia="zh-CN"/>
        </w:rPr>
        <w:t xml:space="preserve"> </w:t>
      </w:r>
      <w:r>
        <w:rPr>
          <w:rFonts w:hint="eastAsia" w:ascii="Times New Roman" w:hAnsi="Times New Roman" w:cs="Times New Roman"/>
          <w:color w:val="auto"/>
          <w:sz w:val="24"/>
          <w:highlight w:val="none"/>
        </w:rPr>
        <w:t>法定代表人授权书（格式）</w:t>
      </w:r>
      <w:bookmarkEnd w:id="60"/>
    </w:p>
    <w:p>
      <w:pPr>
        <w:snapToGrid w:val="0"/>
        <w:spacing w:line="360" w:lineRule="auto"/>
        <w:ind w:firstLine="480" w:firstLineChars="200"/>
        <w:rPr>
          <w:rFonts w:hint="eastAsia" w:ascii="Times New Roman" w:hAnsi="Times New Roman" w:cs="Times New Roman"/>
          <w:color w:val="auto"/>
          <w:sz w:val="24"/>
          <w:highlight w:val="none"/>
        </w:rPr>
      </w:pPr>
      <w:bookmarkStart w:id="61" w:name="_Toc31857"/>
      <w:r>
        <w:rPr>
          <w:rFonts w:hint="eastAsia" w:ascii="Times New Roman" w:hAnsi="Times New Roman" w:cs="Times New Roman"/>
          <w:color w:val="auto"/>
          <w:sz w:val="24"/>
          <w:highlight w:val="none"/>
        </w:rPr>
        <w:t>附件9 证明文件</w:t>
      </w:r>
      <w:bookmarkEnd w:id="61"/>
    </w:p>
    <w:p>
      <w:pPr>
        <w:snapToGrid w:val="0"/>
        <w:spacing w:line="360" w:lineRule="auto"/>
        <w:ind w:firstLine="480" w:firstLineChars="200"/>
        <w:rPr>
          <w:rFonts w:hint="eastAsia" w:ascii="Times New Roman" w:hAnsi="Times New Roman" w:cs="Times New Roman"/>
          <w:color w:val="auto"/>
          <w:sz w:val="24"/>
          <w:highlight w:val="none"/>
        </w:rPr>
      </w:pPr>
      <w:bookmarkStart w:id="62" w:name="_Toc23116"/>
      <w:r>
        <w:rPr>
          <w:rFonts w:hint="eastAsia" w:ascii="Times New Roman" w:hAnsi="Times New Roman" w:cs="Times New Roman"/>
          <w:color w:val="auto"/>
          <w:sz w:val="24"/>
          <w:highlight w:val="none"/>
        </w:rPr>
        <w:t>附件10 供应商承诺书（格式）</w:t>
      </w:r>
      <w:bookmarkEnd w:id="62"/>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附件11 供应商信用承诺函（格式）</w:t>
      </w:r>
    </w:p>
    <w:p>
      <w:pPr>
        <w:snapToGrid w:val="0"/>
        <w:spacing w:line="360" w:lineRule="auto"/>
        <w:ind w:firstLine="480" w:firstLineChars="200"/>
        <w:rPr>
          <w:rFonts w:hint="eastAsia" w:ascii="Times New Roman" w:hAnsi="Times New Roman" w:cs="Times New Roman"/>
          <w:color w:val="auto"/>
          <w:sz w:val="24"/>
          <w:highlight w:val="none"/>
        </w:rPr>
      </w:pPr>
      <w:r>
        <w:rPr>
          <w:rFonts w:hint="eastAsia" w:ascii="Times New Roman" w:hAnsi="Times New Roman" w:cs="Times New Roman"/>
          <w:color w:val="auto"/>
          <w:sz w:val="24"/>
          <w:highlight w:val="none"/>
          <w:lang w:val="en-US" w:eastAsia="zh-CN"/>
        </w:rPr>
        <w:t xml:space="preserve">附件12 </w:t>
      </w:r>
      <w:r>
        <w:rPr>
          <w:rFonts w:hint="eastAsia" w:ascii="Times New Roman" w:hAnsi="Times New Roman" w:cs="Times New Roman"/>
          <w:color w:val="auto"/>
          <w:sz w:val="24"/>
          <w:highlight w:val="none"/>
        </w:rPr>
        <w:t>投标人认为有必要的其他资料</w:t>
      </w:r>
    </w:p>
    <w:p>
      <w:pPr>
        <w:snapToGrid w:val="0"/>
        <w:spacing w:line="360" w:lineRule="auto"/>
        <w:ind w:firstLine="480" w:firstLineChars="200"/>
        <w:rPr>
          <w:rFonts w:hint="eastAsia" w:ascii="Times New Roman" w:hAnsi="Times New Roman" w:cs="Times New Roman"/>
          <w:color w:val="auto"/>
          <w:sz w:val="24"/>
          <w:highlight w:val="none"/>
        </w:rPr>
      </w:pPr>
    </w:p>
    <w:p>
      <w:pPr>
        <w:snapToGrid w:val="0"/>
        <w:spacing w:line="360" w:lineRule="auto"/>
        <w:ind w:firstLine="480" w:firstLineChars="200"/>
        <w:rPr>
          <w:rFonts w:hint="eastAsia" w:ascii="Times New Roman" w:hAnsi="Times New Roman" w:cs="Times New Roman"/>
          <w:color w:val="auto"/>
          <w:sz w:val="24"/>
          <w:highlight w:val="none"/>
        </w:rPr>
      </w:pPr>
    </w:p>
    <w:p>
      <w:pPr>
        <w:pStyle w:val="4"/>
        <w:rPr>
          <w:rFonts w:hAnsi="宋体"/>
          <w:b/>
          <w:bCs/>
          <w:color w:val="auto"/>
          <w:highlight w:val="none"/>
        </w:rPr>
      </w:pPr>
    </w:p>
    <w:p>
      <w:pPr>
        <w:pStyle w:val="4"/>
        <w:rPr>
          <w:rFonts w:hAnsi="宋体"/>
          <w:b/>
          <w:bCs/>
          <w:color w:val="auto"/>
          <w:highlight w:val="none"/>
        </w:rPr>
      </w:pPr>
    </w:p>
    <w:p>
      <w:pPr>
        <w:rPr>
          <w:color w:val="auto"/>
          <w:highlight w:val="none"/>
        </w:rPr>
      </w:pPr>
      <w:r>
        <w:rPr>
          <w:rFonts w:hint="eastAsia"/>
          <w:color w:val="auto"/>
          <w:highlight w:val="none"/>
        </w:rPr>
        <w:br w:type="page"/>
      </w:r>
    </w:p>
    <w:p>
      <w:pPr>
        <w:pStyle w:val="27"/>
        <w:rPr>
          <w:color w:val="auto"/>
          <w:highlight w:val="none"/>
        </w:rPr>
      </w:pPr>
    </w:p>
    <w:p>
      <w:pPr>
        <w:pStyle w:val="5"/>
        <w:rPr>
          <w:color w:val="auto"/>
          <w:highlight w:val="none"/>
        </w:rPr>
      </w:pPr>
      <w:bookmarkStart w:id="63" w:name="_Toc24743"/>
      <w:bookmarkStart w:id="64" w:name="_Toc31798"/>
      <w:r>
        <w:rPr>
          <w:rFonts w:hint="eastAsia"/>
          <w:color w:val="auto"/>
          <w:highlight w:val="none"/>
        </w:rPr>
        <w:t>附件1               投标文件封面（格式）</w:t>
      </w:r>
      <w:bookmarkEnd w:id="63"/>
      <w:bookmarkEnd w:id="64"/>
    </w:p>
    <w:p>
      <w:pPr>
        <w:widowControl/>
        <w:wordWrap w:val="0"/>
        <w:spacing w:line="460" w:lineRule="exact"/>
        <w:ind w:firstLine="482" w:firstLineChars="200"/>
        <w:jc w:val="center"/>
        <w:rPr>
          <w:rFonts w:ascii="宋体" w:hAnsi="宋体" w:cs="宋体"/>
          <w:b/>
          <w:color w:val="auto"/>
          <w:kern w:val="0"/>
          <w:sz w:val="24"/>
          <w:highlight w:val="none"/>
        </w:rPr>
      </w:pPr>
    </w:p>
    <w:p>
      <w:pPr>
        <w:snapToGrid w:val="0"/>
        <w:spacing w:line="360" w:lineRule="auto"/>
        <w:jc w:val="center"/>
        <w:rPr>
          <w:rFonts w:hint="eastAsia" w:ascii="宋体" w:hAnsi="宋体" w:eastAsia="宋体" w:cs="宋体"/>
          <w:b/>
          <w:snapToGrid w:val="0"/>
          <w:color w:val="auto"/>
          <w:spacing w:val="0"/>
          <w:kern w:val="0"/>
          <w:sz w:val="44"/>
          <w:szCs w:val="44"/>
          <w:highlight w:val="none"/>
          <w:u w:val="none"/>
          <w:lang w:val="en-US" w:eastAsia="zh-CN"/>
        </w:rPr>
      </w:pPr>
      <w:r>
        <w:rPr>
          <w:rFonts w:hint="eastAsia" w:ascii="宋体" w:hAnsi="宋体" w:eastAsia="宋体" w:cs="宋体"/>
          <w:b/>
          <w:snapToGrid w:val="0"/>
          <w:color w:val="auto"/>
          <w:spacing w:val="0"/>
          <w:kern w:val="0"/>
          <w:sz w:val="44"/>
          <w:szCs w:val="44"/>
          <w:highlight w:val="none"/>
          <w:u w:val="none"/>
          <w:lang w:val="en-US" w:eastAsia="zh-CN"/>
        </w:rPr>
        <w:t>驻马店中心医院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rPr>
        <w:t>投标文件</w:t>
      </w:r>
    </w:p>
    <w:p>
      <w:pPr>
        <w:spacing w:line="360" w:lineRule="auto"/>
        <w:rPr>
          <w:rFonts w:hint="eastAsia" w:ascii="宋体" w:hAnsi="宋体" w:eastAsia="宋体" w:cs="宋体"/>
          <w:color w:val="auto"/>
          <w:sz w:val="28"/>
          <w:highlight w:val="none"/>
        </w:rPr>
      </w:pPr>
    </w:p>
    <w:p>
      <w:pPr>
        <w:pStyle w:val="4"/>
        <w:spacing w:line="360" w:lineRule="auto"/>
        <w:rPr>
          <w:rFonts w:hint="eastAsia" w:ascii="宋体" w:hAnsi="宋体" w:eastAsia="宋体" w:cs="宋体"/>
          <w:color w:val="auto"/>
          <w:highlight w:val="none"/>
        </w:rPr>
      </w:pPr>
    </w:p>
    <w:p>
      <w:pPr>
        <w:pStyle w:val="4"/>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rPr>
          <w:rFonts w:hint="eastAsia" w:ascii="宋体" w:hAnsi="宋体" w:eastAsia="宋体" w:cs="宋体"/>
          <w:color w:val="auto"/>
          <w:sz w:val="28"/>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（全称并加盖公章）</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签字或</w:t>
      </w:r>
      <w:r>
        <w:rPr>
          <w:rFonts w:hint="eastAsia" w:ascii="宋体" w:hAnsi="宋体" w:eastAsia="宋体" w:cs="宋体"/>
          <w:color w:val="auto"/>
          <w:sz w:val="28"/>
          <w:szCs w:val="28"/>
          <w:highlight w:val="none"/>
          <w:lang w:eastAsia="zh-CN"/>
        </w:rPr>
        <w:t>盖章</w:t>
      </w:r>
      <w:r>
        <w:rPr>
          <w:rFonts w:hint="eastAsia" w:ascii="宋体" w:hAnsi="宋体" w:eastAsia="宋体" w:cs="宋体"/>
          <w:color w:val="auto"/>
          <w:sz w:val="28"/>
          <w:szCs w:val="28"/>
          <w:highlight w:val="none"/>
        </w:rPr>
        <w:t>）</w:t>
      </w:r>
    </w:p>
    <w:p>
      <w:pPr>
        <w:widowControl/>
        <w:wordWrap w:val="0"/>
        <w:spacing w:line="460" w:lineRule="exact"/>
        <w:ind w:left="0" w:leftChars="0" w:firstLine="0" w:firstLineChars="0"/>
        <w:jc w:val="center"/>
        <w:rPr>
          <w:rFonts w:ascii="宋体" w:hAnsi="宋体" w:cs="宋体"/>
          <w:b/>
          <w:color w:val="auto"/>
          <w:kern w:val="0"/>
          <w:sz w:val="24"/>
          <w:highlight w:val="none"/>
        </w:rPr>
      </w:pPr>
      <w:r>
        <w:rPr>
          <w:rFonts w:hint="eastAsia" w:ascii="宋体" w:hAnsi="宋体" w:eastAsia="宋体" w:cs="宋体"/>
          <w:color w:val="auto"/>
          <w:sz w:val="28"/>
          <w:szCs w:val="28"/>
          <w:highlight w:val="none"/>
        </w:rPr>
        <w:t>年   月   日</w:t>
      </w:r>
    </w:p>
    <w:p>
      <w:pPr>
        <w:widowControl/>
        <w:wordWrap w:val="0"/>
        <w:spacing w:line="460" w:lineRule="exact"/>
        <w:ind w:firstLine="482" w:firstLineChars="200"/>
        <w:jc w:val="left"/>
        <w:rPr>
          <w:rFonts w:ascii="宋体" w:hAnsi="宋体" w:cs="宋体"/>
          <w:b/>
          <w:color w:val="auto"/>
          <w:kern w:val="0"/>
          <w:sz w:val="24"/>
          <w:highlight w:val="none"/>
        </w:rPr>
      </w:pPr>
    </w:p>
    <w:p>
      <w:pPr>
        <w:pStyle w:val="3"/>
        <w:rPr>
          <w:rFonts w:ascii="宋体" w:hAnsi="宋体" w:cs="宋体"/>
          <w:b/>
          <w:color w:val="auto"/>
          <w:kern w:val="0"/>
          <w:sz w:val="24"/>
          <w:highlight w:val="none"/>
        </w:rPr>
      </w:pP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pStyle w:val="5"/>
        <w:rPr>
          <w:color w:val="auto"/>
          <w:highlight w:val="none"/>
        </w:rPr>
      </w:pPr>
      <w:bookmarkStart w:id="65" w:name="_Toc8818"/>
      <w:bookmarkStart w:id="66" w:name="_Toc14560"/>
      <w:r>
        <w:rPr>
          <w:rFonts w:hint="eastAsia"/>
          <w:color w:val="auto"/>
          <w:highlight w:val="none"/>
        </w:rPr>
        <w:t>附件2               投  标  书（格式）</w:t>
      </w:r>
      <w:bookmarkEnd w:id="65"/>
      <w:bookmarkEnd w:id="66"/>
    </w:p>
    <w:p>
      <w:pPr>
        <w:widowControl/>
        <w:wordWrap w:val="0"/>
        <w:snapToGrid w:val="0"/>
        <w:spacing w:line="46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采购人</w:t>
      </w:r>
      <w:r>
        <w:rPr>
          <w:rFonts w:hint="eastAsia" w:ascii="宋体" w:hAnsi="宋体" w:cs="宋体"/>
          <w:color w:val="auto"/>
          <w:kern w:val="0"/>
          <w:szCs w:val="21"/>
          <w:highlight w:val="none"/>
          <w:u w:val="single"/>
        </w:rPr>
        <w:t>名称）</w:t>
      </w:r>
      <w:r>
        <w:rPr>
          <w:rFonts w:hint="eastAsia" w:ascii="宋体" w:hAnsi="宋体" w:cs="宋体"/>
          <w:color w:val="auto"/>
          <w:kern w:val="0"/>
          <w:szCs w:val="21"/>
          <w:highlight w:val="none"/>
        </w:rPr>
        <w:t>：</w:t>
      </w:r>
    </w:p>
    <w:p>
      <w:pPr>
        <w:widowControl/>
        <w:wordWrap w:val="0"/>
        <w:spacing w:line="460" w:lineRule="exact"/>
        <w:ind w:firstLine="525" w:firstLineChars="250"/>
        <w:jc w:val="left"/>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single"/>
        </w:rPr>
        <w:t>（投标人名称）</w:t>
      </w:r>
      <w:r>
        <w:rPr>
          <w:rFonts w:hint="eastAsia" w:ascii="宋体" w:hAnsi="宋体" w:cs="宋体"/>
          <w:color w:val="auto"/>
          <w:kern w:val="0"/>
          <w:szCs w:val="21"/>
          <w:highlight w:val="none"/>
        </w:rPr>
        <w:t xml:space="preserve">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（姓名）为我方代理人，参加贵方组织的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项目的投标。现正式提交下述文件1份：</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1、开标一览表。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2、投标报价明细表。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4、技术响应表。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4、商务响应表。</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5、证明文件。</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6、抵制商业贿赂承诺。为便于贵方公正、择优地确定中标供应商及其投标产品和服务，我方就本次投标有关事项郑重声明并宣布同意如下：</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1、我方承诺已经具备</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文件中规定的参加政府采购活动的投标人应当具备的条件。我方愿意向贵方提供任何与本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项目投标有关的数据、情况和技术资料，并根据需要提供一切承诺的证明材料，并保证其真实、合法、有效。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2、我方承诺在投标活动中提供的各种材料真实有效。</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3、我方同意在投标文件有效期内遵守本投标文件中的承诺且在此期限期满之前均具有约束力。如果我方中标，投标文件有效期与合同履行期相同。</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4、我方已详细审查全部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文件，包括修改文件（如有的话）和有关附件，将自行承担因对全部</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文件理解不正确或误解而产生的相应后果。</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5、我方保证尊重评标委员会的评标结果，完全理解本</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项目最低投标价不作为中标的保证。</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6、我方理解并遵守</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文件的全部规定，接受</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文件中政府采购合同的全部条款且无任何异议。</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7、如果我方代表</w:t>
      </w:r>
      <w:r>
        <w:rPr>
          <w:rFonts w:hint="eastAsia" w:ascii="宋体" w:hAnsi="宋体" w:cs="宋体"/>
          <w:bCs/>
          <w:color w:val="auto"/>
          <w:kern w:val="0"/>
          <w:szCs w:val="21"/>
          <w:highlight w:val="none"/>
        </w:rPr>
        <w:t>未按时参加开标的，视同放弃开标监督权利，认可开标结果。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8、如果我方存在投标人须知第9.3项所述情况，同意被认定为在经营活动中有重大违法记录。</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9、如果发生投标人须知第2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.4.1、2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.4.3项所述情况，同意我方投标被作为无效投标处理。</w:t>
      </w:r>
    </w:p>
    <w:p>
      <w:pPr>
        <w:widowControl/>
        <w:wordWrap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10、如果发生投标人须知第2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.5项所述情况，同意评标委员会认定我方的行为属于串通投标的行为，并自愿接受监管部门的处罚。</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11、如果现场变更采购方式，我方同意在不改变</w:t>
      </w:r>
      <w:r>
        <w:rPr>
          <w:rFonts w:hint="eastAsia" w:ascii="宋体" w:hAnsi="宋体" w:cs="宋体"/>
          <w:color w:val="auto"/>
          <w:kern w:val="0"/>
          <w:szCs w:val="21"/>
          <w:highlight w:val="none"/>
          <w:lang w:eastAsia="zh-CN"/>
        </w:rPr>
        <w:t>采购</w:t>
      </w:r>
      <w:r>
        <w:rPr>
          <w:rFonts w:hint="eastAsia" w:ascii="宋体" w:hAnsi="宋体" w:cs="宋体"/>
          <w:color w:val="auto"/>
          <w:kern w:val="0"/>
          <w:szCs w:val="21"/>
          <w:highlight w:val="none"/>
        </w:rPr>
        <w:t>需求、资质条件等情况下，按变更后的采购方式的规定程序进行采购。</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12、如果被确定为中标供应商，我方同意按</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文件的规定领取中标通知书并缴纳服务费。否则，视为我方中标后自动放弃中标资格，承担由此引起的一切后果。</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13、如果被确定为中标供应商，我方同意在领取中标通知书之日起</w:t>
      </w:r>
      <w:r>
        <w:rPr>
          <w:rFonts w:hint="eastAsia" w:ascii="宋体" w:hAnsi="宋体" w:cs="宋体"/>
          <w:color w:val="auto"/>
          <w:kern w:val="0"/>
          <w:szCs w:val="21"/>
          <w:highlight w:val="none"/>
          <w:u w:val="single"/>
          <w:lang w:val="en-US" w:eastAsia="zh-CN"/>
        </w:rPr>
        <w:t xml:space="preserve"> 30  </w:t>
      </w:r>
      <w:r>
        <w:rPr>
          <w:rFonts w:hint="eastAsia" w:ascii="宋体" w:hAnsi="宋体" w:cs="宋体"/>
          <w:color w:val="auto"/>
          <w:kern w:val="0"/>
          <w:szCs w:val="21"/>
          <w:highlight w:val="none"/>
        </w:rPr>
        <w:t>日内，按照</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rPr>
        <w:t>文件的规定与采购人签订采购合同。否则，视为我方中标后无正当理由不与采购人签订合同并承担相应法律责任。</w:t>
      </w:r>
    </w:p>
    <w:p>
      <w:pPr>
        <w:widowControl/>
        <w:wordWrap w:val="0"/>
        <w:snapToGrid w:val="0"/>
        <w:spacing w:line="460" w:lineRule="exact"/>
        <w:ind w:firstLine="420" w:firstLineChars="200"/>
        <w:jc w:val="left"/>
        <w:rPr>
          <w:rFonts w:hint="eastAsia" w:ascii="宋体" w:hAnsi="宋体" w:cs="宋体"/>
          <w:color w:val="auto"/>
          <w:kern w:val="0"/>
          <w:szCs w:val="21"/>
          <w:highlight w:val="none"/>
          <w:u w:val="single"/>
          <w:lang w:val="en-US" w:eastAsia="zh-CN"/>
        </w:rPr>
      </w:pPr>
      <w:r>
        <w:rPr>
          <w:rFonts w:hint="eastAsia" w:ascii="宋体" w:hAnsi="宋体" w:cs="宋体"/>
          <w:color w:val="auto"/>
          <w:kern w:val="0"/>
          <w:szCs w:val="21"/>
          <w:highlight w:val="none"/>
        </w:rPr>
        <w:t>14、我方最近3年内的被公开披露或查处的违法违规行为有：</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p>
      <w:pPr>
        <w:widowControl/>
        <w:wordWrap w:val="0"/>
        <w:snapToGrid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15、以上事项如有虚假或隐瞒，我方愿意承担一切后果和责任。</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16、与本投标有关的一切正式往来通讯请寄（地址电话必须为最新并可以联系到）：</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地址：  邮编：</w:t>
      </w:r>
    </w:p>
    <w:p>
      <w:pPr>
        <w:widowControl/>
        <w:wordWrap w:val="0"/>
        <w:spacing w:line="460" w:lineRule="exact"/>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   电话：  传真： </w:t>
      </w:r>
    </w:p>
    <w:p>
      <w:pPr>
        <w:widowControl/>
        <w:wordWrap w:val="0"/>
        <w:spacing w:line="460" w:lineRule="exact"/>
        <w:ind w:firstLine="420" w:firstLineChars="200"/>
        <w:jc w:val="left"/>
        <w:rPr>
          <w:rFonts w:ascii="宋体" w:hAnsi="宋体" w:cs="宋体"/>
          <w:color w:val="auto"/>
          <w:kern w:val="0"/>
          <w:szCs w:val="21"/>
          <w:highlight w:val="none"/>
        </w:rPr>
      </w:pPr>
    </w:p>
    <w:p>
      <w:pPr>
        <w:widowControl/>
        <w:wordWrap w:val="0"/>
        <w:spacing w:line="460" w:lineRule="exact"/>
        <w:ind w:firstLine="735" w:firstLineChars="3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 xml:space="preserve">投标人代表签字： </w:t>
      </w:r>
    </w:p>
    <w:p>
      <w:pPr>
        <w:widowControl/>
        <w:wordWrap w:val="0"/>
        <w:spacing w:line="46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投标人：（全称并加盖公章）</w:t>
      </w:r>
    </w:p>
    <w:p>
      <w:pPr>
        <w:widowControl/>
        <w:wordWrap w:val="0"/>
        <w:spacing w:line="460" w:lineRule="exact"/>
        <w:ind w:firstLine="420" w:firstLineChars="200"/>
        <w:jc w:val="left"/>
        <w:rPr>
          <w:rFonts w:ascii="宋体" w:hAnsi="宋体" w:cs="宋体"/>
          <w:color w:val="auto"/>
          <w:kern w:val="0"/>
          <w:szCs w:val="21"/>
          <w:highlight w:val="none"/>
        </w:rPr>
      </w:pPr>
    </w:p>
    <w:p>
      <w:pPr>
        <w:widowControl/>
        <w:snapToGrid w:val="0"/>
        <w:spacing w:line="460" w:lineRule="exact"/>
        <w:ind w:firstLine="3360" w:firstLineChars="1600"/>
        <w:rPr>
          <w:rFonts w:ascii="宋体" w:hAnsi="宋体" w:cs="宋体"/>
          <w:color w:val="auto"/>
          <w:kern w:val="0"/>
          <w:sz w:val="24"/>
          <w:highlight w:val="none"/>
        </w:rPr>
      </w:pPr>
      <w:r>
        <w:rPr>
          <w:rFonts w:hint="eastAsia" w:ascii="宋体" w:hAnsi="宋体" w:cs="宋体"/>
          <w:color w:val="auto"/>
          <w:kern w:val="0"/>
          <w:szCs w:val="21"/>
          <w:highlight w:val="none"/>
        </w:rPr>
        <w:t xml:space="preserve">年    月   日 </w:t>
      </w:r>
    </w:p>
    <w:p>
      <w:pPr>
        <w:widowControl/>
        <w:wordWrap w:val="0"/>
        <w:snapToGrid w:val="0"/>
        <w:spacing w:before="50" w:after="50" w:line="480" w:lineRule="auto"/>
        <w:jc w:val="left"/>
        <w:rPr>
          <w:rFonts w:ascii="宋体" w:hAnsi="宋体" w:cs="宋体"/>
          <w:b/>
          <w:color w:val="auto"/>
          <w:kern w:val="0"/>
          <w:sz w:val="24"/>
          <w:highlight w:val="none"/>
        </w:rPr>
      </w:pPr>
    </w:p>
    <w:p>
      <w:pPr>
        <w:widowControl/>
        <w:wordWrap w:val="0"/>
        <w:snapToGrid w:val="0"/>
        <w:spacing w:before="50" w:after="50" w:line="480" w:lineRule="auto"/>
        <w:jc w:val="left"/>
        <w:rPr>
          <w:rFonts w:ascii="宋体" w:hAnsi="宋体" w:cs="宋体"/>
          <w:b/>
          <w:color w:val="auto"/>
          <w:kern w:val="0"/>
          <w:sz w:val="24"/>
          <w:highlight w:val="none"/>
        </w:rPr>
      </w:pPr>
    </w:p>
    <w:p>
      <w:pPr>
        <w:spacing w:line="500" w:lineRule="exact"/>
        <w:jc w:val="center"/>
        <w:rPr>
          <w:rFonts w:ascii="宋体" w:hAnsi="宋体"/>
          <w:b/>
          <w:bCs/>
          <w:color w:val="auto"/>
          <w:sz w:val="24"/>
          <w:highlight w:val="none"/>
        </w:rPr>
      </w:pPr>
    </w:p>
    <w:p>
      <w:pPr>
        <w:rPr>
          <w:color w:val="auto"/>
          <w:sz w:val="28"/>
          <w:szCs w:val="28"/>
          <w:highlight w:val="none"/>
        </w:rPr>
      </w:pPr>
      <w:r>
        <w:rPr>
          <w:rFonts w:hint="eastAsia"/>
          <w:color w:val="auto"/>
          <w:sz w:val="28"/>
          <w:szCs w:val="28"/>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67" w:name="_Toc7838"/>
      <w:r>
        <w:rPr>
          <w:rFonts w:hint="eastAsia" w:ascii="宋体" w:hAnsi="宋体" w:eastAsia="宋体" w:cs="宋体"/>
          <w:color w:val="auto"/>
          <w:highlight w:val="none"/>
        </w:rPr>
        <w:t>附件3               开标一览表</w:t>
      </w:r>
      <w:bookmarkEnd w:id="67"/>
    </w:p>
    <w:p>
      <w:pPr>
        <w:spacing w:line="239" w:lineRule="auto"/>
        <w:jc w:val="right"/>
        <w:rPr>
          <w:rFonts w:ascii="宋体" w:hAnsi="宋体"/>
          <w:color w:val="auto"/>
          <w:sz w:val="24"/>
          <w:highlight w:val="none"/>
        </w:rPr>
      </w:pPr>
      <w:r>
        <w:rPr>
          <w:rFonts w:ascii="宋体" w:hAnsi="宋体"/>
          <w:color w:val="auto"/>
          <w:sz w:val="24"/>
          <w:highlight w:val="none"/>
        </w:rPr>
        <w:t>单位：人民币元</w:t>
      </w:r>
    </w:p>
    <w:p>
      <w:pPr>
        <w:rPr>
          <w:color w:val="auto"/>
          <w:highlight w:val="none"/>
        </w:rPr>
      </w:pPr>
    </w:p>
    <w:tbl>
      <w:tblPr>
        <w:tblStyle w:val="33"/>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2"/>
        <w:gridCol w:w="7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项目名称</w:t>
            </w:r>
          </w:p>
        </w:tc>
        <w:tc>
          <w:tcPr>
            <w:tcW w:w="7687" w:type="dxa"/>
            <w:noWrap/>
            <w:vAlign w:val="center"/>
          </w:tcPr>
          <w:p>
            <w:pP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投标人名称</w:t>
            </w:r>
          </w:p>
        </w:tc>
        <w:tc>
          <w:tcPr>
            <w:tcW w:w="7687" w:type="dxa"/>
            <w:noWrap/>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972" w:type="dxa"/>
            <w:vMerge w:val="restart"/>
            <w:noWrap/>
            <w:vAlign w:val="center"/>
          </w:tcPr>
          <w:p>
            <w:pPr>
              <w:jc w:val="center"/>
              <w:rPr>
                <w:rFonts w:hint="eastAsia" w:ascii="宋体" w:hAnsi="宋体"/>
                <w:color w:val="auto"/>
                <w:szCs w:val="21"/>
                <w:highlight w:val="none"/>
              </w:rPr>
            </w:pPr>
            <w:r>
              <w:rPr>
                <w:rFonts w:hint="eastAsia" w:ascii="宋体" w:hAnsi="宋体"/>
                <w:color w:val="auto"/>
                <w:szCs w:val="21"/>
                <w:highlight w:val="none"/>
              </w:rPr>
              <w:t>投标报价</w:t>
            </w:r>
          </w:p>
          <w:p>
            <w:pPr>
              <w:jc w:val="center"/>
              <w:rPr>
                <w:rFonts w:ascii="宋体" w:hAnsi="宋体"/>
                <w:color w:val="auto"/>
                <w:spacing w:val="-20"/>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费率%</w:t>
            </w:r>
            <w:r>
              <w:rPr>
                <w:rFonts w:hint="eastAsia" w:ascii="宋体" w:hAnsi="宋体"/>
                <w:color w:val="auto"/>
                <w:szCs w:val="21"/>
                <w:highlight w:val="none"/>
                <w:lang w:eastAsia="zh-CN"/>
              </w:rPr>
              <w:t>）</w:t>
            </w: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72" w:type="dxa"/>
            <w:vMerge w:val="continue"/>
            <w:noWrap/>
            <w:vAlign w:val="center"/>
          </w:tcPr>
          <w:p/>
        </w:tc>
        <w:tc>
          <w:tcPr>
            <w:tcW w:w="7687" w:type="dxa"/>
            <w:noWrap/>
            <w:vAlign w:val="center"/>
          </w:tcPr>
          <w:p>
            <w:pPr>
              <w:keepNext w:val="0"/>
              <w:keepLines w:val="0"/>
              <w:pageBreakBefore w:val="0"/>
              <w:widowControl/>
              <w:kinsoku/>
              <w:wordWrap/>
              <w:overflowPunct/>
              <w:topLinePunct w:val="0"/>
              <w:bidi w:val="0"/>
              <w:snapToGrid w:val="0"/>
              <w:spacing w:line="320" w:lineRule="exact"/>
              <w:textAlignment w:val="auto"/>
              <w:rPr>
                <w:rFonts w:hint="default" w:ascii="宋体" w:hAnsi="宋体" w:eastAsia="宋体"/>
                <w:color w:val="auto"/>
                <w:szCs w:val="21"/>
                <w:highlight w:val="none"/>
                <w:u w:val="singl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理疗类配件</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w:t>
            </w:r>
            <w:r>
              <w:rPr>
                <w:rFonts w:hint="eastAsia" w:ascii="宋体" w:hAnsi="宋体" w:cs="宋体"/>
                <w:b w:val="0"/>
                <w:bCs w:val="0"/>
                <w:color w:val="auto"/>
                <w:sz w:val="21"/>
                <w:szCs w:val="21"/>
                <w:highlight w:val="none"/>
                <w:lang w:val="en-US" w:eastAsia="zh-CN"/>
              </w:rPr>
              <w:t>报价：</w:t>
            </w:r>
            <w:r>
              <w:rPr>
                <w:rFonts w:hint="eastAsia" w:ascii="宋体" w:hAnsi="宋体" w:cs="宋体"/>
                <w:b w:val="0"/>
                <w:bCs w:val="0"/>
                <w:color w:val="auto"/>
                <w:sz w:val="21"/>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合同履行期限</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交货地点</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widowControl/>
              <w:snapToGrid w:val="0"/>
              <w:spacing w:before="50" w:after="50"/>
              <w:jc w:val="center"/>
              <w:rPr>
                <w:rFonts w:ascii="宋体" w:hAnsi="宋体"/>
                <w:color w:val="auto"/>
                <w:szCs w:val="21"/>
                <w:highlight w:val="none"/>
              </w:rPr>
            </w:pPr>
            <w:r>
              <w:rPr>
                <w:rFonts w:hint="eastAsia" w:ascii="宋体" w:hAnsi="宋体" w:cs="宋体"/>
                <w:color w:val="auto"/>
                <w:kern w:val="0"/>
                <w:szCs w:val="21"/>
                <w:highlight w:val="none"/>
              </w:rPr>
              <w:t>投标有效期</w:t>
            </w:r>
          </w:p>
        </w:tc>
        <w:tc>
          <w:tcPr>
            <w:tcW w:w="7687" w:type="dxa"/>
            <w:noWrap/>
            <w:vAlign w:val="bottom"/>
          </w:tcPr>
          <w:p>
            <w:pPr>
              <w:spacing w:line="360" w:lineRule="auto"/>
              <w:ind w:firstLine="1155" w:firstLineChars="550"/>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质量标准</w:t>
            </w:r>
          </w:p>
        </w:tc>
        <w:tc>
          <w:tcPr>
            <w:tcW w:w="7687" w:type="dxa"/>
            <w:noWrap/>
            <w:vAlign w:val="bottom"/>
          </w:tcPr>
          <w:p>
            <w:pPr>
              <w:spacing w:line="360" w:lineRule="auto"/>
              <w:ind w:firstLine="1155" w:firstLineChars="550"/>
              <w:rPr>
                <w:rFonts w:ascii="宋体" w:hAnsi="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972" w:type="dxa"/>
            <w:noWrap/>
            <w:vAlign w:val="center"/>
          </w:tcPr>
          <w:p>
            <w:pPr>
              <w:jc w:val="center"/>
              <w:rPr>
                <w:rFonts w:ascii="宋体" w:hAnsi="宋体"/>
                <w:color w:val="auto"/>
                <w:szCs w:val="21"/>
                <w:highlight w:val="none"/>
              </w:rPr>
            </w:pPr>
            <w:r>
              <w:rPr>
                <w:rFonts w:hint="eastAsia" w:ascii="宋体" w:hAnsi="宋体"/>
                <w:color w:val="auto"/>
                <w:szCs w:val="21"/>
                <w:highlight w:val="none"/>
              </w:rPr>
              <w:t>备  注</w:t>
            </w:r>
          </w:p>
        </w:tc>
        <w:tc>
          <w:tcPr>
            <w:tcW w:w="7687" w:type="dxa"/>
            <w:noWrap/>
            <w:vAlign w:val="center"/>
          </w:tcPr>
          <w:p>
            <w:pPr>
              <w:pStyle w:val="21"/>
              <w:ind w:left="0" w:leftChars="0"/>
              <w:rPr>
                <w:color w:val="auto"/>
                <w:sz w:val="21"/>
                <w:szCs w:val="21"/>
                <w:highlight w:val="none"/>
              </w:rPr>
            </w:pPr>
          </w:p>
        </w:tc>
      </w:tr>
    </w:tbl>
    <w:p>
      <w:pPr>
        <w:rPr>
          <w:color w:val="auto"/>
          <w:highlight w:val="none"/>
        </w:rPr>
      </w:pP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 1、报价一经涂改，应在涂改处加盖单位公章或投标人代表签字或盖章，否则其投标作无效标处理。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2、以上报价应与“投标报价明细表”中的报价相一致。</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3、凡认为所投产品符合价格折扣条件的，在相应的产品的“备注”栏内注明符合何种折扣条件。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4、投标人按格式填列，不得自行更改。否则引起的不利后果由投标人承担。</w:t>
      </w:r>
    </w:p>
    <w:p>
      <w:pPr>
        <w:spacing w:line="360" w:lineRule="auto"/>
        <w:ind w:firstLine="480" w:firstLineChars="200"/>
        <w:rPr>
          <w:rFonts w:ascii="宋体" w:hAnsi="宋体" w:cs="宋体"/>
          <w:color w:val="auto"/>
          <w:kern w:val="0"/>
          <w:sz w:val="24"/>
          <w:highlight w:val="none"/>
        </w:rPr>
      </w:pPr>
    </w:p>
    <w:p>
      <w:pPr>
        <w:rPr>
          <w:color w:val="auto"/>
          <w:highlight w:val="none"/>
        </w:rPr>
      </w:pPr>
    </w:p>
    <w:p>
      <w:pPr>
        <w:rPr>
          <w:color w:val="auto"/>
          <w:highlight w:val="none"/>
        </w:rPr>
      </w:pPr>
    </w:p>
    <w:p>
      <w:pPr>
        <w:spacing w:line="360" w:lineRule="auto"/>
        <w:ind w:firstLine="420" w:firstLineChars="200"/>
        <w:jc w:val="center"/>
        <w:rPr>
          <w:rFonts w:ascii="宋体" w:hAnsi="宋体"/>
          <w:color w:val="auto"/>
          <w:szCs w:val="21"/>
          <w:highlight w:val="none"/>
        </w:rPr>
      </w:pPr>
      <w:bookmarkStart w:id="68" w:name="_Toc20877"/>
      <w:bookmarkStart w:id="69" w:name="_Toc11620"/>
      <w:r>
        <w:rPr>
          <w:rFonts w:hint="eastAsia" w:ascii="宋体" w:hAnsi="宋体"/>
          <w:color w:val="auto"/>
          <w:szCs w:val="21"/>
          <w:highlight w:val="none"/>
        </w:rPr>
        <w:t>投标人（全称并加盖公章）：</w:t>
      </w:r>
      <w:bookmarkEnd w:id="68"/>
      <w:bookmarkEnd w:id="69"/>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u w:val="single"/>
        </w:rPr>
      </w:pPr>
      <w:bookmarkStart w:id="70" w:name="_Toc625"/>
      <w:bookmarkStart w:id="71" w:name="_Toc12222"/>
      <w:r>
        <w:rPr>
          <w:rFonts w:hint="eastAsia" w:ascii="宋体" w:hAnsi="宋体"/>
          <w:color w:val="auto"/>
          <w:szCs w:val="21"/>
          <w:highlight w:val="none"/>
        </w:rPr>
        <w:t>法定代表人或其委托代理人（签字）：</w:t>
      </w:r>
      <w:bookmarkEnd w:id="70"/>
      <w:bookmarkEnd w:id="71"/>
    </w:p>
    <w:p>
      <w:pPr>
        <w:jc w:val="center"/>
        <w:rPr>
          <w:rFonts w:ascii="宋体" w:hAnsi="宋体"/>
          <w:color w:val="auto"/>
          <w:szCs w:val="21"/>
          <w:highlight w:val="none"/>
        </w:rPr>
      </w:pPr>
    </w:p>
    <w:p>
      <w:pPr>
        <w:spacing w:line="360" w:lineRule="auto"/>
        <w:ind w:firstLine="420" w:firstLineChars="200"/>
        <w:jc w:val="center"/>
        <w:rPr>
          <w:rFonts w:ascii="宋体" w:hAnsi="宋体"/>
          <w:color w:val="auto"/>
          <w:szCs w:val="21"/>
          <w:highlight w:val="none"/>
        </w:rPr>
      </w:pPr>
      <w:bookmarkStart w:id="72" w:name="_Toc1330"/>
      <w:bookmarkStart w:id="73" w:name="_Toc9950"/>
      <w:r>
        <w:rPr>
          <w:rFonts w:hint="eastAsia" w:ascii="宋体" w:hAnsi="宋体"/>
          <w:color w:val="auto"/>
          <w:szCs w:val="21"/>
          <w:highlight w:val="none"/>
        </w:rPr>
        <w:t>年  月  日</w:t>
      </w:r>
      <w:bookmarkEnd w:id="72"/>
      <w:bookmarkEnd w:id="73"/>
    </w:p>
    <w:p>
      <w:pPr>
        <w:rPr>
          <w:color w:val="auto"/>
          <w:highlight w:val="none"/>
        </w:rPr>
      </w:pPr>
      <w:r>
        <w:rPr>
          <w:color w:val="auto"/>
          <w:highlight w:val="none"/>
        </w:rPr>
        <w:br w:type="page"/>
      </w:r>
    </w:p>
    <w:p>
      <w:pPr>
        <w:rPr>
          <w:color w:val="auto"/>
          <w:highlight w:val="none"/>
        </w:rPr>
      </w:pPr>
    </w:p>
    <w:p>
      <w:pPr>
        <w:pStyle w:val="5"/>
        <w:spacing w:before="20" w:after="20"/>
        <w:rPr>
          <w:rFonts w:hint="eastAsia" w:ascii="宋体" w:hAnsi="宋体" w:eastAsia="宋体" w:cs="宋体"/>
          <w:color w:val="auto"/>
          <w:highlight w:val="none"/>
        </w:rPr>
      </w:pPr>
      <w:bookmarkStart w:id="74" w:name="_Toc22004"/>
      <w:bookmarkStart w:id="75" w:name="_Toc24984"/>
      <w:r>
        <w:rPr>
          <w:rFonts w:hint="eastAsia" w:ascii="宋体" w:hAnsi="宋体" w:eastAsia="宋体" w:cs="宋体"/>
          <w:color w:val="auto"/>
          <w:highlight w:val="none"/>
        </w:rPr>
        <w:t>附件4               报价明细表</w:t>
      </w:r>
      <w:bookmarkEnd w:id="74"/>
      <w:bookmarkEnd w:id="75"/>
    </w:p>
    <w:p>
      <w:pPr>
        <w:widowControl/>
        <w:wordWrap w:val="0"/>
        <w:snapToGrid w:val="0"/>
        <w:spacing w:before="50" w:after="50"/>
        <w:ind w:left="-3" w:leftChars="-72" w:right="-817" w:rightChars="-389" w:hanging="148" w:hangingChars="62"/>
        <w:jc w:val="left"/>
        <w:rPr>
          <w:rFonts w:ascii="宋体" w:hAnsi="宋体" w:cs="宋体"/>
          <w:color w:val="auto"/>
          <w:kern w:val="0"/>
          <w:sz w:val="24"/>
          <w:highlight w:val="none"/>
        </w:rPr>
      </w:pPr>
      <w:r>
        <w:rPr>
          <w:rFonts w:hint="eastAsia" w:cs="宋体"/>
          <w:color w:val="auto"/>
          <w:kern w:val="0"/>
          <w:sz w:val="24"/>
          <w:highlight w:val="none"/>
          <w:lang w:val="en-US" w:eastAsia="zh-CN"/>
        </w:rPr>
        <w:t xml:space="preserve">                               </w:t>
      </w:r>
      <w:r>
        <w:rPr>
          <w:rFonts w:hint="eastAsia" w:ascii="宋体" w:hAnsi="宋体" w:cs="宋体"/>
          <w:color w:val="auto"/>
          <w:kern w:val="0"/>
          <w:sz w:val="24"/>
          <w:highlight w:val="none"/>
        </w:rPr>
        <w:t xml:space="preserve">                       金额单位：人民币（元）</w:t>
      </w:r>
    </w:p>
    <w:tbl>
      <w:tblPr>
        <w:tblStyle w:val="33"/>
        <w:tblW w:w="89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2012"/>
        <w:gridCol w:w="1172"/>
        <w:gridCol w:w="1494"/>
        <w:gridCol w:w="1026"/>
        <w:gridCol w:w="1127"/>
        <w:gridCol w:w="16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jc w:val="center"/>
        </w:trPr>
        <w:tc>
          <w:tcPr>
            <w:tcW w:w="540"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序号</w:t>
            </w:r>
          </w:p>
        </w:tc>
        <w:tc>
          <w:tcPr>
            <w:tcW w:w="2012" w:type="dxa"/>
            <w:tcBorders>
              <w:top w:val="single" w:color="auto" w:sz="4" w:space="0"/>
              <w:left w:val="single" w:color="auto" w:sz="4" w:space="0"/>
              <w:bottom w:val="nil"/>
              <w:right w:val="single" w:color="auto" w:sz="4" w:space="0"/>
            </w:tcBorders>
            <w:vAlign w:val="center"/>
          </w:tcPr>
          <w:p>
            <w:pPr>
              <w:widowControl/>
              <w:snapToGrid w:val="0"/>
              <w:spacing w:before="50" w:after="50"/>
              <w:jc w:val="center"/>
              <w:rPr>
                <w:rFonts w:ascii="宋体" w:hAnsi="宋体" w:cs="宋体"/>
                <w:color w:val="auto"/>
                <w:kern w:val="0"/>
                <w:sz w:val="24"/>
                <w:highlight w:val="none"/>
              </w:rPr>
            </w:pPr>
            <w:r>
              <w:rPr>
                <w:rFonts w:hint="eastAsia" w:ascii="宋体" w:hAnsi="宋体" w:cs="宋体"/>
                <w:color w:val="auto"/>
                <w:kern w:val="0"/>
                <w:sz w:val="24"/>
                <w:highlight w:val="none"/>
              </w:rPr>
              <w:t>货物名称</w:t>
            </w:r>
          </w:p>
        </w:tc>
        <w:tc>
          <w:tcPr>
            <w:tcW w:w="1172"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品牌</w:t>
            </w:r>
          </w:p>
        </w:tc>
        <w:tc>
          <w:tcPr>
            <w:tcW w:w="1494"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hint="default" w:ascii="宋体" w:hAnsi="宋体" w:eastAsia="宋体" w:cs="宋体"/>
                <w:color w:val="auto"/>
                <w:spacing w:val="20"/>
                <w:kern w:val="0"/>
                <w:sz w:val="24"/>
                <w:highlight w:val="none"/>
                <w:lang w:val="en-US" w:eastAsia="zh-CN"/>
              </w:rPr>
            </w:pPr>
            <w:r>
              <w:rPr>
                <w:rFonts w:hint="eastAsia" w:ascii="宋体" w:hAnsi="宋体" w:cs="宋体"/>
                <w:color w:val="auto"/>
                <w:kern w:val="0"/>
                <w:sz w:val="24"/>
                <w:highlight w:val="none"/>
              </w:rPr>
              <w:t>规格/</w:t>
            </w:r>
            <w:r>
              <w:rPr>
                <w:rFonts w:hint="eastAsia" w:ascii="宋体" w:hAnsi="宋体" w:cs="宋体"/>
                <w:color w:val="auto"/>
                <w:kern w:val="0"/>
                <w:sz w:val="24"/>
                <w:highlight w:val="none"/>
                <w:lang w:val="en-US" w:eastAsia="zh-CN"/>
              </w:rPr>
              <w:t>型号</w:t>
            </w:r>
          </w:p>
        </w:tc>
        <w:tc>
          <w:tcPr>
            <w:tcW w:w="1026"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单位</w:t>
            </w:r>
          </w:p>
        </w:tc>
        <w:tc>
          <w:tcPr>
            <w:tcW w:w="1127"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数量</w:t>
            </w:r>
          </w:p>
        </w:tc>
        <w:tc>
          <w:tcPr>
            <w:tcW w:w="1619" w:type="dxa"/>
            <w:tcBorders>
              <w:top w:val="single" w:color="auto" w:sz="4" w:space="0"/>
              <w:left w:val="single" w:color="auto" w:sz="4" w:space="0"/>
              <w:bottom w:val="nil"/>
              <w:right w:val="single" w:color="auto" w:sz="4" w:space="0"/>
            </w:tcBorders>
            <w:vAlign w:val="center"/>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kern w:val="0"/>
                <w:sz w:val="24"/>
                <w:highlight w:val="none"/>
              </w:rPr>
              <w:t>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40"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201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p>
        </w:tc>
        <w:tc>
          <w:tcPr>
            <w:tcW w:w="1172"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494"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026"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127"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c>
          <w:tcPr>
            <w:tcW w:w="1619" w:type="dxa"/>
            <w:tcBorders>
              <w:top w:val="single" w:color="auto" w:sz="4" w:space="0"/>
              <w:left w:val="single" w:color="auto" w:sz="4" w:space="0"/>
              <w:bottom w:val="single" w:color="auto" w:sz="4" w:space="0"/>
              <w:right w:val="single" w:color="auto" w:sz="4" w:space="0"/>
            </w:tcBorders>
          </w:tcPr>
          <w:p>
            <w:pPr>
              <w:widowControl/>
              <w:tabs>
                <w:tab w:val="left" w:pos="1418"/>
              </w:tabs>
              <w:snapToGrid w:val="0"/>
              <w:spacing w:before="50" w:after="50" w:line="360" w:lineRule="exact"/>
              <w:jc w:val="center"/>
              <w:rPr>
                <w:rFonts w:ascii="宋体" w:hAnsi="宋体" w:cs="宋体"/>
                <w:color w:val="auto"/>
                <w:spacing w:val="20"/>
                <w:kern w:val="0"/>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371" w:type="dxa"/>
            <w:gridSpan w:val="6"/>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default" w:ascii="宋体" w:hAnsi="宋体" w:eastAsia="宋体" w:cs="宋体"/>
                <w:color w:val="auto"/>
                <w:spacing w:val="20"/>
                <w:kern w:val="0"/>
                <w:sz w:val="24"/>
                <w:highlight w:val="none"/>
                <w:lang w:val="en-US" w:eastAsia="zh-CN"/>
              </w:rPr>
            </w:pPr>
            <w:r>
              <w:rPr>
                <w:rFonts w:hint="eastAsia" w:ascii="宋体" w:hAnsi="宋体" w:cs="宋体"/>
                <w:color w:val="auto"/>
                <w:spacing w:val="20"/>
                <w:kern w:val="0"/>
                <w:sz w:val="24"/>
                <w:highlight w:val="none"/>
              </w:rPr>
              <w:t>投标总价(</w:t>
            </w:r>
            <w:r>
              <w:rPr>
                <w:rFonts w:hint="eastAsia" w:ascii="宋体" w:hAnsi="宋体" w:cs="宋体"/>
                <w:color w:val="auto"/>
                <w:kern w:val="0"/>
                <w:sz w:val="24"/>
                <w:szCs w:val="21"/>
                <w:highlight w:val="none"/>
              </w:rPr>
              <w:t>大写)：</w:t>
            </w:r>
          </w:p>
        </w:tc>
        <w:tc>
          <w:tcPr>
            <w:tcW w:w="1619" w:type="dxa"/>
            <w:tcBorders>
              <w:top w:val="single" w:color="auto" w:sz="4" w:space="0"/>
              <w:left w:val="single" w:color="auto" w:sz="4" w:space="0"/>
              <w:bottom w:val="single" w:color="auto" w:sz="4" w:space="0"/>
              <w:right w:val="single" w:color="auto" w:sz="4" w:space="0"/>
            </w:tcBorders>
            <w:vAlign w:val="top"/>
          </w:tcPr>
          <w:p>
            <w:pPr>
              <w:widowControl/>
              <w:tabs>
                <w:tab w:val="left" w:pos="1418"/>
              </w:tabs>
              <w:snapToGrid w:val="0"/>
              <w:spacing w:before="50" w:after="50" w:line="360" w:lineRule="exact"/>
              <w:jc w:val="left"/>
              <w:rPr>
                <w:rFonts w:hint="eastAsia" w:ascii="宋体" w:hAnsi="宋体" w:cs="宋体"/>
                <w:color w:val="auto"/>
                <w:spacing w:val="20"/>
                <w:kern w:val="0"/>
                <w:sz w:val="24"/>
                <w:highlight w:val="none"/>
                <w:lang w:val="en-US" w:eastAsia="zh-CN"/>
              </w:rPr>
            </w:pPr>
            <w:r>
              <w:rPr>
                <w:rFonts w:hint="eastAsia" w:ascii="宋体" w:hAnsi="宋体" w:cs="宋体"/>
                <w:color w:val="auto"/>
                <w:kern w:val="0"/>
                <w:sz w:val="24"/>
                <w:szCs w:val="21"/>
                <w:highlight w:val="none"/>
              </w:rPr>
              <w:t>￥</w:t>
            </w:r>
          </w:p>
        </w:tc>
      </w:tr>
    </w:tbl>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color w:val="auto"/>
          <w:highlight w:val="none"/>
        </w:rPr>
      </w:pPr>
      <w:r>
        <w:rPr>
          <w:rFonts w:hint="eastAsia" w:ascii="宋体" w:hAnsi="宋体" w:cs="宋体"/>
          <w:color w:val="auto"/>
          <w:kern w:val="0"/>
          <w:sz w:val="24"/>
          <w:highlight w:val="none"/>
        </w:rPr>
        <w:t>年    月    日</w:t>
      </w:r>
    </w:p>
    <w:p>
      <w:pPr>
        <w:pStyle w:val="5"/>
        <w:rPr>
          <w:color w:val="auto"/>
          <w:highlight w:val="none"/>
        </w:rPr>
      </w:pPr>
      <w:r>
        <w:rPr>
          <w:rFonts w:hint="eastAsia"/>
          <w:color w:val="auto"/>
          <w:highlight w:val="none"/>
        </w:rPr>
        <w:br w:type="page"/>
      </w:r>
      <w:bookmarkStart w:id="76" w:name="_Toc226"/>
      <w:bookmarkStart w:id="77" w:name="_Toc15804"/>
      <w:r>
        <w:rPr>
          <w:rFonts w:hint="eastAsia" w:ascii="宋体" w:hAnsi="宋体" w:eastAsia="宋体" w:cs="宋体"/>
          <w:color w:val="auto"/>
          <w:highlight w:val="none"/>
        </w:rPr>
        <w:t>附件5               技术响应表（格式）</w:t>
      </w:r>
      <w:bookmarkEnd w:id="76"/>
      <w:bookmarkEnd w:id="77"/>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val="en-US" w:eastAsia="zh-CN"/>
        </w:rPr>
        <w:t xml:space="preserve"> </w:t>
      </w:r>
    </w:p>
    <w:tbl>
      <w:tblPr>
        <w:tblStyle w:val="34"/>
        <w:tblpPr w:leftFromText="180" w:rightFromText="180" w:vertAnchor="text" w:horzAnchor="page" w:tblpX="1410" w:tblpY="5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712"/>
        <w:gridCol w:w="2114"/>
        <w:gridCol w:w="2273"/>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1" w:hRule="atLeast"/>
        </w:trPr>
        <w:tc>
          <w:tcPr>
            <w:tcW w:w="869" w:type="dxa"/>
            <w:vAlign w:val="center"/>
          </w:tcPr>
          <w:p>
            <w:pPr>
              <w:jc w:val="center"/>
              <w:rPr>
                <w:color w:val="auto"/>
                <w:sz w:val="24"/>
                <w:highlight w:val="none"/>
              </w:rPr>
            </w:pPr>
            <w:r>
              <w:rPr>
                <w:rFonts w:hint="eastAsia"/>
                <w:color w:val="auto"/>
                <w:sz w:val="24"/>
                <w:highlight w:val="none"/>
              </w:rPr>
              <w:t>序号</w:t>
            </w:r>
          </w:p>
        </w:tc>
        <w:tc>
          <w:tcPr>
            <w:tcW w:w="1712" w:type="dxa"/>
            <w:vAlign w:val="center"/>
          </w:tcPr>
          <w:p>
            <w:pPr>
              <w:jc w:val="center"/>
              <w:rPr>
                <w:color w:val="auto"/>
                <w:sz w:val="24"/>
                <w:highlight w:val="none"/>
              </w:rPr>
            </w:pPr>
            <w:r>
              <w:rPr>
                <w:rFonts w:hint="eastAsia"/>
                <w:color w:val="auto"/>
                <w:sz w:val="24"/>
                <w:highlight w:val="none"/>
              </w:rPr>
              <w:t>货物名称</w:t>
            </w:r>
          </w:p>
        </w:tc>
        <w:tc>
          <w:tcPr>
            <w:tcW w:w="2114" w:type="dxa"/>
            <w:vAlign w:val="center"/>
          </w:tcPr>
          <w:p>
            <w:pPr>
              <w:spacing w:line="360" w:lineRule="auto"/>
              <w:jc w:val="center"/>
              <w:rPr>
                <w:color w:val="auto"/>
                <w:sz w:val="24"/>
                <w:highlight w:val="none"/>
              </w:rPr>
            </w:pPr>
            <w:r>
              <w:rPr>
                <w:rFonts w:hint="eastAsia" w:ascii="宋体" w:hAnsi="宋体" w:cs="宋体"/>
                <w:color w:val="auto"/>
                <w:kern w:val="0"/>
                <w:sz w:val="24"/>
                <w:highlight w:val="none"/>
                <w:lang w:val="en-US" w:eastAsia="zh-CN"/>
              </w:rPr>
              <w:t>采购</w:t>
            </w:r>
            <w:r>
              <w:rPr>
                <w:rFonts w:hint="eastAsia" w:ascii="宋体" w:hAnsi="宋体" w:cs="宋体"/>
                <w:color w:val="auto"/>
                <w:kern w:val="0"/>
                <w:sz w:val="24"/>
                <w:highlight w:val="none"/>
              </w:rPr>
              <w:t>文件要求</w:t>
            </w:r>
          </w:p>
        </w:tc>
        <w:tc>
          <w:tcPr>
            <w:tcW w:w="2273"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投标文件响应</w:t>
            </w:r>
          </w:p>
        </w:tc>
        <w:tc>
          <w:tcPr>
            <w:tcW w:w="1952" w:type="dxa"/>
            <w:vAlign w:val="center"/>
          </w:tcPr>
          <w:p>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1</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color w:val="auto"/>
                <w:sz w:val="24"/>
                <w:highlight w:val="none"/>
              </w:rPr>
            </w:pPr>
          </w:p>
        </w:tc>
        <w:tc>
          <w:tcPr>
            <w:tcW w:w="1952" w:type="dxa"/>
            <w:vAlign w:val="center"/>
          </w:tcPr>
          <w:p>
            <w:pPr>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2</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3</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4</w:t>
            </w:r>
          </w:p>
        </w:tc>
        <w:tc>
          <w:tcPr>
            <w:tcW w:w="1712" w:type="dxa"/>
            <w:vAlign w:val="center"/>
          </w:tcPr>
          <w:p>
            <w:pPr>
              <w:jc w:val="center"/>
              <w:rPr>
                <w:color w:val="auto"/>
                <w:sz w:val="24"/>
                <w:highlight w:val="none"/>
              </w:rPr>
            </w:pPr>
          </w:p>
        </w:tc>
        <w:tc>
          <w:tcPr>
            <w:tcW w:w="2114" w:type="dxa"/>
            <w:vAlign w:val="center"/>
          </w:tcPr>
          <w:p>
            <w:pPr>
              <w:jc w:val="center"/>
              <w:rPr>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869" w:type="dxa"/>
            <w:vAlign w:val="center"/>
          </w:tcPr>
          <w:p>
            <w:pPr>
              <w:jc w:val="center"/>
              <w:rPr>
                <w:color w:val="auto"/>
                <w:sz w:val="24"/>
                <w:highlight w:val="none"/>
              </w:rPr>
            </w:pPr>
            <w:r>
              <w:rPr>
                <w:rFonts w:hint="eastAsia"/>
                <w:color w:val="auto"/>
                <w:sz w:val="24"/>
                <w:highlight w:val="none"/>
              </w:rPr>
              <w:t>...</w:t>
            </w:r>
          </w:p>
        </w:tc>
        <w:tc>
          <w:tcPr>
            <w:tcW w:w="1712" w:type="dxa"/>
            <w:vAlign w:val="center"/>
          </w:tcPr>
          <w:p>
            <w:pPr>
              <w:jc w:val="center"/>
              <w:rPr>
                <w:color w:val="auto"/>
                <w:sz w:val="24"/>
                <w:highlight w:val="none"/>
              </w:rPr>
            </w:pPr>
          </w:p>
        </w:tc>
        <w:tc>
          <w:tcPr>
            <w:tcW w:w="2114" w:type="dxa"/>
            <w:vAlign w:val="center"/>
          </w:tcPr>
          <w:p>
            <w:pPr>
              <w:jc w:val="center"/>
              <w:rPr>
                <w:bCs/>
                <w:color w:val="auto"/>
                <w:sz w:val="24"/>
                <w:highlight w:val="none"/>
              </w:rPr>
            </w:pPr>
          </w:p>
        </w:tc>
        <w:tc>
          <w:tcPr>
            <w:tcW w:w="2273" w:type="dxa"/>
            <w:vAlign w:val="center"/>
          </w:tcPr>
          <w:p>
            <w:pPr>
              <w:jc w:val="center"/>
              <w:rPr>
                <w:bCs/>
                <w:color w:val="auto"/>
                <w:sz w:val="24"/>
                <w:highlight w:val="none"/>
              </w:rPr>
            </w:pPr>
          </w:p>
        </w:tc>
        <w:tc>
          <w:tcPr>
            <w:tcW w:w="1952" w:type="dxa"/>
            <w:vAlign w:val="center"/>
          </w:tcPr>
          <w:p>
            <w:pPr>
              <w:jc w:val="center"/>
              <w:rPr>
                <w:bCs/>
                <w:color w:val="auto"/>
                <w:sz w:val="24"/>
                <w:highlight w:val="none"/>
              </w:rPr>
            </w:pPr>
          </w:p>
        </w:tc>
      </w:tr>
    </w:tbl>
    <w:p>
      <w:pPr>
        <w:rPr>
          <w:b/>
          <w:color w:val="auto"/>
          <w:kern w:val="0"/>
          <w:sz w:val="24"/>
          <w:highlight w:val="none"/>
        </w:rPr>
      </w:pPr>
    </w:p>
    <w:p>
      <w:pPr>
        <w:widowControl/>
        <w:wordWrap w:val="0"/>
        <w:spacing w:before="50" w:after="50" w:line="480" w:lineRule="auto"/>
        <w:jc w:val="left"/>
        <w:rPr>
          <w:rFonts w:ascii="宋体" w:hAnsi="宋体" w:cs="宋体"/>
          <w:bCs/>
          <w:color w:val="auto"/>
          <w:kern w:val="0"/>
          <w:sz w:val="24"/>
          <w:highlight w:val="none"/>
        </w:rPr>
      </w:pPr>
      <w:r>
        <w:rPr>
          <w:rFonts w:hint="eastAsia" w:ascii="宋体" w:hAnsi="宋体" w:cs="宋体"/>
          <w:bCs/>
          <w:color w:val="auto"/>
          <w:kern w:val="0"/>
          <w:sz w:val="24"/>
          <w:highlight w:val="none"/>
        </w:rPr>
        <w:t>注：投标人必须如实完整填写表格， “偏离情况”是指“正偏离”、“负偏离”或“无偏离”。</w:t>
      </w:r>
    </w:p>
    <w:p>
      <w:pPr>
        <w:pStyle w:val="53"/>
        <w:rPr>
          <w:bCs/>
          <w:color w:val="auto"/>
          <w:kern w:val="0"/>
          <w:highlight w:val="none"/>
        </w:rPr>
      </w:pPr>
    </w:p>
    <w:p>
      <w:pPr>
        <w:pStyle w:val="53"/>
        <w:rPr>
          <w:bCs/>
          <w:color w:val="auto"/>
          <w:kern w:val="0"/>
          <w:highlight w:val="none"/>
        </w:rPr>
      </w:pPr>
    </w:p>
    <w:p>
      <w:pPr>
        <w:pStyle w:val="53"/>
        <w:rPr>
          <w:bCs/>
          <w:color w:val="auto"/>
          <w:kern w:val="0"/>
          <w:highlight w:val="none"/>
        </w:rPr>
      </w:pPr>
    </w:p>
    <w:p>
      <w:pPr>
        <w:widowControl/>
        <w:wordWrap w:val="0"/>
        <w:spacing w:line="460" w:lineRule="exact"/>
        <w:ind w:firstLine="2760" w:firstLineChars="1150"/>
        <w:jc w:val="left"/>
        <w:rPr>
          <w:rFonts w:ascii="宋体" w:hAnsi="宋体" w:cs="宋体"/>
          <w:color w:val="auto"/>
          <w:kern w:val="0"/>
          <w:sz w:val="24"/>
          <w:highlight w:val="none"/>
          <w:u w:val="single"/>
        </w:rPr>
      </w:pPr>
      <w:r>
        <w:rPr>
          <w:rFonts w:hint="eastAsia" w:ascii="宋体" w:hAnsi="宋体" w:cs="宋体"/>
          <w:color w:val="auto"/>
          <w:kern w:val="0"/>
          <w:sz w:val="24"/>
          <w:highlight w:val="none"/>
        </w:rPr>
        <w:t xml:space="preserve">投标人代表签字： </w:t>
      </w:r>
    </w:p>
    <w:p>
      <w:pPr>
        <w:widowControl/>
        <w:wordWrap w:val="0"/>
        <w:snapToGrid w:val="0"/>
        <w:spacing w:line="460" w:lineRule="exact"/>
        <w:ind w:firstLine="2760" w:firstLineChars="1150"/>
        <w:jc w:val="left"/>
        <w:rPr>
          <w:rFonts w:ascii="宋体" w:hAnsi="宋体" w:cs="宋体"/>
          <w:color w:val="auto"/>
          <w:kern w:val="0"/>
          <w:sz w:val="52"/>
          <w:szCs w:val="52"/>
          <w:highlight w:val="none"/>
        </w:rPr>
      </w:pPr>
      <w:r>
        <w:rPr>
          <w:rFonts w:hint="eastAsia" w:ascii="宋体" w:hAnsi="宋体" w:cs="宋体"/>
          <w:color w:val="auto"/>
          <w:kern w:val="0"/>
          <w:sz w:val="24"/>
          <w:highlight w:val="none"/>
        </w:rPr>
        <w:t>投标人：（全称并加盖公章）</w:t>
      </w:r>
    </w:p>
    <w:p>
      <w:pPr>
        <w:widowControl/>
        <w:wordWrap w:val="0"/>
        <w:snapToGrid w:val="0"/>
        <w:spacing w:line="460" w:lineRule="exact"/>
        <w:ind w:firstLine="1040" w:firstLineChars="200"/>
        <w:jc w:val="left"/>
        <w:rPr>
          <w:rFonts w:ascii="宋体" w:hAnsi="宋体" w:cs="宋体"/>
          <w:color w:val="auto"/>
          <w:kern w:val="0"/>
          <w:sz w:val="52"/>
          <w:szCs w:val="52"/>
          <w:highlight w:val="none"/>
          <w:u w:val="single"/>
        </w:rPr>
      </w:pPr>
    </w:p>
    <w:p>
      <w:pPr>
        <w:widowControl/>
        <w:wordWrap w:val="0"/>
        <w:spacing w:line="460" w:lineRule="exact"/>
        <w:ind w:firstLine="4800" w:firstLineChars="20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rFonts w:ascii="宋体" w:hAnsi="宋体" w:cs="宋体"/>
          <w:b/>
          <w:color w:val="auto"/>
          <w:kern w:val="0"/>
          <w:sz w:val="24"/>
          <w:highlight w:val="none"/>
        </w:rPr>
      </w:pPr>
      <w:r>
        <w:rPr>
          <w:rFonts w:hint="eastAsia" w:ascii="宋体" w:hAnsi="宋体" w:cs="宋体"/>
          <w:b/>
          <w:color w:val="auto"/>
          <w:kern w:val="0"/>
          <w:sz w:val="24"/>
          <w:highlight w:val="none"/>
        </w:rPr>
        <w:br w:type="page"/>
      </w:r>
    </w:p>
    <w:p>
      <w:pPr>
        <w:rPr>
          <w:color w:val="auto"/>
          <w:highlight w:val="none"/>
        </w:rPr>
      </w:pPr>
    </w:p>
    <w:p>
      <w:pPr>
        <w:widowControl/>
        <w:wordWrap w:val="0"/>
        <w:snapToGrid w:val="0"/>
        <w:spacing w:line="460" w:lineRule="exact"/>
        <w:jc w:val="left"/>
        <w:outlineLvl w:val="0"/>
        <w:rPr>
          <w:rFonts w:hint="eastAsia" w:ascii="Arial" w:hAnsi="Arial" w:eastAsia="新宋体"/>
          <w:b/>
          <w:color w:val="auto"/>
          <w:sz w:val="24"/>
          <w:szCs w:val="24"/>
          <w:highlight w:val="none"/>
          <w:lang w:val="en-US" w:eastAsia="zh-CN"/>
        </w:rPr>
      </w:pPr>
      <w:bookmarkStart w:id="78" w:name="_Toc20420"/>
      <w:bookmarkStart w:id="79" w:name="_Toc29960"/>
      <w:r>
        <w:rPr>
          <w:rFonts w:hint="eastAsia" w:ascii="Arial" w:hAnsi="Arial" w:eastAsia="新宋体"/>
          <w:b/>
          <w:color w:val="auto"/>
          <w:sz w:val="28"/>
          <w:highlight w:val="none"/>
        </w:rPr>
        <w:t xml:space="preserve">附件6              </w:t>
      </w:r>
      <w:bookmarkEnd w:id="78"/>
      <w:bookmarkEnd w:id="79"/>
      <w:r>
        <w:rPr>
          <w:rFonts w:hint="eastAsia" w:ascii="Arial" w:hAnsi="Arial" w:eastAsia="新宋体"/>
          <w:b/>
          <w:color w:val="auto"/>
          <w:sz w:val="24"/>
          <w:szCs w:val="24"/>
          <w:highlight w:val="none"/>
        </w:rPr>
        <w:t>商务响应</w:t>
      </w:r>
      <w:r>
        <w:rPr>
          <w:rFonts w:hint="eastAsia" w:ascii="Arial" w:hAnsi="Arial" w:eastAsia="新宋体"/>
          <w:b/>
          <w:color w:val="auto"/>
          <w:sz w:val="24"/>
          <w:szCs w:val="24"/>
          <w:highlight w:val="none"/>
          <w:lang w:val="en-US" w:eastAsia="zh-CN"/>
        </w:rPr>
        <w:t>部分</w:t>
      </w:r>
    </w:p>
    <w:p>
      <w:pPr>
        <w:widowControl/>
        <w:wordWrap w:val="0"/>
        <w:spacing w:line="460" w:lineRule="exact"/>
        <w:jc w:val="left"/>
        <w:rPr>
          <w:rFonts w:hint="eastAsia" w:ascii="宋体" w:hAnsi="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 xml:space="preserve">  </w:t>
      </w:r>
    </w:p>
    <w:p>
      <w:pPr>
        <w:widowControl/>
        <w:wordWrap w:val="0"/>
        <w:spacing w:line="460" w:lineRule="exact"/>
        <w:ind w:firstLine="482" w:firstLineChars="200"/>
        <w:jc w:val="left"/>
        <w:rPr>
          <w:rFonts w:hint="default" w:ascii="宋体" w:hAnsi="宋体" w:eastAsia="宋体" w:cs="宋体"/>
          <w:b/>
          <w:color w:val="auto"/>
          <w:kern w:val="0"/>
          <w:sz w:val="24"/>
          <w:szCs w:val="24"/>
          <w:highlight w:val="none"/>
          <w:lang w:val="en-US" w:eastAsia="zh-CN"/>
        </w:rPr>
      </w:pPr>
      <w:r>
        <w:rPr>
          <w:rFonts w:hint="eastAsia" w:ascii="宋体" w:hAnsi="宋体" w:cs="宋体"/>
          <w:b/>
          <w:color w:val="auto"/>
          <w:kern w:val="0"/>
          <w:sz w:val="24"/>
          <w:szCs w:val="24"/>
          <w:highlight w:val="none"/>
          <w:lang w:val="en-US" w:eastAsia="zh-CN"/>
        </w:rPr>
        <w:t>商务部分相关证明文件</w:t>
      </w:r>
    </w:p>
    <w:p>
      <w:pPr>
        <w:widowControl/>
        <w:wordWrap w:val="0"/>
        <w:snapToGrid w:val="0"/>
        <w:spacing w:line="460" w:lineRule="exact"/>
        <w:jc w:val="left"/>
        <w:outlineLvl w:val="0"/>
        <w:rPr>
          <w:rFonts w:ascii="Arial" w:hAnsi="Arial" w:eastAsia="新宋体"/>
          <w:b/>
          <w:color w:val="auto"/>
          <w:sz w:val="28"/>
          <w:highlight w:val="none"/>
        </w:rPr>
      </w:pPr>
    </w:p>
    <w:p>
      <w:pPr>
        <w:widowControl/>
        <w:wordWrap w:val="0"/>
        <w:snapToGrid w:val="0"/>
        <w:spacing w:before="50" w:afterLines="50"/>
        <w:jc w:val="left"/>
        <w:rPr>
          <w:rFonts w:cs="宋体"/>
          <w:color w:val="auto"/>
          <w:kern w:val="0"/>
          <w:sz w:val="24"/>
          <w:highlight w:val="none"/>
        </w:rPr>
      </w:pPr>
    </w:p>
    <w:p>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r>
        <w:rPr>
          <w:rFonts w:hint="eastAsia" w:cs="宋体"/>
          <w:color w:val="auto"/>
          <w:kern w:val="0"/>
          <w:sz w:val="24"/>
          <w:highlight w:val="none"/>
          <w:lang w:eastAsia="zh-CN"/>
        </w:rPr>
        <w:t xml:space="preserve"> </w:t>
      </w:r>
    </w:p>
    <w:p>
      <w:pPr>
        <w:widowControl/>
        <w:wordWrap w:val="0"/>
        <w:snapToGrid w:val="0"/>
        <w:spacing w:before="50" w:line="480" w:lineRule="auto"/>
        <w:jc w:val="left"/>
        <w:rPr>
          <w:rFonts w:ascii="仿宋_GB2312" w:cs="宋体"/>
          <w:color w:val="auto"/>
          <w:kern w:val="0"/>
          <w:sz w:val="24"/>
          <w:highlight w:val="none"/>
        </w:rPr>
      </w:pPr>
    </w:p>
    <w:p>
      <w:pPr>
        <w:rPr>
          <w:rFonts w:cs="宋体"/>
          <w:b/>
          <w:color w:val="auto"/>
          <w:kern w:val="0"/>
          <w:sz w:val="24"/>
          <w:highlight w:val="none"/>
        </w:rPr>
      </w:pPr>
      <w:r>
        <w:rPr>
          <w:rFonts w:cs="宋体"/>
          <w:b/>
          <w:color w:val="auto"/>
          <w:kern w:val="0"/>
          <w:sz w:val="24"/>
          <w:highlight w:val="none"/>
        </w:rPr>
        <w:br w:type="page"/>
      </w:r>
    </w:p>
    <w:p>
      <w:pPr>
        <w:pStyle w:val="32"/>
      </w:pPr>
    </w:p>
    <w:p>
      <w:pPr>
        <w:widowControl/>
        <w:wordWrap w:val="0"/>
        <w:spacing w:line="460" w:lineRule="exact"/>
        <w:jc w:val="left"/>
        <w:outlineLvl w:val="0"/>
        <w:rPr>
          <w:rFonts w:ascii="Arial" w:hAnsi="Arial" w:eastAsia="新宋体"/>
          <w:b/>
          <w:color w:val="auto"/>
          <w:sz w:val="28"/>
          <w:highlight w:val="none"/>
        </w:rPr>
      </w:pPr>
      <w:bookmarkStart w:id="80" w:name="_Toc31526"/>
      <w:bookmarkStart w:id="81" w:name="_Toc28621"/>
      <w:r>
        <w:rPr>
          <w:rFonts w:hint="eastAsia" w:ascii="Arial" w:hAnsi="Arial" w:eastAsia="新宋体"/>
          <w:b/>
          <w:color w:val="auto"/>
          <w:sz w:val="28"/>
          <w:highlight w:val="none"/>
        </w:rPr>
        <w:t>附件7               法定代表人身份证明（格式）</w:t>
      </w:r>
      <w:bookmarkEnd w:id="80"/>
      <w:bookmarkEnd w:id="81"/>
    </w:p>
    <w:p>
      <w:pPr>
        <w:widowControl/>
        <w:wordWrap w:val="0"/>
        <w:spacing w:line="460" w:lineRule="exact"/>
        <w:jc w:val="left"/>
        <w:rPr>
          <w:rFonts w:ascii="宋体" w:hAnsi="宋体" w:cs="宋体"/>
          <w:color w:val="auto"/>
          <w:kern w:val="0"/>
          <w:sz w:val="24"/>
          <w:highlight w:val="none"/>
        </w:rPr>
      </w:pPr>
    </w:p>
    <w:p>
      <w:pPr>
        <w:widowControl/>
        <w:wordWrap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投标人名称：</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地址：</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highlight w:val="none"/>
        </w:rPr>
        <w:t>成立时间：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年</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月</w:t>
      </w:r>
      <w:r>
        <w:rPr>
          <w:rFonts w:hint="eastAsia" w:ascii="宋体" w:hAnsi="宋体" w:cs="宋体"/>
          <w:color w:val="auto"/>
          <w:kern w:val="0"/>
          <w:sz w:val="24"/>
          <w:szCs w:val="20"/>
          <w:highlight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日</w:t>
      </w:r>
    </w:p>
    <w:p>
      <w:pPr>
        <w:widowControl/>
        <w:wordWrap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szCs w:val="20"/>
          <w:highlight w:val="none"/>
        </w:rPr>
        <w:t>经营期限：</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ind w:firstLine="480" w:firstLineChars="200"/>
        <w:jc w:val="left"/>
        <w:rPr>
          <w:rFonts w:ascii="宋体" w:hAnsi="宋体" w:cs="宋体"/>
          <w:color w:val="auto"/>
          <w:kern w:val="0"/>
          <w:szCs w:val="21"/>
          <w:highlight w:val="none"/>
          <w:u w:val="single"/>
        </w:rPr>
      </w:pPr>
      <w:r>
        <w:rPr>
          <w:rFonts w:hint="eastAsia" w:ascii="宋体" w:hAnsi="宋体" w:cs="宋体"/>
          <w:color w:val="auto"/>
          <w:kern w:val="0"/>
          <w:sz w:val="24"/>
          <w:highlight w:val="none"/>
        </w:rPr>
        <w:t>姓名：</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szCs w:val="20"/>
          <w:highlight w:val="none"/>
        </w:rPr>
        <w:t>，性别：</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，年龄：</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，职务：</w:t>
      </w:r>
      <w:r>
        <w:rPr>
          <w:rFonts w:hint="eastAsia" w:ascii="宋体" w:hAnsi="宋体" w:cs="宋体"/>
          <w:color w:val="auto"/>
          <w:kern w:val="0"/>
          <w:szCs w:val="21"/>
          <w:highlight w:val="none"/>
          <w:u w:val="single"/>
          <w:lang w:val="en-US" w:eastAsia="zh-CN"/>
        </w:rPr>
        <w:t xml:space="preserve">        </w:t>
      </w:r>
    </w:p>
    <w:p>
      <w:pPr>
        <w:widowControl/>
        <w:wordWrap w:val="0"/>
        <w:spacing w:line="460" w:lineRule="exact"/>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szCs w:val="20"/>
          <w:highlight w:val="none"/>
        </w:rPr>
        <w:t>（投标人名称）的法定代表人。</w:t>
      </w:r>
    </w:p>
    <w:p>
      <w:pPr>
        <w:widowControl/>
        <w:wordWrap w:val="0"/>
        <w:spacing w:line="460" w:lineRule="exact"/>
        <w:jc w:val="left"/>
        <w:rPr>
          <w:rFonts w:ascii="宋体" w:hAnsi="宋体" w:cs="宋体"/>
          <w:color w:val="auto"/>
          <w:kern w:val="0"/>
          <w:sz w:val="24"/>
          <w:szCs w:val="20"/>
          <w:highlight w:val="none"/>
        </w:rPr>
      </w:pPr>
    </w:p>
    <w:p>
      <w:pPr>
        <w:widowControl/>
        <w:wordWrap w:val="0"/>
        <w:spacing w:line="460" w:lineRule="exact"/>
        <w:ind w:firstLine="480" w:firstLineChars="200"/>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特此证明。</w:t>
      </w:r>
    </w:p>
    <w:p>
      <w:pPr>
        <w:widowControl/>
        <w:wordWrap w:val="0"/>
        <w:spacing w:line="460" w:lineRule="exact"/>
        <w:jc w:val="left"/>
        <w:rPr>
          <w:rFonts w:ascii="宋体" w:hAnsi="宋体" w:cs="宋体"/>
          <w:color w:val="auto"/>
          <w:kern w:val="0"/>
          <w:sz w:val="24"/>
          <w:szCs w:val="20"/>
          <w:highlight w:val="none"/>
        </w:rPr>
      </w:pPr>
    </w:p>
    <w:p>
      <w:pPr>
        <w:widowControl/>
        <w:wordWrap w:val="0"/>
        <w:spacing w:beforeLines="100" w:afterLines="100" w:line="480" w:lineRule="exact"/>
        <w:jc w:val="center"/>
        <w:rPr>
          <w:rFonts w:ascii="宋体" w:hAnsi="宋体" w:cs="Lucida Sans Unicode"/>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bCs/>
                <w:color w:val="auto"/>
                <w:kern w:val="0"/>
                <w:sz w:val="24"/>
                <w:highlight w:val="none"/>
              </w:rPr>
            </w:pPr>
            <w:r>
              <w:rPr>
                <w:rFonts w:hint="eastAsia" w:ascii="宋体" w:hAnsi="宋体" w:cs="Lucida Sans Unicode"/>
                <w:bCs/>
                <w:color w:val="auto"/>
                <w:kern w:val="0"/>
                <w:sz w:val="24"/>
                <w:highlight w:val="none"/>
              </w:rPr>
              <w:t>此处请粘贴法定代表人身份证复印件</w:t>
            </w:r>
          </w:p>
          <w:p>
            <w:pPr>
              <w:widowControl/>
              <w:spacing w:line="480" w:lineRule="exact"/>
              <w:jc w:val="left"/>
              <w:rPr>
                <w:rFonts w:ascii="仿宋_GB2312" w:hAnsi="Lucida Sans Unicode" w:eastAsia="仿宋_GB2312" w:cs="Lucida Sans Unicode"/>
                <w:color w:val="auto"/>
                <w:kern w:val="0"/>
                <w:sz w:val="24"/>
                <w:highlight w:val="none"/>
              </w:rPr>
            </w:pPr>
          </w:p>
          <w:p>
            <w:pPr>
              <w:widowControl/>
              <w:spacing w:line="480" w:lineRule="exact"/>
              <w:jc w:val="left"/>
              <w:rPr>
                <w:rFonts w:ascii="仿宋_GB2312" w:hAnsi="Lucida Sans Unicode" w:eastAsia="仿宋_GB2312" w:cs="Lucida Sans Unicode"/>
                <w:color w:val="auto"/>
                <w:kern w:val="0"/>
                <w:sz w:val="24"/>
                <w:highlight w:val="none"/>
              </w:rPr>
            </w:pPr>
          </w:p>
        </w:tc>
      </w:tr>
    </w:tbl>
    <w:p>
      <w:pPr>
        <w:widowControl/>
        <w:wordWrap w:val="0"/>
        <w:spacing w:beforeLines="100" w:afterLines="100" w:line="480" w:lineRule="exact"/>
        <w:jc w:val="center"/>
        <w:rPr>
          <w:rFonts w:ascii="宋体" w:hAnsi="宋体" w:cs="Lucida Sans Unicode"/>
          <w:b/>
          <w:color w:val="auto"/>
          <w:kern w:val="0"/>
          <w:sz w:val="24"/>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beforeLines="100" w:afterLines="100" w:line="480" w:lineRule="exact"/>
        <w:jc w:val="center"/>
        <w:rPr>
          <w:rFonts w:ascii="Lucida Sans Unicode" w:hAnsi="Lucida Sans Unicode" w:cs="Lucida Sans Unicode"/>
          <w:b/>
          <w:color w:val="auto"/>
          <w:kern w:val="0"/>
          <w:sz w:val="36"/>
          <w:szCs w:val="36"/>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pacing w:line="480" w:lineRule="exact"/>
        <w:jc w:val="right"/>
        <w:rPr>
          <w:rFonts w:ascii="仿宋_GB2312" w:hAnsi="仿宋_GB2312" w:eastAsia="仿宋_GB2312" w:cs="Lucida Sans Unicode"/>
          <w:color w:val="auto"/>
          <w:kern w:val="0"/>
          <w:sz w:val="24"/>
          <w:highlight w:val="none"/>
        </w:rPr>
      </w:pPr>
    </w:p>
    <w:p>
      <w:pPr>
        <w:widowControl/>
        <w:wordWrap w:val="0"/>
        <w:snapToGrid w:val="0"/>
        <w:spacing w:line="460" w:lineRule="exact"/>
        <w:ind w:firstLine="2760" w:firstLineChars="11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left="3780" w:leftChars="1800"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年    月    日</w:t>
      </w:r>
    </w:p>
    <w:p>
      <w:pPr>
        <w:rPr>
          <w:color w:val="auto"/>
          <w:highlight w:val="none"/>
        </w:rPr>
      </w:pPr>
    </w:p>
    <w:p>
      <w:pPr>
        <w:rPr>
          <w:color w:val="auto"/>
          <w:highlight w:val="none"/>
        </w:rPr>
      </w:pPr>
      <w:r>
        <w:rPr>
          <w:color w:val="auto"/>
          <w:highlight w:val="none"/>
        </w:rPr>
        <w:br w:type="page"/>
      </w:r>
    </w:p>
    <w:p>
      <w:pPr>
        <w:pStyle w:val="53"/>
        <w:rPr>
          <w:color w:val="auto"/>
          <w:highlight w:val="none"/>
        </w:rPr>
      </w:pPr>
    </w:p>
    <w:p>
      <w:pPr>
        <w:widowControl/>
        <w:wordWrap w:val="0"/>
        <w:spacing w:line="460" w:lineRule="exact"/>
        <w:ind w:firstLine="365" w:firstLineChars="130"/>
        <w:jc w:val="left"/>
        <w:outlineLvl w:val="0"/>
        <w:rPr>
          <w:rFonts w:ascii="Arial" w:hAnsi="Arial" w:eastAsia="新宋体"/>
          <w:b/>
          <w:color w:val="auto"/>
          <w:sz w:val="28"/>
          <w:highlight w:val="none"/>
        </w:rPr>
      </w:pPr>
      <w:bookmarkStart w:id="82" w:name="_Toc30519"/>
      <w:bookmarkStart w:id="83" w:name="_Toc13976"/>
      <w:r>
        <w:rPr>
          <w:rFonts w:hint="eastAsia" w:ascii="Arial" w:hAnsi="Arial" w:eastAsia="新宋体"/>
          <w:b/>
          <w:color w:val="auto"/>
          <w:sz w:val="28"/>
          <w:highlight w:val="none"/>
        </w:rPr>
        <w:t>附件8               法定代表人授权书（格式）</w:t>
      </w:r>
      <w:bookmarkEnd w:id="82"/>
      <w:bookmarkEnd w:id="83"/>
    </w:p>
    <w:p>
      <w:pPr>
        <w:widowControl/>
        <w:tabs>
          <w:tab w:val="left" w:pos="420"/>
          <w:tab w:val="left" w:pos="2160"/>
        </w:tabs>
        <w:wordWrap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jc w:val="left"/>
        <w:rPr>
          <w:rFonts w:ascii="宋体" w:hAnsi="宋体" w:cs="宋体"/>
          <w:b/>
          <w:bCs/>
          <w:color w:val="auto"/>
          <w:kern w:val="0"/>
          <w:sz w:val="24"/>
          <w:highlight w:val="none"/>
        </w:rPr>
      </w:pPr>
      <w:r>
        <w:rPr>
          <w:rFonts w:hint="eastAsia" w:ascii="宋体" w:hAnsi="宋体" w:cs="宋体"/>
          <w:bCs/>
          <w:color w:val="auto"/>
          <w:kern w:val="0"/>
          <w:sz w:val="24"/>
          <w:highlight w:val="none"/>
        </w:rPr>
        <w:t>致：</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w:t>
      </w:r>
      <w:r>
        <w:rPr>
          <w:rFonts w:hint="eastAsia" w:ascii="宋体" w:hAnsi="宋体" w:cs="宋体"/>
          <w:color w:val="auto"/>
          <w:kern w:val="0"/>
          <w:sz w:val="24"/>
          <w:highlight w:val="none"/>
          <w:lang w:eastAsia="zh-CN"/>
        </w:rPr>
        <w:t>采购人</w:t>
      </w:r>
      <w:r>
        <w:rPr>
          <w:rFonts w:hint="eastAsia" w:ascii="宋体" w:hAnsi="宋体" w:cs="宋体"/>
          <w:color w:val="auto"/>
          <w:kern w:val="0"/>
          <w:sz w:val="24"/>
          <w:highlight w:val="none"/>
        </w:rPr>
        <w:t>名称）：</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 xml:space="preserve">（投标人名称）的法定代表人，现委托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（姓名）为我方代理人。代理人根据本授权，以我方的名义参加</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项目的投标活动，并代表我方全权办理针对上述项目的投标、开标、评标、签约等具体事务和签署相关文件。</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如果本次采购活动现场变更采购方式，本授权书有效。</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代理人无转委托权。</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委托期限：</w:t>
      </w:r>
    </w:p>
    <w:p>
      <w:pPr>
        <w:widowControl/>
        <w:wordWrap w:val="0"/>
        <w:snapToGrid w:val="0"/>
        <w:spacing w:line="460" w:lineRule="exact"/>
        <w:ind w:firstLine="480" w:firstLineChars="200"/>
        <w:jc w:val="left"/>
        <w:rPr>
          <w:rFonts w:ascii="宋体" w:hAnsi="宋体" w:cs="宋体"/>
          <w:color w:val="auto"/>
          <w:kern w:val="0"/>
          <w:sz w:val="24"/>
          <w:highlight w:val="none"/>
        </w:rPr>
      </w:pPr>
    </w:p>
    <w:p>
      <w:pPr>
        <w:widowControl/>
        <w:wordWrap w:val="0"/>
        <w:snapToGrid w:val="0"/>
        <w:spacing w:line="460" w:lineRule="exact"/>
        <w:ind w:firstLine="480" w:firstLineChars="200"/>
        <w:jc w:val="left"/>
        <w:rPr>
          <w:rFonts w:ascii="宋体" w:hAnsi="宋体" w:cs="宋体"/>
          <w:color w:val="auto"/>
          <w:kern w:val="0"/>
          <w:sz w:val="24"/>
          <w:highlight w:val="none"/>
          <w:u w:val="single"/>
        </w:rPr>
      </w:pPr>
      <w:r>
        <w:rPr>
          <w:rFonts w:hint="eastAsia" w:ascii="宋体" w:hAnsi="宋体" w:cs="宋体"/>
          <w:color w:val="auto"/>
          <w:kern w:val="0"/>
          <w:sz w:val="24"/>
          <w:highlight w:val="none"/>
        </w:rPr>
        <w:t>委托代理人签名：             法定代表人签名：</w:t>
      </w:r>
    </w:p>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Borders>
              <w:top w:val="single" w:color="auto" w:sz="4" w:space="0"/>
              <w:left w:val="single" w:color="auto" w:sz="4" w:space="0"/>
              <w:bottom w:val="single" w:color="auto" w:sz="4" w:space="0"/>
              <w:right w:val="single" w:color="auto" w:sz="4" w:space="0"/>
            </w:tcBorders>
          </w:tcPr>
          <w:p>
            <w:pPr>
              <w:widowControl/>
              <w:spacing w:line="480" w:lineRule="exact"/>
              <w:jc w:val="left"/>
              <w:rPr>
                <w:rFonts w:ascii="宋体" w:hAnsi="宋体" w:cs="Lucida Sans Unicode"/>
                <w:color w:val="auto"/>
                <w:kern w:val="0"/>
                <w:sz w:val="24"/>
                <w:highlight w:val="none"/>
              </w:rPr>
            </w:pPr>
            <w:r>
              <w:rPr>
                <w:rFonts w:hint="eastAsia" w:ascii="宋体" w:hAnsi="宋体" w:cs="Lucida Sans Unicode"/>
                <w:bCs/>
                <w:color w:val="auto"/>
                <w:kern w:val="0"/>
                <w:sz w:val="24"/>
                <w:highlight w:val="none"/>
              </w:rPr>
              <w:t>此处请粘贴</w:t>
            </w:r>
            <w:r>
              <w:rPr>
                <w:rFonts w:hint="eastAsia" w:ascii="宋体" w:hAnsi="宋体" w:cs="宋体"/>
                <w:color w:val="auto"/>
                <w:kern w:val="0"/>
                <w:sz w:val="24"/>
                <w:highlight w:val="none"/>
              </w:rPr>
              <w:t>委托代理人</w:t>
            </w:r>
            <w:r>
              <w:rPr>
                <w:rFonts w:hint="eastAsia" w:ascii="宋体" w:hAnsi="宋体" w:cs="Lucida Sans Unicode"/>
                <w:bCs/>
                <w:color w:val="auto"/>
                <w:kern w:val="0"/>
                <w:sz w:val="24"/>
                <w:highlight w:val="none"/>
              </w:rPr>
              <w:t>身份证复印件</w:t>
            </w:r>
          </w:p>
        </w:tc>
      </w:tr>
    </w:tbl>
    <w:p>
      <w:pPr>
        <w:widowControl/>
        <w:wordWrap w:val="0"/>
        <w:snapToGrid w:val="0"/>
        <w:spacing w:line="46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委托代理人身份证号码：</w:t>
      </w:r>
    </w:p>
    <w:p>
      <w:pPr>
        <w:widowControl/>
        <w:wordWrap w:val="0"/>
        <w:spacing w:line="460" w:lineRule="exact"/>
        <w:ind w:firstLine="4800" w:firstLineChars="2000"/>
        <w:jc w:val="left"/>
        <w:rPr>
          <w:rFonts w:ascii="仿宋_GB2312" w:hAnsi="Lucida Sans Unicode" w:eastAsia="仿宋_GB2312" w:cs="Lucida Sans Unicode"/>
          <w:color w:val="auto"/>
          <w:kern w:val="0"/>
          <w:sz w:val="24"/>
          <w:highlight w:val="none"/>
        </w:rPr>
      </w:pPr>
    </w:p>
    <w:p>
      <w:pPr>
        <w:widowControl/>
        <w:wordWrap w:val="0"/>
        <w:spacing w:line="360" w:lineRule="auto"/>
        <w:jc w:val="center"/>
        <w:rPr>
          <w:rFonts w:ascii="仿宋_GB2312" w:hAnsi="Lucida Sans Unicode" w:eastAsia="仿宋_GB2312" w:cs="Lucida Sans Unicode"/>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val="0"/>
        <w:spacing w:line="360" w:lineRule="auto"/>
        <w:jc w:val="right"/>
        <w:rPr>
          <w:rFonts w:hint="eastAsia" w:ascii="宋体" w:hAnsi="宋体" w:cs="宋体"/>
          <w:color w:val="auto"/>
          <w:kern w:val="0"/>
          <w:sz w:val="24"/>
          <w:highlight w:val="none"/>
        </w:rPr>
      </w:pPr>
    </w:p>
    <w:p>
      <w:pPr>
        <w:widowControl/>
        <w:wordWrap/>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 w:val="24"/>
          <w:highlight w:val="none"/>
        </w:rPr>
        <w:t>（全称并加盖公章）</w:t>
      </w:r>
    </w:p>
    <w:p>
      <w:pPr>
        <w:widowControl/>
        <w:wordWrap w:val="0"/>
        <w:spacing w:line="460" w:lineRule="exact"/>
        <w:ind w:firstLine="3840" w:firstLineChars="1600"/>
        <w:jc w:val="left"/>
        <w:rPr>
          <w:rFonts w:ascii="宋体" w:hAnsi="宋体" w:cs="宋体"/>
          <w:b/>
          <w:color w:val="auto"/>
          <w:kern w:val="0"/>
          <w:sz w:val="32"/>
          <w:szCs w:val="32"/>
          <w:highlight w:val="none"/>
        </w:rPr>
      </w:pPr>
      <w:r>
        <w:rPr>
          <w:rFonts w:hint="eastAsia" w:ascii="宋体" w:hAnsi="宋体" w:cs="宋体"/>
          <w:color w:val="auto"/>
          <w:kern w:val="0"/>
          <w:sz w:val="24"/>
          <w:highlight w:val="none"/>
        </w:rPr>
        <w:t>年    月    日</w:t>
      </w:r>
    </w:p>
    <w:p>
      <w:pPr>
        <w:widowControl/>
        <w:spacing w:line="360" w:lineRule="auto"/>
        <w:ind w:firstLine="7228" w:firstLineChars="2250"/>
        <w:jc w:val="left"/>
        <w:rPr>
          <w:rFonts w:ascii="宋体" w:hAnsi="宋体" w:cs="宋体"/>
          <w:b/>
          <w:color w:val="auto"/>
          <w:kern w:val="0"/>
          <w:sz w:val="32"/>
          <w:szCs w:val="32"/>
          <w:highlight w:val="none"/>
        </w:rPr>
      </w:pPr>
    </w:p>
    <w:p>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pPr>
        <w:widowControl/>
        <w:snapToGrid w:val="0"/>
        <w:spacing w:before="156" w:after="156" w:line="360" w:lineRule="auto"/>
        <w:jc w:val="left"/>
        <w:rPr>
          <w:rFonts w:ascii="宋体" w:hAnsi="宋体" w:cs="宋体"/>
          <w:b/>
          <w:color w:val="auto"/>
          <w:kern w:val="0"/>
          <w:sz w:val="24"/>
          <w:highlight w:val="none"/>
        </w:rPr>
      </w:pPr>
    </w:p>
    <w:p>
      <w:pPr>
        <w:widowControl/>
        <w:snapToGrid w:val="0"/>
        <w:spacing w:before="156" w:after="156" w:line="360" w:lineRule="auto"/>
        <w:jc w:val="left"/>
        <w:outlineLvl w:val="0"/>
        <w:rPr>
          <w:rFonts w:ascii="宋体" w:hAnsi="宋体" w:cs="宋体"/>
          <w:b/>
          <w:color w:val="auto"/>
          <w:kern w:val="0"/>
          <w:sz w:val="24"/>
          <w:highlight w:val="none"/>
        </w:rPr>
      </w:pPr>
      <w:bookmarkStart w:id="84" w:name="_Toc24693"/>
      <w:bookmarkStart w:id="85" w:name="_Toc18105"/>
      <w:r>
        <w:rPr>
          <w:rFonts w:hint="eastAsia" w:ascii="Arial" w:hAnsi="Arial" w:eastAsia="新宋体"/>
          <w:b/>
          <w:color w:val="auto"/>
          <w:sz w:val="28"/>
          <w:highlight w:val="none"/>
        </w:rPr>
        <w:t>附件9               证明文件</w:t>
      </w:r>
      <w:bookmarkEnd w:id="84"/>
      <w:bookmarkEnd w:id="85"/>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9.1</w:t>
      </w:r>
      <w:r>
        <w:rPr>
          <w:rFonts w:hint="eastAsia"/>
          <w:bCs/>
          <w:color w:val="auto"/>
          <w:sz w:val="21"/>
          <w:szCs w:val="21"/>
          <w:highlight w:val="none"/>
          <w:lang w:val="en-US" w:eastAsia="zh-CN"/>
        </w:rPr>
        <w:t xml:space="preserve"> </w:t>
      </w:r>
      <w:r>
        <w:rPr>
          <w:rFonts w:hint="eastAsia"/>
          <w:bCs/>
          <w:color w:val="auto"/>
          <w:sz w:val="21"/>
          <w:szCs w:val="21"/>
          <w:highlight w:val="none"/>
        </w:rPr>
        <w:t>资格审查资料</w:t>
      </w:r>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9.2</w:t>
      </w:r>
      <w:r>
        <w:rPr>
          <w:rFonts w:hint="eastAsia"/>
          <w:bCs/>
          <w:color w:val="auto"/>
          <w:sz w:val="21"/>
          <w:szCs w:val="21"/>
          <w:highlight w:val="none"/>
          <w:lang w:val="en-US" w:eastAsia="zh-CN"/>
        </w:rPr>
        <w:t xml:space="preserve"> </w:t>
      </w:r>
      <w:r>
        <w:rPr>
          <w:rFonts w:hint="eastAsia"/>
          <w:bCs/>
          <w:color w:val="auto"/>
          <w:sz w:val="21"/>
          <w:szCs w:val="21"/>
          <w:highlight w:val="none"/>
        </w:rPr>
        <w:t>技术方案</w:t>
      </w:r>
    </w:p>
    <w:p>
      <w:pPr>
        <w:pStyle w:val="9"/>
        <w:spacing w:beforeAutospacing="0" w:afterAutospacing="0" w:line="480" w:lineRule="auto"/>
        <w:ind w:firstLine="470" w:firstLineChars="224"/>
        <w:jc w:val="both"/>
        <w:rPr>
          <w:rFonts w:hint="eastAsia"/>
          <w:bCs/>
          <w:color w:val="auto"/>
          <w:sz w:val="21"/>
          <w:szCs w:val="21"/>
          <w:highlight w:val="none"/>
        </w:rPr>
      </w:pPr>
      <w:r>
        <w:rPr>
          <w:rFonts w:hint="eastAsia"/>
          <w:bCs/>
          <w:color w:val="auto"/>
          <w:sz w:val="21"/>
          <w:szCs w:val="21"/>
          <w:highlight w:val="none"/>
        </w:rPr>
        <w:t>9.3</w:t>
      </w:r>
      <w:r>
        <w:rPr>
          <w:rFonts w:hint="eastAsia"/>
          <w:bCs/>
          <w:color w:val="auto"/>
          <w:sz w:val="21"/>
          <w:szCs w:val="21"/>
          <w:highlight w:val="none"/>
          <w:lang w:val="en-US" w:eastAsia="zh-CN"/>
        </w:rPr>
        <w:t xml:space="preserve"> </w:t>
      </w:r>
      <w:r>
        <w:rPr>
          <w:rFonts w:hint="eastAsia"/>
          <w:bCs/>
          <w:color w:val="auto"/>
          <w:sz w:val="21"/>
          <w:szCs w:val="21"/>
          <w:highlight w:val="none"/>
        </w:rPr>
        <w:t>其他需要提供的证明材料</w:t>
      </w:r>
      <w:bookmarkStart w:id="86" w:name="_Toc17966"/>
    </w:p>
    <w:p>
      <w:pPr>
        <w:pStyle w:val="9"/>
        <w:spacing w:beforeAutospacing="0" w:afterAutospacing="0" w:line="480" w:lineRule="auto"/>
        <w:ind w:firstLine="470" w:firstLineChars="224"/>
        <w:jc w:val="both"/>
        <w:rPr>
          <w:bCs/>
          <w:color w:val="auto"/>
          <w:sz w:val="21"/>
          <w:szCs w:val="21"/>
          <w:highlight w:val="none"/>
        </w:rPr>
      </w:pPr>
      <w:r>
        <w:rPr>
          <w:rFonts w:hint="eastAsia"/>
          <w:bCs/>
          <w:color w:val="auto"/>
          <w:sz w:val="21"/>
          <w:szCs w:val="21"/>
          <w:highlight w:val="none"/>
        </w:rPr>
        <w:t>9.</w:t>
      </w:r>
      <w:r>
        <w:rPr>
          <w:rFonts w:hint="eastAsia"/>
          <w:bCs/>
          <w:color w:val="auto"/>
          <w:sz w:val="21"/>
          <w:szCs w:val="21"/>
          <w:highlight w:val="none"/>
          <w:lang w:val="en-US" w:eastAsia="zh-CN"/>
        </w:rPr>
        <w:t xml:space="preserve">4 </w:t>
      </w:r>
      <w:r>
        <w:rPr>
          <w:rFonts w:hint="eastAsia"/>
          <w:bCs/>
          <w:color w:val="auto"/>
          <w:sz w:val="21"/>
          <w:szCs w:val="21"/>
          <w:highlight w:val="none"/>
        </w:rPr>
        <w:t>其他证明材料。</w:t>
      </w:r>
    </w:p>
    <w:p>
      <w:pPr>
        <w:pStyle w:val="9"/>
        <w:spacing w:beforeAutospacing="0" w:afterAutospacing="0" w:line="480" w:lineRule="auto"/>
        <w:ind w:firstLine="540" w:firstLineChars="224"/>
        <w:jc w:val="both"/>
        <w:rPr>
          <w:b/>
          <w:bCs/>
          <w:color w:val="auto"/>
          <w:highlight w:val="none"/>
        </w:rPr>
      </w:pPr>
    </w:p>
    <w:p>
      <w:pPr>
        <w:rPr>
          <w:b/>
          <w:bCs/>
          <w:color w:val="auto"/>
          <w:highlight w:val="none"/>
        </w:rPr>
      </w:pPr>
      <w:r>
        <w:rPr>
          <w:b/>
          <w:bCs/>
          <w:color w:val="auto"/>
          <w:highlight w:val="none"/>
        </w:rPr>
        <w:br w:type="page"/>
      </w:r>
    </w:p>
    <w:p>
      <w:pPr>
        <w:pStyle w:val="9"/>
        <w:spacing w:beforeAutospacing="0" w:afterAutospacing="0" w:line="480" w:lineRule="auto"/>
        <w:ind w:firstLine="540" w:firstLineChars="224"/>
        <w:jc w:val="both"/>
        <w:rPr>
          <w:b/>
          <w:bCs/>
          <w:color w:val="auto"/>
          <w:highlight w:val="none"/>
        </w:rPr>
      </w:pPr>
    </w:p>
    <w:p>
      <w:pPr>
        <w:widowControl/>
        <w:snapToGrid w:val="0"/>
        <w:spacing w:line="360" w:lineRule="auto"/>
        <w:jc w:val="center"/>
        <w:outlineLvl w:val="0"/>
        <w:rPr>
          <w:rFonts w:ascii="宋体" w:hAnsi="宋体" w:cs="宋体"/>
          <w:b/>
          <w:color w:val="auto"/>
          <w:kern w:val="0"/>
          <w:sz w:val="28"/>
          <w:szCs w:val="28"/>
          <w:highlight w:val="none"/>
        </w:rPr>
      </w:pPr>
      <w:bookmarkStart w:id="87" w:name="_Toc13726"/>
      <w:bookmarkStart w:id="88" w:name="_Toc12888"/>
      <w:r>
        <w:rPr>
          <w:rFonts w:hint="eastAsia" w:ascii="宋体" w:hAnsi="宋体" w:cs="Lucida Sans Unicode"/>
          <w:b/>
          <w:color w:val="auto"/>
          <w:kern w:val="0"/>
          <w:sz w:val="28"/>
          <w:szCs w:val="28"/>
          <w:highlight w:val="none"/>
        </w:rPr>
        <w:t xml:space="preserve">附件10        </w:t>
      </w:r>
      <w:bookmarkEnd w:id="86"/>
      <w:r>
        <w:rPr>
          <w:rFonts w:hint="eastAsia" w:ascii="宋体" w:hAnsi="宋体" w:cs="Lucida Sans Unicode"/>
          <w:b/>
          <w:color w:val="auto"/>
          <w:kern w:val="0"/>
          <w:sz w:val="28"/>
          <w:szCs w:val="28"/>
          <w:highlight w:val="none"/>
        </w:rPr>
        <w:t>供 应 商 承 诺 书</w:t>
      </w:r>
      <w:r>
        <w:rPr>
          <w:rFonts w:hint="eastAsia" w:ascii="宋体" w:hAnsi="宋体" w:cs="Lucida Sans Unicode"/>
          <w:b/>
          <w:color w:val="auto"/>
          <w:kern w:val="0"/>
          <w:sz w:val="28"/>
          <w:szCs w:val="28"/>
          <w:highlight w:val="none"/>
          <w:lang w:val="en-US" w:eastAsia="zh-CN"/>
        </w:rPr>
        <w:t xml:space="preserve"> </w:t>
      </w:r>
      <w:r>
        <w:rPr>
          <w:rFonts w:hint="eastAsia" w:ascii="宋体" w:hAnsi="宋体" w:cs="宋体"/>
          <w:color w:val="auto"/>
          <w:kern w:val="0"/>
          <w:sz w:val="28"/>
          <w:szCs w:val="28"/>
          <w:highlight w:val="none"/>
        </w:rPr>
        <w:t>（格式）</w:t>
      </w:r>
      <w:bookmarkEnd w:id="87"/>
      <w:bookmarkEnd w:id="88"/>
    </w:p>
    <w:p>
      <w:pPr>
        <w:bidi w:val="0"/>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我院（以下简称甲方）组织的本次采购，在遵守《招标投标法》、《政府采购法》、《合同法》、《反不正当竞争法》和《关于推进招投标监督领域诚信建设的意见》等法律法规的基础上，要求贵方（以下简称乙方）做出如下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1、遵循公开、公平、公正和诚实信用的原则自愿参加，所提供的一切材料真实、有效、合法。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2、遵守甲方采购纪律，诚实守信地为甲方提供安全可靠的产品、服务及相关技术，保证质量并主动做好售后服务工作。</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3、杜绝利用提供财物或给予其他不正当利益谋取中标的不良行为。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4、不发生其他任何可能影响甲方工作人员公正执行公务或者职务廉洁的行为。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5、不参与串标、围标或其他不正当竞争行为；杜绝以虚报资质、业绩或其他弄虚作假等方式骗取中标。</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6、响应时，杜绝擅自修改采购文件或技术标准（包括差异表）技术配置的行为。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sz w:val="24"/>
          <w:szCs w:val="24"/>
        </w:rPr>
      </w:pPr>
      <w:r>
        <w:rPr>
          <w:rFonts w:hint="eastAsia" w:ascii="宋体" w:hAnsi="宋体" w:eastAsia="宋体" w:cs="宋体"/>
          <w:sz w:val="24"/>
          <w:szCs w:val="24"/>
        </w:rPr>
        <w:t>7、严格按照采购、投标文件要求签订合同，不违反法律无故拒签合同，不签订背离合同（或技术协议书）实质性内容的协议。</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投标人（</w:t>
      </w:r>
      <w:r>
        <w:rPr>
          <w:rFonts w:hint="eastAsia" w:ascii="宋体" w:hAnsi="宋体" w:eastAsia="宋体" w:cs="宋体"/>
          <w:sz w:val="24"/>
          <w:szCs w:val="24"/>
          <w:lang w:val="en-US" w:eastAsia="zh-CN"/>
        </w:rPr>
        <w:t>公司名称</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480" w:lineRule="auto"/>
        <w:textAlignment w:val="auto"/>
        <w:rPr>
          <w:sz w:val="28"/>
          <w:szCs w:val="28"/>
        </w:rPr>
      </w:pPr>
      <w:r>
        <w:rPr>
          <w:rFonts w:hint="eastAsia" w:ascii="宋体" w:hAnsi="宋体" w:eastAsia="宋体" w:cs="宋体"/>
          <w:sz w:val="24"/>
          <w:szCs w:val="24"/>
        </w:rPr>
        <w:t>法定代表人或委托人（签字）：                   年   月   日</w:t>
      </w:r>
    </w:p>
    <w:p>
      <w:pPr>
        <w:widowControl/>
        <w:spacing w:line="360" w:lineRule="auto"/>
        <w:ind w:firstLine="4305" w:firstLineChars="2050"/>
        <w:jc w:val="left"/>
        <w:rPr>
          <w:rFonts w:ascii="宋体" w:hAnsi="宋体" w:cs="宋体"/>
          <w:color w:val="auto"/>
          <w:kern w:val="0"/>
          <w:szCs w:val="21"/>
          <w:highlight w:val="none"/>
        </w:rPr>
      </w:pPr>
    </w:p>
    <w:p>
      <w:pPr>
        <w:spacing w:line="360" w:lineRule="auto"/>
        <w:rPr>
          <w:color w:val="auto"/>
          <w:highlight w:val="none"/>
        </w:rPr>
      </w:pPr>
    </w:p>
    <w:p>
      <w:pPr>
        <w:rPr>
          <w:color w:val="auto"/>
          <w:highlight w:val="none"/>
        </w:rPr>
      </w:pPr>
      <w:r>
        <w:rPr>
          <w:color w:val="auto"/>
          <w:highlight w:val="none"/>
        </w:rPr>
        <w:br w:type="page"/>
      </w:r>
    </w:p>
    <w:p>
      <w:pPr>
        <w:bidi w:val="0"/>
        <w:rPr>
          <w:rFonts w:hint="eastAsia"/>
          <w:lang w:val="en-US" w:eastAsia="zh-CN"/>
        </w:rPr>
      </w:pPr>
    </w:p>
    <w:p>
      <w:pPr>
        <w:jc w:val="center"/>
        <w:rPr>
          <w:rFonts w:hint="eastAsia" w:ascii="宋体" w:hAnsi="宋体" w:eastAsia="宋体" w:cs="宋体"/>
          <w:b/>
          <w:bCs/>
          <w:color w:val="auto"/>
          <w:kern w:val="2"/>
          <w:sz w:val="28"/>
          <w:szCs w:val="18"/>
          <w:highlight w:val="none"/>
          <w:lang w:val="en-US" w:eastAsia="zh-CN" w:bidi="ar-SA"/>
        </w:rPr>
      </w:pPr>
      <w:r>
        <w:rPr>
          <w:rFonts w:hint="eastAsia" w:ascii="宋体" w:hAnsi="宋体" w:eastAsia="宋体" w:cs="宋体"/>
          <w:b/>
          <w:bCs/>
          <w:color w:val="auto"/>
          <w:kern w:val="2"/>
          <w:sz w:val="28"/>
          <w:szCs w:val="18"/>
          <w:highlight w:val="none"/>
          <w:lang w:val="en-US" w:eastAsia="zh-CN" w:bidi="ar-SA"/>
        </w:rPr>
        <w:t>附件11     供应商信用承诺函（格式）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致（采购人或政府采购代理机构）：</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单位名称（自然人姓名）：</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统一社会信用代码（身份证号码）：</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法定代表人（负责人）：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联系地址和电话：</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（一）具有独立承担民事责任的能力；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（二）具有良好的商业信誉和健全的财务会计制度；</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（三）具有履行合同所必需的设备和专业技术能力；</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仿宋" w:hAnsi="仿宋" w:eastAsia="仿宋" w:cs="仿宋"/>
          <w:sz w:val="32"/>
          <w:szCs w:val="32"/>
        </w:rPr>
      </w:pPr>
      <w:r>
        <w:rPr>
          <w:rFonts w:hint="eastAsia" w:ascii="宋体" w:hAnsi="宋体" w:eastAsia="宋体" w:cs="宋体"/>
          <w:color w:val="auto"/>
          <w:sz w:val="24"/>
          <w:szCs w:val="24"/>
          <w:lang w:val="en-US" w:eastAsia="zh-CN"/>
        </w:rPr>
        <w:t>（四）有依法缴纳税收和社会保障资金的良好记录；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（六）未被列入严重失信主体名单、失信被执行人、税收违法黑名单、政府采购严重违法失信行为记录名单，未曾作出虚假承诺；</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（七）符合法律、行政法规规定的其他条件。</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我单位（本人）保证上述承诺事项的真实性，如有弄虚作假或其他违法违规行为，愿意承担一切法律责任，并承担因此所造成的一切损失。</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供应商名称（盖章）：</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法定代表人、负责人、自然人或授权代表(签字)：</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日期：       年         月          日</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注：1.供应商须在投标（响应性）文件中按此模板提供承诺函，未提供视为未实质性响应招标文件要求，按无效投标（响应）处理。</w:t>
      </w:r>
    </w:p>
    <w:p>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2.供应商的法定代表人或者授权代表的签字或盖章应真实、有效，如由授权代表签字或盖章的，应提供“法定代表人授权书”。</w:t>
      </w:r>
    </w:p>
    <w:p>
      <w:pPr>
        <w:spacing w:line="360" w:lineRule="auto"/>
        <w:ind w:left="370" w:leftChars="176"/>
        <w:rPr>
          <w:rFonts w:hint="eastAsia" w:ascii="宋体" w:hAnsi="宋体" w:eastAsia="宋体" w:cs="宋体"/>
          <w:b/>
          <w:color w:val="auto"/>
          <w:szCs w:val="21"/>
          <w:highlight w:val="none"/>
        </w:rPr>
      </w:pPr>
    </w:p>
    <w:p>
      <w:pPr>
        <w:rPr>
          <w:color w:val="auto"/>
          <w:highlight w:val="none"/>
        </w:rPr>
      </w:pPr>
      <w:r>
        <w:rPr>
          <w:color w:val="auto"/>
          <w:highlight w:val="none"/>
        </w:rPr>
        <w:br w:type="page"/>
      </w:r>
    </w:p>
    <w:p>
      <w:pPr>
        <w:pStyle w:val="50"/>
      </w:pPr>
    </w:p>
    <w:p>
      <w:pPr>
        <w:widowControl/>
        <w:snapToGrid w:val="0"/>
        <w:spacing w:line="360" w:lineRule="auto"/>
        <w:jc w:val="center"/>
        <w:outlineLvl w:val="0"/>
        <w:rPr>
          <w:rFonts w:ascii="宋体" w:hAnsi="宋体" w:cs="Lucida Sans Unicode"/>
          <w:b/>
          <w:color w:val="auto"/>
          <w:kern w:val="0"/>
          <w:sz w:val="24"/>
          <w:highlight w:val="none"/>
        </w:rPr>
      </w:pPr>
      <w:bookmarkStart w:id="89" w:name="_Toc25094"/>
      <w:bookmarkStart w:id="90" w:name="_Toc23394"/>
      <w:r>
        <w:rPr>
          <w:rFonts w:hint="eastAsia" w:ascii="宋体" w:hAnsi="宋体" w:cs="Lucida Sans Unicode"/>
          <w:b/>
          <w:color w:val="auto"/>
          <w:kern w:val="0"/>
          <w:sz w:val="24"/>
          <w:highlight w:val="none"/>
          <w:lang w:val="en-US" w:eastAsia="zh-CN"/>
        </w:rPr>
        <w:t xml:space="preserve">附件12 </w:t>
      </w:r>
      <w:r>
        <w:rPr>
          <w:rFonts w:hint="eastAsia" w:ascii="宋体" w:hAnsi="宋体" w:cs="Lucida Sans Unicode"/>
          <w:b/>
          <w:color w:val="auto"/>
          <w:kern w:val="0"/>
          <w:sz w:val="24"/>
          <w:highlight w:val="none"/>
        </w:rPr>
        <w:t>投标人认为有必要的其他资料</w:t>
      </w:r>
      <w:bookmarkEnd w:id="89"/>
      <w:bookmarkEnd w:id="90"/>
    </w:p>
    <w:p>
      <w:pPr>
        <w:widowControl/>
        <w:spacing w:line="360" w:lineRule="auto"/>
        <w:ind w:firstLine="420" w:firstLineChars="200"/>
        <w:jc w:val="left"/>
        <w:rPr>
          <w:rFonts w:ascii="宋体" w:hAnsi="宋体" w:cs="Lucida Sans Unicode"/>
          <w:color w:val="auto"/>
          <w:kern w:val="0"/>
          <w:sz w:val="24"/>
          <w:highlight w:val="none"/>
        </w:rPr>
      </w:pPr>
      <w:r>
        <w:rPr>
          <w:rFonts w:hint="eastAsia" w:ascii="宋体" w:hAnsi="宋体" w:cs="Lucida Sans Unicode"/>
          <w:color w:val="auto"/>
          <w:kern w:val="0"/>
          <w:szCs w:val="21"/>
          <w:highlight w:val="none"/>
        </w:rPr>
        <w:t>备注：投标人应当仔细核对</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文件中有关废标条款和评标标准，提供投标人认为应当附加的其它内容，以充分证明其投标符合</w:t>
      </w:r>
      <w:r>
        <w:rPr>
          <w:rFonts w:hint="eastAsia" w:ascii="宋体" w:hAnsi="宋体" w:cs="Lucida Sans Unicode"/>
          <w:color w:val="auto"/>
          <w:kern w:val="0"/>
          <w:szCs w:val="21"/>
          <w:highlight w:val="none"/>
          <w:lang w:val="en-US" w:eastAsia="zh-CN"/>
        </w:rPr>
        <w:t>采购</w:t>
      </w:r>
      <w:r>
        <w:rPr>
          <w:rFonts w:hint="eastAsia" w:ascii="宋体" w:hAnsi="宋体" w:cs="Lucida Sans Unicode"/>
          <w:color w:val="auto"/>
          <w:kern w:val="0"/>
          <w:szCs w:val="21"/>
          <w:highlight w:val="none"/>
        </w:rPr>
        <w:t>文件规定，并为评标提供充分依据。如果投标人未能提供相关证明文件，将有可能导致废标或者无法得分。</w:t>
      </w: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center"/>
        <w:rPr>
          <w:b/>
          <w:bCs/>
          <w:color w:val="auto"/>
          <w:sz w:val="28"/>
          <w:szCs w:val="28"/>
          <w:highlight w:val="none"/>
        </w:rPr>
      </w:pPr>
    </w:p>
    <w:p>
      <w:pPr>
        <w:pStyle w:val="9"/>
        <w:spacing w:beforeAutospacing="0" w:afterAutospacing="0" w:line="460" w:lineRule="atLeast"/>
        <w:jc w:val="both"/>
        <w:rPr>
          <w:b/>
          <w:bCs/>
          <w:color w:val="auto"/>
          <w:sz w:val="28"/>
          <w:szCs w:val="28"/>
          <w:highlight w:val="none"/>
        </w:rPr>
      </w:pPr>
    </w:p>
    <w:p/>
    <w:sectPr>
      <w:headerReference r:id="rId5" w:type="default"/>
      <w:footerReference r:id="rId6" w:type="default"/>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Lucida Sans Unicode">
    <w:panose1 w:val="020B0602030504020204"/>
    <w:charset w:val="00"/>
    <w:family w:val="swiss"/>
    <w:pitch w:val="default"/>
    <w:sig w:usb0="80001AFF" w:usb1="0000396B" w:usb2="00000000" w:usb3="00000000" w:csb0="200000BF" w:csb1="D7F7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rPr>
        <w:rFonts w:hint="default"/>
        <w:lang w:val="en-US" w:eastAsia="zh-CN"/>
      </w:rPr>
    </w:pPr>
    <w:r>
      <w:rPr>
        <w:rFonts w:hint="eastAsia" w:ascii="宋体" w:hAnsi="宋体" w:cs="宋体"/>
        <w:color w:val="auto"/>
        <w:szCs w:val="21"/>
        <w:highlight w:val="none"/>
        <w:shd w:val="clear" w:color="auto" w:fill="FFFFFF"/>
        <w:lang w:eastAsia="zh-CN"/>
      </w:rPr>
      <w:t>驻马店市中心医院监护除颤类、血压计类、理疗类、医用灯泡类常用配件采购项目</w:t>
    </w:r>
    <w:r>
      <w:rPr>
        <w:rFonts w:hint="eastAsia"/>
        <w:lang w:val="en-US" w:eastAsia="zh-CN"/>
      </w:rPr>
      <w:t>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MTZjMjFkMjFjOGMwYTIzNWEzZDljNjYxZWI0MmY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509"/>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183"/>
    <w:rsid w:val="002B151E"/>
    <w:rsid w:val="002B1F8A"/>
    <w:rsid w:val="002B21DB"/>
    <w:rsid w:val="002B2A18"/>
    <w:rsid w:val="002B2FF2"/>
    <w:rsid w:val="002B39C1"/>
    <w:rsid w:val="002B4688"/>
    <w:rsid w:val="002B59AF"/>
    <w:rsid w:val="002B6028"/>
    <w:rsid w:val="002B6EEC"/>
    <w:rsid w:val="002C318F"/>
    <w:rsid w:val="002C59F0"/>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E29"/>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1EF"/>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BCD"/>
    <w:rsid w:val="00FF5B28"/>
    <w:rsid w:val="00FF7C18"/>
    <w:rsid w:val="01076050"/>
    <w:rsid w:val="010C3DC8"/>
    <w:rsid w:val="01525212"/>
    <w:rsid w:val="01564054"/>
    <w:rsid w:val="017E6D95"/>
    <w:rsid w:val="01D715BE"/>
    <w:rsid w:val="01EB45BC"/>
    <w:rsid w:val="01FA63A5"/>
    <w:rsid w:val="02011C7D"/>
    <w:rsid w:val="02035523"/>
    <w:rsid w:val="021C6E40"/>
    <w:rsid w:val="02222FF2"/>
    <w:rsid w:val="02384FF4"/>
    <w:rsid w:val="023F67A9"/>
    <w:rsid w:val="025235B1"/>
    <w:rsid w:val="0262674D"/>
    <w:rsid w:val="0273010D"/>
    <w:rsid w:val="02747B01"/>
    <w:rsid w:val="0281653D"/>
    <w:rsid w:val="02890D36"/>
    <w:rsid w:val="02D92EF7"/>
    <w:rsid w:val="02DA4665"/>
    <w:rsid w:val="02F40325"/>
    <w:rsid w:val="031126C4"/>
    <w:rsid w:val="032421CA"/>
    <w:rsid w:val="036A009A"/>
    <w:rsid w:val="03844805"/>
    <w:rsid w:val="03845791"/>
    <w:rsid w:val="03A011E9"/>
    <w:rsid w:val="03AE7F27"/>
    <w:rsid w:val="03BD2BCD"/>
    <w:rsid w:val="040B7160"/>
    <w:rsid w:val="04416C20"/>
    <w:rsid w:val="047968B1"/>
    <w:rsid w:val="04870542"/>
    <w:rsid w:val="04B844FD"/>
    <w:rsid w:val="04BC0AE9"/>
    <w:rsid w:val="04C72531"/>
    <w:rsid w:val="05376505"/>
    <w:rsid w:val="05545DD3"/>
    <w:rsid w:val="05663F99"/>
    <w:rsid w:val="056E2AD6"/>
    <w:rsid w:val="05806815"/>
    <w:rsid w:val="058251D3"/>
    <w:rsid w:val="05945CCE"/>
    <w:rsid w:val="059D05A4"/>
    <w:rsid w:val="059D5E17"/>
    <w:rsid w:val="05AA02EA"/>
    <w:rsid w:val="05AB0A28"/>
    <w:rsid w:val="05AB0F81"/>
    <w:rsid w:val="05B93D6B"/>
    <w:rsid w:val="05D53002"/>
    <w:rsid w:val="05D75738"/>
    <w:rsid w:val="05E75EEA"/>
    <w:rsid w:val="05EB284D"/>
    <w:rsid w:val="06145DC8"/>
    <w:rsid w:val="061E7D14"/>
    <w:rsid w:val="06412A76"/>
    <w:rsid w:val="06560AED"/>
    <w:rsid w:val="066469C9"/>
    <w:rsid w:val="066646A1"/>
    <w:rsid w:val="06983B20"/>
    <w:rsid w:val="069A3B66"/>
    <w:rsid w:val="06B91765"/>
    <w:rsid w:val="06CA2AD2"/>
    <w:rsid w:val="06CB2601"/>
    <w:rsid w:val="06CE3071"/>
    <w:rsid w:val="06D33DBA"/>
    <w:rsid w:val="06E13F9F"/>
    <w:rsid w:val="06FB0AC5"/>
    <w:rsid w:val="070D2D5D"/>
    <w:rsid w:val="07111B8D"/>
    <w:rsid w:val="074A5B92"/>
    <w:rsid w:val="075E3193"/>
    <w:rsid w:val="078E18EB"/>
    <w:rsid w:val="07B10EA5"/>
    <w:rsid w:val="07CE3FA1"/>
    <w:rsid w:val="07EC2ECB"/>
    <w:rsid w:val="07FE66CB"/>
    <w:rsid w:val="08092947"/>
    <w:rsid w:val="080B4D47"/>
    <w:rsid w:val="081A5D66"/>
    <w:rsid w:val="08321601"/>
    <w:rsid w:val="083D5C91"/>
    <w:rsid w:val="0847191F"/>
    <w:rsid w:val="08591DC3"/>
    <w:rsid w:val="0869448C"/>
    <w:rsid w:val="087C4541"/>
    <w:rsid w:val="087E5595"/>
    <w:rsid w:val="08847FA2"/>
    <w:rsid w:val="08C52D6F"/>
    <w:rsid w:val="08EF0201"/>
    <w:rsid w:val="08F024B8"/>
    <w:rsid w:val="08F41DE8"/>
    <w:rsid w:val="092C4EB6"/>
    <w:rsid w:val="09737462"/>
    <w:rsid w:val="099156C3"/>
    <w:rsid w:val="09A53F39"/>
    <w:rsid w:val="09A60E13"/>
    <w:rsid w:val="09D206F0"/>
    <w:rsid w:val="0A11626D"/>
    <w:rsid w:val="0A321AC2"/>
    <w:rsid w:val="0A343D4E"/>
    <w:rsid w:val="0A3463D4"/>
    <w:rsid w:val="0A3E6D2E"/>
    <w:rsid w:val="0AA3501D"/>
    <w:rsid w:val="0AD13958"/>
    <w:rsid w:val="0AD13A85"/>
    <w:rsid w:val="0AD31FDE"/>
    <w:rsid w:val="0AF448C5"/>
    <w:rsid w:val="0B091954"/>
    <w:rsid w:val="0B637D77"/>
    <w:rsid w:val="0B6815BF"/>
    <w:rsid w:val="0B977C2D"/>
    <w:rsid w:val="0BAC324F"/>
    <w:rsid w:val="0BF72F1E"/>
    <w:rsid w:val="0C3957A5"/>
    <w:rsid w:val="0C563721"/>
    <w:rsid w:val="0C626DA7"/>
    <w:rsid w:val="0C6876AE"/>
    <w:rsid w:val="0C720EC8"/>
    <w:rsid w:val="0C942042"/>
    <w:rsid w:val="0C9D50DC"/>
    <w:rsid w:val="0CA33FE6"/>
    <w:rsid w:val="0CA5271D"/>
    <w:rsid w:val="0CAC4D10"/>
    <w:rsid w:val="0CBE467B"/>
    <w:rsid w:val="0CC72121"/>
    <w:rsid w:val="0CE45DCA"/>
    <w:rsid w:val="0CEA6DC6"/>
    <w:rsid w:val="0CEE5A21"/>
    <w:rsid w:val="0CFA5B77"/>
    <w:rsid w:val="0D0646E7"/>
    <w:rsid w:val="0D0C38CA"/>
    <w:rsid w:val="0D1A73CC"/>
    <w:rsid w:val="0D350DE1"/>
    <w:rsid w:val="0DAE2941"/>
    <w:rsid w:val="0DC577E0"/>
    <w:rsid w:val="0DDC6319"/>
    <w:rsid w:val="0E0C0D4C"/>
    <w:rsid w:val="0E115DA1"/>
    <w:rsid w:val="0E162D6D"/>
    <w:rsid w:val="0E541CA2"/>
    <w:rsid w:val="0E594756"/>
    <w:rsid w:val="0E95596D"/>
    <w:rsid w:val="0EAB264A"/>
    <w:rsid w:val="0EAE6205"/>
    <w:rsid w:val="0EAE6579"/>
    <w:rsid w:val="0EAE7EF9"/>
    <w:rsid w:val="0EAF71BF"/>
    <w:rsid w:val="0ECE6257"/>
    <w:rsid w:val="0EE4129D"/>
    <w:rsid w:val="0F171032"/>
    <w:rsid w:val="0F335E69"/>
    <w:rsid w:val="0F3D59C9"/>
    <w:rsid w:val="0F516D5A"/>
    <w:rsid w:val="0F565B36"/>
    <w:rsid w:val="0F7200CA"/>
    <w:rsid w:val="0F821E7D"/>
    <w:rsid w:val="0F986DD1"/>
    <w:rsid w:val="0FC7113A"/>
    <w:rsid w:val="0FE72B1E"/>
    <w:rsid w:val="0FE7592C"/>
    <w:rsid w:val="0FFD20F0"/>
    <w:rsid w:val="10120F66"/>
    <w:rsid w:val="103E6E57"/>
    <w:rsid w:val="1041497B"/>
    <w:rsid w:val="10425FF6"/>
    <w:rsid w:val="109010E6"/>
    <w:rsid w:val="10B271F4"/>
    <w:rsid w:val="10C8275C"/>
    <w:rsid w:val="10E03539"/>
    <w:rsid w:val="10E82D1F"/>
    <w:rsid w:val="10EE5C94"/>
    <w:rsid w:val="113329E7"/>
    <w:rsid w:val="113F294C"/>
    <w:rsid w:val="11437C85"/>
    <w:rsid w:val="115038ED"/>
    <w:rsid w:val="11511160"/>
    <w:rsid w:val="1166372C"/>
    <w:rsid w:val="116D104B"/>
    <w:rsid w:val="11700D10"/>
    <w:rsid w:val="11763776"/>
    <w:rsid w:val="1178125A"/>
    <w:rsid w:val="11953833"/>
    <w:rsid w:val="1196056D"/>
    <w:rsid w:val="11D34654"/>
    <w:rsid w:val="12010480"/>
    <w:rsid w:val="120E707F"/>
    <w:rsid w:val="121961FC"/>
    <w:rsid w:val="127A7D1C"/>
    <w:rsid w:val="12836D8B"/>
    <w:rsid w:val="12AB0349"/>
    <w:rsid w:val="12CD57F1"/>
    <w:rsid w:val="12CE7AFA"/>
    <w:rsid w:val="12D67466"/>
    <w:rsid w:val="13272A5D"/>
    <w:rsid w:val="13493108"/>
    <w:rsid w:val="13733928"/>
    <w:rsid w:val="138A5BED"/>
    <w:rsid w:val="138C7281"/>
    <w:rsid w:val="139C16C9"/>
    <w:rsid w:val="13AC7EF0"/>
    <w:rsid w:val="13B63CE1"/>
    <w:rsid w:val="13BC6684"/>
    <w:rsid w:val="13C72B3A"/>
    <w:rsid w:val="13D247B0"/>
    <w:rsid w:val="13DF575E"/>
    <w:rsid w:val="13ED16DB"/>
    <w:rsid w:val="13EE3A98"/>
    <w:rsid w:val="13F60424"/>
    <w:rsid w:val="142123F7"/>
    <w:rsid w:val="142A11D8"/>
    <w:rsid w:val="144B544C"/>
    <w:rsid w:val="145B7B45"/>
    <w:rsid w:val="14717443"/>
    <w:rsid w:val="148D52E3"/>
    <w:rsid w:val="14992B90"/>
    <w:rsid w:val="14AF1856"/>
    <w:rsid w:val="14AF19A3"/>
    <w:rsid w:val="14B53957"/>
    <w:rsid w:val="14C53ECE"/>
    <w:rsid w:val="14E002E6"/>
    <w:rsid w:val="14FC36BD"/>
    <w:rsid w:val="151E3A0F"/>
    <w:rsid w:val="1557566D"/>
    <w:rsid w:val="156F3F8B"/>
    <w:rsid w:val="157520AF"/>
    <w:rsid w:val="15794927"/>
    <w:rsid w:val="15811F1B"/>
    <w:rsid w:val="15A30135"/>
    <w:rsid w:val="15A34015"/>
    <w:rsid w:val="15A94E30"/>
    <w:rsid w:val="15B771DF"/>
    <w:rsid w:val="15C9656A"/>
    <w:rsid w:val="15E2236F"/>
    <w:rsid w:val="161D09ED"/>
    <w:rsid w:val="162323A3"/>
    <w:rsid w:val="162F30B1"/>
    <w:rsid w:val="16510F12"/>
    <w:rsid w:val="166448F9"/>
    <w:rsid w:val="1677211D"/>
    <w:rsid w:val="167954F9"/>
    <w:rsid w:val="16A060BA"/>
    <w:rsid w:val="16A57EAF"/>
    <w:rsid w:val="16AC6E3F"/>
    <w:rsid w:val="16C872D5"/>
    <w:rsid w:val="16D54FA3"/>
    <w:rsid w:val="16D84D9F"/>
    <w:rsid w:val="16E94D3E"/>
    <w:rsid w:val="17044B01"/>
    <w:rsid w:val="170D06E0"/>
    <w:rsid w:val="17332185"/>
    <w:rsid w:val="17475951"/>
    <w:rsid w:val="17487963"/>
    <w:rsid w:val="177B43C5"/>
    <w:rsid w:val="178E5C4B"/>
    <w:rsid w:val="179F2E61"/>
    <w:rsid w:val="17B6195E"/>
    <w:rsid w:val="17C227C0"/>
    <w:rsid w:val="17E0618F"/>
    <w:rsid w:val="17EE4314"/>
    <w:rsid w:val="18097740"/>
    <w:rsid w:val="181F7674"/>
    <w:rsid w:val="185D3C42"/>
    <w:rsid w:val="185F38AF"/>
    <w:rsid w:val="188224E9"/>
    <w:rsid w:val="18A40BC9"/>
    <w:rsid w:val="18AD1BEB"/>
    <w:rsid w:val="18B3004A"/>
    <w:rsid w:val="18B90B18"/>
    <w:rsid w:val="18B96080"/>
    <w:rsid w:val="18CB1907"/>
    <w:rsid w:val="18DF7263"/>
    <w:rsid w:val="18F67868"/>
    <w:rsid w:val="190B2D88"/>
    <w:rsid w:val="190E6B63"/>
    <w:rsid w:val="19123928"/>
    <w:rsid w:val="19153875"/>
    <w:rsid w:val="19194264"/>
    <w:rsid w:val="19306900"/>
    <w:rsid w:val="193548EA"/>
    <w:rsid w:val="19420786"/>
    <w:rsid w:val="19427EC0"/>
    <w:rsid w:val="195711D7"/>
    <w:rsid w:val="195D2A3F"/>
    <w:rsid w:val="198310E9"/>
    <w:rsid w:val="198D2276"/>
    <w:rsid w:val="198D747A"/>
    <w:rsid w:val="19942A44"/>
    <w:rsid w:val="19A15638"/>
    <w:rsid w:val="19E40400"/>
    <w:rsid w:val="1A125525"/>
    <w:rsid w:val="1A394CFA"/>
    <w:rsid w:val="1A5F4342"/>
    <w:rsid w:val="1A6A3709"/>
    <w:rsid w:val="1A8C5D82"/>
    <w:rsid w:val="1A994988"/>
    <w:rsid w:val="1A9B546C"/>
    <w:rsid w:val="1AA3511F"/>
    <w:rsid w:val="1AAE3B54"/>
    <w:rsid w:val="1AC10987"/>
    <w:rsid w:val="1B0C5B32"/>
    <w:rsid w:val="1B0D3E82"/>
    <w:rsid w:val="1B1652AB"/>
    <w:rsid w:val="1B181CD5"/>
    <w:rsid w:val="1B265306"/>
    <w:rsid w:val="1B4F2450"/>
    <w:rsid w:val="1B8C18B7"/>
    <w:rsid w:val="1B9958A6"/>
    <w:rsid w:val="1B9D2042"/>
    <w:rsid w:val="1BB73AE1"/>
    <w:rsid w:val="1BBE1FA1"/>
    <w:rsid w:val="1BDA6D68"/>
    <w:rsid w:val="1C555978"/>
    <w:rsid w:val="1C6554A1"/>
    <w:rsid w:val="1C7971B7"/>
    <w:rsid w:val="1CD402EC"/>
    <w:rsid w:val="1CEA3142"/>
    <w:rsid w:val="1CEB7F0B"/>
    <w:rsid w:val="1CF02333"/>
    <w:rsid w:val="1D0C33A2"/>
    <w:rsid w:val="1D113E6E"/>
    <w:rsid w:val="1D114E5E"/>
    <w:rsid w:val="1D1F0050"/>
    <w:rsid w:val="1D2222DC"/>
    <w:rsid w:val="1D5B3CDE"/>
    <w:rsid w:val="1D6E2950"/>
    <w:rsid w:val="1D970CFC"/>
    <w:rsid w:val="1D98209B"/>
    <w:rsid w:val="1DA23746"/>
    <w:rsid w:val="1DAA14B9"/>
    <w:rsid w:val="1DD04513"/>
    <w:rsid w:val="1E656063"/>
    <w:rsid w:val="1E6B06A5"/>
    <w:rsid w:val="1E777B20"/>
    <w:rsid w:val="1E7F7D9E"/>
    <w:rsid w:val="1E840DA4"/>
    <w:rsid w:val="1EA5444C"/>
    <w:rsid w:val="1EB350EF"/>
    <w:rsid w:val="1EC21749"/>
    <w:rsid w:val="1EEB7C4E"/>
    <w:rsid w:val="1F171B83"/>
    <w:rsid w:val="1F2D491A"/>
    <w:rsid w:val="1F7369C7"/>
    <w:rsid w:val="1F94547B"/>
    <w:rsid w:val="1FAF308C"/>
    <w:rsid w:val="1FC11109"/>
    <w:rsid w:val="1FE43FA1"/>
    <w:rsid w:val="1FEF08C8"/>
    <w:rsid w:val="1FF72E6A"/>
    <w:rsid w:val="201B3ED4"/>
    <w:rsid w:val="203106AC"/>
    <w:rsid w:val="20310B02"/>
    <w:rsid w:val="206A7390"/>
    <w:rsid w:val="206F0406"/>
    <w:rsid w:val="20784063"/>
    <w:rsid w:val="207E346A"/>
    <w:rsid w:val="20874663"/>
    <w:rsid w:val="208E12C3"/>
    <w:rsid w:val="209502A3"/>
    <w:rsid w:val="20B767FD"/>
    <w:rsid w:val="210F579E"/>
    <w:rsid w:val="212550B5"/>
    <w:rsid w:val="21592B62"/>
    <w:rsid w:val="21747CD2"/>
    <w:rsid w:val="219E5782"/>
    <w:rsid w:val="21E72B0B"/>
    <w:rsid w:val="221F2D96"/>
    <w:rsid w:val="22246DB1"/>
    <w:rsid w:val="22295FB2"/>
    <w:rsid w:val="223E777F"/>
    <w:rsid w:val="22400268"/>
    <w:rsid w:val="22440067"/>
    <w:rsid w:val="225A6017"/>
    <w:rsid w:val="227A5532"/>
    <w:rsid w:val="22843A03"/>
    <w:rsid w:val="22A338AB"/>
    <w:rsid w:val="22AD37A2"/>
    <w:rsid w:val="22B31E8A"/>
    <w:rsid w:val="22C735BD"/>
    <w:rsid w:val="23122833"/>
    <w:rsid w:val="23223458"/>
    <w:rsid w:val="23225D32"/>
    <w:rsid w:val="23357BE6"/>
    <w:rsid w:val="2342574E"/>
    <w:rsid w:val="23681488"/>
    <w:rsid w:val="2377331D"/>
    <w:rsid w:val="237D43DE"/>
    <w:rsid w:val="23827D58"/>
    <w:rsid w:val="23940114"/>
    <w:rsid w:val="23B57016"/>
    <w:rsid w:val="23D4764B"/>
    <w:rsid w:val="23EC3718"/>
    <w:rsid w:val="24044EF2"/>
    <w:rsid w:val="2407139D"/>
    <w:rsid w:val="240B04F4"/>
    <w:rsid w:val="240D7F6A"/>
    <w:rsid w:val="242A0646"/>
    <w:rsid w:val="2435301D"/>
    <w:rsid w:val="243D6E1A"/>
    <w:rsid w:val="245C4A4D"/>
    <w:rsid w:val="24607F91"/>
    <w:rsid w:val="246C581B"/>
    <w:rsid w:val="247C52A2"/>
    <w:rsid w:val="24CC106B"/>
    <w:rsid w:val="24D00598"/>
    <w:rsid w:val="24D725E9"/>
    <w:rsid w:val="24F44E2B"/>
    <w:rsid w:val="25045F70"/>
    <w:rsid w:val="25056E93"/>
    <w:rsid w:val="25092EBA"/>
    <w:rsid w:val="25241020"/>
    <w:rsid w:val="25535E50"/>
    <w:rsid w:val="257572C3"/>
    <w:rsid w:val="25790E85"/>
    <w:rsid w:val="25972C60"/>
    <w:rsid w:val="259D1676"/>
    <w:rsid w:val="25A353EB"/>
    <w:rsid w:val="25B87B65"/>
    <w:rsid w:val="25CB78C3"/>
    <w:rsid w:val="25D54390"/>
    <w:rsid w:val="26021193"/>
    <w:rsid w:val="261879A7"/>
    <w:rsid w:val="261C26E6"/>
    <w:rsid w:val="264B0BA4"/>
    <w:rsid w:val="268C5256"/>
    <w:rsid w:val="268E455B"/>
    <w:rsid w:val="26912B30"/>
    <w:rsid w:val="269772F0"/>
    <w:rsid w:val="26A30712"/>
    <w:rsid w:val="26AC0C27"/>
    <w:rsid w:val="26C807A6"/>
    <w:rsid w:val="26CE0F29"/>
    <w:rsid w:val="26DB67BA"/>
    <w:rsid w:val="26E311CD"/>
    <w:rsid w:val="26EF24ED"/>
    <w:rsid w:val="26F1408A"/>
    <w:rsid w:val="27015370"/>
    <w:rsid w:val="270B421F"/>
    <w:rsid w:val="27105115"/>
    <w:rsid w:val="274E2228"/>
    <w:rsid w:val="27517A93"/>
    <w:rsid w:val="276658E8"/>
    <w:rsid w:val="277E30D2"/>
    <w:rsid w:val="27803F2A"/>
    <w:rsid w:val="279E3FA3"/>
    <w:rsid w:val="27A34941"/>
    <w:rsid w:val="27B150B0"/>
    <w:rsid w:val="27DC09B5"/>
    <w:rsid w:val="28127727"/>
    <w:rsid w:val="283C23DF"/>
    <w:rsid w:val="284C16F5"/>
    <w:rsid w:val="28570AB5"/>
    <w:rsid w:val="28573B25"/>
    <w:rsid w:val="2857709D"/>
    <w:rsid w:val="28AB1B2B"/>
    <w:rsid w:val="28C2534B"/>
    <w:rsid w:val="28C5525A"/>
    <w:rsid w:val="28D14B96"/>
    <w:rsid w:val="29020C46"/>
    <w:rsid w:val="290240C7"/>
    <w:rsid w:val="29274EE0"/>
    <w:rsid w:val="2969197F"/>
    <w:rsid w:val="29746E87"/>
    <w:rsid w:val="297C03C2"/>
    <w:rsid w:val="298342B1"/>
    <w:rsid w:val="299573AB"/>
    <w:rsid w:val="29BE5BD0"/>
    <w:rsid w:val="29C01572"/>
    <w:rsid w:val="29E74CE2"/>
    <w:rsid w:val="2A2B114A"/>
    <w:rsid w:val="2A306A36"/>
    <w:rsid w:val="2A5372C6"/>
    <w:rsid w:val="2A5B03D8"/>
    <w:rsid w:val="2A6F6D07"/>
    <w:rsid w:val="2A882500"/>
    <w:rsid w:val="2AB63ABC"/>
    <w:rsid w:val="2B003D00"/>
    <w:rsid w:val="2B074D5E"/>
    <w:rsid w:val="2B100BA9"/>
    <w:rsid w:val="2B1E3AFC"/>
    <w:rsid w:val="2B2B10ED"/>
    <w:rsid w:val="2B9E4F56"/>
    <w:rsid w:val="2BDB5A88"/>
    <w:rsid w:val="2BE91C37"/>
    <w:rsid w:val="2BEC3F72"/>
    <w:rsid w:val="2C083572"/>
    <w:rsid w:val="2C185F94"/>
    <w:rsid w:val="2C1F1AC4"/>
    <w:rsid w:val="2C3F3A41"/>
    <w:rsid w:val="2C4431C4"/>
    <w:rsid w:val="2C62059F"/>
    <w:rsid w:val="2C6634FA"/>
    <w:rsid w:val="2C732A67"/>
    <w:rsid w:val="2C9F25CE"/>
    <w:rsid w:val="2CAC022C"/>
    <w:rsid w:val="2CC11807"/>
    <w:rsid w:val="2CF16074"/>
    <w:rsid w:val="2CF81D1B"/>
    <w:rsid w:val="2D144117"/>
    <w:rsid w:val="2D3063AF"/>
    <w:rsid w:val="2D3F2453"/>
    <w:rsid w:val="2D835174"/>
    <w:rsid w:val="2DD13DB6"/>
    <w:rsid w:val="2DD90B7B"/>
    <w:rsid w:val="2DDD3FC1"/>
    <w:rsid w:val="2DE015DD"/>
    <w:rsid w:val="2DF701D8"/>
    <w:rsid w:val="2DF970A1"/>
    <w:rsid w:val="2E085834"/>
    <w:rsid w:val="2E092640"/>
    <w:rsid w:val="2E1034F8"/>
    <w:rsid w:val="2E440A2C"/>
    <w:rsid w:val="2E505773"/>
    <w:rsid w:val="2E6115DE"/>
    <w:rsid w:val="2E742F70"/>
    <w:rsid w:val="2E793ED9"/>
    <w:rsid w:val="2E7F2F97"/>
    <w:rsid w:val="2EDC2A13"/>
    <w:rsid w:val="2EDF0755"/>
    <w:rsid w:val="2EFD7DB9"/>
    <w:rsid w:val="2F155773"/>
    <w:rsid w:val="2F191EB9"/>
    <w:rsid w:val="2F1A081D"/>
    <w:rsid w:val="2F1E3DC0"/>
    <w:rsid w:val="2F3112DE"/>
    <w:rsid w:val="2F38552A"/>
    <w:rsid w:val="2F3B6922"/>
    <w:rsid w:val="2F506C6D"/>
    <w:rsid w:val="2F51291F"/>
    <w:rsid w:val="2F55758A"/>
    <w:rsid w:val="2F7F15AE"/>
    <w:rsid w:val="2FA54796"/>
    <w:rsid w:val="2FA674E2"/>
    <w:rsid w:val="2FD75F4C"/>
    <w:rsid w:val="2FFE7D49"/>
    <w:rsid w:val="301B1FE2"/>
    <w:rsid w:val="302A5C42"/>
    <w:rsid w:val="307C26FF"/>
    <w:rsid w:val="30B654E5"/>
    <w:rsid w:val="30BF439A"/>
    <w:rsid w:val="30CF6A37"/>
    <w:rsid w:val="30D250CF"/>
    <w:rsid w:val="30E738F1"/>
    <w:rsid w:val="30EB33E1"/>
    <w:rsid w:val="31002970"/>
    <w:rsid w:val="311016AD"/>
    <w:rsid w:val="311A5A74"/>
    <w:rsid w:val="3136622A"/>
    <w:rsid w:val="3139422E"/>
    <w:rsid w:val="315471D8"/>
    <w:rsid w:val="31700E4B"/>
    <w:rsid w:val="3172683C"/>
    <w:rsid w:val="319A0963"/>
    <w:rsid w:val="31A359FC"/>
    <w:rsid w:val="31AD0D61"/>
    <w:rsid w:val="31BC3A1D"/>
    <w:rsid w:val="31CD73BD"/>
    <w:rsid w:val="31D17ECD"/>
    <w:rsid w:val="31D66571"/>
    <w:rsid w:val="31D91F4E"/>
    <w:rsid w:val="31DB4220"/>
    <w:rsid w:val="31E63B94"/>
    <w:rsid w:val="32176602"/>
    <w:rsid w:val="322A7699"/>
    <w:rsid w:val="322B25C6"/>
    <w:rsid w:val="32422E70"/>
    <w:rsid w:val="325E56C6"/>
    <w:rsid w:val="3275698A"/>
    <w:rsid w:val="32B51EF8"/>
    <w:rsid w:val="32B943EC"/>
    <w:rsid w:val="32CE6A40"/>
    <w:rsid w:val="32DC63A0"/>
    <w:rsid w:val="32E429C1"/>
    <w:rsid w:val="330C2739"/>
    <w:rsid w:val="334A3B2A"/>
    <w:rsid w:val="335D6E68"/>
    <w:rsid w:val="3365592E"/>
    <w:rsid w:val="336F6533"/>
    <w:rsid w:val="337E5E2F"/>
    <w:rsid w:val="33805334"/>
    <w:rsid w:val="3384610D"/>
    <w:rsid w:val="33A874A1"/>
    <w:rsid w:val="33AA5979"/>
    <w:rsid w:val="33C03E90"/>
    <w:rsid w:val="33C96649"/>
    <w:rsid w:val="33CC3D88"/>
    <w:rsid w:val="33E87093"/>
    <w:rsid w:val="33F055DB"/>
    <w:rsid w:val="33FD722F"/>
    <w:rsid w:val="3400362D"/>
    <w:rsid w:val="340B09C5"/>
    <w:rsid w:val="341E4CAB"/>
    <w:rsid w:val="34410298"/>
    <w:rsid w:val="34584EE2"/>
    <w:rsid w:val="347D373F"/>
    <w:rsid w:val="34956481"/>
    <w:rsid w:val="34963E2C"/>
    <w:rsid w:val="34991240"/>
    <w:rsid w:val="34A35871"/>
    <w:rsid w:val="34C06C9D"/>
    <w:rsid w:val="34C176FB"/>
    <w:rsid w:val="34DF24AE"/>
    <w:rsid w:val="351C4931"/>
    <w:rsid w:val="351D4C26"/>
    <w:rsid w:val="35361A77"/>
    <w:rsid w:val="35461A22"/>
    <w:rsid w:val="35483CC9"/>
    <w:rsid w:val="35642963"/>
    <w:rsid w:val="35A815CB"/>
    <w:rsid w:val="35AA1B9C"/>
    <w:rsid w:val="35DB09A6"/>
    <w:rsid w:val="36973983"/>
    <w:rsid w:val="369B4CF0"/>
    <w:rsid w:val="36AD060C"/>
    <w:rsid w:val="36D62629"/>
    <w:rsid w:val="36D76172"/>
    <w:rsid w:val="36E65D57"/>
    <w:rsid w:val="36E833BB"/>
    <w:rsid w:val="36EB1E1B"/>
    <w:rsid w:val="36EE3C2B"/>
    <w:rsid w:val="36F17F0D"/>
    <w:rsid w:val="37010D02"/>
    <w:rsid w:val="370B0095"/>
    <w:rsid w:val="3735197D"/>
    <w:rsid w:val="373756A2"/>
    <w:rsid w:val="375E0DA6"/>
    <w:rsid w:val="37761D13"/>
    <w:rsid w:val="378B61A6"/>
    <w:rsid w:val="37CD3F98"/>
    <w:rsid w:val="37DF75BA"/>
    <w:rsid w:val="37E148E2"/>
    <w:rsid w:val="38037262"/>
    <w:rsid w:val="38304889"/>
    <w:rsid w:val="38382675"/>
    <w:rsid w:val="3851700B"/>
    <w:rsid w:val="385246B6"/>
    <w:rsid w:val="387B329C"/>
    <w:rsid w:val="38A53DB7"/>
    <w:rsid w:val="38BF3388"/>
    <w:rsid w:val="38CC268D"/>
    <w:rsid w:val="38CF183A"/>
    <w:rsid w:val="38D46E50"/>
    <w:rsid w:val="38EC2960"/>
    <w:rsid w:val="38F640E2"/>
    <w:rsid w:val="392536E2"/>
    <w:rsid w:val="39395448"/>
    <w:rsid w:val="39465F15"/>
    <w:rsid w:val="396453C5"/>
    <w:rsid w:val="39922CCF"/>
    <w:rsid w:val="39A65327"/>
    <w:rsid w:val="39A65C9B"/>
    <w:rsid w:val="39BC5ED6"/>
    <w:rsid w:val="39EB39E0"/>
    <w:rsid w:val="39EF02D4"/>
    <w:rsid w:val="3A11342A"/>
    <w:rsid w:val="3A153110"/>
    <w:rsid w:val="3A2507C0"/>
    <w:rsid w:val="3A393FA7"/>
    <w:rsid w:val="3A64203E"/>
    <w:rsid w:val="3A663D00"/>
    <w:rsid w:val="3A7428D0"/>
    <w:rsid w:val="3A923AE4"/>
    <w:rsid w:val="3AA50E25"/>
    <w:rsid w:val="3AC566E3"/>
    <w:rsid w:val="3AD24831"/>
    <w:rsid w:val="3AD6747A"/>
    <w:rsid w:val="3B0F5F1E"/>
    <w:rsid w:val="3B246063"/>
    <w:rsid w:val="3B3D0FF2"/>
    <w:rsid w:val="3B521A18"/>
    <w:rsid w:val="3B527435"/>
    <w:rsid w:val="3B923660"/>
    <w:rsid w:val="3B9823B7"/>
    <w:rsid w:val="3BCA44BE"/>
    <w:rsid w:val="3C061F3A"/>
    <w:rsid w:val="3C4165AB"/>
    <w:rsid w:val="3C495480"/>
    <w:rsid w:val="3C6F0167"/>
    <w:rsid w:val="3C71667B"/>
    <w:rsid w:val="3C7431EF"/>
    <w:rsid w:val="3C914F3B"/>
    <w:rsid w:val="3CC17F13"/>
    <w:rsid w:val="3CE320A3"/>
    <w:rsid w:val="3CE9196C"/>
    <w:rsid w:val="3CF15105"/>
    <w:rsid w:val="3D0C04B9"/>
    <w:rsid w:val="3D0E173E"/>
    <w:rsid w:val="3D1414C5"/>
    <w:rsid w:val="3D1C763E"/>
    <w:rsid w:val="3D201AA5"/>
    <w:rsid w:val="3D2B37EA"/>
    <w:rsid w:val="3D2F7FF3"/>
    <w:rsid w:val="3D3D1507"/>
    <w:rsid w:val="3D5A2496"/>
    <w:rsid w:val="3D62085B"/>
    <w:rsid w:val="3D7B4622"/>
    <w:rsid w:val="3D934BE4"/>
    <w:rsid w:val="3D942E29"/>
    <w:rsid w:val="3DB54E0C"/>
    <w:rsid w:val="3DB900C1"/>
    <w:rsid w:val="3DE91725"/>
    <w:rsid w:val="3DF159B1"/>
    <w:rsid w:val="3E1A106E"/>
    <w:rsid w:val="3E36303B"/>
    <w:rsid w:val="3E526044"/>
    <w:rsid w:val="3E740A03"/>
    <w:rsid w:val="3E8C5311"/>
    <w:rsid w:val="3E8E7E55"/>
    <w:rsid w:val="3EB61473"/>
    <w:rsid w:val="3EDA0A4D"/>
    <w:rsid w:val="3F315E6B"/>
    <w:rsid w:val="3F3C35FB"/>
    <w:rsid w:val="3F5175E2"/>
    <w:rsid w:val="3F56276A"/>
    <w:rsid w:val="3F6C10E0"/>
    <w:rsid w:val="3F870779"/>
    <w:rsid w:val="3F963015"/>
    <w:rsid w:val="3F964D35"/>
    <w:rsid w:val="3FA327ED"/>
    <w:rsid w:val="3FB11738"/>
    <w:rsid w:val="3FB5581B"/>
    <w:rsid w:val="3FC33D05"/>
    <w:rsid w:val="3FEC757D"/>
    <w:rsid w:val="3FF46B18"/>
    <w:rsid w:val="3FF74A2E"/>
    <w:rsid w:val="3FFC36E2"/>
    <w:rsid w:val="4005572D"/>
    <w:rsid w:val="401F2D13"/>
    <w:rsid w:val="402833BA"/>
    <w:rsid w:val="40283C2B"/>
    <w:rsid w:val="402E4D28"/>
    <w:rsid w:val="40394FD1"/>
    <w:rsid w:val="40425879"/>
    <w:rsid w:val="40626FEA"/>
    <w:rsid w:val="40765D15"/>
    <w:rsid w:val="407F2DE9"/>
    <w:rsid w:val="40991379"/>
    <w:rsid w:val="409B3C3D"/>
    <w:rsid w:val="40F701DF"/>
    <w:rsid w:val="40FD480A"/>
    <w:rsid w:val="411424E0"/>
    <w:rsid w:val="412A32F8"/>
    <w:rsid w:val="417F433E"/>
    <w:rsid w:val="41B617E9"/>
    <w:rsid w:val="41B7239D"/>
    <w:rsid w:val="41D713F8"/>
    <w:rsid w:val="41FF3845"/>
    <w:rsid w:val="420C67D1"/>
    <w:rsid w:val="421104A9"/>
    <w:rsid w:val="42143B88"/>
    <w:rsid w:val="42164586"/>
    <w:rsid w:val="425B5DD1"/>
    <w:rsid w:val="4260300C"/>
    <w:rsid w:val="42800B9B"/>
    <w:rsid w:val="42A06B6C"/>
    <w:rsid w:val="42EA5650"/>
    <w:rsid w:val="431408DA"/>
    <w:rsid w:val="4331401E"/>
    <w:rsid w:val="433230F1"/>
    <w:rsid w:val="435A0DF2"/>
    <w:rsid w:val="435E5C94"/>
    <w:rsid w:val="436C42E1"/>
    <w:rsid w:val="437C210F"/>
    <w:rsid w:val="43847F02"/>
    <w:rsid w:val="438F113C"/>
    <w:rsid w:val="439E7EFB"/>
    <w:rsid w:val="43B1568A"/>
    <w:rsid w:val="43D43ECA"/>
    <w:rsid w:val="43DD452F"/>
    <w:rsid w:val="43DE6CD4"/>
    <w:rsid w:val="43E51150"/>
    <w:rsid w:val="43EF28BB"/>
    <w:rsid w:val="43EF56D3"/>
    <w:rsid w:val="43FA001E"/>
    <w:rsid w:val="440A6FD2"/>
    <w:rsid w:val="444946CA"/>
    <w:rsid w:val="444B3F54"/>
    <w:rsid w:val="44735770"/>
    <w:rsid w:val="4476661F"/>
    <w:rsid w:val="447E3AC5"/>
    <w:rsid w:val="449818E5"/>
    <w:rsid w:val="44A90BAA"/>
    <w:rsid w:val="44B24A20"/>
    <w:rsid w:val="44BC0BEE"/>
    <w:rsid w:val="44C922B6"/>
    <w:rsid w:val="44E066EA"/>
    <w:rsid w:val="44FB1C9C"/>
    <w:rsid w:val="45383381"/>
    <w:rsid w:val="454F1836"/>
    <w:rsid w:val="45887B45"/>
    <w:rsid w:val="458B66DF"/>
    <w:rsid w:val="45940F0E"/>
    <w:rsid w:val="45AC5DBA"/>
    <w:rsid w:val="45C647AF"/>
    <w:rsid w:val="45CA1598"/>
    <w:rsid w:val="45DD529D"/>
    <w:rsid w:val="45E57886"/>
    <w:rsid w:val="45FC0381"/>
    <w:rsid w:val="46003076"/>
    <w:rsid w:val="46177E29"/>
    <w:rsid w:val="46205B7F"/>
    <w:rsid w:val="46476EB4"/>
    <w:rsid w:val="465D501C"/>
    <w:rsid w:val="466060B3"/>
    <w:rsid w:val="466367DB"/>
    <w:rsid w:val="46686D18"/>
    <w:rsid w:val="466B3CF0"/>
    <w:rsid w:val="46A62AF8"/>
    <w:rsid w:val="46C3037C"/>
    <w:rsid w:val="46D218DD"/>
    <w:rsid w:val="46DD105A"/>
    <w:rsid w:val="46FF15E0"/>
    <w:rsid w:val="4700581C"/>
    <w:rsid w:val="4702516A"/>
    <w:rsid w:val="472334C2"/>
    <w:rsid w:val="473E02B7"/>
    <w:rsid w:val="474A4B33"/>
    <w:rsid w:val="47665A15"/>
    <w:rsid w:val="47677941"/>
    <w:rsid w:val="477F1660"/>
    <w:rsid w:val="4788232A"/>
    <w:rsid w:val="478B0398"/>
    <w:rsid w:val="478F5D0B"/>
    <w:rsid w:val="47B8724E"/>
    <w:rsid w:val="47D16DE0"/>
    <w:rsid w:val="47ED7BCA"/>
    <w:rsid w:val="48016F34"/>
    <w:rsid w:val="480556DB"/>
    <w:rsid w:val="48185C56"/>
    <w:rsid w:val="48450F81"/>
    <w:rsid w:val="484E729D"/>
    <w:rsid w:val="485A23C2"/>
    <w:rsid w:val="488F0E1B"/>
    <w:rsid w:val="48A16B62"/>
    <w:rsid w:val="48BC6222"/>
    <w:rsid w:val="48C245E9"/>
    <w:rsid w:val="48DB312A"/>
    <w:rsid w:val="48DF49D9"/>
    <w:rsid w:val="48E1539E"/>
    <w:rsid w:val="492108CC"/>
    <w:rsid w:val="4933581D"/>
    <w:rsid w:val="49BC2FBD"/>
    <w:rsid w:val="49F66C27"/>
    <w:rsid w:val="4A05334F"/>
    <w:rsid w:val="4A176B9D"/>
    <w:rsid w:val="4A244932"/>
    <w:rsid w:val="4A2922C8"/>
    <w:rsid w:val="4A381A7F"/>
    <w:rsid w:val="4A4117B2"/>
    <w:rsid w:val="4A730277"/>
    <w:rsid w:val="4A7A4350"/>
    <w:rsid w:val="4A7E2497"/>
    <w:rsid w:val="4A896826"/>
    <w:rsid w:val="4ABF5E17"/>
    <w:rsid w:val="4AE01A66"/>
    <w:rsid w:val="4AED707B"/>
    <w:rsid w:val="4AF4454F"/>
    <w:rsid w:val="4B0B7979"/>
    <w:rsid w:val="4B386DCB"/>
    <w:rsid w:val="4B520DF4"/>
    <w:rsid w:val="4B603107"/>
    <w:rsid w:val="4B7047B7"/>
    <w:rsid w:val="4B9802B0"/>
    <w:rsid w:val="4B9E65BE"/>
    <w:rsid w:val="4B9F33A8"/>
    <w:rsid w:val="4BA80AFD"/>
    <w:rsid w:val="4BA92584"/>
    <w:rsid w:val="4BB033BA"/>
    <w:rsid w:val="4BB469AD"/>
    <w:rsid w:val="4BC06040"/>
    <w:rsid w:val="4BF441D2"/>
    <w:rsid w:val="4C1C2A09"/>
    <w:rsid w:val="4C694192"/>
    <w:rsid w:val="4C71246E"/>
    <w:rsid w:val="4C7964D9"/>
    <w:rsid w:val="4C9269F6"/>
    <w:rsid w:val="4CC84335"/>
    <w:rsid w:val="4CE9350A"/>
    <w:rsid w:val="4CEC4311"/>
    <w:rsid w:val="4CFB27A6"/>
    <w:rsid w:val="4D1C4D73"/>
    <w:rsid w:val="4D297BF3"/>
    <w:rsid w:val="4D2D0EAF"/>
    <w:rsid w:val="4D5B6A3E"/>
    <w:rsid w:val="4D5D0D6B"/>
    <w:rsid w:val="4D7F0082"/>
    <w:rsid w:val="4D952FD9"/>
    <w:rsid w:val="4D970662"/>
    <w:rsid w:val="4DB33393"/>
    <w:rsid w:val="4DCF1E0D"/>
    <w:rsid w:val="4DD632D9"/>
    <w:rsid w:val="4DE05DF9"/>
    <w:rsid w:val="4DE44800"/>
    <w:rsid w:val="4DEE0709"/>
    <w:rsid w:val="4DFC14EA"/>
    <w:rsid w:val="4DFF6815"/>
    <w:rsid w:val="4E0A3427"/>
    <w:rsid w:val="4E304B5D"/>
    <w:rsid w:val="4E682F8C"/>
    <w:rsid w:val="4E6A7BB7"/>
    <w:rsid w:val="4EA14414"/>
    <w:rsid w:val="4EC015B1"/>
    <w:rsid w:val="4F0773B4"/>
    <w:rsid w:val="4F2953A8"/>
    <w:rsid w:val="4F307BB1"/>
    <w:rsid w:val="4F3D562D"/>
    <w:rsid w:val="4F4D08E4"/>
    <w:rsid w:val="4F5C4EE0"/>
    <w:rsid w:val="4F6E1972"/>
    <w:rsid w:val="4F943166"/>
    <w:rsid w:val="4FAC734A"/>
    <w:rsid w:val="4FBA02A1"/>
    <w:rsid w:val="4FBE01E7"/>
    <w:rsid w:val="4FE7106E"/>
    <w:rsid w:val="50053943"/>
    <w:rsid w:val="501F0559"/>
    <w:rsid w:val="504A7CCC"/>
    <w:rsid w:val="50550E55"/>
    <w:rsid w:val="509F43E4"/>
    <w:rsid w:val="50A54D3E"/>
    <w:rsid w:val="50F1402B"/>
    <w:rsid w:val="50FD2AD9"/>
    <w:rsid w:val="51097D9A"/>
    <w:rsid w:val="51221F1C"/>
    <w:rsid w:val="51237D2E"/>
    <w:rsid w:val="51996737"/>
    <w:rsid w:val="51B408B8"/>
    <w:rsid w:val="51CC0868"/>
    <w:rsid w:val="51D5340F"/>
    <w:rsid w:val="51D653D1"/>
    <w:rsid w:val="52382F2A"/>
    <w:rsid w:val="52386E3D"/>
    <w:rsid w:val="523A7DD1"/>
    <w:rsid w:val="525B6CEF"/>
    <w:rsid w:val="5271774C"/>
    <w:rsid w:val="52A247BF"/>
    <w:rsid w:val="52DE008D"/>
    <w:rsid w:val="52EE341E"/>
    <w:rsid w:val="52F37FE6"/>
    <w:rsid w:val="52FC1CAF"/>
    <w:rsid w:val="531C6FD2"/>
    <w:rsid w:val="532B6CAF"/>
    <w:rsid w:val="53350D91"/>
    <w:rsid w:val="533F3BE9"/>
    <w:rsid w:val="53412644"/>
    <w:rsid w:val="53433903"/>
    <w:rsid w:val="53517A72"/>
    <w:rsid w:val="5361549D"/>
    <w:rsid w:val="536220DA"/>
    <w:rsid w:val="53650637"/>
    <w:rsid w:val="53757C6B"/>
    <w:rsid w:val="537E1075"/>
    <w:rsid w:val="53A44D07"/>
    <w:rsid w:val="53A46AC8"/>
    <w:rsid w:val="53AB7F1F"/>
    <w:rsid w:val="53AC6F7B"/>
    <w:rsid w:val="53C55637"/>
    <w:rsid w:val="53EB297B"/>
    <w:rsid w:val="5422686A"/>
    <w:rsid w:val="542E2BC2"/>
    <w:rsid w:val="54352A96"/>
    <w:rsid w:val="54447390"/>
    <w:rsid w:val="545E1D01"/>
    <w:rsid w:val="54935B8F"/>
    <w:rsid w:val="54AD4386"/>
    <w:rsid w:val="54CC6227"/>
    <w:rsid w:val="54D10F9B"/>
    <w:rsid w:val="54DC2EBD"/>
    <w:rsid w:val="54EE662F"/>
    <w:rsid w:val="551D586C"/>
    <w:rsid w:val="55200298"/>
    <w:rsid w:val="55335E1B"/>
    <w:rsid w:val="553A027A"/>
    <w:rsid w:val="554B7EF0"/>
    <w:rsid w:val="556D4E04"/>
    <w:rsid w:val="556F1F83"/>
    <w:rsid w:val="556F3D99"/>
    <w:rsid w:val="55860894"/>
    <w:rsid w:val="558F587D"/>
    <w:rsid w:val="5598250C"/>
    <w:rsid w:val="55B02DF1"/>
    <w:rsid w:val="55DC290C"/>
    <w:rsid w:val="55F01FA1"/>
    <w:rsid w:val="56384123"/>
    <w:rsid w:val="5666669C"/>
    <w:rsid w:val="56990B7C"/>
    <w:rsid w:val="569E1126"/>
    <w:rsid w:val="56B80DEB"/>
    <w:rsid w:val="56BE3705"/>
    <w:rsid w:val="56E06E61"/>
    <w:rsid w:val="56E174BF"/>
    <w:rsid w:val="56F653FE"/>
    <w:rsid w:val="57082813"/>
    <w:rsid w:val="572F484E"/>
    <w:rsid w:val="574D1ABF"/>
    <w:rsid w:val="575B7AFD"/>
    <w:rsid w:val="57660D3F"/>
    <w:rsid w:val="57A203EE"/>
    <w:rsid w:val="57C452D4"/>
    <w:rsid w:val="57D1153D"/>
    <w:rsid w:val="57DC3362"/>
    <w:rsid w:val="57FA3774"/>
    <w:rsid w:val="58084A3C"/>
    <w:rsid w:val="583354EA"/>
    <w:rsid w:val="585D2975"/>
    <w:rsid w:val="587E3341"/>
    <w:rsid w:val="58A968A6"/>
    <w:rsid w:val="58CF56D8"/>
    <w:rsid w:val="58D31010"/>
    <w:rsid w:val="58D6741E"/>
    <w:rsid w:val="58EA3D0E"/>
    <w:rsid w:val="58F71269"/>
    <w:rsid w:val="58FE045E"/>
    <w:rsid w:val="590F193D"/>
    <w:rsid w:val="59561946"/>
    <w:rsid w:val="59670F51"/>
    <w:rsid w:val="596A44F9"/>
    <w:rsid w:val="596C19BB"/>
    <w:rsid w:val="596C21DC"/>
    <w:rsid w:val="59722042"/>
    <w:rsid w:val="59790BDB"/>
    <w:rsid w:val="598653AC"/>
    <w:rsid w:val="59AC3C86"/>
    <w:rsid w:val="59D1293D"/>
    <w:rsid w:val="59D42FDA"/>
    <w:rsid w:val="59DA4E01"/>
    <w:rsid w:val="59F64E82"/>
    <w:rsid w:val="5A027EB7"/>
    <w:rsid w:val="5A10435C"/>
    <w:rsid w:val="5A2654CC"/>
    <w:rsid w:val="5A323A44"/>
    <w:rsid w:val="5A395E66"/>
    <w:rsid w:val="5A427C66"/>
    <w:rsid w:val="5A484352"/>
    <w:rsid w:val="5A49507E"/>
    <w:rsid w:val="5A5321A5"/>
    <w:rsid w:val="5A56101C"/>
    <w:rsid w:val="5A8734AF"/>
    <w:rsid w:val="5A9D3E45"/>
    <w:rsid w:val="5AA4101D"/>
    <w:rsid w:val="5AB17576"/>
    <w:rsid w:val="5ABD68E6"/>
    <w:rsid w:val="5ABF73D2"/>
    <w:rsid w:val="5ACB3D8A"/>
    <w:rsid w:val="5AD14B46"/>
    <w:rsid w:val="5AE1508F"/>
    <w:rsid w:val="5AF1353F"/>
    <w:rsid w:val="5AF80256"/>
    <w:rsid w:val="5AFC08CE"/>
    <w:rsid w:val="5B110CC9"/>
    <w:rsid w:val="5B1F7B5D"/>
    <w:rsid w:val="5B585171"/>
    <w:rsid w:val="5B585B78"/>
    <w:rsid w:val="5B9A2B59"/>
    <w:rsid w:val="5BC0085A"/>
    <w:rsid w:val="5BE10DB9"/>
    <w:rsid w:val="5BF03D58"/>
    <w:rsid w:val="5C1A6BB2"/>
    <w:rsid w:val="5C5355FE"/>
    <w:rsid w:val="5C6A7000"/>
    <w:rsid w:val="5C6F4105"/>
    <w:rsid w:val="5CA92B4D"/>
    <w:rsid w:val="5CBB7F6F"/>
    <w:rsid w:val="5D5171CF"/>
    <w:rsid w:val="5D7C3F11"/>
    <w:rsid w:val="5D9D49E0"/>
    <w:rsid w:val="5DDF1821"/>
    <w:rsid w:val="5DE07E68"/>
    <w:rsid w:val="5DEA2F91"/>
    <w:rsid w:val="5E2B3B29"/>
    <w:rsid w:val="5E3146A3"/>
    <w:rsid w:val="5E3271C3"/>
    <w:rsid w:val="5E3C677A"/>
    <w:rsid w:val="5E442F62"/>
    <w:rsid w:val="5E6C2C5B"/>
    <w:rsid w:val="5E6C52B2"/>
    <w:rsid w:val="5E7251A2"/>
    <w:rsid w:val="5E7C3591"/>
    <w:rsid w:val="5E9D0E18"/>
    <w:rsid w:val="5EA341D7"/>
    <w:rsid w:val="5EA755DE"/>
    <w:rsid w:val="5ED35F0E"/>
    <w:rsid w:val="5EEB4428"/>
    <w:rsid w:val="5EFA0740"/>
    <w:rsid w:val="5EFC1390"/>
    <w:rsid w:val="5EFC3EB6"/>
    <w:rsid w:val="5F03335D"/>
    <w:rsid w:val="5F0368C7"/>
    <w:rsid w:val="5F1544E7"/>
    <w:rsid w:val="5F1568E3"/>
    <w:rsid w:val="5F3C4923"/>
    <w:rsid w:val="5F9A65E6"/>
    <w:rsid w:val="5F9B2627"/>
    <w:rsid w:val="5FAC7B1F"/>
    <w:rsid w:val="5FB80E3D"/>
    <w:rsid w:val="5FB831B4"/>
    <w:rsid w:val="5FC86B8C"/>
    <w:rsid w:val="5FD40999"/>
    <w:rsid w:val="5FE5522B"/>
    <w:rsid w:val="5FF03F08"/>
    <w:rsid w:val="5FF2548E"/>
    <w:rsid w:val="5FF313D3"/>
    <w:rsid w:val="602610FD"/>
    <w:rsid w:val="602808B2"/>
    <w:rsid w:val="603814FF"/>
    <w:rsid w:val="603A5DED"/>
    <w:rsid w:val="604109A8"/>
    <w:rsid w:val="605D2617"/>
    <w:rsid w:val="60616CDC"/>
    <w:rsid w:val="60624E53"/>
    <w:rsid w:val="606319E5"/>
    <w:rsid w:val="607B3C50"/>
    <w:rsid w:val="608B6567"/>
    <w:rsid w:val="60FF21D9"/>
    <w:rsid w:val="613253FD"/>
    <w:rsid w:val="61421F29"/>
    <w:rsid w:val="61712185"/>
    <w:rsid w:val="61923281"/>
    <w:rsid w:val="61A90D68"/>
    <w:rsid w:val="61D31405"/>
    <w:rsid w:val="61EB0BE3"/>
    <w:rsid w:val="62105B23"/>
    <w:rsid w:val="621775E2"/>
    <w:rsid w:val="622F7552"/>
    <w:rsid w:val="6250406E"/>
    <w:rsid w:val="627A2358"/>
    <w:rsid w:val="627D6831"/>
    <w:rsid w:val="62811B1C"/>
    <w:rsid w:val="62A20409"/>
    <w:rsid w:val="62B54B44"/>
    <w:rsid w:val="62E045DA"/>
    <w:rsid w:val="62E454A1"/>
    <w:rsid w:val="62F36E4C"/>
    <w:rsid w:val="62F47F8F"/>
    <w:rsid w:val="62F7233F"/>
    <w:rsid w:val="6340438B"/>
    <w:rsid w:val="6353238E"/>
    <w:rsid w:val="63612AB8"/>
    <w:rsid w:val="637A736D"/>
    <w:rsid w:val="637D0978"/>
    <w:rsid w:val="638968B0"/>
    <w:rsid w:val="638A282C"/>
    <w:rsid w:val="63A85E90"/>
    <w:rsid w:val="63A962DB"/>
    <w:rsid w:val="63AB1A91"/>
    <w:rsid w:val="63EE4692"/>
    <w:rsid w:val="63FD622D"/>
    <w:rsid w:val="643F32F9"/>
    <w:rsid w:val="64501EDD"/>
    <w:rsid w:val="64582686"/>
    <w:rsid w:val="64673C87"/>
    <w:rsid w:val="64835103"/>
    <w:rsid w:val="64A251DD"/>
    <w:rsid w:val="650242F0"/>
    <w:rsid w:val="653B26B5"/>
    <w:rsid w:val="65542778"/>
    <w:rsid w:val="65562452"/>
    <w:rsid w:val="655829AF"/>
    <w:rsid w:val="656535B2"/>
    <w:rsid w:val="656B70C3"/>
    <w:rsid w:val="658F4798"/>
    <w:rsid w:val="659B1EBA"/>
    <w:rsid w:val="65B461E9"/>
    <w:rsid w:val="65BE39A8"/>
    <w:rsid w:val="65FB3FBE"/>
    <w:rsid w:val="66247D11"/>
    <w:rsid w:val="662841B4"/>
    <w:rsid w:val="66736112"/>
    <w:rsid w:val="667F5B5B"/>
    <w:rsid w:val="6694262A"/>
    <w:rsid w:val="66990381"/>
    <w:rsid w:val="66B31B01"/>
    <w:rsid w:val="66CE1E80"/>
    <w:rsid w:val="66E362F9"/>
    <w:rsid w:val="66E47FD9"/>
    <w:rsid w:val="67071922"/>
    <w:rsid w:val="673B73C0"/>
    <w:rsid w:val="675608B6"/>
    <w:rsid w:val="67754402"/>
    <w:rsid w:val="677D54ED"/>
    <w:rsid w:val="67957627"/>
    <w:rsid w:val="67B25E27"/>
    <w:rsid w:val="67C4383B"/>
    <w:rsid w:val="67D35E1A"/>
    <w:rsid w:val="67ED1853"/>
    <w:rsid w:val="67F35317"/>
    <w:rsid w:val="680201B7"/>
    <w:rsid w:val="682664D1"/>
    <w:rsid w:val="68362BFB"/>
    <w:rsid w:val="683F1130"/>
    <w:rsid w:val="684456A1"/>
    <w:rsid w:val="684F1CD8"/>
    <w:rsid w:val="685E1363"/>
    <w:rsid w:val="688E1089"/>
    <w:rsid w:val="68A026F3"/>
    <w:rsid w:val="68AF6C13"/>
    <w:rsid w:val="68BB21BC"/>
    <w:rsid w:val="68F826E8"/>
    <w:rsid w:val="690C2BBD"/>
    <w:rsid w:val="690E07C7"/>
    <w:rsid w:val="69236A65"/>
    <w:rsid w:val="692E469B"/>
    <w:rsid w:val="69315C48"/>
    <w:rsid w:val="694019EC"/>
    <w:rsid w:val="69584DB4"/>
    <w:rsid w:val="696C3D80"/>
    <w:rsid w:val="698A5EE4"/>
    <w:rsid w:val="69C811ED"/>
    <w:rsid w:val="69D33070"/>
    <w:rsid w:val="69D62B4B"/>
    <w:rsid w:val="69E97E75"/>
    <w:rsid w:val="69FB5D9E"/>
    <w:rsid w:val="6A1A3007"/>
    <w:rsid w:val="6A1E645E"/>
    <w:rsid w:val="6A417049"/>
    <w:rsid w:val="6A585B4A"/>
    <w:rsid w:val="6A7903E5"/>
    <w:rsid w:val="6A995680"/>
    <w:rsid w:val="6AA03032"/>
    <w:rsid w:val="6AA86FEC"/>
    <w:rsid w:val="6ADA6AC4"/>
    <w:rsid w:val="6ADB11D6"/>
    <w:rsid w:val="6AF02DC7"/>
    <w:rsid w:val="6B1A2C3C"/>
    <w:rsid w:val="6B20545A"/>
    <w:rsid w:val="6B31644D"/>
    <w:rsid w:val="6B486C86"/>
    <w:rsid w:val="6B554C72"/>
    <w:rsid w:val="6B824366"/>
    <w:rsid w:val="6B847AD7"/>
    <w:rsid w:val="6B9A2DF9"/>
    <w:rsid w:val="6BAC4619"/>
    <w:rsid w:val="6BBF2306"/>
    <w:rsid w:val="6BCD2823"/>
    <w:rsid w:val="6BDD15DD"/>
    <w:rsid w:val="6BDF2966"/>
    <w:rsid w:val="6BE86A5F"/>
    <w:rsid w:val="6C0528A2"/>
    <w:rsid w:val="6C196DB0"/>
    <w:rsid w:val="6C234DED"/>
    <w:rsid w:val="6C29198B"/>
    <w:rsid w:val="6C3A67D1"/>
    <w:rsid w:val="6C3D2D5C"/>
    <w:rsid w:val="6C4800AA"/>
    <w:rsid w:val="6C4D28F8"/>
    <w:rsid w:val="6C5001CC"/>
    <w:rsid w:val="6C573E9C"/>
    <w:rsid w:val="6C6D1126"/>
    <w:rsid w:val="6C845EBC"/>
    <w:rsid w:val="6CA35B3A"/>
    <w:rsid w:val="6CA41A5D"/>
    <w:rsid w:val="6CAF588C"/>
    <w:rsid w:val="6CB4638E"/>
    <w:rsid w:val="6CBF3C6A"/>
    <w:rsid w:val="6CBF5306"/>
    <w:rsid w:val="6CE70FA1"/>
    <w:rsid w:val="6CFA6351"/>
    <w:rsid w:val="6CFC3C40"/>
    <w:rsid w:val="6D480984"/>
    <w:rsid w:val="6D496C2F"/>
    <w:rsid w:val="6D8C6A34"/>
    <w:rsid w:val="6DB13E57"/>
    <w:rsid w:val="6DC71662"/>
    <w:rsid w:val="6DCD5126"/>
    <w:rsid w:val="6DDB6CB0"/>
    <w:rsid w:val="6DDF577F"/>
    <w:rsid w:val="6DE52ACD"/>
    <w:rsid w:val="6DEA292E"/>
    <w:rsid w:val="6DFC0B44"/>
    <w:rsid w:val="6E0458E7"/>
    <w:rsid w:val="6E212037"/>
    <w:rsid w:val="6E380D0C"/>
    <w:rsid w:val="6E3B221B"/>
    <w:rsid w:val="6E475779"/>
    <w:rsid w:val="6E7764EF"/>
    <w:rsid w:val="6EAD447C"/>
    <w:rsid w:val="6ECD7F59"/>
    <w:rsid w:val="6EED7C80"/>
    <w:rsid w:val="6EF773A4"/>
    <w:rsid w:val="6F2F2D9E"/>
    <w:rsid w:val="6F4147D9"/>
    <w:rsid w:val="6F9311E9"/>
    <w:rsid w:val="6F947E4B"/>
    <w:rsid w:val="6F992CB0"/>
    <w:rsid w:val="6FA30BDA"/>
    <w:rsid w:val="6FB80698"/>
    <w:rsid w:val="6FC85160"/>
    <w:rsid w:val="7024611F"/>
    <w:rsid w:val="702937E8"/>
    <w:rsid w:val="70637B96"/>
    <w:rsid w:val="70797317"/>
    <w:rsid w:val="707F0E75"/>
    <w:rsid w:val="7099044B"/>
    <w:rsid w:val="709D518F"/>
    <w:rsid w:val="70C41BB9"/>
    <w:rsid w:val="70C759D3"/>
    <w:rsid w:val="70CF2B23"/>
    <w:rsid w:val="710952C1"/>
    <w:rsid w:val="71452CD8"/>
    <w:rsid w:val="7158683A"/>
    <w:rsid w:val="715B2F52"/>
    <w:rsid w:val="71764F23"/>
    <w:rsid w:val="71946576"/>
    <w:rsid w:val="71967E84"/>
    <w:rsid w:val="719820B9"/>
    <w:rsid w:val="71A61873"/>
    <w:rsid w:val="71AF4936"/>
    <w:rsid w:val="71D75D0F"/>
    <w:rsid w:val="721919B3"/>
    <w:rsid w:val="721A6098"/>
    <w:rsid w:val="72310D1A"/>
    <w:rsid w:val="725D6B54"/>
    <w:rsid w:val="72A17C99"/>
    <w:rsid w:val="72AF6F7E"/>
    <w:rsid w:val="72B34E05"/>
    <w:rsid w:val="73047904"/>
    <w:rsid w:val="731663D0"/>
    <w:rsid w:val="73414465"/>
    <w:rsid w:val="73432A7A"/>
    <w:rsid w:val="734C1A6A"/>
    <w:rsid w:val="735C5949"/>
    <w:rsid w:val="73737DA5"/>
    <w:rsid w:val="7375030D"/>
    <w:rsid w:val="73887B3E"/>
    <w:rsid w:val="73892412"/>
    <w:rsid w:val="73E96BCA"/>
    <w:rsid w:val="73EE4A6E"/>
    <w:rsid w:val="74082F2F"/>
    <w:rsid w:val="741048BC"/>
    <w:rsid w:val="742E78D4"/>
    <w:rsid w:val="74566390"/>
    <w:rsid w:val="74676A28"/>
    <w:rsid w:val="74732A9E"/>
    <w:rsid w:val="747E40B6"/>
    <w:rsid w:val="74AC3224"/>
    <w:rsid w:val="74BB2C83"/>
    <w:rsid w:val="74DE4E5F"/>
    <w:rsid w:val="74EB54AB"/>
    <w:rsid w:val="74FF6D43"/>
    <w:rsid w:val="750201A2"/>
    <w:rsid w:val="751A76AF"/>
    <w:rsid w:val="75250574"/>
    <w:rsid w:val="7550443E"/>
    <w:rsid w:val="755F0BCC"/>
    <w:rsid w:val="756F17F9"/>
    <w:rsid w:val="75825461"/>
    <w:rsid w:val="759926FC"/>
    <w:rsid w:val="75A24276"/>
    <w:rsid w:val="75AA231D"/>
    <w:rsid w:val="75E8633A"/>
    <w:rsid w:val="75FD4045"/>
    <w:rsid w:val="7608190C"/>
    <w:rsid w:val="763F09AA"/>
    <w:rsid w:val="764F3FCC"/>
    <w:rsid w:val="7650339F"/>
    <w:rsid w:val="76603C9A"/>
    <w:rsid w:val="76967FC0"/>
    <w:rsid w:val="76BB1CAB"/>
    <w:rsid w:val="76C04050"/>
    <w:rsid w:val="76E65049"/>
    <w:rsid w:val="77076007"/>
    <w:rsid w:val="77413F7E"/>
    <w:rsid w:val="77691E21"/>
    <w:rsid w:val="77835654"/>
    <w:rsid w:val="77901BB9"/>
    <w:rsid w:val="7797109C"/>
    <w:rsid w:val="779A2A38"/>
    <w:rsid w:val="77B4450A"/>
    <w:rsid w:val="77B46E73"/>
    <w:rsid w:val="77D56B78"/>
    <w:rsid w:val="77E37A12"/>
    <w:rsid w:val="77FE3468"/>
    <w:rsid w:val="7826607A"/>
    <w:rsid w:val="784505C3"/>
    <w:rsid w:val="78546F0C"/>
    <w:rsid w:val="78BE1FC7"/>
    <w:rsid w:val="78EE1C79"/>
    <w:rsid w:val="796432FD"/>
    <w:rsid w:val="797239CC"/>
    <w:rsid w:val="79831473"/>
    <w:rsid w:val="7999527A"/>
    <w:rsid w:val="79AF76C5"/>
    <w:rsid w:val="79C25EE1"/>
    <w:rsid w:val="79C97604"/>
    <w:rsid w:val="79CE2967"/>
    <w:rsid w:val="79EA664C"/>
    <w:rsid w:val="7A175207"/>
    <w:rsid w:val="7A2F459A"/>
    <w:rsid w:val="7A517022"/>
    <w:rsid w:val="7A6303C6"/>
    <w:rsid w:val="7A6F5001"/>
    <w:rsid w:val="7A747570"/>
    <w:rsid w:val="7A811899"/>
    <w:rsid w:val="7A94551C"/>
    <w:rsid w:val="7AA2343E"/>
    <w:rsid w:val="7ACF29F8"/>
    <w:rsid w:val="7ADA73A4"/>
    <w:rsid w:val="7AE66B99"/>
    <w:rsid w:val="7B0A3BCA"/>
    <w:rsid w:val="7B4048C1"/>
    <w:rsid w:val="7B73082F"/>
    <w:rsid w:val="7BA43E85"/>
    <w:rsid w:val="7BB06B1C"/>
    <w:rsid w:val="7BC62E00"/>
    <w:rsid w:val="7BD76009"/>
    <w:rsid w:val="7BE2279E"/>
    <w:rsid w:val="7BE35E2A"/>
    <w:rsid w:val="7BF5648F"/>
    <w:rsid w:val="7BFA1CC7"/>
    <w:rsid w:val="7BFB70B3"/>
    <w:rsid w:val="7C0251DA"/>
    <w:rsid w:val="7C1052F2"/>
    <w:rsid w:val="7C2668D9"/>
    <w:rsid w:val="7C32497F"/>
    <w:rsid w:val="7C3C69AE"/>
    <w:rsid w:val="7C672474"/>
    <w:rsid w:val="7C691974"/>
    <w:rsid w:val="7C8A6570"/>
    <w:rsid w:val="7C8B7390"/>
    <w:rsid w:val="7C9B0D0E"/>
    <w:rsid w:val="7CA42B03"/>
    <w:rsid w:val="7CB47D2E"/>
    <w:rsid w:val="7CBA2CE5"/>
    <w:rsid w:val="7CD2318A"/>
    <w:rsid w:val="7CD2702A"/>
    <w:rsid w:val="7CD34C42"/>
    <w:rsid w:val="7CDE3FF9"/>
    <w:rsid w:val="7CE26EBF"/>
    <w:rsid w:val="7CEE3130"/>
    <w:rsid w:val="7D19465F"/>
    <w:rsid w:val="7D1F6674"/>
    <w:rsid w:val="7D480B34"/>
    <w:rsid w:val="7D894AA5"/>
    <w:rsid w:val="7D9005BC"/>
    <w:rsid w:val="7D9F0AD0"/>
    <w:rsid w:val="7DD12BB7"/>
    <w:rsid w:val="7DFF0955"/>
    <w:rsid w:val="7E0B750E"/>
    <w:rsid w:val="7E0C73F1"/>
    <w:rsid w:val="7E1626EC"/>
    <w:rsid w:val="7E185E07"/>
    <w:rsid w:val="7E2822EA"/>
    <w:rsid w:val="7E3314F0"/>
    <w:rsid w:val="7E355A7B"/>
    <w:rsid w:val="7E4E5ABF"/>
    <w:rsid w:val="7E6B7623"/>
    <w:rsid w:val="7E6E3E85"/>
    <w:rsid w:val="7E9C184B"/>
    <w:rsid w:val="7EA72948"/>
    <w:rsid w:val="7EB31EDB"/>
    <w:rsid w:val="7EE70CC0"/>
    <w:rsid w:val="7EEB48DB"/>
    <w:rsid w:val="7EF27444"/>
    <w:rsid w:val="7EF70770"/>
    <w:rsid w:val="7EFE7EFE"/>
    <w:rsid w:val="7F03025A"/>
    <w:rsid w:val="7F265C58"/>
    <w:rsid w:val="7F582CF2"/>
    <w:rsid w:val="7F5C78AC"/>
    <w:rsid w:val="7F951B40"/>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8">
    <w:name w:val="List Number"/>
    <w:basedOn w:val="1"/>
    <w:autoRedefine/>
    <w:qFormat/>
    <w:uiPriority w:val="0"/>
    <w:pPr>
      <w:widowControl/>
      <w:spacing w:beforeAutospacing="1" w:afterAutospacing="1"/>
      <w:jc w:val="left"/>
    </w:pPr>
    <w:rPr>
      <w:rFonts w:ascii="宋体" w:hAnsi="宋体" w:cs="宋体"/>
      <w:kern w:val="0"/>
      <w:sz w:val="24"/>
    </w:rPr>
  </w:style>
  <w:style w:type="paragraph" w:styleId="9">
    <w:name w:val="Normal Indent"/>
    <w:basedOn w:val="1"/>
    <w:next w:val="10"/>
    <w:autoRedefine/>
    <w:qFormat/>
    <w:uiPriority w:val="0"/>
    <w:pPr>
      <w:widowControl/>
      <w:spacing w:beforeAutospacing="1" w:afterAutospacing="1"/>
      <w:jc w:val="left"/>
    </w:pPr>
    <w:rPr>
      <w:rFonts w:ascii="宋体" w:hAnsi="宋体" w:cs="宋体"/>
      <w:kern w:val="0"/>
      <w:sz w:val="24"/>
    </w:rPr>
  </w:style>
  <w:style w:type="paragraph" w:styleId="10">
    <w:name w:val="Body Text First Indent 2"/>
    <w:basedOn w:val="11"/>
    <w:next w:val="1"/>
    <w:autoRedefine/>
    <w:qFormat/>
    <w:uiPriority w:val="0"/>
    <w:pPr>
      <w:ind w:firstLine="420" w:firstLineChars="200"/>
    </w:pPr>
  </w:style>
  <w:style w:type="paragraph" w:styleId="11">
    <w:name w:val="Body Text Indent"/>
    <w:basedOn w:val="1"/>
    <w:next w:val="12"/>
    <w:autoRedefine/>
    <w:qFormat/>
    <w:uiPriority w:val="0"/>
    <w:pPr>
      <w:widowControl/>
      <w:spacing w:beforeAutospacing="1" w:afterAutospacing="1"/>
      <w:jc w:val="left"/>
    </w:pPr>
    <w:rPr>
      <w:rFonts w:ascii="宋体" w:hAnsi="宋体" w:cs="宋体"/>
      <w:kern w:val="0"/>
      <w:sz w:val="24"/>
    </w:rPr>
  </w:style>
  <w:style w:type="paragraph" w:styleId="12">
    <w:name w:val="envelope return"/>
    <w:basedOn w:val="1"/>
    <w:autoRedefine/>
    <w:unhideWhenUsed/>
    <w:qFormat/>
    <w:uiPriority w:val="99"/>
    <w:pPr>
      <w:snapToGrid w:val="0"/>
    </w:pPr>
    <w:rPr>
      <w:rFonts w:ascii="Arial" w:hAnsi="Arial"/>
    </w:rPr>
  </w:style>
  <w:style w:type="paragraph" w:styleId="13">
    <w:name w:val="Document Map"/>
    <w:basedOn w:val="1"/>
    <w:link w:val="76"/>
    <w:autoRedefine/>
    <w:qFormat/>
    <w:uiPriority w:val="0"/>
    <w:rPr>
      <w:rFonts w:ascii="宋体" w:hAnsi="Calibri"/>
      <w:sz w:val="18"/>
      <w:szCs w:val="18"/>
    </w:rPr>
  </w:style>
  <w:style w:type="paragraph" w:styleId="14">
    <w:name w:val="toa heading"/>
    <w:basedOn w:val="1"/>
    <w:next w:val="1"/>
    <w:autoRedefine/>
    <w:qFormat/>
    <w:uiPriority w:val="0"/>
    <w:pPr>
      <w:spacing w:before="120"/>
    </w:pPr>
    <w:rPr>
      <w:rFonts w:ascii="Arial" w:hAnsi="Arial" w:cs="Arial"/>
      <w:sz w:val="24"/>
    </w:rPr>
  </w:style>
  <w:style w:type="paragraph" w:styleId="15">
    <w:name w:val="annotation text"/>
    <w:basedOn w:val="1"/>
    <w:autoRedefine/>
    <w:qFormat/>
    <w:uiPriority w:val="0"/>
    <w:pPr>
      <w:jc w:val="left"/>
    </w:pPr>
  </w:style>
  <w:style w:type="paragraph" w:styleId="16">
    <w:name w:val="Body Text 3"/>
    <w:basedOn w:val="1"/>
    <w:autoRedefine/>
    <w:qFormat/>
    <w:uiPriority w:val="0"/>
    <w:rPr>
      <w:sz w:val="16"/>
      <w:szCs w:val="16"/>
    </w:r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4"/>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0"/>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0"/>
    <w:autoRedefine/>
    <w:qFormat/>
    <w:uiPriority w:val="0"/>
    <w:pPr>
      <w:jc w:val="center"/>
    </w:pPr>
    <w:rPr>
      <w:rFonts w:ascii="Arial" w:hAnsi="Arial"/>
      <w:b/>
      <w:sz w:val="28"/>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目录 51"/>
    <w:next w:val="1"/>
    <w:autoRedefine/>
    <w:qFormat/>
    <w:uiPriority w:val="0"/>
    <w:pPr>
      <w:wordWrap w:val="0"/>
      <w:ind w:left="1700"/>
      <w:jc w:val="both"/>
    </w:pPr>
    <w:rPr>
      <w:rFonts w:ascii="Times New Roman" w:hAnsi="Times New Roman" w:eastAsia="Calibri" w:cs="Times New Roman"/>
      <w:sz w:val="21"/>
      <w:lang w:val="en-US" w:eastAsia="zh-CN" w:bidi="ar-SA"/>
    </w:rPr>
  </w:style>
  <w:style w:type="paragraph" w:customStyle="1" w:styleId="52">
    <w:name w:val="No Spacing1"/>
    <w:basedOn w:val="1"/>
    <w:autoRedefine/>
    <w:qFormat/>
    <w:uiPriority w:val="0"/>
    <w:pPr>
      <w:spacing w:line="400" w:lineRule="exact"/>
    </w:pPr>
    <w:rPr>
      <w:sz w:val="24"/>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3"/>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character" w:customStyle="1" w:styleId="90">
    <w:name w:val="font41"/>
    <w:basedOn w:val="35"/>
    <w:autoRedefine/>
    <w:qFormat/>
    <w:uiPriority w:val="0"/>
    <w:rPr>
      <w:rFonts w:hint="eastAsia" w:ascii="宋体" w:hAnsi="宋体" w:eastAsia="宋体" w:cs="宋体"/>
      <w:color w:val="000000"/>
      <w:sz w:val="21"/>
      <w:szCs w:val="21"/>
      <w:u w:val="none"/>
    </w:rPr>
  </w:style>
  <w:style w:type="character" w:customStyle="1" w:styleId="91">
    <w:name w:val="font51"/>
    <w:basedOn w:val="35"/>
    <w:autoRedefine/>
    <w:qFormat/>
    <w:uiPriority w:val="0"/>
    <w:rPr>
      <w:rFonts w:hint="eastAsia" w:ascii="宋体" w:hAnsi="宋体" w:eastAsia="宋体" w:cs="宋体"/>
      <w:b/>
      <w:color w:val="000000"/>
      <w:sz w:val="21"/>
      <w:szCs w:val="21"/>
      <w:u w:val="none"/>
    </w:rPr>
  </w:style>
  <w:style w:type="character" w:customStyle="1" w:styleId="92">
    <w:name w:val="font31"/>
    <w:basedOn w:val="35"/>
    <w:autoRedefine/>
    <w:qFormat/>
    <w:uiPriority w:val="0"/>
    <w:rPr>
      <w:rFonts w:hint="eastAsia" w:ascii="宋体" w:hAnsi="宋体" w:eastAsia="宋体" w:cs="宋体"/>
      <w:color w:val="000000"/>
      <w:sz w:val="24"/>
      <w:szCs w:val="24"/>
      <w:u w:val="none"/>
    </w:rPr>
  </w:style>
  <w:style w:type="paragraph" w:customStyle="1" w:styleId="93">
    <w:name w:val="普通(网站)1"/>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C39694-E2D4-4EC7-B4CE-52C55243A65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38</Pages>
  <Words>15636</Words>
  <Characters>16439</Characters>
  <Lines>50</Lines>
  <Paragraphs>68</Paragraphs>
  <TotalTime>1</TotalTime>
  <ScaleCrop>false</ScaleCrop>
  <LinksUpToDate>false</LinksUpToDate>
  <CharactersWithSpaces>17371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梧桐叶落</cp:lastModifiedBy>
  <cp:lastPrinted>2021-09-30T00:46:00Z</cp:lastPrinted>
  <dcterms:modified xsi:type="dcterms:W3CDTF">2024-01-05T09:17:22Z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CF58E67EE3CE4CD4AE0D1F94136A37DA</vt:lpwstr>
  </property>
  <property fmtid="{D5CDD505-2E9C-101B-9397-08002B2CF9AE}" pid="4" name="commondata">
    <vt:lpwstr>eyJoZGlkIjoiYzIwMjRmYTY4OTJhZjc1NTA1MGQwNDc0NzZhNTkwMmUifQ==</vt:lpwstr>
  </property>
</Properties>
</file>