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4"/>
          <w:szCs w:val="44"/>
          <w:lang w:val="en-US" w:eastAsia="zh-CN"/>
        </w:rPr>
      </w:pPr>
      <w:r>
        <w:rPr>
          <w:rFonts w:hint="eastAsia" w:cs="宋体"/>
          <w:b/>
          <w:bCs/>
          <w:sz w:val="44"/>
          <w:szCs w:val="44"/>
          <w:lang w:val="en-US" w:eastAsia="zh-CN"/>
        </w:rPr>
        <w:t>驻马店市中心医院飞利浦16排CT技术保（妇儿院区）项目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12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驻马店市中心医院飞利浦16排CT技术保（妇儿院区）项目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飞利浦16排CT技术保（妇儿院区）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驻马店市中心医院飞利浦16排CT技术保（妇儿院区）项目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6.1万元</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年；</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、质量要求：符合国家现行标准要求</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7704"/>
      <w:bookmarkStart w:id="5" w:name="_Toc16639"/>
      <w:bookmarkStart w:id="6" w:name="_Toc18607"/>
      <w:bookmarkStart w:id="7" w:name="_Toc23626"/>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8" w:name="_Toc23395"/>
      <w:bookmarkStart w:id="9" w:name="_Toc7823"/>
      <w:bookmarkStart w:id="10" w:name="_Toc30971"/>
      <w:bookmarkStart w:id="11" w:name="_Toc30643"/>
      <w:bookmarkStart w:id="12" w:name="_Toc9562"/>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3、具有履行合同所必需的设备和专业技术能力（提供书面声明函）；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4、参加本采购活动前三年内，在经营活动中没有重大违法记录（提供书面声明函）；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5、符合法律、行政法规规定的其他条件；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6、特定资格要求：供应商须具有医疗器械经营许可证，是在中华人民共和国境内注册的设备原制造厂商或原制造厂商授权的单位或具备相关设备维修能力的单位（提供证明文件）。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auto"/>
          <w:szCs w:val="21"/>
          <w:highlight w:val="none"/>
          <w:shd w:val="clear" w:color="auto" w:fill="FFFFFF"/>
        </w:rPr>
        <w:t>20</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01</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02</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01</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934027204@qq.com并标明XX公司XX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5135"/>
      <w:bookmarkStart w:id="14" w:name="_Toc25869"/>
      <w:bookmarkStart w:id="15" w:name="_Toc10738"/>
      <w:bookmarkStart w:id="16" w:name="_Toc15111"/>
      <w:bookmarkStart w:id="17" w:name="_Toc27480"/>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0287"/>
      <w:bookmarkStart w:id="19" w:name="_Toc6523"/>
      <w:bookmarkStart w:id="20" w:name="_Toc29784"/>
      <w:bookmarkStart w:id="21" w:name="_Toc30918"/>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7370"/>
      <w:bookmarkStart w:id="25" w:name="_Toc31928"/>
      <w:bookmarkStart w:id="26" w:name="_Toc24274"/>
      <w:bookmarkStart w:id="27" w:name="_Toc16291"/>
      <w:bookmarkStart w:id="28" w:name="_Toc3604"/>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联系电话：18838148020</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12</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29</w:t>
      </w:r>
      <w:bookmarkStart w:id="86" w:name="_GoBack"/>
      <w:bookmarkEnd w:id="86"/>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31536"/>
      <w:bookmarkStart w:id="33" w:name="_Toc9989"/>
      <w:bookmarkStart w:id="34" w:name="_Toc23610"/>
    </w:p>
    <w:bookmarkEnd w:id="30"/>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sz w:val="21"/>
          <w:szCs w:val="21"/>
          <w:highlight w:val="none"/>
          <w:u w:val="none"/>
          <w:lang w:val="en-US" w:eastAsia="zh-CN"/>
        </w:rPr>
      </w:pPr>
      <w:bookmarkStart w:id="35" w:name="_Toc14504"/>
      <w:r>
        <w:rPr>
          <w:rFonts w:hint="eastAsia" w:ascii="宋体" w:hAnsi="宋体" w:eastAsia="宋体" w:cs="宋体"/>
          <w:b/>
          <w:bCs/>
          <w:i w:val="0"/>
          <w:iCs/>
          <w:sz w:val="21"/>
          <w:szCs w:val="21"/>
          <w:highlight w:val="none"/>
          <w:u w:val="none"/>
          <w:lang w:val="en-US" w:eastAsia="zh-CN"/>
        </w:rPr>
        <w:t>一、项目名称、数量：</w:t>
      </w:r>
      <w:r>
        <w:rPr>
          <w:rFonts w:hint="eastAsia" w:ascii="宋体" w:hAnsi="宋体" w:eastAsia="宋体" w:cs="宋体"/>
          <w:i w:val="0"/>
          <w:iCs/>
          <w:sz w:val="21"/>
          <w:szCs w:val="21"/>
          <w:highlight w:val="none"/>
          <w:u w:val="none"/>
          <w:lang w:val="en-US" w:eastAsia="zh-CN"/>
        </w:rPr>
        <w:t>驻马店市中心医院</w:t>
      </w:r>
      <w:r>
        <w:rPr>
          <w:rFonts w:hint="eastAsia" w:ascii="宋体" w:hAnsi="宋体" w:cs="宋体"/>
          <w:i w:val="0"/>
          <w:iCs/>
          <w:sz w:val="21"/>
          <w:szCs w:val="21"/>
          <w:highlight w:val="none"/>
          <w:u w:val="none"/>
          <w:lang w:val="en-US" w:eastAsia="zh-CN"/>
        </w:rPr>
        <w:t>飞利浦16排CT技术保（妇儿院区）项目</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jc w:val="both"/>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i w:val="0"/>
          <w:iCs/>
          <w:sz w:val="21"/>
          <w:szCs w:val="21"/>
          <w:highlight w:val="none"/>
          <w:u w:val="none"/>
          <w:lang w:val="en-US" w:eastAsia="zh-CN"/>
        </w:rPr>
        <w:t>项目概况：</w:t>
      </w:r>
      <w:r>
        <w:rPr>
          <w:rFonts w:hint="eastAsia" w:ascii="宋体" w:hAnsi="宋体" w:cs="宋体"/>
          <w:i w:val="0"/>
          <w:iCs/>
          <w:sz w:val="21"/>
          <w:szCs w:val="21"/>
          <w:highlight w:val="none"/>
          <w:u w:val="none"/>
          <w:lang w:val="en-US" w:eastAsia="zh-CN"/>
        </w:rPr>
        <w:t>飞利浦16排CT技术保（妇儿院区）</w:t>
      </w:r>
      <w:r>
        <w:rPr>
          <w:rFonts w:hint="eastAsia" w:ascii="宋体" w:hAnsi="宋体" w:eastAsia="宋体" w:cs="宋体"/>
          <w:i w:val="0"/>
          <w:iCs/>
          <w:sz w:val="21"/>
          <w:szCs w:val="21"/>
          <w:highlight w:val="none"/>
          <w:u w:val="none"/>
          <w:lang w:val="en-US" w:eastAsia="zh-CN"/>
        </w:rPr>
        <w:t>一年。</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二、采购标的清单：</w:t>
      </w:r>
    </w:p>
    <w:tbl>
      <w:tblPr>
        <w:tblStyle w:val="33"/>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0"/>
        <w:gridCol w:w="2207"/>
        <w:gridCol w:w="5"/>
        <w:gridCol w:w="966"/>
        <w:gridCol w:w="886"/>
        <w:gridCol w:w="6"/>
        <w:gridCol w:w="1060"/>
        <w:gridCol w:w="9"/>
        <w:gridCol w:w="1069"/>
        <w:gridCol w:w="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lang w:val="en-US" w:eastAsia="zh-CN"/>
              </w:rPr>
            </w:pPr>
            <w:r>
              <w:rPr>
                <w:rFonts w:hint="eastAsia"/>
                <w:lang w:val="en-US" w:eastAsia="zh-CN"/>
              </w:rPr>
              <w:t>包号</w:t>
            </w:r>
          </w:p>
        </w:tc>
        <w:tc>
          <w:tcPr>
            <w:tcW w:w="950" w:type="dxa"/>
            <w:vAlign w:val="center"/>
          </w:tcPr>
          <w:p>
            <w:pPr>
              <w:pStyle w:val="15"/>
              <w:numPr>
                <w:ilvl w:val="0"/>
                <w:numId w:val="0"/>
              </w:numPr>
              <w:rPr>
                <w:rFonts w:hint="eastAsia"/>
                <w:lang w:val="en-US" w:eastAsia="zh-CN"/>
              </w:rPr>
            </w:pPr>
            <w:r>
              <w:rPr>
                <w:rFonts w:hint="eastAsia"/>
                <w:lang w:val="en-US" w:eastAsia="zh-CN"/>
              </w:rPr>
              <w:t>序号</w:t>
            </w:r>
          </w:p>
        </w:tc>
        <w:tc>
          <w:tcPr>
            <w:tcW w:w="2207" w:type="dxa"/>
            <w:vAlign w:val="center"/>
          </w:tcPr>
          <w:p>
            <w:pPr>
              <w:pStyle w:val="15"/>
              <w:numPr>
                <w:ilvl w:val="0"/>
                <w:numId w:val="0"/>
              </w:numPr>
              <w:rPr>
                <w:rFonts w:hint="eastAsia"/>
                <w:lang w:val="en-US" w:eastAsia="zh-CN"/>
              </w:rPr>
            </w:pPr>
            <w:r>
              <w:rPr>
                <w:rFonts w:hint="eastAsia"/>
                <w:lang w:val="en-US" w:eastAsia="zh-CN"/>
              </w:rPr>
              <w:t>标的名称</w:t>
            </w:r>
          </w:p>
        </w:tc>
        <w:tc>
          <w:tcPr>
            <w:tcW w:w="971" w:type="dxa"/>
            <w:gridSpan w:val="2"/>
            <w:vAlign w:val="center"/>
          </w:tcPr>
          <w:p>
            <w:pPr>
              <w:pStyle w:val="15"/>
              <w:numPr>
                <w:ilvl w:val="0"/>
                <w:numId w:val="0"/>
              </w:numPr>
              <w:rPr>
                <w:rFonts w:hint="eastAsia"/>
                <w:lang w:val="en-US" w:eastAsia="zh-CN"/>
              </w:rPr>
            </w:pPr>
            <w:r>
              <w:rPr>
                <w:rFonts w:hint="eastAsia"/>
                <w:lang w:val="en-US" w:eastAsia="zh-CN"/>
              </w:rPr>
              <w:t>单位</w:t>
            </w:r>
          </w:p>
        </w:tc>
        <w:tc>
          <w:tcPr>
            <w:tcW w:w="886" w:type="dxa"/>
            <w:vAlign w:val="center"/>
          </w:tcPr>
          <w:p>
            <w:pPr>
              <w:pStyle w:val="15"/>
              <w:numPr>
                <w:ilvl w:val="0"/>
                <w:numId w:val="0"/>
              </w:numPr>
              <w:rPr>
                <w:rFonts w:hint="eastAsia"/>
                <w:lang w:val="en-US" w:eastAsia="zh-CN"/>
              </w:rPr>
            </w:pPr>
            <w:r>
              <w:rPr>
                <w:rFonts w:hint="eastAsia"/>
                <w:lang w:val="en-US" w:eastAsia="zh-CN"/>
              </w:rPr>
              <w:t>数量</w:t>
            </w:r>
          </w:p>
        </w:tc>
        <w:tc>
          <w:tcPr>
            <w:tcW w:w="1075" w:type="dxa"/>
            <w:gridSpan w:val="3"/>
            <w:vAlign w:val="center"/>
          </w:tcPr>
          <w:p>
            <w:pPr>
              <w:pStyle w:val="15"/>
              <w:numPr>
                <w:ilvl w:val="0"/>
                <w:numId w:val="0"/>
              </w:numPr>
              <w:rPr>
                <w:rFonts w:hint="eastAsia"/>
                <w:lang w:val="en-US" w:eastAsia="zh-CN"/>
              </w:rPr>
            </w:pPr>
            <w:r>
              <w:rPr>
                <w:rFonts w:hint="eastAsia"/>
                <w:lang w:val="en-US" w:eastAsia="zh-CN"/>
              </w:rPr>
              <w:t>资金</w:t>
            </w:r>
          </w:p>
          <w:p>
            <w:pPr>
              <w:pStyle w:val="15"/>
              <w:numPr>
                <w:ilvl w:val="0"/>
                <w:numId w:val="0"/>
              </w:numPr>
              <w:rPr>
                <w:rFonts w:hint="eastAsia"/>
                <w:lang w:val="en-US" w:eastAsia="zh-CN"/>
              </w:rPr>
            </w:pPr>
            <w:r>
              <w:rPr>
                <w:rFonts w:hint="eastAsia"/>
                <w:lang w:val="en-US" w:eastAsia="zh-CN"/>
              </w:rPr>
              <w:t>预算</w:t>
            </w:r>
          </w:p>
        </w:tc>
        <w:tc>
          <w:tcPr>
            <w:tcW w:w="1069" w:type="dxa"/>
            <w:vAlign w:val="center"/>
          </w:tcPr>
          <w:p>
            <w:pPr>
              <w:pStyle w:val="15"/>
              <w:numPr>
                <w:ilvl w:val="0"/>
                <w:numId w:val="0"/>
              </w:numPr>
              <w:rPr>
                <w:rFonts w:hint="eastAsia"/>
                <w:lang w:val="en-US" w:eastAsia="zh-CN"/>
              </w:rPr>
            </w:pPr>
            <w:r>
              <w:rPr>
                <w:rFonts w:hint="eastAsia"/>
                <w:lang w:val="en-US" w:eastAsia="zh-CN"/>
              </w:rPr>
              <w:t>资金</w:t>
            </w:r>
          </w:p>
          <w:p>
            <w:pPr>
              <w:pStyle w:val="15"/>
              <w:numPr>
                <w:ilvl w:val="0"/>
                <w:numId w:val="0"/>
              </w:numPr>
              <w:rPr>
                <w:rFonts w:hint="eastAsia"/>
                <w:lang w:val="en-US" w:eastAsia="zh-CN"/>
              </w:rPr>
            </w:pPr>
            <w:r>
              <w:rPr>
                <w:rFonts w:hint="eastAsia"/>
                <w:lang w:val="en-US" w:eastAsia="zh-CN"/>
              </w:rPr>
              <w:t>性质</w:t>
            </w:r>
          </w:p>
        </w:tc>
        <w:tc>
          <w:tcPr>
            <w:tcW w:w="1197" w:type="dxa"/>
            <w:gridSpan w:val="2"/>
            <w:vAlign w:val="center"/>
          </w:tcPr>
          <w:p>
            <w:pPr>
              <w:pStyle w:val="15"/>
              <w:numPr>
                <w:ilvl w:val="0"/>
                <w:numId w:val="0"/>
              </w:numPr>
              <w:rPr>
                <w:rFonts w:hint="eastAsia"/>
                <w:lang w:val="en-US" w:eastAsia="zh-CN"/>
              </w:rPr>
            </w:pPr>
            <w:r>
              <w:rPr>
                <w:rFonts w:hint="eastAsia"/>
                <w:lang w:val="en-US" w:eastAsia="zh-CN"/>
              </w:rPr>
              <w:t>国产/</w:t>
            </w:r>
          </w:p>
          <w:p>
            <w:pPr>
              <w:pStyle w:val="15"/>
              <w:numPr>
                <w:ilvl w:val="0"/>
                <w:numId w:val="0"/>
              </w:numPr>
              <w:rPr>
                <w:rFonts w:hint="eastAsia"/>
                <w:lang w:val="en-US" w:eastAsia="zh-CN"/>
              </w:rPr>
            </w:pPr>
            <w:r>
              <w:rPr>
                <w:rFonts w:hint="eastAsia"/>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lang w:val="en-US" w:eastAsia="zh-CN"/>
              </w:rPr>
            </w:pPr>
            <w:r>
              <w:rPr>
                <w:rFonts w:hint="eastAsia"/>
                <w:lang w:val="en-US" w:eastAsia="zh-CN"/>
              </w:rPr>
              <w:t>1</w:t>
            </w:r>
          </w:p>
        </w:tc>
        <w:tc>
          <w:tcPr>
            <w:tcW w:w="950" w:type="dxa"/>
            <w:vAlign w:val="center"/>
          </w:tcPr>
          <w:p>
            <w:pPr>
              <w:pStyle w:val="15"/>
              <w:numPr>
                <w:ilvl w:val="0"/>
                <w:numId w:val="0"/>
              </w:numPr>
              <w:rPr>
                <w:rFonts w:hint="eastAsia" w:eastAsia="宋体"/>
                <w:lang w:val="en-US" w:eastAsia="zh-CN"/>
              </w:rPr>
            </w:pPr>
            <w:r>
              <w:rPr>
                <w:rFonts w:hint="eastAsia" w:eastAsia="宋体"/>
                <w:lang w:val="en-US" w:eastAsia="zh-CN"/>
              </w:rPr>
              <w:t>1</w:t>
            </w:r>
          </w:p>
        </w:tc>
        <w:tc>
          <w:tcPr>
            <w:tcW w:w="2207" w:type="dxa"/>
            <w:vAlign w:val="center"/>
          </w:tcPr>
          <w:p>
            <w:pPr>
              <w:pStyle w:val="15"/>
              <w:numPr>
                <w:ilvl w:val="0"/>
                <w:numId w:val="0"/>
              </w:numPr>
              <w:rPr>
                <w:rFonts w:hint="eastAsia" w:eastAsia="宋体"/>
                <w:lang w:val="en-US" w:eastAsia="zh-CN"/>
              </w:rPr>
            </w:pPr>
            <w:r>
              <w:rPr>
                <w:rFonts w:hint="eastAsia"/>
                <w:lang w:val="en-US" w:eastAsia="zh-CN"/>
              </w:rPr>
              <w:t>飞利浦16排CT技术保（妇儿院区）</w:t>
            </w:r>
          </w:p>
        </w:tc>
        <w:tc>
          <w:tcPr>
            <w:tcW w:w="971" w:type="dxa"/>
            <w:gridSpan w:val="2"/>
            <w:vAlign w:val="center"/>
          </w:tcPr>
          <w:p>
            <w:pPr>
              <w:pStyle w:val="15"/>
              <w:numPr>
                <w:ilvl w:val="0"/>
                <w:numId w:val="0"/>
              </w:numPr>
              <w:rPr>
                <w:rFonts w:hint="eastAsia" w:eastAsia="宋体"/>
                <w:lang w:val="en-US" w:eastAsia="zh-CN"/>
              </w:rPr>
            </w:pPr>
            <w:r>
              <w:rPr>
                <w:rFonts w:hint="eastAsia" w:eastAsia="宋体"/>
                <w:lang w:val="en-US" w:eastAsia="zh-CN"/>
              </w:rPr>
              <w:t>台/年</w:t>
            </w:r>
          </w:p>
        </w:tc>
        <w:tc>
          <w:tcPr>
            <w:tcW w:w="886" w:type="dxa"/>
            <w:vAlign w:val="center"/>
          </w:tcPr>
          <w:p>
            <w:pPr>
              <w:pStyle w:val="15"/>
              <w:numPr>
                <w:ilvl w:val="0"/>
                <w:numId w:val="0"/>
              </w:numPr>
              <w:rPr>
                <w:rFonts w:hint="eastAsia" w:eastAsia="宋体"/>
                <w:lang w:val="en-US" w:eastAsia="zh-CN"/>
              </w:rPr>
            </w:pPr>
            <w:r>
              <w:rPr>
                <w:rFonts w:hint="eastAsia"/>
                <w:lang w:val="en-US" w:eastAsia="zh-CN"/>
              </w:rPr>
              <w:t>2</w:t>
            </w:r>
          </w:p>
        </w:tc>
        <w:tc>
          <w:tcPr>
            <w:tcW w:w="1075" w:type="dxa"/>
            <w:gridSpan w:val="3"/>
            <w:vAlign w:val="center"/>
          </w:tcPr>
          <w:p>
            <w:pPr>
              <w:pStyle w:val="15"/>
              <w:numPr>
                <w:ilvl w:val="0"/>
                <w:numId w:val="0"/>
              </w:numPr>
              <w:rPr>
                <w:rFonts w:hint="eastAsia" w:eastAsia="宋体"/>
                <w:lang w:val="en-US" w:eastAsia="zh-CN"/>
              </w:rPr>
            </w:pPr>
            <w:r>
              <w:rPr>
                <w:rFonts w:hint="eastAsia"/>
                <w:lang w:val="en-US" w:eastAsia="zh-CN"/>
              </w:rPr>
              <w:t>6.1万元</w:t>
            </w:r>
          </w:p>
        </w:tc>
        <w:tc>
          <w:tcPr>
            <w:tcW w:w="1069" w:type="dxa"/>
            <w:vAlign w:val="center"/>
          </w:tcPr>
          <w:p>
            <w:pPr>
              <w:pStyle w:val="15"/>
              <w:numPr>
                <w:ilvl w:val="0"/>
                <w:numId w:val="0"/>
              </w:numPr>
              <w:rPr>
                <w:rFonts w:hint="eastAsia" w:eastAsia="宋体"/>
                <w:lang w:val="en-US" w:eastAsia="zh-CN"/>
              </w:rPr>
            </w:pPr>
            <w:r>
              <w:rPr>
                <w:rFonts w:hint="eastAsia" w:eastAsia="宋体"/>
                <w:lang w:val="en-US" w:eastAsia="zh-CN"/>
              </w:rPr>
              <w:t>自筹</w:t>
            </w:r>
          </w:p>
        </w:tc>
        <w:tc>
          <w:tcPr>
            <w:tcW w:w="1197" w:type="dxa"/>
            <w:gridSpan w:val="2"/>
            <w:vAlign w:val="center"/>
          </w:tcPr>
          <w:p>
            <w:pPr>
              <w:pStyle w:val="15"/>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合计</w:t>
            </w:r>
          </w:p>
        </w:tc>
        <w:tc>
          <w:tcPr>
            <w:tcW w:w="2212" w:type="dxa"/>
            <w:gridSpan w:val="2"/>
            <w:vAlign w:val="center"/>
          </w:tcPr>
          <w:p>
            <w:pPr>
              <w:pStyle w:val="15"/>
              <w:numPr>
                <w:ilvl w:val="0"/>
                <w:numId w:val="0"/>
              </w:numPr>
              <w:rPr>
                <w:rFonts w:hint="eastAsia"/>
                <w:lang w:val="en-US" w:eastAsia="zh-CN"/>
              </w:rPr>
            </w:pPr>
          </w:p>
        </w:tc>
        <w:tc>
          <w:tcPr>
            <w:tcW w:w="966" w:type="dxa"/>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eastAsia="宋体"/>
                <w:lang w:val="en-US" w:eastAsia="zh-CN"/>
              </w:rPr>
              <w:t>台/</w:t>
            </w:r>
            <w:r>
              <w:rPr>
                <w:rFonts w:hint="eastAsia"/>
                <w:lang w:val="en-US" w:eastAsia="zh-CN"/>
              </w:rPr>
              <w:t>年</w:t>
            </w:r>
          </w:p>
        </w:tc>
        <w:tc>
          <w:tcPr>
            <w:tcW w:w="892" w:type="dxa"/>
            <w:gridSpan w:val="2"/>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2</w:t>
            </w:r>
          </w:p>
        </w:tc>
        <w:tc>
          <w:tcPr>
            <w:tcW w:w="1060" w:type="dxa"/>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6.1万元</w:t>
            </w:r>
          </w:p>
        </w:tc>
        <w:tc>
          <w:tcPr>
            <w:tcW w:w="1083" w:type="dxa"/>
            <w:gridSpan w:val="3"/>
            <w:vAlign w:val="center"/>
          </w:tcPr>
          <w:p>
            <w:pPr>
              <w:pStyle w:val="15"/>
              <w:numPr>
                <w:ilvl w:val="0"/>
                <w:numId w:val="0"/>
              </w:numPr>
              <w:rPr>
                <w:rFonts w:hint="eastAsia"/>
                <w:lang w:val="en-US" w:eastAsia="zh-CN"/>
              </w:rPr>
            </w:pPr>
          </w:p>
        </w:tc>
        <w:tc>
          <w:tcPr>
            <w:tcW w:w="1192" w:type="dxa"/>
            <w:vAlign w:val="center"/>
          </w:tcPr>
          <w:p>
            <w:pPr>
              <w:pStyle w:val="15"/>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备注</w:t>
            </w:r>
          </w:p>
        </w:tc>
        <w:tc>
          <w:tcPr>
            <w:tcW w:w="7405" w:type="dxa"/>
            <w:gridSpan w:val="10"/>
            <w:vAlign w:val="center"/>
          </w:tcPr>
          <w:p>
            <w:pPr>
              <w:pStyle w:val="15"/>
              <w:numPr>
                <w:ilvl w:val="0"/>
                <w:numId w:val="0"/>
              </w:numPr>
              <w:rPr>
                <w:rFonts w:hint="eastAsia"/>
                <w:lang w:val="en-US" w:eastAsia="zh-CN"/>
              </w:rPr>
            </w:pPr>
            <w:r>
              <w:rPr>
                <w:rFonts w:hint="eastAsia"/>
                <w:lang w:val="en-US" w:eastAsia="zh-CN"/>
              </w:rPr>
              <w:t>设备型号为飞利浦MX16-slice，共计两台</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三、技术要求：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保修期内每年至少提供4次设备维护保养，包含但不限于如下项目：设备清洁、性能测试及校准、必要的电气环境检测等，使之保持原厂QC标准或国家质量监督部门的标准，并提供保养清单。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2)</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每次维修保养更换配件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3)为本医院配置具备维修资质的固定工程师不少于2人，本设备维修经验不少于2年，需提供证明材料（培训证书）和承诺函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4)</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所换备件必须是全新合格的产品，并满足设备运行要求, 进口配件需提供商检及海关报关单等材料。因所换备件造成的设备故障及医院损失，由投标人全权负责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5)</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软硬件及工作站免费安全升级，并开放维修密码等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6)</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提供24小时远程技术支持及临床应用支持，签署由招标人提供的信息系统数据安全保密承诺书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7）更换维修备件需要院内工程师及科室主任在场拍照，更换维修备件超过三万元需要先招标后更换，特殊情况除外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8）如需更换备件，国内备件仓库有货的备件在2个工作日内送达医院，进口配件5个工作日送达；非标件和不可抗力除外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9）定期进行安全检查及质量保障，保证24h*365天维修热线连接；提供全国400热线服务电话</w:t>
      </w:r>
      <w:r>
        <w:rPr>
          <w:rFonts w:hint="eastAsia" w:ascii="宋体" w:hAnsi="宋体" w:cs="宋体"/>
          <w:kern w:val="2"/>
          <w:sz w:val="21"/>
          <w:szCs w:val="24"/>
          <w:lang w:val="en-US" w:eastAsia="zh-CN" w:bidi="ar-SA"/>
        </w:rPr>
        <w:t>（供应商需注明电话号码）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10）紧急人工和工程师现场紧急维修服务；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11）提供ISO9001和13485质量认证证书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12）工程师需配备有专用工具，工程师的工具符合国家检测和校准的规定（提供相关校准证明）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13）保修期最后一个月内更换的配件，中标公司应保证自更换之日起三个月内正常使用，如三个月内出现故障，由中标公司承担维修费用。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14）须有具备应用培训工程师且提供原厂认证的培训证书。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15） 对我院的维修工程师提供每年至少2人次的专业培训，并提供培训证明材料。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16）每年制定临床使用人员的使用维护培训计划，按计划进行培训并提供记录。</w:t>
      </w:r>
    </w:p>
    <w:p>
      <w:pPr>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cs="宋体"/>
                <w:kern w:val="2"/>
                <w:sz w:val="21"/>
                <w:szCs w:val="24"/>
                <w:lang w:val="en-US" w:eastAsia="zh-CN" w:bidi="ar-SA"/>
              </w:rPr>
              <w:t>20分钟内电话响应，2小时内工程师到达现场，一般故障24小时内维修完毕。如需外地专家支持，4小时内响应，24小时内到达现场。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auto"/>
                <w:sz w:val="21"/>
                <w:szCs w:val="21"/>
                <w:highlight w:val="none"/>
                <w:lang w:val="en-US" w:eastAsia="zh-CN"/>
              </w:rPr>
            </w:pPr>
            <w:r>
              <w:rPr>
                <w:rFonts w:hint="default" w:ascii="宋体" w:hAnsi="宋体" w:cs="宋体"/>
                <w:kern w:val="2"/>
                <w:sz w:val="21"/>
                <w:szCs w:val="24"/>
                <w:lang w:val="en-US" w:eastAsia="zh-CN" w:bidi="ar-SA"/>
              </w:rPr>
              <w:t>周一至周日，7天24小时包括法定节假日</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default" w:ascii="宋体" w:hAnsi="宋体" w:cs="宋体"/>
                <w:kern w:val="2"/>
                <w:sz w:val="21"/>
                <w:szCs w:val="24"/>
                <w:lang w:val="en-US" w:eastAsia="zh-CN" w:bidi="ar-SA"/>
              </w:rPr>
              <w:t>先服务后付款，服务六个月之后支付50%合同款，服务期满后支付余下50%合同款。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r>
              <w:rPr>
                <w:rFonts w:hint="eastAsia" w:cs="宋体"/>
                <w:sz w:val="21"/>
                <w:szCs w:val="21"/>
                <w:lang w:val="en-US" w:eastAsia="zh-CN"/>
              </w:rPr>
              <w:t>，投标人保证我院保修的设备正常开机率大于95% （一年按365天计算），且单次维修不能超过1天，否则设备维修占用日期每增加一天，保修时间往后顺延七天</w:t>
            </w:r>
            <w:r>
              <w:rPr>
                <w:rFonts w:hint="eastAsia" w:ascii="宋体" w:hAnsi="宋体" w:eastAsia="宋体" w:cs="宋体"/>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w:t>
            </w:r>
            <w:r>
              <w:rPr>
                <w:rFonts w:hint="eastAsia" w:cs="Times New Roman"/>
                <w:lang w:val="en-US" w:eastAsia="zh-CN"/>
              </w:rPr>
              <w:t>一</w:t>
            </w:r>
            <w:r>
              <w:rPr>
                <w:rFonts w:hint="eastAsia" w:ascii="Times New Roman" w:hAnsi="Times New Roman" w:eastAsia="宋体" w:cs="Times New Roman"/>
                <w:lang w:val="en-US" w:eastAsia="zh-CN"/>
              </w:rPr>
              <w:t>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p>
        </w:tc>
      </w:tr>
    </w:tbl>
    <w:p>
      <w:pPr>
        <w:rPr>
          <w:color w:val="auto"/>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5"/>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驻马店市中心医院飞利浦16排CT技术保（妇儿院区）项目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6.1万元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6.1万元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6.1万元</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 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 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 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 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4.5 特定资格要求：供应商须具有医疗器械经营许可证，是在中华人民共和国境内注册的设备原制造厂商或原制造厂商授权的单位或具备相关设备维修能力的单位（提供证明文件）。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完全满足招标文件第二章 采购需求 </w:t>
            </w:r>
            <w:r>
              <w:rPr>
                <w:rFonts w:hint="eastAsia" w:ascii="宋体" w:hAnsi="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制定的年度服务报告、维修报告、维保报告、巡查报告制度，设备常见故障分析及预防措施，设备维保应急响应方案。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分，具体、完善、合理性程度一般得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分，具体、完善、合理性程度差得1-</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3.备品备件</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（10分）</w:t>
            </w:r>
          </w:p>
        </w:tc>
        <w:tc>
          <w:tcPr>
            <w:tcW w:w="6770" w:type="dxa"/>
            <w:noWrap w:val="0"/>
            <w:vAlign w:val="center"/>
          </w:tcPr>
          <w:p>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b w:val="0"/>
                <w:bCs w:val="0"/>
                <w:color w:val="auto"/>
                <w:sz w:val="21"/>
                <w:szCs w:val="21"/>
                <w:highlight w:val="none"/>
                <w:lang w:val="en-US" w:eastAsia="zh-CN"/>
              </w:rPr>
              <w:t>针对本项目的备件库进行计分，根据备件库远近、备件种类及数量情况进行评分，备件库备件种类、数量及方便性完全满足采购人需求的，得 8-10 分；备件库备件种类、数量及方便性不能完全满足采购人需求的，得 4-7 分；备件库备件种类、数量及方便性不满足采购人需求的，得 1-3 分。 （需提供备件库租赁或买卖合同，详细备件报价清单）。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val="en-US" w:eastAsia="zh-CN"/>
              </w:rPr>
              <w:t>完全满足采购需求的得</w:t>
            </w:r>
            <w:r>
              <w:rPr>
                <w:rFonts w:hint="eastAsia" w:ascii="宋体" w:hAnsi="宋体" w:cs="宋体"/>
                <w:lang w:val="en-US" w:eastAsia="zh-CN"/>
              </w:rPr>
              <w:t>8</w:t>
            </w:r>
            <w:r>
              <w:rPr>
                <w:rFonts w:hint="eastAsia" w:ascii="宋体" w:hAnsi="宋体" w:eastAsia="宋体" w:cs="宋体"/>
                <w:lang w:val="en-US" w:eastAsia="zh-CN"/>
              </w:rPr>
              <w:t>-10分；基本满足的得4-</w:t>
            </w:r>
            <w:r>
              <w:rPr>
                <w:rFonts w:hint="eastAsia" w:ascii="宋体" w:hAnsi="宋体" w:cs="宋体"/>
                <w:lang w:val="en-US" w:eastAsia="zh-CN"/>
              </w:rPr>
              <w:t>7</w:t>
            </w:r>
            <w:r>
              <w:rPr>
                <w:rFonts w:hint="eastAsia" w:ascii="宋体" w:hAnsi="宋体" w:eastAsia="宋体" w:cs="宋体"/>
                <w:lang w:val="en-US" w:eastAsia="zh-CN"/>
              </w:rPr>
              <w:t>分；一般满足采购的得1-3分。缺项得0分。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w:t>
            </w:r>
            <w:r>
              <w:rPr>
                <w:rFonts w:hint="eastAsia" w:ascii="宋体" w:hAnsi="宋体" w:cs="宋体"/>
                <w:lang w:val="en-US" w:eastAsia="zh-CN"/>
              </w:rPr>
              <w:t>8</w:t>
            </w:r>
            <w:r>
              <w:rPr>
                <w:rFonts w:hint="eastAsia" w:ascii="宋体" w:hAnsi="宋体" w:eastAsia="宋体" w:cs="宋体"/>
              </w:rPr>
              <w:t>-1</w:t>
            </w:r>
            <w:r>
              <w:rPr>
                <w:rFonts w:hint="eastAsia" w:ascii="宋体" w:hAnsi="宋体" w:cs="宋体"/>
                <w:lang w:val="en-US" w:eastAsia="zh-CN"/>
              </w:rPr>
              <w:t>0</w:t>
            </w:r>
            <w:r>
              <w:rPr>
                <w:rFonts w:hint="eastAsia" w:ascii="宋体" w:hAnsi="宋体" w:eastAsia="宋体" w:cs="宋体"/>
              </w:rPr>
              <w:t>分，具体、完善、合理性程度一般得</w:t>
            </w: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分，具体、完善、合理性程度差得1-</w:t>
            </w:r>
            <w:r>
              <w:rPr>
                <w:rFonts w:hint="eastAsia" w:ascii="宋体" w:hAnsi="宋体" w:cs="宋体"/>
                <w:lang w:val="en-US" w:eastAsia="zh-CN"/>
              </w:rPr>
              <w:t>3</w:t>
            </w:r>
            <w:r>
              <w:rPr>
                <w:rFonts w:hint="eastAsia" w:ascii="宋体" w:hAnsi="宋体" w:eastAsia="宋体" w:cs="宋体"/>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4.其他优惠承诺</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color w:val="auto"/>
                <w:kern w:val="2"/>
                <w:sz w:val="21"/>
                <w:szCs w:val="21"/>
                <w:highlight w:val="none"/>
                <w:lang w:val="en-US" w:eastAsia="zh-CN" w:bidi="ar-SA"/>
              </w:rPr>
              <w:t>根据供应商提出的有利于采购人的优惠条件及优惠承诺进行综合对比，优惠力度强得5-6分，优惠力度一般得3-4分，优惠力度差得1-2分，缺项得0分。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256519703"/>
      <w:bookmarkStart w:id="44" w:name="_Toc326786897"/>
    </w:p>
    <w:p>
      <w:pPr>
        <w:pStyle w:val="2"/>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2"/>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rFonts w:hint="default"/>
          <w:color w:val="auto"/>
          <w:sz w:val="24"/>
          <w:highlight w:val="none"/>
          <w:lang w:val="en-US"/>
        </w:rPr>
      </w:pPr>
      <w:bookmarkStart w:id="51" w:name="_Toc9579"/>
      <w:r>
        <w:rPr>
          <w:rFonts w:hint="eastAsia"/>
          <w:color w:val="auto"/>
          <w:sz w:val="24"/>
          <w:highlight w:val="none"/>
        </w:rPr>
        <w:t xml:space="preserve">附件4 </w:t>
      </w:r>
      <w:bookmarkEnd w:id="51"/>
      <w:r>
        <w:rPr>
          <w:rFonts w:hint="eastAsia"/>
          <w:color w:val="auto"/>
          <w:sz w:val="24"/>
          <w:highlight w:val="none"/>
          <w:lang w:val="en-US" w:eastAsia="zh-CN"/>
        </w:rPr>
        <w:t>报价明细表</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2"/>
    </w:p>
    <w:p>
      <w:pPr>
        <w:snapToGrid w:val="0"/>
        <w:spacing w:line="360" w:lineRule="auto"/>
        <w:ind w:firstLine="480" w:firstLineChars="200"/>
        <w:rPr>
          <w:rFonts w:hint="eastAsia" w:eastAsia="宋体"/>
          <w:color w:val="auto"/>
          <w:sz w:val="24"/>
          <w:highlight w:val="none"/>
          <w:lang w:val="en-US" w:eastAsia="zh-CN"/>
        </w:rPr>
      </w:pPr>
      <w:bookmarkStart w:id="53" w:name="_Toc6234"/>
      <w:r>
        <w:rPr>
          <w:rFonts w:hint="eastAsia"/>
          <w:color w:val="auto"/>
          <w:sz w:val="24"/>
          <w:highlight w:val="none"/>
        </w:rPr>
        <w:t>附件6 商务</w:t>
      </w:r>
      <w:bookmarkEnd w:id="53"/>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4"/>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5"/>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附件9 证明文件</w:t>
      </w:r>
      <w:bookmarkEnd w:id="56"/>
    </w:p>
    <w:p>
      <w:pPr>
        <w:snapToGrid w:val="0"/>
        <w:spacing w:line="360" w:lineRule="auto"/>
        <w:ind w:firstLine="480" w:firstLineChars="200"/>
        <w:rPr>
          <w:rFonts w:hint="eastAsia"/>
          <w:color w:val="auto"/>
          <w:sz w:val="24"/>
          <w:highlight w:val="none"/>
        </w:rPr>
      </w:pPr>
      <w:bookmarkStart w:id="57" w:name="_Toc23116"/>
      <w:r>
        <w:rPr>
          <w:rFonts w:hint="eastAsia"/>
          <w:color w:val="auto"/>
          <w:sz w:val="24"/>
          <w:highlight w:val="none"/>
        </w:rPr>
        <w:t>附件10 供应商承诺书（格式）</w:t>
      </w:r>
      <w:bookmarkEnd w:id="57"/>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6"/>
        <w:rPr>
          <w:color w:val="auto"/>
          <w:highlight w:val="none"/>
        </w:rPr>
      </w:pPr>
      <w:bookmarkStart w:id="58" w:name="_Toc31798"/>
      <w:bookmarkStart w:id="59" w:name="_Toc24743"/>
      <w:r>
        <w:rPr>
          <w:rFonts w:hint="eastAsia"/>
          <w:color w:val="auto"/>
          <w:highlight w:val="none"/>
        </w:rPr>
        <w:t>附件1               投标文件封面（格式）</w:t>
      </w:r>
      <w:bookmarkEnd w:id="58"/>
      <w:bookmarkEnd w:id="59"/>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6"/>
        <w:rPr>
          <w:color w:val="auto"/>
          <w:highlight w:val="none"/>
        </w:rPr>
      </w:pPr>
      <w:bookmarkStart w:id="60" w:name="_Toc14560"/>
      <w:bookmarkStart w:id="61" w:name="_Toc8818"/>
      <w:r>
        <w:rPr>
          <w:rFonts w:hint="eastAsia"/>
          <w:color w:val="auto"/>
          <w:highlight w:val="none"/>
        </w:rPr>
        <w:t>附件2               投  标  书（格式）</w:t>
      </w:r>
      <w:bookmarkEnd w:id="60"/>
      <w:bookmarkEnd w:id="61"/>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6"/>
        <w:spacing w:before="20" w:after="20"/>
        <w:rPr>
          <w:color w:val="auto"/>
          <w:highlight w:val="none"/>
        </w:rPr>
      </w:pPr>
      <w:bookmarkStart w:id="62" w:name="_Toc7838"/>
      <w:r>
        <w:rPr>
          <w:rFonts w:hint="eastAsia"/>
          <w:color w:val="auto"/>
          <w:highlight w:val="none"/>
        </w:rPr>
        <w:t>附件3               开标一览表</w:t>
      </w:r>
      <w:bookmarkEnd w:id="62"/>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ascii="宋体" w:hAnsi="宋体"/>
                <w:color w:val="auto"/>
                <w:sz w:val="21"/>
                <w:szCs w:val="21"/>
                <w:highlight w:val="none"/>
                <w:lang w:val="en-US" w:eastAsia="zh-CN"/>
              </w:rPr>
              <w:t xml:space="preserve"> </w:t>
            </w:r>
            <w:r>
              <w:rPr>
                <w:rFonts w:hint="eastAsia"/>
                <w:sz w:val="21"/>
                <w:szCs w:val="21"/>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3" w:name="_Toc20877"/>
      <w:bookmarkStart w:id="64" w:name="_Toc11620"/>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3"/>
      <w:bookmarkEnd w:id="64"/>
    </w:p>
    <w:p>
      <w:pPr>
        <w:spacing w:line="360" w:lineRule="auto"/>
        <w:ind w:firstLine="420" w:firstLineChars="200"/>
        <w:jc w:val="center"/>
        <w:rPr>
          <w:rFonts w:ascii="宋体" w:hAnsi="宋体"/>
          <w:color w:val="auto"/>
          <w:szCs w:val="21"/>
          <w:highlight w:val="none"/>
          <w:u w:val="single"/>
        </w:rPr>
      </w:pPr>
      <w:bookmarkStart w:id="65" w:name="_Toc625"/>
      <w:bookmarkStart w:id="66" w:name="_Toc12222"/>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5"/>
      <w:bookmarkEnd w:id="66"/>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67" w:name="_Toc1330"/>
      <w:bookmarkStart w:id="68" w:name="_Toc9950"/>
      <w:r>
        <w:rPr>
          <w:rFonts w:hint="eastAsia" w:ascii="宋体" w:hAnsi="宋体"/>
          <w:color w:val="auto"/>
          <w:szCs w:val="21"/>
          <w:highlight w:val="none"/>
        </w:rPr>
        <w:t>年  月  日</w:t>
      </w:r>
      <w:bookmarkEnd w:id="67"/>
      <w:bookmarkEnd w:id="68"/>
    </w:p>
    <w:p>
      <w:pPr>
        <w:rPr>
          <w:color w:val="auto"/>
          <w:highlight w:val="none"/>
        </w:rPr>
      </w:pPr>
    </w:p>
    <w:bookmarkEnd w:id="43"/>
    <w:bookmarkEnd w:id="44"/>
    <w:p>
      <w:pPr>
        <w:spacing w:before="20" w:after="20"/>
        <w:outlineLvl w:val="9"/>
        <w:rPr>
          <w:rFonts w:hint="eastAsia" w:eastAsia="黑体"/>
          <w:color w:val="000000" w:themeColor="text1"/>
          <w:highlight w:val="none"/>
          <w:lang w:eastAsia="zh-CN"/>
          <w14:textFill>
            <w14:solidFill>
              <w14:schemeClr w14:val="tx1"/>
            </w14:solidFill>
          </w14:textFill>
        </w:rPr>
      </w:pPr>
      <w:bookmarkStart w:id="69" w:name="_Toc24984"/>
      <w:bookmarkStart w:id="70" w:name="_Toc2200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69"/>
      <w:bookmarkEnd w:id="70"/>
      <w:r>
        <w:rPr>
          <w:rFonts w:hint="eastAsia"/>
          <w:color w:val="000000" w:themeColor="text1"/>
          <w:highlight w:val="none"/>
          <w14:textFill>
            <w14:solidFill>
              <w14:schemeClr w14:val="tx1"/>
            </w14:solidFill>
          </w14:textFill>
        </w:rPr>
        <w:t>报价明细表</w:t>
      </w:r>
    </w:p>
    <w:p>
      <w:pPr>
        <w:widowControl/>
        <w:wordWrap w:val="0"/>
        <w:snapToGrid w:val="0"/>
        <w:spacing w:before="50" w:after="50"/>
        <w:ind w:left="88" w:leftChars="42" w:right="-817" w:rightChars="-389" w:firstLine="4161" w:firstLineChars="1734"/>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w:t>
            </w:r>
            <w:r>
              <w:rPr>
                <w:rFonts w:hint="eastAsia" w:ascii="宋体" w:hAnsi="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cs="宋体"/>
                <w:color w:val="000000" w:themeColor="text1"/>
                <w:spacing w:val="20"/>
                <w:kern w:val="0"/>
                <w:sz w:val="24"/>
                <w:highlight w:val="none"/>
                <w14:textFill>
                  <w14:solidFill>
                    <w14:schemeClr w14:val="tx1"/>
                  </w14:solidFill>
                </w14:textFill>
              </w:rPr>
              <w:t>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kern w:val="0"/>
                <w:sz w:val="24"/>
                <w:szCs w:val="21"/>
                <w:highlight w:val="none"/>
                <w14:textFill>
                  <w14:solidFill>
                    <w14:schemeClr w14:val="tx1"/>
                  </w14:solidFill>
                </w14:textFill>
              </w:rPr>
            </w:pP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shd w:val="clear" w:color="auto" w:fill="FFFFFF"/>
        <w:spacing w:line="360" w:lineRule="auto"/>
        <w:ind w:left="1418" w:hanging="567"/>
        <w:jc w:val="both"/>
        <w:rPr>
          <w:rFonts w:hint="eastAsia" w:ascii="宋体" w:hAnsi="宋体" w:cs="宋体"/>
          <w:color w:val="auto"/>
          <w:kern w:val="0"/>
          <w:sz w:val="24"/>
        </w:rPr>
      </w:pPr>
    </w:p>
    <w:p>
      <w:pPr>
        <w:pStyle w:val="30"/>
        <w:rPr>
          <w:rFonts w:hint="eastAsia"/>
        </w:rPr>
      </w:pPr>
    </w:p>
    <w:p>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w:t>
      </w:r>
      <w:r>
        <w:rPr>
          <w:rFonts w:hint="eastAsia" w:ascii="宋体" w:hAnsi="宋体" w:cs="宋体"/>
          <w:color w:val="auto"/>
          <w:kern w:val="0"/>
          <w:sz w:val="24"/>
          <w:u w:val="single"/>
        </w:rPr>
        <w:t xml:space="preserve">              </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pPr>
        <w:widowControl/>
        <w:wordWrap w:val="0"/>
        <w:spacing w:line="460" w:lineRule="exact"/>
        <w:ind w:firstLine="4800" w:firstLineChars="2000"/>
        <w:jc w:val="left"/>
        <w:rPr>
          <w:color w:val="auto"/>
          <w:highlight w:val="none"/>
        </w:rPr>
      </w:pPr>
      <w:r>
        <w:rPr>
          <w:rFonts w:hint="eastAsia" w:ascii="宋体" w:hAnsi="宋体" w:cs="宋体"/>
          <w:color w:val="000000" w:themeColor="text1"/>
          <w:kern w:val="0"/>
          <w:sz w:val="24"/>
          <w:highlight w:val="none"/>
          <w14:textFill>
            <w14:solidFill>
              <w14:schemeClr w14:val="tx1"/>
            </w14:solidFill>
          </w14:textFill>
        </w:rPr>
        <w:t xml:space="preserve">     </w:t>
      </w:r>
    </w:p>
    <w:p>
      <w:pPr>
        <w:pStyle w:val="6"/>
        <w:rPr>
          <w:rFonts w:hint="eastAsia" w:eastAsia="黑体"/>
          <w:color w:val="auto"/>
          <w:highlight w:val="none"/>
          <w:lang w:val="en-US" w:eastAsia="zh-CN"/>
        </w:rPr>
      </w:pPr>
      <w:r>
        <w:rPr>
          <w:rFonts w:hint="eastAsia"/>
          <w:color w:val="auto"/>
          <w:highlight w:val="none"/>
        </w:rPr>
        <w:br w:type="page"/>
      </w:r>
      <w:bookmarkStart w:id="71" w:name="_Toc15804"/>
      <w:bookmarkStart w:id="72" w:name="_Toc226"/>
      <w:r>
        <w:rPr>
          <w:rFonts w:hint="eastAsia"/>
          <w:color w:val="auto"/>
          <w:highlight w:val="none"/>
        </w:rPr>
        <w:t xml:space="preserve">附件5         </w:t>
      </w:r>
      <w:bookmarkEnd w:id="71"/>
      <w:bookmarkEnd w:id="7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3" w:name="_Toc20420"/>
      <w:bookmarkStart w:id="74" w:name="_Toc29960"/>
      <w:r>
        <w:rPr>
          <w:rFonts w:hint="eastAsia" w:ascii="Arial" w:hAnsi="Arial" w:eastAsia="新宋体"/>
          <w:b/>
          <w:color w:val="auto"/>
          <w:sz w:val="28"/>
          <w:highlight w:val="none"/>
        </w:rPr>
        <w:t>附件6               商务响应</w:t>
      </w:r>
      <w:bookmarkEnd w:id="73"/>
      <w:bookmarkEnd w:id="74"/>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75" w:name="_Toc28621"/>
      <w:bookmarkStart w:id="76"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75"/>
      <w:bookmarkEnd w:id="76"/>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7" w:name="_Toc13976"/>
      <w:bookmarkStart w:id="78" w:name="_Toc30519"/>
      <w:r>
        <w:rPr>
          <w:rFonts w:hint="eastAsia" w:ascii="Arial" w:hAnsi="Arial" w:eastAsia="新宋体"/>
          <w:b/>
          <w:color w:val="auto"/>
          <w:sz w:val="28"/>
          <w:highlight w:val="none"/>
        </w:rPr>
        <w:t>附件8               法定代表人授权书（格式）</w:t>
      </w:r>
      <w:bookmarkEnd w:id="77"/>
      <w:bookmarkEnd w:id="78"/>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9" w:name="_Toc24693"/>
      <w:bookmarkStart w:id="80" w:name="_Toc18105"/>
      <w:r>
        <w:rPr>
          <w:rFonts w:hint="eastAsia" w:ascii="Arial" w:hAnsi="Arial" w:eastAsia="新宋体"/>
          <w:b/>
          <w:color w:val="auto"/>
          <w:sz w:val="28"/>
          <w:highlight w:val="none"/>
        </w:rPr>
        <w:t>附件9               证明文件</w:t>
      </w:r>
      <w:bookmarkEnd w:id="79"/>
      <w:bookmarkEnd w:id="80"/>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0"/>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1" w:name="_Toc17966"/>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0"/>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0"/>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2" w:name="_Toc12888"/>
      <w:bookmarkStart w:id="83" w:name="_Toc13726"/>
      <w:r>
        <w:rPr>
          <w:rFonts w:hint="eastAsia" w:ascii="宋体" w:hAnsi="宋体" w:cs="Lucida Sans Unicode"/>
          <w:b/>
          <w:color w:val="auto"/>
          <w:kern w:val="0"/>
          <w:sz w:val="28"/>
          <w:szCs w:val="28"/>
          <w:highlight w:val="none"/>
        </w:rPr>
        <w:t xml:space="preserve">附件10        </w:t>
      </w:r>
      <w:bookmarkEnd w:id="81"/>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2"/>
      <w:bookmarkEnd w:id="83"/>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4" w:name="_Toc25094"/>
      <w:bookmarkStart w:id="85" w:name="_Toc233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4"/>
      <w:bookmarkEnd w:id="85"/>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ascii="宋体" w:hAnsi="宋体" w:cs="宋体"/>
        <w:color w:val="auto"/>
        <w:szCs w:val="21"/>
        <w:highlight w:val="none"/>
        <w:shd w:val="clear" w:color="auto" w:fill="FFFFFF"/>
        <w:lang w:val="en-US" w:eastAsia="zh-CN"/>
      </w:rPr>
      <w:t>驻马店市中心医院飞利浦16排CT技术保（妇儿院区）项目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C23EEE"/>
    <w:rsid w:val="05D53002"/>
    <w:rsid w:val="05D75738"/>
    <w:rsid w:val="05EB110D"/>
    <w:rsid w:val="05EC445F"/>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72793"/>
    <w:rsid w:val="08695E80"/>
    <w:rsid w:val="087C4541"/>
    <w:rsid w:val="087E5595"/>
    <w:rsid w:val="08BC0A60"/>
    <w:rsid w:val="08C52D6F"/>
    <w:rsid w:val="08EF0201"/>
    <w:rsid w:val="08F41DE8"/>
    <w:rsid w:val="094840A2"/>
    <w:rsid w:val="09737462"/>
    <w:rsid w:val="098E31D7"/>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AC324F"/>
    <w:rsid w:val="0BC11EE9"/>
    <w:rsid w:val="0BF16C73"/>
    <w:rsid w:val="0BF72F1E"/>
    <w:rsid w:val="0C3152C1"/>
    <w:rsid w:val="0C3957A5"/>
    <w:rsid w:val="0C507E2F"/>
    <w:rsid w:val="0C626DA7"/>
    <w:rsid w:val="0C6876AE"/>
    <w:rsid w:val="0C71390F"/>
    <w:rsid w:val="0C720EC8"/>
    <w:rsid w:val="0C942042"/>
    <w:rsid w:val="0C9D50DC"/>
    <w:rsid w:val="0CA5271D"/>
    <w:rsid w:val="0CAC4D10"/>
    <w:rsid w:val="0CB657C6"/>
    <w:rsid w:val="0CC72121"/>
    <w:rsid w:val="0CEE5A21"/>
    <w:rsid w:val="0D05268E"/>
    <w:rsid w:val="0D0646E7"/>
    <w:rsid w:val="0D0C38CA"/>
    <w:rsid w:val="0D206810"/>
    <w:rsid w:val="0D735465"/>
    <w:rsid w:val="0DC577E0"/>
    <w:rsid w:val="0DDC6319"/>
    <w:rsid w:val="0DFE4F67"/>
    <w:rsid w:val="0E0C0D4C"/>
    <w:rsid w:val="0E115DA1"/>
    <w:rsid w:val="0E162D6D"/>
    <w:rsid w:val="0E541CA2"/>
    <w:rsid w:val="0E594756"/>
    <w:rsid w:val="0E95596D"/>
    <w:rsid w:val="0EAE6205"/>
    <w:rsid w:val="0EAE6579"/>
    <w:rsid w:val="0EAF71BF"/>
    <w:rsid w:val="0ECE6257"/>
    <w:rsid w:val="0EE4129D"/>
    <w:rsid w:val="0EFB1C72"/>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2E1DCF"/>
    <w:rsid w:val="113329E7"/>
    <w:rsid w:val="113F294C"/>
    <w:rsid w:val="11437C85"/>
    <w:rsid w:val="11575085"/>
    <w:rsid w:val="1166372C"/>
    <w:rsid w:val="11700D10"/>
    <w:rsid w:val="1178125A"/>
    <w:rsid w:val="118441E0"/>
    <w:rsid w:val="1196056D"/>
    <w:rsid w:val="11AE4CBE"/>
    <w:rsid w:val="11D34654"/>
    <w:rsid w:val="12010480"/>
    <w:rsid w:val="120E707F"/>
    <w:rsid w:val="121D0051"/>
    <w:rsid w:val="12413D84"/>
    <w:rsid w:val="127A7D1C"/>
    <w:rsid w:val="12836D8B"/>
    <w:rsid w:val="12AB0349"/>
    <w:rsid w:val="12B66520"/>
    <w:rsid w:val="12CD57F1"/>
    <w:rsid w:val="12CE5941"/>
    <w:rsid w:val="12CE7AFA"/>
    <w:rsid w:val="12D67466"/>
    <w:rsid w:val="13036052"/>
    <w:rsid w:val="13272A5D"/>
    <w:rsid w:val="13493108"/>
    <w:rsid w:val="134A4EBA"/>
    <w:rsid w:val="13733928"/>
    <w:rsid w:val="13857CA0"/>
    <w:rsid w:val="13920D68"/>
    <w:rsid w:val="139C16C9"/>
    <w:rsid w:val="13A5238E"/>
    <w:rsid w:val="13B63CE1"/>
    <w:rsid w:val="13BC6684"/>
    <w:rsid w:val="13C72B3A"/>
    <w:rsid w:val="13DF575E"/>
    <w:rsid w:val="13E470BD"/>
    <w:rsid w:val="13EE3A98"/>
    <w:rsid w:val="13F3280A"/>
    <w:rsid w:val="142123F7"/>
    <w:rsid w:val="142A11D8"/>
    <w:rsid w:val="144B544C"/>
    <w:rsid w:val="145B7B45"/>
    <w:rsid w:val="14717443"/>
    <w:rsid w:val="148D52E3"/>
    <w:rsid w:val="14992B90"/>
    <w:rsid w:val="14AF1856"/>
    <w:rsid w:val="14AF19A3"/>
    <w:rsid w:val="14B53957"/>
    <w:rsid w:val="14C36CD2"/>
    <w:rsid w:val="14C53ECE"/>
    <w:rsid w:val="14CF6CB0"/>
    <w:rsid w:val="14DC5FE6"/>
    <w:rsid w:val="14E002E6"/>
    <w:rsid w:val="14FC36BD"/>
    <w:rsid w:val="14FF5EA7"/>
    <w:rsid w:val="151E3A0F"/>
    <w:rsid w:val="152534E9"/>
    <w:rsid w:val="153A36AA"/>
    <w:rsid w:val="15477903"/>
    <w:rsid w:val="1557566D"/>
    <w:rsid w:val="15811F1B"/>
    <w:rsid w:val="15A30135"/>
    <w:rsid w:val="15A34015"/>
    <w:rsid w:val="15BB487B"/>
    <w:rsid w:val="15CE086D"/>
    <w:rsid w:val="15E2236F"/>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793FC0"/>
    <w:rsid w:val="179F2E61"/>
    <w:rsid w:val="17BE19D3"/>
    <w:rsid w:val="17C227C0"/>
    <w:rsid w:val="17D66D7C"/>
    <w:rsid w:val="17EE5BFF"/>
    <w:rsid w:val="18097740"/>
    <w:rsid w:val="184055B9"/>
    <w:rsid w:val="184A2082"/>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100305C"/>
    <w:rsid w:val="210F579E"/>
    <w:rsid w:val="212550B5"/>
    <w:rsid w:val="21592B62"/>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933A2F"/>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5029E3"/>
    <w:rsid w:val="29543A59"/>
    <w:rsid w:val="2969197F"/>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25191"/>
    <w:rsid w:val="2CAC022C"/>
    <w:rsid w:val="2CC11807"/>
    <w:rsid w:val="2CF16074"/>
    <w:rsid w:val="2CF81D1B"/>
    <w:rsid w:val="2D3F2453"/>
    <w:rsid w:val="2D835174"/>
    <w:rsid w:val="2D9331F9"/>
    <w:rsid w:val="2DD90B7B"/>
    <w:rsid w:val="2DDD3FC1"/>
    <w:rsid w:val="2DF701D8"/>
    <w:rsid w:val="2DF803A0"/>
    <w:rsid w:val="2DF970A1"/>
    <w:rsid w:val="2E085834"/>
    <w:rsid w:val="2E1034F8"/>
    <w:rsid w:val="2E120D8E"/>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2F78E9"/>
    <w:rsid w:val="30662043"/>
    <w:rsid w:val="30B8125D"/>
    <w:rsid w:val="30BB3FF3"/>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D0FF2"/>
    <w:rsid w:val="3B521A18"/>
    <w:rsid w:val="3B8D2B96"/>
    <w:rsid w:val="3B923660"/>
    <w:rsid w:val="3BCA44BE"/>
    <w:rsid w:val="3C061F3A"/>
    <w:rsid w:val="3C0A04F9"/>
    <w:rsid w:val="3C495480"/>
    <w:rsid w:val="3C4C3A42"/>
    <w:rsid w:val="3C6F0167"/>
    <w:rsid w:val="3C71667B"/>
    <w:rsid w:val="3C914F3B"/>
    <w:rsid w:val="3CC17F13"/>
    <w:rsid w:val="3CD50B40"/>
    <w:rsid w:val="3CE320A3"/>
    <w:rsid w:val="3CE9196C"/>
    <w:rsid w:val="3CF15105"/>
    <w:rsid w:val="3D0C04B9"/>
    <w:rsid w:val="3D1414C5"/>
    <w:rsid w:val="3D1C763E"/>
    <w:rsid w:val="3D201AA5"/>
    <w:rsid w:val="3D2B37EA"/>
    <w:rsid w:val="3D2F7FF3"/>
    <w:rsid w:val="3D3D1507"/>
    <w:rsid w:val="3D62085B"/>
    <w:rsid w:val="3D7B4622"/>
    <w:rsid w:val="3D8E5820"/>
    <w:rsid w:val="3D942E29"/>
    <w:rsid w:val="3DA53531"/>
    <w:rsid w:val="3DB54E0C"/>
    <w:rsid w:val="3DB900C1"/>
    <w:rsid w:val="3DE91725"/>
    <w:rsid w:val="3DF159B1"/>
    <w:rsid w:val="3E1A106E"/>
    <w:rsid w:val="3E36303B"/>
    <w:rsid w:val="3E526044"/>
    <w:rsid w:val="3E6C2B3A"/>
    <w:rsid w:val="3E8C5311"/>
    <w:rsid w:val="3E8E7E55"/>
    <w:rsid w:val="3EB61473"/>
    <w:rsid w:val="3EC66011"/>
    <w:rsid w:val="3ED75B7F"/>
    <w:rsid w:val="3F315E6B"/>
    <w:rsid w:val="3F5175E2"/>
    <w:rsid w:val="3F56276A"/>
    <w:rsid w:val="3F6C10E0"/>
    <w:rsid w:val="3F924376"/>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76A14"/>
    <w:rsid w:val="40991379"/>
    <w:rsid w:val="409B3C3D"/>
    <w:rsid w:val="40CA2D20"/>
    <w:rsid w:val="40F701DF"/>
    <w:rsid w:val="40FD480A"/>
    <w:rsid w:val="412A32F8"/>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392A13"/>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BF7E28"/>
    <w:rsid w:val="46C3037C"/>
    <w:rsid w:val="46FF15E0"/>
    <w:rsid w:val="4700581C"/>
    <w:rsid w:val="4702516A"/>
    <w:rsid w:val="47414E96"/>
    <w:rsid w:val="474A4B33"/>
    <w:rsid w:val="47665A15"/>
    <w:rsid w:val="47677941"/>
    <w:rsid w:val="477F1660"/>
    <w:rsid w:val="4788232A"/>
    <w:rsid w:val="478B0398"/>
    <w:rsid w:val="478F5D0B"/>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8E1714C"/>
    <w:rsid w:val="492108CC"/>
    <w:rsid w:val="49413F52"/>
    <w:rsid w:val="494F6304"/>
    <w:rsid w:val="49E36EF3"/>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AFA2F07"/>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F0082"/>
    <w:rsid w:val="4D952FD9"/>
    <w:rsid w:val="4D970662"/>
    <w:rsid w:val="4DAE4F50"/>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880069"/>
    <w:rsid w:val="4EB23220"/>
    <w:rsid w:val="4F0773B4"/>
    <w:rsid w:val="4F307BB1"/>
    <w:rsid w:val="4F3D562D"/>
    <w:rsid w:val="4F5C4EE0"/>
    <w:rsid w:val="4F6E1972"/>
    <w:rsid w:val="4F943166"/>
    <w:rsid w:val="4FBA02A1"/>
    <w:rsid w:val="4FE7106E"/>
    <w:rsid w:val="50053943"/>
    <w:rsid w:val="50374A3C"/>
    <w:rsid w:val="50550E55"/>
    <w:rsid w:val="508F1684"/>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72D40"/>
    <w:rsid w:val="53AB7F1F"/>
    <w:rsid w:val="53AC6F7B"/>
    <w:rsid w:val="53EB297B"/>
    <w:rsid w:val="53EC4BF7"/>
    <w:rsid w:val="53F758A1"/>
    <w:rsid w:val="540D5A7F"/>
    <w:rsid w:val="542E2BC2"/>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D2975"/>
    <w:rsid w:val="585F64F9"/>
    <w:rsid w:val="587E3341"/>
    <w:rsid w:val="587F428B"/>
    <w:rsid w:val="58C85C32"/>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042FB1"/>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DF7832"/>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06A6A"/>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CB20F7"/>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BA4969"/>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99044B"/>
    <w:rsid w:val="709D518F"/>
    <w:rsid w:val="70C759D3"/>
    <w:rsid w:val="70CF2B23"/>
    <w:rsid w:val="70D70CB1"/>
    <w:rsid w:val="710952C1"/>
    <w:rsid w:val="71452CD8"/>
    <w:rsid w:val="7158683A"/>
    <w:rsid w:val="715B2F52"/>
    <w:rsid w:val="7167680B"/>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3A6A13"/>
    <w:rsid w:val="74676A28"/>
    <w:rsid w:val="747E40B6"/>
    <w:rsid w:val="74AC3224"/>
    <w:rsid w:val="74B21065"/>
    <w:rsid w:val="74BB2C83"/>
    <w:rsid w:val="74C33758"/>
    <w:rsid w:val="74D3353D"/>
    <w:rsid w:val="74DE4E5F"/>
    <w:rsid w:val="74EB54AB"/>
    <w:rsid w:val="74FF6D43"/>
    <w:rsid w:val="750201A2"/>
    <w:rsid w:val="751A76AF"/>
    <w:rsid w:val="75250574"/>
    <w:rsid w:val="7550443E"/>
    <w:rsid w:val="755F0BCC"/>
    <w:rsid w:val="756F17F9"/>
    <w:rsid w:val="75825461"/>
    <w:rsid w:val="759926FC"/>
    <w:rsid w:val="75A24276"/>
    <w:rsid w:val="75AA231D"/>
    <w:rsid w:val="75AD6340"/>
    <w:rsid w:val="75E8633A"/>
    <w:rsid w:val="76393874"/>
    <w:rsid w:val="763F09AA"/>
    <w:rsid w:val="764F3FCC"/>
    <w:rsid w:val="7650339F"/>
    <w:rsid w:val="76603C9A"/>
    <w:rsid w:val="76832D41"/>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6778FE"/>
    <w:rsid w:val="78EE1C79"/>
    <w:rsid w:val="78F85605"/>
    <w:rsid w:val="78FA66FA"/>
    <w:rsid w:val="79424F6E"/>
    <w:rsid w:val="797239CC"/>
    <w:rsid w:val="79831473"/>
    <w:rsid w:val="798342DE"/>
    <w:rsid w:val="79983E9C"/>
    <w:rsid w:val="7999527A"/>
    <w:rsid w:val="79AF76C5"/>
    <w:rsid w:val="79C25EE1"/>
    <w:rsid w:val="79CE2967"/>
    <w:rsid w:val="79E34934"/>
    <w:rsid w:val="79EA664C"/>
    <w:rsid w:val="79F9627A"/>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9005BC"/>
    <w:rsid w:val="7D9F0AD0"/>
    <w:rsid w:val="7DD12BB7"/>
    <w:rsid w:val="7DEA6B25"/>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5"/>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pPr>
  </w:style>
  <w:style w:type="paragraph" w:styleId="25">
    <w:name w:val="Body Text 2"/>
    <w:basedOn w:val="1"/>
    <w:next w:val="3"/>
    <w:autoRedefine/>
    <w:qFormat/>
    <w:uiPriority w:val="0"/>
    <w:pPr>
      <w:spacing w:line="480" w:lineRule="auto"/>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3"/>
    <w:next w:val="31"/>
    <w:autoRedefine/>
    <w:qFormat/>
    <w:uiPriority w:val="0"/>
    <w:pPr>
      <w:spacing w:line="360" w:lineRule="auto"/>
      <w:ind w:firstLine="420" w:firstLineChars="100"/>
    </w:pPr>
    <w:rPr>
      <w:szCs w:val="21"/>
    </w:rPr>
  </w:style>
  <w:style w:type="paragraph" w:styleId="31">
    <w:name w:val="Body Text First Indent 2"/>
    <w:basedOn w:val="14"/>
    <w:next w:val="10"/>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1"/>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qFormat/>
    <w:uiPriority w:val="0"/>
  </w:style>
  <w:style w:type="character" w:customStyle="1" w:styleId="75">
    <w:name w:val="文档结构图 Char"/>
    <w:link w:val="11"/>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0</TotalTime>
  <ScaleCrop>false</ScaleCrop>
  <LinksUpToDate>false</LinksUpToDate>
  <CharactersWithSpaces>22703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2023-12-29T03:15:39Z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6B4FDCA957CB4E82998C2E32247B97ED_13</vt:lpwstr>
  </property>
</Properties>
</file>