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4"/>
          <w:szCs w:val="44"/>
          <w:lang w:val="en-US" w:eastAsia="zh-CN"/>
        </w:rPr>
      </w:pPr>
      <w:r>
        <w:rPr>
          <w:rFonts w:hint="eastAsia" w:cs="宋体"/>
          <w:b/>
          <w:bCs/>
          <w:sz w:val="44"/>
          <w:szCs w:val="44"/>
          <w:lang w:val="en-US" w:eastAsia="zh-CN"/>
        </w:rPr>
        <w:t>驻马店市中心医院影像云胶片系统采购项目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12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 xml:space="preserve">第三章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驻马店市中心医院影像云胶片系统采购项目</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 xml:space="preserve"> 影像云胶片系统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驻马店市中心医院影像云胶片系统采购项目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28万元</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合同签订后30日内</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cs="宋体"/>
          <w:color w:val="auto"/>
          <w:szCs w:val="21"/>
          <w:highlight w:val="none"/>
          <w:shd w:val="clear" w:color="auto" w:fill="FFFFFF"/>
          <w:lang w:eastAsia="zh-CN"/>
        </w:rPr>
        <w:t>合格</w:t>
      </w:r>
      <w:r>
        <w:rPr>
          <w:rFonts w:hint="eastAsia" w:ascii="宋体" w:hAnsi="宋体" w:eastAsia="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27704"/>
      <w:bookmarkStart w:id="6" w:name="_Toc16639"/>
      <w:bookmarkStart w:id="7" w:name="_Toc1860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8" w:name="_Toc30971"/>
      <w:bookmarkStart w:id="9" w:name="_Toc30643"/>
      <w:bookmarkStart w:id="10" w:name="_Toc9562"/>
      <w:bookmarkStart w:id="11" w:name="_Toc7823"/>
      <w:bookmarkStart w:id="12" w:name="_Toc23395"/>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3、具有履行合同所必需的设备和专业技术能力（提供书面声明函）；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4、参加本采购活动前三年内，在经营活动中没有重大违法记录（提供书面声明函）；</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5、符合法律、行政法规规定的其他条件；</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cs="宋体"/>
          <w:color w:val="000000" w:themeColor="text1"/>
          <w:kern w:val="2"/>
          <w:sz w:val="21"/>
          <w:szCs w:val="24"/>
          <w:lang w:val="en-US" w:eastAsia="zh-CN" w:bidi="ar-SA"/>
          <w14:textFill>
            <w14:solidFill>
              <w14:schemeClr w14:val="tx1"/>
            </w14:solidFill>
          </w14:textFill>
        </w:rPr>
        <w:t>6</w:t>
      </w:r>
      <w:r>
        <w:rPr>
          <w:rFonts w:hint="eastAsia" w:ascii="宋体" w:hAnsi="宋体" w:eastAsia="宋体" w:cs="宋体"/>
          <w:color w:val="000000" w:themeColor="text1"/>
          <w:kern w:val="2"/>
          <w:sz w:val="21"/>
          <w:szCs w:val="24"/>
          <w:lang w:val="en-US" w:eastAsia="zh-CN" w:bidi="ar-SA"/>
          <w14:textFill>
            <w14:solidFill>
              <w14:schemeClr w14:val="tx1"/>
            </w14:solidFill>
          </w14:textFill>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cs="宋体"/>
          <w:color w:val="000000" w:themeColor="text1"/>
          <w:kern w:val="2"/>
          <w:sz w:val="21"/>
          <w:szCs w:val="24"/>
          <w:lang w:val="en-US" w:eastAsia="zh-CN" w:bidi="ar-SA"/>
          <w14:textFill>
            <w14:solidFill>
              <w14:schemeClr w14:val="tx1"/>
            </w14:solidFill>
          </w14:textFill>
        </w:rPr>
        <w:t>7</w:t>
      </w:r>
      <w:r>
        <w:rPr>
          <w:rFonts w:hint="eastAsia" w:ascii="宋体" w:hAnsi="宋体" w:eastAsia="宋体" w:cs="宋体"/>
          <w:color w:val="000000" w:themeColor="text1"/>
          <w:kern w:val="2"/>
          <w:sz w:val="21"/>
          <w:szCs w:val="24"/>
          <w:lang w:val="en-US" w:eastAsia="zh-CN" w:bidi="ar-SA"/>
          <w14:textFill>
            <w14:solidFill>
              <w14:schemeClr w14:val="tx1"/>
            </w14:solidFill>
          </w14:textFill>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三</w:t>
      </w:r>
      <w:r>
        <w:rPr>
          <w:rFonts w:hint="eastAsia" w:ascii="宋体" w:hAnsi="宋体" w:eastAsia="宋体" w:cs="宋体"/>
          <w:b/>
          <w:bCs/>
          <w:color w:val="auto"/>
          <w:kern w:val="2"/>
          <w:sz w:val="21"/>
          <w:szCs w:val="24"/>
          <w:lang w:val="en-US" w:eastAsia="zh-CN" w:bidi="ar-SA"/>
        </w:rPr>
        <w:t>、获取采购文件</w:t>
      </w:r>
      <w:bookmarkEnd w:id="8"/>
      <w:bookmarkEnd w:id="9"/>
      <w:bookmarkEnd w:id="10"/>
      <w:bookmarkEnd w:id="11"/>
      <w:bookmarkEnd w:id="12"/>
    </w:p>
    <w:p>
      <w:pPr>
        <w:widowControl/>
        <w:adjustRightInd w:val="0"/>
        <w:snapToGrid w:val="0"/>
        <w:spacing w:line="360" w:lineRule="auto"/>
        <w:ind w:firstLine="420" w:firstLineChars="200"/>
        <w:jc w:val="left"/>
        <w:rPr>
          <w:rFonts w:hint="default"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auto"/>
          <w:szCs w:val="21"/>
          <w:highlight w:val="none"/>
          <w:shd w:val="clear" w:color="auto" w:fill="FFFFFF"/>
        </w:rPr>
        <w:t>20</w:t>
      </w:r>
      <w:r>
        <w:rPr>
          <w:rFonts w:hint="eastAsia" w:ascii="宋体" w:hAnsi="宋体" w:cs="宋体"/>
          <w:color w:val="auto"/>
          <w:szCs w:val="21"/>
          <w:highlight w:val="none"/>
          <w:shd w:val="clear" w:color="auto" w:fill="FFFFFF"/>
          <w:lang w:val="en-US" w:eastAsia="zh-CN"/>
        </w:rPr>
        <w:t>24</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02</w:t>
      </w:r>
      <w:r>
        <w:rPr>
          <w:rFonts w:hint="eastAsia" w:ascii="宋体" w:hAnsi="宋体" w:eastAsia="宋体" w:cs="宋体"/>
          <w:color w:val="auto"/>
          <w:szCs w:val="21"/>
          <w:highlight w:val="none"/>
          <w:shd w:val="clear" w:color="auto" w:fill="FFFFFF"/>
        </w:rPr>
        <w:t>日-202</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01</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r>
        <w:rPr>
          <w:rFonts w:hint="eastAsia" w:ascii="宋体" w:hAnsi="宋体" w:cs="宋体"/>
          <w:color w:val="000000" w:themeColor="text1"/>
          <w:szCs w:val="21"/>
          <w:shd w:val="clear" w:color="auto" w:fill="FFFFFF"/>
          <w:lang w:val="en-US" w:eastAsia="zh-CN"/>
          <w14:textFill>
            <w14:solidFill>
              <w14:schemeClr w14:val="tx1"/>
            </w14:solidFill>
          </w14:textFill>
        </w:rPr>
        <w:t>。</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934027204@qq.com并标明XX公司XX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项目报名资料；审核通过后按要求交纳报名费。</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25869"/>
      <w:bookmarkStart w:id="14" w:name="_Toc15135"/>
      <w:bookmarkStart w:id="15" w:name="_Toc27480"/>
      <w:bookmarkStart w:id="16" w:name="_Toc10738"/>
      <w:bookmarkStart w:id="17" w:name="_Toc15111"/>
      <w:r>
        <w:rPr>
          <w:rFonts w:hint="eastAsia" w:ascii="宋体" w:hAnsi="宋体" w:cs="宋体"/>
          <w:b/>
          <w:bCs/>
          <w:color w:val="auto"/>
          <w:kern w:val="2"/>
          <w:sz w:val="21"/>
          <w:szCs w:val="21"/>
          <w:shd w:val="clear" w:color="auto" w:fill="FFFFFF"/>
          <w:lang w:val="en-US" w:eastAsia="zh-CN" w:bidi="ar-SA"/>
        </w:rPr>
        <w:t>四</w:t>
      </w:r>
      <w:r>
        <w:rPr>
          <w:rFonts w:hint="eastAsia" w:ascii="宋体" w:hAnsi="宋体" w:eastAsia="宋体" w:cs="宋体"/>
          <w:b/>
          <w:bCs/>
          <w:color w:val="auto"/>
          <w:kern w:val="2"/>
          <w:sz w:val="21"/>
          <w:szCs w:val="21"/>
          <w:shd w:val="clear" w:color="auto" w:fill="FFFFFF"/>
          <w:lang w:val="en-US" w:eastAsia="zh-CN" w:bidi="ar-SA"/>
        </w:rPr>
        <w:t>、投标截止时间及地点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shd w:val="clear" w:color="auto" w:fill="FFFFFF"/>
          <w:lang w:val="en-US" w:eastAsia="zh-CN" w:bidi="ar-SA"/>
        </w:rPr>
        <w:t>五</w:t>
      </w:r>
      <w:r>
        <w:rPr>
          <w:rFonts w:hint="eastAsia" w:ascii="宋体" w:hAnsi="宋体" w:eastAsia="宋体" w:cs="宋体"/>
          <w:b/>
          <w:bCs/>
          <w:color w:val="auto"/>
          <w:kern w:val="2"/>
          <w:sz w:val="21"/>
          <w:szCs w:val="21"/>
          <w:shd w:val="clear" w:color="auto" w:fill="FFFFFF"/>
          <w:lang w:val="en-US" w:eastAsia="zh-CN" w:bidi="ar-SA"/>
        </w:rPr>
        <w:t>、开标时间及地点</w:t>
      </w:r>
      <w:bookmarkStart w:id="86" w:name="_GoBack"/>
      <w:bookmarkEnd w:id="8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9784"/>
      <w:bookmarkStart w:id="19" w:name="_Toc20287"/>
      <w:bookmarkStart w:id="20" w:name="_Toc30918"/>
      <w:bookmarkStart w:id="21" w:name="_Toc6523"/>
      <w:r>
        <w:rPr>
          <w:rFonts w:hint="eastAsia" w:ascii="宋体" w:hAnsi="宋体" w:cs="宋体"/>
          <w:b/>
          <w:bCs/>
          <w:color w:val="auto"/>
          <w:kern w:val="2"/>
          <w:sz w:val="21"/>
          <w:szCs w:val="21"/>
          <w:shd w:val="clear" w:color="auto" w:fill="FFFFFF"/>
          <w:lang w:val="en-US" w:eastAsia="zh-CN" w:bidi="ar-SA"/>
        </w:rPr>
        <w:t>六</w:t>
      </w:r>
      <w:r>
        <w:rPr>
          <w:rFonts w:hint="eastAsia" w:ascii="宋体" w:hAnsi="宋体" w:eastAsia="宋体" w:cs="宋体"/>
          <w:b/>
          <w:bCs/>
          <w:color w:val="auto"/>
          <w:kern w:val="2"/>
          <w:sz w:val="21"/>
          <w:szCs w:val="21"/>
          <w:shd w:val="clear" w:color="auto" w:fill="FFFFFF"/>
          <w:lang w:val="en-US" w:eastAsia="zh-CN" w:bidi="ar-SA"/>
        </w:rPr>
        <w:t>、发布公告的媒介及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7370"/>
      <w:bookmarkStart w:id="25" w:name="_Toc16291"/>
      <w:bookmarkStart w:id="26" w:name="_Toc31928"/>
      <w:bookmarkStart w:id="27" w:name="_Toc24274"/>
      <w:bookmarkStart w:id="28" w:name="_Toc3604"/>
      <w:r>
        <w:rPr>
          <w:rFonts w:hint="eastAsia" w:ascii="宋体" w:hAnsi="宋体" w:cs="宋体"/>
          <w:b/>
          <w:bCs/>
          <w:color w:val="auto"/>
          <w:kern w:val="2"/>
          <w:sz w:val="21"/>
          <w:szCs w:val="21"/>
          <w:shd w:val="clear" w:color="auto" w:fill="FFFFFF"/>
          <w:lang w:val="en-US" w:eastAsia="zh-CN" w:bidi="ar-SA"/>
        </w:rPr>
        <w:t>七</w:t>
      </w:r>
      <w:r>
        <w:rPr>
          <w:rFonts w:hint="eastAsia" w:ascii="宋体" w:hAnsi="宋体" w:eastAsia="宋体" w:cs="宋体"/>
          <w:b/>
          <w:bCs/>
          <w:color w:val="auto"/>
          <w:kern w:val="2"/>
          <w:sz w:val="21"/>
          <w:szCs w:val="21"/>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报名联系人：陈先生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联系电话：18838148020</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监督电话：0396-2726678</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cs="宋体"/>
          <w:color w:val="auto"/>
          <w:kern w:val="0"/>
          <w:sz w:val="21"/>
          <w:szCs w:val="21"/>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12</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29</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br w:type="page"/>
      </w:r>
    </w:p>
    <w:p>
      <w:pPr>
        <w:widowControl/>
        <w:spacing w:line="360" w:lineRule="auto"/>
        <w:ind w:firstLine="643" w:firstLineChars="200"/>
        <w:jc w:val="center"/>
        <w:outlineLvl w:val="0"/>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9989"/>
      <w:bookmarkStart w:id="33" w:name="_Toc31536"/>
      <w:bookmarkStart w:id="34" w:name="_Toc23610"/>
    </w:p>
    <w:bookmarkEnd w:id="30"/>
    <w:bookmarkEnd w:id="31"/>
    <w:bookmarkEnd w:id="32"/>
    <w:bookmarkEnd w:id="33"/>
    <w:bookmarkEnd w:id="34"/>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bookmarkStart w:id="35" w:name="_Toc14504"/>
      <w:r>
        <w:rPr>
          <w:rFonts w:hint="eastAsia" w:ascii="宋体" w:hAnsi="宋体" w:eastAsia="宋体" w:cs="宋体"/>
          <w:b/>
          <w:bCs/>
          <w:i w:val="0"/>
          <w:iCs/>
          <w:sz w:val="21"/>
          <w:szCs w:val="21"/>
          <w:highlight w:val="none"/>
          <w:u w:val="none"/>
          <w:lang w:val="en-US" w:eastAsia="zh-CN"/>
        </w:rPr>
        <w:t>一、项目名称、数量：</w:t>
      </w:r>
      <w:r>
        <w:rPr>
          <w:rFonts w:hint="eastAsia" w:ascii="宋体" w:hAnsi="宋体" w:eastAsia="宋体" w:cs="宋体"/>
          <w:i w:val="0"/>
          <w:iCs/>
          <w:sz w:val="21"/>
          <w:szCs w:val="21"/>
          <w:highlight w:val="none"/>
          <w:u w:val="none"/>
          <w:lang w:val="en-US" w:eastAsia="zh-CN"/>
        </w:rPr>
        <w:t>驻马店市中心医院</w:t>
      </w:r>
      <w:r>
        <w:rPr>
          <w:rFonts w:hint="eastAsia" w:ascii="宋体" w:hAnsi="宋体" w:cs="宋体"/>
          <w:i w:val="0"/>
          <w:iCs/>
          <w:sz w:val="21"/>
          <w:szCs w:val="21"/>
          <w:highlight w:val="none"/>
          <w:u w:val="none"/>
          <w:lang w:val="en-US" w:eastAsia="zh-CN"/>
        </w:rPr>
        <w:t>影像云胶片系统采购项目</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400"/>
        <w:jc w:val="both"/>
        <w:textAlignment w:val="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i w:val="0"/>
          <w:iCs/>
          <w:sz w:val="21"/>
          <w:szCs w:val="21"/>
          <w:highlight w:val="none"/>
          <w:u w:val="none"/>
          <w:lang w:val="en-US" w:eastAsia="zh-CN"/>
        </w:rPr>
        <w:t>项目概况：影像云胶片，即存储在外网的电子胶片，患者可以扫描检查报告单上的二维码即可查看包括电子胶片、原始影像和图文报告在内的检查数据。驻马店市中心医院拟构建影像云胶片系统，以微信小程序为载体，将为患者提供新形态的医学影像数字化体验。</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cs="宋体"/>
          <w:b/>
          <w:bCs/>
          <w:kern w:val="2"/>
          <w:sz w:val="21"/>
          <w:szCs w:val="24"/>
          <w:lang w:val="en-US" w:eastAsia="zh-CN" w:bidi="ar-SA"/>
        </w:rPr>
      </w:pPr>
      <w:r>
        <w:rPr>
          <w:rFonts w:hint="eastAsia" w:cs="宋体"/>
          <w:b/>
          <w:bCs/>
          <w:kern w:val="2"/>
          <w:sz w:val="21"/>
          <w:szCs w:val="24"/>
          <w:lang w:val="en-US" w:eastAsia="zh-CN" w:bidi="ar-SA"/>
        </w:rPr>
        <w:t>二、采购标的清单：</w:t>
      </w:r>
    </w:p>
    <w:tbl>
      <w:tblPr>
        <w:tblStyle w:val="33"/>
        <w:tblW w:w="8781"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0"/>
        <w:gridCol w:w="2207"/>
        <w:gridCol w:w="5"/>
        <w:gridCol w:w="966"/>
        <w:gridCol w:w="886"/>
        <w:gridCol w:w="6"/>
        <w:gridCol w:w="1060"/>
        <w:gridCol w:w="9"/>
        <w:gridCol w:w="1069"/>
        <w:gridCol w:w="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包号</w:t>
            </w:r>
          </w:p>
        </w:tc>
        <w:tc>
          <w:tcPr>
            <w:tcW w:w="950" w:type="dxa"/>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207" w:type="dxa"/>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标的名称</w:t>
            </w:r>
          </w:p>
        </w:tc>
        <w:tc>
          <w:tcPr>
            <w:tcW w:w="971" w:type="dxa"/>
            <w:gridSpan w:val="2"/>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886" w:type="dxa"/>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075" w:type="dxa"/>
            <w:gridSpan w:val="3"/>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资金</w:t>
            </w:r>
          </w:p>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预算</w:t>
            </w:r>
          </w:p>
        </w:tc>
        <w:tc>
          <w:tcPr>
            <w:tcW w:w="1069" w:type="dxa"/>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资金</w:t>
            </w:r>
          </w:p>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性质</w:t>
            </w:r>
          </w:p>
        </w:tc>
        <w:tc>
          <w:tcPr>
            <w:tcW w:w="1197" w:type="dxa"/>
            <w:gridSpan w:val="2"/>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dxa"/>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50"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2207"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bCs/>
                <w:sz w:val="21"/>
                <w:szCs w:val="21"/>
              </w:rPr>
              <w:t>影像云胶片系统</w:t>
            </w:r>
          </w:p>
        </w:tc>
        <w:tc>
          <w:tcPr>
            <w:tcW w:w="971" w:type="dxa"/>
            <w:gridSpan w:val="2"/>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套</w:t>
            </w:r>
          </w:p>
        </w:tc>
        <w:tc>
          <w:tcPr>
            <w:tcW w:w="886"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1075" w:type="dxa"/>
            <w:gridSpan w:val="3"/>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28万</w:t>
            </w:r>
            <w:r>
              <w:rPr>
                <w:rFonts w:hint="eastAsia" w:ascii="宋体" w:hAnsi="宋体" w:eastAsia="宋体" w:cs="宋体"/>
                <w:sz w:val="21"/>
                <w:szCs w:val="21"/>
                <w:lang w:val="en-US" w:eastAsia="zh-CN"/>
              </w:rPr>
              <w:t>元</w:t>
            </w:r>
          </w:p>
        </w:tc>
        <w:tc>
          <w:tcPr>
            <w:tcW w:w="1069" w:type="dxa"/>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自筹</w:t>
            </w:r>
          </w:p>
        </w:tc>
        <w:tc>
          <w:tcPr>
            <w:tcW w:w="1197" w:type="dxa"/>
            <w:gridSpan w:val="2"/>
            <w:vAlign w:val="center"/>
          </w:tcPr>
          <w:p>
            <w:pPr>
              <w:spacing w:line="5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2212" w:type="dxa"/>
            <w:gridSpan w:val="2"/>
            <w:vAlign w:val="center"/>
          </w:tcPr>
          <w:p>
            <w:pPr>
              <w:pStyle w:val="15"/>
              <w:numPr>
                <w:ilvl w:val="0"/>
                <w:numId w:val="0"/>
              </w:numPr>
              <w:jc w:val="center"/>
              <w:rPr>
                <w:rFonts w:hint="eastAsia" w:ascii="宋体" w:hAnsi="宋体" w:eastAsia="宋体" w:cs="宋体"/>
                <w:sz w:val="21"/>
                <w:szCs w:val="21"/>
                <w:lang w:val="en-US" w:eastAsia="zh-CN"/>
              </w:rPr>
            </w:pPr>
          </w:p>
        </w:tc>
        <w:tc>
          <w:tcPr>
            <w:tcW w:w="966" w:type="dxa"/>
            <w:vAlign w:val="center"/>
          </w:tcPr>
          <w:p>
            <w:pPr>
              <w:pStyle w:val="15"/>
              <w:numPr>
                <w:ilvl w:val="0"/>
                <w:numId w:val="0"/>
              </w:numPr>
              <w:ind w:left="0" w:leftChars="0" w:firstLine="0" w:firstLineChars="0"/>
              <w:jc w:val="center"/>
              <w:rPr>
                <w:rFonts w:hint="eastAsia" w:ascii="宋体" w:hAnsi="宋体" w:eastAsia="宋体" w:cs="宋体"/>
                <w:kern w:val="2"/>
                <w:sz w:val="21"/>
                <w:szCs w:val="21"/>
                <w:lang w:val="en-US" w:eastAsia="zh-CN" w:bidi="ar-SA"/>
              </w:rPr>
            </w:pPr>
          </w:p>
        </w:tc>
        <w:tc>
          <w:tcPr>
            <w:tcW w:w="892" w:type="dxa"/>
            <w:gridSpan w:val="2"/>
            <w:vAlign w:val="center"/>
          </w:tcPr>
          <w:p>
            <w:pPr>
              <w:pStyle w:val="15"/>
              <w:numPr>
                <w:ilvl w:val="0"/>
                <w:numId w:val="0"/>
              </w:numPr>
              <w:ind w:left="0" w:leftChars="0" w:firstLine="0" w:firstLineChars="0"/>
              <w:jc w:val="center"/>
              <w:rPr>
                <w:rFonts w:hint="eastAsia" w:ascii="宋体" w:hAnsi="宋体" w:eastAsia="宋体" w:cs="宋体"/>
                <w:kern w:val="2"/>
                <w:sz w:val="21"/>
                <w:szCs w:val="21"/>
                <w:lang w:val="en-US" w:eastAsia="zh-CN" w:bidi="ar-SA"/>
              </w:rPr>
            </w:pPr>
          </w:p>
        </w:tc>
        <w:tc>
          <w:tcPr>
            <w:tcW w:w="1060" w:type="dxa"/>
            <w:vAlign w:val="center"/>
          </w:tcPr>
          <w:p>
            <w:pPr>
              <w:pStyle w:val="15"/>
              <w:numPr>
                <w:ilvl w:val="0"/>
                <w:numId w:val="0"/>
              </w:numPr>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28万元</w:t>
            </w:r>
          </w:p>
        </w:tc>
        <w:tc>
          <w:tcPr>
            <w:tcW w:w="1083" w:type="dxa"/>
            <w:gridSpan w:val="3"/>
            <w:vAlign w:val="center"/>
          </w:tcPr>
          <w:p>
            <w:pPr>
              <w:pStyle w:val="15"/>
              <w:numPr>
                <w:ilvl w:val="0"/>
                <w:numId w:val="0"/>
              </w:numPr>
              <w:jc w:val="center"/>
              <w:rPr>
                <w:rFonts w:hint="eastAsia" w:ascii="宋体" w:hAnsi="宋体" w:eastAsia="宋体" w:cs="宋体"/>
                <w:sz w:val="21"/>
                <w:szCs w:val="21"/>
                <w:lang w:val="en-US" w:eastAsia="zh-CN"/>
              </w:rPr>
            </w:pPr>
          </w:p>
        </w:tc>
        <w:tc>
          <w:tcPr>
            <w:tcW w:w="1192" w:type="dxa"/>
            <w:vAlign w:val="center"/>
          </w:tcPr>
          <w:p>
            <w:pPr>
              <w:pStyle w:val="15"/>
              <w:numPr>
                <w:ilvl w:val="0"/>
                <w:numId w:val="0"/>
              </w:num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6" w:type="dxa"/>
            <w:gridSpan w:val="2"/>
            <w:vAlign w:val="center"/>
          </w:tcPr>
          <w:p>
            <w:pPr>
              <w:pStyle w:val="15"/>
              <w:numPr>
                <w:ilvl w:val="0"/>
                <w:numId w:val="0"/>
              </w:numPr>
              <w:rPr>
                <w:rFonts w:hint="eastAsia"/>
                <w:lang w:val="en-US" w:eastAsia="zh-CN"/>
              </w:rPr>
            </w:pPr>
            <w:r>
              <w:rPr>
                <w:rFonts w:hint="eastAsia"/>
                <w:lang w:val="en-US" w:eastAsia="zh-CN"/>
              </w:rPr>
              <w:t>备注</w:t>
            </w:r>
          </w:p>
        </w:tc>
        <w:tc>
          <w:tcPr>
            <w:tcW w:w="7405" w:type="dxa"/>
            <w:gridSpan w:val="10"/>
            <w:vAlign w:val="center"/>
          </w:tcPr>
          <w:p>
            <w:pPr>
              <w:pStyle w:val="15"/>
              <w:numPr>
                <w:ilvl w:val="0"/>
                <w:numId w:val="0"/>
              </w:numPr>
              <w:rPr>
                <w:rFonts w:hint="eastAsia"/>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三、技术要求：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1、</w:t>
      </w:r>
      <w:r>
        <w:rPr>
          <w:rFonts w:hint="eastAsia" w:ascii="宋体" w:hAnsi="宋体" w:eastAsia="宋体" w:cs="宋体"/>
          <w:b/>
          <w:bCs/>
          <w:sz w:val="21"/>
          <w:szCs w:val="21"/>
          <w:lang w:val="en-US" w:eastAsia="zh-CN"/>
        </w:rPr>
        <w:t>总体技术要求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lang w:val="en-US" w:eastAsia="zh-CN"/>
        </w:rPr>
        <w:t>具备日志记录功能，能够监测并记录用户的登录和操作、软件发生的事件和错误等信息，留存相关日志不少于六个月。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1.2</w:t>
      </w:r>
      <w:r>
        <w:rPr>
          <w:rFonts w:hint="eastAsia" w:ascii="宋体" w:hAnsi="宋体" w:eastAsia="宋体" w:cs="宋体"/>
          <w:sz w:val="21"/>
          <w:szCs w:val="21"/>
          <w:lang w:val="en-US" w:eastAsia="zh-CN"/>
        </w:rPr>
        <w:t>具备数据传输和存储加密功能，须使用国家密码管理部门认可的密码技术对数据传输和存储进行保护，且符合有关法律法规和商用密码标准的要求。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数据须存储在甲方院内服务器上，不得存储在乙方网络服务器或互联网云端。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1.4</w:t>
      </w:r>
      <w:r>
        <w:rPr>
          <w:rFonts w:hint="eastAsia" w:ascii="宋体" w:hAnsi="宋体" w:eastAsia="宋体" w:cs="宋体"/>
          <w:sz w:val="21"/>
          <w:szCs w:val="21"/>
          <w:lang w:val="en-US" w:eastAsia="zh-CN"/>
        </w:rPr>
        <w:t>涉及用户信息收集的功能，须向用户明示收集、使用信息的目的、方式和范围等事项并取得同意的功能；涉及用户个人信息收集的，还须符合有关法律法规关于个人信息保护的规定。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1.5</w:t>
      </w:r>
      <w:r>
        <w:rPr>
          <w:rFonts w:hint="eastAsia" w:ascii="宋体" w:hAnsi="宋体" w:eastAsia="宋体" w:cs="宋体"/>
          <w:sz w:val="21"/>
          <w:szCs w:val="21"/>
          <w:lang w:val="en-US" w:eastAsia="zh-CN"/>
        </w:rPr>
        <w:t>涉及向个人进行信息推送的功能，须向个人提供便捷的拒绝方式。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1.6</w:t>
      </w:r>
      <w:r>
        <w:rPr>
          <w:rFonts w:hint="eastAsia" w:ascii="宋体" w:hAnsi="宋体" w:eastAsia="宋体" w:cs="宋体"/>
          <w:sz w:val="21"/>
          <w:szCs w:val="21"/>
          <w:lang w:val="en-US" w:eastAsia="zh-CN"/>
        </w:rPr>
        <w:t>具备个人信息去标识化功能，能够自定义敏感个人信息，可以根据自定义内容对个人信息进行脱敏展示。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1.7</w:t>
      </w:r>
      <w:r>
        <w:rPr>
          <w:rFonts w:hint="eastAsia" w:ascii="宋体" w:hAnsi="宋体" w:eastAsia="宋体" w:cs="宋体"/>
          <w:sz w:val="21"/>
          <w:szCs w:val="21"/>
          <w:lang w:val="en-US" w:eastAsia="zh-CN"/>
        </w:rPr>
        <w:t>负责与医院相关设备、系统完成对接、集成。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1.8</w:t>
      </w:r>
      <w:r>
        <w:rPr>
          <w:rFonts w:hint="eastAsia" w:ascii="宋体" w:hAnsi="宋体" w:eastAsia="宋体" w:cs="宋体"/>
          <w:sz w:val="21"/>
          <w:szCs w:val="21"/>
          <w:lang w:val="en-US" w:eastAsia="zh-CN"/>
        </w:rPr>
        <w:t>涉及互联网服务的，数据库服务器部署在甲方内网中，DMZ服务器部署在甲方外网中，互联网服务器部署在乙方或第三方互联网环境中，数据库服务器仅对DMZ服务器通过网闸开放固定服务端口，DMZ服务器仅对互联网服务器通过防火墙开放固定服务端口，互联网服务器对所有互联网用户开放服务，互联网服务器须具备固定的公网IP地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系统功能性技术要求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2.1</w:t>
      </w:r>
      <w:r>
        <w:rPr>
          <w:rFonts w:hint="eastAsia" w:ascii="宋体" w:hAnsi="宋体" w:eastAsia="宋体" w:cs="宋体"/>
          <w:sz w:val="21"/>
          <w:szCs w:val="21"/>
          <w:lang w:val="en-US" w:eastAsia="zh-CN"/>
        </w:rPr>
        <w:t>报告单上支持二维码扫码查看。患者做完检查后，拿到的纸质报告单上带有云胶片二维码，患者通过手机微信扫码可以查看到自己的检查信息和云胶片图像。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2.2</w:t>
      </w:r>
      <w:r>
        <w:rPr>
          <w:rFonts w:hint="eastAsia" w:ascii="宋体" w:hAnsi="宋体" w:eastAsia="宋体" w:cs="宋体"/>
          <w:sz w:val="21"/>
          <w:szCs w:val="21"/>
          <w:lang w:val="en-US" w:eastAsia="zh-CN"/>
        </w:rPr>
        <w:t>支持对接医院现有的公众号或者小程序。在医院现有的公众号或者小程序的云胶片入口进入到云胶片系统。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2.3</w:t>
      </w:r>
      <w:r>
        <w:rPr>
          <w:rFonts w:hint="eastAsia" w:ascii="宋体" w:hAnsi="宋体" w:eastAsia="宋体" w:cs="宋体"/>
          <w:sz w:val="21"/>
          <w:szCs w:val="21"/>
          <w:lang w:val="en-US" w:eastAsia="zh-CN"/>
        </w:rPr>
        <w:t>检查列表功能。患者扫码后，可以查看3个月内医院的所有影像检查记录。检查列表中的内容包括但不限于：患者姓名、性别、年龄、检查单号、患者编号、检查时间、检查类型等。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2.4</w:t>
      </w:r>
      <w:r>
        <w:rPr>
          <w:rFonts w:hint="eastAsia" w:ascii="宋体" w:hAnsi="宋体" w:eastAsia="宋体" w:cs="宋体"/>
          <w:sz w:val="21"/>
          <w:szCs w:val="21"/>
          <w:lang w:val="en-US" w:eastAsia="zh-CN"/>
        </w:rPr>
        <w:t>检查详细信息。用户通过扫码纸质报告单上的二维码，可以直接查看检查详细信息，也可以通过公众号或小程序登录进入后查看详细的检查信息。检查信息包括：患者姓名、性别、年龄、检查单号、患者编号、检查时间、检查部位、检查类型、影像所见、影像诊断、报告医生、审核医生、报告时间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2.5</w:t>
      </w:r>
      <w:r>
        <w:rPr>
          <w:rFonts w:hint="eastAsia" w:ascii="宋体" w:hAnsi="宋体" w:eastAsia="宋体" w:cs="宋体"/>
          <w:sz w:val="21"/>
          <w:szCs w:val="21"/>
          <w:lang w:val="en-US" w:eastAsia="zh-CN"/>
        </w:rPr>
        <w:t>查看云胶片。用户点击对应的查看云胶片入口，可以查看自己的云胶片图像。云胶片查看功能应该包括如下：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①窗格切换：支持1~9个窗口切换。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②图像滚动：支持通过屏幕上下滚动，进行影像图像上下滚动查看。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③图像放大：点击查看器上的放大镜按钮，可以放大查看图像。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④图像层级：点击查看器上的层级按钮，支持图像层级变化查看。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⑤图像移动：点击查看器上的移动按钮，支持图像上下左右移动查看。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⑥长度测量：支持图像长度测量。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⑦角度测量：支持图像角度大小测量。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⑧图像复原：图像经过放大、移动、层级等操作后可以一键复原。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⑨图像播放：动态图像回放、支持电影回放，并可调节回放速度，可暂停，可反方向回放。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⑩更多影像后处理功能。后处理诸如：放大镜、对比度、探针、椭圆、矩形、灰度反转、旋转、翻转、擦除等。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2.6</w:t>
      </w:r>
      <w:r>
        <w:rPr>
          <w:rFonts w:hint="eastAsia" w:ascii="宋体" w:hAnsi="宋体" w:eastAsia="宋体" w:cs="宋体"/>
          <w:sz w:val="21"/>
          <w:szCs w:val="21"/>
          <w:lang w:val="en-US" w:eastAsia="zh-CN"/>
        </w:rPr>
        <w:t>支持CT、MRI、DR等标准DICOM图像查看。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2.7</w:t>
      </w:r>
      <w:r>
        <w:rPr>
          <w:rFonts w:hint="eastAsia" w:ascii="宋体" w:hAnsi="宋体" w:eastAsia="宋体" w:cs="宋体"/>
          <w:sz w:val="21"/>
          <w:szCs w:val="21"/>
          <w:lang w:val="en-US" w:eastAsia="zh-CN"/>
        </w:rPr>
        <w:t>云胶片上传速度快。患者检查审核通过后，系统应该在30分钟至1小时内（取决于内网网速和PACS的并发性能）拉取到云胶片数据并支持患者手机端查看。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2.8</w:t>
      </w:r>
      <w:r>
        <w:rPr>
          <w:rFonts w:hint="eastAsia" w:ascii="宋体" w:hAnsi="宋体" w:eastAsia="宋体" w:cs="宋体"/>
          <w:sz w:val="21"/>
          <w:szCs w:val="21"/>
          <w:lang w:val="en-US" w:eastAsia="zh-CN"/>
        </w:rPr>
        <w:t>图像数据安全存储。云胶片获取的影像数据正常从影像存储系统中获取，若影像存储系统中无患者的影像文件时，影像存储系统从PACS中获取，并将影像文件加密后存储，云胶片再请求影像文件时直接从影像存储系统中获取，减轻PCAS负担和内网数据网络传输。影像存储系统定期删除之前（默认3个月，可配置）的缓存的影像文件数据，避免大规模文件泄露风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硬件设备要求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产品名称（用途）</w:t>
            </w:r>
          </w:p>
        </w:tc>
        <w:tc>
          <w:tcPr>
            <w:tcW w:w="5413" w:type="dxa"/>
          </w:tcPr>
          <w:p>
            <w:pPr>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rPr>
              <w:t>配置</w:t>
            </w:r>
            <w:r>
              <w:rPr>
                <w:rFonts w:hint="eastAsia" w:ascii="宋体" w:hAnsi="宋体" w:eastAsia="宋体" w:cs="宋体"/>
                <w:b/>
                <w:bCs/>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应用服务器</w:t>
            </w:r>
          </w:p>
        </w:tc>
        <w:tc>
          <w:tcPr>
            <w:tcW w:w="5413" w:type="dxa"/>
          </w:tcPr>
          <w:p>
            <w:pPr>
              <w:rPr>
                <w:rFonts w:hint="eastAsia" w:ascii="宋体" w:hAnsi="宋体" w:eastAsia="宋体" w:cs="宋体"/>
                <w:sz w:val="21"/>
                <w:szCs w:val="21"/>
              </w:rPr>
            </w:pPr>
            <w:r>
              <w:rPr>
                <w:rFonts w:hint="eastAsia" w:ascii="宋体" w:hAnsi="宋体" w:eastAsia="宋体" w:cs="宋体"/>
                <w:sz w:val="21"/>
                <w:szCs w:val="21"/>
              </w:rPr>
              <w:t>2U机架式服务器主机</w:t>
            </w:r>
          </w:p>
          <w:p>
            <w:pPr>
              <w:rPr>
                <w:rFonts w:hint="eastAsia" w:ascii="宋体" w:hAnsi="宋体" w:eastAsia="宋体" w:cs="宋体"/>
                <w:sz w:val="21"/>
                <w:szCs w:val="21"/>
              </w:rPr>
            </w:pPr>
            <w:r>
              <w:rPr>
                <w:rFonts w:hint="eastAsia" w:ascii="宋体" w:hAnsi="宋体" w:eastAsia="宋体" w:cs="宋体"/>
                <w:sz w:val="21"/>
                <w:szCs w:val="21"/>
              </w:rPr>
              <w:t>CUP:≥2颗16核</w:t>
            </w:r>
          </w:p>
          <w:p>
            <w:pPr>
              <w:rPr>
                <w:rFonts w:hint="eastAsia" w:ascii="宋体" w:hAnsi="宋体" w:eastAsia="宋体" w:cs="宋体"/>
                <w:sz w:val="21"/>
                <w:szCs w:val="21"/>
              </w:rPr>
            </w:pPr>
            <w:r>
              <w:rPr>
                <w:rFonts w:hint="eastAsia" w:ascii="宋体" w:hAnsi="宋体" w:eastAsia="宋体" w:cs="宋体"/>
                <w:sz w:val="21"/>
                <w:szCs w:val="21"/>
              </w:rPr>
              <w:t xml:space="preserve">内存：≥128G内存 </w:t>
            </w:r>
          </w:p>
          <w:p>
            <w:pPr>
              <w:rPr>
                <w:rFonts w:hint="eastAsia" w:ascii="宋体" w:hAnsi="宋体" w:eastAsia="宋体" w:cs="宋体"/>
                <w:sz w:val="21"/>
                <w:szCs w:val="21"/>
              </w:rPr>
            </w:pPr>
            <w:r>
              <w:rPr>
                <w:rFonts w:hint="eastAsia" w:ascii="宋体" w:hAnsi="宋体" w:eastAsia="宋体" w:cs="宋体"/>
                <w:sz w:val="21"/>
                <w:szCs w:val="21"/>
              </w:rPr>
              <w:t>固态硬盘(系统盘): ≥2T x 1个</w:t>
            </w:r>
          </w:p>
          <w:p>
            <w:pPr>
              <w:rPr>
                <w:rFonts w:hint="eastAsia" w:ascii="宋体" w:hAnsi="宋体" w:eastAsia="宋体" w:cs="宋体"/>
                <w:sz w:val="21"/>
                <w:szCs w:val="21"/>
              </w:rPr>
            </w:pPr>
            <w:r>
              <w:rPr>
                <w:rFonts w:hint="eastAsia" w:ascii="宋体" w:hAnsi="宋体" w:eastAsia="宋体" w:cs="宋体"/>
                <w:sz w:val="21"/>
                <w:szCs w:val="21"/>
              </w:rPr>
              <w:t>存储硬盘（机械硬盘）：≥80T</w:t>
            </w:r>
          </w:p>
          <w:p>
            <w:pPr>
              <w:rPr>
                <w:rFonts w:hint="eastAsia" w:ascii="宋体" w:hAnsi="宋体" w:eastAsia="宋体" w:cs="宋体"/>
                <w:sz w:val="21"/>
                <w:szCs w:val="21"/>
              </w:rPr>
            </w:pPr>
            <w:r>
              <w:rPr>
                <w:rFonts w:hint="eastAsia" w:ascii="宋体" w:hAnsi="宋体" w:eastAsia="宋体" w:cs="宋体"/>
                <w:sz w:val="21"/>
                <w:szCs w:val="21"/>
              </w:rPr>
              <w:t>支持DDR42400/2666（24个插槽）P408i-a/2G缓存SASRAID控制器</w:t>
            </w:r>
          </w:p>
          <w:p>
            <w:pPr>
              <w:rPr>
                <w:rFonts w:hint="eastAsia" w:ascii="宋体" w:hAnsi="宋体" w:eastAsia="宋体" w:cs="宋体"/>
                <w:sz w:val="21"/>
                <w:szCs w:val="21"/>
              </w:rPr>
            </w:pPr>
            <w:r>
              <w:rPr>
                <w:rFonts w:hint="eastAsia" w:ascii="宋体" w:hAnsi="宋体" w:eastAsia="宋体" w:cs="宋体"/>
                <w:sz w:val="21"/>
                <w:szCs w:val="21"/>
              </w:rPr>
              <w:t>插槽≥8个PCLe3.0</w:t>
            </w:r>
          </w:p>
          <w:p>
            <w:pPr>
              <w:rPr>
                <w:rFonts w:hint="eastAsia" w:ascii="宋体" w:hAnsi="宋体" w:eastAsia="宋体" w:cs="宋体"/>
                <w:sz w:val="21"/>
                <w:szCs w:val="21"/>
              </w:rPr>
            </w:pPr>
            <w:r>
              <w:rPr>
                <w:rFonts w:hint="eastAsia" w:ascii="宋体" w:hAnsi="宋体" w:eastAsia="宋体" w:cs="宋体"/>
                <w:sz w:val="21"/>
                <w:szCs w:val="21"/>
              </w:rPr>
              <w:t>嵌入式千兆网卡≥2个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数据库服务器（可提供虚拟机）</w:t>
            </w:r>
          </w:p>
        </w:tc>
        <w:tc>
          <w:tcPr>
            <w:tcW w:w="5413" w:type="dxa"/>
          </w:tcPr>
          <w:p>
            <w:pPr>
              <w:rPr>
                <w:rFonts w:hint="eastAsia" w:ascii="宋体" w:hAnsi="宋体" w:eastAsia="宋体" w:cs="宋体"/>
                <w:sz w:val="21"/>
                <w:szCs w:val="21"/>
              </w:rPr>
            </w:pPr>
            <w:r>
              <w:rPr>
                <w:rFonts w:hint="eastAsia" w:ascii="宋体" w:hAnsi="宋体" w:eastAsia="宋体" w:cs="宋体"/>
                <w:sz w:val="21"/>
                <w:szCs w:val="21"/>
              </w:rPr>
              <w:t>1U机架式服务器主机</w:t>
            </w:r>
          </w:p>
          <w:p>
            <w:pPr>
              <w:rPr>
                <w:rFonts w:hint="eastAsia" w:ascii="宋体" w:hAnsi="宋体" w:eastAsia="宋体" w:cs="宋体"/>
                <w:sz w:val="21"/>
                <w:szCs w:val="21"/>
              </w:rPr>
            </w:pPr>
            <w:r>
              <w:rPr>
                <w:rFonts w:hint="eastAsia" w:ascii="宋体" w:hAnsi="宋体" w:eastAsia="宋体" w:cs="宋体"/>
                <w:sz w:val="21"/>
                <w:szCs w:val="21"/>
              </w:rPr>
              <w:t>CUP: ≥1颗4核8线程</w:t>
            </w:r>
          </w:p>
          <w:p>
            <w:pPr>
              <w:rPr>
                <w:rFonts w:hint="eastAsia" w:ascii="宋体" w:hAnsi="宋体" w:eastAsia="宋体" w:cs="宋体"/>
                <w:sz w:val="21"/>
                <w:szCs w:val="21"/>
              </w:rPr>
            </w:pPr>
            <w:r>
              <w:rPr>
                <w:rFonts w:hint="eastAsia" w:ascii="宋体" w:hAnsi="宋体" w:eastAsia="宋体" w:cs="宋体"/>
                <w:sz w:val="21"/>
                <w:szCs w:val="21"/>
              </w:rPr>
              <w:t>内存：≥16G</w:t>
            </w:r>
          </w:p>
          <w:p>
            <w:pPr>
              <w:rPr>
                <w:rFonts w:hint="eastAsia" w:ascii="宋体" w:hAnsi="宋体" w:eastAsia="宋体" w:cs="宋体"/>
                <w:sz w:val="21"/>
                <w:szCs w:val="21"/>
              </w:rPr>
            </w:pPr>
            <w:r>
              <w:rPr>
                <w:rFonts w:hint="eastAsia" w:ascii="宋体" w:hAnsi="宋体" w:eastAsia="宋体" w:cs="宋体"/>
                <w:sz w:val="21"/>
                <w:szCs w:val="21"/>
              </w:rPr>
              <w:t>存储：≥250G固态+ 1T硬盘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网络专线</w:t>
            </w:r>
          </w:p>
        </w:tc>
        <w:tc>
          <w:tcPr>
            <w:tcW w:w="5413" w:type="dxa"/>
          </w:tcPr>
          <w:p>
            <w:pPr>
              <w:rPr>
                <w:rFonts w:hint="eastAsia" w:ascii="宋体" w:hAnsi="宋体" w:eastAsia="宋体" w:cs="宋体"/>
                <w:sz w:val="21"/>
                <w:szCs w:val="21"/>
              </w:rPr>
            </w:pPr>
            <w:r>
              <w:rPr>
                <w:rFonts w:hint="eastAsia" w:ascii="宋体" w:hAnsi="宋体" w:eastAsia="宋体" w:cs="宋体"/>
                <w:sz w:val="21"/>
                <w:szCs w:val="21"/>
              </w:rPr>
              <w:t>数量：公网网络专线一根</w:t>
            </w:r>
          </w:p>
          <w:p>
            <w:pPr>
              <w:rPr>
                <w:rFonts w:hint="eastAsia" w:ascii="宋体" w:hAnsi="宋体" w:eastAsia="宋体" w:cs="宋体"/>
                <w:sz w:val="21"/>
                <w:szCs w:val="21"/>
              </w:rPr>
            </w:pPr>
            <w:r>
              <w:rPr>
                <w:rFonts w:hint="eastAsia" w:ascii="宋体" w:hAnsi="宋体" w:eastAsia="宋体" w:cs="宋体"/>
                <w:sz w:val="21"/>
                <w:szCs w:val="21"/>
              </w:rPr>
              <w:t>IP：含公网固定IP一个</w:t>
            </w:r>
          </w:p>
          <w:p>
            <w:pPr>
              <w:rPr>
                <w:rFonts w:hint="eastAsia" w:ascii="宋体" w:hAnsi="宋体" w:eastAsia="宋体" w:cs="宋体"/>
                <w:sz w:val="21"/>
                <w:szCs w:val="21"/>
              </w:rPr>
            </w:pPr>
            <w:r>
              <w:rPr>
                <w:rFonts w:hint="eastAsia" w:ascii="宋体" w:hAnsi="宋体" w:eastAsia="宋体" w:cs="宋体"/>
                <w:sz w:val="21"/>
                <w:szCs w:val="21"/>
              </w:rPr>
              <w:t>带宽：上下行对等800M(前期≥300M，业务成熟后动态扩展至800M)</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w:t>
      </w:r>
      <w:r>
        <w:rPr>
          <w:rFonts w:hint="eastAsia" w:ascii="宋体" w:hAnsi="宋体" w:cs="宋体"/>
          <w:b/>
          <w:bCs/>
          <w:sz w:val="21"/>
          <w:szCs w:val="21"/>
          <w:lang w:val="en-US" w:eastAsia="zh-CN"/>
        </w:rPr>
        <w:t>、</w:t>
      </w:r>
      <w:r>
        <w:rPr>
          <w:rFonts w:hint="eastAsia" w:ascii="宋体" w:hAnsi="宋体" w:eastAsia="宋体" w:cs="宋体"/>
          <w:b/>
          <w:bCs/>
          <w:sz w:val="21"/>
          <w:szCs w:val="21"/>
          <w:lang w:val="en-US" w:eastAsia="zh-CN"/>
        </w:rPr>
        <w:t>网络要求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4.1</w:t>
      </w:r>
      <w:r>
        <w:rPr>
          <w:rFonts w:hint="eastAsia" w:ascii="宋体" w:hAnsi="宋体" w:eastAsia="宋体" w:cs="宋体"/>
          <w:sz w:val="21"/>
          <w:szCs w:val="21"/>
          <w:lang w:val="en-US" w:eastAsia="zh-CN"/>
        </w:rPr>
        <w:t>云胶片影像文件查看需要消耗较高的网络带宽，云胶片系统网络配置要求如下：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①公网固定IP地址（或固定域名地址）一个，用于分配给前置服务器，公网可以访问前置服务器。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②带宽上行下行不小于800M。前期≥300M，业务成熟后可扩展至800M。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③为了保证数据安全，前置服务器必须接入医院现有的防火墙。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宋体" w:hAnsi="宋体" w:cs="宋体"/>
          <w:kern w:val="2"/>
          <w:sz w:val="21"/>
          <w:szCs w:val="24"/>
          <w:lang w:val="en-US" w:eastAsia="zh-CN" w:bidi="ar-SA"/>
        </w:rPr>
      </w:pPr>
    </w:p>
    <w:p>
      <w:pPr>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b/>
          <w:bCs/>
          <w:color w:val="auto"/>
          <w:sz w:val="30"/>
          <w:szCs w:val="30"/>
          <w:highlight w:val="none"/>
        </w:rPr>
      </w:pPr>
    </w:p>
    <w:p>
      <w:pPr>
        <w:pStyle w:val="14"/>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4"/>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合同签订后30日内。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kern w:val="0"/>
                <w:szCs w:val="21"/>
                <w:highlight w:val="none"/>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kern w:val="0"/>
                <w:szCs w:val="21"/>
                <w:highlight w:val="none"/>
                <w:lang w:eastAsia="zh-CN"/>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5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sz w:val="21"/>
                <w:szCs w:val="21"/>
                <w:lang w:val="en-US" w:eastAsia="zh-CN"/>
              </w:rPr>
            </w:pPr>
            <w:r>
              <w:rPr>
                <w:rFonts w:hint="eastAsia" w:ascii="宋体" w:hAnsi="宋体" w:cs="宋体"/>
                <w:color w:val="auto"/>
                <w:kern w:val="0"/>
                <w:szCs w:val="21"/>
                <w:highlight w:val="none"/>
              </w:rPr>
              <w:t>服务响应要求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技术支持人员在15分钟内对用户故障予以响应，同时根据系统不同级别的故障分别提供不同的处理时间。</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一级严重性：系统停机、运行状态危急或系统仍在运行但功能被严重削弱，需立即解决，接到故障报告后要在30分钟内进行远程处理。</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二级严重性：机器的运转在某程度上受到削弱，需尽快加以解决的，接到故障报告后1小时内进行远程处理。</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三级严重性：正确的操作可预防其发生。该类问题出现时，一般不影响用户使用的，接到故障报告后8小时内进行处理。</w:t>
            </w:r>
          </w:p>
          <w:p>
            <w:pPr>
              <w:widowControl/>
              <w:snapToGrid w:val="0"/>
              <w:spacing w:line="360" w:lineRule="auto"/>
              <w:rPr>
                <w:rFonts w:hint="eastAsia" w:ascii="宋体" w:hAnsi="宋体" w:eastAsia="宋体" w:cs="宋体"/>
                <w:sz w:val="21"/>
                <w:szCs w:val="21"/>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为了保证服务的及时性，需提供远程问题处理服务，对于特殊情况下无法进行远程处理的，尽快赴现场处理。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color w:val="auto"/>
                <w:kern w:val="0"/>
                <w:szCs w:val="21"/>
                <w:highlight w:val="none"/>
              </w:rPr>
              <w:t>售后服务要求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软件提供方所提供的软件免费维护质保期</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年。时间自项目整体最终验收合格并交付使用之日起计算。</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软件验收合格后，软件提供方至少有2名技术人员为本项目提供售后技术服务。运维技术人员全程提供技术运维维护功能，包括数据安全、软件系统BUG修改，系统性能优化等。更新系统运行环境必须的补丁，并保证升级后的兼容性。</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因特殊原因，提供必要的软件产品的部署及支持服务，还有包括由此带来的数据迁移服务。</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指定数据备份计划，包括完整的、增量的等。根据备份计划提供数据备份服务，并定期检验数据备份的有效性。</w:t>
            </w:r>
          </w:p>
          <w:p>
            <w:pPr>
              <w:widowControl/>
              <w:snapToGrid w:val="0"/>
              <w:spacing w:line="360" w:lineRule="auto"/>
              <w:rPr>
                <w:rFonts w:hint="eastAsia" w:ascii="宋体" w:hAnsi="宋体" w:eastAsia="宋体" w:cs="宋体"/>
                <w:sz w:val="21"/>
                <w:szCs w:val="21"/>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对软件的运行环境（包括操作性，中间件）及时安装补丁和查杀病毒服务。</w:t>
            </w:r>
          </w:p>
        </w:tc>
      </w:tr>
    </w:tbl>
    <w:p>
      <w:pPr>
        <w:keepNext w:val="0"/>
        <w:keepLines w:val="0"/>
        <w:pageBreakBefore w:val="0"/>
        <w:widowControl w:val="0"/>
        <w:kinsoku/>
        <w:wordWrap/>
        <w:overflowPunct/>
        <w:topLinePunct w:val="0"/>
        <w:autoSpaceDE/>
        <w:autoSpaceDN/>
        <w:bidi w:val="0"/>
        <w:adjustRightInd/>
        <w:snapToGrid w:val="0"/>
        <w:spacing w:before="480" w:beforeLines="150" w:line="480" w:lineRule="auto"/>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w:t>
            </w:r>
            <w:r>
              <w:rPr>
                <w:rFonts w:hint="eastAsia" w:cs="Times New Roman"/>
                <w:lang w:val="en-US" w:eastAsia="zh-CN"/>
              </w:rPr>
              <w:t>一</w:t>
            </w:r>
            <w:r>
              <w:rPr>
                <w:rFonts w:hint="eastAsia" w:ascii="Times New Roman" w:hAnsi="Times New Roman" w:eastAsia="宋体" w:cs="Times New Roman"/>
                <w:lang w:val="en-US" w:eastAsia="zh-CN"/>
              </w:rPr>
              <w:t>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w:t>
            </w:r>
            <w:r>
              <w:rPr>
                <w:rFonts w:hint="eastAsia" w:cs="Times New Roman"/>
                <w:lang w:val="en-US" w:eastAsia="zh-CN"/>
              </w:rPr>
              <w:t>部分</w:t>
            </w:r>
            <w:r>
              <w:rPr>
                <w:rFonts w:hint="eastAsia" w:ascii="Times New Roman" w:hAnsi="Times New Roman" w:eastAsia="宋体" w:cs="Times New Roman"/>
                <w:lang w:val="en-US" w:eastAsia="zh-CN"/>
              </w:rPr>
              <w:t>、商务响应</w:t>
            </w:r>
            <w:r>
              <w:rPr>
                <w:rFonts w:hint="eastAsia" w:cs="Times New Roman"/>
                <w:lang w:val="en-US" w:eastAsia="zh-CN"/>
              </w:rPr>
              <w:t>部分</w:t>
            </w:r>
            <w:r>
              <w:rPr>
                <w:rFonts w:hint="eastAsia" w:ascii="Times New Roman" w:hAnsi="Times New Roman" w:eastAsia="宋体" w:cs="Times New Roman"/>
                <w:lang w:val="en-US" w:eastAsia="zh-CN"/>
              </w:rPr>
              <w:t>等内容以对采购文件作出响应。</w:t>
            </w:r>
          </w:p>
        </w:tc>
      </w:tr>
    </w:tbl>
    <w:p>
      <w:pPr>
        <w:rPr>
          <w:color w:val="auto"/>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outlineLvl w:val="0"/>
        <w:rPr>
          <w:b/>
          <w:bCs/>
          <w:color w:val="auto"/>
          <w:sz w:val="32"/>
          <w:szCs w:val="32"/>
          <w:highlight w:val="none"/>
        </w:rPr>
      </w:pPr>
      <w:r>
        <w:rPr>
          <w:rFonts w:hint="eastAsia"/>
          <w:b/>
          <w:bCs/>
          <w:color w:val="auto"/>
          <w:sz w:val="32"/>
          <w:szCs w:val="32"/>
          <w:highlight w:val="none"/>
        </w:rPr>
        <w:t xml:space="preserve">第三章  </w:t>
      </w:r>
      <w:r>
        <w:rPr>
          <w:rFonts w:hint="eastAsia"/>
          <w:b/>
          <w:bCs/>
          <w:color w:val="auto"/>
          <w:sz w:val="32"/>
          <w:szCs w:val="32"/>
          <w:highlight w:val="none"/>
          <w:lang w:eastAsia="zh-CN"/>
        </w:rPr>
        <w:t>供应商</w:t>
      </w:r>
      <w:r>
        <w:rPr>
          <w:rFonts w:hint="eastAsia"/>
          <w:b/>
          <w:bCs/>
          <w:color w:val="auto"/>
          <w:sz w:val="32"/>
          <w:szCs w:val="32"/>
          <w:highlight w:val="none"/>
        </w:rPr>
        <w:t>须知</w:t>
      </w:r>
      <w:bookmarkEnd w:id="35"/>
    </w:p>
    <w:p>
      <w:pPr>
        <w:snapToGrid w:val="0"/>
        <w:spacing w:beforeLines="50" w:line="360" w:lineRule="auto"/>
        <w:jc w:val="center"/>
        <w:outlineLvl w:val="1"/>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ascii="宋体" w:hAnsi="宋体" w:cs="宋体"/>
                <w:color w:val="auto"/>
                <w:szCs w:val="21"/>
                <w:highlight w:val="none"/>
                <w:shd w:val="clear" w:color="auto" w:fill="FFFFFF"/>
                <w:lang w:val="en-US" w:eastAsia="zh-CN"/>
              </w:rPr>
              <w:t>驻马店市中心医院影像云胶片系统采购项目</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 xml:space="preserve"> 28万元</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w:t>
            </w:r>
            <w:r>
              <w:rPr>
                <w:rFonts w:hint="eastAsia" w:ascii="宋体" w:hAnsi="宋体" w:cs="宋体"/>
                <w:color w:val="auto"/>
                <w:kern w:val="0"/>
                <w:szCs w:val="21"/>
                <w:highlight w:val="none"/>
                <w:lang w:val="en-US" w:eastAsia="zh-CN"/>
              </w:rPr>
              <w:t>一</w:t>
            </w:r>
            <w:r>
              <w:rPr>
                <w:rFonts w:hint="eastAsia" w:ascii="宋体" w:hAnsi="宋体" w:cs="宋体"/>
                <w:color w:val="auto"/>
                <w:kern w:val="0"/>
                <w:szCs w:val="21"/>
                <w:highlight w:val="none"/>
              </w:rPr>
              <w:t>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官网</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30日</w:t>
            </w:r>
            <w:r>
              <w:rPr>
                <w:rFonts w:hint="eastAsia" w:ascii="宋体" w:hAnsi="宋体" w:cs="宋体"/>
                <w:color w:val="auto"/>
                <w:kern w:val="0"/>
                <w:szCs w:val="21"/>
                <w:highlight w:val="none"/>
              </w:rPr>
              <w:t>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outlineLvl w:val="1"/>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lang w:eastAsia="zh-CN"/>
          <w14:textFill>
            <w14:solidFill>
              <w14:schemeClr w14:val="tx1"/>
            </w14:solidFill>
          </w14:textFill>
        </w:rPr>
        <w:t>（货物）</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代表”系指代表</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w:t>
      </w:r>
      <w:r>
        <w:rPr>
          <w:rFonts w:hint="eastAsia" w:ascii="宋体" w:hAnsi="宋体" w:cs="宋体"/>
          <w:color w:val="000000" w:themeColor="text1"/>
          <w:kern w:val="0"/>
          <w:szCs w:val="21"/>
          <w:highlight w:val="none"/>
          <w:lang w:eastAsia="zh-CN"/>
          <w14:textFill>
            <w14:solidFill>
              <w14:schemeClr w14:val="tx1"/>
            </w14:solidFill>
          </w14:textFill>
        </w:rPr>
        <w:t>供应商</w:t>
      </w:r>
      <w:r>
        <w:rPr>
          <w:rFonts w:hint="eastAsia" w:ascii="宋体" w:hAnsi="宋体" w:cs="宋体"/>
          <w:color w:val="000000" w:themeColor="text1"/>
          <w:kern w:val="0"/>
          <w:szCs w:val="21"/>
          <w:highlight w:val="none"/>
          <w14:textFill>
            <w14:solidFill>
              <w14:schemeClr w14:val="tx1"/>
            </w14:solidFill>
          </w14:textFill>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 xml:space="preserve"> 28万元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最高投标限价</w:t>
      </w:r>
      <w:r>
        <w:rPr>
          <w:rFonts w:hint="eastAsia" w:ascii="宋体" w:hAnsi="宋体" w:cs="宋体"/>
          <w:b/>
          <w:bCs/>
          <w:color w:val="auto"/>
          <w:kern w:val="0"/>
          <w:szCs w:val="21"/>
          <w:highlight w:val="none"/>
          <w:lang w:val="en-US" w:eastAsia="zh-CN"/>
        </w:rPr>
        <w:t>28万元</w:t>
      </w:r>
      <w:r>
        <w:rPr>
          <w:rFonts w:hint="eastAsia" w:ascii="宋体" w:hAnsi="宋体" w:cs="宋体"/>
          <w:b/>
          <w:bCs/>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4.1 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 供应商应提供2022年度经审计的财务报告或者其基本开户银行出具的资信证明；采购活动近三个月或上个季度任意一个月的依法缴纳税收的凭据；依法免税的供应商，应提供相应文件证明其依法免税。（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4.3 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4.4 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cs="宋体"/>
          <w:color w:val="auto"/>
          <w:lang w:val="en-US" w:eastAsia="zh-CN"/>
        </w:rPr>
        <w:t>5</w:t>
      </w:r>
      <w:r>
        <w:rPr>
          <w:rFonts w:hint="eastAsia" w:ascii="宋体" w:hAnsi="宋体" w:eastAsia="宋体" w:cs="宋体"/>
          <w:color w:val="auto"/>
          <w:lang w:val="en-US" w:eastAsia="zh-CN"/>
        </w:rPr>
        <w:t xml:space="preserve"> 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9.1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代表只能接受一个</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w:t>
      </w:r>
      <w:r>
        <w:rPr>
          <w:rFonts w:hint="eastAsia" w:ascii="宋体" w:hAnsi="宋体" w:cs="宋体"/>
          <w:b/>
          <w:bCs/>
          <w:color w:val="auto"/>
          <w:kern w:val="0"/>
          <w:szCs w:val="21"/>
          <w:highlight w:val="none"/>
          <w:lang w:eastAsia="zh-CN"/>
        </w:rPr>
        <w:t>供应商</w:t>
      </w:r>
      <w:r>
        <w:rPr>
          <w:rFonts w:hint="eastAsia" w:ascii="宋体" w:hAnsi="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通知所有潜在供应商</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资格要求、技术要求、商务要求和投标文件格式中对投标的要求），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14.2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公章。必要时评标委员会可以要求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w:t>
      </w:r>
      <w:r>
        <w:rPr>
          <w:rFonts w:hint="eastAsia"/>
          <w:color w:val="auto"/>
          <w:sz w:val="21"/>
          <w:szCs w:val="21"/>
          <w:highlight w:val="none"/>
          <w:lang w:eastAsia="zh-CN"/>
        </w:rPr>
        <w:t>供应商</w:t>
      </w:r>
      <w:r>
        <w:rPr>
          <w:rFonts w:hint="eastAsia"/>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同意延长有效期，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可以拒绝上述要求。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答复不明确或者逾期未答复的，均视为拒绝上述要求。对于接受该要求的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lang w:eastAsia="zh-CN"/>
        </w:rPr>
        <w:t>供应商</w:t>
      </w:r>
      <w:r>
        <w:rPr>
          <w:rFonts w:hint="eastAsia" w:ascii="宋体" w:hAnsi="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的法定代表人盖章或盖单位公章；投标文件应尽量避免涂改、行间插字或删除，如果出现上述情况，改动之处应加盖单位公章或由</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w:t>
      </w:r>
      <w:r>
        <w:rPr>
          <w:rFonts w:hint="eastAsia" w:ascii="宋体" w:hAnsi="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递交投标文件的地点：见</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须知前附表另有规定外，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23.1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 xml:space="preserve">23.2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在投标截止期后不得修改、撤回投标文件。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确认后产生约束力，</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w:t>
      </w:r>
      <w:r>
        <w:rPr>
          <w:rFonts w:hint="eastAsia" w:ascii="宋体" w:hAnsi="宋体"/>
          <w:color w:val="auto"/>
          <w:szCs w:val="21"/>
          <w:highlight w:val="none"/>
          <w:lang w:eastAsia="zh-CN"/>
        </w:rPr>
        <w:t>供应商</w:t>
      </w:r>
      <w:r>
        <w:rPr>
          <w:rFonts w:hint="eastAsia" w:ascii="宋体" w:hAnsi="宋体"/>
          <w:color w:val="auto"/>
          <w:szCs w:val="21"/>
          <w:highlight w:val="none"/>
        </w:rPr>
        <w:t>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w:t>
      </w:r>
      <w:r>
        <w:rPr>
          <w:rFonts w:hint="eastAsia" w:ascii="宋体" w:hAnsi="宋体"/>
          <w:color w:val="auto"/>
          <w:szCs w:val="21"/>
          <w:highlight w:val="none"/>
          <w:lang w:eastAsia="zh-CN"/>
        </w:rPr>
        <w:t>供应商</w:t>
      </w:r>
      <w:r>
        <w:rPr>
          <w:rFonts w:hint="eastAsia" w:ascii="宋体" w:hAnsi="宋体"/>
          <w:color w:val="auto"/>
          <w:szCs w:val="21"/>
          <w:highlight w:val="none"/>
        </w:rPr>
        <w:t>应提交的证明文件所述的资格标准对</w:t>
      </w:r>
      <w:r>
        <w:rPr>
          <w:rFonts w:hint="eastAsia" w:ascii="宋体" w:hAnsi="宋体"/>
          <w:color w:val="auto"/>
          <w:szCs w:val="21"/>
          <w:highlight w:val="none"/>
          <w:lang w:eastAsia="zh-CN"/>
        </w:rPr>
        <w:t>供应商</w:t>
      </w:r>
      <w:r>
        <w:rPr>
          <w:rFonts w:hint="eastAsia" w:ascii="宋体" w:hAnsi="宋体"/>
          <w:color w:val="auto"/>
          <w:szCs w:val="21"/>
          <w:highlight w:val="none"/>
        </w:rPr>
        <w:t>进行资格审查,以确定其是否具备投标资格。如果</w:t>
      </w:r>
      <w:r>
        <w:rPr>
          <w:rFonts w:hint="eastAsia" w:ascii="宋体" w:hAnsi="宋体"/>
          <w:color w:val="auto"/>
          <w:szCs w:val="21"/>
          <w:highlight w:val="none"/>
          <w:lang w:eastAsia="zh-CN"/>
        </w:rPr>
        <w:t>供应商</w:t>
      </w:r>
      <w:r>
        <w:rPr>
          <w:rFonts w:hint="eastAsia" w:ascii="宋体" w:hAnsi="宋体"/>
          <w:color w:val="auto"/>
          <w:szCs w:val="21"/>
          <w:highlight w:val="none"/>
        </w:rPr>
        <w:t>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应在规定的时限内提供。</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w:t>
      </w:r>
      <w:r>
        <w:rPr>
          <w:rFonts w:hint="eastAsia" w:ascii="宋体" w:hAnsi="宋体" w:cs="Lucida Sans Unicode"/>
          <w:color w:val="auto"/>
          <w:szCs w:val="21"/>
          <w:highlight w:val="none"/>
          <w:lang w:eastAsia="zh-CN"/>
        </w:rPr>
        <w:t>供应商</w:t>
      </w:r>
      <w:r>
        <w:rPr>
          <w:rFonts w:hint="eastAsia" w:ascii="宋体" w:hAnsi="宋体" w:cs="Lucida Sans Unicode"/>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交货期</w:t>
      </w:r>
      <w:r>
        <w:rPr>
          <w:rFonts w:hint="eastAsia" w:ascii="宋体" w:hAnsi="宋体"/>
          <w:color w:val="auto"/>
          <w:szCs w:val="21"/>
          <w:highlight w:val="none"/>
        </w:rPr>
        <w:t>、</w:t>
      </w:r>
      <w:r>
        <w:rPr>
          <w:rFonts w:hint="eastAsia" w:ascii="宋体" w:hAnsi="宋体"/>
          <w:color w:val="auto"/>
          <w:szCs w:val="21"/>
          <w:highlight w:val="none"/>
          <w:lang w:eastAsia="zh-CN"/>
        </w:rPr>
        <w:t>质量</w:t>
      </w:r>
      <w:r>
        <w:rPr>
          <w:rFonts w:hint="eastAsia" w:ascii="宋体" w:hAnsi="宋体"/>
          <w:color w:val="auto"/>
          <w:szCs w:val="21"/>
          <w:highlight w:val="none"/>
        </w:rPr>
        <w:t>等</w:t>
      </w:r>
      <w:r>
        <w:rPr>
          <w:rFonts w:hint="eastAsia" w:ascii="宋体" w:hAnsi="宋体"/>
          <w:color w:val="000000" w:themeColor="text1"/>
          <w:szCs w:val="21"/>
          <w:highlight w:val="none"/>
          <w14:textFill>
            <w14:solidFill>
              <w14:schemeClr w14:val="tx1"/>
            </w14:solidFill>
          </w14:textFill>
        </w:rPr>
        <w:t>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作出必要的澄清。</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的澄清应当在评标委员会规定的时间内以书面形式作出，由其</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代表签字。但澄清事项不得超出投标文件的范围，不得实质性改变投标文件的内容，不得通过澄清等方式对</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实行差别对待。评标委员会不得接受</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的报价明显低于其他通过符合性审查</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outlineLvl w:val="1"/>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w:t>
      </w:r>
      <w:r>
        <w:rPr>
          <w:rFonts w:hint="eastAsia" w:ascii="宋体" w:hAnsi="宋体" w:cs="宋体"/>
          <w:bCs/>
          <w:color w:val="auto"/>
          <w:kern w:val="0"/>
          <w:szCs w:val="21"/>
          <w:highlight w:val="none"/>
          <w:lang w:val="en-US" w:eastAsia="zh-CN"/>
        </w:rPr>
        <w:t>一</w:t>
      </w:r>
      <w:r>
        <w:rPr>
          <w:rFonts w:hint="eastAsia" w:ascii="宋体" w:hAnsi="宋体" w:cs="宋体"/>
          <w:bCs/>
          <w:color w:val="auto"/>
          <w:kern w:val="0"/>
          <w:szCs w:val="21"/>
          <w:highlight w:val="none"/>
        </w:rPr>
        <w:t>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w:t>
      </w:r>
      <w:r>
        <w:rPr>
          <w:rFonts w:hint="eastAsia" w:ascii="宋体" w:hAnsi="宋体" w:cs="宋体"/>
          <w:bCs/>
          <w:color w:val="auto"/>
          <w:kern w:val="0"/>
          <w:szCs w:val="21"/>
          <w:highlight w:val="none"/>
          <w:lang w:eastAsia="zh-CN"/>
        </w:rPr>
        <w:t>供应商</w:t>
      </w:r>
      <w:r>
        <w:rPr>
          <w:rFonts w:hint="eastAsia" w:ascii="宋体" w:hAnsi="宋体" w:cs="宋体"/>
          <w:bCs/>
          <w:color w:val="auto"/>
          <w:kern w:val="0"/>
          <w:szCs w:val="21"/>
          <w:highlight w:val="none"/>
        </w:rPr>
        <w:t>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不足3家或通过资格性检查或符合性检查的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技术</w:t>
            </w:r>
            <w:r>
              <w:rPr>
                <w:rFonts w:hint="eastAsia" w:ascii="宋体" w:hAnsi="宋体" w:eastAsia="宋体" w:cs="宋体"/>
                <w:b w:val="0"/>
                <w:bCs w:val="0"/>
                <w:color w:val="auto"/>
                <w:sz w:val="21"/>
                <w:szCs w:val="21"/>
                <w:highlight w:val="none"/>
                <w:lang w:val="en-US" w:eastAsia="zh-CN"/>
              </w:rPr>
              <w:t>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实施方案</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供应商对项目实施方案的整体规划，包括</w:t>
            </w:r>
            <w:r>
              <w:rPr>
                <w:rFonts w:hint="eastAsia" w:ascii="宋体" w:hAnsi="宋体" w:cs="宋体"/>
                <w:highlight w:val="none"/>
                <w:lang w:val="en-US" w:eastAsia="zh-CN"/>
              </w:rPr>
              <w:t>软件开发方案、</w:t>
            </w:r>
            <w:r>
              <w:rPr>
                <w:rFonts w:hint="eastAsia" w:ascii="宋体" w:hAnsi="宋体" w:eastAsia="宋体" w:cs="宋体"/>
                <w:highlight w:val="none"/>
                <w:lang w:val="en-US" w:eastAsia="zh-CN"/>
              </w:rPr>
              <w:t>设备对接方案、调试方案、交货期保证措施。</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highlight w:val="none"/>
                <w:lang w:val="en-US" w:eastAsia="zh-CN"/>
              </w:rPr>
              <w:t>以上措施详细、合理、可行的</w:t>
            </w:r>
            <w:r>
              <w:rPr>
                <w:rFonts w:hint="eastAsia" w:ascii="宋体" w:hAnsi="宋体" w:cs="宋体"/>
                <w:highlight w:val="none"/>
                <w:lang w:val="en-US" w:eastAsia="zh-CN"/>
              </w:rPr>
              <w:t>11</w:t>
            </w:r>
            <w:r>
              <w:rPr>
                <w:rFonts w:hint="eastAsia" w:ascii="宋体" w:hAnsi="宋体" w:eastAsia="宋体" w:cs="宋体"/>
                <w:highlight w:val="none"/>
                <w:lang w:val="en-US" w:eastAsia="zh-CN"/>
              </w:rPr>
              <w:t>-1</w:t>
            </w:r>
            <w:r>
              <w:rPr>
                <w:rFonts w:hint="eastAsia" w:ascii="宋体" w:hAnsi="宋体" w:cs="宋体"/>
                <w:highlight w:val="none"/>
                <w:lang w:val="en-US" w:eastAsia="zh-CN"/>
              </w:rPr>
              <w:t>5</w:t>
            </w:r>
            <w:r>
              <w:rPr>
                <w:rFonts w:hint="eastAsia" w:ascii="宋体" w:hAnsi="宋体" w:eastAsia="宋体" w:cs="宋体"/>
                <w:highlight w:val="none"/>
                <w:lang w:val="en-US" w:eastAsia="zh-CN"/>
              </w:rPr>
              <w:t>分；基本详细、基本合理、基本可行的</w:t>
            </w: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cs="宋体"/>
                <w:highlight w:val="none"/>
                <w:lang w:val="en-US" w:eastAsia="zh-CN"/>
              </w:rPr>
              <w:t>10</w:t>
            </w:r>
            <w:r>
              <w:rPr>
                <w:rFonts w:hint="eastAsia" w:ascii="宋体" w:hAnsi="宋体" w:eastAsia="宋体" w:cs="宋体"/>
                <w:highlight w:val="none"/>
                <w:lang w:val="en-US" w:eastAsia="zh-CN"/>
              </w:rPr>
              <w:t>分；基本详细度、合理性差、可行性差的1-</w:t>
            </w:r>
            <w:r>
              <w:rPr>
                <w:rFonts w:hint="eastAsia" w:ascii="宋体" w:hAnsi="宋体" w:cs="宋体"/>
                <w:highlight w:val="none"/>
                <w:lang w:val="en-US" w:eastAsia="zh-CN"/>
              </w:rPr>
              <w:t>5</w:t>
            </w:r>
            <w:r>
              <w:rPr>
                <w:rFonts w:hint="eastAsia" w:ascii="宋体" w:hAnsi="宋体" w:eastAsia="宋体" w:cs="宋体"/>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w:t>
            </w:r>
            <w:r>
              <w:rPr>
                <w:rFonts w:hint="eastAsia" w:ascii="宋体" w:hAnsi="宋体" w:cs="宋体"/>
                <w:b w:val="0"/>
                <w:bCs w:val="0"/>
                <w:color w:val="auto"/>
                <w:sz w:val="21"/>
                <w:szCs w:val="21"/>
                <w:highlight w:val="none"/>
                <w:lang w:eastAsia="zh-CN"/>
              </w:rPr>
              <w:t>部分</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质保期</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6分</w:t>
            </w:r>
            <w:r>
              <w:rPr>
                <w:rFonts w:hint="eastAsia" w:ascii="宋体" w:hAnsi="宋体" w:eastAsia="宋体" w:cs="宋体"/>
                <w:b w:val="0"/>
                <w:bCs w:val="0"/>
                <w:color w:val="auto"/>
                <w:kern w:val="0"/>
                <w:sz w:val="21"/>
                <w:szCs w:val="21"/>
                <w:highlight w:val="none"/>
                <w:lang w:eastAsia="zh-CN"/>
              </w:rPr>
              <w:t>）</w:t>
            </w:r>
          </w:p>
        </w:tc>
        <w:tc>
          <w:tcPr>
            <w:tcW w:w="6770" w:type="dxa"/>
            <w:noWrap w:val="0"/>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w:t>
            </w:r>
            <w:r>
              <w:rPr>
                <w:rFonts w:hint="eastAsia" w:ascii="宋体" w:hAnsi="宋体" w:cs="宋体"/>
                <w:lang w:val="en-US" w:eastAsia="zh-CN"/>
              </w:rPr>
              <w:t>11</w:t>
            </w:r>
            <w:r>
              <w:rPr>
                <w:rFonts w:hint="eastAsia" w:ascii="宋体" w:hAnsi="宋体" w:eastAsia="宋体" w:cs="宋体"/>
              </w:rPr>
              <w:t>-1</w:t>
            </w:r>
            <w:r>
              <w:rPr>
                <w:rFonts w:hint="eastAsia" w:ascii="宋体" w:hAnsi="宋体" w:cs="宋体"/>
                <w:lang w:val="en-US" w:eastAsia="zh-CN"/>
              </w:rPr>
              <w:t>5</w:t>
            </w:r>
            <w:r>
              <w:rPr>
                <w:rFonts w:hint="eastAsia" w:ascii="宋体" w:hAnsi="宋体" w:eastAsia="宋体" w:cs="宋体"/>
              </w:rPr>
              <w:t>分，具体、完善、合理性程度一般得</w:t>
            </w:r>
            <w:r>
              <w:rPr>
                <w:rFonts w:hint="eastAsia" w:ascii="宋体" w:hAnsi="宋体" w:cs="宋体"/>
                <w:lang w:val="en-US" w:eastAsia="zh-CN"/>
              </w:rPr>
              <w:t>6</w:t>
            </w:r>
            <w:r>
              <w:rPr>
                <w:rFonts w:hint="eastAsia" w:ascii="宋体" w:hAnsi="宋体" w:eastAsia="宋体" w:cs="宋体"/>
              </w:rPr>
              <w:t>-</w:t>
            </w:r>
            <w:r>
              <w:rPr>
                <w:rFonts w:hint="eastAsia" w:ascii="宋体" w:hAnsi="宋体" w:cs="宋体"/>
                <w:lang w:val="en-US" w:eastAsia="zh-CN"/>
              </w:rPr>
              <w:t>10</w:t>
            </w:r>
            <w:r>
              <w:rPr>
                <w:rFonts w:hint="eastAsia" w:ascii="宋体" w:hAnsi="宋体" w:eastAsia="宋体" w:cs="宋体"/>
              </w:rPr>
              <w:t>分，具体、完善、合理性程度差得1-</w:t>
            </w:r>
            <w:r>
              <w:rPr>
                <w:rFonts w:hint="eastAsia" w:ascii="宋体" w:hAnsi="宋体" w:cs="宋体"/>
                <w:lang w:val="en-US" w:eastAsia="zh-CN"/>
              </w:rPr>
              <w:t>5</w:t>
            </w:r>
            <w:r>
              <w:rPr>
                <w:rFonts w:hint="eastAsia" w:ascii="宋体" w:hAnsi="宋体" w:eastAsia="宋体" w:cs="宋体"/>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326786897"/>
      <w:bookmarkStart w:id="44" w:name="_Toc256519703"/>
    </w:p>
    <w:p>
      <w:pPr>
        <w:pStyle w:val="2"/>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2"/>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rFonts w:hint="default"/>
          <w:color w:val="auto"/>
          <w:sz w:val="24"/>
          <w:highlight w:val="none"/>
          <w:lang w:val="en-US"/>
        </w:rPr>
      </w:pPr>
      <w:bookmarkStart w:id="51" w:name="_Toc9579"/>
      <w:r>
        <w:rPr>
          <w:rFonts w:hint="eastAsia"/>
          <w:color w:val="auto"/>
          <w:sz w:val="24"/>
          <w:highlight w:val="none"/>
        </w:rPr>
        <w:t xml:space="preserve">附件4 </w:t>
      </w:r>
      <w:bookmarkEnd w:id="51"/>
      <w:r>
        <w:rPr>
          <w:rFonts w:hint="eastAsia"/>
          <w:color w:val="auto"/>
          <w:sz w:val="24"/>
          <w:highlight w:val="none"/>
          <w:lang w:val="en-US" w:eastAsia="zh-CN"/>
        </w:rPr>
        <w:t>报价明细表</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2"/>
    </w:p>
    <w:p>
      <w:pPr>
        <w:snapToGrid w:val="0"/>
        <w:spacing w:line="360" w:lineRule="auto"/>
        <w:ind w:firstLine="480" w:firstLineChars="200"/>
        <w:rPr>
          <w:rFonts w:hint="eastAsia" w:eastAsia="宋体"/>
          <w:color w:val="auto"/>
          <w:sz w:val="24"/>
          <w:highlight w:val="none"/>
          <w:lang w:val="en-US" w:eastAsia="zh-CN"/>
        </w:rPr>
      </w:pPr>
      <w:bookmarkStart w:id="53" w:name="_Toc6234"/>
      <w:r>
        <w:rPr>
          <w:rFonts w:hint="eastAsia"/>
          <w:color w:val="auto"/>
          <w:sz w:val="24"/>
          <w:highlight w:val="none"/>
        </w:rPr>
        <w:t>附件6 商务</w:t>
      </w:r>
      <w:bookmarkEnd w:id="53"/>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4"/>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55"/>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附件9 证明文件</w:t>
      </w:r>
      <w:bookmarkEnd w:id="56"/>
    </w:p>
    <w:p>
      <w:pPr>
        <w:snapToGrid w:val="0"/>
        <w:spacing w:line="360" w:lineRule="auto"/>
        <w:ind w:firstLine="480" w:firstLineChars="200"/>
        <w:rPr>
          <w:rFonts w:hint="eastAsia"/>
          <w:color w:val="auto"/>
          <w:sz w:val="24"/>
          <w:highlight w:val="none"/>
        </w:rPr>
      </w:pPr>
      <w:bookmarkStart w:id="57" w:name="_Toc23116"/>
      <w:r>
        <w:rPr>
          <w:rFonts w:hint="eastAsia"/>
          <w:color w:val="auto"/>
          <w:sz w:val="24"/>
          <w:highlight w:val="none"/>
        </w:rPr>
        <w:t>附件10 供应商承诺书（格式）</w:t>
      </w:r>
      <w:bookmarkEnd w:id="57"/>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5"/>
        <w:rPr>
          <w:color w:val="auto"/>
          <w:highlight w:val="none"/>
        </w:rPr>
      </w:pPr>
    </w:p>
    <w:p>
      <w:pPr>
        <w:pStyle w:val="6"/>
        <w:rPr>
          <w:color w:val="auto"/>
          <w:highlight w:val="none"/>
        </w:rPr>
      </w:pPr>
      <w:bookmarkStart w:id="58" w:name="_Toc24743"/>
      <w:bookmarkStart w:id="59" w:name="_Toc31798"/>
      <w:r>
        <w:rPr>
          <w:rFonts w:hint="eastAsia"/>
          <w:color w:val="auto"/>
          <w:highlight w:val="none"/>
        </w:rPr>
        <w:t>附件1               投标文件封面（格式）</w:t>
      </w:r>
      <w:bookmarkEnd w:id="58"/>
      <w:bookmarkEnd w:id="59"/>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w:t>
      </w:r>
      <w:r>
        <w:rPr>
          <w:rFonts w:hint="eastAsia" w:ascii="宋体" w:hAnsi="宋体" w:cs="宋体"/>
          <w:b/>
          <w:snapToGrid w:val="0"/>
          <w:color w:val="auto"/>
          <w:spacing w:val="0"/>
          <w:kern w:val="0"/>
          <w:sz w:val="44"/>
          <w:szCs w:val="44"/>
          <w:highlight w:val="none"/>
          <w:u w:val="none"/>
          <w:lang w:val="en-US" w:eastAsia="zh-CN"/>
        </w:rPr>
        <w:t>市</w:t>
      </w:r>
      <w:r>
        <w:rPr>
          <w:rFonts w:hint="eastAsia" w:ascii="宋体" w:hAnsi="宋体" w:eastAsia="宋体" w:cs="宋体"/>
          <w:b/>
          <w:snapToGrid w:val="0"/>
          <w:color w:val="auto"/>
          <w:spacing w:val="0"/>
          <w:kern w:val="0"/>
          <w:sz w:val="44"/>
          <w:szCs w:val="44"/>
          <w:highlight w:val="none"/>
          <w:u w:val="none"/>
          <w:lang w:val="en-US" w:eastAsia="zh-CN"/>
        </w:rPr>
        <w:t>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6"/>
        <w:rPr>
          <w:color w:val="auto"/>
          <w:highlight w:val="none"/>
        </w:rPr>
      </w:pPr>
      <w:bookmarkStart w:id="60" w:name="_Toc14560"/>
      <w:bookmarkStart w:id="61" w:name="_Toc8818"/>
      <w:r>
        <w:rPr>
          <w:rFonts w:hint="eastAsia"/>
          <w:color w:val="auto"/>
          <w:highlight w:val="none"/>
        </w:rPr>
        <w:t>附件2               投  标  书（格式）</w:t>
      </w:r>
      <w:bookmarkEnd w:id="60"/>
      <w:bookmarkEnd w:id="61"/>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u w:val="single"/>
          <w:lang w:eastAsia="zh-CN"/>
        </w:rPr>
        <w:t>供应商</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w:t>
      </w:r>
      <w:r>
        <w:rPr>
          <w:rFonts w:hint="eastAsia" w:ascii="宋体" w:hAnsi="宋体" w:cs="宋体"/>
          <w:color w:val="auto"/>
          <w:kern w:val="0"/>
          <w:szCs w:val="21"/>
          <w:highlight w:val="none"/>
          <w:lang w:val="en-US" w:eastAsia="zh-CN"/>
        </w:rPr>
        <w:t>或盖章</w:t>
      </w:r>
      <w:r>
        <w:rPr>
          <w:rFonts w:hint="eastAsia" w:ascii="宋体" w:hAnsi="宋体" w:cs="宋体"/>
          <w:color w:val="auto"/>
          <w:kern w:val="0"/>
          <w:szCs w:val="21"/>
          <w:highlight w:val="none"/>
        </w:rPr>
        <w:t xml:space="preserve">：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6"/>
        <w:spacing w:before="20" w:after="20"/>
        <w:rPr>
          <w:color w:val="auto"/>
          <w:highlight w:val="none"/>
        </w:rPr>
      </w:pPr>
      <w:bookmarkStart w:id="62" w:name="_Toc7838"/>
      <w:r>
        <w:rPr>
          <w:rFonts w:hint="eastAsia"/>
          <w:color w:val="auto"/>
          <w:highlight w:val="none"/>
        </w:rPr>
        <w:t>附件3               开标一览表</w:t>
      </w:r>
      <w:bookmarkEnd w:id="62"/>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ascii="宋体" w:hAnsi="宋体"/>
                <w:color w:val="auto"/>
                <w:sz w:val="21"/>
                <w:szCs w:val="21"/>
                <w:highlight w:val="none"/>
                <w:lang w:val="en-US" w:eastAsia="zh-CN"/>
              </w:rPr>
              <w:t xml:space="preserve"> </w:t>
            </w:r>
            <w:r>
              <w:rPr>
                <w:rFonts w:hint="eastAsia"/>
                <w:sz w:val="21"/>
                <w:szCs w:val="21"/>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按格式填列，不得自行更改。否则引起的不利后果由</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承担。</w:t>
      </w:r>
    </w:p>
    <w:p>
      <w:pPr>
        <w:spacing w:line="360" w:lineRule="auto"/>
        <w:ind w:firstLine="420" w:firstLineChars="200"/>
        <w:jc w:val="center"/>
        <w:rPr>
          <w:rFonts w:ascii="宋体" w:hAnsi="宋体"/>
          <w:color w:val="auto"/>
          <w:szCs w:val="21"/>
          <w:highlight w:val="none"/>
        </w:rPr>
      </w:pPr>
      <w:bookmarkStart w:id="63" w:name="_Toc11620"/>
      <w:bookmarkStart w:id="64" w:name="_Toc20877"/>
      <w:r>
        <w:rPr>
          <w:rFonts w:hint="eastAsia" w:ascii="宋体" w:hAnsi="宋体"/>
          <w:color w:val="auto"/>
          <w:szCs w:val="21"/>
          <w:highlight w:val="none"/>
          <w:lang w:eastAsia="zh-CN"/>
        </w:rPr>
        <w:t>供应商</w:t>
      </w:r>
      <w:r>
        <w:rPr>
          <w:rFonts w:hint="eastAsia" w:ascii="宋体" w:hAnsi="宋体"/>
          <w:color w:val="auto"/>
          <w:szCs w:val="21"/>
          <w:highlight w:val="none"/>
        </w:rPr>
        <w:t>（全称并加盖公章）：</w:t>
      </w:r>
      <w:bookmarkEnd w:id="63"/>
      <w:bookmarkEnd w:id="64"/>
    </w:p>
    <w:p>
      <w:pPr>
        <w:spacing w:line="360" w:lineRule="auto"/>
        <w:ind w:firstLine="420" w:firstLineChars="200"/>
        <w:jc w:val="center"/>
        <w:rPr>
          <w:rFonts w:ascii="宋体" w:hAnsi="宋体"/>
          <w:color w:val="auto"/>
          <w:szCs w:val="21"/>
          <w:highlight w:val="none"/>
          <w:u w:val="single"/>
        </w:rPr>
      </w:pPr>
      <w:bookmarkStart w:id="65" w:name="_Toc12222"/>
      <w:bookmarkStart w:id="66" w:name="_Toc625"/>
      <w:r>
        <w:rPr>
          <w:rFonts w:hint="eastAsia" w:ascii="宋体" w:hAnsi="宋体"/>
          <w:color w:val="auto"/>
          <w:szCs w:val="21"/>
          <w:highlight w:val="none"/>
        </w:rPr>
        <w:t>法定代表人或其委托代理人（签字</w:t>
      </w:r>
      <w:r>
        <w:rPr>
          <w:rFonts w:hint="eastAsia" w:ascii="宋体" w:hAnsi="宋体" w:cs="宋体"/>
          <w:color w:val="auto"/>
          <w:kern w:val="0"/>
          <w:szCs w:val="21"/>
          <w:highlight w:val="none"/>
          <w:lang w:val="en-US" w:eastAsia="zh-CN"/>
        </w:rPr>
        <w:t>或盖章</w:t>
      </w:r>
      <w:r>
        <w:rPr>
          <w:rFonts w:hint="eastAsia" w:ascii="宋体" w:hAnsi="宋体"/>
          <w:color w:val="auto"/>
          <w:szCs w:val="21"/>
          <w:highlight w:val="none"/>
        </w:rPr>
        <w:t>）：</w:t>
      </w:r>
      <w:bookmarkEnd w:id="65"/>
      <w:bookmarkEnd w:id="66"/>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67" w:name="_Toc9950"/>
      <w:bookmarkStart w:id="68" w:name="_Toc1330"/>
      <w:r>
        <w:rPr>
          <w:rFonts w:hint="eastAsia" w:ascii="宋体" w:hAnsi="宋体"/>
          <w:color w:val="auto"/>
          <w:szCs w:val="21"/>
          <w:highlight w:val="none"/>
        </w:rPr>
        <w:t>年  月  日</w:t>
      </w:r>
      <w:bookmarkEnd w:id="67"/>
      <w:bookmarkEnd w:id="68"/>
    </w:p>
    <w:p>
      <w:pPr>
        <w:rPr>
          <w:color w:val="auto"/>
          <w:highlight w:val="none"/>
        </w:rPr>
      </w:pPr>
    </w:p>
    <w:bookmarkEnd w:id="43"/>
    <w:bookmarkEnd w:id="44"/>
    <w:p>
      <w:pPr>
        <w:spacing w:before="20" w:after="20"/>
        <w:outlineLvl w:val="9"/>
        <w:rPr>
          <w:rFonts w:hint="eastAsia" w:eastAsia="黑体"/>
          <w:color w:val="000000" w:themeColor="text1"/>
          <w:highlight w:val="none"/>
          <w:lang w:eastAsia="zh-CN"/>
          <w14:textFill>
            <w14:solidFill>
              <w14:schemeClr w14:val="tx1"/>
            </w14:solidFill>
          </w14:textFill>
        </w:rPr>
      </w:pPr>
      <w:bookmarkStart w:id="69" w:name="_Toc24984"/>
      <w:bookmarkStart w:id="70" w:name="_Toc2200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6"/>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附件4               </w:t>
      </w:r>
      <w:bookmarkEnd w:id="69"/>
      <w:bookmarkEnd w:id="70"/>
      <w:r>
        <w:rPr>
          <w:rFonts w:hint="eastAsia"/>
          <w:color w:val="000000" w:themeColor="text1"/>
          <w:highlight w:val="none"/>
          <w14:textFill>
            <w14:solidFill>
              <w14:schemeClr w14:val="tx1"/>
            </w14:solidFill>
          </w14:textFill>
        </w:rPr>
        <w:t>报价明细表</w:t>
      </w:r>
    </w:p>
    <w:p>
      <w:pPr>
        <w:widowControl/>
        <w:wordWrap w:val="0"/>
        <w:snapToGrid w:val="0"/>
        <w:spacing w:before="50" w:after="50"/>
        <w:ind w:left="88" w:leftChars="42" w:right="-817" w:rightChars="-389" w:firstLine="4161" w:firstLineChars="1734"/>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w:t>
            </w:r>
            <w:r>
              <w:rPr>
                <w:rFonts w:hint="eastAsia" w:ascii="宋体" w:hAnsi="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cs="宋体"/>
                <w:color w:val="000000" w:themeColor="text1"/>
                <w:spacing w:val="20"/>
                <w:kern w:val="0"/>
                <w:sz w:val="24"/>
                <w:highlight w:val="none"/>
                <w14:textFill>
                  <w14:solidFill>
                    <w14:schemeClr w14:val="tx1"/>
                  </w14:solidFill>
                </w14:textFill>
              </w:rPr>
              <w:t>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kern w:val="0"/>
                <w:sz w:val="24"/>
                <w:szCs w:val="21"/>
                <w:highlight w:val="none"/>
                <w14:textFill>
                  <w14:solidFill>
                    <w14:schemeClr w14:val="tx1"/>
                  </w14:solidFill>
                </w14:textFill>
              </w:rPr>
            </w:pP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shd w:val="clear" w:color="auto" w:fill="FFFFFF"/>
        <w:spacing w:line="360" w:lineRule="auto"/>
        <w:ind w:left="1418" w:hanging="567"/>
        <w:jc w:val="both"/>
        <w:rPr>
          <w:rFonts w:hint="eastAsia" w:ascii="宋体" w:hAnsi="宋体" w:cs="宋体"/>
          <w:color w:val="auto"/>
          <w:kern w:val="0"/>
          <w:sz w:val="24"/>
        </w:rPr>
      </w:pPr>
    </w:p>
    <w:p>
      <w:pPr>
        <w:pStyle w:val="30"/>
        <w:rPr>
          <w:rFonts w:hint="eastAsia"/>
        </w:rPr>
      </w:pPr>
    </w:p>
    <w:p>
      <w:pPr>
        <w:widowControl/>
        <w:shd w:val="clear" w:color="auto" w:fill="FFFFFF"/>
        <w:spacing w:line="360" w:lineRule="auto"/>
        <w:ind w:left="1418" w:hanging="567"/>
        <w:jc w:val="both"/>
        <w:rPr>
          <w:rFonts w:hint="eastAsia" w:ascii="宋体" w:hAnsi="宋体" w:cs="宋体"/>
          <w:color w:val="auto"/>
          <w:kern w:val="0"/>
          <w:sz w:val="24"/>
        </w:rPr>
      </w:pPr>
      <w:r>
        <w:rPr>
          <w:rFonts w:hint="eastAsia" w:ascii="宋体" w:hAnsi="宋体" w:cs="宋体"/>
          <w:color w:val="auto"/>
          <w:kern w:val="0"/>
          <w:sz w:val="24"/>
        </w:rPr>
        <w:t>供应商法定代表人</w:t>
      </w:r>
      <w:r>
        <w:rPr>
          <w:rFonts w:hint="eastAsia" w:ascii="宋体" w:hAnsi="宋体" w:cs="宋体"/>
          <w:color w:val="auto"/>
          <w:kern w:val="0"/>
          <w:sz w:val="24"/>
          <w:lang w:eastAsia="zh-CN"/>
        </w:rPr>
        <w:t>或</w:t>
      </w:r>
      <w:r>
        <w:rPr>
          <w:rFonts w:hint="eastAsia" w:ascii="宋体" w:hAnsi="宋体" w:cs="宋体"/>
          <w:color w:val="auto"/>
          <w:kern w:val="0"/>
          <w:sz w:val="24"/>
        </w:rPr>
        <w:t>其授权代表签字：</w:t>
      </w:r>
      <w:r>
        <w:rPr>
          <w:rFonts w:hint="eastAsia" w:ascii="宋体" w:hAnsi="宋体" w:cs="宋体"/>
          <w:color w:val="auto"/>
          <w:kern w:val="0"/>
          <w:sz w:val="24"/>
          <w:u w:val="single"/>
        </w:rPr>
        <w:t xml:space="preserve">              </w:t>
      </w:r>
    </w:p>
    <w:p>
      <w:pPr>
        <w:widowControl/>
        <w:shd w:val="clear" w:color="auto" w:fill="FFFFFF"/>
        <w:spacing w:line="360" w:lineRule="auto"/>
        <w:jc w:val="left"/>
        <w:rPr>
          <w:rFonts w:ascii="宋体" w:hAnsi="宋体" w:cs="宋体"/>
          <w:color w:val="auto"/>
          <w:kern w:val="0"/>
          <w:sz w:val="24"/>
          <w:highlight w:val="none"/>
        </w:rPr>
      </w:pPr>
      <w:r>
        <w:rPr>
          <w:rFonts w:hint="eastAsia" w:ascii="宋体" w:hAnsi="宋体" w:cs="宋体"/>
          <w:color w:val="auto"/>
          <w:kern w:val="0"/>
          <w:sz w:val="24"/>
        </w:rPr>
        <w:t xml:space="preserve">              供应商名称： </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2880" w:firstLineChars="1200"/>
        <w:jc w:val="left"/>
        <w:rPr>
          <w:color w:val="auto"/>
          <w:highlight w:val="none"/>
        </w:rPr>
      </w:pPr>
      <w:r>
        <w:rPr>
          <w:rFonts w:hint="eastAsia" w:ascii="宋体" w:hAnsi="宋体" w:cs="宋体"/>
          <w:color w:val="auto"/>
          <w:kern w:val="0"/>
          <w:sz w:val="24"/>
          <w:highlight w:val="none"/>
        </w:rPr>
        <w:t>年    月    日</w:t>
      </w:r>
    </w:p>
    <w:p>
      <w:pPr>
        <w:widowControl/>
        <w:wordWrap w:val="0"/>
        <w:spacing w:line="460" w:lineRule="exact"/>
        <w:ind w:firstLine="4800" w:firstLineChars="2000"/>
        <w:jc w:val="left"/>
        <w:rPr>
          <w:color w:val="auto"/>
          <w:highlight w:val="none"/>
        </w:rPr>
      </w:pPr>
      <w:r>
        <w:rPr>
          <w:rFonts w:hint="eastAsia" w:ascii="宋体" w:hAnsi="宋体" w:cs="宋体"/>
          <w:color w:val="000000" w:themeColor="text1"/>
          <w:kern w:val="0"/>
          <w:sz w:val="24"/>
          <w:highlight w:val="none"/>
          <w14:textFill>
            <w14:solidFill>
              <w14:schemeClr w14:val="tx1"/>
            </w14:solidFill>
          </w14:textFill>
        </w:rPr>
        <w:t xml:space="preserve">     </w:t>
      </w:r>
    </w:p>
    <w:p>
      <w:pPr>
        <w:pStyle w:val="6"/>
        <w:rPr>
          <w:rFonts w:hint="eastAsia" w:eastAsia="黑体"/>
          <w:color w:val="auto"/>
          <w:highlight w:val="none"/>
          <w:lang w:val="en-US" w:eastAsia="zh-CN"/>
        </w:rPr>
      </w:pPr>
      <w:r>
        <w:rPr>
          <w:rFonts w:hint="eastAsia"/>
          <w:color w:val="auto"/>
          <w:highlight w:val="none"/>
        </w:rPr>
        <w:br w:type="page"/>
      </w:r>
      <w:bookmarkStart w:id="71" w:name="_Toc226"/>
      <w:bookmarkStart w:id="72" w:name="_Toc15804"/>
      <w:r>
        <w:rPr>
          <w:rFonts w:hint="eastAsia"/>
          <w:color w:val="auto"/>
          <w:highlight w:val="none"/>
        </w:rPr>
        <w:t xml:space="preserve">附件5         </w:t>
      </w:r>
      <w:bookmarkEnd w:id="71"/>
      <w:bookmarkEnd w:id="72"/>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3" w:name="_Toc29960"/>
      <w:bookmarkStart w:id="74" w:name="_Toc20420"/>
      <w:r>
        <w:rPr>
          <w:rFonts w:hint="eastAsia" w:ascii="Arial" w:hAnsi="Arial" w:eastAsia="新宋体"/>
          <w:b/>
          <w:color w:val="auto"/>
          <w:sz w:val="28"/>
          <w:highlight w:val="none"/>
        </w:rPr>
        <w:t>附件6               商务响应</w:t>
      </w:r>
      <w:bookmarkEnd w:id="73"/>
      <w:bookmarkEnd w:id="74"/>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75" w:name="_Toc31526"/>
      <w:bookmarkStart w:id="76" w:name="_Toc28621"/>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75"/>
      <w:bookmarkEnd w:id="76"/>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lang w:eastAsia="zh-CN"/>
        </w:rPr>
        <w:t>供应商</w:t>
      </w:r>
      <w:r>
        <w:rPr>
          <w:rFonts w:hint="eastAsia" w:ascii="宋体" w:hAnsi="宋体" w:cs="宋体"/>
          <w:color w:val="auto"/>
          <w:kern w:val="0"/>
          <w:sz w:val="24"/>
          <w:szCs w:val="20"/>
          <w:highlight w:val="none"/>
        </w:rPr>
        <w:t>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7" w:name="_Toc13976"/>
      <w:bookmarkStart w:id="78" w:name="_Toc30519"/>
      <w:r>
        <w:rPr>
          <w:rFonts w:hint="eastAsia" w:ascii="Arial" w:hAnsi="Arial" w:eastAsia="新宋体"/>
          <w:b/>
          <w:color w:val="auto"/>
          <w:sz w:val="28"/>
          <w:highlight w:val="none"/>
        </w:rPr>
        <w:t>附件8               法定代表人授权书（格式）</w:t>
      </w:r>
      <w:bookmarkEnd w:id="77"/>
      <w:bookmarkEnd w:id="78"/>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 xml:space="preserve">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79" w:name="_Toc24693"/>
      <w:bookmarkStart w:id="80" w:name="_Toc18105"/>
      <w:r>
        <w:rPr>
          <w:rFonts w:hint="eastAsia" w:ascii="Arial" w:hAnsi="Arial" w:eastAsia="新宋体"/>
          <w:b/>
          <w:color w:val="auto"/>
          <w:sz w:val="28"/>
          <w:highlight w:val="none"/>
        </w:rPr>
        <w:t>附件9               证明文件</w:t>
      </w:r>
      <w:bookmarkEnd w:id="79"/>
      <w:bookmarkEnd w:id="80"/>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0"/>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1" w:name="_Toc17966"/>
    </w:p>
    <w:p>
      <w:pPr>
        <w:pStyle w:val="10"/>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0"/>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0"/>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2" w:name="_Toc12888"/>
      <w:bookmarkStart w:id="83" w:name="_Toc13726"/>
      <w:r>
        <w:rPr>
          <w:rFonts w:hint="eastAsia" w:ascii="宋体" w:hAnsi="宋体" w:cs="Lucida Sans Unicode"/>
          <w:b/>
          <w:color w:val="auto"/>
          <w:kern w:val="0"/>
          <w:sz w:val="28"/>
          <w:szCs w:val="28"/>
          <w:highlight w:val="none"/>
        </w:rPr>
        <w:t xml:space="preserve">附件10        </w:t>
      </w:r>
      <w:bookmarkEnd w:id="81"/>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2"/>
      <w:bookmarkEnd w:id="83"/>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4" w:name="_Toc23394"/>
      <w:bookmarkStart w:id="85" w:name="_Toc25094"/>
      <w:r>
        <w:rPr>
          <w:rFonts w:hint="eastAsia" w:ascii="宋体" w:hAnsi="宋体" w:cs="Lucida Sans Unicode"/>
          <w:b/>
          <w:color w:val="auto"/>
          <w:kern w:val="0"/>
          <w:sz w:val="24"/>
          <w:highlight w:val="none"/>
          <w:lang w:eastAsia="zh-CN"/>
        </w:rPr>
        <w:t>供应商</w:t>
      </w:r>
      <w:r>
        <w:rPr>
          <w:rFonts w:hint="eastAsia" w:ascii="宋体" w:hAnsi="宋体" w:cs="Lucida Sans Unicode"/>
          <w:b/>
          <w:color w:val="auto"/>
          <w:kern w:val="0"/>
          <w:sz w:val="24"/>
          <w:highlight w:val="none"/>
        </w:rPr>
        <w:t>认为有必要的其他资料</w:t>
      </w:r>
      <w:bookmarkEnd w:id="84"/>
      <w:bookmarkEnd w:id="85"/>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w:t>
      </w:r>
      <w:r>
        <w:rPr>
          <w:rFonts w:hint="eastAsia" w:ascii="宋体" w:hAnsi="宋体" w:cs="Lucida Sans Unicode"/>
          <w:color w:val="auto"/>
          <w:kern w:val="0"/>
          <w:szCs w:val="21"/>
          <w:highlight w:val="none"/>
          <w:lang w:eastAsia="zh-CN"/>
        </w:rPr>
        <w:t>供应商</w:t>
      </w:r>
      <w:r>
        <w:rPr>
          <w:rFonts w:hint="eastAsia" w:ascii="宋体" w:hAnsi="宋体" w:cs="Lucida Sans Unicode"/>
          <w:color w:val="auto"/>
          <w:kern w:val="0"/>
          <w:szCs w:val="21"/>
          <w:highlight w:val="none"/>
        </w:rPr>
        <w:t>未能提供相关证明文件，将有可能导致废标或者无法得分。</w:t>
      </w: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center"/>
        <w:rPr>
          <w:b/>
          <w:bCs/>
          <w:color w:val="auto"/>
          <w:sz w:val="28"/>
          <w:szCs w:val="28"/>
          <w:highlight w:val="none"/>
        </w:rPr>
      </w:pPr>
    </w:p>
    <w:p>
      <w:pPr>
        <w:pStyle w:val="10"/>
        <w:spacing w:beforeAutospacing="0" w:afterAutospacing="0" w:line="460" w:lineRule="atLeast"/>
        <w:jc w:val="both"/>
        <w:rPr>
          <w:b/>
          <w:bCs/>
          <w:color w:val="auto"/>
          <w:sz w:val="28"/>
          <w:szCs w:val="28"/>
          <w:highlight w:val="none"/>
        </w:rPr>
      </w:pPr>
    </w:p>
    <w:sectPr>
      <w:footerReference r:id="rId5"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ascii="宋体" w:hAnsi="宋体" w:cs="宋体"/>
        <w:color w:val="auto"/>
        <w:szCs w:val="21"/>
        <w:highlight w:val="none"/>
        <w:shd w:val="clear" w:color="auto" w:fill="FFFFFF"/>
        <w:lang w:val="en-US" w:eastAsia="zh-CN"/>
      </w:rPr>
      <w:t>驻马店市中心医院影像云胶片系统采购项目</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8F4C90"/>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220E0E"/>
    <w:rsid w:val="03475E56"/>
    <w:rsid w:val="035E4919"/>
    <w:rsid w:val="036A009A"/>
    <w:rsid w:val="03844805"/>
    <w:rsid w:val="03845791"/>
    <w:rsid w:val="03A011E9"/>
    <w:rsid w:val="03AE7F27"/>
    <w:rsid w:val="03BD2BCD"/>
    <w:rsid w:val="03CC058D"/>
    <w:rsid w:val="03E017D2"/>
    <w:rsid w:val="03F447E2"/>
    <w:rsid w:val="03F77068"/>
    <w:rsid w:val="03FB660C"/>
    <w:rsid w:val="04416C20"/>
    <w:rsid w:val="047968B1"/>
    <w:rsid w:val="04870542"/>
    <w:rsid w:val="04B30F7A"/>
    <w:rsid w:val="053733E3"/>
    <w:rsid w:val="054C0111"/>
    <w:rsid w:val="05545DD3"/>
    <w:rsid w:val="055E36D1"/>
    <w:rsid w:val="056E2AD6"/>
    <w:rsid w:val="05806815"/>
    <w:rsid w:val="058251D3"/>
    <w:rsid w:val="058C28F1"/>
    <w:rsid w:val="05945CCE"/>
    <w:rsid w:val="059D05A4"/>
    <w:rsid w:val="059D5E17"/>
    <w:rsid w:val="05AB0A28"/>
    <w:rsid w:val="05AB0F81"/>
    <w:rsid w:val="05B93D6B"/>
    <w:rsid w:val="05C23EEE"/>
    <w:rsid w:val="05D53002"/>
    <w:rsid w:val="05D75738"/>
    <w:rsid w:val="05EB110D"/>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4A5B92"/>
    <w:rsid w:val="075D0147"/>
    <w:rsid w:val="075E3193"/>
    <w:rsid w:val="078E18EB"/>
    <w:rsid w:val="07B10EA5"/>
    <w:rsid w:val="07CE3FA1"/>
    <w:rsid w:val="07EC2ECB"/>
    <w:rsid w:val="07FE66CB"/>
    <w:rsid w:val="080B4D47"/>
    <w:rsid w:val="08321601"/>
    <w:rsid w:val="08326375"/>
    <w:rsid w:val="083D5C91"/>
    <w:rsid w:val="0847191F"/>
    <w:rsid w:val="08591DC3"/>
    <w:rsid w:val="085F360E"/>
    <w:rsid w:val="08672793"/>
    <w:rsid w:val="08695E80"/>
    <w:rsid w:val="087C4541"/>
    <w:rsid w:val="087E5595"/>
    <w:rsid w:val="08BC0A60"/>
    <w:rsid w:val="08C52D6F"/>
    <w:rsid w:val="08EF0201"/>
    <w:rsid w:val="08F41DE8"/>
    <w:rsid w:val="094840A2"/>
    <w:rsid w:val="09737462"/>
    <w:rsid w:val="099156C3"/>
    <w:rsid w:val="09A53F39"/>
    <w:rsid w:val="09A60E13"/>
    <w:rsid w:val="09A82D92"/>
    <w:rsid w:val="09AB2883"/>
    <w:rsid w:val="09D206F0"/>
    <w:rsid w:val="0A321AC2"/>
    <w:rsid w:val="0A343D4E"/>
    <w:rsid w:val="0A3E6D2E"/>
    <w:rsid w:val="0A4232E4"/>
    <w:rsid w:val="0A8455AD"/>
    <w:rsid w:val="0AD13A85"/>
    <w:rsid w:val="0AE0655C"/>
    <w:rsid w:val="0B091954"/>
    <w:rsid w:val="0B3B7D65"/>
    <w:rsid w:val="0B637D77"/>
    <w:rsid w:val="0B7006C4"/>
    <w:rsid w:val="0B726646"/>
    <w:rsid w:val="0BAC324F"/>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DFE4F67"/>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5941"/>
    <w:rsid w:val="12CE7AFA"/>
    <w:rsid w:val="12D67466"/>
    <w:rsid w:val="13036052"/>
    <w:rsid w:val="13272A5D"/>
    <w:rsid w:val="13493108"/>
    <w:rsid w:val="134A4EBA"/>
    <w:rsid w:val="13733928"/>
    <w:rsid w:val="13857CA0"/>
    <w:rsid w:val="13920D68"/>
    <w:rsid w:val="139C16C9"/>
    <w:rsid w:val="13A5238E"/>
    <w:rsid w:val="13B63CE1"/>
    <w:rsid w:val="13BC6684"/>
    <w:rsid w:val="13C72B3A"/>
    <w:rsid w:val="13DF575E"/>
    <w:rsid w:val="13E470BD"/>
    <w:rsid w:val="13EE3A98"/>
    <w:rsid w:val="13F3280A"/>
    <w:rsid w:val="142123F7"/>
    <w:rsid w:val="142A11D8"/>
    <w:rsid w:val="144B544C"/>
    <w:rsid w:val="145B7B45"/>
    <w:rsid w:val="14717443"/>
    <w:rsid w:val="148D52E3"/>
    <w:rsid w:val="14992B90"/>
    <w:rsid w:val="14AF1856"/>
    <w:rsid w:val="14AF19A3"/>
    <w:rsid w:val="14B53957"/>
    <w:rsid w:val="14C53ECE"/>
    <w:rsid w:val="14CF6CB0"/>
    <w:rsid w:val="14DC5FE6"/>
    <w:rsid w:val="14E002E6"/>
    <w:rsid w:val="14FC36BD"/>
    <w:rsid w:val="14FF5EA7"/>
    <w:rsid w:val="151E3A0F"/>
    <w:rsid w:val="152534E9"/>
    <w:rsid w:val="153A36AA"/>
    <w:rsid w:val="15477903"/>
    <w:rsid w:val="1557566D"/>
    <w:rsid w:val="15811F1B"/>
    <w:rsid w:val="15A30135"/>
    <w:rsid w:val="15A34015"/>
    <w:rsid w:val="15BB487B"/>
    <w:rsid w:val="15CE086D"/>
    <w:rsid w:val="15E2236F"/>
    <w:rsid w:val="161D09ED"/>
    <w:rsid w:val="162323A3"/>
    <w:rsid w:val="162F30B1"/>
    <w:rsid w:val="1650762F"/>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B2CD8"/>
    <w:rsid w:val="18E26730"/>
    <w:rsid w:val="18F67868"/>
    <w:rsid w:val="190B2D88"/>
    <w:rsid w:val="190E6B63"/>
    <w:rsid w:val="19123928"/>
    <w:rsid w:val="19194264"/>
    <w:rsid w:val="19283048"/>
    <w:rsid w:val="19420786"/>
    <w:rsid w:val="19427EC0"/>
    <w:rsid w:val="195711D7"/>
    <w:rsid w:val="195D2A3F"/>
    <w:rsid w:val="198310E9"/>
    <w:rsid w:val="198D747A"/>
    <w:rsid w:val="19A15638"/>
    <w:rsid w:val="19A74DFE"/>
    <w:rsid w:val="19B82A0F"/>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656063"/>
    <w:rsid w:val="1E6B06A5"/>
    <w:rsid w:val="1E7F7D9E"/>
    <w:rsid w:val="1E840DA4"/>
    <w:rsid w:val="1EA5444C"/>
    <w:rsid w:val="1EB350EF"/>
    <w:rsid w:val="1EC21749"/>
    <w:rsid w:val="1EEB7C4E"/>
    <w:rsid w:val="1F072441"/>
    <w:rsid w:val="1F171B83"/>
    <w:rsid w:val="1F2D491A"/>
    <w:rsid w:val="1F7369C7"/>
    <w:rsid w:val="1F94547B"/>
    <w:rsid w:val="1FAF308C"/>
    <w:rsid w:val="1FB64FF9"/>
    <w:rsid w:val="1FC11109"/>
    <w:rsid w:val="1FEF08C8"/>
    <w:rsid w:val="1FF72E6A"/>
    <w:rsid w:val="201B3ED4"/>
    <w:rsid w:val="20230F6D"/>
    <w:rsid w:val="20310B02"/>
    <w:rsid w:val="206F0406"/>
    <w:rsid w:val="20784063"/>
    <w:rsid w:val="207E346A"/>
    <w:rsid w:val="208E12C3"/>
    <w:rsid w:val="209502A3"/>
    <w:rsid w:val="2100305C"/>
    <w:rsid w:val="210F579E"/>
    <w:rsid w:val="21125C72"/>
    <w:rsid w:val="212550B5"/>
    <w:rsid w:val="214E697E"/>
    <w:rsid w:val="21592B62"/>
    <w:rsid w:val="2172049B"/>
    <w:rsid w:val="21747CD2"/>
    <w:rsid w:val="219263AA"/>
    <w:rsid w:val="219E5782"/>
    <w:rsid w:val="21D10545"/>
    <w:rsid w:val="21E72B0B"/>
    <w:rsid w:val="21F66F4C"/>
    <w:rsid w:val="221F2D96"/>
    <w:rsid w:val="22246DB1"/>
    <w:rsid w:val="22440067"/>
    <w:rsid w:val="225A6017"/>
    <w:rsid w:val="22631AF5"/>
    <w:rsid w:val="227A5532"/>
    <w:rsid w:val="22843A03"/>
    <w:rsid w:val="228E5C2C"/>
    <w:rsid w:val="22A338AB"/>
    <w:rsid w:val="22AD37A2"/>
    <w:rsid w:val="22B31E8A"/>
    <w:rsid w:val="22C05285"/>
    <w:rsid w:val="22C735BD"/>
    <w:rsid w:val="22D729A8"/>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A0633"/>
    <w:rsid w:val="243D6E1A"/>
    <w:rsid w:val="24607F91"/>
    <w:rsid w:val="246C581B"/>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6F6846"/>
    <w:rsid w:val="277E30D2"/>
    <w:rsid w:val="27803F2A"/>
    <w:rsid w:val="27A34941"/>
    <w:rsid w:val="27EE3A7B"/>
    <w:rsid w:val="283C23DF"/>
    <w:rsid w:val="283D69F1"/>
    <w:rsid w:val="284C16F5"/>
    <w:rsid w:val="28570AB5"/>
    <w:rsid w:val="285F2CDC"/>
    <w:rsid w:val="28622C36"/>
    <w:rsid w:val="289E7E22"/>
    <w:rsid w:val="28C2534B"/>
    <w:rsid w:val="28C5525A"/>
    <w:rsid w:val="28D14B96"/>
    <w:rsid w:val="29020C46"/>
    <w:rsid w:val="290240C7"/>
    <w:rsid w:val="291713AF"/>
    <w:rsid w:val="291A2B97"/>
    <w:rsid w:val="29274EE0"/>
    <w:rsid w:val="295029E3"/>
    <w:rsid w:val="29543A59"/>
    <w:rsid w:val="2969197F"/>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B5A88"/>
    <w:rsid w:val="2BE91C37"/>
    <w:rsid w:val="2BEC3F72"/>
    <w:rsid w:val="2C083572"/>
    <w:rsid w:val="2C185F94"/>
    <w:rsid w:val="2C1F1AC4"/>
    <w:rsid w:val="2C2945BA"/>
    <w:rsid w:val="2C2E71FC"/>
    <w:rsid w:val="2C3F3A41"/>
    <w:rsid w:val="2C4431C4"/>
    <w:rsid w:val="2C62059F"/>
    <w:rsid w:val="2C6634FA"/>
    <w:rsid w:val="2CA25191"/>
    <w:rsid w:val="2CAC022C"/>
    <w:rsid w:val="2CC11807"/>
    <w:rsid w:val="2CF16074"/>
    <w:rsid w:val="2CF81D1B"/>
    <w:rsid w:val="2D3F2453"/>
    <w:rsid w:val="2D835174"/>
    <w:rsid w:val="2D9331F9"/>
    <w:rsid w:val="2DD90B7B"/>
    <w:rsid w:val="2DDD3FC1"/>
    <w:rsid w:val="2DF701D8"/>
    <w:rsid w:val="2DF970A1"/>
    <w:rsid w:val="2E085834"/>
    <w:rsid w:val="2E1034F8"/>
    <w:rsid w:val="2E120D8E"/>
    <w:rsid w:val="2E3D7A62"/>
    <w:rsid w:val="2E443652"/>
    <w:rsid w:val="2E505773"/>
    <w:rsid w:val="2E742F70"/>
    <w:rsid w:val="2E9A689E"/>
    <w:rsid w:val="2EDC2A13"/>
    <w:rsid w:val="2EFD7DB9"/>
    <w:rsid w:val="2F1A081D"/>
    <w:rsid w:val="2F1C72B3"/>
    <w:rsid w:val="2F1E3DC0"/>
    <w:rsid w:val="2F2D326E"/>
    <w:rsid w:val="2F3112DE"/>
    <w:rsid w:val="2F3B6922"/>
    <w:rsid w:val="2F3D7B25"/>
    <w:rsid w:val="2F506C6D"/>
    <w:rsid w:val="2F512253"/>
    <w:rsid w:val="2F51291F"/>
    <w:rsid w:val="2F55758A"/>
    <w:rsid w:val="2F7F15AE"/>
    <w:rsid w:val="2FA54796"/>
    <w:rsid w:val="2FA674E2"/>
    <w:rsid w:val="2FFE7D49"/>
    <w:rsid w:val="3002294D"/>
    <w:rsid w:val="3011153D"/>
    <w:rsid w:val="30142680"/>
    <w:rsid w:val="302A11B1"/>
    <w:rsid w:val="302A5C42"/>
    <w:rsid w:val="30662043"/>
    <w:rsid w:val="30671649"/>
    <w:rsid w:val="30B8125D"/>
    <w:rsid w:val="30BF439A"/>
    <w:rsid w:val="30CF6A37"/>
    <w:rsid w:val="30D250CF"/>
    <w:rsid w:val="30F46739"/>
    <w:rsid w:val="31002970"/>
    <w:rsid w:val="311016AD"/>
    <w:rsid w:val="3136622A"/>
    <w:rsid w:val="3139422E"/>
    <w:rsid w:val="31496359"/>
    <w:rsid w:val="314D19A6"/>
    <w:rsid w:val="316177A4"/>
    <w:rsid w:val="31700E4B"/>
    <w:rsid w:val="3172683C"/>
    <w:rsid w:val="31A359FC"/>
    <w:rsid w:val="31AD0D61"/>
    <w:rsid w:val="31CD297B"/>
    <w:rsid w:val="31CD73BD"/>
    <w:rsid w:val="31D66571"/>
    <w:rsid w:val="31DB4220"/>
    <w:rsid w:val="31DC56CD"/>
    <w:rsid w:val="31E63B94"/>
    <w:rsid w:val="31F27AF7"/>
    <w:rsid w:val="31F860AF"/>
    <w:rsid w:val="32176602"/>
    <w:rsid w:val="322A7699"/>
    <w:rsid w:val="322B25C6"/>
    <w:rsid w:val="32422E70"/>
    <w:rsid w:val="325E56C6"/>
    <w:rsid w:val="3275698A"/>
    <w:rsid w:val="32A93829"/>
    <w:rsid w:val="32B943EC"/>
    <w:rsid w:val="32DC63A0"/>
    <w:rsid w:val="32E429C1"/>
    <w:rsid w:val="330503EE"/>
    <w:rsid w:val="333A2B20"/>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9B4CF0"/>
    <w:rsid w:val="36D62629"/>
    <w:rsid w:val="36D76172"/>
    <w:rsid w:val="36D84407"/>
    <w:rsid w:val="36E833BB"/>
    <w:rsid w:val="36EB1E1B"/>
    <w:rsid w:val="36F17F0D"/>
    <w:rsid w:val="37224581"/>
    <w:rsid w:val="3735197D"/>
    <w:rsid w:val="373756A2"/>
    <w:rsid w:val="375E0DA6"/>
    <w:rsid w:val="378B61A6"/>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D0FF2"/>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F15105"/>
    <w:rsid w:val="3D0C04B9"/>
    <w:rsid w:val="3D0D4F8E"/>
    <w:rsid w:val="3D1414C5"/>
    <w:rsid w:val="3D1C763E"/>
    <w:rsid w:val="3D201AA5"/>
    <w:rsid w:val="3D2B37EA"/>
    <w:rsid w:val="3D2F7FF3"/>
    <w:rsid w:val="3D3D1507"/>
    <w:rsid w:val="3D62085B"/>
    <w:rsid w:val="3D7B4622"/>
    <w:rsid w:val="3D8E5820"/>
    <w:rsid w:val="3D942E29"/>
    <w:rsid w:val="3DA53531"/>
    <w:rsid w:val="3DB54E0C"/>
    <w:rsid w:val="3DB900C1"/>
    <w:rsid w:val="3DE91725"/>
    <w:rsid w:val="3DF159B1"/>
    <w:rsid w:val="3E1A106E"/>
    <w:rsid w:val="3E36303B"/>
    <w:rsid w:val="3E526044"/>
    <w:rsid w:val="3E6C2B3A"/>
    <w:rsid w:val="3E8C5311"/>
    <w:rsid w:val="3E8E7E55"/>
    <w:rsid w:val="3EB61473"/>
    <w:rsid w:val="3EC66011"/>
    <w:rsid w:val="3ED75B7F"/>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B4FC1"/>
    <w:rsid w:val="407F2DE9"/>
    <w:rsid w:val="40991379"/>
    <w:rsid w:val="409B3C3D"/>
    <w:rsid w:val="40F701DF"/>
    <w:rsid w:val="40FD480A"/>
    <w:rsid w:val="412A32F8"/>
    <w:rsid w:val="417F433E"/>
    <w:rsid w:val="419C4043"/>
    <w:rsid w:val="41AA66E7"/>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D45163"/>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366C11"/>
    <w:rsid w:val="444946CA"/>
    <w:rsid w:val="444B3F54"/>
    <w:rsid w:val="4476661F"/>
    <w:rsid w:val="447E3AC5"/>
    <w:rsid w:val="44805ED4"/>
    <w:rsid w:val="448E5DEE"/>
    <w:rsid w:val="44A90BAA"/>
    <w:rsid w:val="44B24A20"/>
    <w:rsid w:val="44BC0BEE"/>
    <w:rsid w:val="44BF6C07"/>
    <w:rsid w:val="44C55A88"/>
    <w:rsid w:val="44FB1C9C"/>
    <w:rsid w:val="45392A13"/>
    <w:rsid w:val="454F1836"/>
    <w:rsid w:val="45887B45"/>
    <w:rsid w:val="458B66DF"/>
    <w:rsid w:val="45940F0E"/>
    <w:rsid w:val="45AC5DBA"/>
    <w:rsid w:val="45C647AF"/>
    <w:rsid w:val="45DD529D"/>
    <w:rsid w:val="45E57886"/>
    <w:rsid w:val="45E945CC"/>
    <w:rsid w:val="46003076"/>
    <w:rsid w:val="46026F63"/>
    <w:rsid w:val="46177E29"/>
    <w:rsid w:val="46205B7F"/>
    <w:rsid w:val="465D501C"/>
    <w:rsid w:val="466367DB"/>
    <w:rsid w:val="46686D18"/>
    <w:rsid w:val="46BF7E28"/>
    <w:rsid w:val="46C3037C"/>
    <w:rsid w:val="46FF15E0"/>
    <w:rsid w:val="4700581C"/>
    <w:rsid w:val="4702516A"/>
    <w:rsid w:val="47411895"/>
    <w:rsid w:val="474A4B33"/>
    <w:rsid w:val="47665A15"/>
    <w:rsid w:val="47677941"/>
    <w:rsid w:val="477F1660"/>
    <w:rsid w:val="4788232A"/>
    <w:rsid w:val="478B0398"/>
    <w:rsid w:val="478F5D0B"/>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4A6F73"/>
    <w:rsid w:val="4A7A4350"/>
    <w:rsid w:val="4A7E2497"/>
    <w:rsid w:val="4A896826"/>
    <w:rsid w:val="4ABF5E17"/>
    <w:rsid w:val="4AD52CE0"/>
    <w:rsid w:val="4AE01A66"/>
    <w:rsid w:val="4AE104D6"/>
    <w:rsid w:val="4AE724D1"/>
    <w:rsid w:val="4AE77140"/>
    <w:rsid w:val="4AED707B"/>
    <w:rsid w:val="4AFA2F07"/>
    <w:rsid w:val="4B015D61"/>
    <w:rsid w:val="4B0B7979"/>
    <w:rsid w:val="4B1530DD"/>
    <w:rsid w:val="4B520DF4"/>
    <w:rsid w:val="4B603107"/>
    <w:rsid w:val="4B9802B0"/>
    <w:rsid w:val="4B9E65BE"/>
    <w:rsid w:val="4B9F33A8"/>
    <w:rsid w:val="4BA80AFD"/>
    <w:rsid w:val="4BB033BA"/>
    <w:rsid w:val="4BB469AD"/>
    <w:rsid w:val="4BC06040"/>
    <w:rsid w:val="4BF441D2"/>
    <w:rsid w:val="4C1C2A09"/>
    <w:rsid w:val="4C423098"/>
    <w:rsid w:val="4C694192"/>
    <w:rsid w:val="4C7964D9"/>
    <w:rsid w:val="4C9269F6"/>
    <w:rsid w:val="4CC84335"/>
    <w:rsid w:val="4CE9350A"/>
    <w:rsid w:val="4D225F85"/>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287F63"/>
    <w:rsid w:val="4E304B5D"/>
    <w:rsid w:val="4E611B8B"/>
    <w:rsid w:val="4E6279D7"/>
    <w:rsid w:val="4E682F8C"/>
    <w:rsid w:val="4E6A7BB7"/>
    <w:rsid w:val="4EB23220"/>
    <w:rsid w:val="4F0773B4"/>
    <w:rsid w:val="4F307BB1"/>
    <w:rsid w:val="4F3D562D"/>
    <w:rsid w:val="4F5C4EE0"/>
    <w:rsid w:val="4F6E1972"/>
    <w:rsid w:val="4F943166"/>
    <w:rsid w:val="4FBA02A1"/>
    <w:rsid w:val="4FE7106E"/>
    <w:rsid w:val="50053943"/>
    <w:rsid w:val="50374A3C"/>
    <w:rsid w:val="50550E55"/>
    <w:rsid w:val="50901457"/>
    <w:rsid w:val="509F43E4"/>
    <w:rsid w:val="50A54D3E"/>
    <w:rsid w:val="50B82E88"/>
    <w:rsid w:val="50BB32A7"/>
    <w:rsid w:val="50F1402B"/>
    <w:rsid w:val="50FD2AD9"/>
    <w:rsid w:val="51081E85"/>
    <w:rsid w:val="51097D9A"/>
    <w:rsid w:val="51237D2E"/>
    <w:rsid w:val="515B06D0"/>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4B514D"/>
    <w:rsid w:val="545E1D01"/>
    <w:rsid w:val="5467405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71B19"/>
    <w:rsid w:val="55EA5D64"/>
    <w:rsid w:val="55F01FA1"/>
    <w:rsid w:val="55FC19B9"/>
    <w:rsid w:val="56130B60"/>
    <w:rsid w:val="561A1EEF"/>
    <w:rsid w:val="56990B7C"/>
    <w:rsid w:val="569E1126"/>
    <w:rsid w:val="56A8690E"/>
    <w:rsid w:val="56B80DEB"/>
    <w:rsid w:val="56E0560F"/>
    <w:rsid w:val="56E06E61"/>
    <w:rsid w:val="56F653FE"/>
    <w:rsid w:val="574448FC"/>
    <w:rsid w:val="57561D39"/>
    <w:rsid w:val="575B7AFD"/>
    <w:rsid w:val="57660D3F"/>
    <w:rsid w:val="5785783C"/>
    <w:rsid w:val="57D1153D"/>
    <w:rsid w:val="57FA3774"/>
    <w:rsid w:val="58084A3C"/>
    <w:rsid w:val="582772A7"/>
    <w:rsid w:val="58531B77"/>
    <w:rsid w:val="585D2975"/>
    <w:rsid w:val="585F64F9"/>
    <w:rsid w:val="587E3341"/>
    <w:rsid w:val="587F428B"/>
    <w:rsid w:val="58CF56D8"/>
    <w:rsid w:val="58D31010"/>
    <w:rsid w:val="58D6741E"/>
    <w:rsid w:val="58DB0535"/>
    <w:rsid w:val="58E62E0E"/>
    <w:rsid w:val="58EA3D0E"/>
    <w:rsid w:val="58F24A5D"/>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E03293"/>
    <w:rsid w:val="5BF03D58"/>
    <w:rsid w:val="5BF20AFB"/>
    <w:rsid w:val="5C1A6BB2"/>
    <w:rsid w:val="5C37233A"/>
    <w:rsid w:val="5C5355FE"/>
    <w:rsid w:val="5C6F4105"/>
    <w:rsid w:val="5CBB7F6F"/>
    <w:rsid w:val="5CC248CE"/>
    <w:rsid w:val="5D042FB1"/>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DF7832"/>
    <w:rsid w:val="5EFC1390"/>
    <w:rsid w:val="5EFC3EB6"/>
    <w:rsid w:val="5F03335D"/>
    <w:rsid w:val="5F0368C7"/>
    <w:rsid w:val="5F1544E7"/>
    <w:rsid w:val="5F312D8D"/>
    <w:rsid w:val="5F3C4923"/>
    <w:rsid w:val="5F5A7800"/>
    <w:rsid w:val="5F9A65E6"/>
    <w:rsid w:val="5F9B2627"/>
    <w:rsid w:val="5FAC7B1F"/>
    <w:rsid w:val="5FB80E3D"/>
    <w:rsid w:val="5FB831B4"/>
    <w:rsid w:val="5FC46963"/>
    <w:rsid w:val="5FD40999"/>
    <w:rsid w:val="5FE5522B"/>
    <w:rsid w:val="5FF03F08"/>
    <w:rsid w:val="5FF2548E"/>
    <w:rsid w:val="5FF313D3"/>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712185"/>
    <w:rsid w:val="618B7207"/>
    <w:rsid w:val="61A90D68"/>
    <w:rsid w:val="62065A1D"/>
    <w:rsid w:val="621775E2"/>
    <w:rsid w:val="622F7552"/>
    <w:rsid w:val="6250406E"/>
    <w:rsid w:val="627D6831"/>
    <w:rsid w:val="62811B1C"/>
    <w:rsid w:val="628459B1"/>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4545DB"/>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B464CA"/>
    <w:rsid w:val="67C4383B"/>
    <w:rsid w:val="67D35E1A"/>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E07C7"/>
    <w:rsid w:val="69236A65"/>
    <w:rsid w:val="692E469B"/>
    <w:rsid w:val="69315C48"/>
    <w:rsid w:val="694019EC"/>
    <w:rsid w:val="69584DB4"/>
    <w:rsid w:val="696C3D80"/>
    <w:rsid w:val="698A5EE4"/>
    <w:rsid w:val="69C811ED"/>
    <w:rsid w:val="69D33070"/>
    <w:rsid w:val="69E97E75"/>
    <w:rsid w:val="69FB5D9E"/>
    <w:rsid w:val="69FF6FDA"/>
    <w:rsid w:val="6A1A3007"/>
    <w:rsid w:val="6A1E645E"/>
    <w:rsid w:val="6A417049"/>
    <w:rsid w:val="6A7903E5"/>
    <w:rsid w:val="6A8219B9"/>
    <w:rsid w:val="6AA03032"/>
    <w:rsid w:val="6AA86FEC"/>
    <w:rsid w:val="6ACB20F7"/>
    <w:rsid w:val="6ADA6AC4"/>
    <w:rsid w:val="6ADB11D6"/>
    <w:rsid w:val="6B1A2C3C"/>
    <w:rsid w:val="6B31644D"/>
    <w:rsid w:val="6B486C86"/>
    <w:rsid w:val="6B554C72"/>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701021F4"/>
    <w:rsid w:val="701C29A6"/>
    <w:rsid w:val="7024611F"/>
    <w:rsid w:val="70637B96"/>
    <w:rsid w:val="70797317"/>
    <w:rsid w:val="7099044B"/>
    <w:rsid w:val="709D518F"/>
    <w:rsid w:val="70C759D3"/>
    <w:rsid w:val="70CF2B23"/>
    <w:rsid w:val="70D70CB1"/>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2A4CFD"/>
    <w:rsid w:val="72310D1A"/>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E96BCA"/>
    <w:rsid w:val="73EE4A6E"/>
    <w:rsid w:val="741048BC"/>
    <w:rsid w:val="742E78D4"/>
    <w:rsid w:val="74317498"/>
    <w:rsid w:val="74335A84"/>
    <w:rsid w:val="743A6A13"/>
    <w:rsid w:val="74676A28"/>
    <w:rsid w:val="747E40B6"/>
    <w:rsid w:val="74A12F17"/>
    <w:rsid w:val="74AC3224"/>
    <w:rsid w:val="74B21065"/>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AD6340"/>
    <w:rsid w:val="75E8633A"/>
    <w:rsid w:val="76393874"/>
    <w:rsid w:val="763F09AA"/>
    <w:rsid w:val="764F3FCC"/>
    <w:rsid w:val="7650339F"/>
    <w:rsid w:val="76603C9A"/>
    <w:rsid w:val="76832D41"/>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6778FE"/>
    <w:rsid w:val="78EE1C79"/>
    <w:rsid w:val="78F85605"/>
    <w:rsid w:val="78FA66FA"/>
    <w:rsid w:val="79424F6E"/>
    <w:rsid w:val="797239CC"/>
    <w:rsid w:val="79831473"/>
    <w:rsid w:val="79983E9C"/>
    <w:rsid w:val="7999527A"/>
    <w:rsid w:val="79AF76C5"/>
    <w:rsid w:val="79C25EE1"/>
    <w:rsid w:val="79CE2967"/>
    <w:rsid w:val="79E34934"/>
    <w:rsid w:val="79EA664C"/>
    <w:rsid w:val="79F9627A"/>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9005BC"/>
    <w:rsid w:val="7D9F0AD0"/>
    <w:rsid w:val="7DD12BB7"/>
    <w:rsid w:val="7DD50326"/>
    <w:rsid w:val="7DF223A2"/>
    <w:rsid w:val="7DFF0955"/>
    <w:rsid w:val="7E0B750E"/>
    <w:rsid w:val="7E1939E8"/>
    <w:rsid w:val="7E2400E7"/>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5"/>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envelope return"/>
    <w:basedOn w:val="1"/>
    <w:autoRedefine/>
    <w:unhideWhenUsed/>
    <w:qFormat/>
    <w:uiPriority w:val="99"/>
    <w:pPr>
      <w:snapToGrid w:val="0"/>
    </w:pPr>
    <w:rPr>
      <w:rFonts w:ascii="Arial" w:hAnsi="Arial"/>
    </w:r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toc 1"/>
    <w:basedOn w:val="1"/>
    <w:next w:val="1"/>
    <w:autoRedefine/>
    <w:qFormat/>
    <w:uiPriority w:val="0"/>
  </w:style>
  <w:style w:type="paragraph" w:styleId="24">
    <w:name w:val="List"/>
    <w:basedOn w:val="1"/>
    <w:autoRedefine/>
    <w:qFormat/>
    <w:uiPriority w:val="0"/>
    <w:pPr>
      <w:ind w:left="200" w:hanging="200" w:hangingChars="200"/>
    </w:pPr>
  </w:style>
  <w:style w:type="paragraph" w:styleId="25">
    <w:name w:val="Body Text 2"/>
    <w:basedOn w:val="1"/>
    <w:next w:val="3"/>
    <w:autoRedefine/>
    <w:qFormat/>
    <w:uiPriority w:val="0"/>
    <w:pPr>
      <w:spacing w:line="480" w:lineRule="auto"/>
    </w:pPr>
  </w:style>
  <w:style w:type="paragraph" w:styleId="2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autoRedefine/>
    <w:qFormat/>
    <w:uiPriority w:val="99"/>
    <w:pPr>
      <w:spacing w:before="100" w:beforeAutospacing="1" w:after="100" w:afterAutospacing="1"/>
      <w:jc w:val="left"/>
    </w:pPr>
    <w:rPr>
      <w:kern w:val="0"/>
      <w:sz w:val="24"/>
    </w:rPr>
  </w:style>
  <w:style w:type="paragraph" w:styleId="29">
    <w:name w:val="Title"/>
    <w:basedOn w:val="1"/>
    <w:autoRedefine/>
    <w:qFormat/>
    <w:uiPriority w:val="0"/>
    <w:pPr>
      <w:jc w:val="center"/>
      <w:outlineLvl w:val="0"/>
    </w:pPr>
    <w:rPr>
      <w:rFonts w:ascii="Arial" w:hAnsi="Arial" w:cs="Arial"/>
      <w:b/>
      <w:bCs/>
      <w:sz w:val="32"/>
      <w:szCs w:val="32"/>
    </w:rPr>
  </w:style>
  <w:style w:type="paragraph" w:styleId="30">
    <w:name w:val="Body Text First Indent"/>
    <w:basedOn w:val="3"/>
    <w:next w:val="31"/>
    <w:autoRedefine/>
    <w:qFormat/>
    <w:uiPriority w:val="0"/>
    <w:pPr>
      <w:spacing w:line="360" w:lineRule="auto"/>
      <w:ind w:firstLine="420" w:firstLineChars="100"/>
    </w:pPr>
    <w:rPr>
      <w:szCs w:val="21"/>
    </w:rPr>
  </w:style>
  <w:style w:type="paragraph" w:styleId="31">
    <w:name w:val="Body Text First Indent 2"/>
    <w:basedOn w:val="14"/>
    <w:next w:val="10"/>
    <w:autoRedefine/>
    <w:qFormat/>
    <w:uiPriority w:val="0"/>
    <w:pPr>
      <w:ind w:firstLine="420" w:firstLineChars="200"/>
    </w:p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31"/>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autoRedefine/>
    <w:qFormat/>
    <w:uiPriority w:val="0"/>
  </w:style>
  <w:style w:type="character" w:customStyle="1" w:styleId="75">
    <w:name w:val="文档结构图 Char"/>
    <w:link w:val="11"/>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20731</Words>
  <Characters>21695</Characters>
  <Lines>50</Lines>
  <Paragraphs>68</Paragraphs>
  <TotalTime>0</TotalTime>
  <ScaleCrop>false</ScaleCrop>
  <LinksUpToDate>false</LinksUpToDate>
  <CharactersWithSpaces>22703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2023-12-29T02:45:25Z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6B4FDCA957CB4E82998C2E32247B97ED_13</vt:lpwstr>
  </property>
</Properties>
</file>