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bidi w:val="0"/>
        <w:jc w:val="center"/>
        <w:rPr>
          <w:rStyle w:val="42"/>
          <w:rFonts w:hint="eastAsia" w:ascii="宋体" w:hAnsi="宋体" w:eastAsia="宋体" w:cs="宋体"/>
          <w:b/>
          <w:bCs/>
          <w:color w:val="auto"/>
          <w:sz w:val="48"/>
          <w:szCs w:val="48"/>
          <w:lang w:eastAsia="zh-CN"/>
        </w:rPr>
      </w:pPr>
      <w:r>
        <w:rPr>
          <w:rStyle w:val="42"/>
          <w:rFonts w:hint="eastAsia" w:cs="宋体"/>
          <w:b/>
          <w:bCs/>
          <w:color w:val="auto"/>
          <w:sz w:val="48"/>
          <w:szCs w:val="48"/>
          <w:lang w:eastAsia="zh-CN"/>
        </w:rPr>
        <w:t>驻马店市中心医院</w:t>
      </w:r>
      <w:r>
        <w:rPr>
          <w:rStyle w:val="42"/>
          <w:rFonts w:hint="eastAsia" w:cs="宋体"/>
          <w:b/>
          <w:bCs/>
          <w:color w:val="auto"/>
          <w:sz w:val="48"/>
          <w:szCs w:val="48"/>
          <w:lang w:val="en-US" w:eastAsia="zh-CN"/>
        </w:rPr>
        <w:t>二号楼消防及应急照明工程</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12</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4"/>
        <w:tabs>
          <w:tab w:val="right" w:leader="dot" w:pos="8958"/>
        </w:tabs>
        <w:spacing w:line="480" w:lineRule="auto"/>
        <w:rPr>
          <w:rFonts w:hint="eastAsia" w:ascii="宋体" w:hAnsi="宋体" w:eastAsia="宋体" w:cs="宋体"/>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_Toc7385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_Toc10050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_Toc10050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_Toc28448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第三章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_Toc28448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_Toc25863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_Toc25863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_Toc4444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_Toc4444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spacing w:line="48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_Toc2238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pPr>
        <w:pStyle w:val="24"/>
        <w:tabs>
          <w:tab w:val="right" w:leader="dot" w:pos="8958"/>
        </w:tabs>
      </w:pP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738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w:t>
      </w:r>
      <w:r>
        <w:rPr>
          <w:rFonts w:hint="eastAsia" w:ascii="宋体" w:hAnsi="宋体" w:cs="宋体"/>
          <w:b/>
          <w:bCs w:val="0"/>
          <w:color w:val="auto"/>
          <w:kern w:val="0"/>
          <w:sz w:val="28"/>
          <w:szCs w:val="28"/>
          <w:u w:val="none"/>
          <w:lang w:val="en-US" w:eastAsia="zh-CN"/>
        </w:rPr>
        <w:t>二号楼消防及应急照明工程</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eastAsia="zh-CN"/>
        </w:rPr>
        <w:t>二号楼消防及应急照明工程</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驻马店市中心医院二号楼消防及应急照明工程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45.29万元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60天</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2、</w:t>
      </w:r>
      <w:r>
        <w:rPr>
          <w:rFonts w:hint="eastAsia" w:ascii="宋体" w:hAnsi="宋体" w:eastAsia="宋体" w:cs="宋体"/>
          <w:color w:val="auto"/>
          <w:kern w:val="2"/>
          <w:sz w:val="21"/>
          <w:szCs w:val="24"/>
          <w:lang w:val="en-US" w:eastAsia="zh-CN" w:bidi="ar-SA"/>
        </w:rPr>
        <w:t>供应商须</w:t>
      </w:r>
      <w:r>
        <w:rPr>
          <w:rFonts w:hint="eastAsia" w:ascii="宋体" w:hAnsi="宋体" w:cs="宋体"/>
          <w:color w:val="auto"/>
          <w:kern w:val="2"/>
          <w:sz w:val="21"/>
          <w:szCs w:val="24"/>
          <w:lang w:val="en-US" w:eastAsia="zh-CN" w:bidi="ar-SA"/>
        </w:rPr>
        <w:t>须具有建设行政主管部门颁发的消防工程专业承包壹级资质（且符合资质证书承揽范围）资质，具有合格有效的企业安全生产许可证；拟派项目经理须具有贰级或贰级以上建筑工程专业注册建造师资格，且具备有效的安全生产考核合格证书，且未担任其他在建工程。</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2022年度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w:t>
      </w:r>
      <w:r>
        <w:rPr>
          <w:rFonts w:hint="eastAsia" w:ascii="宋体" w:hAnsi="宋体" w:cs="宋体"/>
          <w:color w:val="auto"/>
          <w:kern w:val="2"/>
          <w:sz w:val="21"/>
          <w:szCs w:val="24"/>
          <w:lang w:val="en-US" w:eastAsia="zh-CN" w:bidi="ar-SA"/>
        </w:rPr>
        <w:t>任一个月</w:t>
      </w:r>
      <w:r>
        <w:rPr>
          <w:rFonts w:hint="eastAsia" w:ascii="宋体" w:hAnsi="宋体" w:eastAsia="宋体" w:cs="宋体"/>
          <w:color w:val="auto"/>
          <w:kern w:val="2"/>
          <w:sz w:val="21"/>
          <w:szCs w:val="24"/>
          <w:lang w:val="en-US" w:eastAsia="zh-CN" w:bidi="ar-SA"/>
        </w:rPr>
        <w:t>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23395"/>
      <w:bookmarkStart w:id="9" w:name="_Toc30643"/>
      <w:bookmarkStart w:id="10" w:name="_Toc9562"/>
      <w:bookmarkStart w:id="11" w:name="_Toc30971"/>
      <w:bookmarkStart w:id="12" w:name="_Toc7823"/>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auto"/>
          <w:szCs w:val="21"/>
          <w:highlight w:val="none"/>
          <w:shd w:val="clear" w:color="auto" w:fill="FFFFFF"/>
        </w:rPr>
        <w:t>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bookmarkStart w:id="13" w:name="_Toc25869"/>
      <w:bookmarkStart w:id="14" w:name="_Toc15111"/>
      <w:bookmarkStart w:id="15" w:name="_Toc27480"/>
      <w:bookmarkStart w:id="16" w:name="_Toc15135"/>
      <w:bookmarkStart w:id="17" w:name="_Toc10738"/>
      <w:r>
        <w:rPr>
          <w:rFonts w:hint="eastAsia" w:ascii="宋体" w:hAnsi="宋体" w:eastAsia="宋体" w:cs="宋体"/>
          <w:color w:val="auto"/>
          <w:kern w:val="0"/>
          <w:sz w:val="21"/>
          <w:szCs w:val="21"/>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bookmarkEnd w:id="13"/>
    <w:bookmarkEnd w:id="14"/>
    <w:bookmarkEnd w:id="15"/>
    <w:bookmarkEnd w:id="16"/>
    <w:bookmarkEnd w:id="17"/>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kern w:val="0"/>
          <w:sz w:val="21"/>
          <w:szCs w:val="21"/>
          <w:highlight w:val="none"/>
          <w:shd w:val="clear" w:color="auto" w:fill="FFFFFF"/>
          <w:lang w:val="en-US" w:eastAsia="zh-CN" w:bidi="ar-SA"/>
        </w:rPr>
        <w:t>根据医院实际需要，节假日正常开标，具体时间待进一步通知。</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16291"/>
      <w:bookmarkStart w:id="28" w:name="_Toc27370"/>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1.采购人：驻马店市中心医院 </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地址：驻马店市中华大道747号 </w:t>
      </w:r>
      <w:bookmarkStart w:id="88" w:name="_GoBack"/>
      <w:bookmarkEnd w:id="88"/>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联系人：陈先生 </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电话：0396-2726379 </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2.采购代理机构：河南省伟信招标管理咨询有限公司 </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地址：郑州市郑东新区东风南路与创业路交叉口绿地中心北塔16楼</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联系方式：18838148020</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3.监督部门：驻马店市中心医院纪检监察室 </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 xml:space="preserve">监督电话：0396-2726678 </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8"/>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auto"/>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12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bookmarkStart w:id="31" w:name="_Toc10050"/>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31"/>
      <w:bookmarkStart w:id="32" w:name="_Toc9989"/>
      <w:bookmarkStart w:id="33" w:name="_Toc31536"/>
      <w:bookmarkStart w:id="34" w:name="_Toc23610"/>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驻马店市中心医院二号楼消防及应急照明工程</w:t>
      </w:r>
      <w:r>
        <w:rPr>
          <w:rFonts w:hint="eastAsia" w:ascii="宋体" w:hAnsi="宋体" w:eastAsia="宋体" w:cs="宋体"/>
          <w:b w:val="0"/>
          <w:bCs w:val="0"/>
          <w:color w:val="000000"/>
          <w:kern w:val="0"/>
          <w:sz w:val="21"/>
          <w:szCs w:val="21"/>
          <w:highlight w:val="none"/>
          <w:lang w:val="en-US" w:eastAsia="zh-CN"/>
        </w:rPr>
        <w:t>；</w:t>
      </w:r>
    </w:p>
    <w:p>
      <w:pPr>
        <w:numPr>
          <w:ilvl w:val="0"/>
          <w:numId w:val="0"/>
        </w:numPr>
        <w:autoSpaceDE w:val="0"/>
        <w:autoSpaceDN w:val="0"/>
        <w:adjustRightInd w:val="0"/>
        <w:snapToGrid w:val="0"/>
        <w:spacing w:line="500" w:lineRule="exact"/>
        <w:ind w:firstLine="420" w:firstLineChars="20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二</w:t>
      </w:r>
      <w:r>
        <w:rPr>
          <w:rFonts w:hint="eastAsia" w:ascii="Times New Roman" w:hAnsi="Times New Roman" w:eastAsia="宋体" w:cs="Times New Roman"/>
          <w:b/>
          <w:bCs/>
          <w:color w:val="auto"/>
          <w:sz w:val="21"/>
          <w:szCs w:val="21"/>
        </w:rPr>
        <w:t>、</w:t>
      </w:r>
      <w:r>
        <w:rPr>
          <w:rFonts w:hint="eastAsia" w:cs="Times New Roman"/>
          <w:b/>
          <w:bCs/>
          <w:color w:val="auto"/>
          <w:sz w:val="21"/>
          <w:szCs w:val="21"/>
          <w:lang w:val="en-US" w:eastAsia="zh-CN"/>
        </w:rPr>
        <w:t>采购项目清单</w:t>
      </w:r>
      <w:r>
        <w:rPr>
          <w:rFonts w:hint="eastAsia" w:ascii="Times New Roman" w:hAnsi="Times New Roman" w:eastAsia="宋体" w:cs="Times New Roman"/>
          <w:b/>
          <w:bCs/>
          <w:color w:val="auto"/>
          <w:sz w:val="21"/>
          <w:szCs w:val="21"/>
        </w:rPr>
        <w:t>：</w:t>
      </w:r>
    </w:p>
    <w:tbl>
      <w:tblPr>
        <w:tblStyle w:val="31"/>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357"/>
        <w:gridCol w:w="1875"/>
        <w:gridCol w:w="1710"/>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33" w:type="dxa"/>
            <w:tcBorders>
              <w:bottom w:val="single" w:color="auto" w:sz="4" w:space="0"/>
              <w:right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序号</w:t>
            </w:r>
          </w:p>
        </w:tc>
        <w:tc>
          <w:tcPr>
            <w:tcW w:w="3357" w:type="dxa"/>
            <w:tcBorders>
              <w:left w:val="nil"/>
              <w:bottom w:val="single" w:color="auto" w:sz="4" w:space="0"/>
              <w:right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项目名称</w:t>
            </w:r>
          </w:p>
        </w:tc>
        <w:tc>
          <w:tcPr>
            <w:tcW w:w="1875" w:type="dxa"/>
            <w:tcBorders>
              <w:left w:val="nil"/>
              <w:bottom w:val="single" w:color="auto" w:sz="4" w:space="0"/>
              <w:right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数量或规模</w:t>
            </w:r>
          </w:p>
        </w:tc>
        <w:tc>
          <w:tcPr>
            <w:tcW w:w="1710" w:type="dxa"/>
            <w:tcBorders>
              <w:left w:val="nil"/>
              <w:bottom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资金预算</w:t>
            </w:r>
          </w:p>
        </w:tc>
        <w:tc>
          <w:tcPr>
            <w:tcW w:w="1664" w:type="dxa"/>
            <w:tcBorders>
              <w:left w:val="nil"/>
              <w:bottom w:val="single" w:color="auto" w:sz="4" w:space="0"/>
            </w:tcBorders>
            <w:vAlign w:val="center"/>
          </w:tcPr>
          <w:p>
            <w:pPr>
              <w:pStyle w:val="9"/>
              <w:ind w:left="0" w:leftChars="0"/>
              <w:jc w:val="center"/>
              <w:rPr>
                <w:rFonts w:hint="eastAsia" w:ascii="宋体" w:hAnsi="宋体"/>
                <w:b/>
                <w:bCs/>
                <w:color w:val="auto"/>
                <w:sz w:val="21"/>
                <w:szCs w:val="21"/>
              </w:rPr>
            </w:pPr>
            <w:r>
              <w:rPr>
                <w:rFonts w:hint="eastAsia" w:ascii="宋体" w:hAnsi="宋体"/>
                <w:b/>
                <w:bCs/>
                <w:color w:val="auto"/>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3" w:type="dxa"/>
            <w:tcBorders>
              <w:top w:val="single" w:color="auto" w:sz="4" w:space="0"/>
              <w:right w:val="single" w:color="auto" w:sz="4" w:space="0"/>
            </w:tcBorders>
            <w:vAlign w:val="center"/>
          </w:tcPr>
          <w:p>
            <w:pPr>
              <w:pStyle w:val="9"/>
              <w:jc w:val="center"/>
              <w:rPr>
                <w:rFonts w:hint="eastAsia" w:eastAsia="宋体"/>
                <w:color w:val="auto"/>
                <w:sz w:val="21"/>
                <w:szCs w:val="21"/>
                <w:lang w:val="en-US" w:eastAsia="zh-CN"/>
              </w:rPr>
            </w:pPr>
            <w:r>
              <w:rPr>
                <w:rFonts w:hint="eastAsia" w:ascii="宋体" w:hAnsi="宋体"/>
                <w:color w:val="auto"/>
                <w:sz w:val="24"/>
                <w:szCs w:val="24"/>
                <w:lang w:val="en-US" w:eastAsia="zh-CN"/>
              </w:rPr>
              <w:t>1</w:t>
            </w:r>
          </w:p>
        </w:tc>
        <w:tc>
          <w:tcPr>
            <w:tcW w:w="3357" w:type="dxa"/>
            <w:tcBorders>
              <w:top w:val="single" w:color="auto" w:sz="4" w:space="0"/>
              <w:left w:val="nil"/>
              <w:right w:val="single" w:color="auto" w:sz="4" w:space="0"/>
            </w:tcBorders>
            <w:vAlign w:val="center"/>
          </w:tcPr>
          <w:p>
            <w:pPr>
              <w:pStyle w:val="9"/>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驻马店市中心医院二号楼消防及应急照明工程</w:t>
            </w:r>
          </w:p>
        </w:tc>
        <w:tc>
          <w:tcPr>
            <w:tcW w:w="1875" w:type="dxa"/>
            <w:tcBorders>
              <w:top w:val="single" w:color="auto" w:sz="4" w:space="0"/>
              <w:left w:val="nil"/>
              <w:right w:val="single" w:color="auto" w:sz="4" w:space="0"/>
            </w:tcBorders>
            <w:vAlign w:val="center"/>
          </w:tcPr>
          <w:p>
            <w:pPr>
              <w:pStyle w:val="9"/>
              <w:jc w:val="center"/>
              <w:rPr>
                <w:rFonts w:hint="eastAsia"/>
                <w:bCs/>
                <w:color w:val="auto"/>
                <w:sz w:val="21"/>
                <w:szCs w:val="21"/>
                <w:lang w:val="en-US" w:eastAsia="zh-CN"/>
              </w:rPr>
            </w:pPr>
            <w:r>
              <w:rPr>
                <w:rFonts w:hint="eastAsia" w:ascii="宋体" w:hAnsi="宋体"/>
                <w:color w:val="auto"/>
                <w:sz w:val="24"/>
                <w:szCs w:val="24"/>
                <w:lang w:val="en-US" w:eastAsia="zh-CN"/>
              </w:rPr>
              <w:t>详见清单</w:t>
            </w:r>
          </w:p>
        </w:tc>
        <w:tc>
          <w:tcPr>
            <w:tcW w:w="1710" w:type="dxa"/>
            <w:tcBorders>
              <w:top w:val="single" w:color="auto" w:sz="4" w:space="0"/>
              <w:left w:val="nil"/>
            </w:tcBorders>
            <w:vAlign w:val="center"/>
          </w:tcPr>
          <w:p>
            <w:pPr>
              <w:pStyle w:val="9"/>
              <w:ind w:left="0" w:leftChars="0" w:firstLine="0" w:firstLineChars="0"/>
              <w:jc w:val="center"/>
              <w:rPr>
                <w:rFonts w:hint="eastAsia"/>
                <w:bCs/>
                <w:color w:val="auto"/>
                <w:sz w:val="21"/>
                <w:szCs w:val="21"/>
              </w:rPr>
            </w:pPr>
            <w:r>
              <w:rPr>
                <w:rFonts w:hint="eastAsia"/>
                <w:bCs/>
                <w:color w:val="auto"/>
                <w:sz w:val="21"/>
                <w:szCs w:val="21"/>
                <w:lang w:val="en-US" w:eastAsia="zh-CN"/>
              </w:rPr>
              <w:t>45.29万元</w:t>
            </w:r>
          </w:p>
        </w:tc>
        <w:tc>
          <w:tcPr>
            <w:tcW w:w="1664" w:type="dxa"/>
            <w:tcBorders>
              <w:top w:val="single" w:color="auto" w:sz="4" w:space="0"/>
              <w:left w:val="nil"/>
            </w:tcBorders>
            <w:vAlign w:val="center"/>
          </w:tcPr>
          <w:p>
            <w:pPr>
              <w:pStyle w:val="9"/>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自筹</w:t>
            </w:r>
          </w:p>
        </w:tc>
      </w:tr>
    </w:tbl>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配置规格、附件及零配件（包括专用工具）：</w:t>
      </w:r>
      <w:r>
        <w:rPr>
          <w:rFonts w:hint="eastAsia" w:ascii="宋体" w:hAnsi="宋体" w:eastAsia="宋体" w:cs="宋体"/>
          <w:b w:val="0"/>
          <w:bCs w:val="0"/>
          <w:color w:val="auto"/>
          <w:kern w:val="0"/>
          <w:sz w:val="21"/>
          <w:szCs w:val="21"/>
          <w:highlight w:val="none"/>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①、详情见工程量清单。</w:t>
      </w:r>
    </w:p>
    <w:p>
      <w:pPr>
        <w:pStyle w:val="9"/>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②、工期为</w:t>
      </w:r>
      <w:r>
        <w:rPr>
          <w:rFonts w:hint="eastAsia" w:cs="宋体"/>
          <w:b w:val="0"/>
          <w:bCs w:val="0"/>
          <w:color w:val="auto"/>
          <w:kern w:val="0"/>
          <w:sz w:val="21"/>
          <w:szCs w:val="21"/>
          <w:highlight w:val="none"/>
          <w:lang w:val="en-US" w:eastAsia="zh-CN" w:bidi="ar-SA"/>
        </w:rPr>
        <w:t>60天</w:t>
      </w:r>
      <w:r>
        <w:rPr>
          <w:rFonts w:hint="eastAsia" w:ascii="宋体" w:hAnsi="宋体" w:eastAsia="宋体" w:cs="宋体"/>
          <w:b w:val="0"/>
          <w:bCs w:val="0"/>
          <w:color w:val="auto"/>
          <w:kern w:val="0"/>
          <w:sz w:val="21"/>
          <w:szCs w:val="21"/>
          <w:highlight w:val="none"/>
          <w:lang w:val="en-US" w:eastAsia="zh-CN" w:bidi="ar-SA"/>
        </w:rPr>
        <w:t xml:space="preserve">。                                                                        </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售后服务条件及交货日期（或工期）：</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①、质量承诺（包括质保期）；</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②、响应院方工期要求，若承诺的工期不能按时完成，按合同约定进行处罚；</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③、施工中做好施工组织，保证安全生产，防止人为的对场区管网的损坏。如有安全事故或对场区管网损坏，其造成的伤害事故及一切经济损失，由施工方承担全责；</w:t>
      </w:r>
    </w:p>
    <w:p>
      <w:pPr>
        <w:pStyle w:val="9"/>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④、招标控制价及工程量清单的编制费用由中标方支付。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1"/>
        <w:tblW w:w="9196" w:type="dxa"/>
        <w:jc w:val="center"/>
        <w:shd w:val="clear" w:color="auto" w:fill="FFFFFF"/>
        <w:tblLayout w:type="fixed"/>
        <w:tblCellMar>
          <w:top w:w="0" w:type="dxa"/>
          <w:left w:w="0" w:type="dxa"/>
          <w:bottom w:w="0" w:type="dxa"/>
          <w:right w:w="0" w:type="dxa"/>
        </w:tblCellMar>
      </w:tblPr>
      <w:tblGrid>
        <w:gridCol w:w="1760"/>
        <w:gridCol w:w="7436"/>
      </w:tblGrid>
      <w:tr>
        <w:tblPrEx>
          <w:shd w:val="clear" w:color="auto" w:fill="FFFFFF"/>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shd w:val="clear" w:color="auto" w:fill="FFFFFF"/>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cs="宋体"/>
                <w:sz w:val="21"/>
                <w:szCs w:val="21"/>
                <w:lang w:val="en-US" w:eastAsia="zh-CN"/>
              </w:rPr>
              <w:t>60天</w:t>
            </w:r>
            <w:r>
              <w:rPr>
                <w:rFonts w:hint="eastAsia" w:ascii="宋体" w:hAnsi="宋体" w:eastAsia="宋体" w:cs="宋体"/>
                <w:sz w:val="21"/>
                <w:szCs w:val="21"/>
                <w:lang w:val="en-US" w:eastAsia="zh-CN"/>
              </w:rPr>
              <w:t>。</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shd w:val="clear" w:color="auto" w:fill="FFFFFF"/>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9"/>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9"/>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质保期为自验收合格后12个月，在质保期内工程发生缺陷或质量问题时，乙方在接到甲方故障通知后4小时内应委派专业技术人员到现场免费提供咨询、维修等服务，并与48小时内修复。</w:t>
            </w:r>
          </w:p>
        </w:tc>
      </w:tr>
      <w:bookmarkEnd w:id="29"/>
      <w:bookmarkEnd w:id="30"/>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9"/>
        <w:numPr>
          <w:ilvl w:val="0"/>
          <w:numId w:val="0"/>
        </w:numPr>
        <w:spacing w:after="0"/>
        <w:jc w:val="left"/>
        <w:rPr>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pPr>
    </w:p>
    <w:p>
      <w:pPr>
        <w:spacing w:line="360" w:lineRule="auto"/>
        <w:jc w:val="center"/>
        <w:outlineLvl w:val="0"/>
        <w:rPr>
          <w:rFonts w:hint="eastAsia" w:ascii="黑体" w:hAnsi="黑体" w:eastAsia="黑体" w:cs="黑体"/>
          <w:b/>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35" w:name="_Toc28448"/>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rPr>
            </w:pPr>
            <w:bookmarkStart w:id="36" w:name="_Toc20328"/>
            <w:r>
              <w:rPr>
                <w:rFonts w:hint="eastAsia" w:ascii="宋体" w:hAnsi="宋体" w:eastAsia="宋体" w:cs="宋体"/>
                <w:color w:val="auto"/>
                <w:sz w:val="24"/>
                <w:szCs w:val="24"/>
                <w:highlight w:val="none"/>
              </w:rPr>
              <w:t>1.1 项目名称：</w:t>
            </w:r>
            <w:r>
              <w:rPr>
                <w:rFonts w:hint="eastAsia" w:ascii="宋体" w:hAnsi="宋体" w:cs="宋体"/>
                <w:color w:val="auto"/>
                <w:sz w:val="24"/>
                <w:szCs w:val="24"/>
                <w:highlight w:val="none"/>
                <w:lang w:val="en-US" w:eastAsia="zh-CN"/>
              </w:rPr>
              <w:t>驻马店市中心医院二号楼消防及应急照明工程</w:t>
            </w:r>
            <w:r>
              <w:rPr>
                <w:rFonts w:hint="eastAsia" w:ascii="宋体" w:hAnsi="宋体" w:eastAsia="宋体" w:cs="宋体"/>
                <w:color w:val="auto"/>
                <w:sz w:val="24"/>
                <w:szCs w:val="24"/>
                <w:highlight w:val="none"/>
                <w:lang w:val="en-US" w:eastAsia="zh-CN"/>
              </w:rPr>
              <w:t>。</w:t>
            </w:r>
            <w:bookmarkEnd w:id="36"/>
          </w:p>
          <w:p>
            <w:pPr>
              <w:widowControl/>
              <w:snapToGrid w:val="0"/>
              <w:spacing w:line="440" w:lineRule="exact"/>
              <w:jc w:val="left"/>
              <w:outlineLvl w:val="0"/>
              <w:rPr>
                <w:rFonts w:hint="eastAsia" w:ascii="宋体" w:hAnsi="宋体" w:eastAsia="宋体" w:cs="宋体"/>
                <w:color w:val="auto"/>
                <w:sz w:val="24"/>
                <w:szCs w:val="24"/>
                <w:highlight w:val="none"/>
                <w:lang w:eastAsia="zh-CN"/>
              </w:rPr>
            </w:pPr>
            <w:bookmarkStart w:id="37" w:name="_Toc32599"/>
            <w:r>
              <w:rPr>
                <w:rFonts w:hint="eastAsia" w:ascii="宋体" w:hAnsi="宋体" w:eastAsia="宋体" w:cs="宋体"/>
                <w:color w:val="auto"/>
                <w:sz w:val="24"/>
                <w:szCs w:val="24"/>
                <w:highlight w:val="none"/>
              </w:rPr>
              <w:t>1.2 采购人名称：</w:t>
            </w:r>
            <w:r>
              <w:rPr>
                <w:rFonts w:hint="eastAsia" w:ascii="宋体" w:hAnsi="宋体" w:eastAsia="宋体" w:cs="宋体"/>
                <w:sz w:val="24"/>
                <w:szCs w:val="24"/>
              </w:rPr>
              <w:t>驻马店市中心医院</w:t>
            </w:r>
            <w:r>
              <w:rPr>
                <w:rFonts w:hint="eastAsia" w:ascii="宋体" w:hAnsi="宋体" w:eastAsia="宋体" w:cs="宋体"/>
                <w:sz w:val="24"/>
                <w:szCs w:val="24"/>
                <w:lang w:eastAsia="zh-CN"/>
              </w:rPr>
              <w:t>。</w:t>
            </w:r>
            <w:bookmarkEnd w:id="37"/>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bookmarkStart w:id="38" w:name="_Toc2148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45.29万元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投标文件组成：纸质投标文件正本1份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副本2份</w:t>
            </w:r>
            <w:r>
              <w:rPr>
                <w:rFonts w:hint="eastAsia" w:ascii="宋体" w:hAnsi="宋体" w:eastAsia="宋体" w:cs="宋体"/>
                <w:sz w:val="24"/>
                <w:szCs w:val="24"/>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中标公告及中标通知书：由采购人授权评标委员会确定一名中标人并推荐两名中标候选人。评审结束后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官网</w:t>
            </w:r>
            <w:r>
              <w:rPr>
                <w:rFonts w:hint="eastAsia" w:ascii="宋体" w:hAnsi="宋体" w:eastAsia="宋体" w:cs="宋体"/>
                <w:color w:val="auto"/>
                <w:kern w:val="0"/>
                <w:sz w:val="24"/>
                <w:szCs w:val="24"/>
                <w:highlight w:val="none"/>
              </w:rPr>
              <w:t>上发布中标公告，</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签订合同：自中标通知书发出之日起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“工程”系指供应商按竞争性</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45.29万元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供应商须须具有建设行政主管部门颁发的消防工程专业承包壹级资质（且符合资质证书承揽范围）资质，具有合格有效的企业安全生产许可证；拟派项目经理须具有贰级或贰级以上建筑工程专业注册建造师资格，且具备有效的安全生产考核合格证书，且未担任其他在建工程。</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3、供应商应提供</w:t>
      </w:r>
      <w:r>
        <w:rPr>
          <w:rFonts w:hint="eastAsia" w:ascii="宋体" w:hAnsi="宋体" w:cs="宋体"/>
          <w:color w:val="auto"/>
          <w:sz w:val="24"/>
          <w:szCs w:val="24"/>
          <w:highlight w:val="none"/>
          <w:lang w:val="en-US" w:eastAsia="zh-CN"/>
        </w:rPr>
        <w:t>2022年度</w:t>
      </w:r>
      <w:r>
        <w:rPr>
          <w:rFonts w:hint="eastAsia" w:ascii="宋体" w:hAnsi="宋体" w:eastAsia="宋体" w:cs="宋体"/>
          <w:color w:val="auto"/>
          <w:sz w:val="24"/>
          <w:szCs w:val="24"/>
          <w:highlight w:val="none"/>
          <w:lang w:val="en-US" w:eastAsia="zh-CN"/>
        </w:rPr>
        <w:t>经审计的财务报告或者其基本开户银行出具的资信证明；采购活动前近三个月内或上个季度任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4、具有履行合同所必需的设备和专业技术能力（提供书面声明函）；</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质疑、投诉应当采用书面形式，质疑书、投诉书均应明确阐述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合同主要条款</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9 供应商信用承诺函（格式）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18.2 </w:t>
      </w:r>
      <w:r>
        <w:rPr>
          <w:rFonts w:hint="eastAsia" w:ascii="宋体" w:hAnsi="宋体" w:eastAsia="宋体" w:cs="宋体"/>
          <w:color w:val="000000"/>
          <w:kern w:val="0"/>
          <w:sz w:val="24"/>
          <w:szCs w:val="24"/>
        </w:rPr>
        <w:t>供应商要按初次报价一览表、工程量清单的内容填写</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18.4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19.投标保证金</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详见采购公告</w:t>
      </w:r>
      <w:r>
        <w:rPr>
          <w:rFonts w:hint="eastAsia" w:ascii="宋体" w:hAnsi="宋体" w:cs="宋体"/>
          <w:b/>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工</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.3 未按本章第2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.1项或第2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39"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39"/>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中标通知书及中标公告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yellow"/>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0"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采购人、中标人自中标通知书发出之日起，在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2586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restart"/>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工程质量</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1.施工方案与技术措施（10分）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施工方案（含工程特点、施工重点与难点及绿色施工）总体安排合理，运用先进、合理的施工工艺、施工机械；对施工难点有先进、合理的建议。</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完全符合以上要求的得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-10分；基本满足的得4-</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2.质量管理体系与措施（10分）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组织结构形式合理，有完善的质量监控系统，主体结构质量保障措施切实可行；按照工程建设强制性标准和其他技术标准施工，不存在偷工减料。</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完全满足以上要求的得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-10分；基本满足以上要求的得4-</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分；措施一般的得1-3分；缺项得0分。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3.安全管理体系与措施、文明施工措施、工期保证措施（1</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1）施工安全生产保障体系健全，全员安全责任制明确，现场安全管理组织机构、人员配备满足国家规定要求；</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2）文明施工措施符合有关文明施工、健康卫生的规定。</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3）工期承诺满足要求，工期保证措施合理且有针对性。</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完全满足以上要求的得11-1</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4.拟投入资源配备计划（10分）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根据投标人拟投入的人员、机械设备、物资投入计划综合对比。</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配备合理、完全满足施工需要的得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-10</w:t>
            </w:r>
            <w:r>
              <w:rPr>
                <w:rFonts w:hint="eastAsia" w:ascii="宋体" w:hAnsi="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rPr>
              <w:t>；配备基本合理，基本满足施工需要的得4-</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restart"/>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1.类似业绩（</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企业2020年1月1日以来具有类似工程业绩，每份得2分，最多得4分。</w:t>
            </w:r>
          </w:p>
          <w:p>
            <w:pPr>
              <w:keepNext w:val="0"/>
              <w:keepLines w:val="0"/>
              <w:pageBreakBefore w:val="0"/>
              <w:tabs>
                <w:tab w:val="left" w:pos="1620"/>
              </w:tabs>
              <w:kinsoku/>
              <w:overflowPunct/>
              <w:topLinePunct w:val="0"/>
              <w:bidi w:val="0"/>
              <w:snapToGrid w:val="0"/>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continue"/>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p>
        </w:tc>
        <w:tc>
          <w:tcPr>
            <w:tcW w:w="2140" w:type="dxa"/>
            <w:tcBorders>
              <w:top w:val="single" w:color="auto" w:sz="4" w:space="0"/>
            </w:tcBorders>
            <w:noWrap w:val="0"/>
            <w:vAlign w:val="center"/>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2.售后服务(12分)</w:t>
            </w:r>
          </w:p>
        </w:tc>
        <w:tc>
          <w:tcPr>
            <w:tcW w:w="6103" w:type="dxa"/>
            <w:noWrap w:val="0"/>
            <w:vAlign w:val="center"/>
          </w:tcPr>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根据投标人工程保修期内、外的优惠及服务承诺综合对比。</w:t>
            </w:r>
          </w:p>
          <w:p>
            <w:pPr>
              <w:keepNext w:val="0"/>
              <w:keepLines w:val="0"/>
              <w:pageBreakBefore w:val="0"/>
              <w:tabs>
                <w:tab w:val="left" w:pos="1620"/>
              </w:tabs>
              <w:kinsoku/>
              <w:overflowPunct/>
              <w:topLinePunct w:val="0"/>
              <w:bidi w:val="0"/>
              <w:snapToGri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服务内容科学、合理、针对性强、完善程度高的得9-12分；以上内容比较全面的得5-8分；完善程度一般的得1-4分；缺项的0分。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评标委员会成员评分=各项评分因素的汇总得分。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评标总得分=评标委员会所有成员合计评分/评标委员会组成人员数。</w:t>
            </w:r>
          </w:p>
        </w:tc>
      </w:tr>
    </w:tbl>
    <w:p>
      <w:pPr>
        <w:rPr>
          <w:b/>
          <w:color w:val="auto"/>
          <w:highlight w:val="none"/>
        </w:rPr>
      </w:pPr>
      <w:r>
        <w:rPr>
          <w:rFonts w:hint="eastAsia"/>
          <w:b/>
          <w:color w:val="auto"/>
          <w:highlight w:val="none"/>
        </w:rPr>
        <w:br w:type="page"/>
      </w:r>
    </w:p>
    <w:bookmarkEnd w:id="42"/>
    <w:p>
      <w:pPr>
        <w:rPr>
          <w:color w:val="auto"/>
          <w:highlight w:val="none"/>
        </w:rPr>
      </w:pPr>
      <w:bookmarkStart w:id="44" w:name="_Toc1482"/>
      <w:bookmarkStart w:id="45" w:name="_Toc1947"/>
      <w:bookmarkStart w:id="46" w:name="_Toc256519703"/>
      <w:bookmarkStart w:id="47" w:name="_Toc326786897"/>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8" w:name="_Toc4444"/>
      <w:r>
        <w:rPr>
          <w:rFonts w:hint="eastAsia" w:ascii="黑体" w:hAnsi="宋体" w:eastAsia="黑体" w:cs="宋体"/>
          <w:b/>
          <w:bCs/>
          <w:color w:val="auto"/>
          <w:kern w:val="0"/>
          <w:sz w:val="32"/>
          <w:szCs w:val="32"/>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9" w:name="_Toc2238"/>
      <w:r>
        <w:rPr>
          <w:rFonts w:hint="eastAsia" w:ascii="黑体" w:hAnsi="宋体" w:eastAsia="黑体" w:cs="宋体"/>
          <w:b/>
          <w:bCs/>
          <w:color w:val="auto"/>
          <w:kern w:val="0"/>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rFonts w:hint="eastAsia"/>
          <w:b/>
          <w:bCs/>
          <w:color w:val="auto"/>
          <w:sz w:val="32"/>
          <w:szCs w:val="32"/>
          <w:highlight w:val="none"/>
        </w:rPr>
      </w:pPr>
      <w:bookmarkStart w:id="50" w:name="_Toc13604"/>
    </w:p>
    <w:p>
      <w:pPr>
        <w:jc w:val="center"/>
        <w:rPr>
          <w:b/>
          <w:bCs/>
          <w:color w:val="auto"/>
          <w:sz w:val="32"/>
          <w:szCs w:val="32"/>
          <w:highlight w:val="none"/>
        </w:rPr>
      </w:pPr>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color w:val="auto"/>
          <w:sz w:val="24"/>
          <w:highlight w:val="none"/>
        </w:rPr>
      </w:pPr>
      <w:bookmarkStart w:id="54" w:name="_Toc9579"/>
      <w:r>
        <w:rPr>
          <w:rFonts w:hint="eastAsia"/>
          <w:color w:val="auto"/>
          <w:sz w:val="24"/>
          <w:highlight w:val="none"/>
        </w:rPr>
        <w:t xml:space="preserve">附件4 </w:t>
      </w:r>
      <w:bookmarkEnd w:id="54"/>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bookmarkEnd w:id="55"/>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6" w:name="_Toc6234"/>
      <w:r>
        <w:rPr>
          <w:rFonts w:hint="eastAsia"/>
          <w:color w:val="auto"/>
          <w:sz w:val="24"/>
          <w:highlight w:val="none"/>
        </w:rPr>
        <w:t xml:space="preserve">附件6 </w:t>
      </w:r>
      <w:bookmarkEnd w:id="56"/>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bookmarkEnd w:id="57"/>
      <w:r>
        <w:rPr>
          <w:rFonts w:hint="eastAsia"/>
          <w:color w:val="auto"/>
          <w:sz w:val="24"/>
          <w:highlight w:val="none"/>
        </w:rPr>
        <w:t>证明文件</w:t>
      </w:r>
    </w:p>
    <w:p>
      <w:pPr>
        <w:snapToGrid w:val="0"/>
        <w:spacing w:line="360" w:lineRule="auto"/>
        <w:ind w:firstLine="480" w:firstLineChars="200"/>
        <w:rPr>
          <w:rFonts w:hint="eastAsia" w:eastAsia="宋体"/>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bookmarkEnd w:id="58"/>
      <w:r>
        <w:rPr>
          <w:rFonts w:hint="eastAsia"/>
          <w:color w:val="auto"/>
          <w:sz w:val="24"/>
          <w:highlight w:val="none"/>
        </w:rPr>
        <w:t>供应商承</w:t>
      </w:r>
      <w:r>
        <w:rPr>
          <w:rFonts w:hint="eastAsia" w:eastAsia="宋体"/>
          <w:color w:val="auto"/>
          <w:sz w:val="24"/>
          <w:highlight w:val="none"/>
        </w:rPr>
        <w:t>诺书（格式）</w:t>
      </w:r>
    </w:p>
    <w:p>
      <w:pPr>
        <w:snapToGrid w:val="0"/>
        <w:spacing w:line="360" w:lineRule="auto"/>
        <w:ind w:firstLine="480" w:firstLineChars="200"/>
        <w:rPr>
          <w:rFonts w:ascii="宋体" w:hAnsi="宋体" w:cs="宋体"/>
          <w:b/>
          <w:bCs/>
          <w:color w:val="auto"/>
          <w:kern w:val="0"/>
          <w:sz w:val="24"/>
          <w:highlight w:val="none"/>
        </w:rPr>
      </w:pPr>
      <w:bookmarkStart w:id="59" w:name="_Toc31857"/>
      <w:r>
        <w:rPr>
          <w:rFonts w:hint="eastAsia" w:eastAsia="宋体"/>
          <w:color w:val="auto"/>
          <w:sz w:val="24"/>
          <w:highlight w:val="none"/>
        </w:rPr>
        <w:t xml:space="preserve">附件9 </w:t>
      </w:r>
      <w:bookmarkEnd w:id="59"/>
      <w:r>
        <w:rPr>
          <w:rFonts w:hint="eastAsia" w:eastAsia="宋体"/>
          <w:color w:val="auto"/>
          <w:sz w:val="24"/>
          <w:highlight w:val="none"/>
        </w:rPr>
        <w:t xml:space="preserve"> 供应商信用</w:t>
      </w:r>
      <w:r>
        <w:rPr>
          <w:rFonts w:hint="eastAsia"/>
          <w:color w:val="auto"/>
          <w:sz w:val="24"/>
          <w:highlight w:val="none"/>
        </w:rPr>
        <w:t>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4"/>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5"/>
        <w:rPr>
          <w:color w:val="auto"/>
          <w:highlight w:val="none"/>
        </w:rPr>
      </w:pPr>
    </w:p>
    <w:p>
      <w:pPr>
        <w:pStyle w:val="3"/>
        <w:rPr>
          <w:color w:val="auto"/>
          <w:highlight w:val="none"/>
        </w:rPr>
      </w:pPr>
      <w:bookmarkStart w:id="60" w:name="_Toc24743"/>
      <w:bookmarkStart w:id="61" w:name="_Toc31798"/>
      <w:r>
        <w:rPr>
          <w:rFonts w:hint="eastAsia"/>
          <w:color w:val="auto"/>
          <w:highlight w:val="none"/>
        </w:rPr>
        <w:t>附件1               投标文件封面（格式）</w:t>
      </w:r>
      <w:bookmarkEnd w:id="60"/>
      <w:bookmarkEnd w:id="61"/>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2" w:name="_Toc14560"/>
      <w:bookmarkStart w:id="63" w:name="_Toc8818"/>
      <w:r>
        <w:rPr>
          <w:rFonts w:hint="eastAsia"/>
          <w:color w:val="auto"/>
          <w:highlight w:val="none"/>
        </w:rPr>
        <w:t>附件2               投  标  书（格式）</w:t>
      </w:r>
      <w:bookmarkEnd w:id="62"/>
      <w:bookmarkEnd w:id="63"/>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投标人代表签字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4" w:name="_Toc7838"/>
      <w:r>
        <w:rPr>
          <w:rFonts w:hint="eastAsia"/>
          <w:color w:val="auto"/>
          <w:highlight w:val="none"/>
        </w:rPr>
        <w:t>附件3               开标一览表</w:t>
      </w:r>
      <w:bookmarkEnd w:id="64"/>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eastAsia" w:ascii="宋体" w:hAnsi="宋体" w:eastAsia="宋体"/>
                <w:color w:val="auto"/>
                <w:szCs w:val="21"/>
                <w:highlight w:val="none"/>
                <w:lang w:val="en-US" w:eastAsia="zh-CN"/>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5" w:name="_Toc11620"/>
      <w:bookmarkStart w:id="66" w:name="_Toc20877"/>
      <w:r>
        <w:rPr>
          <w:rFonts w:hint="eastAsia" w:ascii="宋体" w:hAnsi="宋体"/>
          <w:color w:val="auto"/>
          <w:szCs w:val="21"/>
          <w:highlight w:val="none"/>
        </w:rPr>
        <w:t>投标人（全称并加盖公章）：</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7" w:name="_Toc12222"/>
      <w:bookmarkStart w:id="68"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7"/>
      <w:bookmarkEnd w:id="68"/>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9" w:name="_Toc1330"/>
      <w:bookmarkStart w:id="70" w:name="_Toc9950"/>
      <w:r>
        <w:rPr>
          <w:rFonts w:hint="eastAsia" w:ascii="宋体" w:hAnsi="宋体"/>
          <w:color w:val="auto"/>
          <w:szCs w:val="21"/>
          <w:highlight w:val="none"/>
        </w:rPr>
        <w:t>年  月  日</w:t>
      </w:r>
      <w:bookmarkEnd w:id="69"/>
      <w:bookmarkEnd w:id="70"/>
    </w:p>
    <w:p>
      <w:pPr>
        <w:rPr>
          <w:color w:val="auto"/>
          <w:highlight w:val="none"/>
        </w:rPr>
      </w:pPr>
      <w:r>
        <w:rPr>
          <w:color w:val="auto"/>
          <w:highlight w:val="none"/>
        </w:rPr>
        <w:br w:type="page"/>
      </w:r>
    </w:p>
    <w:bookmarkEnd w:id="46"/>
    <w:bookmarkEnd w:id="47"/>
    <w:p>
      <w:pPr>
        <w:pStyle w:val="30"/>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71" w:name="_Toc6952"/>
      <w:bookmarkStart w:id="72" w:name="_Toc31526"/>
      <w:bookmarkStart w:id="73"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71"/>
      <w:bookmarkEnd w:id="72"/>
      <w:bookmarkEnd w:id="73"/>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4" w:name="_Toc28969"/>
      <w:bookmarkStart w:id="75" w:name="_Toc30519"/>
      <w:bookmarkStart w:id="76" w:name="_Toc1397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4"/>
      <w:bookmarkEnd w:id="75"/>
      <w:bookmarkEnd w:id="76"/>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bookmarkStart w:id="77" w:name="_Toc8862"/>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bookmarkEnd w:id="77"/>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8"/>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8"/>
        <w:rPr>
          <w:rFonts w:ascii="宋体" w:hAnsi="宋体" w:cs="宋体"/>
          <w:b/>
          <w:color w:val="auto"/>
          <w:kern w:val="0"/>
          <w:sz w:val="24"/>
          <w:highlight w:val="none"/>
        </w:rPr>
      </w:pPr>
    </w:p>
    <w:p>
      <w:pPr>
        <w:pStyle w:val="47"/>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hint="eastAsia" w:ascii="Arial" w:hAnsi="Arial" w:eastAsia="新宋体"/>
          <w:b/>
          <w:color w:val="auto"/>
          <w:sz w:val="28"/>
          <w:highlight w:val="none"/>
        </w:rPr>
        <w:sectPr>
          <w:pgSz w:w="11906" w:h="16838"/>
          <w:pgMar w:top="1417" w:right="1474" w:bottom="1417" w:left="1474" w:header="851" w:footer="624" w:gutter="0"/>
          <w:pgNumType w:fmt="decimal"/>
          <w:cols w:space="720" w:num="1"/>
          <w:docGrid w:type="lines" w:linePitch="319" w:charSpace="0"/>
        </w:sectPr>
      </w:pPr>
      <w:bookmarkStart w:id="78" w:name="_Toc18105"/>
      <w:bookmarkStart w:id="79" w:name="_Toc24693"/>
    </w:p>
    <w:p>
      <w:pPr>
        <w:widowControl/>
        <w:snapToGrid w:val="0"/>
        <w:spacing w:before="156" w:after="156" w:line="360" w:lineRule="auto"/>
        <w:jc w:val="left"/>
        <w:outlineLvl w:val="0"/>
        <w:rPr>
          <w:rFonts w:ascii="宋体" w:hAnsi="宋体" w:cs="宋体"/>
          <w:b/>
          <w:color w:val="auto"/>
          <w:kern w:val="0"/>
          <w:sz w:val="24"/>
          <w:highlight w:val="none"/>
        </w:rPr>
      </w:pPr>
      <w:bookmarkStart w:id="80" w:name="_Toc8773"/>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8"/>
      <w:bookmarkEnd w:id="79"/>
      <w:bookmarkEnd w:id="80"/>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left"/>
        <w:outlineLvl w:val="0"/>
        <w:rPr>
          <w:rFonts w:ascii="宋体" w:hAnsi="宋体" w:cs="宋体"/>
          <w:b/>
          <w:color w:val="auto"/>
          <w:kern w:val="0"/>
          <w:sz w:val="28"/>
          <w:szCs w:val="28"/>
          <w:highlight w:val="none"/>
        </w:rPr>
      </w:pPr>
      <w:bookmarkStart w:id="82" w:name="_Toc12888"/>
      <w:bookmarkStart w:id="83" w:name="_Toc7150"/>
      <w:bookmarkStart w:id="84" w:name="_Toc13726"/>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r>
        <w:rPr>
          <w:rFonts w:hint="eastAsia" w:ascii="宋体" w:hAnsi="宋体" w:cs="Lucida Sans Unicode"/>
          <w:b/>
          <w:color w:val="auto"/>
          <w:kern w:val="0"/>
          <w:sz w:val="28"/>
          <w:szCs w:val="28"/>
          <w:highlight w:val="none"/>
          <w:lang w:val="en-US" w:eastAsia="zh-CN"/>
        </w:rPr>
        <w:t xml:space="preserve">       </w:t>
      </w:r>
      <w:r>
        <w:rPr>
          <w:rFonts w:hint="eastAsia" w:ascii="宋体" w:hAnsi="宋体" w:cs="Lucida Sans Unicode"/>
          <w:b/>
          <w:color w:val="auto"/>
          <w:kern w:val="0"/>
          <w:sz w:val="28"/>
          <w:szCs w:val="28"/>
          <w:highlight w:val="none"/>
        </w:rPr>
        <w:t xml:space="preserve">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bookmarkEnd w:id="84"/>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left"/>
        <w:rPr>
          <w:rFonts w:hint="eastAsia" w:ascii="宋体" w:hAnsi="宋体" w:eastAsia="宋体" w:cs="宋体"/>
          <w:b/>
          <w:bCs/>
          <w:color w:val="auto"/>
          <w:kern w:val="2"/>
          <w:sz w:val="28"/>
          <w:szCs w:val="18"/>
          <w:highlight w:val="none"/>
          <w:lang w:val="en-US" w:eastAsia="zh-CN" w:bidi="ar-SA"/>
        </w:rPr>
      </w:pPr>
      <w:r>
        <w:rPr>
          <w:rFonts w:hint="eastAsia" w:ascii="宋体" w:hAnsi="宋体" w:cs="Lucida Sans Unicode"/>
          <w:b/>
          <w:color w:val="auto"/>
          <w:kern w:val="0"/>
          <w:sz w:val="28"/>
          <w:szCs w:val="28"/>
          <w:highlight w:val="none"/>
          <w:lang w:val="en-US" w:eastAsia="zh-CN"/>
        </w:rPr>
        <w:t xml:space="preserve">附件9 </w:t>
      </w:r>
      <w:r>
        <w:rPr>
          <w:rFonts w:hint="eastAsia" w:ascii="宋体" w:hAnsi="宋体" w:cs="Lucida Sans Unicode"/>
          <w:b/>
          <w:color w:val="auto"/>
          <w:kern w:val="0"/>
          <w:sz w:val="24"/>
          <w:highlight w:val="none"/>
          <w:lang w:val="en-US" w:eastAsia="zh-CN"/>
        </w:rPr>
        <w:t xml:space="preserve">                  </w:t>
      </w:r>
      <w:r>
        <w:rPr>
          <w:rFonts w:hint="eastAsia" w:ascii="宋体" w:hAnsi="宋体" w:eastAsia="宋体" w:cs="宋体"/>
          <w:b/>
          <w:bCs/>
          <w:color w:val="auto"/>
          <w:kern w:val="2"/>
          <w:sz w:val="28"/>
          <w:szCs w:val="18"/>
          <w:highlight w:val="none"/>
          <w:lang w:val="en-US" w:eastAsia="zh-CN" w:bidi="ar-SA"/>
        </w:rPr>
        <w:t>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p>
    <w:p>
      <w:pPr>
        <w:pStyle w:val="47"/>
      </w:pPr>
    </w:p>
    <w:p>
      <w:pPr>
        <w:widowControl/>
        <w:snapToGrid w:val="0"/>
        <w:spacing w:line="360" w:lineRule="auto"/>
        <w:jc w:val="center"/>
        <w:outlineLvl w:val="0"/>
        <w:rPr>
          <w:rFonts w:hint="eastAsia" w:ascii="宋体" w:hAnsi="宋体" w:cs="Lucida Sans Unicode"/>
          <w:b/>
          <w:color w:val="auto"/>
          <w:kern w:val="0"/>
          <w:sz w:val="24"/>
          <w:highlight w:val="none"/>
        </w:rPr>
      </w:pPr>
      <w:bookmarkStart w:id="85" w:name="_Toc23394"/>
      <w:bookmarkStart w:id="86" w:name="_Toc25094"/>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hint="eastAsia" w:ascii="宋体" w:hAnsi="宋体" w:cs="Lucida Sans Unicode"/>
          <w:b/>
          <w:color w:val="auto"/>
          <w:kern w:val="0"/>
          <w:sz w:val="24"/>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7" w:name="_Toc26373"/>
      <w:r>
        <w:rPr>
          <w:rFonts w:hint="eastAsia" w:ascii="宋体" w:hAnsi="宋体" w:cs="Lucida Sans Unicode"/>
          <w:b/>
          <w:color w:val="auto"/>
          <w:kern w:val="0"/>
          <w:sz w:val="24"/>
          <w:highlight w:val="none"/>
        </w:rPr>
        <w:t>投标人认为有必要的其他资料</w:t>
      </w:r>
      <w:bookmarkEnd w:id="85"/>
      <w:bookmarkEnd w:id="86"/>
      <w:bookmarkEnd w:id="8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eastAsia="zh-CN"/>
      </w:rPr>
    </w:pPr>
    <w:r>
      <w:rPr>
        <w:rFonts w:hint="eastAsia"/>
        <w:lang w:val="en-US" w:eastAsia="zh-CN"/>
      </w:rPr>
      <w:t>驻马店市中心医院二号楼消防及应急照明工程采购文件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default"/>
        <w:lang w:val="en-US"/>
      </w:rPr>
    </w:pPr>
    <w:r>
      <w:rPr>
        <w:rFonts w:hint="eastAsia"/>
        <w:lang w:val="en-US" w:eastAsia="zh-CN"/>
      </w:rPr>
      <w:t>驻马店市中心医院二号楼消防及应急照明工程采购文件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7F5667"/>
    <w:rsid w:val="04870542"/>
    <w:rsid w:val="052A7E2A"/>
    <w:rsid w:val="05545DD3"/>
    <w:rsid w:val="055A081C"/>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641EF"/>
    <w:rsid w:val="07FE66CB"/>
    <w:rsid w:val="080B4D47"/>
    <w:rsid w:val="08321601"/>
    <w:rsid w:val="083622CC"/>
    <w:rsid w:val="083D5C91"/>
    <w:rsid w:val="0847191F"/>
    <w:rsid w:val="08591DC3"/>
    <w:rsid w:val="086D4B57"/>
    <w:rsid w:val="087C4541"/>
    <w:rsid w:val="087E5595"/>
    <w:rsid w:val="08C52D6F"/>
    <w:rsid w:val="08EF0201"/>
    <w:rsid w:val="08F41DE8"/>
    <w:rsid w:val="090D3FBD"/>
    <w:rsid w:val="09737462"/>
    <w:rsid w:val="099156C3"/>
    <w:rsid w:val="09A53F39"/>
    <w:rsid w:val="09A60E13"/>
    <w:rsid w:val="09D206F0"/>
    <w:rsid w:val="0A321AC2"/>
    <w:rsid w:val="0A343D4E"/>
    <w:rsid w:val="0A36039E"/>
    <w:rsid w:val="0A3E6D2E"/>
    <w:rsid w:val="0AD13A85"/>
    <w:rsid w:val="0B091954"/>
    <w:rsid w:val="0B637D77"/>
    <w:rsid w:val="0BAB6B6A"/>
    <w:rsid w:val="0BAC324F"/>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AB2E51"/>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415F0"/>
    <w:rsid w:val="1196056D"/>
    <w:rsid w:val="11AD38A1"/>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97B6B"/>
    <w:rsid w:val="161A5018"/>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D625CB"/>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0A025BE"/>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1866FC"/>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7EF5E2F"/>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6C5576"/>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7806D6"/>
    <w:rsid w:val="2EB2173C"/>
    <w:rsid w:val="2EC35DF5"/>
    <w:rsid w:val="2EDB313E"/>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0933B0"/>
    <w:rsid w:val="334A3B2A"/>
    <w:rsid w:val="3365592E"/>
    <w:rsid w:val="336F6533"/>
    <w:rsid w:val="337E5E2F"/>
    <w:rsid w:val="3384610D"/>
    <w:rsid w:val="339A10EE"/>
    <w:rsid w:val="33A67265"/>
    <w:rsid w:val="33AA5979"/>
    <w:rsid w:val="33C03E90"/>
    <w:rsid w:val="33C96649"/>
    <w:rsid w:val="33CC3D88"/>
    <w:rsid w:val="33FD722F"/>
    <w:rsid w:val="3400362D"/>
    <w:rsid w:val="340B09C5"/>
    <w:rsid w:val="341E4CAB"/>
    <w:rsid w:val="34584EE2"/>
    <w:rsid w:val="347D373F"/>
    <w:rsid w:val="34956481"/>
    <w:rsid w:val="34A35871"/>
    <w:rsid w:val="34C06C9D"/>
    <w:rsid w:val="34C17716"/>
    <w:rsid w:val="34DF24AE"/>
    <w:rsid w:val="351C4931"/>
    <w:rsid w:val="351D4C26"/>
    <w:rsid w:val="35361A77"/>
    <w:rsid w:val="35461A22"/>
    <w:rsid w:val="35483CC9"/>
    <w:rsid w:val="35A815CB"/>
    <w:rsid w:val="35AA1B9C"/>
    <w:rsid w:val="35DB09A6"/>
    <w:rsid w:val="369B4CF0"/>
    <w:rsid w:val="36AF5885"/>
    <w:rsid w:val="36D62629"/>
    <w:rsid w:val="36D76172"/>
    <w:rsid w:val="36E833BB"/>
    <w:rsid w:val="36EB1E1B"/>
    <w:rsid w:val="36F17F0D"/>
    <w:rsid w:val="370C5E5F"/>
    <w:rsid w:val="3735197D"/>
    <w:rsid w:val="373756A2"/>
    <w:rsid w:val="37515FE7"/>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2E0984"/>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AF04BFF"/>
    <w:rsid w:val="3B3D0FF2"/>
    <w:rsid w:val="3B521A18"/>
    <w:rsid w:val="3B8036A0"/>
    <w:rsid w:val="3B923660"/>
    <w:rsid w:val="3BAB1BCF"/>
    <w:rsid w:val="3BCA44BE"/>
    <w:rsid w:val="3C061F3A"/>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E91725"/>
    <w:rsid w:val="3DF159B1"/>
    <w:rsid w:val="3E1A106E"/>
    <w:rsid w:val="3E36303B"/>
    <w:rsid w:val="3E456B72"/>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091D7F"/>
    <w:rsid w:val="421104A9"/>
    <w:rsid w:val="42143B88"/>
    <w:rsid w:val="42164586"/>
    <w:rsid w:val="421C4F09"/>
    <w:rsid w:val="42340354"/>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B341C7"/>
    <w:rsid w:val="45C647AF"/>
    <w:rsid w:val="45DD529D"/>
    <w:rsid w:val="45E57886"/>
    <w:rsid w:val="45E710B1"/>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37865"/>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D1239"/>
    <w:rsid w:val="4A05334F"/>
    <w:rsid w:val="4A244932"/>
    <w:rsid w:val="4A2922C8"/>
    <w:rsid w:val="4A4117B2"/>
    <w:rsid w:val="4A713409"/>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9B4627"/>
    <w:rsid w:val="4CC84335"/>
    <w:rsid w:val="4CE9350A"/>
    <w:rsid w:val="4CF82CB6"/>
    <w:rsid w:val="4D297BF3"/>
    <w:rsid w:val="4D2D0EAF"/>
    <w:rsid w:val="4D783DF7"/>
    <w:rsid w:val="4D7F0082"/>
    <w:rsid w:val="4D915DA7"/>
    <w:rsid w:val="4D952FD9"/>
    <w:rsid w:val="4D970662"/>
    <w:rsid w:val="4DB33393"/>
    <w:rsid w:val="4DB43081"/>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858C2"/>
    <w:rsid w:val="4FBA02A1"/>
    <w:rsid w:val="4FE7106E"/>
    <w:rsid w:val="50053943"/>
    <w:rsid w:val="502F4C40"/>
    <w:rsid w:val="50550E55"/>
    <w:rsid w:val="509F43E4"/>
    <w:rsid w:val="50A41913"/>
    <w:rsid w:val="50A54D3E"/>
    <w:rsid w:val="50F1402B"/>
    <w:rsid w:val="50F43794"/>
    <w:rsid w:val="50FD2AD9"/>
    <w:rsid w:val="51077819"/>
    <w:rsid w:val="51097D9A"/>
    <w:rsid w:val="51237D2E"/>
    <w:rsid w:val="51996737"/>
    <w:rsid w:val="51A263D9"/>
    <w:rsid w:val="51B408B8"/>
    <w:rsid w:val="51B710C6"/>
    <w:rsid w:val="51CC0868"/>
    <w:rsid w:val="51D5340F"/>
    <w:rsid w:val="52382F2A"/>
    <w:rsid w:val="52386E3D"/>
    <w:rsid w:val="523A7DD1"/>
    <w:rsid w:val="5271774C"/>
    <w:rsid w:val="529945F3"/>
    <w:rsid w:val="52A82A88"/>
    <w:rsid w:val="52BB0A0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BE053A"/>
    <w:rsid w:val="53EB297B"/>
    <w:rsid w:val="542E2BC2"/>
    <w:rsid w:val="54352A96"/>
    <w:rsid w:val="54447390"/>
    <w:rsid w:val="54455968"/>
    <w:rsid w:val="545E1D01"/>
    <w:rsid w:val="54935B8F"/>
    <w:rsid w:val="549B2068"/>
    <w:rsid w:val="54CC6227"/>
    <w:rsid w:val="54D10F9B"/>
    <w:rsid w:val="54E729E6"/>
    <w:rsid w:val="551D586C"/>
    <w:rsid w:val="55200298"/>
    <w:rsid w:val="55335E1B"/>
    <w:rsid w:val="554B7EF0"/>
    <w:rsid w:val="55582215"/>
    <w:rsid w:val="556F3D99"/>
    <w:rsid w:val="55860894"/>
    <w:rsid w:val="55B02DF1"/>
    <w:rsid w:val="55DC290C"/>
    <w:rsid w:val="55DD513F"/>
    <w:rsid w:val="55F01FA1"/>
    <w:rsid w:val="56080F61"/>
    <w:rsid w:val="565C42B5"/>
    <w:rsid w:val="56990B7C"/>
    <w:rsid w:val="569E1126"/>
    <w:rsid w:val="56B80DEB"/>
    <w:rsid w:val="56E06E61"/>
    <w:rsid w:val="56F653FE"/>
    <w:rsid w:val="56FE00DA"/>
    <w:rsid w:val="575B7AFD"/>
    <w:rsid w:val="57660D3F"/>
    <w:rsid w:val="578401B6"/>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344DB"/>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A46961"/>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8E65C61"/>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0A37"/>
    <w:rsid w:val="6AA86FEC"/>
    <w:rsid w:val="6AD0590A"/>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2D1BCD"/>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797317"/>
    <w:rsid w:val="708D1DAA"/>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80DBC"/>
    <w:rsid w:val="734C1A6A"/>
    <w:rsid w:val="735C5949"/>
    <w:rsid w:val="73737DA5"/>
    <w:rsid w:val="7381515F"/>
    <w:rsid w:val="73887B3E"/>
    <w:rsid w:val="73892412"/>
    <w:rsid w:val="73EE4A6E"/>
    <w:rsid w:val="741048BC"/>
    <w:rsid w:val="742E78D4"/>
    <w:rsid w:val="74676A28"/>
    <w:rsid w:val="747E40B6"/>
    <w:rsid w:val="74AC3224"/>
    <w:rsid w:val="74BB2C83"/>
    <w:rsid w:val="74C55995"/>
    <w:rsid w:val="74D62228"/>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4F5E51"/>
    <w:rsid w:val="77835654"/>
    <w:rsid w:val="7797109C"/>
    <w:rsid w:val="779A2A38"/>
    <w:rsid w:val="77A358D1"/>
    <w:rsid w:val="77B4450A"/>
    <w:rsid w:val="77B46E73"/>
    <w:rsid w:val="77E37A12"/>
    <w:rsid w:val="77FE3468"/>
    <w:rsid w:val="780B7564"/>
    <w:rsid w:val="784D6897"/>
    <w:rsid w:val="78546F0C"/>
    <w:rsid w:val="78730464"/>
    <w:rsid w:val="78EE1C79"/>
    <w:rsid w:val="79017442"/>
    <w:rsid w:val="79323EB7"/>
    <w:rsid w:val="797239CC"/>
    <w:rsid w:val="79725CA3"/>
    <w:rsid w:val="797852CE"/>
    <w:rsid w:val="79831473"/>
    <w:rsid w:val="7999527A"/>
    <w:rsid w:val="79AF76C5"/>
    <w:rsid w:val="79BC5D3D"/>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B53BB"/>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6">
    <w:name w:val="List Number"/>
    <w:basedOn w:val="1"/>
    <w:autoRedefine/>
    <w:qFormat/>
    <w:uiPriority w:val="0"/>
    <w:pPr>
      <w:widowControl/>
      <w:spacing w:beforeAutospacing="1" w:afterAutospacing="1"/>
      <w:jc w:val="left"/>
    </w:pPr>
    <w:rPr>
      <w:rFonts w:ascii="宋体" w:hAnsi="宋体" w:cs="宋体"/>
      <w:kern w:val="0"/>
      <w:sz w:val="24"/>
    </w:rPr>
  </w:style>
  <w:style w:type="paragraph" w:styleId="7">
    <w:name w:val="Normal Indent"/>
    <w:basedOn w:val="1"/>
    <w:next w:val="8"/>
    <w:qFormat/>
    <w:uiPriority w:val="0"/>
    <w:pPr>
      <w:widowControl/>
      <w:spacing w:beforeAutospacing="1" w:afterAutospacing="1"/>
      <w:jc w:val="left"/>
    </w:pPr>
    <w:rPr>
      <w:rFonts w:ascii="宋体" w:hAnsi="宋体" w:cs="宋体"/>
      <w:kern w:val="0"/>
      <w:sz w:val="24"/>
    </w:rPr>
  </w:style>
  <w:style w:type="paragraph" w:styleId="8">
    <w:name w:val="Body Text First Indent 2"/>
    <w:basedOn w:val="9"/>
    <w:next w:val="7"/>
    <w:qFormat/>
    <w:uiPriority w:val="0"/>
    <w:pPr>
      <w:ind w:firstLine="420" w:firstLineChars="200"/>
    </w:pPr>
  </w:style>
  <w:style w:type="paragraph" w:styleId="9">
    <w:name w:val="Body Text Indent"/>
    <w:basedOn w:val="1"/>
    <w:next w:val="10"/>
    <w:qFormat/>
    <w:uiPriority w:val="0"/>
    <w:pPr>
      <w:widowControl/>
      <w:spacing w:beforeAutospacing="1" w:afterAutospacing="1"/>
      <w:jc w:val="left"/>
    </w:pPr>
    <w:rPr>
      <w:rFonts w:ascii="宋体" w:hAnsi="宋体" w:cs="宋体"/>
      <w:kern w:val="0"/>
      <w:sz w:val="24"/>
    </w:rPr>
  </w:style>
  <w:style w:type="paragraph" w:styleId="10">
    <w:name w:val="envelope return"/>
    <w:basedOn w:val="1"/>
    <w:autoRedefine/>
    <w:unhideWhenUsed/>
    <w:qFormat/>
    <w:uiPriority w:val="99"/>
    <w:pPr>
      <w:snapToGrid w:val="0"/>
    </w:pPr>
    <w:rPr>
      <w:rFonts w:ascii="Arial" w:hAnsi="Arial"/>
    </w:rPr>
  </w:style>
  <w:style w:type="paragraph" w:styleId="11">
    <w:name w:val="Document Map"/>
    <w:basedOn w:val="1"/>
    <w:link w:val="74"/>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w:basedOn w:val="1"/>
    <w:next w:val="15"/>
    <w:link w:val="72"/>
    <w:autoRedefine/>
    <w:qFormat/>
    <w:uiPriority w:val="0"/>
  </w:style>
  <w:style w:type="paragraph" w:styleId="15">
    <w:name w:val="Body Text 2"/>
    <w:basedOn w:val="1"/>
    <w:next w:val="14"/>
    <w:autoRedefine/>
    <w:qFormat/>
    <w:uiPriority w:val="0"/>
    <w:pPr>
      <w:spacing w:line="480" w:lineRule="auto"/>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14"/>
    <w:next w:val="1"/>
    <w:autoRedefine/>
    <w:qFormat/>
    <w:uiPriority w:val="0"/>
    <w:pPr>
      <w:spacing w:line="360" w:lineRule="auto"/>
      <w:ind w:firstLine="420" w:firstLineChars="100"/>
    </w:pPr>
    <w:rPr>
      <w:szCs w:val="21"/>
    </w:r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8"/>
    <w:autoRedefine/>
    <w:qFormat/>
    <w:uiPriority w:val="0"/>
    <w:pPr>
      <w:jc w:val="center"/>
    </w:pPr>
    <w:rPr>
      <w:rFonts w:ascii="Arial" w:hAnsi="Arial"/>
      <w:b/>
      <w:sz w:val="28"/>
    </w:rPr>
  </w:style>
  <w:style w:type="paragraph" w:customStyle="1" w:styleId="50">
    <w:name w:val="No Spacing1"/>
    <w:basedOn w:val="1"/>
    <w:autoRedefine/>
    <w:qFormat/>
    <w:uiPriority w:val="0"/>
    <w:pPr>
      <w:spacing w:line="400" w:lineRule="exact"/>
    </w:pPr>
    <w:rPr>
      <w:sz w:val="24"/>
    </w:rPr>
  </w:style>
  <w:style w:type="paragraph" w:customStyle="1" w:styleId="51">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autoRedefine/>
    <w:qFormat/>
    <w:uiPriority w:val="0"/>
  </w:style>
  <w:style w:type="paragraph" w:customStyle="1" w:styleId="53">
    <w:name w:val="正文缩进1"/>
    <w:basedOn w:val="1"/>
    <w:autoRedefine/>
    <w:qFormat/>
    <w:uiPriority w:val="0"/>
    <w:pPr>
      <w:widowControl/>
      <w:ind w:firstLine="420"/>
      <w:jc w:val="left"/>
    </w:pPr>
    <w:rPr>
      <w:kern w:val="0"/>
      <w:szCs w:val="20"/>
    </w:rPr>
  </w:style>
  <w:style w:type="paragraph" w:customStyle="1" w:styleId="54">
    <w:name w:val="列出段落2"/>
    <w:basedOn w:val="1"/>
    <w:autoRedefine/>
    <w:qFormat/>
    <w:uiPriority w:val="34"/>
    <w:pPr>
      <w:ind w:firstLine="420" w:firstLineChars="200"/>
    </w:pPr>
  </w:style>
  <w:style w:type="paragraph" w:customStyle="1" w:styleId="55">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6">
    <w:name w:val="1"/>
    <w:basedOn w:val="1"/>
    <w:autoRedefine/>
    <w:qFormat/>
    <w:uiPriority w:val="0"/>
    <w:pPr>
      <w:widowControl/>
      <w:spacing w:beforeAutospacing="1" w:afterAutospacing="1"/>
      <w:jc w:val="left"/>
    </w:pPr>
    <w:rPr>
      <w:rFonts w:ascii="宋体" w:hAnsi="宋体" w:cs="宋体"/>
      <w:kern w:val="0"/>
      <w:sz w:val="24"/>
    </w:rPr>
  </w:style>
  <w:style w:type="paragraph" w:styleId="57">
    <w:name w:val="No Spacing"/>
    <w:autoRedefine/>
    <w:qFormat/>
    <w:uiPriority w:val="1"/>
    <w:rPr>
      <w:rFonts w:ascii="Calibri" w:hAnsi="Calibri" w:eastAsia="宋体" w:cs="Times New Roman"/>
      <w:sz w:val="22"/>
      <w:szCs w:val="22"/>
      <w:lang w:val="en-US" w:eastAsia="zh-CN" w:bidi="ar-SA"/>
    </w:rPr>
  </w:style>
  <w:style w:type="paragraph" w:customStyle="1" w:styleId="58">
    <w:name w:val="_Style 2"/>
    <w:basedOn w:val="1"/>
    <w:autoRedefine/>
    <w:qFormat/>
    <w:uiPriority w:val="34"/>
    <w:pPr>
      <w:ind w:firstLine="420" w:firstLineChars="200"/>
    </w:pPr>
    <w:rPr>
      <w:rFonts w:ascii="Calibri" w:hAnsi="Calibri"/>
    </w:rPr>
  </w:style>
  <w:style w:type="paragraph" w:customStyle="1" w:styleId="59">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autoRedefine/>
    <w:qFormat/>
    <w:uiPriority w:val="0"/>
  </w:style>
  <w:style w:type="paragraph" w:customStyle="1" w:styleId="62">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autoRedefine/>
    <w:qFormat/>
    <w:uiPriority w:val="1"/>
    <w:pPr>
      <w:jc w:val="left"/>
    </w:pPr>
    <w:rPr>
      <w:rFonts w:ascii="宋体" w:hAnsi="宋体" w:cs="宋体"/>
      <w:kern w:val="0"/>
      <w:sz w:val="22"/>
      <w:szCs w:val="22"/>
      <w:lang w:eastAsia="en-US"/>
    </w:rPr>
  </w:style>
  <w:style w:type="paragraph" w:customStyle="1" w:styleId="64">
    <w:name w:val="无间隔1"/>
    <w:basedOn w:val="1"/>
    <w:autoRedefine/>
    <w:qFormat/>
    <w:uiPriority w:val="1"/>
    <w:pPr>
      <w:spacing w:line="400" w:lineRule="exact"/>
    </w:pPr>
    <w:rPr>
      <w:sz w:val="24"/>
    </w:rPr>
  </w:style>
  <w:style w:type="paragraph" w:customStyle="1" w:styleId="65">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autoRedefine/>
    <w:qFormat/>
    <w:uiPriority w:val="34"/>
    <w:pPr>
      <w:ind w:firstLine="420" w:firstLineChars="200"/>
    </w:pPr>
  </w:style>
  <w:style w:type="paragraph" w:customStyle="1" w:styleId="68">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autoRedefine/>
    <w:qFormat/>
    <w:uiPriority w:val="0"/>
    <w:pPr>
      <w:ind w:firstLine="420" w:firstLineChars="200"/>
    </w:pPr>
    <w:rPr>
      <w:rFonts w:ascii="Calibri" w:hAnsi="Calibri"/>
      <w:szCs w:val="22"/>
    </w:rPr>
  </w:style>
  <w:style w:type="character" w:customStyle="1" w:styleId="72">
    <w:name w:val="正文文本 Char"/>
    <w:basedOn w:val="33"/>
    <w:link w:val="14"/>
    <w:qFormat/>
    <w:uiPriority w:val="0"/>
  </w:style>
  <w:style w:type="character" w:customStyle="1" w:styleId="73">
    <w:name w:val="apple-converted-space"/>
    <w:basedOn w:val="33"/>
    <w:autoRedefine/>
    <w:qFormat/>
    <w:uiPriority w:val="0"/>
  </w:style>
  <w:style w:type="character" w:customStyle="1" w:styleId="74">
    <w:name w:val="文档结构图 Char"/>
    <w:link w:val="11"/>
    <w:autoRedefine/>
    <w:qFormat/>
    <w:uiPriority w:val="0"/>
    <w:rPr>
      <w:rFonts w:ascii="宋体"/>
      <w:kern w:val="2"/>
      <w:sz w:val="18"/>
      <w:szCs w:val="18"/>
    </w:rPr>
  </w:style>
  <w:style w:type="character" w:customStyle="1" w:styleId="75">
    <w:name w:val="不明显强调1"/>
    <w:autoRedefine/>
    <w:qFormat/>
    <w:uiPriority w:val="19"/>
    <w:rPr>
      <w:i/>
      <w:iCs/>
      <w:color w:val="7F7F7F"/>
      <w:szCs w:val="24"/>
    </w:rPr>
  </w:style>
  <w:style w:type="character" w:customStyle="1" w:styleId="76">
    <w:name w:val="font71"/>
    <w:autoRedefine/>
    <w:qFormat/>
    <w:uiPriority w:val="0"/>
    <w:rPr>
      <w:rFonts w:hint="eastAsia" w:ascii="宋体" w:hAnsi="宋体" w:eastAsia="宋体" w:cs="宋体"/>
      <w:color w:val="000000"/>
      <w:sz w:val="28"/>
      <w:szCs w:val="28"/>
      <w:u w:val="none"/>
    </w:rPr>
  </w:style>
  <w:style w:type="character" w:customStyle="1" w:styleId="77">
    <w:name w:val="font21"/>
    <w:autoRedefine/>
    <w:qFormat/>
    <w:uiPriority w:val="0"/>
    <w:rPr>
      <w:rFonts w:hint="default" w:ascii="Calibri" w:hAnsi="Calibri" w:cs="Calibri"/>
      <w:color w:val="000000"/>
      <w:sz w:val="28"/>
      <w:szCs w:val="28"/>
      <w:u w:val="none"/>
    </w:rPr>
  </w:style>
  <w:style w:type="character" w:customStyle="1" w:styleId="78">
    <w:name w:val="17"/>
    <w:autoRedefine/>
    <w:qFormat/>
    <w:uiPriority w:val="0"/>
    <w:rPr>
      <w:rFonts w:hint="eastAsia" w:ascii="宋体" w:hAnsi="宋体" w:eastAsia="宋体"/>
      <w:color w:val="000000"/>
    </w:rPr>
  </w:style>
  <w:style w:type="character" w:customStyle="1" w:styleId="79">
    <w:name w:val="font91"/>
    <w:autoRedefine/>
    <w:qFormat/>
    <w:uiPriority w:val="0"/>
    <w:rPr>
      <w:rFonts w:hint="eastAsia" w:ascii="宋体" w:hAnsi="宋体" w:eastAsia="宋体" w:cs="宋体"/>
      <w:color w:val="FF0000"/>
      <w:sz w:val="28"/>
      <w:szCs w:val="28"/>
      <w:u w:val="none"/>
    </w:rPr>
  </w:style>
  <w:style w:type="paragraph" w:customStyle="1" w:styleId="80">
    <w:name w:val="p"/>
    <w:basedOn w:val="1"/>
    <w:autoRedefine/>
    <w:qFormat/>
    <w:uiPriority w:val="0"/>
    <w:pPr>
      <w:widowControl/>
      <w:spacing w:line="432" w:lineRule="auto"/>
      <w:jc w:val="left"/>
    </w:pPr>
    <w:rPr>
      <w:rFonts w:ascii="宋体" w:hAnsi="宋体" w:cs="宋体"/>
      <w:kern w:val="0"/>
      <w:sz w:val="24"/>
    </w:rPr>
  </w:style>
  <w:style w:type="paragraph" w:customStyle="1" w:styleId="81">
    <w:name w:val="WPSOffice手动目录 1"/>
    <w:autoRedefine/>
    <w:qFormat/>
    <w:uiPriority w:val="0"/>
    <w:rPr>
      <w:rFonts w:ascii="Times New Roman" w:hAnsi="Times New Roman" w:eastAsia="宋体" w:cs="Times New Roman"/>
      <w:lang w:val="en-US" w:eastAsia="zh-CN" w:bidi="ar-SA"/>
    </w:rPr>
  </w:style>
  <w:style w:type="paragraph" w:customStyle="1" w:styleId="82">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3">
    <w:name w:val="表格文字"/>
    <w:basedOn w:val="1"/>
    <w:next w:val="14"/>
    <w:qFormat/>
    <w:uiPriority w:val="0"/>
    <w:pPr>
      <w:adjustRightInd w:val="0"/>
      <w:spacing w:line="420" w:lineRule="atLeast"/>
      <w:jc w:val="left"/>
      <w:textAlignment w:val="baseline"/>
    </w:pPr>
    <w:rPr>
      <w:kern w:val="0"/>
      <w:szCs w:val="20"/>
    </w:rPr>
  </w:style>
  <w:style w:type="character" w:customStyle="1" w:styleId="84">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autoRedefine/>
    <w:qFormat/>
    <w:uiPriority w:val="34"/>
    <w:pPr>
      <w:widowControl/>
      <w:ind w:firstLine="420"/>
      <w:jc w:val="left"/>
    </w:pPr>
    <w:rPr>
      <w:kern w:val="0"/>
    </w:rPr>
  </w:style>
  <w:style w:type="paragraph" w:styleId="86">
    <w:name w:val="List Paragraph"/>
    <w:basedOn w:val="1"/>
    <w:autoRedefine/>
    <w:qFormat/>
    <w:uiPriority w:val="34"/>
    <w:pPr>
      <w:ind w:firstLine="420" w:firstLineChars="200"/>
    </w:pPr>
  </w:style>
  <w:style w:type="character" w:customStyle="1" w:styleId="87">
    <w:name w:val="hover18"/>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14755</Words>
  <Characters>15466</Characters>
  <Lines>50</Lines>
  <Paragraphs>68</Paragraphs>
  <TotalTime>0</TotalTime>
  <ScaleCrop>false</ScaleCrop>
  <LinksUpToDate>false</LinksUpToDate>
  <CharactersWithSpaces>16382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2023-12-22T08:01:14Z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DA23CE725ABE4265B71B96C27A00DFE6_13</vt:lpwstr>
  </property>
  <property fmtid="{D5CDD505-2E9C-101B-9397-08002B2CF9AE}" pid="4" name="commondata">
    <vt:lpwstr>eyJoZGlkIjoiYzIwMjRmYTY4OTJhZjc1NTA1MGQwNDc0NzZhNTkwMmUifQ==</vt:lpwstr>
  </property>
</Properties>
</file>