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驻马店市中心医院医科达直线加速器技术保项目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驻马店市中心医院医科达直线加速器技</w:t>
      </w:r>
      <w:bookmarkStart w:id="86" w:name="_GoBack"/>
      <w:bookmarkEnd w:id="86"/>
      <w:r>
        <w:rPr>
          <w:rFonts w:hint="eastAsia" w:ascii="宋体" w:hAnsi="宋体" w:cs="宋体"/>
          <w:b/>
          <w:bCs w:val="0"/>
          <w:color w:val="auto"/>
          <w:kern w:val="0"/>
          <w:sz w:val="28"/>
          <w:szCs w:val="28"/>
          <w:u w:val="none"/>
          <w:lang w:val="en-US" w:eastAsia="zh-CN"/>
        </w:rPr>
        <w:t>术保项目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医科达直线加速器技术保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驻马店市中心医院医科达直线加速器技术保项目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9万元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643"/>
      <w:bookmarkStart w:id="9" w:name="_Toc23395"/>
      <w:bookmarkStart w:id="10" w:name="_Toc30971"/>
      <w:bookmarkStart w:id="11" w:name="_Toc9562"/>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31928"/>
      <w:bookmarkStart w:id="27" w:name="_Toc27370"/>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医科达直线加速器技术保项目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医科达直线加速器技术保</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医科达直线加速器技术保</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台/年</w:t>
            </w:r>
          </w:p>
        </w:tc>
        <w:tc>
          <w:tcPr>
            <w:tcW w:w="886" w:type="dxa"/>
            <w:vAlign w:val="center"/>
          </w:tcPr>
          <w:p>
            <w:pPr>
              <w:pStyle w:val="15"/>
              <w:numPr>
                <w:ilvl w:val="0"/>
                <w:numId w:val="0"/>
              </w:numPr>
              <w:rPr>
                <w:rFonts w:hint="eastAsia" w:eastAsia="宋体"/>
                <w:lang w:val="en-US" w:eastAsia="zh-CN"/>
              </w:rPr>
            </w:pPr>
            <w:r>
              <w:rPr>
                <w:rFonts w:hint="eastAsia"/>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9万元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eastAsia="宋体"/>
                <w:lang w:val="en-US" w:eastAsia="zh-CN"/>
              </w:rPr>
              <w:t>台/</w:t>
            </w: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9万元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r>
              <w:rPr>
                <w:rFonts w:hint="eastAsia"/>
                <w:lang w:val="en-US" w:eastAsia="zh-CN"/>
              </w:rPr>
              <w:t>加速器型号为医科达Infinity</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2)</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3)为本医院配置具备维修资质的固定工程师不少于2人，本设备维修经验不少于2年，需提供证明材料（培训证书）和承诺函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4)</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5)</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软硬件及工作站免费安全升级，并开放维修密码等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6)</w:t>
      </w:r>
      <w:r>
        <w:rPr>
          <w:rFonts w:hint="default" w:ascii="宋体" w:hAnsi="宋体" w:cs="宋体"/>
          <w:kern w:val="2"/>
          <w:sz w:val="21"/>
          <w:szCs w:val="24"/>
          <w:lang w:val="en-US" w:eastAsia="zh-CN" w:bidi="ar-SA"/>
        </w:rPr>
        <w:tab/>
      </w:r>
      <w:r>
        <w:rPr>
          <w:rFonts w:hint="default" w:ascii="宋体" w:hAnsi="宋体" w:cs="宋体"/>
          <w:kern w:val="2"/>
          <w:sz w:val="21"/>
          <w:szCs w:val="24"/>
          <w:lang w:val="en-US" w:eastAsia="zh-CN" w:bidi="ar-SA"/>
        </w:rPr>
        <w:t>提供24小时远程技术支持及临床应用支持，签署由招标人提供的信息系统数据安全保密承诺书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7）更换维修备件需要院内工程师及科室主任在场拍照，更换维修备件超过三万元需要先招标后更换，特殊情况除外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8）如需更换备件，国内备件仓库有货的备件在2个工作日内送达医院，进口配件5个工作日送达；非标件和不可抗力除外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9）定期进行安全检查及质量保障，保证24h*365天维修热线连接；提供全国400热线服务电话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10）紧急人工和工程师现场紧急维修服务；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11）提供ISO9001和13485质量认证证书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12）工程师需配备有专用工具，工程师的工具符合国家检测和校准的规定（提供相关校准证明）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13）保修期最后一个月内更换的配件，中标公司应保证自更换之日起三个月内正常使用，如三个月内出现故障，由中标公司承担维修费用。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14）须有具备应用培训工程师且提供原厂认证的培训证书。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15） 对我院的维修工程师提供每年至少2人次的专业培训，并提供培训证明材料。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r>
        <w:rPr>
          <w:rFonts w:hint="default" w:ascii="宋体" w:hAnsi="宋体" w:cs="宋体"/>
          <w:kern w:val="2"/>
          <w:sz w:val="21"/>
          <w:szCs w:val="24"/>
          <w:lang w:val="en-US" w:eastAsia="zh-CN" w:bidi="ar-SA"/>
        </w:rPr>
        <w:t>16）每年制定临床使用人员的使用维护培训计划，按计划进行培训并提供记录。</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default" w:ascii="宋体" w:hAnsi="宋体" w:cs="宋体"/>
                <w:kern w:val="2"/>
                <w:sz w:val="21"/>
                <w:szCs w:val="24"/>
                <w:lang w:val="en-US" w:eastAsia="zh-CN" w:bidi="ar-SA"/>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驻马店市中心医院医科达直线加速器技术保项目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9万元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9万元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9万元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特定资格要求：供应商须具有医疗器械经营许可证，是在中华人民共和国境内注册的设备原制造厂商或原制造厂商授权的单位或具备相关设备维修能力的单位（提供证明文件）。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1</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驻马店市中心医院医科达直线加速器技术保项目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434C20"/>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10920"/>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2023-12-22T03:26:54Z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