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驻马店市中心医院GE1.5T核磁共振技术保项目（二次）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驻马店市中心医院GE1.5T核磁共振技术保项目（二次）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GE1.5T核磁共振技术保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驻马店市中心医院GE1.5T核磁共振技术保项目（二次）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6639"/>
      <w:bookmarkStart w:id="6" w:name="_Toc23626"/>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9562"/>
      <w:bookmarkStart w:id="9" w:name="_Toc30643"/>
      <w:bookmarkStart w:id="10" w:name="_Toc23395"/>
      <w:bookmarkStart w:id="11" w:name="_Toc782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20</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15111"/>
      <w:bookmarkStart w:id="15" w:name="_Toc25869"/>
      <w:bookmarkStart w:id="16" w:name="_Toc15135"/>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20287"/>
      <w:bookmarkStart w:id="20" w:name="_Toc29784"/>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1928"/>
      <w:bookmarkStart w:id="27" w:name="_Toc3604"/>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3</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12</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19</w:t>
      </w:r>
      <w:bookmarkStart w:id="86" w:name="_GoBack"/>
      <w:bookmarkEnd w:id="86"/>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23610"/>
      <w:bookmarkStart w:id="34" w:name="_Toc31536"/>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cs="宋体"/>
          <w:i w:val="0"/>
          <w:iCs/>
          <w:sz w:val="21"/>
          <w:szCs w:val="21"/>
          <w:highlight w:val="none"/>
          <w:u w:val="none"/>
          <w:lang w:val="en-US" w:eastAsia="zh-CN"/>
        </w:rPr>
        <w:t>驻马店市中心医院GE1.5T核磁共振技术保项目（二次）</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GE1.5T核磁共振技术保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eastAsia="宋体"/>
                <w:lang w:val="en-US" w:eastAsia="zh-CN"/>
              </w:rPr>
              <w:t>GE1.5T核磁共振技术保</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1075" w:type="dxa"/>
            <w:gridSpan w:val="3"/>
            <w:vAlign w:val="center"/>
          </w:tcPr>
          <w:p>
            <w:pPr>
              <w:pStyle w:val="15"/>
              <w:numPr>
                <w:ilvl w:val="0"/>
                <w:numId w:val="0"/>
              </w:numPr>
              <w:rPr>
                <w:rFonts w:hint="eastAsia" w:eastAsia="宋体"/>
                <w:lang w:val="en-US" w:eastAsia="zh-CN"/>
              </w:rPr>
            </w:pPr>
            <w:r>
              <w:rPr>
                <w:rFonts w:hint="eastAsia" w:eastAsia="宋体"/>
                <w:lang w:val="en-US" w:eastAsia="zh-CN"/>
              </w:rPr>
              <w:t>4万元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4万元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设备型号为GE explorer 1.5T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驻马店市中心医院GE1.5T核磁共振技术保项目（二次）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4万元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4万元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（二次）</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2004"/>
      <w:bookmarkStart w:id="70"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驻马店市中心医院GE1.5T核磁共振技术保项目（二次）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B4572"/>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9074B6"/>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CD0533"/>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15</TotalTime>
  <ScaleCrop>false</ScaleCrop>
  <LinksUpToDate>false</LinksUpToDate>
  <CharactersWithSpaces>22703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2023-12-19T07:10:39Z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