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驻马店市中心医院GE1.5T核磁共振技术保项目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驻马店市中心医院GE1.5T核磁共振技术保项目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GE1.5T核磁共振技术保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驻马店市中心医院GE1.5T核磁共振技术保项目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23395"/>
      <w:bookmarkStart w:id="10" w:name="_Toc7823"/>
      <w:bookmarkStart w:id="11" w:name="_Toc9562"/>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27480"/>
      <w:bookmarkStart w:id="15" w:name="_Toc25869"/>
      <w:bookmarkStart w:id="16" w:name="_Toc15111"/>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6523"/>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31928"/>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13</w:t>
      </w:r>
      <w:bookmarkStart w:id="86" w:name="_GoBack"/>
      <w:bookmarkEnd w:id="86"/>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GE1.5T核磁共振技术保项目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GE1.5T核磁共振技术保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eastAsia="宋体"/>
                <w:lang w:val="en-US" w:eastAsia="zh-CN"/>
              </w:rPr>
              <w:t>GE1.5T核磁共振技术保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eastAsia="宋体"/>
                <w:lang w:val="en-US" w:eastAsia="zh-CN"/>
              </w:rPr>
              <w:t>4万元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设备型号为GE explorer 1.5T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驻马店市中心医院GE1.5T核磁共振技术保项目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驻马店市中心医院GE1.5T核磁共振技术保项目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6B6517"/>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15</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2023-12-13T00:29:17Z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