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bidi w:val="0"/>
        <w:jc w:val="center"/>
        <w:rPr>
          <w:rStyle w:val="43"/>
          <w:rFonts w:hint="eastAsia" w:ascii="宋体" w:hAnsi="宋体" w:eastAsia="宋体" w:cs="宋体"/>
          <w:b/>
          <w:bCs/>
          <w:color w:val="auto"/>
          <w:sz w:val="48"/>
          <w:szCs w:val="48"/>
        </w:rPr>
      </w:pPr>
      <w:r>
        <w:rPr>
          <w:rFonts w:hint="eastAsia" w:ascii="宋体" w:hAnsi="宋体" w:eastAsia="宋体" w:cs="宋体"/>
          <w:b/>
          <w:bCs w:val="0"/>
          <w:color w:val="auto"/>
          <w:kern w:val="0"/>
          <w:sz w:val="48"/>
          <w:szCs w:val="48"/>
          <w:lang w:eastAsia="zh-CN"/>
        </w:rPr>
        <w:t>驻马店市中心医院</w:t>
      </w:r>
      <w:r>
        <w:rPr>
          <w:rFonts w:hint="eastAsia" w:cs="宋体"/>
          <w:b/>
          <w:bCs w:val="0"/>
          <w:color w:val="auto"/>
          <w:kern w:val="0"/>
          <w:sz w:val="48"/>
          <w:szCs w:val="48"/>
          <w:lang w:val="en-US" w:eastAsia="zh-CN"/>
        </w:rPr>
        <w:t>原卫校宿舍楼淋浴饮水一卡通节水设施采购项目二次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w:t>
      </w:r>
      <w:r>
        <w:rPr>
          <w:rFonts w:hint="eastAsia" w:ascii="宋体" w:hAnsi="宋体" w:cs="宋体"/>
          <w:b/>
          <w:bCs/>
          <w:color w:val="auto"/>
          <w:spacing w:val="40"/>
          <w:sz w:val="34"/>
          <w:szCs w:val="34"/>
          <w:lang w:val="en-US" w:eastAsia="zh-CN"/>
        </w:rPr>
        <w:t>1</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lang w:eastAsia="zh-CN"/>
        </w:rPr>
        <w:t>驻马店市中心医院</w:t>
      </w:r>
      <w:r>
        <w:rPr>
          <w:rFonts w:hint="eastAsia" w:ascii="宋体" w:hAnsi="宋体" w:cs="宋体"/>
          <w:b/>
          <w:bCs w:val="0"/>
          <w:color w:val="auto"/>
          <w:kern w:val="0"/>
          <w:sz w:val="28"/>
          <w:szCs w:val="28"/>
          <w:lang w:val="en-US" w:eastAsia="zh-CN"/>
        </w:rPr>
        <w:t>原卫校宿舍楼淋浴饮水一卡通节水设施采购项目二次</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原卫校宿舍楼淋浴饮水一卡通节水设施采购项目二次</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w:t>
      </w:r>
      <w:r>
        <w:rPr>
          <w:rFonts w:hint="eastAsia" w:ascii="宋体" w:hAnsi="宋体" w:cs="宋体"/>
          <w:color w:val="auto"/>
          <w:szCs w:val="21"/>
          <w:highlight w:val="none"/>
          <w:shd w:val="clear" w:color="auto" w:fill="FFFFFF"/>
          <w:lang w:val="en-US" w:eastAsia="zh-CN"/>
        </w:rPr>
        <w:t>原卫校宿舍楼淋浴饮水一卡通节水设施采购项目二次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4.47</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4、交货日期：合同签订后20日内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6079"/>
      <w:bookmarkStart w:id="5" w:name="_Toc24040"/>
      <w:bookmarkStart w:id="6" w:name="_Toc21071"/>
      <w:bookmarkStart w:id="7" w:name="_Toc27913"/>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6、质保期：设备质保1年，流量费2年。</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18607"/>
      <w:bookmarkStart w:id="10" w:name="_Toc27704"/>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bookmarkStart w:id="13" w:name="_Toc7823"/>
      <w:bookmarkStart w:id="14" w:name="_Toc9562"/>
      <w:bookmarkStart w:id="15" w:name="_Toc23395"/>
      <w:bookmarkStart w:id="16" w:name="_Toc30643"/>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r>
        <w:rPr>
          <w:rFonts w:hint="eastAsia" w:ascii="宋体" w:hAnsi="宋体" w:eastAsia="宋体" w:cs="宋体"/>
          <w:b/>
          <w:bCs/>
          <w:color w:val="auto"/>
          <w:kern w:val="2"/>
          <w:sz w:val="21"/>
          <w:szCs w:val="24"/>
          <w:lang w:val="en-US" w:eastAsia="zh-CN" w:bidi="ar-SA"/>
        </w:rPr>
        <w:t xml:space="preserve">  </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15135"/>
      <w:bookmarkStart w:id="19" w:name="_Toc15111"/>
      <w:bookmarkStart w:id="20" w:name="_Toc27480"/>
      <w:bookmarkStart w:id="21" w:name="_Toc25869"/>
      <w:bookmarkStart w:id="22" w:name="_Toc10738"/>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shd w:val="clear" w:color="auto" w:fill="FFFFFF"/>
        </w:rPr>
        <w:t>20</w:t>
      </w:r>
      <w:r>
        <w:rPr>
          <w:rFonts w:hint="eastAsia" w:ascii="宋体" w:hAnsi="宋体" w:eastAsia="宋体" w:cs="宋体"/>
          <w:color w:val="FF0000"/>
          <w:szCs w:val="21"/>
          <w:shd w:val="clear" w:color="auto" w:fill="FFFFFF"/>
          <w:lang w:val="en-US" w:eastAsia="zh-CN"/>
        </w:rPr>
        <w:t>23</w:t>
      </w:r>
      <w:r>
        <w:rPr>
          <w:rFonts w:hint="eastAsia" w:ascii="宋体" w:hAnsi="宋体" w:eastAsia="宋体" w:cs="宋体"/>
          <w:color w:val="FF0000"/>
          <w:szCs w:val="21"/>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30918"/>
      <w:bookmarkStart w:id="24" w:name="_Toc20287"/>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16291"/>
      <w:bookmarkStart w:id="30" w:name="_Toc31928"/>
      <w:bookmarkStart w:id="31" w:name="_Toc24274"/>
      <w:bookmarkStart w:id="32" w:name="_Toc27370"/>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w:t>
      </w:r>
      <w:r>
        <w:rPr>
          <w:rFonts w:hint="eastAsia" w:ascii="宋体" w:hAnsi="宋体" w:cs="宋体"/>
          <w:color w:val="auto"/>
          <w:kern w:val="0"/>
          <w:sz w:val="21"/>
          <w:szCs w:val="21"/>
          <w:highlight w:val="none"/>
          <w:shd w:val="clear" w:color="auto" w:fill="FFFFFF"/>
          <w:lang w:val="en-US" w:eastAsia="zh-CN" w:bidi="ar-SA"/>
        </w:rPr>
        <w:t>杨先生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highlight w:val="yellow"/>
          <w:shd w:val="clear" w:color="auto" w:fill="FFFFFF"/>
          <w:lang w:val="en-US" w:eastAsia="zh-CN" w:bidi="ar-SA"/>
        </w:rPr>
      </w:pPr>
      <w:r>
        <w:rPr>
          <w:rFonts w:hint="eastAsia" w:ascii="宋体" w:hAnsi="宋体" w:eastAsia="宋体" w:cs="宋体"/>
          <w:color w:val="auto"/>
          <w:kern w:val="0"/>
          <w:sz w:val="21"/>
          <w:szCs w:val="21"/>
          <w:highlight w:val="yellow"/>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righ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yellow"/>
          <w:shd w:val="clear" w:color="auto" w:fill="FFFFFF"/>
          <w:lang w:val="en-US" w:eastAsia="zh-CN" w:bidi="ar-SA"/>
        </w:rPr>
        <w:t xml:space="preserve"> 2023年</w:t>
      </w:r>
      <w:r>
        <w:rPr>
          <w:rFonts w:hint="eastAsia" w:ascii="宋体" w:hAnsi="宋体" w:cs="宋体"/>
          <w:color w:val="auto"/>
          <w:kern w:val="0"/>
          <w:sz w:val="21"/>
          <w:szCs w:val="21"/>
          <w:highlight w:val="yellow"/>
          <w:shd w:val="clear" w:color="auto" w:fill="FFFFFF"/>
          <w:lang w:val="en-US" w:eastAsia="zh-CN" w:bidi="ar-SA"/>
        </w:rPr>
        <w:t>12</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1</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3793"/>
      <w:bookmarkStart w:id="36" w:name="_Toc2989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一、项目名称、数量：</w:t>
      </w:r>
      <w:r>
        <w:rPr>
          <w:rFonts w:hint="eastAsia" w:ascii="宋体" w:hAnsi="宋体" w:eastAsia="宋体" w:cs="宋体"/>
          <w:color w:val="auto"/>
          <w:kern w:val="2"/>
          <w:sz w:val="21"/>
          <w:szCs w:val="21"/>
          <w:highlight w:val="none"/>
          <w:lang w:val="en-US" w:eastAsia="zh-CN" w:bidi="ar-SA"/>
        </w:rPr>
        <w:t>驻马店市中心医院</w:t>
      </w:r>
      <w:r>
        <w:rPr>
          <w:rFonts w:hint="eastAsia" w:ascii="宋体" w:hAnsi="宋体" w:cs="宋体"/>
          <w:color w:val="auto"/>
          <w:kern w:val="2"/>
          <w:sz w:val="21"/>
          <w:szCs w:val="21"/>
          <w:highlight w:val="none"/>
          <w:lang w:val="en-US" w:eastAsia="zh-CN" w:bidi="ar-SA"/>
        </w:rPr>
        <w:t>原卫校宿舍楼淋浴饮水一卡通节水设施采购项目二次</w:t>
      </w:r>
      <w:r>
        <w:rPr>
          <w:rFonts w:hint="eastAsia" w:ascii="宋体" w:hAnsi="宋体" w:eastAsia="宋体" w:cs="宋体"/>
          <w:color w:val="auto"/>
          <w:kern w:val="2"/>
          <w:sz w:val="21"/>
          <w:szCs w:val="21"/>
          <w:highlight w:val="none"/>
          <w:lang w:val="en-US" w:eastAsia="zh-CN" w:bidi="ar-SA"/>
        </w:rPr>
        <w:t xml:space="preserve">       </w:t>
      </w:r>
    </w:p>
    <w:p>
      <w:pPr>
        <w:widowControl/>
        <w:adjustRightInd w:val="0"/>
        <w:snapToGrid w:val="0"/>
        <w:spacing w:line="360" w:lineRule="auto"/>
        <w:ind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项目概况</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为完善和规范用水，科学合理利用水资源，原卫校宿舍楼需安装淋浴饮水一卡通节水设施。</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二、配置规格、附件及零配件（包括专用工具）：</w:t>
      </w:r>
    </w:p>
    <w:tbl>
      <w:tblPr>
        <w:tblStyle w:val="33"/>
        <w:tblW w:w="8916"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52"/>
        <w:gridCol w:w="888"/>
        <w:gridCol w:w="5"/>
        <w:gridCol w:w="1009"/>
        <w:gridCol w:w="5"/>
        <w:gridCol w:w="1394"/>
        <w:gridCol w:w="5"/>
        <w:gridCol w:w="909"/>
        <w:gridCol w:w="126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352"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93"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1014"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39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09"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6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w:t>
            </w:r>
          </w:p>
        </w:tc>
        <w:tc>
          <w:tcPr>
            <w:tcW w:w="23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原卫校宿舍楼淋浴饮水一卡通节水设施采购</w:t>
            </w:r>
          </w:p>
        </w:tc>
        <w:tc>
          <w:tcPr>
            <w:tcW w:w="89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p>
        </w:tc>
        <w:tc>
          <w:tcPr>
            <w:tcW w:w="10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见附件1</w:t>
            </w:r>
          </w:p>
        </w:tc>
        <w:tc>
          <w:tcPr>
            <w:tcW w:w="13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4.47万元</w:t>
            </w:r>
          </w:p>
        </w:tc>
        <w:tc>
          <w:tcPr>
            <w:tcW w:w="9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自筹</w:t>
            </w:r>
          </w:p>
        </w:tc>
        <w:tc>
          <w:tcPr>
            <w:tcW w:w="126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Pr>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3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0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3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4.47万元</w:t>
            </w:r>
          </w:p>
        </w:tc>
        <w:tc>
          <w:tcPr>
            <w:tcW w:w="9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备注</w:t>
            </w:r>
          </w:p>
        </w:tc>
        <w:tc>
          <w:tcPr>
            <w:tcW w:w="7836"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pPr>
        <w:pStyle w:val="15"/>
        <w:rPr>
          <w:rFonts w:hint="eastAsia" w:ascii="仿宋" w:hAnsi="仿宋" w:eastAsia="仿宋" w:cs="仿宋"/>
          <w:b w:val="0"/>
          <w:bCs w:val="0"/>
          <w:kern w:val="2"/>
          <w:sz w:val="32"/>
          <w:szCs w:val="32"/>
          <w:lang w:val="en-US" w:eastAsia="zh-CN" w:bidi="ar-SA"/>
        </w:rPr>
      </w:pPr>
    </w:p>
    <w:p>
      <w:pPr>
        <w:pStyle w:val="1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三、详细技术要求、参数及产品资料等：</w:t>
      </w:r>
    </w:p>
    <w:p>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（1）采购清单及参数要求详见附件1。 </w:t>
      </w:r>
    </w:p>
    <w:p>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（2）质量要求：符合国家现行标准要求。</w:t>
      </w:r>
    </w:p>
    <w:p>
      <w:pPr>
        <w:pStyle w:val="15"/>
        <w:rPr>
          <w:rFonts w:hint="eastAsia" w:ascii="仿宋" w:hAnsi="仿宋" w:eastAsia="仿宋" w:cs="仿宋"/>
          <w:b w:val="0"/>
          <w:bCs w:val="0"/>
          <w:kern w:val="2"/>
          <w:sz w:val="32"/>
          <w:szCs w:val="32"/>
          <w:lang w:val="en-US" w:eastAsia="zh-CN" w:bidi="ar-SA"/>
        </w:rPr>
      </w:pPr>
    </w:p>
    <w:p>
      <w:pPr>
        <w:pStyle w:val="15"/>
        <w:rPr>
          <w:rFonts w:hint="eastAsia" w:ascii="仿宋" w:hAnsi="仿宋" w:eastAsia="仿宋" w:cs="仿宋"/>
          <w:b w:val="0"/>
          <w:bCs w:val="0"/>
          <w:kern w:val="2"/>
          <w:sz w:val="32"/>
          <w:szCs w:val="32"/>
          <w:lang w:val="en-US" w:eastAsia="zh-CN" w:bidi="ar-SA"/>
        </w:rPr>
      </w:pPr>
    </w:p>
    <w:p>
      <w:pPr>
        <w:pStyle w:val="15"/>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br w:type="page"/>
      </w:r>
    </w:p>
    <w:p>
      <w:pPr>
        <w:pStyle w:val="15"/>
        <w:rPr>
          <w:rFonts w:hint="eastAsia" w:ascii="仿宋" w:hAnsi="仿宋" w:eastAsia="仿宋" w:cs="仿宋"/>
          <w:b w:val="0"/>
          <w:bCs w:val="0"/>
          <w:kern w:val="2"/>
          <w:sz w:val="32"/>
          <w:szCs w:val="32"/>
          <w:lang w:val="en-US" w:eastAsia="zh-CN" w:bidi="ar-SA"/>
        </w:rPr>
      </w:pPr>
    </w:p>
    <w:p>
      <w:pPr>
        <w:pStyle w:val="15"/>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附件1</w:t>
      </w:r>
    </w:p>
    <w:p>
      <w:pPr>
        <w:pStyle w:val="21"/>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原卫校宿舍楼淋浴饮水一卡通节水设施采购清单</w:t>
      </w:r>
    </w:p>
    <w:tbl>
      <w:tblPr>
        <w:tblStyle w:val="32"/>
        <w:tblW w:w="5059"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702"/>
        <w:gridCol w:w="780"/>
        <w:gridCol w:w="765"/>
        <w:gridCol w:w="5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4G一体机</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2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11"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淋浴刷卡水控机：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w:t>
            </w:r>
            <w:r>
              <w:rPr>
                <w:rFonts w:hint="eastAsia" w:ascii="仿宋" w:hAnsi="仿宋" w:eastAsia="仿宋" w:cs="仿宋"/>
                <w:i w:val="0"/>
                <w:iCs w:val="0"/>
                <w:color w:val="000000"/>
                <w:sz w:val="24"/>
                <w:szCs w:val="24"/>
                <w:u w:val="none"/>
                <w:lang w:val="en-US" w:eastAsia="zh-CN"/>
              </w:rPr>
              <w:t>电源：DC12V  3A;静态功率&lt;1.5W</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2、</w:t>
            </w:r>
            <w:r>
              <w:rPr>
                <w:rFonts w:hint="eastAsia" w:ascii="仿宋" w:hAnsi="仿宋" w:eastAsia="仿宋" w:cs="仿宋"/>
                <w:i w:val="0"/>
                <w:iCs w:val="0"/>
                <w:color w:val="000000"/>
                <w:sz w:val="24"/>
                <w:szCs w:val="24"/>
                <w:u w:val="none"/>
                <w:lang w:val="en-US" w:eastAsia="zh-CN"/>
              </w:rPr>
              <w:t>显示：4—6位数码显示；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3、</w:t>
            </w:r>
            <w:r>
              <w:rPr>
                <w:rFonts w:hint="eastAsia" w:ascii="仿宋" w:hAnsi="仿宋" w:eastAsia="仿宋" w:cs="仿宋"/>
                <w:i w:val="0"/>
                <w:iCs w:val="0"/>
                <w:color w:val="000000"/>
                <w:sz w:val="24"/>
                <w:szCs w:val="24"/>
                <w:u w:val="none"/>
                <w:lang w:val="en-US" w:eastAsia="zh-CN"/>
              </w:rPr>
              <w:t>工作环境：温度：-20℃~70℃；</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4、</w:t>
            </w:r>
            <w:r>
              <w:rPr>
                <w:rFonts w:hint="eastAsia" w:ascii="仿宋" w:hAnsi="仿宋" w:eastAsia="仿宋" w:cs="仿宋"/>
                <w:i w:val="0"/>
                <w:iCs w:val="0"/>
                <w:color w:val="000000"/>
                <w:sz w:val="24"/>
                <w:szCs w:val="24"/>
                <w:u w:val="none"/>
                <w:lang w:val="en-US" w:eastAsia="zh-CN"/>
              </w:rPr>
              <w:t>读写时间：≤500ms;</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5、</w:t>
            </w:r>
            <w:r>
              <w:rPr>
                <w:rFonts w:hint="eastAsia" w:ascii="仿宋" w:hAnsi="仿宋" w:eastAsia="仿宋" w:cs="仿宋"/>
                <w:i w:val="0"/>
                <w:iCs w:val="0"/>
                <w:color w:val="000000"/>
                <w:sz w:val="24"/>
                <w:szCs w:val="24"/>
                <w:u w:val="none"/>
                <w:lang w:val="en-US" w:eastAsia="zh-CN"/>
              </w:rPr>
              <w:t>读写距离：3-5cm；</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6、</w:t>
            </w:r>
            <w:r>
              <w:rPr>
                <w:rFonts w:hint="eastAsia" w:ascii="仿宋" w:hAnsi="仿宋" w:eastAsia="仿宋" w:cs="仿宋"/>
                <w:i w:val="0"/>
                <w:iCs w:val="0"/>
                <w:color w:val="000000"/>
                <w:sz w:val="24"/>
                <w:szCs w:val="24"/>
                <w:highlight w:val="none"/>
                <w:u w:val="none"/>
                <w:lang w:val="en-US" w:eastAsia="zh-CN"/>
              </w:rPr>
              <w:t>日限额：≥65000元；次限额：≥65000元；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7、</w:t>
            </w:r>
            <w:r>
              <w:rPr>
                <w:rFonts w:hint="eastAsia" w:ascii="仿宋" w:hAnsi="仿宋" w:eastAsia="仿宋" w:cs="仿宋"/>
                <w:i w:val="0"/>
                <w:iCs w:val="0"/>
                <w:color w:val="000000"/>
                <w:sz w:val="24"/>
                <w:szCs w:val="24"/>
                <w:highlight w:val="none"/>
                <w:u w:val="none"/>
                <w:lang w:val="en-US" w:eastAsia="zh-CN"/>
              </w:rPr>
              <w:t>卡底金：≥250元；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8、</w:t>
            </w:r>
            <w:r>
              <w:rPr>
                <w:rFonts w:hint="eastAsia" w:ascii="仿宋" w:hAnsi="仿宋" w:eastAsia="仿宋" w:cs="仿宋"/>
                <w:i w:val="0"/>
                <w:iCs w:val="0"/>
                <w:color w:val="000000"/>
                <w:sz w:val="24"/>
                <w:szCs w:val="24"/>
                <w:u w:val="none"/>
                <w:lang w:val="en-US" w:eastAsia="zh-CN"/>
              </w:rPr>
              <w:t>存储容量：≥12000条记录；</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9、</w:t>
            </w:r>
            <w:r>
              <w:rPr>
                <w:rFonts w:hint="eastAsia" w:ascii="仿宋" w:hAnsi="仿宋" w:eastAsia="仿宋" w:cs="仿宋"/>
                <w:i w:val="0"/>
                <w:iCs w:val="0"/>
                <w:color w:val="000000"/>
                <w:sz w:val="24"/>
                <w:szCs w:val="24"/>
                <w:u w:val="none"/>
                <w:lang w:val="en-US" w:eastAsia="zh-CN"/>
              </w:rPr>
              <w:t>数据保存：掉电不丢失；</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10、</w:t>
            </w:r>
            <w:r>
              <w:rPr>
                <w:rFonts w:hint="eastAsia" w:ascii="仿宋" w:hAnsi="仿宋" w:eastAsia="仿宋" w:cs="仿宋"/>
                <w:i w:val="0"/>
                <w:iCs w:val="0"/>
                <w:color w:val="000000"/>
                <w:sz w:val="24"/>
                <w:szCs w:val="24"/>
                <w:u w:val="none"/>
                <w:lang w:val="en-US" w:eastAsia="zh-CN"/>
              </w:rPr>
              <w:t>黑名单存储数量;≥65000条；</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11、</w:t>
            </w:r>
            <w:r>
              <w:rPr>
                <w:rFonts w:hint="eastAsia" w:ascii="仿宋" w:hAnsi="仿宋" w:eastAsia="仿宋" w:cs="仿宋"/>
                <w:i w:val="0"/>
                <w:iCs w:val="0"/>
                <w:color w:val="000000"/>
                <w:sz w:val="24"/>
                <w:szCs w:val="24"/>
                <w:u w:val="none"/>
                <w:lang w:val="en-US" w:eastAsia="zh-CN"/>
              </w:rPr>
              <w:t>通讯方式：无线。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sz w:val="24"/>
                <w:szCs w:val="24"/>
                <w:u w:val="none"/>
                <w:lang w:val="en-US" w:eastAsia="zh-CN"/>
              </w:rPr>
              <w:t>淋浴水控机供电电源，12V2A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2"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916"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4G分体控制器</w:t>
            </w:r>
          </w:p>
        </w:tc>
        <w:tc>
          <w:tcPr>
            <w:tcW w:w="4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auto" w:sz="4" w:space="0"/>
              <w:left w:val="single" w:color="000000"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刷卡水控机刷卡出水计费:</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w:t>
            </w:r>
            <w:r>
              <w:rPr>
                <w:rFonts w:hint="eastAsia" w:ascii="仿宋" w:hAnsi="仿宋" w:eastAsia="仿宋" w:cs="仿宋"/>
                <w:i w:val="0"/>
                <w:iCs w:val="0"/>
                <w:color w:val="000000"/>
                <w:sz w:val="24"/>
                <w:szCs w:val="24"/>
                <w:u w:val="none"/>
                <w:lang w:val="en-US" w:eastAsia="zh-CN"/>
              </w:rPr>
              <w:t>电源：DC12V  1A;</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2、</w:t>
            </w:r>
            <w:r>
              <w:rPr>
                <w:rFonts w:hint="eastAsia" w:ascii="仿宋" w:hAnsi="仿宋" w:eastAsia="仿宋" w:cs="仿宋"/>
                <w:i w:val="0"/>
                <w:iCs w:val="0"/>
                <w:color w:val="000000"/>
                <w:sz w:val="24"/>
                <w:szCs w:val="24"/>
                <w:u w:val="none"/>
                <w:lang w:val="en-US" w:eastAsia="zh-CN"/>
              </w:rPr>
              <w:t>显示：4—6位数码显示；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3、</w:t>
            </w:r>
            <w:r>
              <w:rPr>
                <w:rFonts w:hint="eastAsia" w:ascii="仿宋" w:hAnsi="仿宋" w:eastAsia="仿宋" w:cs="仿宋"/>
                <w:i w:val="0"/>
                <w:iCs w:val="0"/>
                <w:color w:val="000000"/>
                <w:sz w:val="24"/>
                <w:szCs w:val="24"/>
                <w:u w:val="none"/>
                <w:lang w:val="en-US" w:eastAsia="zh-CN"/>
              </w:rPr>
              <w:t>工作环境：温度：-20℃~70℃；</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4、</w:t>
            </w:r>
            <w:r>
              <w:rPr>
                <w:rFonts w:hint="eastAsia" w:ascii="仿宋" w:hAnsi="仿宋" w:eastAsia="仿宋" w:cs="仿宋"/>
                <w:i w:val="0"/>
                <w:iCs w:val="0"/>
                <w:color w:val="000000"/>
                <w:sz w:val="24"/>
                <w:szCs w:val="24"/>
                <w:u w:val="none"/>
                <w:lang w:val="en-US" w:eastAsia="zh-CN"/>
              </w:rPr>
              <w:t>读写时间：≤500ms；</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5、</w:t>
            </w:r>
            <w:r>
              <w:rPr>
                <w:rFonts w:hint="eastAsia" w:ascii="仿宋" w:hAnsi="仿宋" w:eastAsia="仿宋" w:cs="仿宋"/>
                <w:i w:val="0"/>
                <w:iCs w:val="0"/>
                <w:color w:val="000000"/>
                <w:sz w:val="24"/>
                <w:szCs w:val="24"/>
                <w:u w:val="none"/>
                <w:lang w:val="en-US" w:eastAsia="zh-CN"/>
              </w:rPr>
              <w:t>读写距离：3-5cm；</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6、</w:t>
            </w:r>
            <w:r>
              <w:rPr>
                <w:rFonts w:hint="eastAsia" w:ascii="仿宋" w:hAnsi="仿宋" w:eastAsia="仿宋" w:cs="仿宋"/>
                <w:i w:val="0"/>
                <w:iCs w:val="0"/>
                <w:color w:val="000000"/>
                <w:sz w:val="24"/>
                <w:szCs w:val="24"/>
                <w:highlight w:val="none"/>
                <w:u w:val="none"/>
                <w:lang w:val="en-US" w:eastAsia="zh-CN"/>
              </w:rPr>
              <w:t>日限额：≥65000元；次限额：≥65000元；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7、</w:t>
            </w:r>
            <w:r>
              <w:rPr>
                <w:rFonts w:hint="eastAsia" w:ascii="仿宋" w:hAnsi="仿宋" w:eastAsia="仿宋" w:cs="仿宋"/>
                <w:i w:val="0"/>
                <w:iCs w:val="0"/>
                <w:color w:val="000000"/>
                <w:sz w:val="24"/>
                <w:szCs w:val="24"/>
                <w:highlight w:val="none"/>
                <w:u w:val="none"/>
                <w:lang w:val="en-US" w:eastAsia="zh-CN"/>
              </w:rPr>
              <w:t>卡底金：≥250元；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8、</w:t>
            </w:r>
            <w:r>
              <w:rPr>
                <w:rFonts w:hint="eastAsia" w:ascii="仿宋" w:hAnsi="仿宋" w:eastAsia="仿宋" w:cs="仿宋"/>
                <w:i w:val="0"/>
                <w:iCs w:val="0"/>
                <w:color w:val="000000"/>
                <w:sz w:val="24"/>
                <w:szCs w:val="24"/>
                <w:u w:val="none"/>
                <w:lang w:val="en-US" w:eastAsia="zh-CN"/>
              </w:rPr>
              <w:t>存储容量：≥18000条记录；</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9、</w:t>
            </w:r>
            <w:r>
              <w:rPr>
                <w:rFonts w:hint="eastAsia" w:ascii="仿宋" w:hAnsi="仿宋" w:eastAsia="仿宋" w:cs="仿宋"/>
                <w:i w:val="0"/>
                <w:iCs w:val="0"/>
                <w:color w:val="000000"/>
                <w:sz w:val="24"/>
                <w:szCs w:val="24"/>
                <w:u w:val="none"/>
                <w:lang w:val="en-US" w:eastAsia="zh-CN"/>
              </w:rPr>
              <w:t>数据保存：掉电不丢失。</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10、</w:t>
            </w:r>
            <w:r>
              <w:rPr>
                <w:rFonts w:hint="eastAsia" w:ascii="仿宋" w:hAnsi="仿宋" w:eastAsia="仿宋" w:cs="仿宋"/>
                <w:i w:val="0"/>
                <w:iCs w:val="0"/>
                <w:color w:val="000000"/>
                <w:sz w:val="24"/>
                <w:szCs w:val="24"/>
                <w:u w:val="none"/>
                <w:lang w:val="en-US" w:eastAsia="zh-CN"/>
              </w:rPr>
              <w:t>黑名单存储数量：≥65000条；</w:t>
            </w:r>
          </w:p>
          <w:p>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2"/>
                <w:sz w:val="24"/>
                <w:szCs w:val="24"/>
                <w:lang w:val="en-US" w:eastAsia="zh-CN" w:bidi="ar-SA"/>
              </w:rPr>
              <w:t>11、</w:t>
            </w:r>
            <w:r>
              <w:rPr>
                <w:rFonts w:hint="eastAsia" w:ascii="仿宋" w:hAnsi="仿宋" w:eastAsia="仿宋" w:cs="仿宋"/>
                <w:i w:val="0"/>
                <w:iCs w:val="0"/>
                <w:color w:val="000000"/>
                <w:sz w:val="24"/>
                <w:szCs w:val="24"/>
                <w:u w:val="none"/>
                <w:lang w:val="en-US" w:eastAsia="zh-CN"/>
              </w:rPr>
              <w:t>通讯方式：GPRS。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916"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w:t>
            </w:r>
          </w:p>
        </w:tc>
        <w:tc>
          <w:tcPr>
            <w:tcW w:w="4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auto" w:sz="4" w:space="0"/>
              <w:left w:val="single" w:color="000000"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sz w:val="24"/>
                <w:szCs w:val="24"/>
                <w:u w:val="none"/>
                <w:lang w:val="en-US" w:eastAsia="zh-CN"/>
              </w:rPr>
              <w:t>分体控制器供电电源，12V2A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4分铜，水流传感器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4分纯铜，有耐高温开关水阀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读卡器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对卡进行发行新卡、充值、挂式补办等TCP接口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定制，与读卡器配套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电源线</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线槽、电源线、插座等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安装调试费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设备安装调试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w:t>
            </w:r>
          </w:p>
        </w:tc>
      </w:tr>
      <w:bookmarkEnd w:id="35"/>
      <w:bookmarkEnd w:id="36"/>
    </w:tbl>
    <w:p>
      <w:pPr>
        <w:snapToGrid/>
        <w:spacing w:before="0" w:beforeAutospacing="0" w:after="0" w:afterAutospacing="0" w:line="360" w:lineRule="auto"/>
        <w:jc w:val="both"/>
        <w:textAlignment w:val="baseline"/>
        <w:rPr>
          <w:rFonts w:hint="eastAsia" w:ascii="宋体" w:hAnsi="宋体" w:eastAsia="宋体" w:cs="宋体"/>
          <w:b/>
          <w:bCs/>
          <w:color w:val="auto"/>
          <w:sz w:val="30"/>
          <w:szCs w:val="30"/>
          <w:highlight w:val="none"/>
        </w:rPr>
      </w:pPr>
    </w:p>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交货日期：</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符合国家现行标准要求</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设备质保1年，流量费2年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经医院验收合格后支付</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snapToGrid w:val="0"/>
        <w:spacing w:line="480" w:lineRule="auto"/>
        <w:jc w:val="both"/>
        <w:rPr>
          <w:rFonts w:hint="eastAsia" w:ascii="宋体" w:hAnsi="宋体" w:eastAsia="宋体" w:cs="宋体"/>
          <w:b/>
          <w:bCs/>
          <w:color w:val="auto"/>
          <w:sz w:val="30"/>
          <w:szCs w:val="30"/>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p>
    <w:p>
      <w:pPr>
        <w:pStyle w:val="2"/>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lang w:val="en-US"/>
              </w:rPr>
            </w:pPr>
            <w:r>
              <w:rPr>
                <w:rFonts w:hint="eastAsia" w:ascii="宋体" w:hAnsi="宋体" w:eastAsia="宋体" w:cs="宋体"/>
                <w:color w:val="auto"/>
                <w:highlight w:val="none"/>
              </w:rPr>
              <w:t>1.1 项目名称：</w:t>
            </w:r>
            <w:r>
              <w:rPr>
                <w:rFonts w:hint="eastAsia" w:ascii="宋体" w:hAnsi="宋体" w:eastAsia="宋体" w:cs="宋体"/>
                <w:color w:val="auto"/>
                <w:lang w:eastAsia="zh-CN"/>
              </w:rPr>
              <w:t>驻马店市中心医院</w:t>
            </w:r>
            <w:r>
              <w:rPr>
                <w:rFonts w:hint="eastAsia" w:ascii="宋体" w:hAnsi="宋体" w:cs="宋体"/>
                <w:color w:val="auto"/>
                <w:lang w:val="en-US" w:eastAsia="zh-CN"/>
              </w:rPr>
              <w:t>原卫校宿舍楼淋浴饮水一卡通节水设施采购项目二次</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4.47</w:t>
            </w:r>
            <w:r>
              <w:rPr>
                <w:rFonts w:hint="eastAsia" w:ascii="宋体" w:hAnsi="宋体" w:eastAsia="宋体" w:cs="宋体"/>
                <w:color w:val="auto"/>
                <w:kern w:val="0"/>
                <w:szCs w:val="21"/>
                <w:highlight w:val="none"/>
                <w:lang w:val="en-US" w:eastAsia="zh-CN"/>
              </w:rPr>
              <w:t>万</w:t>
            </w:r>
            <w:r>
              <w:rPr>
                <w:rFonts w:hint="eastAsia" w:ascii="宋体" w:hAnsi="宋体" w:eastAsia="宋体" w:cs="宋体"/>
                <w:color w:val="auto"/>
                <w:kern w:val="0"/>
                <w:szCs w:val="21"/>
                <w:highlight w:val="none"/>
              </w:rPr>
              <w:t>元</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4.47</w:t>
      </w:r>
      <w:r>
        <w:rPr>
          <w:rFonts w:hint="eastAsia" w:ascii="宋体" w:hAnsi="宋体" w:eastAsia="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val="en-US" w:eastAsia="zh-CN"/>
        </w:rPr>
        <w:t>最高限价为：4.47万元。</w:t>
      </w:r>
      <w:r>
        <w:rPr>
          <w:rFonts w:hint="eastAsia" w:ascii="宋体" w:hAnsi="宋体" w:eastAsia="宋体" w:cs="宋体"/>
          <w:b/>
          <w:bCs/>
          <w:color w:val="auto"/>
          <w:kern w:val="0"/>
          <w:szCs w:val="21"/>
          <w:highlight w:val="none"/>
          <w:lang w:val="en-US" w:eastAsia="zh-CN"/>
        </w:rPr>
        <w:t>供应商的投标报价高于</w:t>
      </w:r>
      <w:r>
        <w:rPr>
          <w:rFonts w:hint="eastAsia" w:ascii="宋体" w:hAnsi="宋体" w:cs="宋体"/>
          <w:b/>
          <w:bCs/>
          <w:color w:val="auto"/>
          <w:kern w:val="0"/>
          <w:szCs w:val="21"/>
          <w:highlight w:val="none"/>
          <w:lang w:val="en-US" w:eastAsia="zh-CN"/>
        </w:rPr>
        <w:t>最高限</w:t>
      </w:r>
      <w:r>
        <w:rPr>
          <w:rFonts w:hint="eastAsia" w:ascii="宋体" w:hAnsi="宋体" w:eastAsia="宋体" w:cs="宋体"/>
          <w:b/>
          <w:bCs/>
          <w:color w:val="auto"/>
          <w:kern w:val="0"/>
          <w:szCs w:val="21"/>
          <w:highlight w:val="none"/>
          <w:lang w:eastAsia="zh-CN"/>
        </w:rPr>
        <w:t>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供应商须具有医疗器械生产经营许可证或医疗器械经营许可证或医疗器械经营备案凭证（含本次采购货物类别）</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采购需求”技术参数、性能及产品功能等的响应，所投内容全部满足磋商文件要求得25分，一项不满足扣2分，如此项得分为0分，则投标无效。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以上措施详细、合理、可行的7-10分；基本详细、基本合理、基本可行的3-6分；基本详细度、合理性差、可行性差的1-2分；缺项按0分计。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1、质保期（6分）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质保期达到招标要求的，得基础分2分，超过采购文件规定的，每增加半年加1分,最多加4分（出具相关服务承诺书）；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3、质保期内服务计划（10分）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包括服务团队和故障响应、备品备件保障供应、巡检服务等。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完全满足项目要求的得7-10分，基本满足项目要求的得4-6分；一般满足要求的得1-3分，缺项得0分。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4、售后服务体系（10分）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根据供应商提供的售后服务及时率、详细的维修时间和处理方案、售后服务承诺等内容进行综合对比评分。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售后服务承诺内容具体、完善、合理性程度强得7-10分，具体、完善、合理性程度一般得4-6分，具体、完善、合理性程度差得1-3分，缺项得0分。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482"/>
      <w:bookmarkStart w:id="47" w:name="_Toc1947"/>
      <w:bookmarkStart w:id="48" w:name="_Toc256519703"/>
      <w:bookmarkStart w:id="49" w:name="_Toc326786897"/>
    </w:p>
    <w:p>
      <w:pPr>
        <w:pStyle w:val="2"/>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color w:val="auto"/>
        </w:rPr>
      </w:pPr>
    </w:p>
    <w:p>
      <w:pPr>
        <w:pStyle w:val="2"/>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3"/>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元/双（详见报价明细表）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3"/>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10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996"/>
        <w:gridCol w:w="1162"/>
        <w:gridCol w:w="1481"/>
        <w:gridCol w:w="1017"/>
        <w:gridCol w:w="1117"/>
        <w:gridCol w:w="922"/>
        <w:gridCol w:w="922"/>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3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996"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6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8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小计</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308"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3"/>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0420"/>
      <w:bookmarkStart w:id="79" w:name="_Toc2996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hint="eastAsia" w:ascii="宋体" w:hAnsi="宋体" w:eastAsia="宋体" w:cs="宋体"/>
          <w:b/>
          <w:color w:val="auto"/>
          <w:kern w:val="0"/>
          <w:sz w:val="32"/>
          <w:szCs w:val="32"/>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0"/>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宋体" w:hAnsi="宋体" w:cs="宋体"/>
        <w:color w:val="auto"/>
        <w:lang w:eastAsia="zh-CN"/>
      </w:rPr>
      <w:t>驻马店市中心医院</w:t>
    </w:r>
    <w:r>
      <w:rPr>
        <w:rFonts w:hint="eastAsia" w:ascii="宋体" w:hAnsi="宋体" w:cs="宋体"/>
        <w:color w:val="auto"/>
        <w:lang w:val="en-US" w:eastAsia="zh-CN"/>
      </w:rPr>
      <w:t>原卫校宿舍楼淋浴饮水一卡通节水设施采购项目二次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ascii="宋体" w:hAnsi="宋体" w:cs="宋体"/>
        <w:color w:val="auto"/>
        <w:lang w:eastAsia="zh-CN"/>
      </w:rPr>
      <w:t>驻马店市中心医院</w:t>
    </w:r>
    <w:r>
      <w:rPr>
        <w:rFonts w:hint="eastAsia" w:ascii="宋体" w:hAnsi="宋体" w:cs="宋体"/>
        <w:color w:val="auto"/>
        <w:lang w:val="en-US" w:eastAsia="zh-CN"/>
      </w:rPr>
      <w:t>原卫校宿舍楼淋浴饮水一卡通节水设施采购项目二次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8D51FF"/>
    <w:rsid w:val="03A011E9"/>
    <w:rsid w:val="03AE7F27"/>
    <w:rsid w:val="03BD2BCD"/>
    <w:rsid w:val="04070D64"/>
    <w:rsid w:val="04416C20"/>
    <w:rsid w:val="047968B1"/>
    <w:rsid w:val="04870542"/>
    <w:rsid w:val="04884729"/>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5F4E03"/>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36B85"/>
    <w:rsid w:val="0C3957A5"/>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157D"/>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66009F"/>
    <w:rsid w:val="198310E9"/>
    <w:rsid w:val="198D747A"/>
    <w:rsid w:val="19A15638"/>
    <w:rsid w:val="19FA6FA6"/>
    <w:rsid w:val="19FE07AD"/>
    <w:rsid w:val="1A125525"/>
    <w:rsid w:val="1A514E33"/>
    <w:rsid w:val="1A5F4342"/>
    <w:rsid w:val="1A8C5D82"/>
    <w:rsid w:val="1A994988"/>
    <w:rsid w:val="1A9B546C"/>
    <w:rsid w:val="1AA3511F"/>
    <w:rsid w:val="1AAE3B54"/>
    <w:rsid w:val="1AC10987"/>
    <w:rsid w:val="1B06647B"/>
    <w:rsid w:val="1B0C5B32"/>
    <w:rsid w:val="1B0D3E82"/>
    <w:rsid w:val="1B1652AB"/>
    <w:rsid w:val="1B181CD5"/>
    <w:rsid w:val="1B265306"/>
    <w:rsid w:val="1B4F2450"/>
    <w:rsid w:val="1B8C18B7"/>
    <w:rsid w:val="1BB73AE1"/>
    <w:rsid w:val="1BDA6D68"/>
    <w:rsid w:val="1BDB6FF7"/>
    <w:rsid w:val="1C555978"/>
    <w:rsid w:val="1C6554A1"/>
    <w:rsid w:val="1C700164"/>
    <w:rsid w:val="1C7971B7"/>
    <w:rsid w:val="1CA831E6"/>
    <w:rsid w:val="1CD402EC"/>
    <w:rsid w:val="1CF02333"/>
    <w:rsid w:val="1D0C33A2"/>
    <w:rsid w:val="1D113E6E"/>
    <w:rsid w:val="1D114E5E"/>
    <w:rsid w:val="1D1F0050"/>
    <w:rsid w:val="1D2222DC"/>
    <w:rsid w:val="1D5B3CDE"/>
    <w:rsid w:val="1D6E2950"/>
    <w:rsid w:val="1D98209B"/>
    <w:rsid w:val="1DA23746"/>
    <w:rsid w:val="1DAA14B9"/>
    <w:rsid w:val="1DD04513"/>
    <w:rsid w:val="1E1F33C5"/>
    <w:rsid w:val="1E4C5F8A"/>
    <w:rsid w:val="1E656063"/>
    <w:rsid w:val="1E6B06A5"/>
    <w:rsid w:val="1E7D39BB"/>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0D9162C"/>
    <w:rsid w:val="210F579E"/>
    <w:rsid w:val="212550B5"/>
    <w:rsid w:val="21484F14"/>
    <w:rsid w:val="21592B62"/>
    <w:rsid w:val="21747CD2"/>
    <w:rsid w:val="219E5782"/>
    <w:rsid w:val="21E72B0B"/>
    <w:rsid w:val="221F2D96"/>
    <w:rsid w:val="22246DB1"/>
    <w:rsid w:val="22440067"/>
    <w:rsid w:val="225A6017"/>
    <w:rsid w:val="22725EDB"/>
    <w:rsid w:val="227A5532"/>
    <w:rsid w:val="22843A03"/>
    <w:rsid w:val="22A338AB"/>
    <w:rsid w:val="22AD37A2"/>
    <w:rsid w:val="22B31E8A"/>
    <w:rsid w:val="22C735BD"/>
    <w:rsid w:val="23122833"/>
    <w:rsid w:val="23223458"/>
    <w:rsid w:val="23225D32"/>
    <w:rsid w:val="23357BE6"/>
    <w:rsid w:val="2342574E"/>
    <w:rsid w:val="2367780B"/>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7B65"/>
    <w:rsid w:val="25CB78C3"/>
    <w:rsid w:val="25D54390"/>
    <w:rsid w:val="25F65E6F"/>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2C0C58"/>
    <w:rsid w:val="283C23DF"/>
    <w:rsid w:val="284C16F5"/>
    <w:rsid w:val="28570AB5"/>
    <w:rsid w:val="28926C90"/>
    <w:rsid w:val="28C2534B"/>
    <w:rsid w:val="28C5525A"/>
    <w:rsid w:val="28D14B96"/>
    <w:rsid w:val="29020C46"/>
    <w:rsid w:val="290240C7"/>
    <w:rsid w:val="29274EE0"/>
    <w:rsid w:val="2969197F"/>
    <w:rsid w:val="29746E87"/>
    <w:rsid w:val="297B2FD6"/>
    <w:rsid w:val="297C03C2"/>
    <w:rsid w:val="29870810"/>
    <w:rsid w:val="299573AB"/>
    <w:rsid w:val="29BE5BD0"/>
    <w:rsid w:val="29C01572"/>
    <w:rsid w:val="29E74CE2"/>
    <w:rsid w:val="2A306A36"/>
    <w:rsid w:val="2A5372C6"/>
    <w:rsid w:val="2A5B03D8"/>
    <w:rsid w:val="2A6F6D07"/>
    <w:rsid w:val="2A882500"/>
    <w:rsid w:val="2AB63ABC"/>
    <w:rsid w:val="2AC4200C"/>
    <w:rsid w:val="2B003D00"/>
    <w:rsid w:val="2B074D5E"/>
    <w:rsid w:val="2B0B7C95"/>
    <w:rsid w:val="2B100BA9"/>
    <w:rsid w:val="2B1E3AFC"/>
    <w:rsid w:val="2B9E4F56"/>
    <w:rsid w:val="2BB533C1"/>
    <w:rsid w:val="2BCE042A"/>
    <w:rsid w:val="2BDB5A88"/>
    <w:rsid w:val="2BE91C37"/>
    <w:rsid w:val="2BEC3F72"/>
    <w:rsid w:val="2C083572"/>
    <w:rsid w:val="2C137777"/>
    <w:rsid w:val="2C185F94"/>
    <w:rsid w:val="2C1F1AC4"/>
    <w:rsid w:val="2C3F3A41"/>
    <w:rsid w:val="2C4431C4"/>
    <w:rsid w:val="2C62059F"/>
    <w:rsid w:val="2C6634FA"/>
    <w:rsid w:val="2C8A6AA3"/>
    <w:rsid w:val="2CA71209"/>
    <w:rsid w:val="2CAC022C"/>
    <w:rsid w:val="2CC11807"/>
    <w:rsid w:val="2CF16074"/>
    <w:rsid w:val="2CF81D1B"/>
    <w:rsid w:val="2D0F750D"/>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27570"/>
    <w:rsid w:val="3075258E"/>
    <w:rsid w:val="30BF439A"/>
    <w:rsid w:val="30C220DC"/>
    <w:rsid w:val="30CB1B61"/>
    <w:rsid w:val="30CF6A37"/>
    <w:rsid w:val="30D250CF"/>
    <w:rsid w:val="31002970"/>
    <w:rsid w:val="311016AD"/>
    <w:rsid w:val="31171910"/>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55631"/>
    <w:rsid w:val="35A815CB"/>
    <w:rsid w:val="35AA1B9C"/>
    <w:rsid w:val="35DB09A6"/>
    <w:rsid w:val="367813FE"/>
    <w:rsid w:val="369B4CF0"/>
    <w:rsid w:val="36D62629"/>
    <w:rsid w:val="36D76172"/>
    <w:rsid w:val="36E833BB"/>
    <w:rsid w:val="36EB1E1B"/>
    <w:rsid w:val="36F17F0D"/>
    <w:rsid w:val="3735197D"/>
    <w:rsid w:val="373756A2"/>
    <w:rsid w:val="375E0DA6"/>
    <w:rsid w:val="378B61A6"/>
    <w:rsid w:val="37C71F6E"/>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2EF2FFB"/>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562E6"/>
    <w:rsid w:val="4C694192"/>
    <w:rsid w:val="4C6B00A8"/>
    <w:rsid w:val="4C7964D9"/>
    <w:rsid w:val="4C9269F6"/>
    <w:rsid w:val="4CC84335"/>
    <w:rsid w:val="4CE9350A"/>
    <w:rsid w:val="4CF632F0"/>
    <w:rsid w:val="4D297BF3"/>
    <w:rsid w:val="4D2D0EAF"/>
    <w:rsid w:val="4D534390"/>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3066CC"/>
    <w:rsid w:val="4E682F8C"/>
    <w:rsid w:val="4E6A7BB7"/>
    <w:rsid w:val="4F0773B4"/>
    <w:rsid w:val="4F307BB1"/>
    <w:rsid w:val="4F3D562D"/>
    <w:rsid w:val="4F5C4EE0"/>
    <w:rsid w:val="4F6E1972"/>
    <w:rsid w:val="4F943166"/>
    <w:rsid w:val="4FBA02A1"/>
    <w:rsid w:val="4FC472C9"/>
    <w:rsid w:val="4FC7176D"/>
    <w:rsid w:val="4FE7106E"/>
    <w:rsid w:val="50053943"/>
    <w:rsid w:val="50550E55"/>
    <w:rsid w:val="509F43E4"/>
    <w:rsid w:val="50A54D3E"/>
    <w:rsid w:val="50F1402B"/>
    <w:rsid w:val="50FD2AD9"/>
    <w:rsid w:val="51097D9A"/>
    <w:rsid w:val="51237D2E"/>
    <w:rsid w:val="51996737"/>
    <w:rsid w:val="51B408B8"/>
    <w:rsid w:val="51CC0868"/>
    <w:rsid w:val="51D5340F"/>
    <w:rsid w:val="51EB4E00"/>
    <w:rsid w:val="52021414"/>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546EF7"/>
    <w:rsid w:val="556F3D99"/>
    <w:rsid w:val="55860894"/>
    <w:rsid w:val="55B02DF1"/>
    <w:rsid w:val="55B72D36"/>
    <w:rsid w:val="55DC290C"/>
    <w:rsid w:val="55F01FA1"/>
    <w:rsid w:val="567A124A"/>
    <w:rsid w:val="56990B7C"/>
    <w:rsid w:val="569E1126"/>
    <w:rsid w:val="56AC249A"/>
    <w:rsid w:val="56B80DEB"/>
    <w:rsid w:val="56E06E61"/>
    <w:rsid w:val="56F653FE"/>
    <w:rsid w:val="575B7AFD"/>
    <w:rsid w:val="57660D3F"/>
    <w:rsid w:val="57706F91"/>
    <w:rsid w:val="57CA6DF2"/>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323A44"/>
    <w:rsid w:val="5A395E66"/>
    <w:rsid w:val="5A484352"/>
    <w:rsid w:val="5A5321A5"/>
    <w:rsid w:val="5A745221"/>
    <w:rsid w:val="5A8734AF"/>
    <w:rsid w:val="5A9D3E45"/>
    <w:rsid w:val="5AA4101D"/>
    <w:rsid w:val="5AA96400"/>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027A15"/>
    <w:rsid w:val="613253FD"/>
    <w:rsid w:val="61421F29"/>
    <w:rsid w:val="61712185"/>
    <w:rsid w:val="61970898"/>
    <w:rsid w:val="61A90D68"/>
    <w:rsid w:val="61B94FDB"/>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04804"/>
    <w:rsid w:val="63612AB8"/>
    <w:rsid w:val="637D0978"/>
    <w:rsid w:val="638968B0"/>
    <w:rsid w:val="638A282C"/>
    <w:rsid w:val="63A85E90"/>
    <w:rsid w:val="63A962DB"/>
    <w:rsid w:val="63AB1A91"/>
    <w:rsid w:val="63EE4692"/>
    <w:rsid w:val="63FD622D"/>
    <w:rsid w:val="64202DC6"/>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053A8C"/>
    <w:rsid w:val="68362BFB"/>
    <w:rsid w:val="683F1130"/>
    <w:rsid w:val="684456A1"/>
    <w:rsid w:val="685E1363"/>
    <w:rsid w:val="685E1627"/>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228CC"/>
    <w:rsid w:val="69E97E75"/>
    <w:rsid w:val="69FB5D9E"/>
    <w:rsid w:val="6A1A3007"/>
    <w:rsid w:val="6A1E645E"/>
    <w:rsid w:val="6A417049"/>
    <w:rsid w:val="6A7903E5"/>
    <w:rsid w:val="6AA03032"/>
    <w:rsid w:val="6AA81420"/>
    <w:rsid w:val="6AA86FEC"/>
    <w:rsid w:val="6ADA6AC4"/>
    <w:rsid w:val="6ADB11D6"/>
    <w:rsid w:val="6AE0319E"/>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B86AA0"/>
    <w:rsid w:val="6DBE5F5B"/>
    <w:rsid w:val="6DC71662"/>
    <w:rsid w:val="6DCD5126"/>
    <w:rsid w:val="6DDB6CB0"/>
    <w:rsid w:val="6DE52ACD"/>
    <w:rsid w:val="6DFC0B44"/>
    <w:rsid w:val="6E0458E7"/>
    <w:rsid w:val="6E212037"/>
    <w:rsid w:val="6E3B221B"/>
    <w:rsid w:val="6E475779"/>
    <w:rsid w:val="6E7764EF"/>
    <w:rsid w:val="6EAD447C"/>
    <w:rsid w:val="6EBD6E0F"/>
    <w:rsid w:val="6ECD7F59"/>
    <w:rsid w:val="6EDE3BB6"/>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7B63EA"/>
    <w:rsid w:val="71946576"/>
    <w:rsid w:val="71967E84"/>
    <w:rsid w:val="71A61873"/>
    <w:rsid w:val="71AF4936"/>
    <w:rsid w:val="71D75D0F"/>
    <w:rsid w:val="721919B3"/>
    <w:rsid w:val="721A6098"/>
    <w:rsid w:val="72310D1A"/>
    <w:rsid w:val="725D6B54"/>
    <w:rsid w:val="72920BBB"/>
    <w:rsid w:val="729C6026"/>
    <w:rsid w:val="72A17C99"/>
    <w:rsid w:val="72AF6F7E"/>
    <w:rsid w:val="72C576C8"/>
    <w:rsid w:val="73047904"/>
    <w:rsid w:val="731C50F1"/>
    <w:rsid w:val="734345B2"/>
    <w:rsid w:val="734C1A6A"/>
    <w:rsid w:val="735C5949"/>
    <w:rsid w:val="73737DA5"/>
    <w:rsid w:val="73887B3E"/>
    <w:rsid w:val="73892412"/>
    <w:rsid w:val="73A523E4"/>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3B5419"/>
    <w:rsid w:val="7550443E"/>
    <w:rsid w:val="755F0BCC"/>
    <w:rsid w:val="756F17F9"/>
    <w:rsid w:val="75825461"/>
    <w:rsid w:val="759926FC"/>
    <w:rsid w:val="75A24276"/>
    <w:rsid w:val="75AA231D"/>
    <w:rsid w:val="75BB2B51"/>
    <w:rsid w:val="75E84ED4"/>
    <w:rsid w:val="75E8633A"/>
    <w:rsid w:val="75EB48B6"/>
    <w:rsid w:val="76350270"/>
    <w:rsid w:val="763F09AA"/>
    <w:rsid w:val="764F3FCC"/>
    <w:rsid w:val="7650339F"/>
    <w:rsid w:val="76603C9A"/>
    <w:rsid w:val="76BB1CAB"/>
    <w:rsid w:val="76C04050"/>
    <w:rsid w:val="76D13600"/>
    <w:rsid w:val="76E65049"/>
    <w:rsid w:val="77076007"/>
    <w:rsid w:val="77413F7E"/>
    <w:rsid w:val="77835654"/>
    <w:rsid w:val="7797109C"/>
    <w:rsid w:val="779A2A38"/>
    <w:rsid w:val="77B07B65"/>
    <w:rsid w:val="77B4450A"/>
    <w:rsid w:val="77B46E73"/>
    <w:rsid w:val="77E37A12"/>
    <w:rsid w:val="77FE3468"/>
    <w:rsid w:val="78546F0C"/>
    <w:rsid w:val="785E0218"/>
    <w:rsid w:val="787E1A12"/>
    <w:rsid w:val="78AA2807"/>
    <w:rsid w:val="78EE1C79"/>
    <w:rsid w:val="797239CC"/>
    <w:rsid w:val="79831473"/>
    <w:rsid w:val="7999527A"/>
    <w:rsid w:val="79AF76C5"/>
    <w:rsid w:val="79C25EE1"/>
    <w:rsid w:val="79CE2967"/>
    <w:rsid w:val="79EA664C"/>
    <w:rsid w:val="7A2F459A"/>
    <w:rsid w:val="7A517022"/>
    <w:rsid w:val="7A6F5001"/>
    <w:rsid w:val="7A866F46"/>
    <w:rsid w:val="7AA2343E"/>
    <w:rsid w:val="7AB352E3"/>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大标题"/>
    <w:basedOn w:val="1"/>
    <w:next w:val="31"/>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2</TotalTime>
  <ScaleCrop>false</ScaleCrop>
  <LinksUpToDate>false</LinksUpToDate>
  <CharactersWithSpaces>16411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2023-12-01T06:38:20Z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7E2DA53E778D455CBBE147A763E0C3D0_13</vt:lpwstr>
  </property>
</Properties>
</file>