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r>
        <w:rPr>
          <w:rFonts w:hint="eastAsia" w:cs="宋体"/>
          <w:b/>
          <w:bCs/>
          <w:sz w:val="48"/>
          <w:szCs w:val="48"/>
          <w:lang w:val="en-US" w:eastAsia="zh-CN"/>
        </w:rPr>
        <w:t xml:space="preserve">驻马店市中心医院水工专用维修材料采购项目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000000" w:themeColor="text1"/>
          <w:sz w:val="36"/>
          <w:szCs w:val="36"/>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lang w:val="en-US" w:eastAsia="zh-CN"/>
          <w14:textFill>
            <w14:solidFill>
              <w14:schemeClr w14:val="tx1"/>
            </w14:solidFill>
          </w14:textFill>
        </w:rPr>
        <w:t>202</w:t>
      </w:r>
      <w:r>
        <w:rPr>
          <w:rFonts w:hint="eastAsia" w:ascii="宋体" w:hAnsi="宋体" w:cs="宋体"/>
          <w:b/>
          <w:bCs/>
          <w:color w:val="000000" w:themeColor="text1"/>
          <w:spacing w:val="40"/>
          <w:sz w:val="34"/>
          <w:szCs w:val="34"/>
          <w:lang w:val="en-US" w:eastAsia="zh-CN"/>
          <w14:textFill>
            <w14:solidFill>
              <w14:schemeClr w14:val="tx1"/>
            </w14:solidFill>
          </w14:textFill>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 xml:space="preserve">驻马店市中心医院水工专用维修材料采购项目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cs="宋体"/>
          <w:color w:val="auto"/>
          <w:sz w:val="24"/>
          <w:szCs w:val="24"/>
          <w:u w:val="single"/>
          <w:lang w:eastAsia="zh-CN"/>
        </w:rPr>
        <w:t>驻马店市中心医院水工专用维修材料采购项目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驻马店市中心医院水工专用维修材料采购项目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36万元（据实结算），自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19521"/>
      <w:bookmarkStart w:id="5" w:name="_Toc26079"/>
      <w:bookmarkStart w:id="6" w:name="_Toc27913"/>
      <w:bookmarkStart w:id="7" w:name="_Toc21071"/>
      <w:bookmarkStart w:id="8" w:name="_Toc24040"/>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eastAsia="zh-CN"/>
        </w:rPr>
        <w:t>一年</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cs="宋体"/>
          <w:color w:val="auto"/>
          <w:sz w:val="24"/>
          <w:szCs w:val="24"/>
          <w:highlight w:val="none"/>
          <w:shd w:val="clear" w:color="auto" w:fill="FFFFFF"/>
          <w:lang w:eastAsia="zh-CN"/>
        </w:rPr>
        <w:t>符合国家现行标准要求。</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6639"/>
      <w:bookmarkStart w:id="10" w:name="_Toc27704"/>
      <w:bookmarkStart w:id="11" w:name="_Toc23626"/>
      <w:bookmarkStart w:id="12" w:name="_Toc18607"/>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30971"/>
      <w:bookmarkStart w:id="14" w:name="_Toc30643"/>
      <w:bookmarkStart w:id="15" w:name="_Toc23395"/>
      <w:bookmarkStart w:id="16" w:name="_Toc9562"/>
      <w:bookmarkStart w:id="17" w:name="_Toc782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bookmarkStart w:id="18" w:name="_Toc15111"/>
      <w:bookmarkStart w:id="19" w:name="_Toc15135"/>
      <w:bookmarkStart w:id="20" w:name="_Toc27480"/>
      <w:bookmarkStart w:id="21" w:name="_Toc25869"/>
      <w:bookmarkStart w:id="22" w:name="_Toc10738"/>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报名</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时间：</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2023年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日-2023年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auto"/>
          <w:sz w:val="24"/>
          <w:szCs w:val="24"/>
          <w:highlight w:val="none"/>
          <w:shd w:val="clear" w:color="auto" w:fill="FFFFFF"/>
        </w:rPr>
        <w:t>，上午8：30-11:30，下午14:30-17:30（北京时间，法定节假日除外），报名费用：200元。</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凡报名成功的供应商无故不来参与投标的，列入我院黑名单，一年内不得参与我院任何采购活动。中标供应商缴纳相应服务费。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采购文件获取方式：供应商须把填写完整的报名登记表及报名登记表要求提供的相关资料扫描件按序排版为PDF格式文件，发送至以下邮箱：zxcxmglyxgs@163.com并标明XX公司XX项目报名资料；审核通过后按要求交纳报名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w:t>
      </w:r>
      <w:r>
        <w:rPr>
          <w:rFonts w:hint="eastAsia" w:ascii="宋体" w:hAnsi="宋体" w:cs="宋体"/>
          <w:color w:val="auto"/>
          <w:kern w:val="0"/>
          <w:sz w:val="24"/>
          <w:szCs w:val="24"/>
          <w:shd w:val="clear" w:color="auto" w:fill="FFFFFF"/>
          <w:lang w:val="en-US" w:eastAsia="zh-CN" w:bidi="ar-SA"/>
        </w:rPr>
        <w:t>、</w:t>
      </w:r>
      <w:r>
        <w:rPr>
          <w:rFonts w:hint="eastAsia" w:ascii="宋体" w:hAnsi="宋体" w:eastAsia="宋体" w:cs="宋体"/>
          <w:color w:val="auto"/>
          <w:kern w:val="0"/>
          <w:sz w:val="24"/>
          <w:szCs w:val="24"/>
          <w:shd w:val="clear" w:color="auto" w:fill="FFFFFF"/>
          <w:lang w:val="en-US" w:eastAsia="zh-CN" w:bidi="ar-SA"/>
        </w:rPr>
        <w:t>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30918"/>
      <w:bookmarkStart w:id="24" w:name="_Toc6523"/>
      <w:bookmarkStart w:id="25" w:name="_Toc20287"/>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7370"/>
      <w:bookmarkStart w:id="30" w:name="_Toc16291"/>
      <w:bookmarkStart w:id="31" w:name="_Toc31928"/>
      <w:bookmarkStart w:id="32" w:name="_Toc24274"/>
      <w:bookmarkStart w:id="33" w:name="_Toc3604"/>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eastAsia" w:ascii="宋体" w:hAnsi="宋体" w:eastAsia="宋体" w:cs="宋体"/>
          <w:color w:val="auto"/>
          <w:kern w:val="0"/>
          <w:sz w:val="24"/>
          <w:szCs w:val="24"/>
          <w:shd w:val="clear" w:color="auto" w:fill="FFFFFF"/>
          <w:lang w:val="en-US" w:eastAsia="zh-CN" w:bidi="ar-SA"/>
        </w:rPr>
        <w:t>采购人：驻马店市中心医院</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地址：驻马店市中华大道747号</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名称：中信诚项目管理有限公司</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地址：驻马店市置地华庭B座</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w:t>
      </w:r>
      <w:r>
        <w:rPr>
          <w:rFonts w:hint="default" w:ascii="宋体" w:hAnsi="宋体" w:eastAsia="宋体" w:cs="宋体"/>
          <w:color w:val="auto"/>
          <w:kern w:val="0"/>
          <w:sz w:val="24"/>
          <w:szCs w:val="24"/>
          <w:shd w:val="clear" w:color="auto" w:fill="FFFFFF"/>
          <w:lang w:val="en-US" w:eastAsia="zh-CN" w:bidi="ar-SA"/>
        </w:rPr>
        <w:t>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联系方式：18137647844  0396-3676106</w:t>
      </w:r>
      <w:bookmarkStart w:id="91" w:name="_GoBack"/>
      <w:bookmarkEnd w:id="91"/>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监督电话：0396-2726678</w:t>
      </w:r>
    </w:p>
    <w:p>
      <w:pPr>
        <w:widowControl/>
        <w:snapToGrid w:val="0"/>
        <w:spacing w:before="0" w:beforeAutospacing="0" w:after="0" w:afterAutospacing="0" w:line="360" w:lineRule="auto"/>
        <w:ind w:firstLine="480" w:firstLineChars="200"/>
        <w:jc w:val="right"/>
        <w:rPr>
          <w:rFonts w:hint="eastAsia"/>
          <w:color w:val="0000FF"/>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30</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shd w:val="clear" w:color="auto" w:fill="FFFFFF"/>
          <w:lang w:val="en-US" w:eastAsia="zh-CN" w:bidi="ar-SA"/>
        </w:rPr>
        <w:t>驻马店市中心医院水工专用维修材料采购项目。</w:t>
      </w:r>
    </w:p>
    <w:p>
      <w:pPr>
        <w:pStyle w:val="11"/>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二、项目用途说明：</w:t>
      </w:r>
      <w:r>
        <w:rPr>
          <w:rFonts w:hint="eastAsia" w:cs="宋体"/>
          <w:b w:val="0"/>
          <w:bCs w:val="0"/>
          <w:kern w:val="2"/>
          <w:sz w:val="21"/>
          <w:szCs w:val="21"/>
          <w:u w:val="single"/>
          <w:lang w:val="en-US" w:eastAsia="zh-CN" w:bidi="ar-SA"/>
        </w:rPr>
        <w:t>/</w:t>
      </w:r>
      <w:r>
        <w:rPr>
          <w:rFonts w:hint="eastAsia" w:ascii="宋体" w:hAnsi="宋体" w:eastAsia="宋体" w:cs="宋体"/>
          <w:kern w:val="2"/>
          <w:sz w:val="21"/>
          <w:szCs w:val="21"/>
          <w:lang w:val="en-US" w:eastAsia="zh-CN" w:bidi="ar-SA"/>
        </w:rPr>
        <w:t xml:space="preserve">                      </w:t>
      </w:r>
    </w:p>
    <w:p>
      <w:pPr>
        <w:pStyle w:val="11"/>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三、配置规格、附件及零配件（包括专用工具）：</w:t>
      </w:r>
    </w:p>
    <w:tbl>
      <w:tblPr>
        <w:tblStyle w:val="34"/>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869"/>
        <w:gridCol w:w="5"/>
        <w:gridCol w:w="1783"/>
        <w:gridCol w:w="672"/>
        <w:gridCol w:w="784"/>
        <w:gridCol w:w="1200"/>
        <w:gridCol w:w="1220"/>
        <w:gridCol w:w="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9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包号</w:t>
            </w:r>
          </w:p>
        </w:tc>
        <w:tc>
          <w:tcPr>
            <w:tcW w:w="869"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788" w:type="dxa"/>
            <w:gridSpan w:val="2"/>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标的名称</w:t>
            </w:r>
          </w:p>
        </w:tc>
        <w:tc>
          <w:tcPr>
            <w:tcW w:w="672"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84"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20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w:t>
            </w:r>
          </w:p>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预算</w:t>
            </w:r>
          </w:p>
        </w:tc>
        <w:tc>
          <w:tcPr>
            <w:tcW w:w="122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w:t>
            </w:r>
          </w:p>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性质</w:t>
            </w:r>
          </w:p>
        </w:tc>
        <w:tc>
          <w:tcPr>
            <w:tcW w:w="1093" w:type="dxa"/>
            <w:gridSpan w:val="2"/>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国产/</w:t>
            </w:r>
          </w:p>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9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69"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788" w:type="dxa"/>
            <w:gridSpan w:val="2"/>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水工专用维修材料采购</w:t>
            </w:r>
          </w:p>
        </w:tc>
        <w:tc>
          <w:tcPr>
            <w:tcW w:w="672"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年</w:t>
            </w:r>
          </w:p>
        </w:tc>
        <w:tc>
          <w:tcPr>
            <w:tcW w:w="784"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0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36万元</w:t>
            </w:r>
          </w:p>
        </w:tc>
        <w:tc>
          <w:tcPr>
            <w:tcW w:w="122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w:t>
            </w:r>
          </w:p>
        </w:tc>
        <w:tc>
          <w:tcPr>
            <w:tcW w:w="1093" w:type="dxa"/>
            <w:gridSpan w:val="2"/>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64" w:type="dxa"/>
            <w:gridSpan w:val="3"/>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1783"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672"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784"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1200"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36万元</w:t>
            </w:r>
          </w:p>
        </w:tc>
        <w:tc>
          <w:tcPr>
            <w:tcW w:w="1224" w:type="dxa"/>
            <w:gridSpan w:val="2"/>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1089" w:type="dxa"/>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技术要求</w:t>
      </w:r>
      <w:r>
        <w:rPr>
          <w:rFonts w:hint="eastAsia" w:ascii="宋体" w:hAnsi="宋体" w:eastAsia="宋体" w:cs="宋体"/>
          <w:b/>
          <w:bCs/>
          <w:kern w:val="2"/>
          <w:sz w:val="21"/>
          <w:szCs w:val="21"/>
          <w:lang w:val="en-US" w:eastAsia="zh-CN" w:bidi="ar-SA"/>
        </w:rPr>
        <w:t>：</w:t>
      </w:r>
    </w:p>
    <w:bookmarkEnd w:id="35"/>
    <w:bookmarkEnd w:id="36"/>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（1）</w:t>
      </w:r>
      <w:r>
        <w:rPr>
          <w:rFonts w:hint="eastAsia" w:asciiTheme="minorEastAsia" w:hAnsiTheme="minorEastAsia" w:eastAsiaTheme="minorEastAsia" w:cstheme="minorEastAsia"/>
          <w:b/>
          <w:bCs w:val="0"/>
          <w:color w:val="auto"/>
          <w:sz w:val="21"/>
          <w:szCs w:val="21"/>
          <w:highlight w:val="none"/>
          <w:lang w:val="en-US" w:eastAsia="zh-CN"/>
        </w:rPr>
        <w:t>要求供应商在原控制价基础上整体下浮报价</w:t>
      </w:r>
      <w:r>
        <w:rPr>
          <w:rFonts w:hint="eastAsia" w:asciiTheme="minorEastAsia" w:hAnsiTheme="minorEastAsia" w:eastAsiaTheme="minorEastAsia" w:cstheme="minorEastAsia"/>
          <w:b w:val="0"/>
          <w:bCs/>
          <w:sz w:val="21"/>
          <w:szCs w:val="21"/>
          <w:highlight w:val="none"/>
          <w:lang w:val="en-US" w:eastAsia="zh-CN"/>
        </w:rPr>
        <w:t>，</w:t>
      </w:r>
      <w:r>
        <w:rPr>
          <w:rFonts w:hint="eastAsia" w:asciiTheme="minorEastAsia" w:hAnsiTheme="minorEastAsia" w:eastAsiaTheme="minorEastAsia" w:cstheme="minorEastAsia"/>
          <w:b/>
          <w:bCs w:val="0"/>
          <w:sz w:val="21"/>
          <w:szCs w:val="21"/>
          <w:highlight w:val="none"/>
          <w:lang w:val="en-US" w:eastAsia="zh-CN"/>
        </w:rPr>
        <w:t>报价含税费等所有费用</w:t>
      </w:r>
      <w:r>
        <w:rPr>
          <w:rFonts w:hint="eastAsia" w:asciiTheme="minorEastAsia" w:hAnsiTheme="minorEastAsia" w:eastAsiaTheme="minorEastAsia" w:cstheme="minorEastAsia"/>
          <w:b w:val="0"/>
          <w:bCs/>
          <w:sz w:val="21"/>
          <w:szCs w:val="21"/>
          <w:highlight w:val="none"/>
          <w:lang w:val="en-US" w:eastAsia="zh-CN"/>
        </w:rPr>
        <w:t>，供货期限内医院不再承担任何其他费用；根据医院实际需求，如有不在清单范围内的不常用货物，医院将以科室议价的方式确定采购价格后加入供应清单目录。</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（2）质量要求：符合国家现行标准要求。</w:t>
      </w:r>
    </w:p>
    <w:p>
      <w:pPr>
        <w:keepNext w:val="0"/>
        <w:keepLines w:val="0"/>
        <w:pageBreakBefore w:val="0"/>
        <w:widowControl w:val="0"/>
        <w:kinsoku/>
        <w:wordWrap/>
        <w:overflowPunct/>
        <w:topLinePunct w:val="0"/>
        <w:autoSpaceDE/>
        <w:autoSpaceDN/>
        <w:bidi w:val="0"/>
        <w:adjustRightInd/>
        <w:spacing w:line="460" w:lineRule="exact"/>
        <w:ind w:firstLine="422" w:firstLineChars="200"/>
        <w:jc w:val="center"/>
        <w:textAlignment w:val="auto"/>
        <w:rPr>
          <w:rFonts w:hint="eastAsia" w:asciiTheme="minorEastAsia" w:hAnsiTheme="minorEastAsia" w:eastAsiaTheme="minorEastAsia" w:cstheme="minorEastAsia"/>
          <w:b/>
          <w:bCs w:val="0"/>
          <w:sz w:val="21"/>
          <w:szCs w:val="21"/>
          <w:highlight w:val="none"/>
          <w:lang w:val="en-US" w:eastAsia="zh-CN"/>
        </w:rPr>
      </w:pPr>
      <w:r>
        <w:rPr>
          <w:rFonts w:hint="eastAsia" w:asciiTheme="minorEastAsia" w:hAnsiTheme="minorEastAsia" w:eastAsiaTheme="minorEastAsia" w:cstheme="minorEastAsia"/>
          <w:b/>
          <w:bCs w:val="0"/>
          <w:sz w:val="21"/>
          <w:szCs w:val="21"/>
          <w:highlight w:val="none"/>
          <w:lang w:val="en-US" w:eastAsia="zh-CN"/>
        </w:rPr>
        <w:t>常用水工维修材料采购清单</w:t>
      </w:r>
    </w:p>
    <w:tbl>
      <w:tblPr>
        <w:tblStyle w:val="33"/>
        <w:tblW w:w="8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987"/>
        <w:gridCol w:w="1350"/>
        <w:gridCol w:w="1080"/>
        <w:gridCol w:w="1618"/>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脚踏延时阀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角式延时阀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手按式延时阀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手按式延时阀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暗装脚踏阀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蹲便明装感应式冲洗阀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小便池感应冲洗阀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蹲便暗装感应式冲洗阀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截止阀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暗装全铜阀芯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80不锈钢水表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全铜头龙头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感应式水龙头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不锈钢双联水龙头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脚踏水龙头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304不锈钢高脖水龙头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304全铜双联水龙头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化验室专用三联水龙头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电热式水龙头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全铜混合三联</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全铜冷热调节器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风机盘管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上水软管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上水软管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PPR上水管阀门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PPR上水管阀门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PPR上水管阀门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PPR上水管阀门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PPR上水管阀门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PVC下水管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PVC下水管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PVC下水管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PVC下水管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单管防臭下水管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40mm口径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单管防臭下水管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50mm口径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双管防臭下水管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75mm口径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20mm直径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32mm直径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40mm直径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50mm直径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75mm直径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75不锈钢下水管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不锈钢水软管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淋浴喷头不锈钢双层2米拉力管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保暖管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口径110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保暖管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口径20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铝塑管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口径20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水箱洁具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不锈钢关卡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不锈钢关卡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不锈钢关卡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不锈钢关卡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补漏贴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石材胶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胶枪</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管道疏通剂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管道专用疏通钻</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活动扳手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活动扳手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老虎钳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锂电马刀锯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铰簧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大方洗衣池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感应小便器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马桶法兰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水箱洁具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坐便器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水箱按键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水不漏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kern w:val="0"/>
          <w:sz w:val="21"/>
          <w:szCs w:val="21"/>
          <w:lang w:val="en-US" w:eastAsia="zh-CN"/>
        </w:rPr>
      </w:pPr>
      <w:r>
        <w:rPr>
          <w:rFonts w:hint="eastAsia" w:asciiTheme="minorEastAsia" w:hAnsiTheme="minorEastAsia" w:eastAsiaTheme="minorEastAsia" w:cstheme="minorEastAsia"/>
          <w:b/>
          <w:kern w:val="0"/>
          <w:sz w:val="21"/>
          <w:szCs w:val="21"/>
          <w:lang w:val="en-US" w:eastAsia="zh-CN"/>
        </w:rPr>
        <w:t>五、商务要求</w:t>
      </w:r>
      <w:r>
        <w:rPr>
          <w:rFonts w:hint="eastAsia" w:asciiTheme="minorEastAsia" w:hAnsiTheme="minorEastAsia" w:eastAsiaTheme="minorEastAsia" w:cstheme="minorEastAsia"/>
          <w:b/>
          <w:kern w:val="0"/>
          <w:sz w:val="21"/>
          <w:szCs w:val="21"/>
          <w:lang w:eastAsia="zh-CN"/>
        </w:rPr>
        <w:t>：</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 xml:space="preserve">（1）期限：一年。 </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 xml:space="preserve">（2）交货地点：医院指定地点。                             </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 xml:space="preserve">（3）交货方法：送货上门，运费由供应商承担。                                                       </w:t>
      </w:r>
    </w:p>
    <w:p>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（4）支付方式：根据医院实际使用情况每月据实结算。</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交货地点</w:t>
            </w:r>
            <w:r>
              <w:rPr>
                <w:rFonts w:hint="eastAsia" w:ascii="宋体" w:hAnsi="宋体" w:cs="宋体"/>
                <w:color w:val="auto"/>
                <w:kern w:val="0"/>
                <w:szCs w:val="21"/>
                <w:highlight w:val="none"/>
                <w:lang w:val="en-US" w:eastAsia="zh-CN"/>
              </w:rPr>
              <w:t>及方法</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采购人指定地点；送货上门，运费由供应商承担。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安装使用后质保三个月。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 xml:space="preserve">符合国家现行标准要求。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根据医院实际使用情况每月据实结算（经医院验收合格后支付）。</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驻马店市中心医院水工专用维修材料采购项目</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tabs>
                <w:tab w:val="left" w:pos="3150"/>
              </w:tabs>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36万元</w:t>
            </w:r>
            <w:r>
              <w:rPr>
                <w:rFonts w:hint="eastAsia" w:ascii="宋体" w:hAnsi="宋体" w:cs="宋体"/>
                <w:color w:val="auto"/>
                <w:sz w:val="24"/>
                <w:szCs w:val="24"/>
                <w:highlight w:val="none"/>
                <w:shd w:val="clear" w:color="auto" w:fill="FFFFFF"/>
                <w:lang w:val="en-US" w:eastAsia="zh-CN"/>
              </w:rPr>
              <w:t>（据实结算）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36万元</w:t>
      </w:r>
      <w:r>
        <w:rPr>
          <w:rFonts w:hint="eastAsia" w:ascii="宋体" w:hAnsi="宋体" w:cs="宋体"/>
          <w:color w:val="auto"/>
          <w:sz w:val="24"/>
          <w:szCs w:val="24"/>
          <w:highlight w:val="none"/>
          <w:shd w:val="clear" w:color="auto" w:fill="FFFFFF"/>
          <w:lang w:val="en-US" w:eastAsia="zh-CN"/>
        </w:rPr>
        <w:t>（据实结算）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 w:val="21"/>
          <w:szCs w:val="21"/>
          <w:highlight w:val="none"/>
        </w:rPr>
      </w:pPr>
      <w:r>
        <w:rPr>
          <w:rFonts w:hint="eastAsia" w:ascii="宋体" w:hAnsi="宋体" w:cs="宋体"/>
          <w:b/>
          <w:bCs/>
          <w:color w:val="auto"/>
          <w:kern w:val="0"/>
          <w:sz w:val="21"/>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w:t>
      </w:r>
      <w:r>
        <w:rPr>
          <w:rFonts w:hint="eastAsia" w:ascii="宋体" w:hAnsi="宋体" w:eastAsia="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w:t>
      </w:r>
      <w:r>
        <w:rPr>
          <w:rFonts w:hint="eastAsia" w:ascii="宋体" w:hAnsi="宋体" w:eastAsia="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16.10、</w:t>
      </w:r>
      <w:r>
        <w:rPr>
          <w:rFonts w:hint="eastAsia" w:ascii="宋体" w:hAnsi="宋体" w:eastAsia="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投标人对“第二章  采购需求”技术参数、性能及产品功能等的响应，所投内容全部满足磋商文件要求得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存在负偏离的得0分，</w:t>
            </w:r>
            <w:r>
              <w:rPr>
                <w:rFonts w:hint="eastAsia" w:ascii="宋体" w:hAnsi="宋体" w:eastAsia="宋体" w:cs="宋体"/>
                <w:b w:val="0"/>
                <w:bCs w:val="0"/>
                <w:color w:val="auto"/>
                <w:sz w:val="21"/>
                <w:szCs w:val="21"/>
                <w:highlight w:val="none"/>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color w:val="auto"/>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w:t>
            </w:r>
            <w:r>
              <w:rPr>
                <w:rFonts w:hint="eastAsia" w:ascii="宋体" w:hAnsi="宋体" w:cs="宋体"/>
                <w:b w:val="0"/>
                <w:bCs w:val="0"/>
                <w:color w:val="auto"/>
                <w:sz w:val="21"/>
                <w:szCs w:val="21"/>
                <w:highlight w:val="none"/>
                <w:lang w:val="en-US" w:eastAsia="zh-CN"/>
              </w:rPr>
              <w:t>供货</w:t>
            </w:r>
            <w:r>
              <w:rPr>
                <w:rFonts w:hint="eastAsia" w:ascii="宋体" w:hAnsi="宋体" w:eastAsia="宋体" w:cs="宋体"/>
                <w:b w:val="0"/>
                <w:bCs w:val="0"/>
                <w:color w:val="auto"/>
                <w:sz w:val="21"/>
                <w:szCs w:val="21"/>
                <w:highlight w:val="none"/>
                <w:lang w:val="en-US" w:eastAsia="zh-CN"/>
              </w:rPr>
              <w:t>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在满足采购人要求基础上，</w:t>
            </w:r>
            <w:r>
              <w:rPr>
                <w:rFonts w:hint="eastAsia" w:ascii="宋体" w:hAnsi="宋体" w:eastAsia="宋体" w:cs="宋体"/>
                <w:b w:val="0"/>
                <w:bCs w:val="0"/>
                <w:color w:val="auto"/>
                <w:sz w:val="21"/>
                <w:szCs w:val="21"/>
                <w:highlight w:val="none"/>
                <w:lang w:val="en-US" w:eastAsia="zh-CN"/>
              </w:rPr>
              <w:t>每增加</w:t>
            </w:r>
            <w:r>
              <w:rPr>
                <w:rFonts w:hint="eastAsia" w:ascii="宋体" w:hAnsi="宋体" w:cs="宋体"/>
                <w:b w:val="0"/>
                <w:bCs w:val="0"/>
                <w:color w:val="auto"/>
                <w:sz w:val="21"/>
                <w:szCs w:val="21"/>
                <w:highlight w:val="none"/>
                <w:lang w:val="en-US" w:eastAsia="zh-CN"/>
              </w:rPr>
              <w:t>三个月</w:t>
            </w:r>
            <w:r>
              <w:rPr>
                <w:rFonts w:hint="eastAsia" w:ascii="宋体" w:hAnsi="宋体" w:eastAsia="宋体" w:cs="宋体"/>
                <w:b w:val="0"/>
                <w:bCs w:val="0"/>
                <w:color w:val="auto"/>
                <w:sz w:val="21"/>
                <w:szCs w:val="21"/>
                <w:highlight w:val="none"/>
                <w:lang w:val="en-US" w:eastAsia="zh-CN"/>
              </w:rPr>
              <w:t>加</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分,最多加</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分（出具相关服务承诺书）</w:t>
            </w:r>
            <w:r>
              <w:rPr>
                <w:rFonts w:hint="eastAsia" w:ascii="宋体" w:hAnsi="宋体" w:cs="宋体"/>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rPr>
          <w:color w:val="auto"/>
          <w:highlight w:val="none"/>
        </w:rPr>
      </w:pPr>
    </w:p>
    <w:p/>
    <w:p>
      <w:pPr>
        <w:rPr>
          <w:b/>
          <w:color w:val="auto"/>
          <w:highlight w:val="none"/>
        </w:rPr>
      </w:pPr>
      <w:r>
        <w:rPr>
          <w:rFonts w:hint="eastAsia"/>
          <w:b/>
          <w:color w:val="auto"/>
          <w:highlight w:val="none"/>
        </w:rPr>
        <w:br w:type="page"/>
      </w:r>
    </w:p>
    <w:bookmarkEnd w:id="45"/>
    <w:p>
      <w:pPr>
        <w:rPr>
          <w:color w:val="auto"/>
          <w:highlight w:val="none"/>
        </w:rPr>
      </w:pPr>
      <w:bookmarkStart w:id="46" w:name="_Toc1482"/>
      <w:bookmarkStart w:id="47" w:name="_Toc1947"/>
      <w:bookmarkStart w:id="48" w:name="_Toc256519703"/>
      <w:bookmarkStart w:id="49" w:name="_Toc326786897"/>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default" w:ascii="宋体" w:hAnsi="宋体" w:eastAsia="宋体"/>
                <w:color w:val="auto"/>
                <w:szCs w:val="21"/>
                <w:highlight w:val="none"/>
                <w:lang w:val="en-US" w:eastAsia="zh-CN"/>
              </w:rPr>
            </w:pPr>
            <w:r>
              <w:rPr>
                <w:rFonts w:hint="eastAsia" w:ascii="宋体" w:hAnsi="宋体" w:cs="宋体"/>
                <w:color w:val="auto"/>
                <w:kern w:val="0"/>
                <w:szCs w:val="21"/>
                <w:highlight w:val="none"/>
              </w:rPr>
              <w:t>交货地点</w:t>
            </w:r>
            <w:r>
              <w:rPr>
                <w:rFonts w:hint="eastAsia" w:ascii="宋体" w:hAnsi="宋体" w:cs="宋体"/>
                <w:color w:val="auto"/>
                <w:kern w:val="0"/>
                <w:szCs w:val="21"/>
                <w:highlight w:val="none"/>
                <w:lang w:val="en-US" w:eastAsia="zh-CN"/>
              </w:rPr>
              <w:t>及方法</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2、以上报价应与“投标报价明细表”中的报价相一致。</w:t>
      </w:r>
    </w:p>
    <w:p>
      <w:pPr>
        <w:spacing w:line="360" w:lineRule="auto"/>
        <w:ind w:firstLine="422" w:firstLineChars="200"/>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val="en-US" w:eastAsia="zh-CN"/>
        </w:rPr>
        <w:t>、供应商在原控制价基础上整体下浮报价，报价含税费等所有费用。</w:t>
      </w:r>
    </w:p>
    <w:p>
      <w:pPr>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、凡认为所投产品符合价格折扣条件的，在相应的产品的“备注”栏内注明符合</w:t>
      </w:r>
      <w:r>
        <w:rPr>
          <w:rFonts w:hint="eastAsia" w:ascii="宋体" w:hAnsi="宋体" w:cs="宋体"/>
          <w:color w:val="auto"/>
          <w:kern w:val="0"/>
          <w:szCs w:val="21"/>
          <w:highlight w:val="none"/>
        </w:rPr>
        <w:t>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驻马店市中心医院水工专用维修材料采购项目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驻马店市中心医院水工专用维修材料采购项目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339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46609"/>
    <w:rsid w:val="08591DC3"/>
    <w:rsid w:val="0869448C"/>
    <w:rsid w:val="087C4541"/>
    <w:rsid w:val="087E5595"/>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7F70A6"/>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06A5"/>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9E40400"/>
    <w:rsid w:val="1A125525"/>
    <w:rsid w:val="1A394CFA"/>
    <w:rsid w:val="1A47417D"/>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5E6FBA"/>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468CE"/>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9A2A90"/>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1030A8"/>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94CD8"/>
    <w:rsid w:val="37DF75BA"/>
    <w:rsid w:val="37E148E2"/>
    <w:rsid w:val="38037262"/>
    <w:rsid w:val="38304889"/>
    <w:rsid w:val="38382675"/>
    <w:rsid w:val="3851700B"/>
    <w:rsid w:val="385246B6"/>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2F4AC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80764"/>
    <w:rsid w:val="40991379"/>
    <w:rsid w:val="409B3C3D"/>
    <w:rsid w:val="40F701DF"/>
    <w:rsid w:val="40FD480A"/>
    <w:rsid w:val="4105404B"/>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2F1A30"/>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3749E"/>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3F2D55"/>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00A89"/>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0D1DEB"/>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5C6210"/>
    <w:rsid w:val="5C6A7000"/>
    <w:rsid w:val="5C6F4105"/>
    <w:rsid w:val="5CBB7F6F"/>
    <w:rsid w:val="5D5171CF"/>
    <w:rsid w:val="5D7C3F11"/>
    <w:rsid w:val="5D9D49E0"/>
    <w:rsid w:val="5DDF1821"/>
    <w:rsid w:val="5DE07E68"/>
    <w:rsid w:val="5DEA2F91"/>
    <w:rsid w:val="5E3146A3"/>
    <w:rsid w:val="5E442F62"/>
    <w:rsid w:val="5E6C2C5B"/>
    <w:rsid w:val="5E6C4C94"/>
    <w:rsid w:val="5E6C52B2"/>
    <w:rsid w:val="5E7251A2"/>
    <w:rsid w:val="5E7C3591"/>
    <w:rsid w:val="5E9D0E18"/>
    <w:rsid w:val="5EA341D7"/>
    <w:rsid w:val="5EA755DE"/>
    <w:rsid w:val="5ED35F0E"/>
    <w:rsid w:val="5EEB4428"/>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B54A3F"/>
    <w:rsid w:val="63EE4692"/>
    <w:rsid w:val="63FD622D"/>
    <w:rsid w:val="6435150A"/>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9680B"/>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A64C8"/>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B71DD4"/>
    <w:rsid w:val="70C759D3"/>
    <w:rsid w:val="70CF2B23"/>
    <w:rsid w:val="710952C1"/>
    <w:rsid w:val="71452CD8"/>
    <w:rsid w:val="7158683A"/>
    <w:rsid w:val="715B2F52"/>
    <w:rsid w:val="71764F23"/>
    <w:rsid w:val="71946576"/>
    <w:rsid w:val="71967E84"/>
    <w:rsid w:val="719820B9"/>
    <w:rsid w:val="71A61873"/>
    <w:rsid w:val="71AF4936"/>
    <w:rsid w:val="71CD1767"/>
    <w:rsid w:val="71D75D0F"/>
    <w:rsid w:val="721919B3"/>
    <w:rsid w:val="721A6098"/>
    <w:rsid w:val="72310D1A"/>
    <w:rsid w:val="725D6B54"/>
    <w:rsid w:val="728D7FFE"/>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00016"/>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6056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151B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93"/>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4"/>
    <w:qFormat/>
    <w:uiPriority w:val="0"/>
  </w:style>
  <w:style w:type="paragraph" w:customStyle="1" w:styleId="4">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9"/>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styleId="12">
    <w:name w:val="envelope return"/>
    <w:basedOn w:val="1"/>
    <w:unhideWhenUsed/>
    <w:qFormat/>
    <w:uiPriority w:val="99"/>
    <w:pPr>
      <w:snapToGrid w:val="0"/>
    </w:pPr>
    <w:rPr>
      <w:rFonts w:ascii="Arial" w:hAnsi="Arial"/>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qFormat/>
    <w:uiPriority w:val="0"/>
  </w:style>
  <w:style w:type="paragraph" w:styleId="26">
    <w:name w:val="List"/>
    <w:basedOn w:val="1"/>
    <w:qFormat/>
    <w:uiPriority w:val="0"/>
    <w:pPr>
      <w:ind w:left="200" w:hanging="200" w:hangingChars="200"/>
    </w:pPr>
  </w:style>
  <w:style w:type="paragraph" w:styleId="27">
    <w:name w:val="Body Text 2"/>
    <w:basedOn w:val="1"/>
    <w:next w:val="3"/>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3"/>
    <w:next w:val="10"/>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大标题"/>
    <w:basedOn w:val="1"/>
    <w:next w:val="10"/>
    <w:qFormat/>
    <w:uiPriority w:val="0"/>
    <w:pPr>
      <w:jc w:val="center"/>
    </w:pPr>
    <w:rPr>
      <w:rFonts w:ascii="Arial" w:hAnsi="Arial"/>
      <w:b/>
      <w:sz w:val="28"/>
    </w:rPr>
  </w:style>
  <w:style w:type="paragraph" w:customStyle="1" w:styleId="5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3"/>
    <w:qFormat/>
    <w:uiPriority w:val="0"/>
  </w:style>
  <w:style w:type="character" w:customStyle="1" w:styleId="75">
    <w:name w:val="apple-converted-space"/>
    <w:basedOn w:val="35"/>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3"/>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4"/>
      <w:szCs w:val="24"/>
      <w:u w:val="none"/>
    </w:rPr>
  </w:style>
  <w:style w:type="character" w:customStyle="1" w:styleId="93">
    <w:name w:val="标题 3 字符"/>
    <w:link w:val="6"/>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15727</Words>
  <Characters>16475</Characters>
  <Lines>50</Lines>
  <Paragraphs>68</Paragraphs>
  <TotalTime>0</TotalTime>
  <ScaleCrop>false</ScaleCrop>
  <LinksUpToDate>false</LinksUpToDate>
  <CharactersWithSpaces>17487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2023-11-30T01:42:33Z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63467208296F4EB99BB24269399C0779_13</vt:lpwstr>
  </property>
  <property fmtid="{D5CDD505-2E9C-101B-9397-08002B2CF9AE}" pid="4" name="commondata">
    <vt:lpwstr>eyJoZGlkIjoiYzIwMjRmYTY4OTJhZjc1NTA1MGQwNDc0NzZhNTkwMmUifQ==</vt:lpwstr>
  </property>
</Properties>
</file>