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驻马店市中心医院污水站第三方检测服务项目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竞争性谈判采购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lang w:val="en-US" w:eastAsia="zh-CN"/>
        </w:rPr>
        <w:t>驻马店市中心医院污水站第三方检测服务项目-竞争性谈判</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污水站第三方检测服务项目 </w:t>
      </w:r>
      <w:r>
        <w:rPr>
          <w:rFonts w:hint="eastAsia" w:ascii="宋体" w:hAnsi="宋体" w:eastAsia="宋体" w:cs="宋体"/>
          <w:color w:val="auto"/>
        </w:rPr>
        <w:t>进行院内</w:t>
      </w:r>
      <w:r>
        <w:rPr>
          <w:rFonts w:hint="eastAsia" w:ascii="宋体" w:hAnsi="宋体" w:eastAsia="宋体" w:cs="宋体"/>
          <w:color w:val="auto"/>
          <w:lang w:val="en-US" w:eastAsia="zh-CN"/>
        </w:rPr>
        <w:t>竞争性</w:t>
      </w:r>
      <w:r>
        <w:rPr>
          <w:rFonts w:hint="eastAsia" w:ascii="宋体" w:hAnsi="宋体" w:cs="宋体"/>
          <w:color w:val="auto"/>
          <w:lang w:val="en-US" w:eastAsia="zh-CN"/>
        </w:rPr>
        <w:t>谈判</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bookmarkStart w:id="85" w:name="_GoBack"/>
      <w:bookmarkEnd w:id="85"/>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驻马店市中心医院污水站第三方检测服务项目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29.1万元（9.7万元/年）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3年（合同一年一签，经考核合格后续签一年，最多续签二年）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30643"/>
      <w:bookmarkStart w:id="10" w:name="_Toc30971"/>
      <w:bookmarkStart w:id="11" w:name="_Toc9562"/>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27480"/>
      <w:bookmarkStart w:id="15" w:name="_Toc25869"/>
      <w:bookmarkStart w:id="16" w:name="_Toc15135"/>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0287"/>
      <w:bookmarkStart w:id="20" w:name="_Toc6523"/>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16291"/>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驻马店市中心医院污水站第三方检测服务项目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服务范围：中心院区3号楼、4号楼、康复分院和发热门诊污水站。</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二、采购标的清单：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06"/>
        <w:gridCol w:w="2414"/>
        <w:gridCol w:w="5"/>
        <w:gridCol w:w="857"/>
        <w:gridCol w:w="826"/>
        <w:gridCol w:w="1494"/>
        <w:gridCol w:w="878"/>
        <w:gridCol w:w="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lang w:val="en-US" w:eastAsia="zh-CN"/>
              </w:rPr>
              <w:t>包号</w:t>
            </w:r>
          </w:p>
        </w:tc>
        <w:tc>
          <w:tcPr>
            <w:tcW w:w="806"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rPr>
              <w:t>序号</w:t>
            </w:r>
          </w:p>
        </w:tc>
        <w:tc>
          <w:tcPr>
            <w:tcW w:w="2414"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rPr>
              <w:t>标的名称</w:t>
            </w:r>
          </w:p>
        </w:tc>
        <w:tc>
          <w:tcPr>
            <w:tcW w:w="862"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lang w:val="en-US" w:eastAsia="zh-CN"/>
              </w:rPr>
              <w:t>单位</w:t>
            </w:r>
          </w:p>
        </w:tc>
        <w:tc>
          <w:tcPr>
            <w:tcW w:w="826"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rPr>
              <w:t>数量</w:t>
            </w:r>
          </w:p>
        </w:tc>
        <w:tc>
          <w:tcPr>
            <w:tcW w:w="1494"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rPr>
              <w:t>预算</w:t>
            </w:r>
          </w:p>
        </w:tc>
        <w:tc>
          <w:tcPr>
            <w:tcW w:w="878"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lang w:val="en-US" w:eastAsia="zh-CN"/>
              </w:rPr>
              <w:t>性质</w:t>
            </w:r>
          </w:p>
        </w:tc>
        <w:tc>
          <w:tcPr>
            <w:tcW w:w="1218"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8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24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污水站第三方检测服务</w:t>
            </w:r>
          </w:p>
        </w:tc>
        <w:tc>
          <w:tcPr>
            <w:tcW w:w="86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 w:val="21"/>
                <w:szCs w:val="21"/>
                <w:vertAlign w:val="baseline"/>
                <w:lang w:val="en-US" w:eastAsia="zh-CN"/>
              </w:rPr>
              <w:t>9.7万元</w:t>
            </w: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21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41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3</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29.1万元</w:t>
            </w:r>
          </w:p>
        </w:tc>
        <w:tc>
          <w:tcPr>
            <w:tcW w:w="88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2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692"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pPr>
        <w:pStyle w:val="13"/>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三、技术商务要求：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1）3号楼和4号楼污水站按照医院排污许可证上的检测项目、类别、周期、频次进行检测，康复分院和发热门诊污水站的检测项目、类别、周期、频次与3号楼和4号楼污水站保持一致，每个污水站分别出具单独的检测报告。如标准有变化，需要按照生态环境部门最新标准进行检测。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（2）每月10号前须将上月的检测报告送达医院指定地点，报告份数满足医院需求。                                                   </w:t>
      </w:r>
    </w:p>
    <w:p>
      <w:pPr>
        <w:ind w:firstLine="4216" w:firstLineChars="1400"/>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3年。合同一年一签，经考核合格后可续签一年，最多续签二年。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出具检测报告后支付费用。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rPr>
          <w:rFonts w:hint="eastAsia"/>
          <w:b/>
          <w:bCs/>
          <w:color w:val="auto"/>
          <w:sz w:val="30"/>
          <w:szCs w:val="30"/>
          <w:highlight w:val="none"/>
        </w:rPr>
      </w:pPr>
      <w:r>
        <w:rPr>
          <w:rFonts w:hint="eastAsia"/>
          <w:b/>
          <w:bCs/>
          <w:color w:val="auto"/>
          <w:sz w:val="30"/>
          <w:szCs w:val="30"/>
          <w:highlight w:val="none"/>
        </w:rPr>
        <w:br w:type="page"/>
      </w: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驻马店市中心医院污水站第三方检测服务项目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29.1万元（9.7万元/年）</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29.1万元（9.7万元/年）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：29.1万元（9.7万元/年）</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4.5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谈判</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文件规定的评标方法与标准，对资格性检查和符合性检查合格的供应商，进入本次谈判程序。</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.3本次谈判进行2 轮次（不</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2轮次）报价，并给予每个供应商相同的机会。响应文件报价为第一轮报价，以后轮次报价不得高于上一轮次报价（除谈判文件有实质性变动外），否则将被视为未实质性响应竞争性谈判文件。谈判二次报价时限由谈判小组根据项目实际情况设定，供应商应在规定的时限内将二次报价递交给谈判小组，逾期系统判定供应商放弃二轮报价,视为无效响应。</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6"/>
    <w:p>
      <w:pPr>
        <w:rPr>
          <w:color w:val="auto"/>
          <w:highlight w:val="none"/>
        </w:rPr>
      </w:pPr>
      <w:bookmarkStart w:id="37" w:name="_Toc4700"/>
      <w:bookmarkStart w:id="38" w:name="_Toc16669"/>
      <w:r>
        <w:rPr>
          <w:color w:val="auto"/>
          <w:highlight w:val="none"/>
        </w:rPr>
        <w:br w:type="page"/>
      </w:r>
    </w:p>
    <w:p>
      <w:pPr>
        <w:pStyle w:val="2"/>
        <w:snapToGrid w:val="0"/>
        <w:spacing w:before="0" w:after="0" w:line="480" w:lineRule="auto"/>
        <w:jc w:val="center"/>
        <w:rPr>
          <w:color w:val="auto"/>
          <w:sz w:val="28"/>
          <w:szCs w:val="28"/>
          <w:highlight w:val="yellow"/>
        </w:rPr>
      </w:pPr>
      <w:bookmarkStart w:id="39" w:name="_Toc9022"/>
      <w:r>
        <w:rPr>
          <w:rFonts w:hint="eastAsia" w:ascii="黑体" w:hAnsi="宋体" w:eastAsia="黑体" w:cs="宋体"/>
          <w:b/>
          <w:bCs/>
          <w:color w:val="auto"/>
          <w:kern w:val="0"/>
          <w:sz w:val="32"/>
          <w:szCs w:val="32"/>
          <w:highlight w:val="none"/>
        </w:rPr>
        <w:t xml:space="preserve">第四章  </w:t>
      </w:r>
      <w:bookmarkEnd w:id="37"/>
      <w:bookmarkEnd w:id="38"/>
      <w:bookmarkEnd w:id="39"/>
      <w:bookmarkStart w:id="40" w:name="_Toc28988"/>
      <w:bookmarkStart w:id="41" w:name="_Toc1482"/>
      <w:bookmarkStart w:id="42" w:name="_Toc1947"/>
      <w:bookmarkStart w:id="43" w:name="_Toc326786897"/>
      <w:bookmarkStart w:id="44" w:name="_Toc256519703"/>
      <w:r>
        <w:rPr>
          <w:rFonts w:hint="eastAsia"/>
          <w:color w:val="auto"/>
          <w:sz w:val="28"/>
          <w:szCs w:val="28"/>
          <w:highlight w:val="none"/>
        </w:rPr>
        <w:t>采购合同</w:t>
      </w:r>
      <w:bookmarkEnd w:id="4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5" w:name="_Toc2638"/>
      <w:r>
        <w:rPr>
          <w:rFonts w:hint="eastAsia"/>
          <w:color w:val="auto"/>
          <w:sz w:val="32"/>
          <w:szCs w:val="32"/>
          <w:highlight w:val="none"/>
        </w:rPr>
        <w:t>第</w:t>
      </w:r>
      <w:r>
        <w:rPr>
          <w:rFonts w:hint="eastAsia"/>
          <w:color w:val="auto"/>
          <w:sz w:val="32"/>
          <w:szCs w:val="32"/>
          <w:highlight w:val="none"/>
          <w:lang w:val="en-US" w:eastAsia="zh-CN"/>
        </w:rPr>
        <w:t>五</w:t>
      </w:r>
      <w:r>
        <w:rPr>
          <w:rFonts w:hint="eastAsia"/>
          <w:color w:val="auto"/>
          <w:sz w:val="32"/>
          <w:szCs w:val="32"/>
          <w:highlight w:val="none"/>
        </w:rPr>
        <w:t>章  投标文件格式</w:t>
      </w:r>
      <w:bookmarkEnd w:id="41"/>
      <w:bookmarkEnd w:id="42"/>
      <w:bookmarkEnd w:id="45"/>
    </w:p>
    <w:p>
      <w:pPr>
        <w:spacing w:line="440" w:lineRule="exact"/>
        <w:rPr>
          <w:color w:val="auto"/>
          <w:sz w:val="24"/>
          <w:highlight w:val="none"/>
        </w:rPr>
      </w:pPr>
    </w:p>
    <w:p>
      <w:pPr>
        <w:jc w:val="center"/>
        <w:rPr>
          <w:b/>
          <w:bCs/>
          <w:color w:val="auto"/>
          <w:sz w:val="32"/>
          <w:szCs w:val="32"/>
          <w:highlight w:val="none"/>
        </w:rPr>
      </w:pPr>
      <w:bookmarkStart w:id="46" w:name="_Toc13604"/>
      <w:r>
        <w:rPr>
          <w:rFonts w:hint="eastAsia"/>
          <w:b/>
          <w:bCs/>
          <w:color w:val="auto"/>
          <w:sz w:val="32"/>
          <w:szCs w:val="32"/>
          <w:highlight w:val="none"/>
        </w:rPr>
        <w:t>目    录</w:t>
      </w:r>
      <w:bookmarkEnd w:id="46"/>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7" w:name="_Toc11308"/>
      <w:r>
        <w:rPr>
          <w:rFonts w:hint="eastAsia"/>
          <w:color w:val="auto"/>
          <w:sz w:val="24"/>
          <w:highlight w:val="none"/>
        </w:rPr>
        <w:t>附件1投标文件封面（格式）</w:t>
      </w:r>
      <w:bookmarkEnd w:id="47"/>
    </w:p>
    <w:p>
      <w:pPr>
        <w:snapToGrid w:val="0"/>
        <w:spacing w:line="360" w:lineRule="auto"/>
        <w:ind w:firstLine="480" w:firstLineChars="200"/>
        <w:rPr>
          <w:color w:val="auto"/>
          <w:sz w:val="24"/>
          <w:highlight w:val="none"/>
        </w:rPr>
      </w:pPr>
      <w:bookmarkStart w:id="48" w:name="_Toc25345"/>
      <w:r>
        <w:rPr>
          <w:rFonts w:hint="eastAsia"/>
          <w:color w:val="auto"/>
          <w:sz w:val="24"/>
          <w:highlight w:val="none"/>
        </w:rPr>
        <w:t>附件2 投标书（格式）</w:t>
      </w:r>
      <w:bookmarkEnd w:id="48"/>
    </w:p>
    <w:p>
      <w:pPr>
        <w:snapToGrid w:val="0"/>
        <w:spacing w:line="360" w:lineRule="auto"/>
        <w:ind w:firstLine="480" w:firstLineChars="200"/>
        <w:rPr>
          <w:color w:val="auto"/>
          <w:sz w:val="24"/>
          <w:highlight w:val="none"/>
        </w:rPr>
      </w:pPr>
      <w:bookmarkStart w:id="49" w:name="_Toc10217"/>
      <w:r>
        <w:rPr>
          <w:rFonts w:hint="eastAsia"/>
          <w:color w:val="auto"/>
          <w:sz w:val="24"/>
          <w:highlight w:val="none"/>
        </w:rPr>
        <w:t>附件3 开标一览表（格式）</w:t>
      </w:r>
      <w:bookmarkEnd w:id="49"/>
    </w:p>
    <w:p>
      <w:pPr>
        <w:snapToGrid w:val="0"/>
        <w:spacing w:line="360" w:lineRule="auto"/>
        <w:ind w:firstLine="480" w:firstLineChars="200"/>
        <w:rPr>
          <w:rFonts w:hint="default"/>
          <w:color w:val="auto"/>
          <w:sz w:val="24"/>
          <w:highlight w:val="none"/>
          <w:lang w:val="en-US"/>
        </w:rPr>
      </w:pPr>
      <w:bookmarkStart w:id="50" w:name="_Toc9579"/>
      <w:r>
        <w:rPr>
          <w:rFonts w:hint="eastAsia"/>
          <w:color w:val="auto"/>
          <w:sz w:val="24"/>
          <w:highlight w:val="none"/>
        </w:rPr>
        <w:t xml:space="preserve">附件4 </w:t>
      </w:r>
      <w:bookmarkEnd w:id="50"/>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1"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1"/>
    </w:p>
    <w:p>
      <w:pPr>
        <w:snapToGrid w:val="0"/>
        <w:spacing w:line="360" w:lineRule="auto"/>
        <w:ind w:firstLine="480" w:firstLineChars="200"/>
        <w:rPr>
          <w:rFonts w:hint="eastAsia" w:eastAsia="宋体"/>
          <w:color w:val="auto"/>
          <w:sz w:val="24"/>
          <w:highlight w:val="none"/>
          <w:lang w:val="en-US" w:eastAsia="zh-CN"/>
        </w:rPr>
      </w:pPr>
      <w:bookmarkStart w:id="52" w:name="_Toc6234"/>
      <w:r>
        <w:rPr>
          <w:rFonts w:hint="eastAsia"/>
          <w:color w:val="auto"/>
          <w:sz w:val="24"/>
          <w:highlight w:val="none"/>
        </w:rPr>
        <w:t>附件6 商务</w:t>
      </w:r>
      <w:bookmarkEnd w:id="52"/>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3"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3"/>
    </w:p>
    <w:p>
      <w:pPr>
        <w:snapToGrid w:val="0"/>
        <w:spacing w:line="360" w:lineRule="auto"/>
        <w:ind w:firstLine="480" w:firstLineChars="200"/>
        <w:rPr>
          <w:color w:val="auto"/>
          <w:sz w:val="24"/>
          <w:highlight w:val="none"/>
        </w:rPr>
      </w:pPr>
      <w:bookmarkStart w:id="54"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4"/>
    </w:p>
    <w:p>
      <w:pPr>
        <w:snapToGrid w:val="0"/>
        <w:spacing w:line="360" w:lineRule="auto"/>
        <w:ind w:firstLine="480" w:firstLineChars="200"/>
        <w:rPr>
          <w:color w:val="auto"/>
          <w:sz w:val="24"/>
          <w:highlight w:val="none"/>
        </w:rPr>
      </w:pPr>
      <w:bookmarkStart w:id="55" w:name="_Toc31857"/>
      <w:r>
        <w:rPr>
          <w:rFonts w:hint="eastAsia"/>
          <w:color w:val="auto"/>
          <w:sz w:val="24"/>
          <w:highlight w:val="none"/>
        </w:rPr>
        <w:t>附件9 证明文件</w:t>
      </w:r>
      <w:bookmarkEnd w:id="55"/>
    </w:p>
    <w:p>
      <w:pPr>
        <w:snapToGrid w:val="0"/>
        <w:spacing w:line="360" w:lineRule="auto"/>
        <w:ind w:firstLine="480" w:firstLineChars="200"/>
        <w:rPr>
          <w:rFonts w:hint="eastAsia"/>
          <w:color w:val="auto"/>
          <w:sz w:val="24"/>
          <w:highlight w:val="none"/>
        </w:rPr>
      </w:pPr>
      <w:bookmarkStart w:id="56" w:name="_Toc23116"/>
      <w:r>
        <w:rPr>
          <w:rFonts w:hint="eastAsia"/>
          <w:color w:val="auto"/>
          <w:sz w:val="24"/>
          <w:highlight w:val="none"/>
        </w:rPr>
        <w:t>附件10 供应商承诺书（格式）</w:t>
      </w:r>
      <w:bookmarkEnd w:id="56"/>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57" w:name="_Toc24743"/>
      <w:bookmarkStart w:id="58" w:name="_Toc31798"/>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59" w:name="_Toc8818"/>
      <w:bookmarkStart w:id="60" w:name="_Toc14560"/>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p>
        </w:tc>
        <w:tc>
          <w:tcPr>
            <w:tcW w:w="7708" w:type="dxa"/>
            <w:noWrap/>
            <w:vAlign w:val="center"/>
          </w:tcPr>
          <w:p>
            <w:pPr>
              <w:rPr>
                <w:rFonts w:hint="eastAsia" w:ascii="宋体"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2" w:name="_Toc20877"/>
      <w:bookmarkStart w:id="63"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2"/>
      <w:bookmarkEnd w:id="63"/>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4"/>
      <w:bookmarkEnd w:id="65"/>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8" w:name="_Toc24984"/>
      <w:bookmarkStart w:id="69"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8"/>
      <w:bookmarkEnd w:id="69"/>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3"/>
        <w:rPr>
          <w:rFonts w:hint="eastAsia" w:eastAsia="黑体"/>
          <w:color w:val="auto"/>
          <w:highlight w:val="none"/>
          <w:lang w:val="en-US" w:eastAsia="zh-CN"/>
        </w:rPr>
      </w:pPr>
      <w:r>
        <w:rPr>
          <w:rFonts w:hint="eastAsia"/>
          <w:color w:val="auto"/>
          <w:highlight w:val="none"/>
        </w:rPr>
        <w:br w:type="page"/>
      </w:r>
      <w:bookmarkStart w:id="70" w:name="_Toc15804"/>
      <w:bookmarkStart w:id="71" w:name="_Toc226"/>
      <w:r>
        <w:rPr>
          <w:rFonts w:hint="eastAsia"/>
          <w:color w:val="auto"/>
          <w:highlight w:val="none"/>
        </w:rPr>
        <w:t xml:space="preserve">附件5         </w:t>
      </w:r>
      <w:bookmarkEnd w:id="70"/>
      <w:bookmarkEnd w:id="71"/>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2" w:name="_Toc20420"/>
      <w:bookmarkStart w:id="73" w:name="_Toc29960"/>
      <w:r>
        <w:rPr>
          <w:rFonts w:hint="eastAsia" w:ascii="Arial" w:hAnsi="Arial" w:eastAsia="新宋体"/>
          <w:b/>
          <w:color w:val="auto"/>
          <w:sz w:val="28"/>
          <w:highlight w:val="none"/>
        </w:rPr>
        <w:t>附件6               商务响应</w:t>
      </w:r>
      <w:bookmarkEnd w:id="72"/>
      <w:bookmarkEnd w:id="73"/>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4" w:name="_Toc28621"/>
      <w:bookmarkStart w:id="75"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4"/>
      <w:bookmarkEnd w:id="75"/>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6" w:name="_Toc13976"/>
      <w:bookmarkStart w:id="77" w:name="_Toc30519"/>
      <w:r>
        <w:rPr>
          <w:rFonts w:hint="eastAsia" w:ascii="Arial" w:hAnsi="Arial" w:eastAsia="新宋体"/>
          <w:b/>
          <w:color w:val="auto"/>
          <w:sz w:val="28"/>
          <w:highlight w:val="none"/>
        </w:rPr>
        <w:t>附件8               法定代表人授权书（格式）</w:t>
      </w:r>
      <w:bookmarkEnd w:id="76"/>
      <w:bookmarkEnd w:id="77"/>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8" w:name="_Toc24693"/>
      <w:bookmarkStart w:id="79" w:name="_Toc18105"/>
      <w:r>
        <w:rPr>
          <w:rFonts w:hint="eastAsia" w:ascii="Arial" w:hAnsi="Arial" w:eastAsia="新宋体"/>
          <w:b/>
          <w:color w:val="auto"/>
          <w:sz w:val="28"/>
          <w:highlight w:val="none"/>
        </w:rPr>
        <w:t>附件9               证明文件</w:t>
      </w:r>
      <w:bookmarkEnd w:id="78"/>
      <w:bookmarkEnd w:id="79"/>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0"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1" w:name="_Toc12888"/>
      <w:bookmarkStart w:id="82" w:name="_Toc13726"/>
      <w:r>
        <w:rPr>
          <w:rFonts w:hint="eastAsia" w:ascii="宋体" w:hAnsi="宋体" w:cs="Lucida Sans Unicode"/>
          <w:b/>
          <w:color w:val="auto"/>
          <w:kern w:val="0"/>
          <w:sz w:val="28"/>
          <w:szCs w:val="28"/>
          <w:highlight w:val="none"/>
        </w:rPr>
        <w:t xml:space="preserve">附件10        </w:t>
      </w:r>
      <w:bookmarkEnd w:id="80"/>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1"/>
      <w:bookmarkEnd w:id="82"/>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3" w:name="_Toc25094"/>
      <w:bookmarkStart w:id="84"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3"/>
      <w:bookmarkEnd w:id="8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驻马店市中心医院污水站第三方检测服务项目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驻马店市中心医院污水站第三方检测服务项目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E66CC6"/>
    <w:rsid w:val="06FB0AC5"/>
    <w:rsid w:val="070D2D5D"/>
    <w:rsid w:val="07111B8D"/>
    <w:rsid w:val="072C5514"/>
    <w:rsid w:val="074A5B92"/>
    <w:rsid w:val="075D0147"/>
    <w:rsid w:val="075E3193"/>
    <w:rsid w:val="078E18EB"/>
    <w:rsid w:val="07B10EA5"/>
    <w:rsid w:val="07CE3FA1"/>
    <w:rsid w:val="07EC2ECB"/>
    <w:rsid w:val="07FE66CB"/>
    <w:rsid w:val="080B4D47"/>
    <w:rsid w:val="08163A15"/>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B73017"/>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65559"/>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970A5D"/>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56386"/>
    <w:rsid w:val="1E6B06A5"/>
    <w:rsid w:val="1E6C03DB"/>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3B3DA5"/>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064BE"/>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84765"/>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79545F"/>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D92715"/>
    <w:rsid w:val="39EB39E0"/>
    <w:rsid w:val="39EF02D4"/>
    <w:rsid w:val="3A11342A"/>
    <w:rsid w:val="3A153110"/>
    <w:rsid w:val="3A2149EA"/>
    <w:rsid w:val="3A2507C0"/>
    <w:rsid w:val="3A285AD8"/>
    <w:rsid w:val="3A393FA7"/>
    <w:rsid w:val="3A3A5A22"/>
    <w:rsid w:val="3A524858"/>
    <w:rsid w:val="3A64203E"/>
    <w:rsid w:val="3A663D00"/>
    <w:rsid w:val="3A6824A2"/>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3D33AA"/>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33E32"/>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AB5A85"/>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4277BB"/>
    <w:rsid w:val="4B520DF4"/>
    <w:rsid w:val="4B603107"/>
    <w:rsid w:val="4B9802B0"/>
    <w:rsid w:val="4B9E65BE"/>
    <w:rsid w:val="4B9F33A8"/>
    <w:rsid w:val="4BA80AFD"/>
    <w:rsid w:val="4BB033BA"/>
    <w:rsid w:val="4BB469AD"/>
    <w:rsid w:val="4BC06040"/>
    <w:rsid w:val="4BF441D2"/>
    <w:rsid w:val="4C1C2A09"/>
    <w:rsid w:val="4C423098"/>
    <w:rsid w:val="4C433C79"/>
    <w:rsid w:val="4C694192"/>
    <w:rsid w:val="4C7964D9"/>
    <w:rsid w:val="4C9269F6"/>
    <w:rsid w:val="4CC84335"/>
    <w:rsid w:val="4CE27936"/>
    <w:rsid w:val="4CE9350A"/>
    <w:rsid w:val="4D225F85"/>
    <w:rsid w:val="4D297BF3"/>
    <w:rsid w:val="4D2D0EAF"/>
    <w:rsid w:val="4D7F0082"/>
    <w:rsid w:val="4D952FD9"/>
    <w:rsid w:val="4D970662"/>
    <w:rsid w:val="4DAE67D8"/>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E97071"/>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3D51"/>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E14F6"/>
    <w:rsid w:val="56990B7C"/>
    <w:rsid w:val="569E1126"/>
    <w:rsid w:val="56A8690E"/>
    <w:rsid w:val="56B80DEB"/>
    <w:rsid w:val="56E0560F"/>
    <w:rsid w:val="56E06E61"/>
    <w:rsid w:val="56F653FE"/>
    <w:rsid w:val="574448FC"/>
    <w:rsid w:val="57561D39"/>
    <w:rsid w:val="575B7AFD"/>
    <w:rsid w:val="57660D3F"/>
    <w:rsid w:val="5785783C"/>
    <w:rsid w:val="57A51C8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04D6B"/>
    <w:rsid w:val="59790BDB"/>
    <w:rsid w:val="597E3F42"/>
    <w:rsid w:val="598653AC"/>
    <w:rsid w:val="59AC3C86"/>
    <w:rsid w:val="59D42FDA"/>
    <w:rsid w:val="59DA4E01"/>
    <w:rsid w:val="59F64E82"/>
    <w:rsid w:val="5A082148"/>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275E68"/>
    <w:rsid w:val="5B585171"/>
    <w:rsid w:val="5B585B78"/>
    <w:rsid w:val="5B6D62B9"/>
    <w:rsid w:val="5B9A2B59"/>
    <w:rsid w:val="5BC0085A"/>
    <w:rsid w:val="5BE03293"/>
    <w:rsid w:val="5BF03D58"/>
    <w:rsid w:val="5BF20AFB"/>
    <w:rsid w:val="5C1A6BB2"/>
    <w:rsid w:val="5C37233A"/>
    <w:rsid w:val="5C5355FE"/>
    <w:rsid w:val="5C6F4105"/>
    <w:rsid w:val="5CAE050B"/>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5F767F"/>
    <w:rsid w:val="60616CDC"/>
    <w:rsid w:val="60624E53"/>
    <w:rsid w:val="606319E5"/>
    <w:rsid w:val="607A77D8"/>
    <w:rsid w:val="607B3C50"/>
    <w:rsid w:val="608B6567"/>
    <w:rsid w:val="60AA3E6F"/>
    <w:rsid w:val="60FF21D9"/>
    <w:rsid w:val="613021B3"/>
    <w:rsid w:val="613253FD"/>
    <w:rsid w:val="61421F29"/>
    <w:rsid w:val="61712185"/>
    <w:rsid w:val="61716452"/>
    <w:rsid w:val="618B7207"/>
    <w:rsid w:val="61A90D68"/>
    <w:rsid w:val="62065A1D"/>
    <w:rsid w:val="621775E2"/>
    <w:rsid w:val="621B126D"/>
    <w:rsid w:val="622F7552"/>
    <w:rsid w:val="6250406E"/>
    <w:rsid w:val="627D6831"/>
    <w:rsid w:val="62811B1C"/>
    <w:rsid w:val="62A20409"/>
    <w:rsid w:val="62B54B44"/>
    <w:rsid w:val="62B7672F"/>
    <w:rsid w:val="62E045DA"/>
    <w:rsid w:val="62E454A1"/>
    <w:rsid w:val="62F36E4C"/>
    <w:rsid w:val="62F47F8F"/>
    <w:rsid w:val="62F7233F"/>
    <w:rsid w:val="631F3FB4"/>
    <w:rsid w:val="633075FF"/>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7D45E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3A2708"/>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13D6C"/>
    <w:rsid w:val="6C3A67D1"/>
    <w:rsid w:val="6C3D2D5C"/>
    <w:rsid w:val="6C4800AA"/>
    <w:rsid w:val="6C4D28F8"/>
    <w:rsid w:val="6C573E9C"/>
    <w:rsid w:val="6C5C23DC"/>
    <w:rsid w:val="6C6D1126"/>
    <w:rsid w:val="6C7720F3"/>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8A5598"/>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DB0DCF"/>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9018C"/>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3"/>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2023-11-29T01:58:19Z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5B9946CC8D0441B69667280A79805AD6_13</vt:lpwstr>
  </property>
</Properties>
</file>