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bookmarkStart w:id="0" w:name="_Toc22804073"/>
      <w:bookmarkEnd w:id="0"/>
      <w:bookmarkStart w:id="1" w:name="_Toc22953395"/>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r>
        <w:rPr>
          <w:rFonts w:hint="eastAsia" w:ascii="黑体" w:hAnsi="黑体" w:eastAsia="黑体" w:cs="宋体"/>
          <w:bCs/>
          <w:color w:val="auto"/>
          <w:kern w:val="0"/>
          <w:sz w:val="48"/>
          <w:szCs w:val="48"/>
          <w:lang w:eastAsia="zh-CN"/>
        </w:rPr>
        <w:t>驻马店市中心医院</w:t>
      </w:r>
      <w:r>
        <w:rPr>
          <w:rFonts w:hint="eastAsia" w:ascii="黑体" w:hAnsi="黑体" w:eastAsia="黑体" w:cs="宋体"/>
          <w:bCs/>
          <w:color w:val="auto"/>
          <w:kern w:val="0"/>
          <w:sz w:val="48"/>
          <w:szCs w:val="48"/>
          <w:lang w:val="en-US" w:eastAsia="zh-CN"/>
        </w:rPr>
        <w:t>污物袋采购（二次）</w:t>
      </w:r>
    </w:p>
    <w:p>
      <w:pPr>
        <w:pStyle w:val="20"/>
        <w:bidi w:val="0"/>
        <w:jc w:val="center"/>
        <w:rPr>
          <w:rStyle w:val="45"/>
          <w:rFonts w:hint="eastAsia" w:ascii="宋体" w:hAnsi="宋体" w:eastAsia="宋体" w:cs="宋体"/>
          <w:b/>
          <w:bCs/>
          <w:color w:val="auto"/>
          <w:sz w:val="48"/>
          <w:szCs w:val="48"/>
        </w:rPr>
      </w:pPr>
    </w:p>
    <w:p>
      <w:pPr>
        <w:pStyle w:val="20"/>
        <w:bidi w:val="0"/>
        <w:jc w:val="center"/>
        <w:rPr>
          <w:rStyle w:val="45"/>
          <w:rFonts w:hint="eastAsia" w:ascii="宋体" w:hAnsi="宋体" w:eastAsia="宋体" w:cs="宋体"/>
          <w:b/>
          <w:bCs/>
          <w:color w:val="auto"/>
          <w:sz w:val="48"/>
          <w:szCs w:val="48"/>
        </w:rPr>
      </w:pPr>
    </w:p>
    <w:p>
      <w:pPr>
        <w:pStyle w:val="20"/>
        <w:bidi w:val="0"/>
        <w:jc w:val="center"/>
        <w:rPr>
          <w:rStyle w:val="45"/>
          <w:rFonts w:hint="eastAsia" w:ascii="宋体" w:hAnsi="宋体" w:eastAsia="宋体" w:cs="宋体"/>
          <w:b/>
          <w:bCs/>
          <w:color w:val="auto"/>
          <w:sz w:val="48"/>
          <w:szCs w:val="48"/>
        </w:rPr>
      </w:pPr>
    </w:p>
    <w:p>
      <w:pPr>
        <w:pStyle w:val="20"/>
        <w:bidi w:val="0"/>
        <w:jc w:val="center"/>
        <w:rPr>
          <w:rStyle w:val="45"/>
          <w:rFonts w:hint="eastAsia" w:ascii="宋体" w:hAnsi="宋体" w:eastAsia="宋体" w:cs="宋体"/>
          <w:b/>
          <w:bCs/>
          <w:color w:val="auto"/>
          <w:sz w:val="48"/>
          <w:szCs w:val="48"/>
        </w:rPr>
      </w:pPr>
    </w:p>
    <w:p>
      <w:pPr>
        <w:pStyle w:val="20"/>
        <w:bidi w:val="0"/>
        <w:jc w:val="center"/>
        <w:rPr>
          <w:rStyle w:val="45"/>
          <w:rFonts w:hint="eastAsia" w:ascii="宋体" w:hAnsi="宋体" w:eastAsia="宋体" w:cs="宋体"/>
          <w:b/>
          <w:bCs/>
          <w:color w:val="auto"/>
          <w:szCs w:val="44"/>
        </w:rPr>
      </w:pPr>
      <w:r>
        <w:rPr>
          <w:rStyle w:val="45"/>
          <w:rFonts w:hint="eastAsia" w:cs="宋体"/>
          <w:b/>
          <w:bCs/>
          <w:color w:val="auto"/>
          <w:sz w:val="72"/>
          <w:szCs w:val="72"/>
          <w:lang w:val="en-US" w:eastAsia="zh-CN"/>
        </w:rPr>
        <w:t>采购</w:t>
      </w:r>
      <w:r>
        <w:rPr>
          <w:rStyle w:val="45"/>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lang w:val="en-US" w:eastAsia="zh-CN"/>
        </w:rPr>
      </w:pPr>
    </w:p>
    <w:p>
      <w:pPr>
        <w:snapToGrid w:val="0"/>
        <w:spacing w:line="380" w:lineRule="exact"/>
        <w:jc w:val="center"/>
        <w:rPr>
          <w:rFonts w:hint="eastAsia" w:ascii="宋体" w:hAnsi="宋体" w:eastAsia="宋体" w:cs="宋体"/>
          <w:b/>
          <w:color w:val="auto"/>
          <w:sz w:val="32"/>
          <w:szCs w:val="32"/>
        </w:rPr>
      </w:pPr>
    </w:p>
    <w:p>
      <w:pPr>
        <w:pStyle w:val="33"/>
        <w:rPr>
          <w:rFonts w:hint="eastAsia"/>
          <w:color w:val="auto"/>
        </w:rPr>
      </w:pPr>
    </w:p>
    <w:p>
      <w:pPr>
        <w:pStyle w:val="59"/>
        <w:rPr>
          <w:rFonts w:hint="eastAsia" w:ascii="宋体" w:hAnsi="宋体" w:eastAsia="宋体" w:cs="宋体"/>
          <w:bCs/>
          <w:color w:val="auto"/>
          <w:sz w:val="2"/>
          <w:szCs w:val="2"/>
        </w:rPr>
      </w:pPr>
    </w:p>
    <w:p>
      <w:pPr>
        <w:rPr>
          <w:rFonts w:hint="eastAsia" w:ascii="宋体" w:hAnsi="宋体" w:eastAsia="宋体" w:cs="宋体"/>
          <w:bCs/>
          <w:color w:val="auto"/>
          <w:sz w:val="2"/>
          <w:szCs w:val="2"/>
        </w:rPr>
      </w:pPr>
    </w:p>
    <w:p>
      <w:pPr>
        <w:spacing w:line="20" w:lineRule="exact"/>
        <w:rPr>
          <w:rFonts w:hint="eastAsia" w:ascii="宋体" w:hAnsi="宋体" w:eastAsia="宋体" w:cs="宋体"/>
          <w:bCs/>
          <w:color w:val="auto"/>
          <w:sz w:val="2"/>
          <w:szCs w:val="2"/>
        </w:rPr>
      </w:pPr>
    </w:p>
    <w:p>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rPr>
      </w:pPr>
      <w:r>
        <w:rPr>
          <w:rFonts w:hint="eastAsia" w:ascii="宋体" w:hAnsi="宋体" w:eastAsia="宋体" w:cs="宋体"/>
          <w:b/>
          <w:bCs/>
          <w:color w:val="auto"/>
          <w:spacing w:val="-10"/>
          <w:sz w:val="34"/>
          <w:szCs w:val="34"/>
          <w:lang w:val="en-US" w:eastAsia="zh-CN"/>
        </w:rPr>
        <w:t>采 购</w:t>
      </w:r>
      <w:r>
        <w:rPr>
          <w:rFonts w:hint="eastAsia" w:ascii="宋体" w:hAnsi="宋体" w:eastAsia="宋体" w:cs="宋体"/>
          <w:b/>
          <w:bCs/>
          <w:color w:val="auto"/>
          <w:spacing w:val="-10"/>
          <w:sz w:val="34"/>
          <w:szCs w:val="34"/>
        </w:rPr>
        <w:t xml:space="preserve"> 人：驻马店市中心医院</w:t>
      </w: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rPr>
      </w:pPr>
      <w:r>
        <w:rPr>
          <w:rFonts w:hint="eastAsia" w:ascii="宋体" w:hAnsi="宋体" w:eastAsia="宋体" w:cs="宋体"/>
          <w:b/>
          <w:bCs/>
          <w:color w:val="auto"/>
          <w:spacing w:val="-10"/>
          <w:sz w:val="34"/>
          <w:szCs w:val="34"/>
        </w:rPr>
        <w:t xml:space="preserve">代理机构: </w:t>
      </w:r>
      <w:r>
        <w:rPr>
          <w:rFonts w:hint="eastAsia" w:ascii="宋体" w:hAnsi="宋体" w:eastAsia="宋体" w:cs="宋体"/>
          <w:b/>
          <w:bCs/>
          <w:color w:val="auto"/>
          <w:spacing w:val="-10"/>
          <w:sz w:val="34"/>
          <w:szCs w:val="34"/>
          <w:lang w:eastAsia="zh-CN"/>
        </w:rPr>
        <w:t>中大宇辰项目管理有限公司</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w:t>
      </w:r>
      <w:r>
        <w:rPr>
          <w:rFonts w:hint="eastAsia" w:ascii="宋体" w:hAnsi="宋体" w:cs="宋体"/>
          <w:b/>
          <w:bCs/>
          <w:color w:val="auto"/>
          <w:spacing w:val="40"/>
          <w:sz w:val="34"/>
          <w:szCs w:val="34"/>
          <w:lang w:val="en-US" w:eastAsia="zh-CN"/>
        </w:rPr>
        <w:t>3</w:t>
      </w:r>
      <w:r>
        <w:rPr>
          <w:rFonts w:hint="eastAsia" w:ascii="宋体" w:hAnsi="宋体" w:eastAsia="宋体" w:cs="宋体"/>
          <w:b/>
          <w:bCs/>
          <w:color w:val="auto"/>
          <w:spacing w:val="40"/>
          <w:sz w:val="34"/>
          <w:szCs w:val="34"/>
        </w:rPr>
        <w:t>年</w:t>
      </w:r>
      <w:r>
        <w:rPr>
          <w:rFonts w:hint="eastAsia" w:ascii="宋体" w:hAnsi="宋体" w:cs="宋体"/>
          <w:b/>
          <w:bCs/>
          <w:color w:val="auto"/>
          <w:spacing w:val="40"/>
          <w:sz w:val="34"/>
          <w:szCs w:val="34"/>
          <w:lang w:val="en-US" w:eastAsia="zh-CN"/>
        </w:rPr>
        <w:t>10</w:t>
      </w:r>
      <w:r>
        <w:rPr>
          <w:rFonts w:hint="eastAsia" w:ascii="宋体" w:hAnsi="宋体" w:eastAsia="宋体" w:cs="宋体"/>
          <w:b/>
          <w:bCs/>
          <w:color w:val="auto"/>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6"/>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lang w:eastAsia="zh-CN"/>
        </w:rPr>
        <w:t>驻马店市中心医院</w:t>
      </w:r>
      <w:r>
        <w:rPr>
          <w:rFonts w:hint="eastAsia" w:ascii="黑体" w:hAnsi="黑体" w:eastAsia="黑体" w:cs="宋体"/>
          <w:bCs/>
          <w:color w:val="auto"/>
          <w:kern w:val="0"/>
          <w:sz w:val="28"/>
          <w:szCs w:val="28"/>
          <w:lang w:val="en-US" w:eastAsia="zh-CN"/>
        </w:rPr>
        <w:t>污物袋采</w:t>
      </w:r>
      <w:r>
        <w:rPr>
          <w:rFonts w:hint="eastAsia" w:ascii="黑体" w:hAnsi="黑体" w:eastAsia="黑体" w:cs="宋体"/>
          <w:bCs/>
          <w:color w:val="auto"/>
          <w:kern w:val="0"/>
          <w:sz w:val="28"/>
          <w:szCs w:val="28"/>
          <w:lang w:eastAsia="zh-CN"/>
        </w:rPr>
        <w:t>购</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lang w:eastAsia="zh-CN"/>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r>
        <w:rPr>
          <w:rFonts w:hint="eastAsia" w:ascii="黑体" w:hAnsi="黑体" w:eastAsia="黑体" w:cs="宋体"/>
          <w:bCs/>
          <w:color w:val="auto"/>
          <w:kern w:val="0"/>
          <w:sz w:val="28"/>
          <w:szCs w:val="28"/>
          <w:lang w:eastAsia="zh-CN"/>
        </w:rPr>
        <w:t>（</w:t>
      </w:r>
      <w:r>
        <w:rPr>
          <w:rFonts w:hint="eastAsia" w:ascii="黑体" w:hAnsi="黑体" w:eastAsia="黑体" w:cs="宋体"/>
          <w:bCs/>
          <w:color w:val="auto"/>
          <w:kern w:val="0"/>
          <w:sz w:val="28"/>
          <w:szCs w:val="28"/>
          <w:lang w:val="en-US" w:eastAsia="zh-CN"/>
        </w:rPr>
        <w:t>二次</w:t>
      </w:r>
      <w:r>
        <w:rPr>
          <w:rFonts w:hint="eastAsia" w:ascii="黑体" w:hAnsi="黑体" w:eastAsia="黑体" w:cs="宋体"/>
          <w:bCs/>
          <w:color w:val="auto"/>
          <w:kern w:val="0"/>
          <w:sz w:val="28"/>
          <w:szCs w:val="28"/>
          <w:lang w:eastAsia="zh-CN"/>
        </w:rPr>
        <w:t>）</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 xml:space="preserve"> </w:t>
      </w:r>
      <w:r>
        <w:rPr>
          <w:rFonts w:hint="eastAsia" w:ascii="宋体" w:hAnsi="宋体" w:eastAsia="宋体" w:cs="宋体"/>
          <w:color w:val="auto"/>
          <w:u w:val="single"/>
          <w:lang w:eastAsia="zh-CN"/>
        </w:rPr>
        <w:t>驻马店市中心医院</w:t>
      </w:r>
      <w:r>
        <w:rPr>
          <w:rFonts w:hint="eastAsia" w:ascii="宋体" w:hAnsi="宋体" w:eastAsia="宋体" w:cs="宋体"/>
          <w:color w:val="auto"/>
          <w:u w:val="single"/>
          <w:lang w:val="en-US" w:eastAsia="zh-CN"/>
        </w:rPr>
        <w:t>污物袋采购</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驻马店市中心医院</w:t>
      </w:r>
      <w:r>
        <w:rPr>
          <w:rFonts w:hint="eastAsia" w:ascii="宋体" w:hAnsi="宋体" w:cs="宋体"/>
          <w:color w:val="auto"/>
          <w:szCs w:val="21"/>
          <w:highlight w:val="none"/>
          <w:shd w:val="clear" w:color="auto" w:fill="FFFFFF"/>
          <w:lang w:val="en-US" w:eastAsia="zh-CN"/>
        </w:rPr>
        <w:t>污物袋采购</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45万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bookmarkStart w:id="4" w:name="_Toc19521"/>
      <w:bookmarkStart w:id="5" w:name="_Toc26079"/>
      <w:bookmarkStart w:id="6" w:name="_Toc27913"/>
      <w:bookmarkStart w:id="7" w:name="_Toc21071"/>
      <w:bookmarkStart w:id="8" w:name="_Toc24040"/>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lang w:val="en-US" w:eastAsia="zh-CN"/>
        </w:rPr>
        <w:t>6、</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一年</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9" w:name="_Toc23626"/>
      <w:bookmarkStart w:id="10" w:name="_Toc27704"/>
      <w:bookmarkStart w:id="11" w:name="_Toc16639"/>
      <w:bookmarkStart w:id="12" w:name="_Toc18607"/>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ascii="宋体" w:hAnsi="宋体" w:eastAsia="宋体" w:cs="宋体"/>
          <w:b w:val="0"/>
          <w:bCs w:val="0"/>
          <w:color w:val="auto"/>
          <w:kern w:val="2"/>
          <w:sz w:val="21"/>
          <w:szCs w:val="21"/>
          <w:shd w:val="clear" w:color="auto" w:fill="FFFFFF"/>
          <w:lang w:val="en-US" w:eastAsia="zh-CN" w:bidi="ar-SA"/>
        </w:rPr>
      </w:pPr>
      <w:bookmarkStart w:id="13" w:name="_Toc9562"/>
      <w:bookmarkStart w:id="14" w:name="_Toc7823"/>
      <w:bookmarkStart w:id="15" w:name="_Toc30643"/>
      <w:bookmarkStart w:id="16" w:name="_Toc23395"/>
      <w:bookmarkStart w:id="17" w:name="_Toc30971"/>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2、供应商应提供202</w:t>
      </w:r>
      <w:r>
        <w:rPr>
          <w:rFonts w:hint="eastAsia" w:ascii="宋体" w:hAnsi="宋体" w:cs="宋体"/>
          <w:b w:val="0"/>
          <w:bCs w:val="0"/>
          <w:color w:val="auto"/>
          <w:kern w:val="2"/>
          <w:sz w:val="21"/>
          <w:szCs w:val="21"/>
          <w:shd w:val="clear" w:color="auto" w:fill="FFFFFF"/>
          <w:lang w:val="en-US" w:eastAsia="zh-CN" w:bidi="ar-SA"/>
        </w:rPr>
        <w:t>2</w:t>
      </w:r>
      <w:r>
        <w:rPr>
          <w:rFonts w:hint="eastAsia" w:ascii="宋体" w:hAnsi="宋体" w:eastAsia="宋体" w:cs="宋体"/>
          <w:b w:val="0"/>
          <w:bCs w:val="0"/>
          <w:color w:val="auto"/>
          <w:kern w:val="2"/>
          <w:sz w:val="21"/>
          <w:szCs w:val="21"/>
          <w:shd w:val="clear" w:color="auto" w:fill="FFFFFF"/>
          <w:lang w:val="en-US" w:eastAsia="zh-CN" w:bidi="ar-SA"/>
        </w:rPr>
        <w:t>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3、具有履行合同所必需的设备和专业技术能力（提供书面声明函）；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4、参加本采购活动前三年内，在经营活动中没有重大违法记录（提供书面声明函）；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5、符合法律、行政法规规定的其他条件；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6</w:t>
      </w:r>
      <w:r>
        <w:rPr>
          <w:rFonts w:hint="eastAsia" w:ascii="宋体" w:hAnsi="宋体" w:eastAsia="宋体" w:cs="宋体"/>
          <w:b w:val="0"/>
          <w:bCs w:val="0"/>
          <w:color w:val="auto"/>
          <w:kern w:val="2"/>
          <w:sz w:val="21"/>
          <w:szCs w:val="21"/>
          <w:shd w:val="clear" w:color="auto" w:fill="FFFFFF"/>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企业信用记录的网页</w:t>
      </w:r>
      <w:r>
        <w:rPr>
          <w:rFonts w:hint="eastAsia" w:ascii="宋体" w:hAnsi="宋体" w:cs="宋体"/>
          <w:b w:val="0"/>
          <w:bCs w:val="0"/>
          <w:color w:val="auto"/>
          <w:kern w:val="2"/>
          <w:sz w:val="21"/>
          <w:szCs w:val="21"/>
          <w:shd w:val="clear" w:color="auto" w:fill="FFFFFF"/>
          <w:lang w:val="en-US" w:eastAsia="zh-CN" w:bidi="ar-SA"/>
        </w:rPr>
        <w:t>查询证明</w:t>
      </w:r>
      <w:r>
        <w:rPr>
          <w:rFonts w:hint="eastAsia" w:ascii="宋体" w:hAnsi="宋体" w:eastAsia="宋体" w:cs="宋体"/>
          <w:b w:val="0"/>
          <w:bCs w:val="0"/>
          <w:color w:val="auto"/>
          <w:kern w:val="2"/>
          <w:sz w:val="21"/>
          <w:szCs w:val="21"/>
          <w:shd w:val="clear" w:color="auto" w:fill="FFFFFF"/>
          <w:lang w:val="en-US" w:eastAsia="zh-CN" w:bidi="ar-SA"/>
        </w:rPr>
        <w:t>并加盖供应商公章，查询时间应在采购公告发布日期之后，【查询渠道：“信用中国”网站、中国政府采购网】；</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7</w:t>
      </w:r>
      <w:r>
        <w:rPr>
          <w:rFonts w:hint="eastAsia" w:ascii="宋体" w:hAnsi="宋体" w:eastAsia="宋体" w:cs="宋体"/>
          <w:b w:val="0"/>
          <w:bCs w:val="0"/>
          <w:color w:val="auto"/>
          <w:kern w:val="2"/>
          <w:sz w:val="21"/>
          <w:szCs w:val="21"/>
          <w:shd w:val="clear" w:color="auto" w:fill="FFFFFF"/>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000000" w:themeColor="text1"/>
          <w:szCs w:val="21"/>
          <w:shd w:val="clear" w:color="auto" w:fill="FFFFFF"/>
          <w14:textFill>
            <w14:solidFill>
              <w14:schemeClr w14:val="tx1"/>
            </w14:solidFill>
          </w14:textFill>
        </w:rPr>
      </w:pPr>
      <w:bookmarkStart w:id="18" w:name="_Toc27480"/>
      <w:bookmarkStart w:id="19" w:name="_Toc15135"/>
      <w:bookmarkStart w:id="20" w:name="_Toc15111"/>
      <w:bookmarkStart w:id="21" w:name="_Toc10738"/>
      <w:bookmarkStart w:id="22" w:name="_Toc25869"/>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时间：20</w:t>
      </w:r>
      <w:r>
        <w:rPr>
          <w:rFonts w:hint="eastAsia" w:ascii="宋体" w:hAnsi="宋体" w:cs="宋体"/>
          <w:color w:val="000000" w:themeColor="text1"/>
          <w:szCs w:val="21"/>
          <w:shd w:val="clear" w:color="auto" w:fill="FFFFFF"/>
          <w:lang w:val="en-US" w:eastAsia="zh-CN"/>
          <w14:textFill>
            <w14:solidFill>
              <w14:schemeClr w14:val="tx1"/>
            </w14:solidFill>
          </w14:textFill>
        </w:rPr>
        <w:t>23</w:t>
      </w:r>
      <w:r>
        <w:rPr>
          <w:rFonts w:hint="eastAsia" w:ascii="宋体" w:hAnsi="宋体" w:eastAsia="宋体" w:cs="宋体"/>
          <w:color w:val="000000" w:themeColor="text1"/>
          <w:szCs w:val="21"/>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19</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23</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2131538583@qq.com并标明XX公司XX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20287"/>
      <w:bookmarkStart w:id="24" w:name="_Toc6523"/>
      <w:bookmarkStart w:id="25" w:name="_Toc30918"/>
      <w:bookmarkStart w:id="26" w:name="_Toc29784"/>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27370"/>
      <w:bookmarkStart w:id="30" w:name="_Toc31928"/>
      <w:bookmarkStart w:id="31" w:name="_Toc24274"/>
      <w:bookmarkStart w:id="32" w:name="_Toc16291"/>
      <w:bookmarkStart w:id="33" w:name="_Toc3604"/>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采 购 人：驻马店市中心医院</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    址：驻马店市中华大道747号</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 系 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电    话：0396-2726379 </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代理机构：中大宇辰项目管理有限公司</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地址：河南省郑州市金水东路与通泰路交叉口蓝天空港1-1-901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 系 人： 李先生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电    话：</w:t>
      </w:r>
      <w:r>
        <w:rPr>
          <w:rFonts w:hint="eastAsia" w:ascii="宋体" w:hAnsi="宋体" w:eastAsia="宋体" w:cs="宋体"/>
          <w:color w:val="auto"/>
          <w:kern w:val="0"/>
          <w:sz w:val="21"/>
          <w:szCs w:val="21"/>
          <w:highlight w:val="none"/>
          <w:shd w:val="clear" w:color="auto" w:fill="FFFFFF"/>
          <w:lang w:val="en-US" w:eastAsia="zh-CN" w:bidi="ar-SA"/>
        </w:rPr>
        <w:t>1</w:t>
      </w:r>
      <w:r>
        <w:rPr>
          <w:rFonts w:hint="eastAsia" w:ascii="宋体" w:hAnsi="宋体" w:cs="宋体"/>
          <w:color w:val="auto"/>
          <w:kern w:val="0"/>
          <w:sz w:val="21"/>
          <w:szCs w:val="21"/>
          <w:highlight w:val="none"/>
          <w:shd w:val="clear" w:color="auto" w:fill="FFFFFF"/>
          <w:lang w:val="en-US" w:eastAsia="zh-CN" w:bidi="ar-SA"/>
        </w:rPr>
        <w:t>3283085329 / 0396</w:t>
      </w:r>
      <w:r>
        <w:rPr>
          <w:rFonts w:hint="eastAsia" w:ascii="宋体" w:hAnsi="宋体" w:eastAsia="宋体" w:cs="宋体"/>
          <w:color w:val="auto"/>
          <w:kern w:val="0"/>
          <w:sz w:val="21"/>
          <w:szCs w:val="21"/>
          <w:shd w:val="clear" w:color="auto" w:fill="FFFFFF"/>
          <w:lang w:val="en-US" w:eastAsia="zh-CN" w:bidi="ar-SA"/>
        </w:rPr>
        <w:t>-</w:t>
      </w:r>
      <w:r>
        <w:rPr>
          <w:rFonts w:hint="eastAsia" w:ascii="宋体" w:hAnsi="宋体" w:cs="宋体"/>
          <w:color w:val="auto"/>
          <w:kern w:val="0"/>
          <w:sz w:val="21"/>
          <w:szCs w:val="21"/>
          <w:shd w:val="clear" w:color="auto" w:fill="FFFFFF"/>
          <w:lang w:val="en-US" w:eastAsia="zh-CN" w:bidi="ar-SA"/>
        </w:rPr>
        <w:t>3383666</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w:t>
      </w:r>
      <w:r>
        <w:rPr>
          <w:rFonts w:hint="eastAsia" w:ascii="宋体" w:hAnsi="宋体" w:cs="宋体"/>
          <w:color w:val="auto"/>
          <w:kern w:val="0"/>
          <w:sz w:val="21"/>
          <w:szCs w:val="21"/>
          <w:highlight w:val="none"/>
          <w:shd w:val="clear" w:color="auto" w:fill="FFFFFF"/>
          <w:lang w:val="en-US" w:eastAsia="zh-CN" w:bidi="ar-SA"/>
        </w:rPr>
        <w:t>26678</w:t>
      </w:r>
    </w:p>
    <w:p>
      <w:pPr>
        <w:pStyle w:val="33"/>
        <w:rPr>
          <w:rFonts w:hint="eastAsia"/>
          <w:color w:val="auto"/>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驻马店市中心医院采购科</w:t>
      </w:r>
    </w:p>
    <w:p>
      <w:pPr>
        <w:pStyle w:val="31"/>
        <w:widowControl/>
        <w:snapToGrid w:val="0"/>
        <w:spacing w:before="0" w:beforeAutospacing="0" w:after="0" w:afterAutospacing="0" w:line="360" w:lineRule="auto"/>
        <w:ind w:firstLine="420" w:firstLineChars="200"/>
        <w:jc w:val="right"/>
        <w:rPr>
          <w:rFonts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shd w:val="clear" w:color="auto" w:fill="FFFFFF"/>
          <w:lang w:val="en-US" w:eastAsia="zh-CN" w:bidi="ar-SA"/>
        </w:rPr>
        <w:t>202</w:t>
      </w:r>
      <w:r>
        <w:rPr>
          <w:rFonts w:hint="eastAsia" w:ascii="宋体" w:hAnsi="宋体" w:cs="宋体"/>
          <w:color w:val="auto"/>
          <w:kern w:val="0"/>
          <w:sz w:val="21"/>
          <w:szCs w:val="21"/>
          <w:shd w:val="clear" w:color="auto" w:fill="FFFFFF"/>
          <w:lang w:val="en-US" w:eastAsia="zh-CN" w:bidi="ar-SA"/>
        </w:rPr>
        <w:t>3</w:t>
      </w:r>
      <w:r>
        <w:rPr>
          <w:rFonts w:hint="eastAsia" w:ascii="宋体" w:hAnsi="宋体" w:eastAsia="宋体" w:cs="宋体"/>
          <w:color w:val="auto"/>
          <w:kern w:val="0"/>
          <w:sz w:val="21"/>
          <w:szCs w:val="21"/>
          <w:shd w:val="clear" w:color="auto" w:fill="FFFFFF"/>
          <w:lang w:val="en-US" w:eastAsia="zh-CN" w:bidi="ar-SA"/>
        </w:rPr>
        <w:t>年</w:t>
      </w:r>
      <w:r>
        <w:rPr>
          <w:rFonts w:hint="eastAsia" w:ascii="宋体" w:hAnsi="宋体" w:cs="宋体"/>
          <w:color w:val="auto"/>
          <w:kern w:val="0"/>
          <w:sz w:val="21"/>
          <w:szCs w:val="21"/>
          <w:shd w:val="clear" w:color="auto" w:fill="FFFFFF"/>
          <w:lang w:val="en-US" w:eastAsia="zh-CN" w:bidi="ar-SA"/>
        </w:rPr>
        <w:t>10</w:t>
      </w:r>
      <w:r>
        <w:rPr>
          <w:rFonts w:hint="eastAsia" w:ascii="宋体" w:hAnsi="宋体" w:eastAsia="宋体" w:cs="宋体"/>
          <w:color w:val="auto"/>
          <w:kern w:val="0"/>
          <w:sz w:val="21"/>
          <w:szCs w:val="21"/>
          <w:shd w:val="clear" w:color="auto" w:fill="FFFFFF"/>
          <w:lang w:val="en-US" w:eastAsia="zh-CN" w:bidi="ar-SA"/>
        </w:rPr>
        <w:t>月</w:t>
      </w:r>
      <w:r>
        <w:rPr>
          <w:rFonts w:hint="eastAsia" w:ascii="宋体" w:hAnsi="宋体" w:cs="宋体"/>
          <w:color w:val="auto"/>
          <w:kern w:val="0"/>
          <w:sz w:val="21"/>
          <w:szCs w:val="21"/>
          <w:highlight w:val="yellow"/>
          <w:shd w:val="clear" w:color="auto" w:fill="FFFFFF"/>
          <w:lang w:val="en-US" w:eastAsia="zh-CN" w:bidi="ar-SA"/>
        </w:rPr>
        <w:t>18</w:t>
      </w:r>
      <w:bookmarkStart w:id="91" w:name="_GoBack"/>
      <w:bookmarkEnd w:id="91"/>
      <w:r>
        <w:rPr>
          <w:rFonts w:hint="eastAsia" w:ascii="宋体" w:hAnsi="宋体" w:eastAsia="宋体" w:cs="宋体"/>
          <w:color w:val="auto"/>
          <w:kern w:val="0"/>
          <w:sz w:val="21"/>
          <w:szCs w:val="21"/>
          <w:highlight w:val="yellow"/>
          <w:shd w:val="clear" w:color="auto" w:fill="FFFFFF"/>
          <w:lang w:val="en-US" w:eastAsia="zh-CN" w:bidi="ar-SA"/>
        </w:rPr>
        <w:t>日</w:t>
      </w:r>
    </w:p>
    <w:p>
      <w:pPr>
        <w:pStyle w:val="31"/>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480" w:firstLineChars="200"/>
        <w:jc w:val="left"/>
        <w:rPr>
          <w:rFonts w:ascii="宋体" w:hAnsi="宋体" w:cs="宋体"/>
          <w:b/>
          <w:color w:val="auto"/>
          <w:sz w:val="24"/>
          <w:highlight w:val="none"/>
        </w:rPr>
      </w:pPr>
      <w:r>
        <w:rPr>
          <w:rFonts w:hint="eastAsia" w:ascii="宋体" w:hAnsi="宋体" w:cs="宋体"/>
          <w:color w:val="auto"/>
          <w:kern w:val="0"/>
          <w:sz w:val="24"/>
          <w:highlight w:val="none"/>
        </w:rPr>
        <w:t>  </w:t>
      </w:r>
    </w:p>
    <w:p>
      <w:pPr>
        <w:rPr>
          <w:b/>
          <w:bCs/>
          <w:color w:val="auto"/>
          <w:sz w:val="24"/>
          <w:highlight w:val="none"/>
        </w:rPr>
      </w:pPr>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34" w:name="_Toc25063"/>
      <w:bookmarkStart w:id="35" w:name="_Toc23793"/>
      <w:bookmarkStart w:id="36" w:name="_Toc29890"/>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23610"/>
      <w:bookmarkStart w:id="39" w:name="_Toc31536"/>
    </w:p>
    <w:bookmarkEnd w:id="37"/>
    <w:bookmarkEnd w:id="38"/>
    <w:bookmarkEnd w:id="39"/>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一、</w:t>
      </w:r>
      <w:r>
        <w:rPr>
          <w:rFonts w:hint="eastAsia" w:ascii="宋体" w:hAnsi="宋体" w:eastAsia="宋体" w:cs="宋体"/>
          <w:color w:val="auto"/>
          <w:kern w:val="2"/>
          <w:sz w:val="21"/>
          <w:szCs w:val="21"/>
          <w:highlight w:val="none"/>
          <w:lang w:val="en-US" w:eastAsia="zh-CN" w:bidi="ar-SA"/>
        </w:rPr>
        <w:t xml:space="preserve">项目名称、数量：污物袋采购       </w:t>
      </w:r>
    </w:p>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项目用途说明：污物袋采购合同即将到期，经医院同意重新进行招标。                                                         </w:t>
      </w:r>
    </w:p>
    <w:tbl>
      <w:tblPr>
        <w:tblStyle w:val="34"/>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736"/>
        <w:gridCol w:w="1473"/>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5"/>
              <w:ind w:left="0" w:leftChars="0"/>
              <w:jc w:val="center"/>
              <w:rPr>
                <w:rFonts w:hint="default" w:ascii="宋体" w:hAnsi="宋体" w:eastAsia="宋体" w:cs="宋体"/>
                <w:b/>
                <w:bCs/>
                <w:color w:val="auto"/>
                <w:sz w:val="21"/>
                <w:szCs w:val="21"/>
                <w:lang w:val="en-US" w:eastAsia="zh-CN"/>
              </w:rPr>
            </w:pPr>
            <w:r>
              <w:rPr>
                <w:rFonts w:hint="eastAsia" w:cs="宋体"/>
                <w:b/>
                <w:bCs/>
                <w:color w:val="auto"/>
                <w:sz w:val="21"/>
                <w:szCs w:val="21"/>
                <w:lang w:val="en-US" w:eastAsia="zh-CN"/>
              </w:rPr>
              <w:t>序号</w:t>
            </w:r>
          </w:p>
        </w:tc>
        <w:tc>
          <w:tcPr>
            <w:tcW w:w="2718"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auto"/>
                <w:sz w:val="21"/>
                <w:szCs w:val="21"/>
              </w:rPr>
            </w:pPr>
            <w:r>
              <w:rPr>
                <w:rFonts w:hint="eastAsia"/>
                <w:b/>
                <w:bCs/>
                <w:sz w:val="24"/>
                <w:szCs w:val="24"/>
                <w:vertAlign w:val="baseline"/>
                <w:lang w:val="en-US" w:eastAsia="zh-CN"/>
              </w:rPr>
              <w:t>产品名称</w:t>
            </w:r>
          </w:p>
        </w:tc>
        <w:tc>
          <w:tcPr>
            <w:tcW w:w="173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auto"/>
                <w:sz w:val="21"/>
                <w:szCs w:val="21"/>
              </w:rPr>
            </w:pPr>
            <w:r>
              <w:rPr>
                <w:rFonts w:hint="eastAsia"/>
                <w:b/>
                <w:bCs/>
                <w:sz w:val="24"/>
                <w:szCs w:val="24"/>
                <w:vertAlign w:val="baseline"/>
                <w:lang w:val="en-US" w:eastAsia="zh-CN"/>
              </w:rPr>
              <w:t>数量</w:t>
            </w:r>
          </w:p>
        </w:tc>
        <w:tc>
          <w:tcPr>
            <w:tcW w:w="1473" w:type="dxa"/>
            <w:tcBorders>
              <w:top w:val="single" w:color="auto" w:sz="4" w:space="0"/>
              <w:left w:val="nil"/>
              <w:bottom w:val="single" w:color="auto" w:sz="4" w:space="0"/>
              <w:right w:val="single" w:color="auto" w:sz="4" w:space="0"/>
            </w:tcBorders>
            <w:vAlign w:val="center"/>
          </w:tcPr>
          <w:p>
            <w:pPr>
              <w:pStyle w:val="15"/>
              <w:ind w:left="0" w:leftChars="0"/>
              <w:jc w:val="center"/>
              <w:rPr>
                <w:rFonts w:hint="eastAsia" w:ascii="宋体" w:hAnsi="宋体" w:eastAsia="宋体" w:cs="宋体"/>
                <w:b/>
                <w:bCs/>
                <w:color w:val="auto"/>
                <w:sz w:val="21"/>
                <w:szCs w:val="21"/>
                <w:lang w:eastAsia="zh-CN"/>
              </w:rPr>
            </w:pPr>
            <w:r>
              <w:rPr>
                <w:rFonts w:hint="eastAsia" w:ascii="宋体" w:hAnsi="宋体"/>
                <w:b/>
                <w:bCs/>
                <w:sz w:val="30"/>
                <w:szCs w:val="30"/>
              </w:rPr>
              <w:t>资金预算</w:t>
            </w:r>
          </w:p>
        </w:tc>
        <w:tc>
          <w:tcPr>
            <w:tcW w:w="2014" w:type="dxa"/>
            <w:tcBorders>
              <w:top w:val="single" w:color="auto" w:sz="4" w:space="0"/>
              <w:left w:val="nil"/>
              <w:bottom w:val="single" w:color="auto" w:sz="4" w:space="0"/>
              <w:right w:val="single" w:color="auto" w:sz="4" w:space="0"/>
            </w:tcBorders>
            <w:vAlign w:val="center"/>
          </w:tcPr>
          <w:p>
            <w:pPr>
              <w:pStyle w:val="15"/>
              <w:ind w:left="0" w:leftChars="0"/>
              <w:jc w:val="center"/>
              <w:rPr>
                <w:rFonts w:hint="eastAsia" w:ascii="宋体" w:hAnsi="宋体" w:eastAsia="宋体" w:cs="宋体"/>
                <w:b/>
                <w:bCs/>
                <w:color w:val="auto"/>
                <w:sz w:val="21"/>
                <w:szCs w:val="21"/>
              </w:rPr>
            </w:pPr>
            <w:r>
              <w:rPr>
                <w:rFonts w:hint="eastAsia" w:ascii="宋体" w:hAnsi="宋体"/>
                <w:b/>
                <w:bCs/>
                <w:sz w:val="30"/>
                <w:szCs w:val="30"/>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top"/>
          </w:tcPr>
          <w:p>
            <w:pPr>
              <w:pStyle w:val="15"/>
              <w:jc w:val="center"/>
              <w:rPr>
                <w:rFonts w:hint="default" w:ascii="宋体" w:hAnsi="宋体" w:eastAsia="宋体" w:cs="宋体"/>
                <w:color w:val="auto"/>
                <w:sz w:val="21"/>
                <w:szCs w:val="21"/>
                <w:lang w:val="en-US" w:eastAsia="zh-CN"/>
              </w:rPr>
            </w:pPr>
            <w:r>
              <w:rPr>
                <w:rFonts w:hint="eastAsia" w:ascii="宋体" w:hAnsi="宋体"/>
                <w:sz w:val="24"/>
                <w:szCs w:val="24"/>
                <w:lang w:val="en-US" w:eastAsia="zh-CN"/>
              </w:rPr>
              <w:t>1</w:t>
            </w:r>
          </w:p>
        </w:tc>
        <w:tc>
          <w:tcPr>
            <w:tcW w:w="2718" w:type="dxa"/>
            <w:tcBorders>
              <w:top w:val="single" w:color="auto" w:sz="4" w:space="0"/>
              <w:left w:val="nil"/>
              <w:bottom w:val="single" w:color="auto" w:sz="4" w:space="0"/>
              <w:right w:val="single" w:color="auto" w:sz="4" w:space="0"/>
            </w:tcBorders>
            <w:vAlign w:val="center"/>
          </w:tcPr>
          <w:p>
            <w:pPr>
              <w:jc w:val="center"/>
              <w:rPr>
                <w:rFonts w:hint="eastAsia" w:cs="宋体"/>
                <w:color w:val="auto"/>
                <w:sz w:val="21"/>
                <w:szCs w:val="21"/>
                <w:lang w:val="en-US" w:eastAsia="zh-CN"/>
              </w:rPr>
            </w:pPr>
            <w:r>
              <w:rPr>
                <w:rFonts w:hint="eastAsia" w:cs="宋体"/>
                <w:color w:val="auto"/>
                <w:sz w:val="21"/>
                <w:szCs w:val="21"/>
                <w:lang w:val="en-US" w:eastAsia="zh-CN"/>
              </w:rPr>
              <w:t>污物袋采购</w:t>
            </w:r>
          </w:p>
        </w:tc>
        <w:tc>
          <w:tcPr>
            <w:tcW w:w="1736" w:type="dxa"/>
            <w:tcBorders>
              <w:top w:val="single" w:color="auto" w:sz="4" w:space="0"/>
              <w:left w:val="nil"/>
              <w:bottom w:val="single" w:color="auto" w:sz="4" w:space="0"/>
              <w:right w:val="single" w:color="auto" w:sz="4" w:space="0"/>
            </w:tcBorders>
            <w:vAlign w:val="center"/>
          </w:tcPr>
          <w:p>
            <w:pPr>
              <w:jc w:val="center"/>
              <w:rPr>
                <w:rFonts w:hint="eastAsia" w:cs="宋体"/>
                <w:color w:val="auto"/>
                <w:sz w:val="21"/>
                <w:szCs w:val="21"/>
                <w:lang w:val="en-US" w:eastAsia="zh-CN"/>
              </w:rPr>
            </w:pPr>
            <w:r>
              <w:rPr>
                <w:rFonts w:hint="eastAsia" w:ascii="宋体" w:hAnsi="宋体"/>
                <w:sz w:val="24"/>
                <w:szCs w:val="24"/>
                <w:lang w:val="en-US" w:eastAsia="zh-CN"/>
              </w:rPr>
              <w:t>详见清单</w:t>
            </w:r>
          </w:p>
        </w:tc>
        <w:tc>
          <w:tcPr>
            <w:tcW w:w="1473" w:type="dxa"/>
            <w:tcBorders>
              <w:top w:val="single" w:color="auto" w:sz="4" w:space="0"/>
              <w:left w:val="nil"/>
              <w:bottom w:val="single" w:color="auto" w:sz="4" w:space="0"/>
              <w:right w:val="single" w:color="auto" w:sz="4" w:space="0"/>
            </w:tcBorders>
            <w:vAlign w:val="center"/>
          </w:tcPr>
          <w:p>
            <w:pPr>
              <w:pStyle w:val="15"/>
              <w:ind w:left="0" w:leftChars="0" w:firstLine="0" w:firstLineChars="0"/>
              <w:jc w:val="both"/>
              <w:rPr>
                <w:rFonts w:hint="default" w:cs="宋体"/>
                <w:color w:val="auto"/>
                <w:sz w:val="21"/>
                <w:szCs w:val="21"/>
                <w:lang w:val="en-US" w:eastAsia="zh-CN"/>
              </w:rPr>
            </w:pPr>
            <w:r>
              <w:rPr>
                <w:rFonts w:hint="eastAsia" w:ascii="宋体" w:hAnsi="宋体"/>
                <w:sz w:val="24"/>
                <w:szCs w:val="24"/>
                <w:lang w:val="en-US" w:eastAsia="zh-CN"/>
              </w:rPr>
              <w:t>45万元</w:t>
            </w:r>
          </w:p>
        </w:tc>
        <w:tc>
          <w:tcPr>
            <w:tcW w:w="2014" w:type="dxa"/>
            <w:tcBorders>
              <w:top w:val="single" w:color="auto" w:sz="4" w:space="0"/>
              <w:left w:val="nil"/>
              <w:bottom w:val="single" w:color="auto" w:sz="4" w:space="0"/>
              <w:right w:val="single" w:color="auto" w:sz="4" w:space="0"/>
            </w:tcBorders>
            <w:vAlign w:val="center"/>
          </w:tcPr>
          <w:p>
            <w:pPr>
              <w:pStyle w:val="15"/>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759" w:type="dxa"/>
            <w:gridSpan w:val="2"/>
            <w:tcBorders>
              <w:top w:val="single" w:color="auto" w:sz="4" w:space="0"/>
              <w:left w:val="single" w:color="auto" w:sz="4" w:space="0"/>
              <w:bottom w:val="single" w:color="auto" w:sz="4" w:space="0"/>
              <w:right w:val="single" w:color="auto" w:sz="4" w:space="0"/>
            </w:tcBorders>
            <w:vAlign w:val="top"/>
          </w:tcPr>
          <w:p>
            <w:pPr>
              <w:jc w:val="center"/>
              <w:rPr>
                <w:rFonts w:hint="eastAsia" w:cs="宋体"/>
                <w:color w:val="auto"/>
                <w:sz w:val="21"/>
                <w:szCs w:val="21"/>
                <w:lang w:val="en-US" w:eastAsia="zh-CN"/>
              </w:rPr>
            </w:pPr>
            <w:r>
              <w:rPr>
                <w:rFonts w:hint="eastAsia" w:cs="宋体"/>
                <w:color w:val="auto"/>
                <w:sz w:val="21"/>
                <w:szCs w:val="21"/>
                <w:lang w:val="en-US" w:eastAsia="zh-CN"/>
              </w:rPr>
              <w:t>备注</w:t>
            </w:r>
          </w:p>
        </w:tc>
        <w:tc>
          <w:tcPr>
            <w:tcW w:w="1736" w:type="dxa"/>
            <w:tcBorders>
              <w:top w:val="single" w:color="auto" w:sz="4" w:space="0"/>
              <w:left w:val="nil"/>
              <w:bottom w:val="single" w:color="auto" w:sz="4" w:space="0"/>
              <w:right w:val="single" w:color="auto" w:sz="4" w:space="0"/>
            </w:tcBorders>
            <w:vAlign w:val="center"/>
          </w:tcPr>
          <w:p>
            <w:pPr>
              <w:jc w:val="center"/>
              <w:rPr>
                <w:rFonts w:hint="eastAsia" w:ascii="宋体" w:hAnsi="宋体"/>
                <w:sz w:val="24"/>
                <w:szCs w:val="24"/>
                <w:lang w:val="en-US" w:eastAsia="zh-CN"/>
              </w:rPr>
            </w:pPr>
            <w:r>
              <w:rPr>
                <w:rFonts w:hint="eastAsia" w:ascii="宋体" w:hAnsi="宋体"/>
                <w:lang w:val="en-US" w:eastAsia="zh-CN"/>
              </w:rPr>
              <w:t>招一家供应商</w:t>
            </w:r>
          </w:p>
        </w:tc>
        <w:tc>
          <w:tcPr>
            <w:tcW w:w="1473" w:type="dxa"/>
            <w:tcBorders>
              <w:top w:val="single" w:color="auto" w:sz="4" w:space="0"/>
              <w:left w:val="nil"/>
              <w:bottom w:val="single" w:color="auto" w:sz="4" w:space="0"/>
              <w:right w:val="single" w:color="auto" w:sz="4" w:space="0"/>
            </w:tcBorders>
            <w:vAlign w:val="center"/>
          </w:tcPr>
          <w:p>
            <w:pPr>
              <w:pStyle w:val="15"/>
              <w:ind w:left="0" w:leftChars="0" w:firstLine="0" w:firstLineChars="0"/>
              <w:jc w:val="both"/>
              <w:rPr>
                <w:rFonts w:hint="eastAsia" w:ascii="宋体" w:hAnsi="宋体"/>
                <w:sz w:val="24"/>
                <w:szCs w:val="24"/>
                <w:lang w:val="en-US" w:eastAsia="zh-CN"/>
              </w:rPr>
            </w:pPr>
          </w:p>
        </w:tc>
        <w:tc>
          <w:tcPr>
            <w:tcW w:w="2014" w:type="dxa"/>
            <w:tcBorders>
              <w:top w:val="single" w:color="auto" w:sz="4" w:space="0"/>
              <w:left w:val="nil"/>
              <w:bottom w:val="single" w:color="auto" w:sz="4" w:space="0"/>
              <w:right w:val="single" w:color="auto" w:sz="4" w:space="0"/>
            </w:tcBorders>
            <w:vAlign w:val="center"/>
          </w:tcPr>
          <w:p>
            <w:pPr>
              <w:pStyle w:val="15"/>
              <w:ind w:left="0" w:leftChars="0" w:firstLine="0" w:firstLineChars="0"/>
              <w:jc w:val="center"/>
              <w:rPr>
                <w:rFonts w:hint="eastAsia" w:ascii="宋体" w:hAnsi="宋体"/>
                <w:lang w:val="en-US" w:eastAsia="zh-CN"/>
              </w:rPr>
            </w:pPr>
          </w:p>
        </w:tc>
      </w:tr>
    </w:tbl>
    <w:p>
      <w:pPr>
        <w:jc w:val="center"/>
        <w:rPr>
          <w:rFonts w:hint="eastAsia"/>
          <w:b/>
          <w:bCs/>
          <w:sz w:val="36"/>
          <w:szCs w:val="36"/>
          <w:lang w:eastAsia="zh-CN"/>
        </w:rPr>
      </w:pPr>
    </w:p>
    <w:p>
      <w:pPr>
        <w:jc w:val="center"/>
        <w:rPr>
          <w:rFonts w:hint="default"/>
          <w:b/>
          <w:bCs/>
          <w:sz w:val="36"/>
          <w:szCs w:val="36"/>
          <w:lang w:val="en-US" w:eastAsia="zh-CN"/>
        </w:rPr>
      </w:pPr>
      <w:r>
        <w:rPr>
          <w:rFonts w:hint="eastAsia"/>
          <w:b/>
          <w:bCs/>
          <w:sz w:val="36"/>
          <w:szCs w:val="36"/>
          <w:lang w:eastAsia="zh-CN"/>
        </w:rPr>
        <w:t>污物袋采购</w:t>
      </w:r>
      <w:r>
        <w:rPr>
          <w:rFonts w:hint="eastAsia"/>
          <w:b/>
          <w:bCs/>
          <w:sz w:val="36"/>
          <w:szCs w:val="36"/>
          <w:lang w:val="en-US" w:eastAsia="zh-CN"/>
        </w:rPr>
        <w:t>清单</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b w:val="0"/>
          <w:bCs w:val="0"/>
          <w:sz w:val="28"/>
          <w:szCs w:val="28"/>
          <w:lang w:eastAsia="zh-CN"/>
        </w:rPr>
      </w:pPr>
    </w:p>
    <w:tbl>
      <w:tblPr>
        <w:tblStyle w:val="35"/>
        <w:tblW w:w="9570"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6"/>
        <w:gridCol w:w="1746"/>
        <w:gridCol w:w="1154"/>
        <w:gridCol w:w="1694"/>
        <w:gridCol w:w="143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286" w:type="dxa"/>
            <w:noWrap w:val="0"/>
            <w:vAlign w:val="center"/>
          </w:tcPr>
          <w:p>
            <w:pPr>
              <w:widowControl/>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rPr>
              <w:t>品  名</w:t>
            </w:r>
          </w:p>
        </w:tc>
        <w:tc>
          <w:tcPr>
            <w:tcW w:w="1746" w:type="dxa"/>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规格 </w:t>
            </w:r>
          </w:p>
          <w:p>
            <w:pPr>
              <w:widowControl/>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rPr>
              <w:t>长/宽（cm</w:t>
            </w:r>
            <w:r>
              <w:rPr>
                <w:rFonts w:ascii="宋体" w:hAnsi="宋体" w:eastAsia="宋体" w:cs="宋体"/>
                <w:b/>
                <w:bCs/>
                <w:kern w:val="0"/>
                <w:sz w:val="24"/>
                <w:szCs w:val="24"/>
              </w:rPr>
              <w:t>）</w:t>
            </w:r>
          </w:p>
        </w:tc>
        <w:tc>
          <w:tcPr>
            <w:tcW w:w="1154" w:type="dxa"/>
            <w:noWrap w:val="0"/>
            <w:vAlign w:val="center"/>
          </w:tcPr>
          <w:p>
            <w:pPr>
              <w:widowControl/>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rPr>
              <w:t>单位</w:t>
            </w:r>
          </w:p>
        </w:tc>
        <w:tc>
          <w:tcPr>
            <w:tcW w:w="1694" w:type="dxa"/>
            <w:noWrap w:val="0"/>
            <w:vAlign w:val="center"/>
          </w:tcPr>
          <w:p>
            <w:pPr>
              <w:widowControl/>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每把重量</w:t>
            </w:r>
          </w:p>
          <w:p>
            <w:pPr>
              <w:widowControl/>
              <w:jc w:val="center"/>
              <w:rPr>
                <w:rFonts w:hint="default"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w:t>
            </w:r>
            <w:r>
              <w:rPr>
                <w:rFonts w:hint="default" w:ascii="Arial" w:hAnsi="Arial" w:eastAsia="宋体" w:cs="Arial"/>
                <w:b/>
                <w:bCs/>
                <w:kern w:val="0"/>
                <w:sz w:val="24"/>
                <w:szCs w:val="24"/>
                <w:lang w:val="en-US" w:eastAsia="zh-CN" w:bidi="ar-SA"/>
              </w:rPr>
              <w:t>≥</w:t>
            </w:r>
            <w:r>
              <w:rPr>
                <w:rFonts w:hint="eastAsia" w:ascii="宋体" w:hAnsi="宋体" w:eastAsia="宋体" w:cs="宋体"/>
                <w:b/>
                <w:bCs/>
                <w:kern w:val="0"/>
                <w:sz w:val="24"/>
                <w:szCs w:val="24"/>
                <w:lang w:val="en-US" w:eastAsia="zh-CN" w:bidi="ar-SA"/>
              </w:rPr>
              <w:t>克）</w:t>
            </w:r>
          </w:p>
        </w:tc>
        <w:tc>
          <w:tcPr>
            <w:tcW w:w="1430" w:type="dxa"/>
            <w:noWrap w:val="0"/>
            <w:vAlign w:val="center"/>
          </w:tcPr>
          <w:p>
            <w:pPr>
              <w:widowControl/>
              <w:jc w:val="center"/>
              <w:rPr>
                <w:rFonts w:hint="eastAsia" w:ascii="宋体" w:hAnsi="宋体" w:cs="宋体"/>
                <w:b/>
                <w:bCs/>
                <w:kern w:val="0"/>
                <w:sz w:val="24"/>
                <w:szCs w:val="24"/>
                <w:lang w:val="en-US" w:eastAsia="zh-CN" w:bidi="ar-SA"/>
              </w:rPr>
            </w:pPr>
            <w:r>
              <w:rPr>
                <w:rFonts w:hint="eastAsia" w:ascii="宋体" w:hAnsi="宋体" w:cs="宋体"/>
                <w:b/>
                <w:bCs/>
                <w:kern w:val="0"/>
                <w:sz w:val="24"/>
                <w:szCs w:val="24"/>
                <w:lang w:val="en-US" w:eastAsia="zh-CN" w:bidi="ar-SA"/>
              </w:rPr>
              <w:t>控制价</w:t>
            </w:r>
          </w:p>
          <w:p>
            <w:pPr>
              <w:jc w:val="center"/>
              <w:rPr>
                <w:rFonts w:hint="eastAsia"/>
                <w:b/>
                <w:bCs/>
                <w:sz w:val="24"/>
                <w:szCs w:val="24"/>
                <w:vertAlign w:val="baseline"/>
                <w:lang w:eastAsia="zh-CN"/>
              </w:rPr>
            </w:pPr>
            <w:r>
              <w:rPr>
                <w:rFonts w:hint="eastAsia" w:ascii="宋体" w:hAnsi="宋体" w:cs="宋体"/>
                <w:b/>
                <w:bCs/>
                <w:kern w:val="0"/>
                <w:sz w:val="24"/>
                <w:szCs w:val="24"/>
                <w:lang w:val="en-US" w:eastAsia="zh-CN" w:bidi="ar-SA"/>
              </w:rPr>
              <w:t>（元）</w:t>
            </w:r>
          </w:p>
        </w:tc>
        <w:tc>
          <w:tcPr>
            <w:tcW w:w="1260" w:type="dxa"/>
            <w:noWrap w:val="0"/>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36#黑污物袋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36*52</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450</w:t>
            </w:r>
          </w:p>
        </w:tc>
        <w:tc>
          <w:tcPr>
            <w:tcW w:w="14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50/把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65#黑污物袋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65*110</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1650</w:t>
            </w:r>
          </w:p>
        </w:tc>
        <w:tc>
          <w:tcPr>
            <w:tcW w:w="14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50/把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65#黄污物袋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65*110</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1650</w:t>
            </w:r>
          </w:p>
        </w:tc>
        <w:tc>
          <w:tcPr>
            <w:tcW w:w="14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41</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50/把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40#黄污物袋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40*75</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1500</w:t>
            </w:r>
          </w:p>
        </w:tc>
        <w:tc>
          <w:tcPr>
            <w:tcW w:w="14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39</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100/把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30#白污物袋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30*52</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700</w:t>
            </w:r>
          </w:p>
        </w:tc>
        <w:tc>
          <w:tcPr>
            <w:tcW w:w="14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100/把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26#黄污物袋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26*34</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400</w:t>
            </w:r>
          </w:p>
        </w:tc>
        <w:tc>
          <w:tcPr>
            <w:tcW w:w="14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100/把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大白药袋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29.5*5</w:t>
            </w:r>
            <w:r>
              <w:rPr>
                <w:rFonts w:hint="eastAsia" w:ascii="宋体" w:hAnsi="宋体" w:eastAsia="宋体" w:cs="宋体"/>
                <w:kern w:val="0"/>
                <w:sz w:val="24"/>
                <w:szCs w:val="24"/>
                <w:lang w:val="en-US" w:eastAsia="zh-CN"/>
              </w:rPr>
              <w:t>0</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700</w:t>
            </w:r>
          </w:p>
        </w:tc>
        <w:tc>
          <w:tcPr>
            <w:tcW w:w="14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50/把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小白药袋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19.5*37</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400</w:t>
            </w:r>
          </w:p>
        </w:tc>
        <w:tc>
          <w:tcPr>
            <w:tcW w:w="14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50/把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40#白污物袋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40*70</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750</w:t>
            </w:r>
          </w:p>
        </w:tc>
        <w:tc>
          <w:tcPr>
            <w:tcW w:w="14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50/把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60#白污物袋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60*100</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1500</w:t>
            </w:r>
          </w:p>
        </w:tc>
        <w:tc>
          <w:tcPr>
            <w:tcW w:w="14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39</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50/把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26#白污物袋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26*40</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400</w:t>
            </w:r>
          </w:p>
        </w:tc>
        <w:tc>
          <w:tcPr>
            <w:tcW w:w="143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100/把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一次性床单</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90x200</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个</w:t>
            </w:r>
          </w:p>
        </w:tc>
        <w:tc>
          <w:tcPr>
            <w:tcW w:w="169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4500</w:t>
            </w:r>
          </w:p>
        </w:tc>
        <w:tc>
          <w:tcPr>
            <w:tcW w:w="14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cs="宋体"/>
                <w:kern w:val="0"/>
                <w:sz w:val="24"/>
                <w:szCs w:val="24"/>
                <w:lang w:val="en-US" w:eastAsia="zh-CN"/>
              </w:rPr>
            </w:pPr>
            <w:r>
              <w:rPr>
                <w:rFonts w:hint="eastAsia" w:ascii="宋体" w:hAnsi="宋体" w:eastAsia="宋体" w:cs="宋体"/>
                <w:kern w:val="0"/>
                <w:sz w:val="24"/>
                <w:szCs w:val="24"/>
                <w:lang w:val="en-US" w:eastAsia="zh-CN"/>
              </w:rPr>
              <w:t>50</w:t>
            </w:r>
            <w:r>
              <w:rPr>
                <w:rFonts w:hint="eastAsia" w:ascii="宋体" w:hAnsi="宋体" w:eastAsia="宋体" w:cs="宋体"/>
                <w:kern w:val="0"/>
                <w:sz w:val="24"/>
                <w:szCs w:val="24"/>
              </w:rPr>
              <w:t>#黑污物袋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50x80</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1000</w:t>
            </w:r>
          </w:p>
        </w:tc>
        <w:tc>
          <w:tcPr>
            <w:tcW w:w="143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50/把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白药袋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20x37</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400</w:t>
            </w:r>
          </w:p>
        </w:tc>
        <w:tc>
          <w:tcPr>
            <w:tcW w:w="143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100/把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白药袋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30x50</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700</w:t>
            </w:r>
          </w:p>
        </w:tc>
        <w:tc>
          <w:tcPr>
            <w:tcW w:w="143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100/把</w:t>
            </w:r>
          </w:p>
        </w:tc>
      </w:tr>
    </w:tbl>
    <w:p>
      <w:pPr>
        <w:snapToGrid/>
        <w:spacing w:before="0" w:beforeAutospacing="0" w:after="0" w:afterAutospacing="0" w:line="360" w:lineRule="auto"/>
        <w:jc w:val="center"/>
        <w:textAlignment w:val="baseline"/>
        <w:rPr>
          <w:b/>
          <w:bCs/>
          <w:color w:val="auto"/>
          <w:sz w:val="30"/>
          <w:szCs w:val="30"/>
          <w:highlight w:val="none"/>
        </w:rPr>
      </w:pPr>
      <w:r>
        <w:rPr>
          <w:rFonts w:hint="eastAsia" w:ascii="宋体" w:hAnsi="宋体" w:eastAsia="宋体" w:cs="宋体"/>
          <w:color w:val="auto"/>
          <w:kern w:val="2"/>
          <w:sz w:val="21"/>
          <w:szCs w:val="24"/>
          <w:lang w:val="en-US" w:eastAsia="zh-CN" w:bidi="ar-SA"/>
        </w:rPr>
        <w:br w:type="page"/>
      </w:r>
      <w:bookmarkEnd w:id="35"/>
      <w:bookmarkEnd w:id="36"/>
      <w:r>
        <w:rPr>
          <w:rFonts w:hint="eastAsia"/>
          <w:b/>
          <w:bCs/>
          <w:color w:val="auto"/>
          <w:sz w:val="30"/>
          <w:szCs w:val="30"/>
          <w:highlight w:val="none"/>
        </w:rPr>
        <w:t>商务要求</w:t>
      </w:r>
    </w:p>
    <w:tbl>
      <w:tblPr>
        <w:tblStyle w:val="34"/>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7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日历天</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Ansi="宋体" w:cs="宋体"/>
                <w:color w:val="auto"/>
                <w:kern w:val="0"/>
                <w:szCs w:val="21"/>
                <w:highlight w:val="none"/>
              </w:rPr>
            </w:pPr>
            <w:r>
              <w:rPr>
                <w:rFonts w:hint="eastAsia" w:ascii="宋体" w:hAnsi="宋体"/>
                <w:color w:val="auto"/>
                <w:kern w:val="0"/>
                <w:szCs w:val="21"/>
                <w:highlight w:val="none"/>
              </w:rPr>
              <w:t>售后技术服务要求、售后服务保障要求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中标人须提供后期服务保障和技术支持。</w:t>
            </w:r>
          </w:p>
        </w:tc>
      </w:tr>
    </w:tbl>
    <w:p>
      <w:pPr>
        <w:pStyle w:val="33"/>
        <w:ind w:firstLine="0" w:firstLineChars="0"/>
        <w:rPr>
          <w:color w:val="auto"/>
          <w:highlight w:val="none"/>
        </w:rPr>
      </w:pPr>
    </w:p>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4"/>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pPr>
            <w:r>
              <w:rPr>
                <w:rFonts w:hint="eastAsia"/>
                <w:lang w:val="en-US" w:eastAsia="zh-CN"/>
              </w:rPr>
              <w:t>2</w:t>
            </w:r>
            <w:r>
              <w:rPr>
                <w:rFonts w:hint="eastAsia"/>
              </w:rPr>
              <w:t>、授权评标委员会确定一名中标人并推荐</w:t>
            </w:r>
            <w:r>
              <w:rPr>
                <w:rFonts w:hint="eastAsia"/>
                <w:lang w:eastAsia="zh-CN"/>
              </w:rPr>
              <w:t>一</w:t>
            </w:r>
            <w:r>
              <w:rPr>
                <w:rFonts w:hint="eastAsia"/>
              </w:rPr>
              <w:t>名中标候选人。</w:t>
            </w:r>
          </w:p>
          <w:p>
            <w:pPr>
              <w:widowControl/>
              <w:snapToGrid w:val="0"/>
              <w:spacing w:line="360" w:lineRule="auto"/>
              <w:rPr>
                <w:rFonts w:hint="eastAsia" w:eastAsia="黑体"/>
                <w:lang w:val="en-US" w:eastAsia="zh-CN"/>
              </w:rPr>
            </w:pPr>
            <w:r>
              <w:rPr>
                <w:rFonts w:hint="eastAsia"/>
                <w:lang w:val="en-US" w:eastAsia="zh-CN"/>
              </w:rPr>
              <w:t>3</w:t>
            </w:r>
            <w:r>
              <w:rPr>
                <w:rFonts w:hint="eastAsia"/>
              </w:rPr>
              <w:t>、供应商应根据</w:t>
            </w:r>
            <w:r>
              <w:rPr>
                <w:rFonts w:hint="eastAsia"/>
                <w:lang w:eastAsia="zh-CN"/>
              </w:rPr>
              <w:t>采购</w:t>
            </w:r>
            <w:r>
              <w:rPr>
                <w:rFonts w:hint="eastAsia"/>
              </w:rPr>
              <w:t>文件的要求提供</w:t>
            </w:r>
            <w:r>
              <w:rPr>
                <w:rFonts w:hint="eastAsia"/>
                <w:lang w:val="en-US" w:eastAsia="zh-CN"/>
              </w:rPr>
              <w:t>技术响应部分、商务响应部分</w:t>
            </w:r>
            <w:r>
              <w:rPr>
                <w:rFonts w:hint="eastAsia"/>
              </w:rPr>
              <w:t>等内容以对</w:t>
            </w:r>
            <w:r>
              <w:rPr>
                <w:rFonts w:hint="eastAsia"/>
                <w:lang w:eastAsia="zh-CN"/>
              </w:rPr>
              <w:t>采购</w:t>
            </w:r>
            <w:r>
              <w:rPr>
                <w:rFonts w:hint="eastAsia"/>
              </w:rPr>
              <w:t>文件作出响应。</w:t>
            </w:r>
          </w:p>
        </w:tc>
      </w:tr>
    </w:tbl>
    <w:p>
      <w:pPr>
        <w:rPr>
          <w:color w:val="auto"/>
          <w:highlight w:val="none"/>
        </w:rPr>
      </w:pPr>
    </w:p>
    <w:p>
      <w:pPr>
        <w:rPr>
          <w:color w:val="auto"/>
          <w:highlight w:val="none"/>
        </w:rPr>
      </w:pPr>
    </w:p>
    <w:p>
      <w:pPr>
        <w:rPr>
          <w:color w:val="auto"/>
          <w:sz w:val="32"/>
          <w:szCs w:val="32"/>
          <w:highlight w:val="none"/>
        </w:rPr>
      </w:pPr>
      <w:r>
        <w:rPr>
          <w:color w:val="auto"/>
          <w:sz w:val="32"/>
          <w:szCs w:val="32"/>
          <w:highlight w:val="none"/>
        </w:rPr>
        <w:br w:type="page"/>
      </w:r>
    </w:p>
    <w:p>
      <w:pPr>
        <w:rPr>
          <w:color w:val="auto"/>
          <w:highlight w:val="none"/>
        </w:rPr>
      </w:pPr>
    </w:p>
    <w:p>
      <w:pPr>
        <w:pStyle w:val="3"/>
        <w:spacing w:before="0" w:after="0" w:line="240" w:lineRule="atLeast"/>
        <w:jc w:val="center"/>
        <w:rPr>
          <w:color w:val="auto"/>
          <w:sz w:val="32"/>
          <w:szCs w:val="32"/>
          <w:highlight w:val="none"/>
        </w:rPr>
      </w:pPr>
      <w:bookmarkStart w:id="40" w:name="_Toc14504"/>
      <w:r>
        <w:rPr>
          <w:rFonts w:hint="eastAsia"/>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4"/>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rPr>
            </w:pPr>
            <w:r>
              <w:rPr>
                <w:rFonts w:hint="eastAsia"/>
                <w:color w:val="auto"/>
                <w:highlight w:val="none"/>
              </w:rPr>
              <w:t>1.1 项目名称：</w:t>
            </w:r>
            <w:r>
              <w:rPr>
                <w:rFonts w:hint="eastAsia" w:ascii="宋体" w:hAnsi="宋体" w:cs="宋体"/>
                <w:color w:val="auto"/>
                <w:lang w:eastAsia="zh-CN"/>
              </w:rPr>
              <w:t>驻马店市中心医院</w:t>
            </w:r>
            <w:r>
              <w:rPr>
                <w:rFonts w:hint="eastAsia" w:ascii="宋体" w:hAnsi="宋体" w:cs="宋体"/>
                <w:color w:val="auto"/>
                <w:lang w:val="en-US" w:eastAsia="zh-CN"/>
              </w:rPr>
              <w:t>污物袋采购</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color w:val="auto"/>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val="en-US" w:eastAsia="zh-CN"/>
              </w:rPr>
              <w:t>45万</w:t>
            </w:r>
            <w:r>
              <w:rPr>
                <w:rFonts w:hint="eastAsia" w:ascii="宋体" w:hAnsi="宋体" w:eastAsia="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auto"/>
              </w:rPr>
            </w:pPr>
            <w:r>
              <w:rPr>
                <w:rFonts w:hint="eastAsia"/>
                <w:color w:val="auto"/>
              </w:rPr>
              <w:t>投标文件组成：纸质投标文件正本1份</w:t>
            </w:r>
            <w:r>
              <w:rPr>
                <w:rFonts w:hint="eastAsia"/>
                <w:color w:val="auto"/>
                <w:lang w:eastAsia="zh-CN"/>
              </w:rPr>
              <w:t>、</w:t>
            </w:r>
            <w:r>
              <w:rPr>
                <w:rFonts w:hint="eastAsia"/>
                <w:color w:val="auto"/>
                <w:lang w:val="en-US" w:eastAsia="zh-CN"/>
              </w:rPr>
              <w:t>副本2份</w:t>
            </w:r>
            <w:r>
              <w:rPr>
                <w:rFonts w:hint="eastAsia"/>
                <w:color w:val="auto"/>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lang w:eastAsia="zh-CN"/>
              </w:rPr>
              <w:t>天</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3.本次采购预算为</w:t>
      </w:r>
      <w:r>
        <w:rPr>
          <w:rFonts w:hint="eastAsia" w:ascii="宋体" w:hAnsi="宋体" w:cs="宋体"/>
          <w:b/>
          <w:bCs/>
          <w:color w:val="auto"/>
          <w:kern w:val="0"/>
          <w:szCs w:val="21"/>
          <w:highlight w:val="none"/>
          <w:lang w:val="en-US" w:eastAsia="zh-CN"/>
        </w:rPr>
        <w:t>45万</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4.2 </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w:t>
      </w:r>
      <w:r>
        <w:rPr>
          <w:rFonts w:hint="eastAsia" w:ascii="宋体" w:hAnsi="宋体" w:eastAsia="宋体" w:cs="宋体"/>
          <w:b w:val="0"/>
          <w:bCs w:val="0"/>
          <w:color w:val="auto"/>
          <w:kern w:val="2"/>
          <w:sz w:val="21"/>
          <w:szCs w:val="21"/>
          <w:shd w:val="clear" w:color="auto" w:fill="FFFFFF"/>
          <w:lang w:val="en-US" w:eastAsia="zh-CN" w:bidi="ar-SA"/>
        </w:rPr>
        <w:t>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4.3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ascii="宋体" w:hAnsi="宋体" w:eastAsia="宋体" w:cs="宋体"/>
          <w:b w:val="0"/>
          <w:bCs w:val="0"/>
          <w:color w:val="auto"/>
          <w:kern w:val="2"/>
          <w:sz w:val="21"/>
          <w:szCs w:val="21"/>
          <w:shd w:val="clear" w:color="auto" w:fill="FFFFFF"/>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企业信用记录的网页</w:t>
      </w:r>
      <w:r>
        <w:rPr>
          <w:rFonts w:hint="eastAsia" w:ascii="宋体" w:hAnsi="宋体" w:cs="宋体"/>
          <w:b w:val="0"/>
          <w:bCs w:val="0"/>
          <w:color w:val="auto"/>
          <w:kern w:val="2"/>
          <w:sz w:val="21"/>
          <w:szCs w:val="21"/>
          <w:shd w:val="clear" w:color="auto" w:fill="FFFFFF"/>
          <w:lang w:val="en-US" w:eastAsia="zh-CN" w:bidi="ar-SA"/>
        </w:rPr>
        <w:t>查询证明</w:t>
      </w:r>
      <w:r>
        <w:rPr>
          <w:rFonts w:hint="eastAsia" w:ascii="宋体" w:hAnsi="宋体" w:eastAsia="宋体" w:cs="宋体"/>
          <w:b w:val="0"/>
          <w:bCs w:val="0"/>
          <w:color w:val="auto"/>
          <w:kern w:val="2"/>
          <w:sz w:val="21"/>
          <w:szCs w:val="21"/>
          <w:shd w:val="clear" w:color="auto" w:fill="FFFFFF"/>
          <w:lang w:val="en-US" w:eastAsia="zh-CN" w:bidi="ar-SA"/>
        </w:rPr>
        <w:t>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投标报价明细表（格式）</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14"/>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 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lang w:eastAsia="zh-CN"/>
        </w:rPr>
      </w:pPr>
      <w:r>
        <w:rPr>
          <w:rFonts w:hint="eastAsia"/>
          <w:color w:val="auto"/>
          <w:lang w:eastAsia="zh-CN"/>
        </w:rPr>
        <w:t>2</w:t>
      </w:r>
      <w:r>
        <w:rPr>
          <w:rFonts w:hint="eastAsia"/>
          <w:color w:val="auto"/>
          <w:lang w:val="en-US" w:eastAsia="zh-CN"/>
        </w:rPr>
        <w:t>1</w:t>
      </w:r>
      <w:r>
        <w:rPr>
          <w:rFonts w:hint="eastAsia"/>
          <w:color w:val="auto"/>
          <w:lang w:eastAsia="zh-CN"/>
        </w:rPr>
        <w:t>.3 未按本章第2</w:t>
      </w:r>
      <w:r>
        <w:rPr>
          <w:rFonts w:hint="eastAsia"/>
          <w:color w:val="auto"/>
          <w:lang w:val="en-US" w:eastAsia="zh-CN"/>
        </w:rPr>
        <w:t>1</w:t>
      </w:r>
      <w:r>
        <w:rPr>
          <w:rFonts w:hint="eastAsia"/>
          <w:color w:val="auto"/>
          <w:lang w:eastAsia="zh-CN"/>
        </w:rPr>
        <w:t>.1项或第2</w:t>
      </w:r>
      <w:r>
        <w:rPr>
          <w:rFonts w:hint="eastAsia"/>
          <w:color w:val="auto"/>
          <w:lang w:val="en-US" w:eastAsia="zh-CN"/>
        </w:rPr>
        <w:t>1</w:t>
      </w:r>
      <w:r>
        <w:rPr>
          <w:rFonts w:hint="eastAsia"/>
          <w:color w:val="auto"/>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（4）投标有效期、质</w:t>
      </w:r>
      <w:r>
        <w:rPr>
          <w:rFonts w:hint="eastAsia" w:ascii="宋体" w:hAnsi="宋体"/>
          <w:color w:val="auto"/>
          <w:szCs w:val="21"/>
          <w:highlight w:val="none"/>
          <w:lang w:val="en-US" w:eastAsia="zh-CN"/>
        </w:rPr>
        <w:t>量</w:t>
      </w:r>
      <w:r>
        <w:rPr>
          <w:rFonts w:hint="eastAsia" w:ascii="宋体" w:hAnsi="宋体"/>
          <w:color w:val="auto"/>
          <w:szCs w:val="21"/>
          <w:highlight w:val="none"/>
        </w:rPr>
        <w:t>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xml:space="preserve">. </w:t>
      </w:r>
      <w:r>
        <w:rPr>
          <w:rFonts w:hint="eastAsia" w:ascii="宋体" w:hAnsi="宋体" w:eastAsia="宋体" w:cs="宋体"/>
          <w:b/>
          <w:bCs/>
          <w:color w:val="auto"/>
          <w:kern w:val="0"/>
          <w:szCs w:val="21"/>
          <w:highlight w:val="none"/>
        </w:rPr>
        <w:t>磋商</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27</w:t>
      </w:r>
      <w:r>
        <w:rPr>
          <w:rFonts w:hint="eastAsia" w:ascii="宋体" w:hAnsi="宋体" w:cs="宋体"/>
          <w:color w:val="auto"/>
          <w:sz w:val="21"/>
          <w:szCs w:val="21"/>
          <w:highlight w:val="none"/>
        </w:rPr>
        <w:t>.1对资格性检查和符合性检查合格的供应商，进入本次磋商程序。</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本次磋商进行</w:t>
      </w:r>
      <w:r>
        <w:rPr>
          <w:rFonts w:hint="eastAsia" w:ascii="宋体" w:hAnsi="宋体" w:cs="宋体"/>
          <w:color w:val="auto"/>
          <w:sz w:val="21"/>
          <w:szCs w:val="21"/>
          <w:highlight w:val="none"/>
          <w:lang w:val="en-US" w:eastAsia="zh-CN"/>
        </w:rPr>
        <w:t>不超过3</w:t>
      </w:r>
      <w:r>
        <w:rPr>
          <w:rFonts w:hint="eastAsia" w:ascii="宋体" w:hAnsi="宋体" w:cs="宋体"/>
          <w:color w:val="auto"/>
          <w:sz w:val="21"/>
          <w:szCs w:val="21"/>
          <w:highlight w:val="none"/>
        </w:rPr>
        <w:t>轮次报价，并给予每个供应商相同的机会。响应文件报价为第一轮报价，以后轮次报价不得高于上一轮次报价（除磋商文件有实质性变动外），否则将被视为未实质性响应竞争性磋商文件。供应商应当对磋商的每轮次报价或承诺均以书面形式确认，并由供应商代表签字，在规定的时限内递交给</w:t>
      </w:r>
      <w:r>
        <w:rPr>
          <w:rFonts w:hint="eastAsia" w:ascii="宋体" w:hAnsi="宋体" w:cs="宋体"/>
          <w:color w:val="auto"/>
          <w:sz w:val="21"/>
          <w:szCs w:val="21"/>
          <w:highlight w:val="none"/>
          <w:lang w:val="en-US" w:eastAsia="zh-CN"/>
        </w:rPr>
        <w:t>评标委员会</w:t>
      </w:r>
      <w:r>
        <w:rPr>
          <w:rFonts w:hint="eastAsia" w:ascii="宋体" w:hAnsi="宋体" w:cs="宋体"/>
          <w:color w:val="auto"/>
          <w:sz w:val="21"/>
          <w:szCs w:val="21"/>
          <w:highlight w:val="none"/>
        </w:rPr>
        <w:t>，磋商报价以供应商的最后一轮次报价为准。（如果一包中分项目过多，第二轮可以只报总价，分项目价格按本轮总报价与第一轮总报价的优惠比例相应调整）</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 xml:space="preserve">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4"/>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5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009"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c>
          <w:tcPr>
            <w:tcW w:w="7770" w:type="dxa"/>
            <w:gridSpan w:val="2"/>
            <w:noWrap w:val="0"/>
            <w:vAlign w:val="center"/>
          </w:tcPr>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hAnsi="宋体" w:cs="宋体"/>
                <w:b w:val="0"/>
                <w:bCs w:val="0"/>
                <w:color w:val="auto"/>
                <w:sz w:val="21"/>
                <w:szCs w:val="21"/>
                <w:highlight w:val="none"/>
                <w:lang w:eastAsia="zh-CN"/>
              </w:rPr>
              <w:t>控制单价</w:t>
            </w:r>
            <w:r>
              <w:rPr>
                <w:rFonts w:hint="eastAsia" w:ascii="宋体" w:hAnsi="宋体" w:eastAsia="宋体" w:cs="宋体"/>
                <w:b w:val="0"/>
                <w:bCs w:val="0"/>
                <w:color w:val="auto"/>
                <w:sz w:val="21"/>
                <w:szCs w:val="21"/>
                <w:highlight w:val="none"/>
              </w:rPr>
              <w:t>的为有效投标报价。</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p>
            <w:pPr>
              <w:rPr>
                <w:rFonts w:hint="default" w:ascii="宋体" w:hAnsi="宋体" w:eastAsia="宋体" w:cs="宋体"/>
                <w:b/>
                <w:bCs/>
                <w:color w:val="0000FF"/>
                <w:sz w:val="21"/>
                <w:szCs w:val="21"/>
                <w:highlight w:val="none"/>
                <w:lang w:val="en-US" w:eastAsia="zh-CN"/>
              </w:rPr>
            </w:pPr>
            <w:r>
              <w:rPr>
                <w:rFonts w:hint="eastAsia" w:ascii="宋体" w:hAnsi="宋体" w:cs="宋体"/>
                <w:b/>
                <w:bCs/>
                <w:color w:val="0000FF"/>
                <w:sz w:val="21"/>
                <w:szCs w:val="21"/>
                <w:highlight w:val="none"/>
                <w:lang w:val="en-US" w:eastAsia="zh-CN"/>
              </w:rPr>
              <w:t>注：</w:t>
            </w:r>
            <w:r>
              <w:rPr>
                <w:rFonts w:hint="default" w:ascii="宋体" w:hAnsi="宋体" w:eastAsia="宋体" w:cs="宋体"/>
                <w:b/>
                <w:bCs/>
                <w:color w:val="0000FF"/>
                <w:sz w:val="21"/>
                <w:szCs w:val="21"/>
                <w:highlight w:val="none"/>
                <w:lang w:val="en-US" w:eastAsia="zh-CN"/>
              </w:rPr>
              <w:t>由于本项目以优惠率进行报价，报价不得超过“100%”。</w:t>
            </w:r>
          </w:p>
          <w:p>
            <w:pPr>
              <w:rPr>
                <w:rFonts w:hint="eastAsia"/>
              </w:rPr>
            </w:pPr>
            <w:r>
              <w:rPr>
                <w:rFonts w:hint="default" w:ascii="宋体" w:hAnsi="宋体" w:eastAsia="宋体" w:cs="宋体"/>
                <w:b/>
                <w:bCs/>
                <w:color w:val="0000FF"/>
                <w:sz w:val="21"/>
                <w:szCs w:val="21"/>
                <w:highlight w:val="none"/>
                <w:lang w:val="en-US" w:eastAsia="zh-CN"/>
              </w:rPr>
              <w:t>例：报价为“95%”，以采购文件第二章“采购需求”中污物袋的控制价乘以0.95，便是结算时污物袋的单价。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kern w:val="0"/>
                <w:sz w:val="21"/>
                <w:szCs w:val="21"/>
                <w:highlight w:val="none"/>
                <w:lang w:val="en-US" w:eastAsia="zh-CN"/>
              </w:rPr>
              <w:t>1、产品技术参数（10分）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投标人对“第二章  采购需求”技术参数、性能及产品功能等的响应，所投内容全部满足磋商文件要求得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val="en-US" w:eastAsia="zh-CN"/>
              </w:rPr>
              <w:t>扣完为止；</w:t>
            </w:r>
            <w:r>
              <w:rPr>
                <w:rFonts w:hint="eastAsia" w:ascii="宋体" w:hAnsi="宋体" w:eastAsia="宋体" w:cs="宋体"/>
                <w:b w:val="0"/>
                <w:bCs w:val="0"/>
                <w:color w:val="auto"/>
                <w:sz w:val="21"/>
                <w:szCs w:val="21"/>
                <w:highlight w:val="none"/>
              </w:rPr>
              <w:t>如得分为0，则投标无效。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w:t>
            </w:r>
            <w:r>
              <w:rPr>
                <w:rFonts w:hint="eastAsia" w:ascii="宋体" w:hAnsi="宋体" w:cs="宋体"/>
                <w:b w:val="0"/>
                <w:bCs w:val="0"/>
                <w:color w:val="auto"/>
                <w:sz w:val="21"/>
                <w:szCs w:val="21"/>
                <w:highlight w:val="none"/>
                <w:lang w:val="en-US" w:eastAsia="zh-CN"/>
              </w:rPr>
              <w:t>相关</w:t>
            </w:r>
            <w:r>
              <w:rPr>
                <w:rFonts w:hint="eastAsia" w:ascii="宋体" w:hAnsi="宋体" w:eastAsia="宋体" w:cs="宋体"/>
                <w:b w:val="0"/>
                <w:bCs w:val="0"/>
                <w:color w:val="auto"/>
                <w:sz w:val="21"/>
                <w:szCs w:val="21"/>
                <w:highlight w:val="none"/>
              </w:rPr>
              <w:t>表</w:t>
            </w:r>
            <w:r>
              <w:rPr>
                <w:rFonts w:hint="eastAsia" w:ascii="宋体" w:hAnsi="宋体" w:cs="宋体"/>
                <w:b w:val="0"/>
                <w:bCs w:val="0"/>
                <w:color w:val="auto"/>
                <w:sz w:val="21"/>
                <w:szCs w:val="21"/>
                <w:highlight w:val="none"/>
                <w:lang w:val="en-US" w:eastAsia="zh-CN"/>
              </w:rPr>
              <w:t>格</w:t>
            </w:r>
            <w:r>
              <w:rPr>
                <w:rFonts w:hint="eastAsia" w:ascii="宋体" w:hAnsi="宋体" w:eastAsia="宋体" w:cs="宋体"/>
                <w:b w:val="0"/>
                <w:bCs w:val="0"/>
                <w:color w:val="auto"/>
                <w:sz w:val="21"/>
                <w:szCs w:val="21"/>
                <w:highlight w:val="none"/>
              </w:rPr>
              <w:t>，并标注偏离情况。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cs="宋体"/>
                <w:b w:val="0"/>
                <w:bCs w:val="0"/>
                <w:color w:val="auto"/>
                <w:sz w:val="21"/>
                <w:szCs w:val="21"/>
                <w:highlight w:val="none"/>
                <w:lang w:val="en-US" w:eastAsia="zh-CN"/>
              </w:rPr>
            </w:pP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实施方案（30分）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供应商对项目实施方案的整体规划，包括对接方案、</w:t>
            </w:r>
            <w:r>
              <w:rPr>
                <w:rFonts w:hint="eastAsia" w:ascii="宋体" w:hAnsi="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方案、交货期保证措施。</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以上措施详细、合理、可行的</w:t>
            </w:r>
            <w:r>
              <w:rPr>
                <w:rFonts w:hint="eastAsia" w:ascii="宋体" w:hAnsi="宋体" w:cs="宋体"/>
                <w:b w:val="0"/>
                <w:bCs w:val="0"/>
                <w:color w:val="auto"/>
                <w:kern w:val="0"/>
                <w:sz w:val="21"/>
                <w:szCs w:val="21"/>
                <w:highlight w:val="none"/>
                <w:lang w:val="en-US" w:eastAsia="zh-CN"/>
              </w:rPr>
              <w:t>21-30</w:t>
            </w:r>
            <w:r>
              <w:rPr>
                <w:rFonts w:hint="eastAsia" w:ascii="宋体" w:hAnsi="宋体" w:eastAsia="宋体" w:cs="宋体"/>
                <w:b w:val="0"/>
                <w:bCs w:val="0"/>
                <w:color w:val="auto"/>
                <w:sz w:val="21"/>
                <w:szCs w:val="21"/>
                <w:highlight w:val="none"/>
              </w:rPr>
              <w:t>分；基本详细、基本合理、基本可行的</w:t>
            </w:r>
            <w:r>
              <w:rPr>
                <w:rFonts w:hint="eastAsia" w:ascii="宋体" w:hAnsi="宋体" w:cs="宋体"/>
                <w:b w:val="0"/>
                <w:bCs w:val="0"/>
                <w:color w:val="auto"/>
                <w:kern w:val="0"/>
                <w:sz w:val="21"/>
                <w:szCs w:val="21"/>
                <w:highlight w:val="none"/>
                <w:lang w:val="en-US" w:eastAsia="zh-CN"/>
              </w:rPr>
              <w:t>11-20</w:t>
            </w:r>
            <w:r>
              <w:rPr>
                <w:rFonts w:hint="eastAsia" w:ascii="宋体" w:hAnsi="宋体" w:eastAsia="宋体" w:cs="宋体"/>
                <w:b w:val="0"/>
                <w:bCs w:val="0"/>
                <w:color w:val="auto"/>
                <w:sz w:val="21"/>
                <w:szCs w:val="21"/>
                <w:highlight w:val="none"/>
              </w:rPr>
              <w:t>分；基本详细度、合理性差、可行性差的</w:t>
            </w:r>
            <w:r>
              <w:rPr>
                <w:rFonts w:hint="eastAsia" w:ascii="宋体" w:hAnsi="宋体" w:cs="宋体"/>
                <w:b w:val="0"/>
                <w:bCs w:val="0"/>
                <w:color w:val="auto"/>
                <w:kern w:val="0"/>
                <w:sz w:val="21"/>
                <w:szCs w:val="21"/>
                <w:highlight w:val="none"/>
                <w:lang w:val="en-US" w:eastAsia="zh-CN"/>
              </w:rPr>
              <w:t>1-10</w:t>
            </w:r>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sz w:val="21"/>
                <w:szCs w:val="21"/>
                <w:highlight w:val="none"/>
                <w:lang w:val="en-US" w:eastAsia="zh-CN"/>
              </w:rPr>
              <w:t>1、类似业绩（6分）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自2020年1月1日以来具有的类似项目(以合同文件为准），每提供一份得3分，最多得6分。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noWrap w:val="0"/>
            <w:vAlign w:val="center"/>
          </w:tcPr>
          <w:p>
            <w:pPr>
              <w:pStyle w:val="12"/>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售后服务体系（</w:t>
            </w:r>
            <w:r>
              <w:rPr>
                <w:rFonts w:hint="eastAsia" w:hAnsi="宋体" w:cs="宋体"/>
                <w:b w:val="0"/>
                <w:bCs w:val="0"/>
                <w:color w:val="auto"/>
                <w:kern w:val="2"/>
                <w:sz w:val="21"/>
                <w:szCs w:val="21"/>
                <w:highlight w:val="none"/>
                <w:lang w:val="en-US" w:eastAsia="zh-CN"/>
              </w:rPr>
              <w:t>19</w:t>
            </w:r>
            <w:r>
              <w:rPr>
                <w:rFonts w:hint="eastAsia" w:ascii="宋体" w:hAnsi="宋体" w:eastAsia="宋体" w:cs="宋体"/>
                <w:b w:val="0"/>
                <w:bCs w:val="0"/>
                <w:color w:val="auto"/>
                <w:kern w:val="2"/>
                <w:sz w:val="21"/>
                <w:szCs w:val="21"/>
                <w:highlight w:val="none"/>
                <w:lang w:val="en-US" w:eastAsia="zh-CN"/>
              </w:rPr>
              <w:t>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根据投标人服务团队设立情况、售后服务及时率、服务计划、售后服务承诺等内容进行综合对比评分。</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售后服务承诺内容具体、完善、合理性程度强得13-19分，具体、完善、合理性程度一般得6-12分，具体、完善、合理性程度差得1-5分，缺项得0分。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7770"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482"/>
      <w:bookmarkStart w:id="47" w:name="_Toc1947"/>
      <w:bookmarkStart w:id="48" w:name="_Toc326786897"/>
      <w:bookmarkStart w:id="49" w:name="_Toc256519703"/>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lang w:eastAsia="zh-CN"/>
        </w:rPr>
      </w:pPr>
      <w:r>
        <w:rPr>
          <w:rFonts w:hint="eastAsia" w:ascii="宋体" w:hAnsi="宋体"/>
          <w:color w:val="auto"/>
          <w:sz w:val="21"/>
          <w:szCs w:val="21"/>
          <w:lang w:eastAsia="zh-CN"/>
        </w:rPr>
        <w:t>（</w:t>
      </w:r>
      <w:r>
        <w:rPr>
          <w:rFonts w:hint="eastAsia" w:ascii="宋体" w:hAnsi="宋体"/>
          <w:color w:val="auto"/>
          <w:sz w:val="21"/>
          <w:szCs w:val="21"/>
          <w:lang w:val="en-US" w:eastAsia="zh-CN"/>
        </w:rPr>
        <w:t>以实际合同为准</w:t>
      </w:r>
      <w:r>
        <w:rPr>
          <w:rFonts w:hint="eastAsia" w:ascii="宋体" w:hAnsi="宋体"/>
          <w:color w:val="auto"/>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3"/>
        <w:rPr>
          <w:color w:val="auto"/>
        </w:rPr>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附件11 供应商信用承诺函（格式）</w:t>
      </w:r>
    </w:p>
    <w:p>
      <w:pPr>
        <w:pStyle w:val="33"/>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12"/>
        <w:rPr>
          <w:rFonts w:hAnsi="宋体"/>
          <w:b/>
          <w:bCs/>
          <w:color w:val="auto"/>
          <w:highlight w:val="none"/>
        </w:rPr>
      </w:pPr>
    </w:p>
    <w:p>
      <w:pPr>
        <w:pStyle w:val="12"/>
        <w:rPr>
          <w:rFonts w:hAnsi="宋体"/>
          <w:b/>
          <w:bCs/>
          <w:color w:val="auto"/>
          <w:highlight w:val="none"/>
        </w:rPr>
      </w:pPr>
    </w:p>
    <w:p>
      <w:pPr>
        <w:rPr>
          <w:color w:val="auto"/>
          <w:highlight w:val="none"/>
        </w:rPr>
      </w:pPr>
      <w:r>
        <w:rPr>
          <w:rFonts w:hint="eastAsia"/>
          <w:color w:val="auto"/>
          <w:highlight w:val="none"/>
        </w:rPr>
        <w:br w:type="page"/>
      </w:r>
    </w:p>
    <w:p>
      <w:pPr>
        <w:pStyle w:val="28"/>
        <w:rPr>
          <w:color w:val="auto"/>
          <w:highlight w:val="none"/>
        </w:rPr>
      </w:pPr>
    </w:p>
    <w:p>
      <w:pPr>
        <w:pStyle w:val="2"/>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singl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7" w:name="_Toc7838"/>
      <w:r>
        <w:rPr>
          <w:rFonts w:hint="eastAsia"/>
          <w:color w:val="auto"/>
          <w:highlight w:val="none"/>
        </w:rPr>
        <w:t xml:space="preserve">附件3               </w:t>
      </w:r>
      <w:bookmarkEnd w:id="67"/>
      <w:r>
        <w:rPr>
          <w:rFonts w:hint="eastAsia"/>
          <w:color w:val="auto"/>
          <w:highlight w:val="none"/>
        </w:rPr>
        <w:t>开标一览表</w:t>
      </w:r>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u w:val="single"/>
                <w:lang w:val="en-US" w:eastAsia="zh-CN"/>
              </w:rPr>
            </w:pPr>
            <w:r>
              <w:rPr>
                <w:rFonts w:hint="eastAsia"/>
                <w:lang w:val="en-US" w:eastAsia="zh-CN"/>
              </w:rPr>
              <w:t>大写： 百分之</w:t>
            </w:r>
            <w:r>
              <w:rPr>
                <w:rFonts w:hint="eastAsia"/>
                <w:u w:val="single"/>
                <w:lang w:val="en-US" w:eastAsia="zh-CN"/>
              </w:rPr>
              <w:t xml:space="preserve">          </w:t>
            </w:r>
          </w:p>
          <w:p>
            <w:pPr>
              <w:rPr>
                <w:rFonts w:hint="default" w:ascii="宋体" w:hAnsi="宋体" w:eastAsia="宋体"/>
                <w:color w:val="auto"/>
                <w:szCs w:val="21"/>
                <w:highlight w:val="none"/>
                <w:lang w:val="en-US" w:eastAsia="zh-CN"/>
              </w:rPr>
            </w:pPr>
            <w:r>
              <w:rPr>
                <w:rFonts w:hint="eastAsia"/>
                <w:lang w:val="en-US" w:eastAsia="zh-CN"/>
              </w:rPr>
              <w:t xml:space="preserve">小写： </w:t>
            </w:r>
            <w:r>
              <w:rPr>
                <w:rFonts w:hint="eastAsia"/>
                <w:u w:val="single"/>
                <w:lang w:val="en-US" w:eastAsia="zh-CN"/>
              </w:rPr>
              <w:t xml:space="preserve">               </w:t>
            </w:r>
            <w:r>
              <w:rPr>
                <w:rFonts w:hint="eastAsia"/>
                <w:u w:val="none"/>
                <w:lang w:val="en-US" w:eastAsia="zh-CN"/>
              </w:rPr>
              <w:t>%</w:t>
            </w:r>
            <w:r>
              <w:rPr>
                <w:rFonts w:hint="eastAsia"/>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交货日期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1"/>
              <w:ind w:left="0" w:leftChars="0"/>
              <w:rPr>
                <w:color w:val="auto"/>
                <w:sz w:val="21"/>
                <w:szCs w:val="21"/>
                <w:highlight w:val="none"/>
              </w:rPr>
            </w:pPr>
          </w:p>
        </w:tc>
      </w:tr>
    </w:tbl>
    <w:p>
      <w:pPr>
        <w:rPr>
          <w:color w:val="auto"/>
          <w:highlight w:val="none"/>
        </w:rPr>
      </w:pPr>
    </w:p>
    <w:p>
      <w:pPr>
        <w:rPr>
          <w:rFonts w:hint="default" w:ascii="宋体" w:hAnsi="宋体" w:eastAsia="宋体" w:cs="宋体"/>
          <w:b/>
          <w:bCs/>
          <w:color w:val="0000FF"/>
          <w:sz w:val="21"/>
          <w:szCs w:val="21"/>
          <w:highlight w:val="none"/>
          <w:lang w:val="en-US" w:eastAsia="zh-CN"/>
        </w:rPr>
      </w:pPr>
      <w:r>
        <w:rPr>
          <w:rFonts w:hint="eastAsia" w:ascii="宋体" w:hAnsi="宋体" w:cs="宋体"/>
          <w:color w:val="auto"/>
          <w:kern w:val="0"/>
          <w:szCs w:val="21"/>
          <w:highlight w:val="none"/>
        </w:rPr>
        <w:t xml:space="preserve">注: </w:t>
      </w:r>
      <w:r>
        <w:rPr>
          <w:rFonts w:hint="eastAsia" w:ascii="宋体" w:hAnsi="宋体" w:cs="宋体"/>
          <w:b/>
          <w:bCs/>
          <w:color w:val="0000FF"/>
          <w:sz w:val="21"/>
          <w:szCs w:val="21"/>
          <w:highlight w:val="none"/>
          <w:lang w:val="en-US" w:eastAsia="zh-CN"/>
        </w:rPr>
        <w:t>1、</w:t>
      </w:r>
      <w:r>
        <w:rPr>
          <w:rFonts w:hint="default" w:ascii="宋体" w:hAnsi="宋体" w:eastAsia="宋体" w:cs="宋体"/>
          <w:b/>
          <w:bCs/>
          <w:color w:val="0000FF"/>
          <w:sz w:val="21"/>
          <w:szCs w:val="21"/>
          <w:highlight w:val="none"/>
          <w:lang w:val="en-US" w:eastAsia="zh-CN"/>
        </w:rPr>
        <w:t>由于本项目以优惠率进行报价，报价不得超过“100%”。</w:t>
      </w:r>
    </w:p>
    <w:p>
      <w:pPr>
        <w:spacing w:line="360" w:lineRule="auto"/>
        <w:ind w:firstLine="422" w:firstLineChars="200"/>
        <w:rPr>
          <w:rFonts w:hint="default" w:ascii="宋体" w:hAnsi="宋体" w:eastAsia="宋体" w:cs="宋体"/>
          <w:b/>
          <w:bCs/>
          <w:color w:val="0000FF"/>
          <w:sz w:val="21"/>
          <w:szCs w:val="21"/>
          <w:highlight w:val="none"/>
          <w:lang w:val="en-US" w:eastAsia="zh-CN"/>
        </w:rPr>
      </w:pPr>
      <w:r>
        <w:rPr>
          <w:rFonts w:hint="default" w:ascii="宋体" w:hAnsi="宋体" w:eastAsia="宋体" w:cs="宋体"/>
          <w:b/>
          <w:bCs/>
          <w:color w:val="0000FF"/>
          <w:sz w:val="21"/>
          <w:szCs w:val="21"/>
          <w:highlight w:val="none"/>
          <w:lang w:val="en-US" w:eastAsia="zh-CN"/>
        </w:rPr>
        <w:t>例：报价为“95%”，以采购文件第二章“采购需求”中污物袋的控制价乘以0.95，便是结算时污物袋的单价。</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2"/>
        <w:spacing w:before="20" w:after="20"/>
        <w:rPr>
          <w:color w:val="auto"/>
          <w:highlight w:val="none"/>
        </w:rPr>
      </w:pPr>
      <w:bookmarkStart w:id="74" w:name="_Toc24984"/>
      <w:bookmarkStart w:id="75" w:name="_Toc22004"/>
      <w:r>
        <w:rPr>
          <w:rFonts w:hint="eastAsia"/>
          <w:color w:val="auto"/>
          <w:highlight w:val="none"/>
        </w:rPr>
        <w:t xml:space="preserve">附件4            </w:t>
      </w:r>
      <w:r>
        <w:rPr>
          <w:rFonts w:hint="eastAsia"/>
          <w:color w:val="auto"/>
          <w:highlight w:val="none"/>
          <w:lang w:val="en-US" w:eastAsia="zh-CN"/>
        </w:rPr>
        <w:t xml:space="preserve"> </w:t>
      </w:r>
      <w:r>
        <w:rPr>
          <w:rFonts w:hint="eastAsia"/>
          <w:color w:val="auto"/>
          <w:highlight w:val="none"/>
        </w:rPr>
        <w:t xml:space="preserve"> </w:t>
      </w:r>
      <w:bookmarkEnd w:id="74"/>
      <w:bookmarkEnd w:id="75"/>
      <w:r>
        <w:rPr>
          <w:rFonts w:hint="eastAsia"/>
          <w:color w:val="auto"/>
          <w:highlight w:val="none"/>
        </w:rPr>
        <w:t>报价明细表</w:t>
      </w:r>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4"/>
        <w:tblW w:w="85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42"/>
        <w:gridCol w:w="1185"/>
        <w:gridCol w:w="1500"/>
        <w:gridCol w:w="945"/>
        <w:gridCol w:w="945"/>
        <w:gridCol w:w="900"/>
        <w:gridCol w:w="8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164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85"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5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945"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945"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eastAsia="zh-CN"/>
              </w:rPr>
            </w:pPr>
            <w:r>
              <w:rPr>
                <w:rFonts w:hint="eastAsia" w:ascii="宋体" w:hAnsi="宋体" w:cs="宋体"/>
                <w:color w:val="auto"/>
                <w:kern w:val="0"/>
                <w:sz w:val="24"/>
                <w:highlight w:val="none"/>
                <w:lang w:val="en-US" w:eastAsia="zh-CN"/>
              </w:rPr>
              <w:t>单价</w:t>
            </w:r>
          </w:p>
        </w:tc>
        <w:tc>
          <w:tcPr>
            <w:tcW w:w="89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4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8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89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4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8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89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4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8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89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4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8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89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4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8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89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4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8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89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4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8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89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4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8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89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4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8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89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7"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90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c>
          <w:tcPr>
            <w:tcW w:w="89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kern w:val="0"/>
                <w:sz w:val="24"/>
                <w:szCs w:val="21"/>
                <w:highlight w:val="none"/>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jc w:val="left"/>
        <w:rPr>
          <w:rFonts w:ascii="宋体" w:hAnsi="宋体" w:cs="宋体"/>
          <w:color w:val="auto"/>
          <w:kern w:val="0"/>
          <w:sz w:val="24"/>
          <w:highlight w:val="none"/>
        </w:rPr>
      </w:pPr>
      <w:r>
        <w:rPr>
          <w:rFonts w:hint="eastAsia" w:ascii="宋体" w:hAnsi="宋体" w:cs="宋体"/>
          <w:b/>
          <w:bCs/>
          <w:color w:val="auto"/>
          <w:kern w:val="0"/>
          <w:szCs w:val="21"/>
          <w:highlight w:val="none"/>
          <w:lang w:val="en-US" w:eastAsia="zh-CN"/>
        </w:rPr>
        <w:t>注：</w:t>
      </w:r>
      <w:r>
        <w:rPr>
          <w:rFonts w:hint="eastAsia" w:ascii="宋体" w:hAnsi="宋体" w:eastAsia="宋体" w:cs="宋体"/>
          <w:b/>
          <w:bCs/>
          <w:color w:val="auto"/>
          <w:kern w:val="0"/>
          <w:szCs w:val="21"/>
          <w:highlight w:val="none"/>
          <w:lang w:val="en-US" w:eastAsia="zh-CN"/>
        </w:rPr>
        <w:t>若本表的报价与优惠率不匹配，以投标文件“开标一览表”中的优惠率为准。</w:t>
      </w: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200" w:firstLineChars="2000"/>
        <w:jc w:val="left"/>
        <w:rPr>
          <w:color w:val="auto"/>
          <w:highlight w:val="none"/>
        </w:rPr>
      </w:pPr>
    </w:p>
    <w:p>
      <w:pPr>
        <w:pStyle w:val="2"/>
        <w:rPr>
          <w:color w:val="auto"/>
          <w:highlight w:val="none"/>
        </w:rPr>
      </w:pPr>
      <w:r>
        <w:rPr>
          <w:rFonts w:hint="eastAsia"/>
          <w:color w:val="auto"/>
          <w:highlight w:val="none"/>
        </w:rPr>
        <w:br w:type="page"/>
      </w:r>
      <w:bookmarkStart w:id="76" w:name="_Toc15804"/>
      <w:bookmarkStart w:id="77" w:name="_Toc226"/>
      <w:r>
        <w:rPr>
          <w:rFonts w:hint="eastAsia"/>
          <w:color w:val="auto"/>
          <w:highlight w:val="none"/>
        </w:rPr>
        <w:t>附件5               技术响应表（格式）</w:t>
      </w:r>
      <w:bookmarkEnd w:id="76"/>
      <w:bookmarkEnd w:id="77"/>
    </w:p>
    <w:tbl>
      <w:tblPr>
        <w:tblStyle w:val="35"/>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w:t>
      </w:r>
      <w:r>
        <w:rPr>
          <w:rFonts w:hint="eastAsia" w:ascii="宋体" w:hAnsi="宋体" w:cs="宋体"/>
          <w:bCs/>
          <w:color w:val="auto"/>
          <w:kern w:val="0"/>
          <w:sz w:val="24"/>
          <w:highlight w:val="none"/>
          <w:lang w:val="en-US" w:eastAsia="zh-CN"/>
        </w:rPr>
        <w:t>对采购文件第二章“采购需求”中的规格、重量等要求进行响应。</w:t>
      </w:r>
      <w:r>
        <w:rPr>
          <w:rFonts w:hint="eastAsia" w:ascii="宋体" w:hAnsi="宋体" w:cs="宋体"/>
          <w:bCs/>
          <w:color w:val="auto"/>
          <w:kern w:val="0"/>
          <w:sz w:val="24"/>
          <w:highlight w:val="none"/>
        </w:rPr>
        <w:t xml:space="preserve">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eastAsia="zh-CN"/>
        </w:rPr>
      </w:pPr>
      <w:bookmarkStart w:id="78" w:name="_Toc20420"/>
      <w:bookmarkStart w:id="79" w:name="_Toc2996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napToGrid w:val="0"/>
        <w:spacing w:before="50" w:afterLines="50"/>
        <w:jc w:val="left"/>
        <w:rPr>
          <w:rFonts w:cs="宋体"/>
          <w:color w:val="auto"/>
          <w:kern w:val="0"/>
          <w:sz w:val="24"/>
          <w:highlight w:val="none"/>
        </w:rPr>
      </w:pPr>
    </w:p>
    <w:p>
      <w:pPr>
        <w:widowControl/>
        <w:wordWrap w:val="0"/>
        <w:spacing w:line="460" w:lineRule="exact"/>
        <w:ind w:firstLine="480" w:firstLineChars="200"/>
        <w:jc w:val="left"/>
        <w:rPr>
          <w:rFonts w:hint="default" w:ascii="宋体" w:hAnsi="宋体" w:eastAsia="宋体" w:cs="宋体"/>
          <w:b/>
          <w:color w:val="auto"/>
          <w:kern w:val="0"/>
          <w:sz w:val="32"/>
          <w:szCs w:val="32"/>
          <w:highlight w:val="none"/>
          <w:lang w:val="en-US" w:eastAsia="zh-CN"/>
        </w:rPr>
      </w:pPr>
      <w:r>
        <w:rPr>
          <w:rFonts w:hint="eastAsia" w:cs="宋体"/>
          <w:color w:val="auto"/>
          <w:kern w:val="0"/>
          <w:sz w:val="24"/>
          <w:highlight w:val="none"/>
          <w:lang w:eastAsia="zh-CN"/>
        </w:rPr>
        <w:t xml:space="preserve"> </w:t>
      </w:r>
      <w:r>
        <w:rPr>
          <w:rFonts w:hint="eastAsia" w:ascii="宋体" w:hAnsi="宋体" w:cs="宋体"/>
          <w:b/>
          <w:color w:val="auto"/>
          <w:kern w:val="0"/>
          <w:sz w:val="32"/>
          <w:szCs w:val="32"/>
          <w:highlight w:val="none"/>
          <w:lang w:val="en-US" w:eastAsia="zh-CN"/>
        </w:rPr>
        <w:t>商务部分相关证明文件</w:t>
      </w:r>
    </w:p>
    <w:p>
      <w:pPr>
        <w:widowControl/>
        <w:wordWrap w:val="0"/>
        <w:snapToGrid w:val="0"/>
        <w:spacing w:before="156" w:after="156"/>
        <w:ind w:firstLine="420"/>
        <w:jc w:val="center"/>
        <w:rPr>
          <w:rFonts w:ascii="宋体" w:hAnsi="宋体" w:cs="宋体"/>
          <w:b/>
          <w:color w:val="auto"/>
          <w:kern w:val="0"/>
          <w:sz w:val="32"/>
          <w:szCs w:val="32"/>
          <w:highlight w:val="none"/>
        </w:rPr>
      </w:pPr>
    </w:p>
    <w:p>
      <w:pPr>
        <w:widowControl/>
        <w:wordWrap w:val="0"/>
        <w:spacing w:line="460" w:lineRule="exact"/>
        <w:jc w:val="left"/>
        <w:outlineLvl w:val="9"/>
        <w:rPr>
          <w:rFonts w:cs="宋体"/>
          <w:b/>
          <w:color w:val="auto"/>
          <w:kern w:val="0"/>
          <w:sz w:val="24"/>
          <w:highlight w:val="none"/>
        </w:rPr>
      </w:pPr>
    </w:p>
    <w:p>
      <w:pPr>
        <w:widowControl/>
        <w:wordWrap w:val="0"/>
        <w:spacing w:line="460" w:lineRule="exact"/>
        <w:jc w:val="left"/>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color w:val="auto"/>
        </w:rPr>
      </w:pPr>
    </w:p>
    <w:p>
      <w:pPr>
        <w:outlineLvl w:val="9"/>
        <w:rPr>
          <w:rFonts w:cs="宋体"/>
          <w:b/>
          <w:color w:val="auto"/>
          <w:kern w:val="0"/>
          <w:sz w:val="24"/>
          <w:highlight w:val="none"/>
        </w:rPr>
      </w:pPr>
      <w:r>
        <w:rPr>
          <w:rFonts w:cs="宋体"/>
          <w:b/>
          <w:color w:val="auto"/>
          <w:kern w:val="0"/>
          <w:sz w:val="24"/>
          <w:highlight w:val="none"/>
        </w:rPr>
        <w:br w:type="page"/>
      </w:r>
    </w:p>
    <w:p>
      <w:pPr>
        <w:pStyle w:val="33"/>
        <w:rPr>
          <w:color w:val="auto"/>
        </w:rPr>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实施方案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rPr>
          <w:color w:val="auto"/>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eastAsia="zh-CN"/>
        </w:rPr>
        <w:t>公司名称</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rPr>
      </w:pPr>
      <w:r>
        <w:rPr>
          <w:rFonts w:hint="eastAsia" w:ascii="宋体" w:hAnsi="宋体" w:eastAsia="宋体" w:cs="宋体"/>
          <w:color w:val="auto"/>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widowControl/>
        <w:shd w:val="clear" w:color="auto" w:fill="auto"/>
        <w:ind w:firstLine="360" w:firstLineChars="150"/>
        <w:jc w:val="left"/>
        <w:rPr>
          <w:rFonts w:hint="eastAsia" w:ascii="宋体" w:hAnsi="宋体" w:eastAsia="宋体" w:cs="宋体"/>
          <w:sz w:val="24"/>
          <w:szCs w:val="24"/>
        </w:rPr>
      </w:pPr>
    </w:p>
    <w:p>
      <w:pPr>
        <w:pStyle w:val="33"/>
        <w:rPr>
          <w:rFonts w:hint="eastAsia" w:ascii="宋体" w:hAnsi="宋体" w:eastAsia="宋体" w:cs="宋体"/>
          <w:sz w:val="24"/>
          <w:szCs w:val="24"/>
        </w:rPr>
      </w:pPr>
    </w:p>
    <w:p>
      <w:pPr>
        <w:pStyle w:val="14"/>
        <w:rPr>
          <w:rFonts w:hint="eastAsia" w:ascii="宋体" w:hAnsi="宋体" w:eastAsia="宋体" w:cs="宋体"/>
          <w:sz w:val="24"/>
          <w:szCs w:val="24"/>
        </w:rPr>
      </w:pPr>
    </w:p>
    <w:p>
      <w:pPr>
        <w:rPr>
          <w:rFonts w:hint="eastAsia" w:ascii="宋体" w:hAnsi="宋体" w:eastAsia="宋体" w:cs="宋体"/>
          <w:sz w:val="24"/>
          <w:szCs w:val="24"/>
        </w:rPr>
      </w:pPr>
    </w:p>
    <w:p>
      <w:pPr>
        <w:pStyle w:val="33"/>
        <w:rPr>
          <w:rFonts w:hint="eastAsia" w:ascii="宋体" w:hAnsi="宋体" w:eastAsia="宋体" w:cs="宋体"/>
          <w:sz w:val="24"/>
          <w:szCs w:val="24"/>
        </w:rPr>
      </w:pPr>
    </w:p>
    <w:p>
      <w:pPr>
        <w:pStyle w:val="14"/>
        <w:rPr>
          <w:rFonts w:hint="eastAsia" w:ascii="宋体" w:hAnsi="宋体" w:eastAsia="宋体" w:cs="宋体"/>
          <w:sz w:val="24"/>
          <w:szCs w:val="24"/>
        </w:rPr>
      </w:pPr>
    </w:p>
    <w:p>
      <w:pPr>
        <w:rPr>
          <w:rFonts w:hint="eastAsia" w:ascii="宋体" w:hAnsi="宋体" w:eastAsia="宋体" w:cs="宋体"/>
          <w:sz w:val="24"/>
          <w:szCs w:val="24"/>
        </w:rPr>
      </w:pPr>
    </w:p>
    <w:p>
      <w:pPr>
        <w:pStyle w:val="33"/>
        <w:rPr>
          <w:rFonts w:hint="eastAsia" w:ascii="宋体" w:hAnsi="宋体" w:eastAsia="宋体" w:cs="宋体"/>
          <w:sz w:val="24"/>
          <w:szCs w:val="24"/>
        </w:rPr>
      </w:pPr>
    </w:p>
    <w:p>
      <w:pPr>
        <w:pStyle w:val="14"/>
        <w:rPr>
          <w:rFonts w:hint="eastAsia" w:ascii="宋体" w:hAnsi="宋体" w:eastAsia="宋体" w:cs="宋体"/>
          <w:sz w:val="24"/>
          <w:szCs w:val="24"/>
        </w:rPr>
      </w:pPr>
    </w:p>
    <w:p>
      <w:pPr>
        <w:rPr>
          <w:rFonts w:hint="eastAsia" w:ascii="宋体" w:hAnsi="宋体" w:eastAsia="宋体" w:cs="宋体"/>
          <w:sz w:val="24"/>
          <w:szCs w:val="24"/>
        </w:rPr>
      </w:pPr>
    </w:p>
    <w:p>
      <w:pPr>
        <w:pStyle w:val="33"/>
        <w:rPr>
          <w:rFonts w:hint="eastAsia" w:ascii="宋体" w:hAnsi="宋体" w:eastAsia="宋体" w:cs="宋体"/>
          <w:sz w:val="24"/>
          <w:szCs w:val="24"/>
        </w:rPr>
      </w:pPr>
    </w:p>
    <w:p>
      <w:pPr>
        <w:pStyle w:val="14"/>
        <w:rPr>
          <w:rFonts w:hint="eastAsia" w:ascii="宋体" w:hAnsi="宋体" w:eastAsia="宋体" w:cs="宋体"/>
          <w:sz w:val="24"/>
          <w:szCs w:val="24"/>
        </w:rPr>
      </w:pPr>
    </w:p>
    <w:p>
      <w:pPr>
        <w:rPr>
          <w:rFonts w:hint="eastAsia" w:ascii="宋体" w:hAnsi="宋体" w:eastAsia="宋体" w:cs="宋体"/>
          <w:sz w:val="24"/>
          <w:szCs w:val="24"/>
        </w:rPr>
      </w:pPr>
    </w:p>
    <w:p>
      <w:pPr>
        <w:pStyle w:val="33"/>
        <w:rPr>
          <w:rFonts w:hint="eastAsia"/>
        </w:rPr>
      </w:pPr>
    </w:p>
    <w:p>
      <w:pPr>
        <w:pStyle w:val="51"/>
        <w:rPr>
          <w:color w:val="auto"/>
        </w:rPr>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Fonts w:hint="eastAsia" w:ascii="宋体" w:hAnsi="宋体" w:cs="宋体"/>
        <w:color w:val="auto"/>
        <w:lang w:eastAsia="zh-CN"/>
      </w:rPr>
      <w:t>驻马店市中心医院</w:t>
    </w:r>
    <w:r>
      <w:rPr>
        <w:rFonts w:hint="eastAsia" w:ascii="宋体" w:hAnsi="宋体" w:cs="宋体"/>
        <w:color w:val="auto"/>
        <w:lang w:val="en-US" w:eastAsia="zh-CN"/>
      </w:rPr>
      <w:t>污物袋采购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rFonts w:hint="eastAsia" w:eastAsia="宋体"/>
        <w:lang w:val="en-US" w:eastAsia="zh-CN"/>
      </w:rPr>
    </w:pPr>
    <w:r>
      <w:rPr>
        <w:rFonts w:hint="eastAsia"/>
      </w:rPr>
      <w:t xml:space="preserve">                            </w:t>
    </w:r>
    <w:r>
      <w:rPr>
        <w:rFonts w:hint="eastAsia" w:ascii="宋体" w:hAnsi="宋体" w:cs="宋体"/>
        <w:color w:val="auto"/>
        <w:lang w:eastAsia="zh-CN"/>
      </w:rPr>
      <w:t>驻马店市中心医院</w:t>
    </w:r>
    <w:r>
      <w:rPr>
        <w:rFonts w:hint="eastAsia" w:ascii="宋体" w:hAnsi="宋体" w:cs="宋体"/>
        <w:color w:val="auto"/>
        <w:lang w:val="en-US" w:eastAsia="zh-CN"/>
      </w:rPr>
      <w:t>污物袋采购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C5F79"/>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4070D64"/>
    <w:rsid w:val="04416C20"/>
    <w:rsid w:val="047968B1"/>
    <w:rsid w:val="04870542"/>
    <w:rsid w:val="04B9160E"/>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800A16"/>
    <w:rsid w:val="06983B20"/>
    <w:rsid w:val="069A3B66"/>
    <w:rsid w:val="06B91765"/>
    <w:rsid w:val="06CA2AD2"/>
    <w:rsid w:val="06CE3071"/>
    <w:rsid w:val="06CE55E6"/>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D5C91"/>
    <w:rsid w:val="0847191F"/>
    <w:rsid w:val="08591DC3"/>
    <w:rsid w:val="087C4541"/>
    <w:rsid w:val="087E5595"/>
    <w:rsid w:val="08C52D6F"/>
    <w:rsid w:val="08D01612"/>
    <w:rsid w:val="08EF0201"/>
    <w:rsid w:val="08F41DE8"/>
    <w:rsid w:val="09151167"/>
    <w:rsid w:val="093C74AB"/>
    <w:rsid w:val="09737462"/>
    <w:rsid w:val="099156C3"/>
    <w:rsid w:val="09A53F39"/>
    <w:rsid w:val="09A60E13"/>
    <w:rsid w:val="09D206F0"/>
    <w:rsid w:val="0A321AC2"/>
    <w:rsid w:val="0A343D4E"/>
    <w:rsid w:val="0A3E6D2E"/>
    <w:rsid w:val="0A6C3DC0"/>
    <w:rsid w:val="0AD13A85"/>
    <w:rsid w:val="0AE033D9"/>
    <w:rsid w:val="0B091954"/>
    <w:rsid w:val="0B167AE8"/>
    <w:rsid w:val="0B1A1257"/>
    <w:rsid w:val="0B637D77"/>
    <w:rsid w:val="0BAC324F"/>
    <w:rsid w:val="0BF72F1E"/>
    <w:rsid w:val="0C3957A5"/>
    <w:rsid w:val="0C626DA7"/>
    <w:rsid w:val="0C6876AE"/>
    <w:rsid w:val="0C720EC8"/>
    <w:rsid w:val="0C942042"/>
    <w:rsid w:val="0C9D50DC"/>
    <w:rsid w:val="0CA5271D"/>
    <w:rsid w:val="0CAC4D10"/>
    <w:rsid w:val="0CC72121"/>
    <w:rsid w:val="0CEE5A21"/>
    <w:rsid w:val="0D0646E7"/>
    <w:rsid w:val="0D0C38CA"/>
    <w:rsid w:val="0D3F3A0E"/>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D59C9"/>
    <w:rsid w:val="0F516D5A"/>
    <w:rsid w:val="0F565B36"/>
    <w:rsid w:val="0F821E7D"/>
    <w:rsid w:val="0FE7592C"/>
    <w:rsid w:val="0FFD20F0"/>
    <w:rsid w:val="103E6E57"/>
    <w:rsid w:val="1041497B"/>
    <w:rsid w:val="10425FF6"/>
    <w:rsid w:val="109010E6"/>
    <w:rsid w:val="10B271F4"/>
    <w:rsid w:val="10C8275C"/>
    <w:rsid w:val="10E03539"/>
    <w:rsid w:val="10E82D1F"/>
    <w:rsid w:val="10EE5C94"/>
    <w:rsid w:val="113329E7"/>
    <w:rsid w:val="113F294C"/>
    <w:rsid w:val="11437C85"/>
    <w:rsid w:val="1166372C"/>
    <w:rsid w:val="11700D10"/>
    <w:rsid w:val="1178125A"/>
    <w:rsid w:val="1196056D"/>
    <w:rsid w:val="11D34654"/>
    <w:rsid w:val="11DE0FD1"/>
    <w:rsid w:val="12010480"/>
    <w:rsid w:val="120E707F"/>
    <w:rsid w:val="127A7D1C"/>
    <w:rsid w:val="12836D8B"/>
    <w:rsid w:val="12AB0349"/>
    <w:rsid w:val="12CD57F1"/>
    <w:rsid w:val="12CE7AFA"/>
    <w:rsid w:val="12D67466"/>
    <w:rsid w:val="13272A5D"/>
    <w:rsid w:val="13493108"/>
    <w:rsid w:val="13733928"/>
    <w:rsid w:val="139C16C9"/>
    <w:rsid w:val="13B63CE1"/>
    <w:rsid w:val="13BA3DEE"/>
    <w:rsid w:val="13BC6684"/>
    <w:rsid w:val="13C72B3A"/>
    <w:rsid w:val="13DF575E"/>
    <w:rsid w:val="13EE3A98"/>
    <w:rsid w:val="142123F7"/>
    <w:rsid w:val="142A11D8"/>
    <w:rsid w:val="144B544C"/>
    <w:rsid w:val="14515DD5"/>
    <w:rsid w:val="145B7B45"/>
    <w:rsid w:val="14717443"/>
    <w:rsid w:val="148D52E3"/>
    <w:rsid w:val="14992B90"/>
    <w:rsid w:val="14AF1856"/>
    <w:rsid w:val="14AF19A3"/>
    <w:rsid w:val="14B53957"/>
    <w:rsid w:val="14C53ECE"/>
    <w:rsid w:val="14E002E6"/>
    <w:rsid w:val="14FC36BD"/>
    <w:rsid w:val="151E3A0F"/>
    <w:rsid w:val="1557566D"/>
    <w:rsid w:val="15811F1B"/>
    <w:rsid w:val="15A30135"/>
    <w:rsid w:val="15A34015"/>
    <w:rsid w:val="15E2236F"/>
    <w:rsid w:val="15E76F5D"/>
    <w:rsid w:val="161D09ED"/>
    <w:rsid w:val="162323A3"/>
    <w:rsid w:val="162F30B1"/>
    <w:rsid w:val="16510F12"/>
    <w:rsid w:val="166448F9"/>
    <w:rsid w:val="16647475"/>
    <w:rsid w:val="1677211D"/>
    <w:rsid w:val="167954F9"/>
    <w:rsid w:val="16A060BA"/>
    <w:rsid w:val="16A57EAF"/>
    <w:rsid w:val="16AC6E3F"/>
    <w:rsid w:val="16C872D5"/>
    <w:rsid w:val="16D54FA3"/>
    <w:rsid w:val="16D84D9F"/>
    <w:rsid w:val="16E94D3E"/>
    <w:rsid w:val="16F5513D"/>
    <w:rsid w:val="170D06E0"/>
    <w:rsid w:val="17332185"/>
    <w:rsid w:val="17475951"/>
    <w:rsid w:val="179F2E61"/>
    <w:rsid w:val="17A728DB"/>
    <w:rsid w:val="17C227C0"/>
    <w:rsid w:val="18097740"/>
    <w:rsid w:val="185D3C42"/>
    <w:rsid w:val="185F38AF"/>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14E33"/>
    <w:rsid w:val="1A5F4342"/>
    <w:rsid w:val="1A8C5D82"/>
    <w:rsid w:val="1A994988"/>
    <w:rsid w:val="1A9B546C"/>
    <w:rsid w:val="1AA3511F"/>
    <w:rsid w:val="1AAE3B54"/>
    <w:rsid w:val="1AC10987"/>
    <w:rsid w:val="1B0C5B32"/>
    <w:rsid w:val="1B0D3E82"/>
    <w:rsid w:val="1B1652AB"/>
    <w:rsid w:val="1B181CD5"/>
    <w:rsid w:val="1B265306"/>
    <w:rsid w:val="1B4F2450"/>
    <w:rsid w:val="1B8C18B7"/>
    <w:rsid w:val="1BB73AE1"/>
    <w:rsid w:val="1BDA6D68"/>
    <w:rsid w:val="1C555978"/>
    <w:rsid w:val="1C6554A1"/>
    <w:rsid w:val="1C700164"/>
    <w:rsid w:val="1C7971B7"/>
    <w:rsid w:val="1CD402EC"/>
    <w:rsid w:val="1CF02333"/>
    <w:rsid w:val="1D0C33A2"/>
    <w:rsid w:val="1D113E6E"/>
    <w:rsid w:val="1D114E5E"/>
    <w:rsid w:val="1D1F0050"/>
    <w:rsid w:val="1D2222DC"/>
    <w:rsid w:val="1D5B3CDE"/>
    <w:rsid w:val="1D6E2950"/>
    <w:rsid w:val="1D98209B"/>
    <w:rsid w:val="1DA23746"/>
    <w:rsid w:val="1DA73DAE"/>
    <w:rsid w:val="1DAA14B9"/>
    <w:rsid w:val="1DD04513"/>
    <w:rsid w:val="1E4C5F8A"/>
    <w:rsid w:val="1E656063"/>
    <w:rsid w:val="1E6B06A5"/>
    <w:rsid w:val="1E7F7D9E"/>
    <w:rsid w:val="1E840DA4"/>
    <w:rsid w:val="1EA5444C"/>
    <w:rsid w:val="1EB350EF"/>
    <w:rsid w:val="1EC21749"/>
    <w:rsid w:val="1EEB7C4E"/>
    <w:rsid w:val="1F171B83"/>
    <w:rsid w:val="1F2D491A"/>
    <w:rsid w:val="1F3152D9"/>
    <w:rsid w:val="1F7369C7"/>
    <w:rsid w:val="1F94547B"/>
    <w:rsid w:val="1FAF308C"/>
    <w:rsid w:val="1FC11109"/>
    <w:rsid w:val="1FEF08C8"/>
    <w:rsid w:val="1FF72E6A"/>
    <w:rsid w:val="201B3ED4"/>
    <w:rsid w:val="20310B02"/>
    <w:rsid w:val="206F0406"/>
    <w:rsid w:val="20784063"/>
    <w:rsid w:val="207E346A"/>
    <w:rsid w:val="208E12C3"/>
    <w:rsid w:val="209502A3"/>
    <w:rsid w:val="20B9460A"/>
    <w:rsid w:val="210F579E"/>
    <w:rsid w:val="212550B5"/>
    <w:rsid w:val="21484F14"/>
    <w:rsid w:val="21592B62"/>
    <w:rsid w:val="21747CD2"/>
    <w:rsid w:val="219E5782"/>
    <w:rsid w:val="21E72B0B"/>
    <w:rsid w:val="221F2D96"/>
    <w:rsid w:val="22246DB1"/>
    <w:rsid w:val="22440067"/>
    <w:rsid w:val="225A6017"/>
    <w:rsid w:val="227A5532"/>
    <w:rsid w:val="22843A03"/>
    <w:rsid w:val="22A338AB"/>
    <w:rsid w:val="22AD37A2"/>
    <w:rsid w:val="22B31E8A"/>
    <w:rsid w:val="22C735BD"/>
    <w:rsid w:val="230C5F26"/>
    <w:rsid w:val="23122833"/>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56E93"/>
    <w:rsid w:val="25092EBA"/>
    <w:rsid w:val="25241020"/>
    <w:rsid w:val="256016AA"/>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7015370"/>
    <w:rsid w:val="270B421F"/>
    <w:rsid w:val="274E2228"/>
    <w:rsid w:val="27517A93"/>
    <w:rsid w:val="276658E8"/>
    <w:rsid w:val="277E30D2"/>
    <w:rsid w:val="27803F2A"/>
    <w:rsid w:val="27A34941"/>
    <w:rsid w:val="283C23DF"/>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912CFE"/>
    <w:rsid w:val="2AB63ABC"/>
    <w:rsid w:val="2B003D00"/>
    <w:rsid w:val="2B074D5E"/>
    <w:rsid w:val="2B0B7C95"/>
    <w:rsid w:val="2B100BA9"/>
    <w:rsid w:val="2B1E3AFC"/>
    <w:rsid w:val="2B9E4F56"/>
    <w:rsid w:val="2BDB5A88"/>
    <w:rsid w:val="2BE91C37"/>
    <w:rsid w:val="2BEC3F72"/>
    <w:rsid w:val="2C083572"/>
    <w:rsid w:val="2C137777"/>
    <w:rsid w:val="2C185F94"/>
    <w:rsid w:val="2C1F1AC4"/>
    <w:rsid w:val="2C3F3A41"/>
    <w:rsid w:val="2C4431C4"/>
    <w:rsid w:val="2C570869"/>
    <w:rsid w:val="2C62059F"/>
    <w:rsid w:val="2C6634FA"/>
    <w:rsid w:val="2CA71209"/>
    <w:rsid w:val="2CAC022C"/>
    <w:rsid w:val="2CC11807"/>
    <w:rsid w:val="2CF16074"/>
    <w:rsid w:val="2CF81D1B"/>
    <w:rsid w:val="2D3F2453"/>
    <w:rsid w:val="2D835174"/>
    <w:rsid w:val="2DD90B7B"/>
    <w:rsid w:val="2DDD3FC1"/>
    <w:rsid w:val="2DF701D8"/>
    <w:rsid w:val="2DF970A1"/>
    <w:rsid w:val="2E085834"/>
    <w:rsid w:val="2E1034F8"/>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2A5C42"/>
    <w:rsid w:val="3075258E"/>
    <w:rsid w:val="30BF439A"/>
    <w:rsid w:val="30CB1B61"/>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76602"/>
    <w:rsid w:val="322A7699"/>
    <w:rsid w:val="322B25C6"/>
    <w:rsid w:val="32422E70"/>
    <w:rsid w:val="325E56C6"/>
    <w:rsid w:val="3275698A"/>
    <w:rsid w:val="32B943EC"/>
    <w:rsid w:val="32DC63A0"/>
    <w:rsid w:val="32E429C1"/>
    <w:rsid w:val="334A3B2A"/>
    <w:rsid w:val="3365592E"/>
    <w:rsid w:val="336F6533"/>
    <w:rsid w:val="337E5E2F"/>
    <w:rsid w:val="3384610D"/>
    <w:rsid w:val="33AA5979"/>
    <w:rsid w:val="33C03E90"/>
    <w:rsid w:val="33C96649"/>
    <w:rsid w:val="33CC3D88"/>
    <w:rsid w:val="33D76F4A"/>
    <w:rsid w:val="33FD722F"/>
    <w:rsid w:val="3400362D"/>
    <w:rsid w:val="340B09C5"/>
    <w:rsid w:val="341E4CAB"/>
    <w:rsid w:val="34254E5C"/>
    <w:rsid w:val="34584EE2"/>
    <w:rsid w:val="347D373F"/>
    <w:rsid w:val="34956481"/>
    <w:rsid w:val="34A35871"/>
    <w:rsid w:val="34C06C9D"/>
    <w:rsid w:val="34DF24AE"/>
    <w:rsid w:val="351C4931"/>
    <w:rsid w:val="351D4C26"/>
    <w:rsid w:val="35361A77"/>
    <w:rsid w:val="35461A22"/>
    <w:rsid w:val="35483CC9"/>
    <w:rsid w:val="35A815CB"/>
    <w:rsid w:val="35AA1B9C"/>
    <w:rsid w:val="35DB09A6"/>
    <w:rsid w:val="35FD14D5"/>
    <w:rsid w:val="36481540"/>
    <w:rsid w:val="367813FE"/>
    <w:rsid w:val="369B4CF0"/>
    <w:rsid w:val="36D62629"/>
    <w:rsid w:val="36D76172"/>
    <w:rsid w:val="36E833BB"/>
    <w:rsid w:val="36EB1E1B"/>
    <w:rsid w:val="36F17F0D"/>
    <w:rsid w:val="3735197D"/>
    <w:rsid w:val="373756A2"/>
    <w:rsid w:val="375E0DA6"/>
    <w:rsid w:val="378B61A6"/>
    <w:rsid w:val="37CD3F98"/>
    <w:rsid w:val="37DF75BA"/>
    <w:rsid w:val="37E148E2"/>
    <w:rsid w:val="38304889"/>
    <w:rsid w:val="38382675"/>
    <w:rsid w:val="3851700B"/>
    <w:rsid w:val="385246B6"/>
    <w:rsid w:val="38A53DB7"/>
    <w:rsid w:val="38BF3388"/>
    <w:rsid w:val="38CC268D"/>
    <w:rsid w:val="38EC2960"/>
    <w:rsid w:val="3906718E"/>
    <w:rsid w:val="392536E2"/>
    <w:rsid w:val="39465F15"/>
    <w:rsid w:val="396453C5"/>
    <w:rsid w:val="397F1230"/>
    <w:rsid w:val="39922CCF"/>
    <w:rsid w:val="39A343D8"/>
    <w:rsid w:val="39A65327"/>
    <w:rsid w:val="39A65C9B"/>
    <w:rsid w:val="39BC5ED6"/>
    <w:rsid w:val="39EB39E0"/>
    <w:rsid w:val="39EF02D4"/>
    <w:rsid w:val="3A11342A"/>
    <w:rsid w:val="3A153110"/>
    <w:rsid w:val="3A2507C0"/>
    <w:rsid w:val="3A273368"/>
    <w:rsid w:val="3A297E52"/>
    <w:rsid w:val="3A393FA7"/>
    <w:rsid w:val="3A64203E"/>
    <w:rsid w:val="3A663D00"/>
    <w:rsid w:val="3A7428D0"/>
    <w:rsid w:val="3A923AE4"/>
    <w:rsid w:val="3AA50E25"/>
    <w:rsid w:val="3AC566E3"/>
    <w:rsid w:val="3AD6747A"/>
    <w:rsid w:val="3B3D0FF2"/>
    <w:rsid w:val="3B521A18"/>
    <w:rsid w:val="3B923660"/>
    <w:rsid w:val="3BCA44BE"/>
    <w:rsid w:val="3C061F3A"/>
    <w:rsid w:val="3C244FFA"/>
    <w:rsid w:val="3C495480"/>
    <w:rsid w:val="3C6F0167"/>
    <w:rsid w:val="3C71667B"/>
    <w:rsid w:val="3C914F3B"/>
    <w:rsid w:val="3CA72347"/>
    <w:rsid w:val="3CC17F13"/>
    <w:rsid w:val="3CE320A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0B6E71"/>
    <w:rsid w:val="3E1A106E"/>
    <w:rsid w:val="3E36303B"/>
    <w:rsid w:val="3E526044"/>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86454"/>
    <w:rsid w:val="407F2DE9"/>
    <w:rsid w:val="408C5A03"/>
    <w:rsid w:val="40991379"/>
    <w:rsid w:val="409B3C3D"/>
    <w:rsid w:val="40F701DF"/>
    <w:rsid w:val="40FD480A"/>
    <w:rsid w:val="412A32F8"/>
    <w:rsid w:val="417F433E"/>
    <w:rsid w:val="41B7239D"/>
    <w:rsid w:val="41E47AD6"/>
    <w:rsid w:val="41FF3845"/>
    <w:rsid w:val="421104A9"/>
    <w:rsid w:val="42143B88"/>
    <w:rsid w:val="42164586"/>
    <w:rsid w:val="422143B7"/>
    <w:rsid w:val="425B5DD1"/>
    <w:rsid w:val="4260300C"/>
    <w:rsid w:val="42800B9B"/>
    <w:rsid w:val="42A06B6C"/>
    <w:rsid w:val="42E70570"/>
    <w:rsid w:val="42EA5650"/>
    <w:rsid w:val="431408DA"/>
    <w:rsid w:val="4331401E"/>
    <w:rsid w:val="435A0DF2"/>
    <w:rsid w:val="436C42E1"/>
    <w:rsid w:val="437C210F"/>
    <w:rsid w:val="43847F02"/>
    <w:rsid w:val="438F113C"/>
    <w:rsid w:val="439E7EFB"/>
    <w:rsid w:val="43B1568A"/>
    <w:rsid w:val="43BD354B"/>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1C313A"/>
    <w:rsid w:val="454F1836"/>
    <w:rsid w:val="45887B45"/>
    <w:rsid w:val="458B66DF"/>
    <w:rsid w:val="45940F0E"/>
    <w:rsid w:val="45AC5DBA"/>
    <w:rsid w:val="45C647AF"/>
    <w:rsid w:val="45DD529D"/>
    <w:rsid w:val="45E57886"/>
    <w:rsid w:val="46003076"/>
    <w:rsid w:val="46177E29"/>
    <w:rsid w:val="46205B7F"/>
    <w:rsid w:val="465D501C"/>
    <w:rsid w:val="466367DB"/>
    <w:rsid w:val="46686D18"/>
    <w:rsid w:val="46696E2A"/>
    <w:rsid w:val="46C3037C"/>
    <w:rsid w:val="46FF15E0"/>
    <w:rsid w:val="4700581C"/>
    <w:rsid w:val="4702516A"/>
    <w:rsid w:val="4714323A"/>
    <w:rsid w:val="474A4B33"/>
    <w:rsid w:val="47665A15"/>
    <w:rsid w:val="47677941"/>
    <w:rsid w:val="477F1660"/>
    <w:rsid w:val="4788232A"/>
    <w:rsid w:val="478B0398"/>
    <w:rsid w:val="478F5D0B"/>
    <w:rsid w:val="47B8724E"/>
    <w:rsid w:val="47ED7BCA"/>
    <w:rsid w:val="48016F34"/>
    <w:rsid w:val="480556DB"/>
    <w:rsid w:val="48185C56"/>
    <w:rsid w:val="4832531E"/>
    <w:rsid w:val="48450F81"/>
    <w:rsid w:val="484E729D"/>
    <w:rsid w:val="485A23C2"/>
    <w:rsid w:val="48A16B62"/>
    <w:rsid w:val="48BC6222"/>
    <w:rsid w:val="48C245E9"/>
    <w:rsid w:val="48DB312A"/>
    <w:rsid w:val="48DF49D9"/>
    <w:rsid w:val="492108CC"/>
    <w:rsid w:val="49E669E4"/>
    <w:rsid w:val="4A05334F"/>
    <w:rsid w:val="4A082FF4"/>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CF632F0"/>
    <w:rsid w:val="4D297BF3"/>
    <w:rsid w:val="4D2D0EAF"/>
    <w:rsid w:val="4D63401A"/>
    <w:rsid w:val="4D7F0082"/>
    <w:rsid w:val="4D952FD9"/>
    <w:rsid w:val="4D970662"/>
    <w:rsid w:val="4DB33393"/>
    <w:rsid w:val="4DCF1E0D"/>
    <w:rsid w:val="4DD632D9"/>
    <w:rsid w:val="4DE05DF9"/>
    <w:rsid w:val="4DE44800"/>
    <w:rsid w:val="4DEE0709"/>
    <w:rsid w:val="4DFC14EA"/>
    <w:rsid w:val="4DFF6815"/>
    <w:rsid w:val="4E0A3427"/>
    <w:rsid w:val="4E27036A"/>
    <w:rsid w:val="4E304B5D"/>
    <w:rsid w:val="4E682F8C"/>
    <w:rsid w:val="4E6A7BB7"/>
    <w:rsid w:val="4F0773B4"/>
    <w:rsid w:val="4F307BB1"/>
    <w:rsid w:val="4F3838C2"/>
    <w:rsid w:val="4F3D562D"/>
    <w:rsid w:val="4F5C4EE0"/>
    <w:rsid w:val="4F6E1972"/>
    <w:rsid w:val="4F943166"/>
    <w:rsid w:val="4FBA02A1"/>
    <w:rsid w:val="4FE7106E"/>
    <w:rsid w:val="50053943"/>
    <w:rsid w:val="50485D02"/>
    <w:rsid w:val="50550E55"/>
    <w:rsid w:val="509F43E4"/>
    <w:rsid w:val="50A54D3E"/>
    <w:rsid w:val="50F1402B"/>
    <w:rsid w:val="50FD2AD9"/>
    <w:rsid w:val="51097D9A"/>
    <w:rsid w:val="51237D2E"/>
    <w:rsid w:val="517B3EB5"/>
    <w:rsid w:val="51996737"/>
    <w:rsid w:val="51B408B8"/>
    <w:rsid w:val="51CC0868"/>
    <w:rsid w:val="51D5340F"/>
    <w:rsid w:val="5217598C"/>
    <w:rsid w:val="52382F2A"/>
    <w:rsid w:val="52386E3D"/>
    <w:rsid w:val="523A7DD1"/>
    <w:rsid w:val="5271774C"/>
    <w:rsid w:val="529003B1"/>
    <w:rsid w:val="52DE008D"/>
    <w:rsid w:val="52EE341E"/>
    <w:rsid w:val="52F37FE6"/>
    <w:rsid w:val="52FC1CAF"/>
    <w:rsid w:val="532540D9"/>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25CFB"/>
    <w:rsid w:val="54447390"/>
    <w:rsid w:val="545E1D01"/>
    <w:rsid w:val="54935B8F"/>
    <w:rsid w:val="54CC6227"/>
    <w:rsid w:val="54D10F9B"/>
    <w:rsid w:val="551D586C"/>
    <w:rsid w:val="55200298"/>
    <w:rsid w:val="55335E1B"/>
    <w:rsid w:val="554B7EF0"/>
    <w:rsid w:val="556F3D99"/>
    <w:rsid w:val="55860894"/>
    <w:rsid w:val="55B02DF1"/>
    <w:rsid w:val="55DC290C"/>
    <w:rsid w:val="55F01FA1"/>
    <w:rsid w:val="567A124A"/>
    <w:rsid w:val="56990B7C"/>
    <w:rsid w:val="569E1126"/>
    <w:rsid w:val="56AC249A"/>
    <w:rsid w:val="56B80DEB"/>
    <w:rsid w:val="56E06E61"/>
    <w:rsid w:val="56F653FE"/>
    <w:rsid w:val="575B7AFD"/>
    <w:rsid w:val="57660D3F"/>
    <w:rsid w:val="57706F91"/>
    <w:rsid w:val="57D1153D"/>
    <w:rsid w:val="57FA3774"/>
    <w:rsid w:val="58084A3C"/>
    <w:rsid w:val="585D2975"/>
    <w:rsid w:val="587E3341"/>
    <w:rsid w:val="58CF56D8"/>
    <w:rsid w:val="58D31010"/>
    <w:rsid w:val="58D6741E"/>
    <w:rsid w:val="58EA3D0E"/>
    <w:rsid w:val="58F71269"/>
    <w:rsid w:val="58FE045E"/>
    <w:rsid w:val="59561946"/>
    <w:rsid w:val="59670F51"/>
    <w:rsid w:val="596A44F9"/>
    <w:rsid w:val="596C19BB"/>
    <w:rsid w:val="59790BDB"/>
    <w:rsid w:val="598653AC"/>
    <w:rsid w:val="59995F6B"/>
    <w:rsid w:val="59AB52AC"/>
    <w:rsid w:val="59AC3C86"/>
    <w:rsid w:val="59D42FDA"/>
    <w:rsid w:val="59DA4E01"/>
    <w:rsid w:val="59E86E96"/>
    <w:rsid w:val="59F64E82"/>
    <w:rsid w:val="5A10435C"/>
    <w:rsid w:val="5A2654CC"/>
    <w:rsid w:val="5A323A44"/>
    <w:rsid w:val="5A395E66"/>
    <w:rsid w:val="5A484352"/>
    <w:rsid w:val="5A5321A5"/>
    <w:rsid w:val="5A5F6122"/>
    <w:rsid w:val="5A745221"/>
    <w:rsid w:val="5A8734A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C349B4"/>
    <w:rsid w:val="5BF03D58"/>
    <w:rsid w:val="5C1A6BB2"/>
    <w:rsid w:val="5C5355FE"/>
    <w:rsid w:val="5C6F4105"/>
    <w:rsid w:val="5C7A4EE2"/>
    <w:rsid w:val="5CBB7F6F"/>
    <w:rsid w:val="5D447851"/>
    <w:rsid w:val="5D7C3F11"/>
    <w:rsid w:val="5D9D49E0"/>
    <w:rsid w:val="5DDF1821"/>
    <w:rsid w:val="5DEA2F91"/>
    <w:rsid w:val="5E3146A3"/>
    <w:rsid w:val="5E442F62"/>
    <w:rsid w:val="5E6C2C5B"/>
    <w:rsid w:val="5E7251A2"/>
    <w:rsid w:val="5E7C3591"/>
    <w:rsid w:val="5E9D0E18"/>
    <w:rsid w:val="5EA2144B"/>
    <w:rsid w:val="5EA341D7"/>
    <w:rsid w:val="5EA755DE"/>
    <w:rsid w:val="5ED35F0E"/>
    <w:rsid w:val="5EFC1390"/>
    <w:rsid w:val="5EFC3EB6"/>
    <w:rsid w:val="5F03335D"/>
    <w:rsid w:val="5F0368C7"/>
    <w:rsid w:val="5F1544E7"/>
    <w:rsid w:val="5F3C4923"/>
    <w:rsid w:val="5F6C3D66"/>
    <w:rsid w:val="5F9A65E6"/>
    <w:rsid w:val="5F9B2627"/>
    <w:rsid w:val="5FAC7B1F"/>
    <w:rsid w:val="5FB80E3D"/>
    <w:rsid w:val="5FB831B4"/>
    <w:rsid w:val="5FBC7B73"/>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253FD"/>
    <w:rsid w:val="61421F29"/>
    <w:rsid w:val="614B11AE"/>
    <w:rsid w:val="61712185"/>
    <w:rsid w:val="61970898"/>
    <w:rsid w:val="61A90D68"/>
    <w:rsid w:val="621775E2"/>
    <w:rsid w:val="622F7552"/>
    <w:rsid w:val="6250406E"/>
    <w:rsid w:val="627D6831"/>
    <w:rsid w:val="62811B1C"/>
    <w:rsid w:val="62A20409"/>
    <w:rsid w:val="62B54B44"/>
    <w:rsid w:val="62E045DA"/>
    <w:rsid w:val="62E454A1"/>
    <w:rsid w:val="62F36E4C"/>
    <w:rsid w:val="62F47F8F"/>
    <w:rsid w:val="62F7233F"/>
    <w:rsid w:val="6340438B"/>
    <w:rsid w:val="6353238E"/>
    <w:rsid w:val="635A392B"/>
    <w:rsid w:val="63612AB8"/>
    <w:rsid w:val="637D0978"/>
    <w:rsid w:val="638968B0"/>
    <w:rsid w:val="638A282C"/>
    <w:rsid w:val="63A85E90"/>
    <w:rsid w:val="63A962DB"/>
    <w:rsid w:val="63AB1A91"/>
    <w:rsid w:val="63EE4692"/>
    <w:rsid w:val="63FD622D"/>
    <w:rsid w:val="643248BA"/>
    <w:rsid w:val="643F32F9"/>
    <w:rsid w:val="64582686"/>
    <w:rsid w:val="64673C87"/>
    <w:rsid w:val="64A251DD"/>
    <w:rsid w:val="64AF4418"/>
    <w:rsid w:val="64DB63AB"/>
    <w:rsid w:val="650242F0"/>
    <w:rsid w:val="65542778"/>
    <w:rsid w:val="655829AF"/>
    <w:rsid w:val="656B70C3"/>
    <w:rsid w:val="658F4798"/>
    <w:rsid w:val="659B1EBA"/>
    <w:rsid w:val="65B461E9"/>
    <w:rsid w:val="65BE39A8"/>
    <w:rsid w:val="65FB3FBE"/>
    <w:rsid w:val="66247D11"/>
    <w:rsid w:val="66736112"/>
    <w:rsid w:val="667F5B5B"/>
    <w:rsid w:val="66897C79"/>
    <w:rsid w:val="6694262A"/>
    <w:rsid w:val="669609C2"/>
    <w:rsid w:val="66990381"/>
    <w:rsid w:val="66A64541"/>
    <w:rsid w:val="66B31B01"/>
    <w:rsid w:val="66CE1E80"/>
    <w:rsid w:val="66E362F9"/>
    <w:rsid w:val="66E47FD9"/>
    <w:rsid w:val="67071922"/>
    <w:rsid w:val="671626D9"/>
    <w:rsid w:val="673B73C0"/>
    <w:rsid w:val="675608B6"/>
    <w:rsid w:val="67754402"/>
    <w:rsid w:val="677D54ED"/>
    <w:rsid w:val="67A621D7"/>
    <w:rsid w:val="67AC6886"/>
    <w:rsid w:val="67B25E27"/>
    <w:rsid w:val="67C4383B"/>
    <w:rsid w:val="67D35E1A"/>
    <w:rsid w:val="67F35317"/>
    <w:rsid w:val="680201B7"/>
    <w:rsid w:val="68362BFB"/>
    <w:rsid w:val="683F1130"/>
    <w:rsid w:val="68437152"/>
    <w:rsid w:val="684456A1"/>
    <w:rsid w:val="685E1363"/>
    <w:rsid w:val="688E1089"/>
    <w:rsid w:val="68A026F3"/>
    <w:rsid w:val="68AF6C13"/>
    <w:rsid w:val="690E07C7"/>
    <w:rsid w:val="69236A65"/>
    <w:rsid w:val="692E469B"/>
    <w:rsid w:val="69315C48"/>
    <w:rsid w:val="694019EC"/>
    <w:rsid w:val="69584DB4"/>
    <w:rsid w:val="696C3D80"/>
    <w:rsid w:val="69792EBA"/>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BF84629"/>
    <w:rsid w:val="6C234DED"/>
    <w:rsid w:val="6C29198B"/>
    <w:rsid w:val="6C3A67D1"/>
    <w:rsid w:val="6C3D2D5C"/>
    <w:rsid w:val="6C4800AA"/>
    <w:rsid w:val="6C4D28F8"/>
    <w:rsid w:val="6C5101CA"/>
    <w:rsid w:val="6C573E9C"/>
    <w:rsid w:val="6C6D1126"/>
    <w:rsid w:val="6CA35B3A"/>
    <w:rsid w:val="6CA41A5D"/>
    <w:rsid w:val="6CAF588C"/>
    <w:rsid w:val="6CB4638E"/>
    <w:rsid w:val="6CBF3C6A"/>
    <w:rsid w:val="6CBF5306"/>
    <w:rsid w:val="6CC462B9"/>
    <w:rsid w:val="6CE70FA1"/>
    <w:rsid w:val="6CFA6351"/>
    <w:rsid w:val="6CFC3C40"/>
    <w:rsid w:val="6CFF6BBC"/>
    <w:rsid w:val="6D480984"/>
    <w:rsid w:val="6DB13E57"/>
    <w:rsid w:val="6DC71662"/>
    <w:rsid w:val="6DCD5126"/>
    <w:rsid w:val="6DDB6CB0"/>
    <w:rsid w:val="6DE52ACD"/>
    <w:rsid w:val="6DFC0B44"/>
    <w:rsid w:val="6E0458E7"/>
    <w:rsid w:val="6E212037"/>
    <w:rsid w:val="6E3B221B"/>
    <w:rsid w:val="6E475779"/>
    <w:rsid w:val="6E7764EF"/>
    <w:rsid w:val="6EAD447C"/>
    <w:rsid w:val="6ECD7F59"/>
    <w:rsid w:val="6EED7C80"/>
    <w:rsid w:val="6EF773A4"/>
    <w:rsid w:val="6F2F2D9E"/>
    <w:rsid w:val="6F4147D9"/>
    <w:rsid w:val="6F947E4B"/>
    <w:rsid w:val="6FA30BDA"/>
    <w:rsid w:val="6FB80698"/>
    <w:rsid w:val="7024611F"/>
    <w:rsid w:val="70637B96"/>
    <w:rsid w:val="70797317"/>
    <w:rsid w:val="7099044B"/>
    <w:rsid w:val="709D518F"/>
    <w:rsid w:val="70C759D3"/>
    <w:rsid w:val="70CF2B23"/>
    <w:rsid w:val="710952C1"/>
    <w:rsid w:val="71452CD8"/>
    <w:rsid w:val="7158683A"/>
    <w:rsid w:val="715B2F52"/>
    <w:rsid w:val="71764F23"/>
    <w:rsid w:val="71946576"/>
    <w:rsid w:val="71967E84"/>
    <w:rsid w:val="71A61873"/>
    <w:rsid w:val="71AF4936"/>
    <w:rsid w:val="71D75D0F"/>
    <w:rsid w:val="721919B3"/>
    <w:rsid w:val="721A6098"/>
    <w:rsid w:val="72310D1A"/>
    <w:rsid w:val="725D6B54"/>
    <w:rsid w:val="729C6026"/>
    <w:rsid w:val="72A17C99"/>
    <w:rsid w:val="72AF6F7E"/>
    <w:rsid w:val="72C576C8"/>
    <w:rsid w:val="73047904"/>
    <w:rsid w:val="734345B2"/>
    <w:rsid w:val="734C1A6A"/>
    <w:rsid w:val="735C5949"/>
    <w:rsid w:val="73737DA5"/>
    <w:rsid w:val="73880040"/>
    <w:rsid w:val="73887B3E"/>
    <w:rsid w:val="73892412"/>
    <w:rsid w:val="73E96BCA"/>
    <w:rsid w:val="73EE4A6E"/>
    <w:rsid w:val="741048BC"/>
    <w:rsid w:val="742E78D4"/>
    <w:rsid w:val="74676A28"/>
    <w:rsid w:val="7479207F"/>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AA651F"/>
    <w:rsid w:val="76BB1CAB"/>
    <w:rsid w:val="76C04050"/>
    <w:rsid w:val="76E65049"/>
    <w:rsid w:val="77076007"/>
    <w:rsid w:val="77413F7E"/>
    <w:rsid w:val="77835654"/>
    <w:rsid w:val="7797109C"/>
    <w:rsid w:val="779A2A38"/>
    <w:rsid w:val="77B07B65"/>
    <w:rsid w:val="77B4450A"/>
    <w:rsid w:val="77B46E73"/>
    <w:rsid w:val="77E37A12"/>
    <w:rsid w:val="77FE3468"/>
    <w:rsid w:val="78546F0C"/>
    <w:rsid w:val="78EE1C79"/>
    <w:rsid w:val="797239CC"/>
    <w:rsid w:val="79831473"/>
    <w:rsid w:val="7999527A"/>
    <w:rsid w:val="79AF76C5"/>
    <w:rsid w:val="79C25EE1"/>
    <w:rsid w:val="79CE2967"/>
    <w:rsid w:val="79EA664C"/>
    <w:rsid w:val="7A2F459A"/>
    <w:rsid w:val="7A517022"/>
    <w:rsid w:val="7A6F5001"/>
    <w:rsid w:val="7AA2343E"/>
    <w:rsid w:val="7ADA73A4"/>
    <w:rsid w:val="7AE66B99"/>
    <w:rsid w:val="7B0A3BCA"/>
    <w:rsid w:val="7B4048C1"/>
    <w:rsid w:val="7B73082F"/>
    <w:rsid w:val="7BC62E00"/>
    <w:rsid w:val="7BE35E2A"/>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8642C8"/>
    <w:rsid w:val="7D9005BC"/>
    <w:rsid w:val="7D9F0AD0"/>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3"/>
    <w:qFormat/>
    <w:uiPriority w:val="0"/>
  </w:style>
  <w:style w:type="paragraph" w:customStyle="1" w:styleId="12">
    <w:name w:val="Default"/>
    <w:next w:val="13"/>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
    <w:name w:val="大标题"/>
    <w:basedOn w:val="1"/>
    <w:next w:val="14"/>
    <w:qFormat/>
    <w:uiPriority w:val="0"/>
    <w:pPr>
      <w:jc w:val="center"/>
    </w:pPr>
    <w:rPr>
      <w:rFonts w:ascii="Arial" w:hAnsi="Arial"/>
      <w:b/>
      <w:sz w:val="28"/>
    </w:rPr>
  </w:style>
  <w:style w:type="paragraph" w:styleId="14">
    <w:name w:val="Body Text First Indent 2"/>
    <w:basedOn w:val="15"/>
    <w:next w:val="1"/>
    <w:qFormat/>
    <w:uiPriority w:val="0"/>
    <w:pPr>
      <w:ind w:firstLine="420" w:firstLineChars="200"/>
    </w:pPr>
  </w:style>
  <w:style w:type="paragraph" w:styleId="15">
    <w:name w:val="Body Text Indent"/>
    <w:basedOn w:val="1"/>
    <w:next w:val="16"/>
    <w:qFormat/>
    <w:uiPriority w:val="0"/>
    <w:pPr>
      <w:widowControl/>
      <w:spacing w:beforeAutospacing="1" w:afterAutospacing="1"/>
      <w:jc w:val="left"/>
    </w:pPr>
    <w:rPr>
      <w:rFonts w:ascii="宋体" w:hAnsi="宋体" w:cs="宋体"/>
      <w:kern w:val="0"/>
      <w:sz w:val="24"/>
    </w:rPr>
  </w:style>
  <w:style w:type="paragraph" w:customStyle="1" w:styleId="16">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7">
    <w:name w:val="List 2"/>
    <w:basedOn w:val="1"/>
    <w:qFormat/>
    <w:uiPriority w:val="0"/>
    <w:pPr>
      <w:ind w:left="100" w:leftChars="200" w:hanging="200" w:hangingChars="200"/>
    </w:pPr>
  </w:style>
  <w:style w:type="paragraph" w:styleId="18">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qFormat/>
    <w:uiPriority w:val="0"/>
    <w:pPr>
      <w:tabs>
        <w:tab w:val="left" w:pos="709"/>
        <w:tab w:val="right" w:leader="dot" w:pos="8789"/>
      </w:tabs>
      <w:spacing w:line="400" w:lineRule="atLeast"/>
    </w:pPr>
    <w:rPr>
      <w:rFonts w:ascii="宋体"/>
      <w:kern w:val="0"/>
      <w:szCs w:val="20"/>
    </w:rPr>
  </w:style>
  <w:style w:type="paragraph" w:styleId="20">
    <w:name w:val="Plain Text"/>
    <w:basedOn w:val="1"/>
    <w:qFormat/>
    <w:uiPriority w:val="0"/>
    <w:pPr>
      <w:widowControl/>
      <w:spacing w:beforeAutospacing="1" w:afterAutospacing="1"/>
      <w:jc w:val="left"/>
    </w:pPr>
    <w:rPr>
      <w:rFonts w:ascii="宋体" w:hAnsi="宋体" w:cs="宋体"/>
      <w:kern w:val="0"/>
      <w:sz w:val="24"/>
    </w:rPr>
  </w:style>
  <w:style w:type="paragraph" w:styleId="21">
    <w:name w:val="Date"/>
    <w:basedOn w:val="1"/>
    <w:next w:val="1"/>
    <w:qFormat/>
    <w:uiPriority w:val="0"/>
    <w:pPr>
      <w:ind w:left="100" w:leftChars="2500"/>
    </w:pPr>
    <w:rPr>
      <w:rFonts w:ascii="宋体" w:hAnsi="宋体"/>
      <w:sz w:val="28"/>
    </w:rPr>
  </w:style>
  <w:style w:type="paragraph" w:styleId="22">
    <w:name w:val="Body Text Indent 2"/>
    <w:basedOn w:val="1"/>
    <w:qFormat/>
    <w:uiPriority w:val="0"/>
    <w:pPr>
      <w:spacing w:line="480" w:lineRule="auto"/>
      <w:ind w:left="420" w:leftChars="200"/>
    </w:p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envelope return"/>
    <w:basedOn w:val="1"/>
    <w:unhideWhenUsed/>
    <w:qFormat/>
    <w:uiPriority w:val="99"/>
    <w:pPr>
      <w:snapToGrid w:val="0"/>
    </w:pPr>
    <w:rPr>
      <w:rFonts w:ascii="Arial" w:hAnsi="Arial"/>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List"/>
    <w:basedOn w:val="1"/>
    <w:qFormat/>
    <w:uiPriority w:val="0"/>
    <w:pPr>
      <w:ind w:left="200" w:hanging="200" w:hangingChars="200"/>
    </w:pPr>
  </w:style>
  <w:style w:type="paragraph" w:styleId="28">
    <w:name w:val="Body Text 2"/>
    <w:basedOn w:val="1"/>
    <w:next w:val="11"/>
    <w:qFormat/>
    <w:uiPriority w:val="0"/>
    <w:pPr>
      <w:spacing w:line="480" w:lineRule="auto"/>
    </w:pPr>
  </w:style>
  <w:style w:type="paragraph" w:styleId="29">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qFormat/>
    <w:uiPriority w:val="99"/>
    <w:pPr>
      <w:spacing w:before="100" w:beforeAutospacing="1" w:after="100" w:afterAutospacing="1"/>
      <w:jc w:val="left"/>
    </w:pPr>
    <w:rPr>
      <w:kern w:val="0"/>
      <w:sz w:val="24"/>
    </w:rPr>
  </w:style>
  <w:style w:type="paragraph" w:styleId="32">
    <w:name w:val="Title"/>
    <w:basedOn w:val="1"/>
    <w:qFormat/>
    <w:uiPriority w:val="0"/>
    <w:pPr>
      <w:jc w:val="center"/>
      <w:outlineLvl w:val="0"/>
    </w:pPr>
    <w:rPr>
      <w:rFonts w:ascii="Arial" w:hAnsi="Arial" w:cs="Arial"/>
      <w:b/>
      <w:bCs/>
      <w:sz w:val="32"/>
      <w:szCs w:val="32"/>
    </w:rPr>
  </w:style>
  <w:style w:type="paragraph" w:styleId="33">
    <w:name w:val="Body Text First Indent"/>
    <w:basedOn w:val="11"/>
    <w:next w:val="14"/>
    <w:qFormat/>
    <w:uiPriority w:val="0"/>
    <w:pPr>
      <w:spacing w:line="360" w:lineRule="auto"/>
      <w:ind w:firstLine="420" w:firstLineChars="100"/>
    </w:pPr>
    <w:rPr>
      <w:szCs w:val="21"/>
    </w:rPr>
  </w:style>
  <w:style w:type="table" w:styleId="35">
    <w:name w:val="Table Grid"/>
    <w:basedOn w:val="3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szCs w:val="24"/>
    </w:rPr>
  </w:style>
  <w:style w:type="character" w:styleId="38">
    <w:name w:val="page number"/>
    <w:basedOn w:val="36"/>
    <w:qFormat/>
    <w:uiPriority w:val="0"/>
  </w:style>
  <w:style w:type="character" w:styleId="39">
    <w:name w:val="FollowedHyperlink"/>
    <w:qFormat/>
    <w:uiPriority w:val="0"/>
    <w:rPr>
      <w:color w:val="333333"/>
      <w:szCs w:val="24"/>
      <w:u w:val="none"/>
    </w:rPr>
  </w:style>
  <w:style w:type="character" w:styleId="40">
    <w:name w:val="Emphasis"/>
    <w:basedOn w:val="36"/>
    <w:qFormat/>
    <w:uiPriority w:val="0"/>
  </w:style>
  <w:style w:type="character" w:styleId="41">
    <w:name w:val="HTML Definition"/>
    <w:basedOn w:val="36"/>
    <w:qFormat/>
    <w:uiPriority w:val="0"/>
  </w:style>
  <w:style w:type="character" w:styleId="42">
    <w:name w:val="HTML Typewriter"/>
    <w:basedOn w:val="36"/>
    <w:qFormat/>
    <w:uiPriority w:val="0"/>
    <w:rPr>
      <w:rFonts w:hint="default" w:ascii="monospace" w:hAnsi="monospace" w:eastAsia="monospace" w:cs="monospace"/>
      <w:sz w:val="20"/>
    </w:rPr>
  </w:style>
  <w:style w:type="character" w:styleId="43">
    <w:name w:val="HTML Acronym"/>
    <w:basedOn w:val="36"/>
    <w:qFormat/>
    <w:uiPriority w:val="0"/>
  </w:style>
  <w:style w:type="character" w:styleId="44">
    <w:name w:val="HTML Variable"/>
    <w:basedOn w:val="36"/>
    <w:qFormat/>
    <w:uiPriority w:val="0"/>
  </w:style>
  <w:style w:type="character" w:styleId="45">
    <w:name w:val="Hyperlink"/>
    <w:basedOn w:val="36"/>
    <w:qFormat/>
    <w:uiPriority w:val="0"/>
    <w:rPr>
      <w:color w:val="333333"/>
      <w:szCs w:val="24"/>
      <w:u w:val="none"/>
    </w:rPr>
  </w:style>
  <w:style w:type="character" w:styleId="46">
    <w:name w:val="HTML Code"/>
    <w:basedOn w:val="36"/>
    <w:qFormat/>
    <w:uiPriority w:val="0"/>
    <w:rPr>
      <w:rFonts w:ascii="monospace" w:hAnsi="monospace" w:eastAsia="monospace" w:cs="monospace"/>
      <w:sz w:val="20"/>
    </w:rPr>
  </w:style>
  <w:style w:type="character" w:styleId="47">
    <w:name w:val="HTML Cite"/>
    <w:basedOn w:val="36"/>
    <w:qFormat/>
    <w:uiPriority w:val="0"/>
  </w:style>
  <w:style w:type="character" w:styleId="48">
    <w:name w:val="HTML Keyboard"/>
    <w:basedOn w:val="36"/>
    <w:qFormat/>
    <w:uiPriority w:val="0"/>
    <w:rPr>
      <w:rFonts w:hint="default" w:ascii="monospace" w:hAnsi="monospace" w:eastAsia="monospace" w:cs="monospace"/>
      <w:sz w:val="20"/>
    </w:rPr>
  </w:style>
  <w:style w:type="character" w:styleId="49">
    <w:name w:val="HTML Sample"/>
    <w:basedOn w:val="36"/>
    <w:qFormat/>
    <w:uiPriority w:val="0"/>
    <w:rPr>
      <w:rFonts w:hint="default" w:ascii="monospace" w:hAnsi="monospace" w:eastAsia="monospace" w:cs="monospace"/>
    </w:rPr>
  </w:style>
  <w:style w:type="paragraph" w:customStyle="1" w:styleId="50">
    <w:name w:val="无间隔1"/>
    <w:basedOn w:val="1"/>
    <w:qFormat/>
    <w:uiPriority w:val="1"/>
    <w:pPr>
      <w:spacing w:line="400" w:lineRule="exact"/>
    </w:pPr>
    <w:rPr>
      <w:sz w:val="24"/>
    </w:rPr>
  </w:style>
  <w:style w:type="paragraph" w:customStyle="1" w:styleId="51">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2">
    <w:name w:val="No Spacing1"/>
    <w:basedOn w:val="1"/>
    <w:qFormat/>
    <w:uiPriority w:val="0"/>
    <w:pPr>
      <w:spacing w:line="400" w:lineRule="exact"/>
    </w:pPr>
    <w:rPr>
      <w:sz w:val="24"/>
    </w:rPr>
  </w:style>
  <w:style w:type="paragraph" w:customStyle="1" w:styleId="5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qFormat/>
    <w:uiPriority w:val="0"/>
  </w:style>
  <w:style w:type="paragraph" w:customStyle="1" w:styleId="55">
    <w:name w:val="正文缩进1"/>
    <w:basedOn w:val="1"/>
    <w:qFormat/>
    <w:uiPriority w:val="0"/>
    <w:pPr>
      <w:widowControl/>
      <w:ind w:firstLine="420"/>
      <w:jc w:val="left"/>
    </w:pPr>
    <w:rPr>
      <w:kern w:val="0"/>
      <w:szCs w:val="20"/>
    </w:rPr>
  </w:style>
  <w:style w:type="paragraph" w:customStyle="1" w:styleId="56">
    <w:name w:val="列出段落2"/>
    <w:basedOn w:val="1"/>
    <w:qFormat/>
    <w:uiPriority w:val="34"/>
    <w:pPr>
      <w:ind w:firstLine="420" w:firstLineChars="200"/>
    </w:pPr>
  </w:style>
  <w:style w:type="paragraph" w:customStyle="1" w:styleId="57">
    <w:name w:val="plaintext"/>
    <w:basedOn w:val="1"/>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styleId="59">
    <w:name w:val="No Spacing"/>
    <w:qFormat/>
    <w:uiPriority w:val="1"/>
    <w:rPr>
      <w:rFonts w:ascii="Calibri" w:hAnsi="Calibri" w:eastAsia="宋体" w:cs="Times New Roman"/>
      <w:sz w:val="22"/>
      <w:szCs w:val="22"/>
      <w:lang w:val="en-US" w:eastAsia="zh-CN" w:bidi="ar-SA"/>
    </w:rPr>
  </w:style>
  <w:style w:type="paragraph" w:customStyle="1" w:styleId="60">
    <w:name w:val="_Style 2"/>
    <w:basedOn w:val="1"/>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qFormat/>
    <w:uiPriority w:val="0"/>
  </w:style>
  <w:style w:type="paragraph" w:customStyle="1" w:styleId="6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6"/>
    <w:link w:val="11"/>
    <w:qFormat/>
    <w:uiPriority w:val="0"/>
  </w:style>
  <w:style w:type="character" w:customStyle="1" w:styleId="74">
    <w:name w:val="apple-converted-space"/>
    <w:basedOn w:val="36"/>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14685</Words>
  <Characters>15537</Characters>
  <Lines>50</Lines>
  <Paragraphs>68</Paragraphs>
  <TotalTime>6</TotalTime>
  <ScaleCrop>false</ScaleCrop>
  <LinksUpToDate>false</LinksUpToDate>
  <CharactersWithSpaces>16480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2023-10-18T02:14:25Z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562A285641654D2EA086C4325B3B203C</vt:lpwstr>
  </property>
</Properties>
</file>