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7"/>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驻马店市中心医院第三方人力资源劳务派遣服务公司招标</w:t>
      </w:r>
    </w:p>
    <w:p>
      <w:pPr>
        <w:pStyle w:val="17"/>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7"/>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7"/>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7"/>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7"/>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rPr>
      </w:pPr>
    </w:p>
    <w:p>
      <w:pPr>
        <w:pStyle w:val="29"/>
        <w:pageBreakBefore w:val="0"/>
        <w:kinsoku/>
        <w:overflowPunct/>
        <w:topLinePunct w:val="0"/>
        <w:bidi w:val="0"/>
        <w:spacing w:beforeAutospacing="0" w:afterAutospacing="0" w:line="360" w:lineRule="auto"/>
        <w:rPr>
          <w:rFonts w:hint="eastAsia"/>
        </w:rPr>
      </w:pPr>
    </w:p>
    <w:p>
      <w:pPr>
        <w:pStyle w:val="58"/>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pageBreakBefore w:val="0"/>
        <w:kinsoku/>
        <w:overflowPunct/>
        <w:topLinePunct w:val="0"/>
        <w:bidi w:val="0"/>
        <w:spacing w:beforeAutospacing="0" w:afterAutospacing="0" w:line="360" w:lineRule="auto"/>
        <w:rPr>
          <w:color w:val="auto"/>
          <w:highlight w:val="none"/>
        </w:rPr>
      </w:pPr>
    </w:p>
    <w:p>
      <w:pPr>
        <w:pStyle w:val="22"/>
        <w:tabs>
          <w:tab w:val="right" w:leader="dot" w:pos="8958"/>
        </w:tabs>
        <w:spacing w:line="480" w:lineRule="auto"/>
        <w:rPr>
          <w:rFonts w:hint="eastAsia" w:ascii="宋体" w:hAnsi="宋体" w:eastAsia="宋体" w:cs="宋体"/>
          <w:sz w:val="24"/>
          <w:szCs w:val="32"/>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_Toc5702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第一章  </w:t>
      </w:r>
      <w:r>
        <w:rPr>
          <w:rFonts w:hint="eastAsia" w:ascii="宋体" w:hAnsi="宋体" w:eastAsia="宋体" w:cs="宋体"/>
          <w:sz w:val="24"/>
          <w:szCs w:val="40"/>
          <w:highlight w:val="none"/>
          <w:lang w:val="en-US" w:eastAsia="zh-CN"/>
        </w:rPr>
        <w:t>竞争性磋商采购</w:t>
      </w:r>
      <w:r>
        <w:rPr>
          <w:rFonts w:hint="eastAsia" w:ascii="宋体" w:hAnsi="宋体" w:eastAsia="宋体" w:cs="宋体"/>
          <w:sz w:val="24"/>
          <w:szCs w:val="40"/>
          <w:highlight w:val="none"/>
        </w:rPr>
        <w:t>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_Toc5702 \h </w:instrText>
      </w:r>
      <w:r>
        <w:rPr>
          <w:rFonts w:hint="eastAsia" w:ascii="宋体" w:hAnsi="宋体" w:eastAsia="宋体" w:cs="宋体"/>
          <w:sz w:val="24"/>
          <w:szCs w:val="32"/>
        </w:rPr>
        <w:fldChar w:fldCharType="separate"/>
      </w:r>
      <w:r>
        <w:rPr>
          <w:rFonts w:hint="eastAsia" w:ascii="宋体" w:hAnsi="宋体" w:eastAsia="宋体" w:cs="宋体"/>
          <w:sz w:val="24"/>
          <w:szCs w:val="32"/>
        </w:rPr>
        <w:t>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2"/>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_Toc412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第二章  </w:t>
      </w:r>
      <w:r>
        <w:rPr>
          <w:rFonts w:hint="eastAsia" w:ascii="宋体" w:hAnsi="宋体" w:eastAsia="宋体" w:cs="宋体"/>
          <w:sz w:val="24"/>
          <w:szCs w:val="40"/>
          <w:highlight w:val="none"/>
          <w:lang w:eastAsia="zh-CN"/>
        </w:rPr>
        <w:t>采购</w:t>
      </w:r>
      <w:r>
        <w:rPr>
          <w:rFonts w:hint="eastAsia" w:ascii="宋体" w:hAnsi="宋体" w:eastAsia="宋体" w:cs="宋体"/>
          <w:sz w:val="24"/>
          <w:szCs w:val="40"/>
          <w:highlight w:val="none"/>
        </w:rPr>
        <w:t>需求</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_Toc412 \h </w:instrText>
      </w:r>
      <w:r>
        <w:rPr>
          <w:rFonts w:hint="eastAsia" w:ascii="宋体" w:hAnsi="宋体" w:eastAsia="宋体" w:cs="宋体"/>
          <w:sz w:val="24"/>
          <w:szCs w:val="32"/>
        </w:rPr>
        <w:fldChar w:fldCharType="separate"/>
      </w:r>
      <w:r>
        <w:rPr>
          <w:rFonts w:hint="eastAsia" w:ascii="宋体" w:hAnsi="宋体" w:eastAsia="宋体" w:cs="宋体"/>
          <w:sz w:val="24"/>
          <w:szCs w:val="32"/>
        </w:rPr>
        <w:t>5</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2"/>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_Toc13209 </w:instrText>
      </w:r>
      <w:r>
        <w:rPr>
          <w:rFonts w:hint="eastAsia" w:ascii="宋体" w:hAnsi="宋体" w:eastAsia="宋体" w:cs="宋体"/>
          <w:bCs/>
          <w:sz w:val="24"/>
          <w:szCs w:val="44"/>
          <w:highlight w:val="none"/>
        </w:rPr>
        <w:fldChar w:fldCharType="separate"/>
      </w:r>
      <w:r>
        <w:rPr>
          <w:rFonts w:hint="eastAsia" w:ascii="宋体" w:hAnsi="宋体" w:eastAsia="宋体" w:cs="宋体"/>
          <w:bCs/>
          <w:sz w:val="24"/>
          <w:szCs w:val="40"/>
          <w:highlight w:val="none"/>
        </w:rPr>
        <w:t>第三章  投标人须知</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_Toc13209 \h </w:instrText>
      </w:r>
      <w:r>
        <w:rPr>
          <w:rFonts w:hint="eastAsia" w:ascii="宋体" w:hAnsi="宋体" w:eastAsia="宋体" w:cs="宋体"/>
          <w:sz w:val="24"/>
          <w:szCs w:val="32"/>
        </w:rPr>
        <w:fldChar w:fldCharType="separate"/>
      </w:r>
      <w:r>
        <w:rPr>
          <w:rFonts w:hint="eastAsia" w:ascii="宋体" w:hAnsi="宋体" w:eastAsia="宋体" w:cs="宋体"/>
          <w:sz w:val="24"/>
          <w:szCs w:val="32"/>
        </w:rPr>
        <w:t>7</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2"/>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_Toc3597 </w:instrText>
      </w:r>
      <w:r>
        <w:rPr>
          <w:rFonts w:hint="eastAsia" w:ascii="宋体" w:hAnsi="宋体" w:eastAsia="宋体" w:cs="宋体"/>
          <w:bCs/>
          <w:sz w:val="24"/>
          <w:szCs w:val="44"/>
          <w:highlight w:val="none"/>
        </w:rPr>
        <w:fldChar w:fldCharType="separate"/>
      </w:r>
      <w:r>
        <w:rPr>
          <w:rFonts w:hint="eastAsia" w:ascii="宋体" w:hAnsi="宋体" w:eastAsia="宋体" w:cs="宋体"/>
          <w:bCs/>
          <w:kern w:val="0"/>
          <w:sz w:val="24"/>
          <w:szCs w:val="40"/>
          <w:highlight w:val="none"/>
        </w:rPr>
        <w:t>第四章  评标办法及评分标准</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_Toc3597 \h </w:instrText>
      </w:r>
      <w:r>
        <w:rPr>
          <w:rFonts w:hint="eastAsia" w:ascii="宋体" w:hAnsi="宋体" w:eastAsia="宋体" w:cs="宋体"/>
          <w:sz w:val="24"/>
          <w:szCs w:val="32"/>
        </w:rPr>
        <w:fldChar w:fldCharType="separate"/>
      </w:r>
      <w:r>
        <w:rPr>
          <w:rFonts w:hint="eastAsia" w:ascii="宋体" w:hAnsi="宋体" w:eastAsia="宋体" w:cs="宋体"/>
          <w:sz w:val="24"/>
          <w:szCs w:val="32"/>
        </w:rPr>
        <w:t>20</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2"/>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_Toc24804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第五章  采购合同</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_Toc24804 \h </w:instrText>
      </w:r>
      <w:r>
        <w:rPr>
          <w:rFonts w:hint="eastAsia" w:ascii="宋体" w:hAnsi="宋体" w:eastAsia="宋体" w:cs="宋体"/>
          <w:sz w:val="24"/>
          <w:szCs w:val="32"/>
        </w:rPr>
        <w:fldChar w:fldCharType="separate"/>
      </w:r>
      <w:r>
        <w:rPr>
          <w:rFonts w:hint="eastAsia" w:ascii="宋体" w:hAnsi="宋体" w:eastAsia="宋体" w:cs="宋体"/>
          <w:sz w:val="24"/>
          <w:szCs w:val="32"/>
        </w:rPr>
        <w:t>22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2"/>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_Toc2116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第六章  投标文件格式</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_Toc2116 \h </w:instrText>
      </w:r>
      <w:r>
        <w:rPr>
          <w:rFonts w:hint="eastAsia" w:ascii="宋体" w:hAnsi="宋体" w:eastAsia="宋体" w:cs="宋体"/>
          <w:sz w:val="24"/>
          <w:szCs w:val="32"/>
        </w:rPr>
        <w:fldChar w:fldCharType="separate"/>
      </w:r>
      <w:r>
        <w:rPr>
          <w:rFonts w:hint="eastAsia" w:ascii="宋体" w:hAnsi="宋体" w:eastAsia="宋体" w:cs="宋体"/>
          <w:sz w:val="24"/>
          <w:szCs w:val="32"/>
        </w:rPr>
        <w:t>23</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2"/>
        <w:tabs>
          <w:tab w:val="right" w:leader="dot" w:pos="8958"/>
        </w:tabs>
      </w:pPr>
    </w:p>
    <w:p>
      <w:pPr>
        <w:pStyle w:val="82"/>
        <w:pageBreakBefore w:val="0"/>
        <w:tabs>
          <w:tab w:val="right" w:leader="dot" w:pos="8300"/>
        </w:tabs>
        <w:kinsoku/>
        <w:overflowPunct/>
        <w:topLinePunct w:val="0"/>
        <w:bidi w:val="0"/>
        <w:snapToGrid w:val="0"/>
        <w:spacing w:beforeAutospacing="0" w:afterAutospacing="0" w:line="480" w:lineRule="auto"/>
        <w:rPr>
          <w:rFonts w:ascii="宋体" w:hAnsi="宋体" w:cs="宋体"/>
          <w:color w:val="auto"/>
          <w:sz w:val="32"/>
          <w:szCs w:val="32"/>
          <w:highlight w:val="none"/>
        </w:rPr>
      </w:pPr>
      <w:r>
        <w:rPr>
          <w:rFonts w:hint="eastAsia" w:ascii="宋体" w:hAnsi="宋体" w:cs="宋体"/>
          <w:bCs/>
          <w:color w:val="auto"/>
          <w:szCs w:val="36"/>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5702"/>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4"/>
          <w:szCs w:val="24"/>
          <w:u w:val="none"/>
          <w:lang w:val="en-US" w:eastAsia="zh-CN"/>
        </w:rPr>
      </w:pPr>
      <w:r>
        <w:rPr>
          <w:rFonts w:hint="eastAsia" w:ascii="黑体" w:hAnsi="黑体" w:eastAsia="黑体" w:cs="宋体"/>
          <w:bCs/>
          <w:color w:val="auto"/>
          <w:kern w:val="0"/>
          <w:sz w:val="24"/>
          <w:szCs w:val="24"/>
          <w:u w:val="none"/>
          <w:lang w:val="en-US" w:eastAsia="zh-CN"/>
        </w:rPr>
        <w:t>驻马店市中心医院第三方人力资源劳务派遣服务公司招标</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4"/>
          <w:szCs w:val="24"/>
          <w:u w:val="none"/>
          <w:lang w:val="en-US" w:eastAsia="zh-CN"/>
        </w:rPr>
        <w:t>竞争性磋商</w:t>
      </w:r>
      <w:r>
        <w:rPr>
          <w:rFonts w:hint="eastAsia" w:ascii="黑体" w:hAnsi="黑体" w:eastAsia="黑体" w:cs="宋体"/>
          <w:bCs/>
          <w:color w:val="auto"/>
          <w:kern w:val="0"/>
          <w:sz w:val="24"/>
          <w:szCs w:val="24"/>
        </w:rPr>
        <w:t>公告</w:t>
      </w:r>
    </w:p>
    <w:p>
      <w:pPr>
        <w:pageBreakBefore w:val="0"/>
        <w:kinsoku/>
        <w:overflowPunct/>
        <w:topLinePunct w:val="0"/>
        <w:bidi w:val="0"/>
        <w:snapToGrid w:val="0"/>
        <w:spacing w:beforeAutospacing="0" w:afterAutospacing="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cs="宋体"/>
          <w:color w:val="auto"/>
          <w:sz w:val="24"/>
          <w:szCs w:val="24"/>
          <w:u w:val="single"/>
          <w:lang w:val="en-US" w:eastAsia="zh-CN"/>
        </w:rPr>
        <w:t>驻马店市中心医院第三方人力资源劳务派遣服务公司招标</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驻马店市中心医院第三方人力资源劳务派遣服务公司招标</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预算金额：</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自筹资金；</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4、</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地点：采购人指定地点；</w:t>
      </w:r>
    </w:p>
    <w:p>
      <w:pPr>
        <w:pageBreakBefore w:val="0"/>
        <w:kinsoku/>
        <w:overflowPunct/>
        <w:topLinePunct w:val="0"/>
        <w:bidi w:val="0"/>
        <w:snapToGrid w:val="0"/>
        <w:spacing w:beforeAutospacing="0" w:afterAutospacing="0" w:line="360" w:lineRule="auto"/>
        <w:ind w:firstLine="480" w:firstLineChars="200"/>
        <w:rPr>
          <w:rFonts w:hint="default" w:ascii="宋体" w:hAnsi="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5、服务期限：一年</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pPr>
      <w:bookmarkStart w:id="4" w:name="_Toc27704"/>
      <w:bookmarkStart w:id="5" w:name="_Toc23626"/>
      <w:bookmarkStart w:id="6" w:name="_Toc18607"/>
      <w:bookmarkStart w:id="7" w:name="_Toc1663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bookmarkStart w:id="8" w:name="_Toc7823"/>
      <w:bookmarkStart w:id="9" w:name="_Toc9562"/>
      <w:bookmarkStart w:id="10" w:name="_Toc23395"/>
      <w:bookmarkStart w:id="11" w:name="_Toc30971"/>
      <w:bookmarkStart w:id="12" w:name="_Toc30643"/>
      <w:r>
        <w:rPr>
          <w:rFonts w:hint="eastAsia" w:ascii="宋体" w:hAnsi="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7、供应商须具备有效期内的《劳务派遣经营许可证》；</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8、不接受联合体投标，不允许投标人对本招标项目以任何方式转包或分包本项目</w:t>
      </w:r>
      <w:r>
        <w:rPr>
          <w:rFonts w:hint="eastAsia" w:ascii="宋体" w:hAnsi="宋体" w:eastAsia="宋体" w:cs="宋体"/>
          <w:color w:val="auto"/>
          <w:kern w:val="2"/>
          <w:sz w:val="24"/>
          <w:szCs w:val="24"/>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beforeAutospacing="0" w:afterAutospacing="0" w:line="360" w:lineRule="auto"/>
        <w:ind w:firstLine="480" w:firstLineChars="200"/>
        <w:jc w:val="left"/>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0000FF"/>
          <w:sz w:val="24"/>
          <w:szCs w:val="24"/>
          <w:shd w:val="clear" w:color="auto" w:fill="FFFFFF"/>
        </w:rPr>
        <w:t>20</w:t>
      </w:r>
      <w:r>
        <w:rPr>
          <w:rFonts w:hint="eastAsia" w:ascii="宋体" w:hAnsi="宋体" w:cs="宋体"/>
          <w:color w:val="0000FF"/>
          <w:sz w:val="24"/>
          <w:szCs w:val="24"/>
          <w:shd w:val="clear" w:color="auto" w:fill="FFFFFF"/>
          <w:lang w:val="en-US" w:eastAsia="zh-CN"/>
        </w:rPr>
        <w:t>23</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28</w:t>
      </w:r>
      <w:r>
        <w:rPr>
          <w:rFonts w:hint="eastAsia" w:ascii="宋体" w:hAnsi="宋体" w:eastAsia="宋体" w:cs="宋体"/>
          <w:color w:val="0000FF"/>
          <w:sz w:val="24"/>
          <w:szCs w:val="24"/>
          <w:highlight w:val="none"/>
          <w:shd w:val="clear" w:color="auto" w:fill="FFFFFF"/>
        </w:rPr>
        <w:t>日-202</w:t>
      </w:r>
      <w:r>
        <w:rPr>
          <w:rFonts w:hint="eastAsia" w:ascii="宋体" w:hAnsi="宋体" w:cs="宋体"/>
          <w:color w:val="0000FF"/>
          <w:sz w:val="24"/>
          <w:szCs w:val="24"/>
          <w:highlight w:val="none"/>
          <w:shd w:val="clear" w:color="auto" w:fill="FFFFFF"/>
          <w:lang w:val="en-US" w:eastAsia="zh-CN"/>
        </w:rPr>
        <w:t>3</w:t>
      </w:r>
      <w:r>
        <w:rPr>
          <w:rFonts w:hint="eastAsia" w:ascii="宋体" w:hAnsi="宋体" w:eastAsia="宋体" w:cs="宋体"/>
          <w:color w:val="0000FF"/>
          <w:sz w:val="24"/>
          <w:szCs w:val="24"/>
          <w:highlight w:val="none"/>
          <w:shd w:val="clear" w:color="auto" w:fill="FFFFFF"/>
        </w:rPr>
        <w:t>年</w:t>
      </w:r>
      <w:r>
        <w:rPr>
          <w:rFonts w:hint="eastAsia" w:ascii="宋体" w:hAnsi="宋体" w:cs="宋体"/>
          <w:color w:val="0000FF"/>
          <w:sz w:val="24"/>
          <w:szCs w:val="24"/>
          <w:highlight w:val="none"/>
          <w:shd w:val="clear" w:color="auto" w:fill="FFFFFF"/>
          <w:lang w:val="en-US" w:eastAsia="zh-CN"/>
        </w:rPr>
        <w:t>10</w:t>
      </w:r>
      <w:r>
        <w:rPr>
          <w:rFonts w:hint="eastAsia" w:ascii="宋体" w:hAnsi="宋体" w:eastAsia="宋体" w:cs="宋体"/>
          <w:color w:val="0000FF"/>
          <w:sz w:val="24"/>
          <w:szCs w:val="24"/>
          <w:highlight w:val="none"/>
          <w:shd w:val="clear" w:color="auto" w:fill="FFFFFF"/>
        </w:rPr>
        <w:t>月</w:t>
      </w:r>
      <w:r>
        <w:rPr>
          <w:rFonts w:hint="eastAsia" w:ascii="宋体" w:hAnsi="宋体" w:cs="宋体"/>
          <w:color w:val="0000FF"/>
          <w:sz w:val="24"/>
          <w:szCs w:val="24"/>
          <w:highlight w:val="none"/>
          <w:shd w:val="clear" w:color="auto" w:fill="FFFFFF"/>
          <w:lang w:val="en-US" w:eastAsia="zh-CN"/>
        </w:rPr>
        <w:t>8</w:t>
      </w:r>
      <w:r>
        <w:rPr>
          <w:rFonts w:hint="eastAsia" w:ascii="宋体" w:hAnsi="宋体" w:eastAsia="宋体" w:cs="宋体"/>
          <w:color w:val="0000FF"/>
          <w:sz w:val="24"/>
          <w:szCs w:val="24"/>
          <w:highlight w:val="none"/>
          <w:shd w:val="clear" w:color="auto" w:fill="FFFFFF"/>
        </w:rPr>
        <w:t>日</w:t>
      </w:r>
      <w:r>
        <w:rPr>
          <w:rFonts w:hint="eastAsia" w:ascii="宋体" w:hAnsi="宋体" w:eastAsia="宋体" w:cs="宋体"/>
          <w:color w:val="0000FF"/>
          <w:sz w:val="24"/>
          <w:szCs w:val="24"/>
          <w:shd w:val="clear" w:color="auto" w:fill="FFFFFF"/>
        </w:rPr>
        <w:t>，</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4"/>
          <w:szCs w:val="24"/>
          <w:shd w:val="clear" w:color="auto" w:fill="FFFFFF"/>
          <w:lang w:val="en-US" w:eastAsia="zh-CN" w:bidi="ar-SA"/>
        </w:rPr>
        <w:t xml:space="preserve">单，一年内不得参与我院任何采购活动。中标供应商缴纳相应服务费。 </w:t>
      </w:r>
    </w:p>
    <w:p>
      <w:pPr>
        <w:pageBreakBefore w:val="0"/>
        <w:widowControl/>
        <w:kinsoku/>
        <w:wordWrap w:val="0"/>
        <w:overflowPunct/>
        <w:topLinePunct w:val="0"/>
        <w:bidi w:val="0"/>
        <w:snapToGrid w:val="0"/>
        <w:spacing w:beforeAutospacing="0" w:afterAutospacing="0" w:line="360" w:lineRule="auto"/>
        <w:ind w:left="0" w:leftChars="0" w:firstLine="480" w:firstLineChars="200"/>
        <w:jc w:val="left"/>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1150105437</w:t>
      </w:r>
      <w:r>
        <w:rPr>
          <w:rFonts w:hint="eastAsia" w:ascii="宋体" w:hAnsi="宋体" w:eastAsia="宋体" w:cs="宋体"/>
          <w:color w:val="auto"/>
          <w:kern w:val="0"/>
          <w:sz w:val="24"/>
          <w:szCs w:val="24"/>
          <w:shd w:val="clear" w:color="auto" w:fill="FFFFFF"/>
          <w:lang w:val="en-US" w:eastAsia="zh-CN" w:bidi="ar-SA"/>
        </w:rPr>
        <w:t>@qq.com并标明XX公司XX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eastAsia="宋体" w:cs="宋体"/>
          <w:color w:val="auto"/>
          <w:kern w:val="0"/>
          <w:sz w:val="24"/>
          <w:szCs w:val="24"/>
          <w:shd w:val="clear" w:color="auto" w:fill="FFFFFF"/>
          <w:lang w:val="en-US" w:eastAsia="zh-CN" w:bidi="ar-SA"/>
        </w:rPr>
        <w:t>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wordWrap w:val="0"/>
        <w:overflowPunct/>
        <w:topLinePunct w:val="0"/>
        <w:bidi w:val="0"/>
        <w:snapToGrid w:val="0"/>
        <w:spacing w:beforeAutospacing="0" w:afterAutospacing="0" w:line="360" w:lineRule="auto"/>
        <w:ind w:left="420" w:left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3" w:name="_Toc25869"/>
      <w:bookmarkStart w:id="14" w:name="_Toc27480"/>
      <w:bookmarkStart w:id="15" w:name="_Toc10738"/>
      <w:bookmarkStart w:id="16" w:name="_Toc15135"/>
      <w:bookmarkStart w:id="17" w:name="_Toc15111"/>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highlight w:val="none"/>
          <w:lang w:val="en-US" w:eastAsia="zh-CN" w:bidi="ar-SA"/>
        </w:rPr>
      </w:pPr>
      <w:bookmarkStart w:id="24" w:name="_Toc31928"/>
      <w:bookmarkStart w:id="25" w:name="_Toc24274"/>
      <w:bookmarkStart w:id="26" w:name="_Toc27370"/>
      <w:bookmarkStart w:id="27" w:name="_Toc3604"/>
      <w:bookmarkStart w:id="28" w:name="_Toc16291"/>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报名联系人：王女士</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联系电话：0396-2858369    18639627370</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联系邮箱：zxyyjzcgbgs@163.com</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Autospacing="0" w:afterAutospacing="0" w:line="360" w:lineRule="auto"/>
        <w:ind w:firstLine="480" w:firstLineChars="200"/>
        <w:jc w:val="left"/>
        <w:rPr>
          <w:rFonts w:hint="eastAsia"/>
          <w:sz w:val="24"/>
          <w:szCs w:val="24"/>
          <w:lang w:val="en-US" w:eastAsia="zh-CN"/>
        </w:rPr>
      </w:pPr>
      <w:r>
        <w:rPr>
          <w:rFonts w:hint="eastAsia" w:ascii="宋体" w:hAnsi="宋体" w:eastAsia="宋体" w:cs="宋体"/>
          <w:color w:val="auto"/>
          <w:kern w:val="0"/>
          <w:sz w:val="24"/>
          <w:szCs w:val="24"/>
          <w:shd w:val="clear" w:color="auto" w:fill="FFFFFF"/>
          <w:lang w:val="en-US" w:eastAsia="zh-CN" w:bidi="ar-SA"/>
        </w:rPr>
        <w:t>监督电话：0396-2726678</w:t>
      </w:r>
    </w:p>
    <w:p>
      <w:pPr>
        <w:pStyle w:val="30"/>
        <w:pageBreakBefore w:val="0"/>
        <w:kinsoku/>
        <w:overflowPunct/>
        <w:topLinePunct w:val="0"/>
        <w:bidi w:val="0"/>
        <w:spacing w:beforeAutospacing="0" w:afterAutospacing="0" w:line="360" w:lineRule="auto"/>
        <w:rPr>
          <w:rFonts w:hint="eastAsia"/>
          <w:sz w:val="24"/>
          <w:szCs w:val="24"/>
          <w:lang w:val="en-US" w:eastAsia="zh-CN"/>
        </w:rPr>
      </w:pPr>
    </w:p>
    <w:p>
      <w:pPr>
        <w:pageBreakBefore w:val="0"/>
        <w:widowControl/>
        <w:kinsoku/>
        <w:overflowPunct/>
        <w:topLinePunct w:val="0"/>
        <w:bidi w:val="0"/>
        <w:snapToGrid w:val="0"/>
        <w:spacing w:beforeAutospacing="0" w:afterAutospacing="0" w:line="360" w:lineRule="auto"/>
        <w:ind w:firstLine="480" w:firstLineChars="200"/>
        <w:jc w:val="right"/>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驻马</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店市中心医院采购科</w:t>
      </w:r>
    </w:p>
    <w:p>
      <w:pPr>
        <w:pStyle w:val="27"/>
        <w:pageBreakBefore w:val="0"/>
        <w:widowControl/>
        <w:kinsoku/>
        <w:overflowPunct/>
        <w:topLinePunct w:val="0"/>
        <w:bidi w:val="0"/>
        <w:snapToGrid w:val="0"/>
        <w:spacing w:before="0" w:beforeAutospacing="0" w:after="0" w:afterAutospacing="0" w:line="360" w:lineRule="auto"/>
        <w:ind w:firstLine="480" w:firstLineChars="200"/>
        <w:jc w:val="center"/>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 xml:space="preserve">                                                     </w:t>
      </w:r>
      <w:r>
        <w:rPr>
          <w:rFonts w:hint="eastAsia" w:ascii="宋体" w:hAnsi="宋体" w:eastAsia="宋体" w:cs="宋体"/>
          <w:color w:val="0000FF"/>
          <w:kern w:val="0"/>
          <w:sz w:val="24"/>
          <w:szCs w:val="24"/>
          <w:shd w:val="clear" w:color="auto" w:fill="FFFFFF"/>
          <w:lang w:val="en-US" w:eastAsia="zh-CN" w:bidi="ar-SA"/>
        </w:rPr>
        <w:t>202</w:t>
      </w:r>
      <w:r>
        <w:rPr>
          <w:rFonts w:hint="eastAsia" w:ascii="宋体" w:hAnsi="宋体" w:cs="宋体"/>
          <w:color w:val="0000FF"/>
          <w:kern w:val="0"/>
          <w:sz w:val="24"/>
          <w:szCs w:val="24"/>
          <w:shd w:val="clear" w:color="auto" w:fill="FFFFFF"/>
          <w:lang w:val="en-US" w:eastAsia="zh-CN" w:bidi="ar-SA"/>
        </w:rPr>
        <w:t>3</w:t>
      </w:r>
      <w:r>
        <w:rPr>
          <w:rFonts w:hint="eastAsia" w:ascii="宋体" w:hAnsi="宋体" w:eastAsia="宋体" w:cs="宋体"/>
          <w:color w:val="0000FF"/>
          <w:kern w:val="0"/>
          <w:sz w:val="24"/>
          <w:szCs w:val="24"/>
          <w:shd w:val="clear" w:color="auto" w:fill="FFFFFF"/>
          <w:lang w:val="en-US" w:eastAsia="zh-CN" w:bidi="ar-SA"/>
        </w:rPr>
        <w:t>年</w:t>
      </w:r>
      <w:r>
        <w:rPr>
          <w:rFonts w:hint="eastAsia" w:ascii="宋体" w:hAnsi="宋体" w:cs="宋体"/>
          <w:color w:val="0000FF"/>
          <w:kern w:val="0"/>
          <w:sz w:val="24"/>
          <w:szCs w:val="24"/>
          <w:shd w:val="clear" w:color="auto" w:fill="FFFFFF"/>
          <w:lang w:val="en-US" w:eastAsia="zh-CN" w:bidi="ar-SA"/>
        </w:rPr>
        <w:t>9</w:t>
      </w:r>
      <w:r>
        <w:rPr>
          <w:rFonts w:hint="eastAsia" w:ascii="宋体" w:hAnsi="宋体" w:eastAsia="宋体" w:cs="宋体"/>
          <w:color w:val="0000FF"/>
          <w:kern w:val="0"/>
          <w:sz w:val="24"/>
          <w:szCs w:val="24"/>
          <w:shd w:val="clear" w:color="auto" w:fill="FFFFFF"/>
          <w:lang w:val="en-US" w:eastAsia="zh-CN" w:bidi="ar-SA"/>
        </w:rPr>
        <w:t>月</w:t>
      </w:r>
      <w:r>
        <w:rPr>
          <w:rFonts w:hint="eastAsia" w:ascii="宋体" w:hAnsi="宋体" w:cs="宋体"/>
          <w:color w:val="0000FF"/>
          <w:kern w:val="0"/>
          <w:sz w:val="24"/>
          <w:szCs w:val="24"/>
          <w:shd w:val="clear" w:color="auto" w:fill="FFFFFF"/>
          <w:lang w:val="en-US" w:eastAsia="zh-CN" w:bidi="ar-SA"/>
        </w:rPr>
        <w:t>27</w:t>
      </w:r>
      <w:bookmarkStart w:id="94" w:name="_GoBack"/>
      <w:bookmarkEnd w:id="94"/>
      <w:r>
        <w:rPr>
          <w:rFonts w:hint="eastAsia" w:ascii="宋体" w:hAnsi="宋体" w:eastAsia="宋体" w:cs="宋体"/>
          <w:color w:val="0000FF"/>
          <w:kern w:val="0"/>
          <w:sz w:val="24"/>
          <w:szCs w:val="24"/>
          <w:highlight w:val="none"/>
          <w:shd w:val="clear" w:color="auto" w:fill="FFFFFF"/>
          <w:lang w:val="en-US" w:eastAsia="zh-CN" w:bidi="ar-SA"/>
        </w:rPr>
        <w:t>日</w:t>
      </w:r>
    </w:p>
    <w:p>
      <w:pPr>
        <w:pageBreakBefore w:val="0"/>
        <w:widowControl/>
        <w:kinsoku/>
        <w:overflowPunct/>
        <w:topLinePunct w:val="0"/>
        <w:bidi w:val="0"/>
        <w:spacing w:beforeAutospacing="0" w:afterAutospacing="0" w:line="360" w:lineRule="auto"/>
        <w:ind w:firstLine="643" w:firstLineChars="200"/>
        <w:jc w:val="center"/>
        <w:outlineLvl w:val="0"/>
        <w:rPr>
          <w:rFonts w:ascii="宋体" w:hAnsi="宋体"/>
          <w:b/>
          <w:color w:val="auto"/>
          <w:sz w:val="32"/>
          <w:szCs w:val="32"/>
          <w:highlight w:val="none"/>
        </w:rPr>
      </w:pPr>
      <w:bookmarkStart w:id="29" w:name="_Toc412"/>
      <w:bookmarkStart w:id="30" w:name="_Toc23793"/>
      <w:bookmarkStart w:id="31"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23610"/>
      <w:bookmarkStart w:id="34" w:name="_Toc31536"/>
    </w:p>
    <w:bookmarkEnd w:id="30"/>
    <w:bookmarkEnd w:id="31"/>
    <w:bookmarkEnd w:id="32"/>
    <w:bookmarkEnd w:id="33"/>
    <w:bookmarkEnd w:id="34"/>
    <w:p>
      <w:pPr>
        <w:pStyle w:val="12"/>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cs="宋体"/>
          <w:b/>
          <w:bCs/>
          <w:kern w:val="2"/>
          <w:sz w:val="24"/>
          <w:szCs w:val="24"/>
          <w:lang w:val="en-US" w:eastAsia="zh-CN" w:bidi="ar-SA"/>
        </w:rPr>
        <w:t>一、</w:t>
      </w:r>
      <w:r>
        <w:rPr>
          <w:rFonts w:hint="eastAsia" w:ascii="宋体" w:hAnsi="宋体" w:eastAsia="宋体" w:cs="宋体"/>
          <w:b/>
          <w:bCs/>
          <w:kern w:val="2"/>
          <w:sz w:val="24"/>
          <w:szCs w:val="24"/>
          <w:lang w:val="en-US" w:eastAsia="zh-CN" w:bidi="ar-SA"/>
        </w:rPr>
        <w:t>项目名称：</w:t>
      </w:r>
      <w:r>
        <w:rPr>
          <w:rFonts w:hint="eastAsia" w:cs="宋体"/>
          <w:kern w:val="2"/>
          <w:sz w:val="24"/>
          <w:szCs w:val="24"/>
          <w:lang w:val="en-US" w:eastAsia="zh-CN" w:bidi="ar-SA"/>
        </w:rPr>
        <w:t>驻马店市中心医院第三方人力资源劳务派遣服务公司招标</w:t>
      </w:r>
    </w:p>
    <w:p>
      <w:pPr>
        <w:pStyle w:val="12"/>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kern w:val="2"/>
          <w:sz w:val="24"/>
          <w:szCs w:val="24"/>
          <w:lang w:val="en-US" w:eastAsia="zh-CN" w:bidi="ar-SA"/>
        </w:rPr>
      </w:pPr>
      <w:r>
        <w:rPr>
          <w:rFonts w:hint="eastAsia" w:cs="宋体"/>
          <w:b/>
          <w:bCs/>
          <w:kern w:val="2"/>
          <w:sz w:val="24"/>
          <w:szCs w:val="24"/>
          <w:lang w:val="en-US" w:eastAsia="zh-CN" w:bidi="ar-SA"/>
        </w:rPr>
        <w:t>二、项目用途说明：为了开源节流降成本，满足我院临床、医技科室用人的弹性需求 ，保障医院工作更加规范、有序，为患者提供全面优质服务，现拟招一家第三方人力资源劳务派遣服务公司</w:t>
      </w:r>
      <w:r>
        <w:rPr>
          <w:rFonts w:hint="eastAsia" w:cs="宋体"/>
          <w:b w:val="0"/>
          <w:bCs w:val="0"/>
          <w:kern w:val="2"/>
          <w:sz w:val="24"/>
          <w:szCs w:val="24"/>
          <w:lang w:val="en-US" w:eastAsia="zh-CN" w:bidi="ar-SA"/>
        </w:rPr>
        <w:t>。</w:t>
      </w:r>
    </w:p>
    <w:p>
      <w:pPr>
        <w:pStyle w:val="12"/>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b/>
          <w:bCs/>
          <w:kern w:val="2"/>
          <w:sz w:val="24"/>
          <w:szCs w:val="24"/>
          <w:lang w:val="en-US" w:eastAsia="zh-CN" w:bidi="ar-SA"/>
        </w:rPr>
      </w:pPr>
      <w:r>
        <w:rPr>
          <w:rFonts w:hint="eastAsia" w:cs="宋体"/>
          <w:b/>
          <w:bCs/>
          <w:kern w:val="2"/>
          <w:sz w:val="24"/>
          <w:szCs w:val="24"/>
          <w:lang w:val="en-US" w:eastAsia="zh-CN" w:bidi="ar-SA"/>
        </w:rPr>
        <w:t>三、配置规格、附件及零配件（包括专用工具）：</w:t>
      </w:r>
    </w:p>
    <w:tbl>
      <w:tblPr>
        <w:tblStyle w:val="31"/>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50"/>
        <w:gridCol w:w="1425"/>
        <w:gridCol w:w="1181"/>
        <w:gridCol w:w="135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850"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标的名称</w:t>
            </w:r>
          </w:p>
        </w:tc>
        <w:tc>
          <w:tcPr>
            <w:tcW w:w="1425"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数量或规模</w:t>
            </w:r>
          </w:p>
        </w:tc>
        <w:tc>
          <w:tcPr>
            <w:tcW w:w="1181"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单位</w:t>
            </w:r>
          </w:p>
        </w:tc>
        <w:tc>
          <w:tcPr>
            <w:tcW w:w="1350"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资金预算</w:t>
            </w:r>
          </w:p>
        </w:tc>
        <w:tc>
          <w:tcPr>
            <w:tcW w:w="1422"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850"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第三方人力资源劳务派遣服务公司</w:t>
            </w:r>
          </w:p>
        </w:tc>
        <w:tc>
          <w:tcPr>
            <w:tcW w:w="1425" w:type="dxa"/>
            <w:tcBorders>
              <w:top w:val="single" w:color="auto" w:sz="4" w:space="0"/>
              <w:left w:val="nil"/>
              <w:bottom w:val="single" w:color="auto" w:sz="4" w:space="0"/>
              <w:right w:val="single" w:color="auto" w:sz="4" w:space="0"/>
            </w:tcBorders>
            <w:vAlign w:val="center"/>
          </w:tcPr>
          <w:p>
            <w:pPr>
              <w:pStyle w:val="1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181"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家</w:t>
            </w:r>
          </w:p>
        </w:tc>
        <w:tc>
          <w:tcPr>
            <w:tcW w:w="1350"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50元/月/人</w:t>
            </w:r>
          </w:p>
        </w:tc>
        <w:tc>
          <w:tcPr>
            <w:tcW w:w="1422" w:type="dxa"/>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医院自筹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09" w:type="dxa"/>
            <w:tcBorders>
              <w:top w:val="single" w:color="auto" w:sz="4" w:space="0"/>
              <w:left w:val="single" w:color="auto" w:sz="4" w:space="0"/>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备注</w:t>
            </w:r>
          </w:p>
        </w:tc>
        <w:tc>
          <w:tcPr>
            <w:tcW w:w="8228" w:type="dxa"/>
            <w:gridSpan w:val="5"/>
            <w:tcBorders>
              <w:top w:val="single" w:color="auto" w:sz="4" w:space="0"/>
              <w:left w:val="nil"/>
              <w:bottom w:val="single" w:color="auto" w:sz="4" w:space="0"/>
              <w:right w:val="single" w:color="auto" w:sz="4" w:space="0"/>
            </w:tcBorders>
            <w:vAlign w:val="center"/>
          </w:tcPr>
          <w:p>
            <w:pPr>
              <w:pStyle w:val="12"/>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服务期限一年，此价格为免责、含税价格</w:t>
            </w:r>
          </w:p>
        </w:tc>
      </w:tr>
    </w:tbl>
    <w:p>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详细技术要求：</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（1）受驻马店市中心医院委托，招聘各类技能人才（包含发布公告、接受报名、协助医院人事科进行资格审查、协助面试）；</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（2）用工形式为劳务派遣，负责与受聘人员签订用工合同；</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（3）负责具体的日常劳动事务管理工作，如代理缴纳社保、代发工资、人员的输出调节等事务；</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（4）社保按照我市有关规定执行，中标人在缴纳社保后，不得额外克扣工资；</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（5）中标人于每月10 日前，到医院人事科收集人力资源服务人员上月出勤考核表，考勤周期为每月10日至下月9 日为止；</w:t>
      </w:r>
    </w:p>
    <w:p>
      <w:pPr>
        <w:pStyle w:val="1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（6）中标人于每月末前，核算出当月的管理费用并提交给采购人《如遇节假日提前)，采购人须在当天核对确认。</w:t>
      </w:r>
    </w:p>
    <w:p>
      <w:pPr>
        <w:pStyle w:val="12"/>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r>
        <w:rPr>
          <w:rFonts w:hint="eastAsia" w:cs="宋体"/>
          <w:b/>
          <w:bCs/>
          <w:kern w:val="2"/>
          <w:sz w:val="24"/>
          <w:szCs w:val="24"/>
          <w:lang w:val="en-US" w:eastAsia="zh-CN" w:bidi="ar-SA"/>
        </w:rPr>
        <w:t>、</w:t>
      </w:r>
      <w:r>
        <w:rPr>
          <w:rFonts w:hint="eastAsia" w:ascii="宋体" w:hAnsi="宋体" w:eastAsia="宋体" w:cs="宋体"/>
          <w:b/>
          <w:bCs/>
          <w:kern w:val="2"/>
          <w:sz w:val="24"/>
          <w:szCs w:val="24"/>
          <w:lang w:val="en-US" w:eastAsia="zh-CN" w:bidi="ar-SA"/>
        </w:rPr>
        <w:t>售后服务条件：</w:t>
      </w:r>
    </w:p>
    <w:p>
      <w:pPr>
        <w:pStyle w:val="1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在服务期内由医院根据派遣人员考核结果，按照“元/月/人”的标准向第三方人力资源服务公司支付管理费用。                           </w:t>
      </w:r>
    </w:p>
    <w:p>
      <w:pPr>
        <w:pStyle w:val="12"/>
        <w:keepNext w:val="0"/>
        <w:keepLines w:val="0"/>
        <w:pageBreakBefore w:val="0"/>
        <w:kinsoku/>
        <w:wordWrap/>
        <w:overflowPunct/>
        <w:topLinePunct w:val="0"/>
        <w:autoSpaceDE/>
        <w:autoSpaceDN/>
        <w:bidi w:val="0"/>
        <w:adjustRightInd/>
        <w:snapToGrid/>
        <w:spacing w:beforeAutospacing="0" w:afterAutospacing="0" w:line="360" w:lineRule="auto"/>
        <w:jc w:val="center"/>
        <w:rPr>
          <w:b/>
          <w:bCs/>
          <w:color w:val="auto"/>
          <w:sz w:val="24"/>
          <w:szCs w:val="24"/>
          <w:highlight w:val="none"/>
        </w:rPr>
      </w:pPr>
      <w:r>
        <w:rPr>
          <w:rFonts w:hint="eastAsia"/>
          <w:b/>
          <w:bCs/>
          <w:color w:val="auto"/>
          <w:sz w:val="24"/>
          <w:szCs w:val="24"/>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自中标通知书发出之日起</w:t>
            </w:r>
            <w:r>
              <w:rPr>
                <w:rFonts w:hint="eastAsia" w:cs="宋体"/>
                <w:sz w:val="24"/>
                <w:szCs w:val="24"/>
                <w:lang w:val="en-US" w:eastAsia="zh-CN"/>
              </w:rPr>
              <w:t>三十</w:t>
            </w:r>
            <w:r>
              <w:rPr>
                <w:rFonts w:hint="eastAsia" w:ascii="宋体" w:hAnsi="宋体" w:eastAsia="宋体" w:cs="宋体"/>
                <w:sz w:val="24"/>
                <w:szCs w:val="24"/>
                <w:lang w:val="en-US" w:eastAsia="zh-CN"/>
              </w:rPr>
              <w:t>个</w:t>
            </w:r>
            <w:r>
              <w:rPr>
                <w:rFonts w:hint="eastAsia" w:cs="宋体"/>
                <w:sz w:val="24"/>
                <w:szCs w:val="24"/>
                <w:lang w:val="en-US" w:eastAsia="zh-CN"/>
              </w:rPr>
              <w:t>日历天</w:t>
            </w:r>
            <w:r>
              <w:rPr>
                <w:rFonts w:hint="eastAsia" w:ascii="宋体" w:hAnsi="宋体" w:eastAsia="宋体" w:cs="宋体"/>
                <w:sz w:val="24"/>
                <w:szCs w:val="24"/>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r>
              <w:rPr>
                <w:rFonts w:hint="eastAsia" w:cs="宋体"/>
                <w:color w:val="auto"/>
                <w:sz w:val="24"/>
                <w:szCs w:val="24"/>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bl>
    <w:p>
      <w:pPr>
        <w:pageBreakBefore w:val="0"/>
        <w:kinsoku/>
        <w:overflowPunct/>
        <w:topLinePunct w:val="0"/>
        <w:bidi w:val="0"/>
        <w:snapToGrid w:val="0"/>
        <w:spacing w:beforeAutospacing="0" w:afterAutospacing="0" w:line="360" w:lineRule="auto"/>
        <w:jc w:val="center"/>
        <w:rPr>
          <w:rFonts w:hint="eastAsia"/>
          <w:b/>
          <w:bCs/>
          <w:color w:val="auto"/>
          <w:sz w:val="24"/>
          <w:szCs w:val="24"/>
          <w:highlight w:val="none"/>
        </w:rPr>
      </w:pPr>
    </w:p>
    <w:p>
      <w:pPr>
        <w:pageBreakBefore w:val="0"/>
        <w:kinsoku/>
        <w:overflowPunct/>
        <w:topLinePunct w:val="0"/>
        <w:bidi w:val="0"/>
        <w:snapToGrid w:val="0"/>
        <w:spacing w:beforeAutospacing="0" w:afterAutospacing="0" w:line="360" w:lineRule="auto"/>
        <w:jc w:val="center"/>
        <w:rPr>
          <w:b/>
          <w:bCs/>
          <w:color w:val="auto"/>
          <w:sz w:val="24"/>
          <w:szCs w:val="24"/>
          <w:highlight w:val="none"/>
        </w:rPr>
      </w:pPr>
      <w:r>
        <w:rPr>
          <w:rFonts w:hint="eastAsia"/>
          <w:b/>
          <w:bCs/>
          <w:color w:val="auto"/>
          <w:sz w:val="24"/>
          <w:szCs w:val="24"/>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overflowPunct/>
              <w:topLinePunct w:val="0"/>
              <w:bidi w:val="0"/>
              <w:snapToGrid w:val="0"/>
              <w:spacing w:beforeAutospacing="0" w:afterAutospacing="0" w:line="360" w:lineRule="auto"/>
              <w:rPr>
                <w:sz w:val="24"/>
                <w:szCs w:val="24"/>
              </w:rPr>
            </w:pPr>
            <w:r>
              <w:rPr>
                <w:rFonts w:hint="eastAsia"/>
                <w:sz w:val="24"/>
                <w:szCs w:val="24"/>
              </w:rPr>
              <w:t>不接受联合体投标，不允许转包和分包。</w:t>
            </w:r>
          </w:p>
          <w:p>
            <w:pPr>
              <w:pageBreakBefore w:val="0"/>
              <w:widowControl/>
              <w:kinsoku/>
              <w:overflowPunct/>
              <w:topLinePunct w:val="0"/>
              <w:bidi w:val="0"/>
              <w:snapToGrid w:val="0"/>
              <w:spacing w:beforeAutospacing="0" w:afterAutospacing="0"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2、授权评标委员会确定一名中标人并推荐</w:t>
            </w:r>
            <w:r>
              <w:rPr>
                <w:rFonts w:hint="eastAsia" w:cs="Times New Roman"/>
                <w:sz w:val="24"/>
                <w:szCs w:val="24"/>
                <w:lang w:val="en-US" w:eastAsia="zh-CN"/>
              </w:rPr>
              <w:t>一</w:t>
            </w:r>
            <w:r>
              <w:rPr>
                <w:rFonts w:hint="eastAsia" w:ascii="Times New Roman" w:hAnsi="Times New Roman" w:eastAsia="宋体" w:cs="Times New Roman"/>
                <w:sz w:val="24"/>
                <w:szCs w:val="24"/>
                <w:lang w:val="en-US" w:eastAsia="zh-CN"/>
              </w:rPr>
              <w:t>名中标候选人。</w:t>
            </w:r>
          </w:p>
          <w:p>
            <w:pPr>
              <w:pageBreakBefore w:val="0"/>
              <w:widowControl/>
              <w:kinsoku/>
              <w:overflowPunct/>
              <w:topLinePunct w:val="0"/>
              <w:bidi w:val="0"/>
              <w:snapToGrid w:val="0"/>
              <w:spacing w:beforeAutospacing="0" w:afterAutospacing="0" w:line="360" w:lineRule="auto"/>
              <w:rPr>
                <w:rFonts w:hint="default" w:eastAsia="宋体"/>
                <w:sz w:val="24"/>
                <w:szCs w:val="24"/>
                <w:lang w:val="en-US" w:eastAsia="zh-CN"/>
              </w:rPr>
            </w:pPr>
            <w:r>
              <w:rPr>
                <w:rFonts w:hint="eastAsia" w:ascii="Times New Roman" w:hAnsi="Times New Roman" w:eastAsia="宋体" w:cs="Times New Roman"/>
                <w:sz w:val="24"/>
                <w:szCs w:val="24"/>
                <w:lang w:val="en-US" w:eastAsia="zh-CN"/>
              </w:rPr>
              <w:t>3、供应商应根据采购文件的要求提供技术响应表、商务响应表等内容以对采购文件作出响应。</w:t>
            </w:r>
          </w:p>
        </w:tc>
      </w:tr>
    </w:tbl>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rPr>
          <w:rFonts w:hint="eastAsia"/>
          <w:b/>
          <w:bCs/>
          <w:color w:val="auto"/>
          <w:sz w:val="32"/>
          <w:szCs w:val="32"/>
          <w:highlight w:val="none"/>
        </w:rPr>
      </w:pPr>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outlineLvl w:val="0"/>
        <w:rPr>
          <w:b/>
          <w:bCs/>
          <w:color w:val="auto"/>
          <w:sz w:val="32"/>
          <w:szCs w:val="32"/>
          <w:highlight w:val="none"/>
        </w:rPr>
      </w:pPr>
      <w:bookmarkStart w:id="35" w:name="_Toc13209"/>
      <w:r>
        <w:rPr>
          <w:rFonts w:hint="eastAsia"/>
          <w:b/>
          <w:bCs/>
          <w:color w:val="auto"/>
          <w:sz w:val="32"/>
          <w:szCs w:val="32"/>
          <w:highlight w:val="none"/>
        </w:rPr>
        <w:t>第三章  投标人须知</w:t>
      </w:r>
      <w:bookmarkEnd w:id="35"/>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sz w:val="24"/>
                <w:szCs w:val="24"/>
              </w:rPr>
            </w:pPr>
            <w:bookmarkStart w:id="36" w:name="_Toc20762"/>
            <w:r>
              <w:rPr>
                <w:rFonts w:hint="eastAsia" w:ascii="宋体" w:hAnsi="宋体" w:eastAsia="宋体" w:cs="宋体"/>
                <w:color w:val="auto"/>
                <w:sz w:val="24"/>
                <w:szCs w:val="24"/>
                <w:highlight w:val="none"/>
              </w:rPr>
              <w:t>1.1 项目名称：</w:t>
            </w:r>
            <w:bookmarkEnd w:id="36"/>
            <w:r>
              <w:rPr>
                <w:rFonts w:hint="eastAsia" w:ascii="宋体" w:hAnsi="宋体" w:cs="宋体"/>
                <w:color w:val="auto"/>
                <w:sz w:val="24"/>
                <w:szCs w:val="24"/>
                <w:highlight w:val="none"/>
                <w:lang w:val="en-US" w:eastAsia="zh-CN"/>
              </w:rPr>
              <w:t>驻马店市中心医院第三方人力资源劳务派遣服务公司招标</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rPr>
            </w:pPr>
            <w:bookmarkStart w:id="37" w:name="_Toc28637"/>
            <w:r>
              <w:rPr>
                <w:rFonts w:hint="eastAsia" w:ascii="宋体" w:hAnsi="宋体" w:eastAsia="宋体" w:cs="宋体"/>
                <w:color w:val="auto"/>
                <w:sz w:val="24"/>
                <w:szCs w:val="24"/>
                <w:highlight w:val="none"/>
              </w:rPr>
              <w:t>1.2 采购人名称：驻马店市中心医院</w:t>
            </w:r>
            <w:bookmarkEnd w:id="37"/>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bookmarkStart w:id="38" w:name="_Toc1451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本次采购预算：</w:t>
            </w:r>
            <w:r>
              <w:rPr>
                <w:rFonts w:hint="eastAsia" w:ascii="宋体" w:hAnsi="宋体" w:cs="宋体"/>
                <w:color w:val="auto"/>
                <w:kern w:val="0"/>
                <w:sz w:val="24"/>
                <w:szCs w:val="24"/>
                <w:highlight w:val="none"/>
                <w:lang w:val="en-US" w:eastAsia="zh-CN"/>
              </w:rPr>
              <w:t>10万元，50元/月/人</w:t>
            </w:r>
            <w:r>
              <w:rPr>
                <w:rFonts w:hint="eastAsia" w:ascii="宋体" w:hAnsi="宋体" w:eastAsia="宋体" w:cs="宋体"/>
                <w:color w:val="auto"/>
                <w:kern w:val="0"/>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sz w:val="24"/>
                <w:szCs w:val="24"/>
                <w:lang w:val="en-US" w:eastAsia="zh-CN"/>
              </w:rPr>
              <w:t>三十个日历天内</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276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一 、说 明</w:t>
      </w:r>
    </w:p>
    <w:p>
      <w:pPr>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采购</w:t>
      </w:r>
      <w:r>
        <w:rPr>
          <w:rFonts w:hint="eastAsia" w:ascii="宋体" w:hAnsi="宋体" w:cs="宋体"/>
          <w:color w:val="000000" w:themeColor="text1"/>
          <w:kern w:val="0"/>
          <w:sz w:val="24"/>
          <w:szCs w:val="24"/>
          <w:highlight w:val="none"/>
          <w14:textFill>
            <w14:solidFill>
              <w14:schemeClr w14:val="tx1"/>
            </w14:solidFill>
          </w14:textFill>
        </w:rPr>
        <w:t>公告中所叙述项目的</w:t>
      </w:r>
      <w:r>
        <w:rPr>
          <w:rFonts w:hint="eastAsia" w:ascii="宋体" w:hAnsi="宋体" w:eastAsia="宋体" w:cs="宋体"/>
          <w:color w:val="000000" w:themeColor="text1"/>
          <w:kern w:val="0"/>
          <w:sz w:val="24"/>
          <w:szCs w:val="24"/>
          <w:highlight w:val="none"/>
          <w14:textFill>
            <w14:solidFill>
              <w14:schemeClr w14:val="tx1"/>
            </w14:solidFill>
          </w14:textFill>
        </w:rPr>
        <w:t>服务</w:t>
      </w:r>
      <w:r>
        <w:rPr>
          <w:rFonts w:hint="eastAsia" w:ascii="宋体" w:hAnsi="宋体" w:cs="宋体"/>
          <w:color w:val="000000" w:themeColor="text1"/>
          <w:kern w:val="0"/>
          <w:sz w:val="24"/>
          <w:szCs w:val="24"/>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2.1 “采购人</w:t>
      </w:r>
      <w:r>
        <w:rPr>
          <w:rFonts w:hint="eastAsia" w:ascii="宋体" w:hAnsi="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 “投标人”系指</w:t>
      </w:r>
      <w:r>
        <w:rPr>
          <w:rFonts w:hint="eastAsia" w:ascii="宋体" w:hAnsi="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cs="宋体"/>
          <w:color w:val="000000" w:themeColor="text1"/>
          <w:kern w:val="0"/>
          <w:sz w:val="24"/>
          <w:szCs w:val="24"/>
          <w:highlight w:val="none"/>
          <w14:textFill>
            <w14:solidFill>
              <w14:schemeClr w14:val="tx1"/>
            </w14:solidFill>
          </w14:textFill>
        </w:rPr>
        <w:t>了本</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 “投标人代表”系指代表投标人参加本次</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3.本次采购预算：</w:t>
      </w:r>
      <w:r>
        <w:rPr>
          <w:rFonts w:hint="eastAsia" w:ascii="宋体" w:hAnsi="宋体" w:cs="宋体"/>
          <w:b/>
          <w:bCs/>
          <w:color w:val="auto"/>
          <w:kern w:val="0"/>
          <w:sz w:val="24"/>
          <w:szCs w:val="24"/>
          <w:highlight w:val="none"/>
          <w:lang w:val="en-US" w:eastAsia="zh-CN"/>
        </w:rPr>
        <w:t>10万元，50元/月/人</w:t>
      </w:r>
      <w:r>
        <w:rPr>
          <w:rFonts w:hint="eastAsia" w:ascii="宋体" w:hAnsi="宋体" w:cs="宋体"/>
          <w:b/>
          <w:bCs/>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4.5</w:t>
      </w:r>
      <w:r>
        <w:rPr>
          <w:rFonts w:hint="eastAsia" w:ascii="宋体" w:hAnsi="宋体" w:eastAsia="宋体" w:cs="宋体"/>
          <w:color w:val="auto"/>
          <w:sz w:val="24"/>
          <w:szCs w:val="24"/>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4.6</w:t>
      </w:r>
      <w:r>
        <w:rPr>
          <w:rFonts w:hint="eastAsia" w:ascii="宋体" w:hAnsi="宋体" w:eastAsia="宋体" w:cs="宋体"/>
          <w:color w:val="auto"/>
          <w:sz w:val="24"/>
          <w:szCs w:val="24"/>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4.7供应商须具备有效期内的《劳务派遣经营许可证》。</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7.1 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10.1 </w:t>
      </w:r>
      <w:r>
        <w:rPr>
          <w:rFonts w:hint="eastAsia" w:ascii="宋体" w:hAnsi="宋体" w:cs="宋体"/>
          <w:bCs/>
          <w:color w:val="auto"/>
          <w:kern w:val="0"/>
          <w:sz w:val="24"/>
          <w:szCs w:val="24"/>
          <w:highlight w:val="none"/>
        </w:rPr>
        <w:t>供应商认为</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文件使自己的合法权益受到损害的，</w:t>
      </w:r>
      <w:r>
        <w:rPr>
          <w:rFonts w:hint="eastAsia" w:ascii="宋体" w:hAnsi="宋体" w:cs="宋体"/>
          <w:color w:val="auto"/>
          <w:kern w:val="0"/>
          <w:sz w:val="24"/>
          <w:szCs w:val="24"/>
          <w:highlight w:val="none"/>
        </w:rPr>
        <w:t>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公告期限届满之日(或收到</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个工作日之内向</w:t>
      </w:r>
      <w:r>
        <w:rPr>
          <w:rFonts w:hint="eastAsia" w:ascii="宋体" w:hAnsi="宋体" w:cs="宋体"/>
          <w:bCs/>
          <w:color w:val="auto"/>
          <w:kern w:val="0"/>
          <w:sz w:val="24"/>
          <w:szCs w:val="24"/>
          <w:highlight w:val="none"/>
        </w:rPr>
        <w:t>采购人提出质疑；供应商认为</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个工作日内提出质疑。</w:t>
      </w:r>
      <w:r>
        <w:rPr>
          <w:rFonts w:hint="eastAsia" w:ascii="宋体" w:hAnsi="宋体" w:cs="宋体"/>
          <w:color w:val="auto"/>
          <w:kern w:val="0"/>
          <w:sz w:val="24"/>
          <w:szCs w:val="24"/>
          <w:highlight w:val="none"/>
        </w:rPr>
        <w:t>逾期不再受理,</w:t>
      </w:r>
      <w:r>
        <w:rPr>
          <w:rFonts w:hint="eastAsia" w:ascii="宋体" w:hAnsi="宋体" w:cs="宋体"/>
          <w:bCs/>
          <w:color w:val="auto"/>
          <w:kern w:val="0"/>
          <w:sz w:val="24"/>
          <w:szCs w:val="24"/>
          <w:highlight w:val="none"/>
        </w:rPr>
        <w:t>供应商在法定质疑期内应一次性提出针对同一采购环节的质疑。</w:t>
      </w:r>
      <w:r>
        <w:rPr>
          <w:rFonts w:hint="eastAsia" w:ascii="宋体" w:hAnsi="宋体" w:cs="宋体"/>
          <w:color w:val="auto"/>
          <w:kern w:val="0"/>
          <w:sz w:val="24"/>
          <w:szCs w:val="24"/>
          <w:highlight w:val="none"/>
        </w:rPr>
        <w:t>供应商对</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的质疑答复不满意,或</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未在规定时间内作出答复的，可以在答复期满后15个工作日内向</w:t>
      </w:r>
      <w:r>
        <w:rPr>
          <w:rFonts w:hint="eastAsia" w:ascii="宋体" w:hAnsi="宋体" w:cs="宋体"/>
          <w:color w:val="auto"/>
          <w:kern w:val="0"/>
          <w:sz w:val="24"/>
          <w:szCs w:val="24"/>
          <w:highlight w:val="none"/>
          <w:lang w:val="en-US" w:eastAsia="zh-CN"/>
        </w:rPr>
        <w:t>医院纪检</w:t>
      </w:r>
      <w:r>
        <w:rPr>
          <w:rFonts w:hint="eastAsia" w:ascii="宋体" w:hAnsi="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10.2 </w:t>
      </w:r>
      <w:r>
        <w:rPr>
          <w:rFonts w:hint="eastAsia" w:ascii="宋体" w:hAnsi="宋体" w:cs="宋体"/>
          <w:bCs/>
          <w:color w:val="auto"/>
          <w:kern w:val="0"/>
          <w:sz w:val="24"/>
          <w:szCs w:val="24"/>
          <w:highlight w:val="none"/>
        </w:rPr>
        <w:t>质疑、投诉应当采用书面形式，质疑书、投诉书均应明确阐述</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投标人没有按照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文件要求提供全部资料，或者投标人没有对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二、</w:t>
      </w:r>
      <w:r>
        <w:rPr>
          <w:rFonts w:hint="eastAsia" w:ascii="黑体" w:hAnsi="宋体" w:eastAsia="黑体" w:cs="宋体"/>
          <w:b/>
          <w:bCs/>
          <w:color w:val="auto"/>
          <w:kern w:val="0"/>
          <w:sz w:val="24"/>
          <w:szCs w:val="24"/>
          <w:highlight w:val="none"/>
          <w:lang w:val="en-US" w:eastAsia="zh-CN"/>
        </w:rPr>
        <w:t>采购</w:t>
      </w:r>
      <w:r>
        <w:rPr>
          <w:rFonts w:hint="eastAsia" w:ascii="黑体" w:hAnsi="宋体" w:eastAsia="黑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1672" w:firstLineChars="694"/>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16.1、投标书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16.2、</w:t>
      </w:r>
      <w:r>
        <w:rPr>
          <w:rFonts w:hint="eastAsia" w:ascii="宋体" w:hAnsi="宋体" w:cs="宋体"/>
          <w:color w:val="auto"/>
          <w:kern w:val="0"/>
          <w:sz w:val="24"/>
          <w:szCs w:val="24"/>
          <w:highlight w:val="none"/>
        </w:rPr>
        <w:t>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16.3、</w:t>
      </w:r>
      <w:r>
        <w:rPr>
          <w:rFonts w:hint="eastAsia" w:ascii="宋体" w:hAnsi="宋体" w:cs="宋体"/>
          <w:color w:val="auto"/>
          <w:kern w:val="0"/>
          <w:sz w:val="24"/>
          <w:szCs w:val="24"/>
          <w:highlight w:val="none"/>
        </w:rPr>
        <w:t>技术部分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、商务</w:t>
      </w:r>
      <w:r>
        <w:rPr>
          <w:rFonts w:hint="eastAsia" w:ascii="宋体" w:hAnsi="宋体" w:cs="宋体"/>
          <w:color w:val="auto"/>
          <w:kern w:val="0"/>
          <w:sz w:val="24"/>
          <w:szCs w:val="24"/>
          <w:highlight w:val="none"/>
          <w:lang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供应商承诺书</w:t>
      </w:r>
    </w:p>
    <w:p>
      <w:pPr>
        <w:pStyle w:val="30"/>
        <w:keepNext w:val="0"/>
        <w:keepLines w:val="0"/>
        <w:pageBreakBefore w:val="0"/>
        <w:kinsoku/>
        <w:wordWrap/>
        <w:overflowPunct/>
        <w:topLinePunct w:val="0"/>
        <w:bidi w:val="0"/>
        <w:snapToGrid w:val="0"/>
        <w:spacing w:beforeAutospacing="0" w:afterAutospacing="0" w:line="360" w:lineRule="auto"/>
        <w:rPr>
          <w:rFonts w:hint="eastAsia"/>
          <w:color w:val="auto"/>
          <w:sz w:val="24"/>
          <w:szCs w:val="24"/>
          <w:highlight w:val="none"/>
        </w:rPr>
      </w:pPr>
      <w:r>
        <w:rPr>
          <w:rFonts w:hint="eastAsia"/>
          <w:color w:val="auto"/>
          <w:sz w:val="24"/>
          <w:szCs w:val="24"/>
          <w:highlight w:val="none"/>
        </w:rPr>
        <w:t>16.</w:t>
      </w:r>
      <w:r>
        <w:rPr>
          <w:rFonts w:hint="eastAsia"/>
          <w:color w:val="auto"/>
          <w:sz w:val="24"/>
          <w:szCs w:val="24"/>
          <w:highlight w:val="none"/>
          <w:lang w:val="en-US" w:eastAsia="zh-CN"/>
        </w:rPr>
        <w:t>9</w:t>
      </w:r>
      <w:r>
        <w:rPr>
          <w:rFonts w:hint="eastAsia"/>
          <w:color w:val="auto"/>
          <w:sz w:val="24"/>
          <w:szCs w:val="24"/>
          <w:highlight w:val="none"/>
        </w:rPr>
        <w:t>、供应商信用承诺函</w:t>
      </w:r>
    </w:p>
    <w:p>
      <w:pPr>
        <w:pStyle w:val="30"/>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r>
        <w:rPr>
          <w:rFonts w:hint="eastAsia"/>
          <w:color w:val="auto"/>
          <w:sz w:val="24"/>
          <w:szCs w:val="24"/>
          <w:highlight w:val="none"/>
          <w:lang w:val="en-US" w:eastAsia="zh-CN"/>
        </w:rPr>
        <w:t>16.10、</w:t>
      </w:r>
      <w:r>
        <w:rPr>
          <w:rFonts w:hint="eastAsia"/>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.2 投标文件应当对</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ind w:firstLine="1915" w:firstLineChars="795"/>
        <w:jc w:val="left"/>
        <w:rPr>
          <w:rFonts w:ascii="黑体" w:hAnsi="宋体" w:eastAsia="黑体" w:cs="宋体"/>
          <w:b/>
          <w:color w:val="auto"/>
          <w:kern w:val="0"/>
          <w:sz w:val="24"/>
          <w:szCs w:val="24"/>
          <w:highlight w:val="none"/>
        </w:rPr>
      </w:pPr>
      <w:r>
        <w:rPr>
          <w:rFonts w:hint="eastAsia" w:ascii="黑体" w:hAnsi="宋体" w:eastAsia="黑体" w:cs="宋体"/>
          <w:b/>
          <w:color w:val="auto"/>
          <w:kern w:val="0"/>
          <w:sz w:val="24"/>
          <w:szCs w:val="24"/>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kinsoku/>
        <w:wordWrap/>
        <w:overflowPunct/>
        <w:topLinePunct w:val="0"/>
        <w:autoSpaceDE/>
        <w:autoSpaceDN/>
        <w:bidi w:val="0"/>
        <w:adjustRightInd/>
        <w:spacing w:beforeAutospacing="0" w:afterAutospacing="0" w:line="360" w:lineRule="auto"/>
        <w:ind w:firstLine="484" w:firstLineChars="20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w:t>
      </w:r>
      <w:r>
        <w:rPr>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五</w:t>
      </w:r>
      <w:r>
        <w:rPr>
          <w:rFonts w:hint="eastAsia" w:ascii="黑体" w:hAnsi="宋体" w:eastAsia="黑体" w:cs="宋体"/>
          <w:b/>
          <w:bCs/>
          <w:color w:val="auto"/>
          <w:kern w:val="0"/>
          <w:sz w:val="24"/>
          <w:szCs w:val="24"/>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w:t>
      </w:r>
      <w:r>
        <w:rPr>
          <w:rFonts w:hint="eastAsia" w:ascii="宋体" w:hAnsi="宋体"/>
          <w:color w:val="000000" w:themeColor="text1"/>
          <w:sz w:val="24"/>
          <w:szCs w:val="24"/>
          <w:highlight w:val="none"/>
          <w14:textFill>
            <w14:solidFill>
              <w14:schemeClr w14:val="tx1"/>
            </w14:solidFill>
          </w14:textFill>
        </w:rPr>
        <w:t>有效期、</w:t>
      </w:r>
      <w:r>
        <w:rPr>
          <w:rFonts w:hint="eastAsia" w:ascii="宋体" w:hAnsi="宋体"/>
          <w:color w:val="000000" w:themeColor="text1"/>
          <w:sz w:val="24"/>
          <w:szCs w:val="24"/>
          <w:highlight w:val="none"/>
          <w:lang w:val="en-US" w:eastAsia="zh-CN"/>
          <w14:textFill>
            <w14:solidFill>
              <w14:schemeClr w14:val="tx1"/>
            </w14:solidFill>
          </w14:textFill>
        </w:rPr>
        <w:t>服务</w:t>
      </w:r>
      <w:r>
        <w:rPr>
          <w:rFonts w:hint="eastAsia" w:ascii="宋体" w:hAnsi="宋体"/>
          <w:color w:val="000000" w:themeColor="text1"/>
          <w:sz w:val="24"/>
          <w:szCs w:val="24"/>
          <w:highlight w:val="none"/>
          <w14:textFill>
            <w14:solidFill>
              <w14:schemeClr w14:val="tx1"/>
            </w14:solidFill>
          </w14:textFill>
        </w:rPr>
        <w:t>时间、质保期等不</w:t>
      </w:r>
      <w:r>
        <w:rPr>
          <w:rFonts w:hint="eastAsia" w:ascii="宋体" w:hAnsi="宋体"/>
          <w:color w:val="auto"/>
          <w:sz w:val="24"/>
          <w:szCs w:val="24"/>
          <w:highlight w:val="none"/>
        </w:rPr>
        <w:t>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ind w:firstLine="305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六</w:t>
      </w:r>
      <w:r>
        <w:rPr>
          <w:rFonts w:hint="eastAsia" w:ascii="黑体" w:hAnsi="宋体" w:eastAsia="黑体" w:cs="宋体"/>
          <w:b/>
          <w:bCs/>
          <w:color w:val="auto"/>
          <w:kern w:val="0"/>
          <w:sz w:val="24"/>
          <w:szCs w:val="24"/>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39"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9"/>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w:t>
      </w:r>
      <w:r>
        <w:rPr>
          <w:rFonts w:hint="eastAsia" w:ascii="宋体" w:hAnsi="宋体" w:cs="宋体"/>
          <w:bCs/>
          <w:color w:val="auto"/>
          <w:kern w:val="0"/>
          <w:sz w:val="24"/>
          <w:szCs w:val="24"/>
          <w:highlight w:val="none"/>
        </w:rPr>
        <w:t>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ind w:firstLine="1928" w:firstLineChars="80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七</w:t>
      </w:r>
      <w:r>
        <w:rPr>
          <w:rFonts w:hint="eastAsia" w:ascii="黑体" w:hAnsi="宋体" w:eastAsia="黑体" w:cs="宋体"/>
          <w:b/>
          <w:bCs/>
          <w:color w:val="auto"/>
          <w:kern w:val="0"/>
          <w:sz w:val="24"/>
          <w:szCs w:val="24"/>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0"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0"/>
    <w:p>
      <w:pPr>
        <w:pageBreakBefore w:val="0"/>
        <w:kinsoku/>
        <w:overflowPunct/>
        <w:topLinePunct w:val="0"/>
        <w:bidi w:val="0"/>
        <w:spacing w:beforeAutospacing="0" w:afterAutospacing="0" w:line="360" w:lineRule="auto"/>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outlineLvl w:val="0"/>
        <w:rPr>
          <w:rFonts w:ascii="宋体" w:hAnsi="宋体" w:cs="宋体"/>
          <w:color w:val="auto"/>
          <w:kern w:val="0"/>
          <w:sz w:val="24"/>
          <w:highlight w:val="none"/>
        </w:rPr>
      </w:pPr>
      <w:bookmarkStart w:id="43" w:name="_Toc3597"/>
      <w:r>
        <w:rPr>
          <w:rFonts w:hint="eastAsia" w:ascii="黑体" w:hAnsi="宋体" w:eastAsia="黑体" w:cs="宋体"/>
          <w:b/>
          <w:bCs/>
          <w:color w:val="auto"/>
          <w:kern w:val="0"/>
          <w:sz w:val="32"/>
          <w:szCs w:val="32"/>
          <w:highlight w:val="none"/>
        </w:rPr>
        <w:t>第四章  评标办法及评分标准</w:t>
      </w:r>
      <w:bookmarkEnd w:id="41"/>
      <w:bookmarkEnd w:id="43"/>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12"/>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价格标部分(30分)</w:t>
            </w:r>
          </w:p>
        </w:tc>
        <w:tc>
          <w:tcPr>
            <w:tcW w:w="8243" w:type="dxa"/>
            <w:gridSpan w:val="2"/>
            <w:noWrap w:val="0"/>
            <w:vAlign w:val="center"/>
          </w:tcPr>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有效投标报价：投标报价不高于采购预算价的为有效投标报价。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评标基准值的确定：满足采购文件要求且投标价格最低的有效投标报价为评标基准价。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服务质量</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1.服务能力的响应程度(</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完全满足招标文件“第二章 </w:t>
            </w:r>
            <w:r>
              <w:rPr>
                <w:rFonts w:hint="eastAsia" w:ascii="宋体" w:hAnsi="宋体" w:cs="宋体"/>
                <w:b w:val="0"/>
                <w:bCs w:val="0"/>
                <w:color w:val="auto"/>
                <w:sz w:val="24"/>
                <w:szCs w:val="24"/>
                <w:highlight w:val="none"/>
                <w:lang w:val="en-US" w:eastAsia="zh-CN"/>
              </w:rPr>
              <w:t>采购需求 四、</w:t>
            </w:r>
            <w:r>
              <w:rPr>
                <w:rFonts w:hint="eastAsia" w:ascii="宋体" w:hAnsi="宋体" w:eastAsia="宋体" w:cs="宋体"/>
                <w:b w:val="0"/>
                <w:bCs w:val="0"/>
                <w:kern w:val="2"/>
                <w:sz w:val="24"/>
                <w:szCs w:val="24"/>
                <w:lang w:val="en-US" w:eastAsia="zh-CN" w:bidi="ar-SA"/>
              </w:rPr>
              <w:t>详细技术要求</w:t>
            </w:r>
            <w:r>
              <w:rPr>
                <w:rFonts w:hint="eastAsia" w:ascii="宋体" w:hAnsi="宋体" w:eastAsia="宋体" w:cs="宋体"/>
                <w:b w:val="0"/>
                <w:bCs w:val="0"/>
                <w:color w:val="auto"/>
                <w:sz w:val="24"/>
                <w:szCs w:val="24"/>
                <w:highlight w:val="none"/>
                <w:lang w:eastAsia="zh-CN"/>
              </w:rPr>
              <w:t>”的得</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分；</w:t>
            </w:r>
            <w:r>
              <w:rPr>
                <w:rFonts w:hint="eastAsia" w:ascii="宋体" w:hAnsi="宋体" w:cs="宋体"/>
                <w:b w:val="0"/>
                <w:bCs w:val="0"/>
                <w:color w:val="auto"/>
                <w:sz w:val="24"/>
                <w:szCs w:val="24"/>
                <w:highlight w:val="none"/>
                <w:lang w:val="en-US" w:eastAsia="zh-CN"/>
              </w:rPr>
              <w:t>有一项不满足扣2.5分，得分为0</w:t>
            </w:r>
            <w:r>
              <w:rPr>
                <w:rFonts w:hint="eastAsia" w:ascii="宋体" w:hAnsi="宋体" w:eastAsia="宋体" w:cs="宋体"/>
                <w:b w:val="0"/>
                <w:bCs w:val="0"/>
                <w:color w:val="auto"/>
                <w:sz w:val="24"/>
                <w:szCs w:val="24"/>
                <w:highlight w:val="none"/>
                <w:lang w:eastAsia="zh-CN"/>
              </w:rPr>
              <w:t>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2.服务方案（</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eastAsia="zh-CN"/>
              </w:rPr>
              <w:t>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根据</w:t>
            </w:r>
            <w:r>
              <w:rPr>
                <w:rFonts w:hint="eastAsia" w:ascii="宋体" w:hAnsi="宋体" w:eastAsia="宋体" w:cs="宋体"/>
                <w:b w:val="0"/>
                <w:bCs w:val="0"/>
                <w:color w:val="auto"/>
                <w:sz w:val="24"/>
                <w:szCs w:val="24"/>
                <w:highlight w:val="none"/>
              </w:rPr>
              <w:t>投标人</w:t>
            </w:r>
            <w:r>
              <w:rPr>
                <w:rFonts w:ascii="宋体" w:hAnsi="宋体" w:eastAsia="宋体" w:cs="宋体"/>
                <w:sz w:val="24"/>
                <w:szCs w:val="24"/>
              </w:rPr>
              <w:t>派遣人员基本情况</w:t>
            </w:r>
            <w:r>
              <w:rPr>
                <w:rFonts w:hint="eastAsia" w:ascii="宋体" w:hAnsi="宋体" w:eastAsia="宋体" w:cs="宋体"/>
                <w:sz w:val="24"/>
                <w:szCs w:val="24"/>
                <w:lang w:eastAsia="zh-CN"/>
              </w:rPr>
              <w:t>、</w:t>
            </w:r>
            <w:r>
              <w:rPr>
                <w:rFonts w:ascii="宋体" w:hAnsi="宋体" w:eastAsia="宋体" w:cs="宋体"/>
                <w:sz w:val="24"/>
                <w:szCs w:val="24"/>
              </w:rPr>
              <w:t>服务岗位工作职责及制度</w:t>
            </w:r>
            <w:r>
              <w:rPr>
                <w:rFonts w:hint="eastAsia" w:ascii="宋体" w:hAnsi="宋体" w:eastAsia="宋体" w:cs="宋体"/>
                <w:sz w:val="24"/>
                <w:szCs w:val="24"/>
                <w:lang w:eastAsia="zh-CN"/>
              </w:rPr>
              <w:t>、</w:t>
            </w:r>
            <w:r>
              <w:rPr>
                <w:rFonts w:ascii="宋体" w:hAnsi="宋体" w:eastAsia="宋体" w:cs="宋体"/>
                <w:sz w:val="24"/>
                <w:szCs w:val="24"/>
              </w:rPr>
              <w:t>服务管理方案</w:t>
            </w:r>
            <w:r>
              <w:rPr>
                <w:rFonts w:hint="eastAsia" w:ascii="宋体" w:hAnsi="宋体" w:eastAsia="宋体" w:cs="宋体"/>
                <w:sz w:val="24"/>
                <w:szCs w:val="24"/>
                <w:lang w:eastAsia="zh-CN"/>
              </w:rPr>
              <w:t>、</w:t>
            </w:r>
            <w:r>
              <w:rPr>
                <w:rFonts w:ascii="宋体" w:hAnsi="宋体" w:eastAsia="宋体" w:cs="宋体"/>
                <w:sz w:val="24"/>
                <w:szCs w:val="24"/>
              </w:rPr>
              <w:t>考核制度</w:t>
            </w:r>
            <w:r>
              <w:rPr>
                <w:rFonts w:hint="eastAsia" w:ascii="宋体" w:hAnsi="宋体" w:eastAsia="宋体" w:cs="宋体"/>
                <w:sz w:val="24"/>
                <w:szCs w:val="24"/>
                <w:lang w:eastAsia="zh-CN"/>
              </w:rPr>
              <w:t>、</w:t>
            </w:r>
            <w:r>
              <w:rPr>
                <w:rFonts w:ascii="宋体" w:hAnsi="宋体" w:eastAsia="宋体" w:cs="宋体"/>
                <w:sz w:val="24"/>
                <w:szCs w:val="24"/>
              </w:rPr>
              <w:t>工作要求和纪律</w:t>
            </w:r>
            <w:r>
              <w:rPr>
                <w:rFonts w:hint="eastAsia" w:ascii="宋体" w:hAnsi="宋体" w:eastAsia="宋体" w:cs="宋体"/>
                <w:sz w:val="24"/>
                <w:szCs w:val="24"/>
                <w:lang w:eastAsia="zh-CN"/>
              </w:rPr>
              <w:t>、</w:t>
            </w:r>
            <w:r>
              <w:rPr>
                <w:rFonts w:ascii="宋体" w:hAnsi="宋体" w:eastAsia="宋体" w:cs="宋体"/>
                <w:sz w:val="24"/>
                <w:szCs w:val="24"/>
              </w:rPr>
              <w:t>应急突发事件的处置方案</w:t>
            </w:r>
            <w:r>
              <w:rPr>
                <w:rFonts w:hint="eastAsia" w:ascii="宋体" w:hAnsi="宋体" w:eastAsia="宋体" w:cs="宋体"/>
                <w:sz w:val="24"/>
                <w:szCs w:val="24"/>
                <w:lang w:eastAsia="zh-CN"/>
              </w:rPr>
              <w:t>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以上内容具体、完善、合理性程度强得</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分，具体、完善、合理性程度一般得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分，具体、完善、合理性程度差得1-</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0分)</w:t>
            </w: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1.服务团队</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服务团队组织结构合理，人员分工及职责明确。</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2.类似业绩（4分）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3.服务承诺</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针对本项目的服务承诺，包含但不仅限于服务质量、人员配备、应急响应时间等；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bookmarkEnd w:id="42"/>
    </w:tbl>
    <w:p>
      <w:pPr>
        <w:pageBreakBefore w:val="0"/>
        <w:kinsoku/>
        <w:overflowPunct/>
        <w:topLinePunct w:val="0"/>
        <w:bidi w:val="0"/>
        <w:spacing w:beforeAutospacing="0" w:afterAutospacing="0" w:line="360" w:lineRule="auto"/>
        <w:rPr>
          <w:color w:val="auto"/>
          <w:highlight w:val="none"/>
        </w:rPr>
      </w:pPr>
      <w:bookmarkStart w:id="44" w:name="_Toc1482"/>
      <w:bookmarkStart w:id="45" w:name="_Toc1947"/>
      <w:bookmarkStart w:id="46" w:name="_Toc256519703"/>
      <w:bookmarkStart w:id="47" w:name="_Toc326786897"/>
    </w:p>
    <w:p>
      <w:pPr>
        <w:pStyle w:val="29"/>
        <w:pageBreakBefore w:val="0"/>
        <w:kinsoku/>
        <w:overflowPunct/>
        <w:topLinePunct w:val="0"/>
        <w:bidi w:val="0"/>
        <w:spacing w:beforeAutospacing="0" w:afterAutospacing="0" w:line="360" w:lineRule="auto"/>
        <w:rPr>
          <w:color w:val="auto"/>
          <w:highlight w:val="none"/>
        </w:rPr>
      </w:pPr>
    </w:p>
    <w:p>
      <w:pPr>
        <w:pStyle w:val="30"/>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7"/>
        <w:pageBreakBefore w:val="0"/>
        <w:kinsoku/>
        <w:overflowPunct/>
        <w:topLinePunct w:val="0"/>
        <w:bidi w:val="0"/>
        <w:spacing w:beforeAutospacing="0" w:afterAutospacing="0" w:line="360" w:lineRule="auto"/>
        <w:rPr>
          <w:color w:val="auto"/>
          <w:highlight w:val="none"/>
        </w:rPr>
      </w:pPr>
    </w:p>
    <w:p>
      <w:pPr>
        <w:pStyle w:val="2"/>
        <w:pageBreakBefore w:val="0"/>
        <w:kinsoku/>
        <w:overflowPunct/>
        <w:topLinePunct w:val="0"/>
        <w:bidi w:val="0"/>
        <w:snapToGrid w:val="0"/>
        <w:spacing w:before="0" w:beforeAutospacing="0" w:after="0" w:afterAutospacing="0" w:line="360" w:lineRule="auto"/>
        <w:jc w:val="center"/>
        <w:rPr>
          <w:color w:val="auto"/>
          <w:sz w:val="28"/>
          <w:szCs w:val="28"/>
          <w:highlight w:val="yellow"/>
        </w:rPr>
      </w:pPr>
      <w:bookmarkStart w:id="48" w:name="_Toc24804"/>
      <w:r>
        <w:rPr>
          <w:rFonts w:hint="eastAsia"/>
          <w:color w:val="auto"/>
          <w:sz w:val="32"/>
          <w:szCs w:val="32"/>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pPr>
      <w:r>
        <w:rPr>
          <w:color w:val="auto"/>
          <w:highlight w:val="none"/>
        </w:rPr>
        <w:br w:type="page"/>
      </w:r>
    </w:p>
    <w:p>
      <w:pPr>
        <w:pStyle w:val="2"/>
        <w:pageBreakBefore w:val="0"/>
        <w:kinsoku/>
        <w:overflowPunct/>
        <w:topLinePunct w:val="0"/>
        <w:bidi w:val="0"/>
        <w:spacing w:before="0" w:beforeAutospacing="0" w:after="0" w:afterAutospacing="0" w:line="360" w:lineRule="auto"/>
        <w:jc w:val="center"/>
        <w:rPr>
          <w:rFonts w:ascii="宋体" w:hAnsi="宋体" w:cs="宋体"/>
          <w:color w:val="auto"/>
          <w:kern w:val="0"/>
          <w:highlight w:val="none"/>
        </w:rPr>
      </w:pPr>
      <w:bookmarkStart w:id="49" w:name="_Toc2116"/>
      <w:r>
        <w:rPr>
          <w:rFonts w:hint="eastAsia"/>
          <w:color w:val="auto"/>
          <w:sz w:val="32"/>
          <w:szCs w:val="32"/>
          <w:highlight w:val="none"/>
        </w:rPr>
        <w:t>第六章  投标文件格式</w:t>
      </w:r>
      <w:bookmarkEnd w:id="44"/>
      <w:bookmarkEnd w:id="45"/>
      <w:bookmarkEnd w:id="49"/>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28392"/>
      <w:r>
        <w:rPr>
          <w:rFonts w:hint="eastAsia"/>
          <w:color w:val="auto"/>
          <w:sz w:val="24"/>
          <w:highlight w:val="none"/>
        </w:rPr>
        <w:t>附件</w:t>
      </w:r>
      <w:r>
        <w:rPr>
          <w:rFonts w:hint="eastAsia"/>
          <w:color w:val="auto"/>
          <w:sz w:val="24"/>
          <w:highlight w:val="none"/>
          <w:lang w:val="en-US" w:eastAsia="zh-CN"/>
        </w:rPr>
        <w:t>4</w:t>
      </w:r>
      <w:r>
        <w:rPr>
          <w:rFonts w:hint="eastAsia"/>
          <w:color w:val="auto"/>
          <w:sz w:val="24"/>
          <w:highlight w:val="none"/>
        </w:rPr>
        <w:t>技术</w:t>
      </w:r>
      <w:r>
        <w:rPr>
          <w:rFonts w:hint="eastAsia"/>
          <w:color w:val="auto"/>
          <w:sz w:val="24"/>
          <w:highlight w:val="none"/>
          <w:lang w:val="en-US" w:eastAsia="zh-CN"/>
        </w:rPr>
        <w:t>部分</w:t>
      </w:r>
      <w:bookmarkEnd w:id="54"/>
    </w:p>
    <w:p>
      <w:pPr>
        <w:pageBreakBefore w:val="0"/>
        <w:kinsoku/>
        <w:overflowPunct/>
        <w:topLinePunct w:val="0"/>
        <w:bidi w:val="0"/>
        <w:snapToGrid w:val="0"/>
        <w:spacing w:beforeAutospacing="0" w:afterAutospacing="0" w:line="360" w:lineRule="auto"/>
        <w:ind w:firstLine="480" w:firstLineChars="200"/>
        <w:rPr>
          <w:rFonts w:hint="eastAsia" w:eastAsia="宋体"/>
          <w:color w:val="auto"/>
          <w:sz w:val="24"/>
          <w:highlight w:val="none"/>
          <w:lang w:val="en-US" w:eastAsia="zh-CN"/>
        </w:rPr>
      </w:pPr>
      <w:bookmarkStart w:id="55" w:name="_Toc6234"/>
      <w:r>
        <w:rPr>
          <w:rFonts w:hint="eastAsia"/>
          <w:color w:val="auto"/>
          <w:sz w:val="24"/>
          <w:highlight w:val="none"/>
        </w:rPr>
        <w:t>附件</w:t>
      </w:r>
      <w:r>
        <w:rPr>
          <w:rFonts w:hint="eastAsia"/>
          <w:color w:val="auto"/>
          <w:sz w:val="24"/>
          <w:highlight w:val="none"/>
          <w:lang w:val="en-US" w:eastAsia="zh-CN"/>
        </w:rPr>
        <w:t>5</w:t>
      </w:r>
      <w:r>
        <w:rPr>
          <w:rFonts w:hint="eastAsia"/>
          <w:color w:val="auto"/>
          <w:sz w:val="24"/>
          <w:highlight w:val="none"/>
        </w:rPr>
        <w:t xml:space="preserve"> 商务</w:t>
      </w:r>
      <w:bookmarkEnd w:id="55"/>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6" w:name="_Toc26231"/>
      <w:r>
        <w:rPr>
          <w:rFonts w:hint="eastAsia"/>
          <w:color w:val="auto"/>
          <w:sz w:val="24"/>
          <w:highlight w:val="none"/>
        </w:rPr>
        <w:t>附件</w:t>
      </w:r>
      <w:r>
        <w:rPr>
          <w:rFonts w:hint="eastAsia"/>
          <w:color w:val="auto"/>
          <w:sz w:val="24"/>
          <w:highlight w:val="none"/>
          <w:lang w:val="en-US" w:eastAsia="zh-CN"/>
        </w:rPr>
        <w:t xml:space="preserve">6 </w:t>
      </w:r>
      <w:r>
        <w:rPr>
          <w:rFonts w:hint="eastAsia"/>
          <w:color w:val="auto"/>
          <w:sz w:val="24"/>
          <w:highlight w:val="none"/>
        </w:rPr>
        <w:t>法定代表人身份证明（格式）</w:t>
      </w:r>
      <w:bookmarkEnd w:id="56"/>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7" w:name="_Toc18484"/>
      <w:r>
        <w:rPr>
          <w:rFonts w:hint="eastAsia"/>
          <w:color w:val="auto"/>
          <w:sz w:val="24"/>
          <w:highlight w:val="none"/>
        </w:rPr>
        <w:t>附件</w:t>
      </w:r>
      <w:r>
        <w:rPr>
          <w:rFonts w:hint="eastAsia"/>
          <w:color w:val="auto"/>
          <w:sz w:val="24"/>
          <w:highlight w:val="none"/>
          <w:lang w:val="en-US" w:eastAsia="zh-CN"/>
        </w:rPr>
        <w:t xml:space="preserve">7 </w:t>
      </w:r>
      <w:r>
        <w:rPr>
          <w:rFonts w:hint="eastAsia"/>
          <w:color w:val="auto"/>
          <w:sz w:val="24"/>
          <w:highlight w:val="none"/>
        </w:rPr>
        <w:t>法定代表人授权书（格式）</w:t>
      </w:r>
      <w:bookmarkEnd w:id="57"/>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31857"/>
      <w:r>
        <w:rPr>
          <w:rFonts w:hint="eastAsia"/>
          <w:color w:val="auto"/>
          <w:sz w:val="24"/>
          <w:highlight w:val="none"/>
        </w:rPr>
        <w:t>附件</w:t>
      </w:r>
      <w:r>
        <w:rPr>
          <w:rFonts w:hint="eastAsia"/>
          <w:color w:val="auto"/>
          <w:sz w:val="24"/>
          <w:highlight w:val="none"/>
          <w:lang w:val="en-US" w:eastAsia="zh-CN"/>
        </w:rPr>
        <w:t>8</w:t>
      </w:r>
      <w:r>
        <w:rPr>
          <w:rFonts w:hint="eastAsia"/>
          <w:color w:val="auto"/>
          <w:sz w:val="24"/>
          <w:highlight w:val="none"/>
        </w:rPr>
        <w:t xml:space="preserve"> 证明文件</w:t>
      </w:r>
      <w:bookmarkEnd w:id="58"/>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59" w:name="_Toc23116"/>
      <w:r>
        <w:rPr>
          <w:rFonts w:hint="eastAsia"/>
          <w:color w:val="auto"/>
          <w:sz w:val="24"/>
          <w:highlight w:val="none"/>
        </w:rPr>
        <w:t>附件</w:t>
      </w:r>
      <w:r>
        <w:rPr>
          <w:rFonts w:hint="eastAsia"/>
          <w:color w:val="auto"/>
          <w:sz w:val="24"/>
          <w:highlight w:val="none"/>
          <w:lang w:val="en-US" w:eastAsia="zh-CN"/>
        </w:rPr>
        <w:t xml:space="preserve">9 </w:t>
      </w:r>
      <w:r>
        <w:rPr>
          <w:rFonts w:hint="eastAsia"/>
          <w:color w:val="auto"/>
          <w:sz w:val="24"/>
          <w:highlight w:val="none"/>
        </w:rPr>
        <w:t>供应商承诺书（格式）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w:t>
      </w:r>
      <w:r>
        <w:rPr>
          <w:rFonts w:hint="eastAsia" w:cs="Times New Roman"/>
          <w:color w:val="auto"/>
          <w:sz w:val="24"/>
          <w:highlight w:val="none"/>
          <w:lang w:val="en-US" w:eastAsia="zh-CN"/>
        </w:rPr>
        <w:t>0</w:t>
      </w:r>
      <w:r>
        <w:rPr>
          <w:rFonts w:hint="eastAsia" w:ascii="Times New Roman" w:hAnsi="Times New Roman" w:eastAsia="宋体" w:cs="Times New Roman"/>
          <w:color w:val="auto"/>
          <w:sz w:val="24"/>
          <w:highlight w:val="none"/>
          <w:lang w:val="en-US" w:eastAsia="zh-CN"/>
        </w:rPr>
        <w:t xml:space="preserve"> 供应商信用承诺函（格式）</w:t>
      </w:r>
    </w:p>
    <w:p>
      <w:pPr>
        <w:pStyle w:val="29"/>
        <w:pageBreakBefore w:val="0"/>
        <w:kinsoku/>
        <w:overflowPunct/>
        <w:topLinePunct w:val="0"/>
        <w:bidi w:val="0"/>
        <w:spacing w:beforeAutospacing="0" w:afterAutospacing="0" w:line="360" w:lineRule="auto"/>
        <w:rPr>
          <w:rFonts w:hint="eastAsia"/>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11"/>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24"/>
        <w:pageBreakBefore w:val="0"/>
        <w:kinsoku/>
        <w:overflowPunct/>
        <w:topLinePunct w:val="0"/>
        <w:bidi w:val="0"/>
        <w:spacing w:beforeAutospacing="0" w:afterAutospacing="0" w:line="360" w:lineRule="auto"/>
        <w:rPr>
          <w:color w:val="auto"/>
          <w:highlight w:val="none"/>
        </w:rPr>
      </w:pPr>
    </w:p>
    <w:p>
      <w:pPr>
        <w:pStyle w:val="3"/>
        <w:pageBreakBefore w:val="0"/>
        <w:kinsoku/>
        <w:overflowPunct/>
        <w:topLinePunct w:val="0"/>
        <w:bidi w:val="0"/>
        <w:spacing w:before="0" w:beforeAutospacing="0" w:after="0" w:afterAutospacing="0" w:line="360" w:lineRule="auto"/>
        <w:rPr>
          <w:color w:val="auto"/>
          <w:highlight w:val="none"/>
        </w:rPr>
      </w:pPr>
      <w:bookmarkStart w:id="60" w:name="_Toc24743"/>
      <w:bookmarkStart w:id="61" w:name="_Toc31798"/>
      <w:r>
        <w:rPr>
          <w:rFonts w:hint="eastAsia"/>
          <w:color w:val="auto"/>
          <w:highlight w:val="none"/>
        </w:rPr>
        <w:t>附件1               投标文件封面（格式）</w:t>
      </w:r>
      <w:bookmarkEnd w:id="60"/>
      <w:bookmarkEnd w:id="61"/>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11"/>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Style w:val="3"/>
        <w:pageBreakBefore w:val="0"/>
        <w:kinsoku/>
        <w:overflowPunct/>
        <w:topLinePunct w:val="0"/>
        <w:bidi w:val="0"/>
        <w:spacing w:before="0" w:beforeAutospacing="0" w:after="0" w:afterAutospacing="0" w:line="360" w:lineRule="auto"/>
        <w:rPr>
          <w:color w:val="auto"/>
          <w:highlight w:val="none"/>
        </w:rPr>
      </w:pPr>
      <w:bookmarkStart w:id="62" w:name="_Toc8818"/>
      <w:bookmarkStart w:id="63" w:name="_Toc14560"/>
      <w:r>
        <w:rPr>
          <w:rFonts w:hint="eastAsia"/>
          <w:color w:val="auto"/>
          <w:highlight w:val="none"/>
        </w:rPr>
        <w:t>附件2               投  标  书（格式）</w:t>
      </w:r>
      <w:bookmarkEnd w:id="62"/>
      <w:bookmarkEnd w:id="63"/>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sz w:val="28"/>
          <w:szCs w:val="28"/>
          <w:highlight w:val="none"/>
        </w:rPr>
      </w:pPr>
      <w:r>
        <w:rPr>
          <w:rFonts w:hint="eastAsia"/>
          <w:color w:val="auto"/>
          <w:sz w:val="28"/>
          <w:szCs w:val="28"/>
          <w:highlight w:val="none"/>
        </w:rPr>
        <w:br w:type="page"/>
      </w:r>
    </w:p>
    <w:p>
      <w:pPr>
        <w:pageBreakBefore w:val="0"/>
        <w:kinsoku/>
        <w:overflowPunct/>
        <w:topLinePunct w:val="0"/>
        <w:bidi w:val="0"/>
        <w:spacing w:beforeAutospacing="0" w:afterAutospacing="0" w:line="360" w:lineRule="auto"/>
        <w:rPr>
          <w:color w:val="auto"/>
          <w:highlight w:val="none"/>
        </w:rPr>
      </w:pPr>
    </w:p>
    <w:p>
      <w:pPr>
        <w:pStyle w:val="3"/>
        <w:pageBreakBefore w:val="0"/>
        <w:kinsoku/>
        <w:overflowPunct/>
        <w:topLinePunct w:val="0"/>
        <w:bidi w:val="0"/>
        <w:spacing w:before="0" w:beforeAutospacing="0" w:after="0" w:afterAutospacing="0" w:line="360" w:lineRule="auto"/>
        <w:rPr>
          <w:color w:val="auto"/>
          <w:highlight w:val="none"/>
        </w:rPr>
      </w:pPr>
      <w:bookmarkStart w:id="64" w:name="_Toc7838"/>
      <w:r>
        <w:rPr>
          <w:rFonts w:hint="eastAsia"/>
          <w:color w:val="auto"/>
          <w:highlight w:val="none"/>
        </w:rPr>
        <w:t>附件3               开标一览表</w:t>
      </w:r>
      <w:bookmarkEnd w:id="64"/>
    </w:p>
    <w:p>
      <w:pPr>
        <w:pageBreakBefore w:val="0"/>
        <w:kinsoku/>
        <w:overflowPunct/>
        <w:topLinePunct w:val="0"/>
        <w:bidi w:val="0"/>
        <w:spacing w:beforeAutospacing="0" w:afterAutospacing="0" w:line="360"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pageBreakBefore w:val="0"/>
        <w:kinsoku/>
        <w:overflowPunct/>
        <w:topLinePunct w:val="0"/>
        <w:bidi w:val="0"/>
        <w:spacing w:beforeAutospacing="0" w:afterAutospacing="0" w:line="360" w:lineRule="auto"/>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pageBreakBefore w:val="0"/>
              <w:kinsoku/>
              <w:overflowPunct/>
              <w:topLinePunct w:val="0"/>
              <w:bidi w:val="0"/>
              <w:spacing w:beforeAutospacing="0" w:afterAutospacing="0" w:line="360" w:lineRule="auto"/>
              <w:rPr>
                <w:rFonts w:hint="eastAsia"/>
                <w:lang w:val="en-US" w:eastAsia="zh-CN"/>
              </w:rPr>
            </w:pPr>
            <w:r>
              <w:rPr>
                <w:rFonts w:hint="eastAsia"/>
                <w:u w:val="single"/>
                <w:lang w:val="en-US" w:eastAsia="zh-CN"/>
              </w:rPr>
              <w:t xml:space="preserve">          </w:t>
            </w:r>
            <w:r>
              <w:rPr>
                <w:rFonts w:hint="eastAsia"/>
                <w:lang w:val="en-US" w:eastAsia="zh-CN"/>
              </w:rPr>
              <w:t>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8"/>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lang w:eastAsia="zh-CN"/>
        </w:rPr>
        <w:t>注:</w:t>
      </w:r>
      <w:r>
        <w:rPr>
          <w:rFonts w:hint="eastAsia" w:ascii="宋体" w:hAnsi="宋体" w:cs="宋体"/>
          <w:color w:val="auto"/>
          <w:kern w:val="0"/>
          <w:szCs w:val="21"/>
          <w:highlight w:val="none"/>
          <w:lang w:val="en-US" w:eastAsia="zh-CN"/>
        </w:rPr>
        <w:t>1、报价如有涂改，</w:t>
      </w:r>
      <w:r>
        <w:rPr>
          <w:rFonts w:hint="eastAsia" w:ascii="宋体" w:hAnsi="宋体" w:cs="宋体"/>
          <w:color w:val="auto"/>
          <w:kern w:val="0"/>
          <w:szCs w:val="21"/>
          <w:highlight w:val="none"/>
        </w:rPr>
        <w:t>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65" w:name="_Toc20877"/>
      <w:bookmarkStart w:id="66" w:name="_Toc11620"/>
      <w:r>
        <w:rPr>
          <w:rFonts w:hint="eastAsia" w:ascii="宋体" w:hAnsi="宋体"/>
          <w:color w:val="auto"/>
          <w:szCs w:val="21"/>
          <w:highlight w:val="none"/>
        </w:rPr>
        <w:t>投标人（全称并加盖公章）：</w:t>
      </w:r>
      <w:bookmarkEnd w:id="65"/>
      <w:bookmarkEnd w:id="66"/>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u w:val="single"/>
        </w:rPr>
      </w:pPr>
      <w:bookmarkStart w:id="67" w:name="_Toc12222"/>
      <w:bookmarkStart w:id="68" w:name="_Toc625"/>
      <w:r>
        <w:rPr>
          <w:rFonts w:hint="eastAsia" w:ascii="宋体" w:hAnsi="宋体"/>
          <w:color w:val="auto"/>
          <w:szCs w:val="21"/>
          <w:highlight w:val="none"/>
        </w:rPr>
        <w:t>法定代表人或其委托代理人（签字）：</w:t>
      </w:r>
      <w:bookmarkEnd w:id="67"/>
      <w:bookmarkEnd w:id="68"/>
    </w:p>
    <w:p>
      <w:pPr>
        <w:pageBreakBefore w:val="0"/>
        <w:kinsoku/>
        <w:overflowPunct/>
        <w:topLinePunct w:val="0"/>
        <w:bidi w:val="0"/>
        <w:spacing w:beforeAutospacing="0" w:afterAutospacing="0" w:line="360" w:lineRule="auto"/>
        <w:jc w:val="center"/>
        <w:rPr>
          <w:rFonts w:ascii="宋体" w:hAnsi="宋体"/>
          <w:color w:val="auto"/>
          <w:szCs w:val="21"/>
          <w:highlight w:val="none"/>
        </w:rPr>
      </w:pPr>
    </w:p>
    <w:p>
      <w:pPr>
        <w:pageBreakBefore w:val="0"/>
        <w:kinsoku/>
        <w:overflowPunct/>
        <w:topLinePunct w:val="0"/>
        <w:bidi w:val="0"/>
        <w:spacing w:beforeAutospacing="0" w:afterAutospacing="0" w:line="360" w:lineRule="auto"/>
        <w:ind w:firstLine="420" w:firstLineChars="200"/>
        <w:jc w:val="center"/>
        <w:rPr>
          <w:color w:val="auto"/>
          <w:highlight w:val="none"/>
        </w:rPr>
      </w:pPr>
      <w:bookmarkStart w:id="69" w:name="_Toc1330"/>
      <w:bookmarkStart w:id="70" w:name="_Toc9950"/>
      <w:r>
        <w:rPr>
          <w:rFonts w:hint="eastAsia" w:ascii="宋体" w:hAnsi="宋体"/>
          <w:color w:val="auto"/>
          <w:szCs w:val="21"/>
          <w:highlight w:val="none"/>
        </w:rPr>
        <w:t>年  月  日</w:t>
      </w:r>
      <w:bookmarkEnd w:id="69"/>
      <w:bookmarkEnd w:id="70"/>
    </w:p>
    <w:p>
      <w:pPr>
        <w:pageBreakBefore w:val="0"/>
        <w:kinsoku/>
        <w:overflowPunct/>
        <w:topLinePunct w:val="0"/>
        <w:bidi w:val="0"/>
        <w:spacing w:beforeAutospacing="0" w:afterAutospacing="0" w:line="360" w:lineRule="auto"/>
        <w:rPr>
          <w:color w:val="auto"/>
          <w:highlight w:val="none"/>
        </w:rPr>
      </w:pPr>
    </w:p>
    <w:bookmarkEnd w:id="46"/>
    <w:bookmarkEnd w:id="47"/>
    <w:p>
      <w:pPr>
        <w:pageBreakBefore w:val="0"/>
        <w:kinsoku/>
        <w:overflowPunct/>
        <w:topLinePunct w:val="0"/>
        <w:bidi w:val="0"/>
        <w:spacing w:beforeAutospacing="0" w:afterAutospacing="0" w:line="360" w:lineRule="auto"/>
        <w:rPr>
          <w:rFonts w:hint="eastAsia"/>
          <w:color w:val="000000" w:themeColor="text1"/>
          <w:highlight w:val="none"/>
          <w14:textFill>
            <w14:solidFill>
              <w14:schemeClr w14:val="tx1"/>
            </w14:solidFill>
          </w14:textFill>
        </w:rPr>
      </w:pPr>
      <w:bookmarkStart w:id="71" w:name="_Toc24984"/>
      <w:bookmarkStart w:id="72" w:name="_Toc22004"/>
      <w:r>
        <w:rPr>
          <w:rFonts w:hint="eastAsia"/>
          <w:color w:val="000000" w:themeColor="text1"/>
          <w:highlight w:val="none"/>
          <w14:textFill>
            <w14:solidFill>
              <w14:schemeClr w14:val="tx1"/>
            </w14:solidFill>
          </w14:textFill>
        </w:rPr>
        <w:br w:type="page"/>
      </w:r>
    </w:p>
    <w:bookmarkEnd w:id="71"/>
    <w:bookmarkEnd w:id="72"/>
    <w:p>
      <w:pPr>
        <w:pStyle w:val="3"/>
        <w:pageBreakBefore w:val="0"/>
        <w:kinsoku/>
        <w:overflowPunct/>
        <w:topLinePunct w:val="0"/>
        <w:bidi w:val="0"/>
        <w:spacing w:before="0" w:beforeAutospacing="0" w:after="0" w:afterAutospacing="0" w:line="360" w:lineRule="auto"/>
        <w:rPr>
          <w:rFonts w:hint="eastAsia" w:eastAsia="黑体"/>
          <w:color w:val="auto"/>
          <w:highlight w:val="none"/>
          <w:lang w:val="en-US" w:eastAsia="zh-CN"/>
        </w:rPr>
      </w:pPr>
      <w:bookmarkStart w:id="73" w:name="_Toc15804"/>
      <w:bookmarkStart w:id="74" w:name="_Toc226"/>
      <w:r>
        <w:rPr>
          <w:rFonts w:hint="eastAsia"/>
          <w:color w:val="auto"/>
          <w:highlight w:val="none"/>
        </w:rPr>
        <w:t>附件</w:t>
      </w:r>
      <w:r>
        <w:rPr>
          <w:rFonts w:hint="eastAsia"/>
          <w:color w:val="auto"/>
          <w:highlight w:val="none"/>
          <w:lang w:val="en-US" w:eastAsia="zh-CN"/>
        </w:rPr>
        <w:t>4</w:t>
      </w:r>
      <w:r>
        <w:rPr>
          <w:rFonts w:hint="eastAsia"/>
          <w:color w:val="auto"/>
          <w:highlight w:val="none"/>
        </w:rPr>
        <w:t xml:space="preserve">         </w:t>
      </w:r>
      <w:bookmarkEnd w:id="73"/>
      <w:bookmarkEnd w:id="74"/>
      <w:r>
        <w:rPr>
          <w:rFonts w:hint="eastAsia"/>
          <w:color w:val="auto"/>
          <w:highlight w:val="none"/>
        </w:rPr>
        <w:t xml:space="preserve">     技术</w:t>
      </w:r>
      <w:r>
        <w:rPr>
          <w:rFonts w:hint="eastAsia"/>
          <w:color w:val="auto"/>
          <w:highlight w:val="none"/>
          <w:lang w:val="en-US" w:eastAsia="zh-CN"/>
        </w:rPr>
        <w:t>部分</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8"/>
          <w:highlight w:val="none"/>
          <w:lang w:val="en-US" w:eastAsia="zh-CN"/>
        </w:rPr>
      </w:pPr>
      <w:bookmarkStart w:id="75" w:name="_Toc20420"/>
      <w:bookmarkStart w:id="76" w:name="_Toc29960"/>
      <w:bookmarkStart w:id="77" w:name="_Toc10342"/>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商务</w:t>
      </w:r>
      <w:bookmarkEnd w:id="75"/>
      <w:bookmarkEnd w:id="76"/>
      <w:r>
        <w:rPr>
          <w:rFonts w:hint="eastAsia" w:ascii="Arial" w:hAnsi="Arial" w:eastAsia="新宋体"/>
          <w:b/>
          <w:color w:val="auto"/>
          <w:sz w:val="28"/>
          <w:highlight w:val="none"/>
          <w:lang w:val="en-US" w:eastAsia="zh-CN"/>
        </w:rPr>
        <w:t>部分</w:t>
      </w:r>
      <w:bookmarkEnd w:id="77"/>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pageBreakBefore w:val="0"/>
        <w:kinsoku/>
        <w:overflowPunct/>
        <w:topLinePunct w:val="0"/>
        <w:bidi w:val="0"/>
        <w:spacing w:beforeAutospacing="0" w:afterAutospacing="0" w:line="360" w:lineRule="auto"/>
        <w:rPr>
          <w:rFonts w:cs="宋体"/>
          <w:b/>
          <w:color w:val="auto"/>
          <w:kern w:val="0"/>
          <w:sz w:val="24"/>
          <w:highlight w:val="none"/>
        </w:rPr>
      </w:pPr>
    </w:p>
    <w:p>
      <w:pPr>
        <w:pStyle w:val="29"/>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3"/>
        <w:pageBreakBefore w:val="0"/>
        <w:kinsoku/>
        <w:overflowPunct/>
        <w:topLinePunct w:val="0"/>
        <w:bidi w:val="0"/>
        <w:spacing w:before="0" w:beforeAutospacing="0" w:after="0" w:afterAutospacing="0" w:line="360" w:lineRule="auto"/>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78" w:name="_Toc25453"/>
      <w:bookmarkStart w:id="79" w:name="_Toc31526"/>
      <w:bookmarkStart w:id="80"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法定代表人身份证明（格式）</w:t>
      </w:r>
      <w:bookmarkEnd w:id="78"/>
      <w:bookmarkEnd w:id="79"/>
      <w:bookmarkEnd w:id="80"/>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2"/>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1" w:name="_Toc30519"/>
      <w:bookmarkStart w:id="82" w:name="_Toc1416"/>
      <w:bookmarkStart w:id="83" w:name="_Toc1397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法定代表人授权书（格式）</w:t>
      </w:r>
      <w:bookmarkEnd w:id="81"/>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4" w:name="_Toc24693"/>
      <w:bookmarkStart w:id="85" w:name="_Toc18105"/>
      <w:bookmarkStart w:id="86" w:name="_Toc30037"/>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8</w:t>
      </w:r>
      <w:r>
        <w:rPr>
          <w:rFonts w:hint="eastAsia" w:ascii="Arial" w:hAnsi="Arial" w:eastAsia="新宋体"/>
          <w:b/>
          <w:color w:val="auto"/>
          <w:sz w:val="28"/>
          <w:highlight w:val="none"/>
        </w:rPr>
        <w:t xml:space="preserve">               证明文件</w:t>
      </w:r>
      <w:bookmarkEnd w:id="84"/>
      <w:bookmarkEnd w:id="85"/>
      <w:bookmarkEnd w:id="86"/>
    </w:p>
    <w:p>
      <w:pPr>
        <w:pStyle w:val="7"/>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lang w:val="en-US" w:eastAsia="zh-CN"/>
        </w:rPr>
        <w:t>8</w:t>
      </w:r>
      <w:r>
        <w:rPr>
          <w:rFonts w:hint="eastAsia"/>
          <w:bCs/>
          <w:color w:val="auto"/>
          <w:sz w:val="21"/>
          <w:szCs w:val="21"/>
          <w:highlight w:val="none"/>
        </w:rPr>
        <w:t>.1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lang w:val="en-US" w:eastAsia="zh-CN"/>
        </w:rPr>
        <w:t>8</w:t>
      </w:r>
      <w:r>
        <w:rPr>
          <w:rFonts w:hint="eastAsia"/>
          <w:bCs/>
          <w:color w:val="auto"/>
          <w:sz w:val="21"/>
          <w:szCs w:val="21"/>
          <w:highlight w:val="none"/>
        </w:rPr>
        <w:t>.2</w:t>
      </w:r>
      <w:r>
        <w:rPr>
          <w:rFonts w:hint="eastAsia"/>
          <w:bCs/>
          <w:color w:val="auto"/>
          <w:sz w:val="21"/>
          <w:szCs w:val="21"/>
          <w:highlight w:val="none"/>
          <w:lang w:val="en-US" w:eastAsia="zh-CN"/>
        </w:rPr>
        <w:t xml:space="preserve"> 服务方案</w:t>
      </w:r>
    </w:p>
    <w:p>
      <w:pPr>
        <w:pStyle w:val="7"/>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lang w:val="en-US" w:eastAsia="zh-CN"/>
        </w:rPr>
        <w:t>8</w:t>
      </w:r>
      <w:r>
        <w:rPr>
          <w:rFonts w:hint="eastAsia"/>
          <w:bCs/>
          <w:color w:val="auto"/>
          <w:sz w:val="21"/>
          <w:szCs w:val="21"/>
          <w:highlight w:val="none"/>
        </w:rPr>
        <w:t>.3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7" w:name="_Toc17966"/>
    </w:p>
    <w:p>
      <w:pPr>
        <w:pStyle w:val="7"/>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lang w:val="en-US" w:eastAsia="zh-CN"/>
        </w:rPr>
        <w:t>8</w:t>
      </w:r>
      <w:r>
        <w:rPr>
          <w:rFonts w:hint="eastAsia"/>
          <w:bCs/>
          <w:color w:val="auto"/>
          <w:sz w:val="21"/>
          <w:szCs w:val="21"/>
          <w:highlight w:val="none"/>
        </w:rPr>
        <w:t>.</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7"/>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8" w:name="_Toc12888"/>
      <w:bookmarkStart w:id="89" w:name="_Toc13726"/>
      <w:bookmarkStart w:id="90" w:name="_Toc29825"/>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9</w:t>
      </w:r>
      <w:r>
        <w:rPr>
          <w:rFonts w:hint="eastAsia" w:ascii="宋体" w:hAnsi="宋体" w:cs="Lucida Sans Unicode"/>
          <w:b/>
          <w:color w:val="auto"/>
          <w:kern w:val="0"/>
          <w:sz w:val="28"/>
          <w:szCs w:val="28"/>
          <w:highlight w:val="none"/>
        </w:rPr>
        <w:t xml:space="preserve">        </w:t>
      </w:r>
      <w:bookmarkEnd w:id="87"/>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8"/>
      <w:bookmarkEnd w:id="89"/>
      <w:bookmarkEnd w:id="90"/>
    </w:p>
    <w:p>
      <w:pPr>
        <w:pageBreakBefore w:val="0"/>
        <w:kinsoku/>
        <w:overflowPunct/>
        <w:topLinePunct w:val="0"/>
        <w:bidi w:val="0"/>
        <w:spacing w:beforeAutospacing="0" w:afterAutospacing="0" w:line="360" w:lineRule="auto"/>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rPr>
      </w:pPr>
      <w:r>
        <w:rPr>
          <w:rFonts w:hint="eastAsia" w:ascii="宋体" w:hAnsi="宋体" w:eastAsia="宋体" w:cs="宋体"/>
          <w:sz w:val="24"/>
          <w:szCs w:val="24"/>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Style w:val="29"/>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Style w:val="30"/>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Style w:val="7"/>
        <w:rPr>
          <w:rFonts w:ascii="宋体" w:hAnsi="宋体" w:cs="宋体"/>
          <w:color w:val="auto"/>
          <w:kern w:val="0"/>
          <w:szCs w:val="21"/>
          <w:highlight w:val="none"/>
        </w:rPr>
      </w:pPr>
    </w:p>
    <w:p>
      <w:pPr>
        <w:pStyle w:val="7"/>
        <w:rPr>
          <w:rFonts w:ascii="宋体" w:hAnsi="宋体" w:cs="宋体"/>
          <w:color w:val="auto"/>
          <w:kern w:val="0"/>
          <w:szCs w:val="21"/>
          <w:highlight w:val="none"/>
        </w:rPr>
      </w:pPr>
    </w:p>
    <w:p>
      <w:pPr>
        <w:pStyle w:val="7"/>
        <w:rPr>
          <w:rFonts w:ascii="宋体" w:hAnsi="宋体" w:cs="宋体"/>
          <w:color w:val="auto"/>
          <w:kern w:val="0"/>
          <w:szCs w:val="21"/>
          <w:highlight w:val="none"/>
        </w:rPr>
      </w:pPr>
    </w:p>
    <w:p>
      <w:pPr>
        <w:pStyle w:val="7"/>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jc w:val="center"/>
        <w:rPr>
          <w:rFonts w:hint="eastAsia"/>
          <w:lang w:val="en-US" w:eastAsia="zh-CN"/>
        </w:rPr>
      </w:pPr>
      <w:r>
        <w:rPr>
          <w:rFonts w:hint="eastAsia" w:ascii="宋体" w:hAnsi="宋体" w:eastAsia="宋体" w:cs="宋体"/>
          <w:b/>
          <w:bCs/>
          <w:color w:val="auto"/>
          <w:kern w:val="2"/>
          <w:sz w:val="28"/>
          <w:szCs w:val="18"/>
          <w:highlight w:val="none"/>
          <w:lang w:val="en-US" w:eastAsia="zh-CN" w:bidi="ar-SA"/>
        </w:rPr>
        <w:t>附件1</w:t>
      </w:r>
      <w:r>
        <w:rPr>
          <w:rFonts w:hint="eastAsia" w:ascii="宋体" w:hAnsi="宋体" w:cs="宋体"/>
          <w:b/>
          <w:bCs/>
          <w:color w:val="auto"/>
          <w:kern w:val="2"/>
          <w:sz w:val="28"/>
          <w:szCs w:val="18"/>
          <w:highlight w:val="none"/>
          <w:lang w:val="en-US" w:eastAsia="zh-CN" w:bidi="ar-SA"/>
        </w:rPr>
        <w:t>0</w:t>
      </w:r>
      <w:r>
        <w:rPr>
          <w:rFonts w:hint="eastAsia" w:ascii="宋体" w:hAnsi="宋体" w:eastAsia="宋体" w:cs="宋体"/>
          <w:b/>
          <w:bCs/>
          <w:color w:val="auto"/>
          <w:kern w:val="2"/>
          <w:sz w:val="28"/>
          <w:szCs w:val="18"/>
          <w:highlight w:val="none"/>
          <w:lang w:val="en-US" w:eastAsia="zh-CN" w:bidi="ar-SA"/>
        </w:rPr>
        <w:t xml:space="preserve">     供应商信用承诺函（格式）</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pStyle w:val="29"/>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91" w:name="_Toc22648"/>
      <w:bookmarkStart w:id="92" w:name="_Toc23394"/>
      <w:bookmarkStart w:id="93" w:name="_Toc25094"/>
      <w:r>
        <w:rPr>
          <w:rFonts w:hint="eastAsia" w:ascii="宋体" w:hAnsi="宋体" w:cs="Lucida Sans Unicode"/>
          <w:b/>
          <w:color w:val="auto"/>
          <w:kern w:val="0"/>
          <w:sz w:val="24"/>
          <w:highlight w:val="none"/>
        </w:rPr>
        <w:t>投标人认为有必要的其他资料</w:t>
      </w:r>
      <w:bookmarkEnd w:id="91"/>
      <w:bookmarkEnd w:id="92"/>
      <w:bookmarkEnd w:id="93"/>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center"/>
        <w:rPr>
          <w:b/>
          <w:bCs/>
          <w:color w:val="auto"/>
          <w:sz w:val="28"/>
          <w:szCs w:val="28"/>
          <w:highlight w:val="none"/>
        </w:rPr>
      </w:pPr>
    </w:p>
    <w:p>
      <w:pPr>
        <w:pStyle w:val="7"/>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ascii="宋体" w:hAnsi="宋体" w:cs="宋体"/>
        <w:color w:val="auto"/>
        <w:szCs w:val="21"/>
        <w:highlight w:val="none"/>
        <w:u w:val="none"/>
        <w:shd w:val="clear" w:color="auto" w:fill="FFFFFF"/>
        <w:lang w:val="en-US" w:eastAsia="zh-CN"/>
      </w:rPr>
      <w:t>驻马店市中心医院第三方人力资源劳务派遣服务公司招标采购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rPr>
    </w:pPr>
    <w:r>
      <w:rPr>
        <w:rFonts w:hint="eastAsia" w:ascii="宋体" w:hAnsi="宋体" w:cs="宋体"/>
        <w:color w:val="auto"/>
        <w:szCs w:val="21"/>
        <w:highlight w:val="none"/>
        <w:u w:val="none"/>
        <w:shd w:val="clear" w:color="auto" w:fill="FFFFFF"/>
        <w:lang w:val="en-US" w:eastAsia="zh-CN"/>
      </w:rPr>
      <w:t>驻马店市中心医院第三方人力资源劳务派遣服务公司招标项目采购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E7F60AB"/>
    <w:multiLevelType w:val="singleLevel"/>
    <w:tmpl w:val="7E7F60AB"/>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937D7"/>
    <w:rsid w:val="012B4701"/>
    <w:rsid w:val="01525212"/>
    <w:rsid w:val="01564054"/>
    <w:rsid w:val="015C0A67"/>
    <w:rsid w:val="017E6D95"/>
    <w:rsid w:val="01D715BE"/>
    <w:rsid w:val="01EB45BC"/>
    <w:rsid w:val="01F86CD9"/>
    <w:rsid w:val="01FA63A5"/>
    <w:rsid w:val="02011C7D"/>
    <w:rsid w:val="02035523"/>
    <w:rsid w:val="021C6E40"/>
    <w:rsid w:val="02222FF2"/>
    <w:rsid w:val="02384FF4"/>
    <w:rsid w:val="023F67A9"/>
    <w:rsid w:val="0247575A"/>
    <w:rsid w:val="025235B1"/>
    <w:rsid w:val="0262674D"/>
    <w:rsid w:val="02747B01"/>
    <w:rsid w:val="02890D36"/>
    <w:rsid w:val="02D92EF7"/>
    <w:rsid w:val="02DA4665"/>
    <w:rsid w:val="02DF39F5"/>
    <w:rsid w:val="02F40325"/>
    <w:rsid w:val="031126C4"/>
    <w:rsid w:val="03123DCA"/>
    <w:rsid w:val="03475E56"/>
    <w:rsid w:val="035E4919"/>
    <w:rsid w:val="036A009A"/>
    <w:rsid w:val="03844805"/>
    <w:rsid w:val="03845791"/>
    <w:rsid w:val="03A011E9"/>
    <w:rsid w:val="03AE7F27"/>
    <w:rsid w:val="03BD2BCD"/>
    <w:rsid w:val="03CC058D"/>
    <w:rsid w:val="03E017D2"/>
    <w:rsid w:val="03F77068"/>
    <w:rsid w:val="04416C20"/>
    <w:rsid w:val="046E6DDE"/>
    <w:rsid w:val="047968B1"/>
    <w:rsid w:val="04870542"/>
    <w:rsid w:val="04B30F7A"/>
    <w:rsid w:val="04CE1513"/>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CF34A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AF02C43"/>
    <w:rsid w:val="0AF97749"/>
    <w:rsid w:val="0B091954"/>
    <w:rsid w:val="0B4224D9"/>
    <w:rsid w:val="0B637D77"/>
    <w:rsid w:val="0B7006C4"/>
    <w:rsid w:val="0BAC324F"/>
    <w:rsid w:val="0BC11EE9"/>
    <w:rsid w:val="0BF16C73"/>
    <w:rsid w:val="0BF72F1E"/>
    <w:rsid w:val="0C3152C1"/>
    <w:rsid w:val="0C3957A5"/>
    <w:rsid w:val="0C45559A"/>
    <w:rsid w:val="0C626DA7"/>
    <w:rsid w:val="0C6876AE"/>
    <w:rsid w:val="0C71390F"/>
    <w:rsid w:val="0C720EC8"/>
    <w:rsid w:val="0C942042"/>
    <w:rsid w:val="0C9D50DC"/>
    <w:rsid w:val="0CA5271D"/>
    <w:rsid w:val="0CAC4D10"/>
    <w:rsid w:val="0CC72121"/>
    <w:rsid w:val="0CEE5A21"/>
    <w:rsid w:val="0D05268E"/>
    <w:rsid w:val="0D0646E7"/>
    <w:rsid w:val="0D0C38CA"/>
    <w:rsid w:val="0D1D3A97"/>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9776BD"/>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346077"/>
    <w:rsid w:val="13493108"/>
    <w:rsid w:val="13693592"/>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6101AB"/>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CF1E32"/>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3463F1"/>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AE01D0"/>
    <w:rsid w:val="1BB73AE1"/>
    <w:rsid w:val="1BBE6445"/>
    <w:rsid w:val="1BDA6D68"/>
    <w:rsid w:val="1BE53211"/>
    <w:rsid w:val="1BF14125"/>
    <w:rsid w:val="1C555978"/>
    <w:rsid w:val="1C556DAA"/>
    <w:rsid w:val="1C6554A1"/>
    <w:rsid w:val="1C7971B7"/>
    <w:rsid w:val="1C917D91"/>
    <w:rsid w:val="1CA27B15"/>
    <w:rsid w:val="1CD402EC"/>
    <w:rsid w:val="1CED16EF"/>
    <w:rsid w:val="1CF02333"/>
    <w:rsid w:val="1D0C33A2"/>
    <w:rsid w:val="1D113E6E"/>
    <w:rsid w:val="1D114E5E"/>
    <w:rsid w:val="1D1F0050"/>
    <w:rsid w:val="1D2222DC"/>
    <w:rsid w:val="1D5B3CDE"/>
    <w:rsid w:val="1D6E2950"/>
    <w:rsid w:val="1D6E79F7"/>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514F41"/>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4178FD"/>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E646AA"/>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650DA8"/>
    <w:rsid w:val="257572C3"/>
    <w:rsid w:val="25790E85"/>
    <w:rsid w:val="25972C60"/>
    <w:rsid w:val="25974C6F"/>
    <w:rsid w:val="259D1676"/>
    <w:rsid w:val="25A353EB"/>
    <w:rsid w:val="25B87B65"/>
    <w:rsid w:val="25CB78C3"/>
    <w:rsid w:val="25D54390"/>
    <w:rsid w:val="261879A7"/>
    <w:rsid w:val="261A071C"/>
    <w:rsid w:val="2624460F"/>
    <w:rsid w:val="264B0BA4"/>
    <w:rsid w:val="26781737"/>
    <w:rsid w:val="268C5256"/>
    <w:rsid w:val="268E455B"/>
    <w:rsid w:val="26912B30"/>
    <w:rsid w:val="269772F0"/>
    <w:rsid w:val="26977FBF"/>
    <w:rsid w:val="26997893"/>
    <w:rsid w:val="26A30712"/>
    <w:rsid w:val="26AC0C27"/>
    <w:rsid w:val="26C807A6"/>
    <w:rsid w:val="26D1527F"/>
    <w:rsid w:val="26DB67BA"/>
    <w:rsid w:val="26E311CD"/>
    <w:rsid w:val="26EF24ED"/>
    <w:rsid w:val="26F1408A"/>
    <w:rsid w:val="26F96584"/>
    <w:rsid w:val="27005B64"/>
    <w:rsid w:val="27015370"/>
    <w:rsid w:val="270B421F"/>
    <w:rsid w:val="274E2228"/>
    <w:rsid w:val="27517A93"/>
    <w:rsid w:val="27572B35"/>
    <w:rsid w:val="275E53AF"/>
    <w:rsid w:val="276658E8"/>
    <w:rsid w:val="277E30D2"/>
    <w:rsid w:val="27803F2A"/>
    <w:rsid w:val="27A34941"/>
    <w:rsid w:val="27EE3A7B"/>
    <w:rsid w:val="283C23DF"/>
    <w:rsid w:val="283D69F1"/>
    <w:rsid w:val="284C16F5"/>
    <w:rsid w:val="28570AB5"/>
    <w:rsid w:val="28622C36"/>
    <w:rsid w:val="286E3A52"/>
    <w:rsid w:val="28C2534B"/>
    <w:rsid w:val="28C5525A"/>
    <w:rsid w:val="28D14B96"/>
    <w:rsid w:val="28FE4325"/>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5C3FC8"/>
    <w:rsid w:val="2E742F70"/>
    <w:rsid w:val="2E9A689E"/>
    <w:rsid w:val="2EDC2A13"/>
    <w:rsid w:val="2EFD7DB9"/>
    <w:rsid w:val="2F01691D"/>
    <w:rsid w:val="2F1A081D"/>
    <w:rsid w:val="2F1E3DC0"/>
    <w:rsid w:val="2F2D326E"/>
    <w:rsid w:val="2F3112DE"/>
    <w:rsid w:val="2F3B6922"/>
    <w:rsid w:val="2F3D7B25"/>
    <w:rsid w:val="2F506C6D"/>
    <w:rsid w:val="2F51291F"/>
    <w:rsid w:val="2F55758A"/>
    <w:rsid w:val="2F7F15AE"/>
    <w:rsid w:val="2FA54796"/>
    <w:rsid w:val="2FA674E2"/>
    <w:rsid w:val="2FDA50DF"/>
    <w:rsid w:val="2FFE7D49"/>
    <w:rsid w:val="3002294D"/>
    <w:rsid w:val="3011153D"/>
    <w:rsid w:val="30142680"/>
    <w:rsid w:val="302A11B1"/>
    <w:rsid w:val="302A5C42"/>
    <w:rsid w:val="303074BA"/>
    <w:rsid w:val="30B8125D"/>
    <w:rsid w:val="30BF439A"/>
    <w:rsid w:val="30CF6A37"/>
    <w:rsid w:val="30D250CF"/>
    <w:rsid w:val="31002970"/>
    <w:rsid w:val="311016AD"/>
    <w:rsid w:val="3136622A"/>
    <w:rsid w:val="3139422E"/>
    <w:rsid w:val="31496359"/>
    <w:rsid w:val="314D19A6"/>
    <w:rsid w:val="316467C4"/>
    <w:rsid w:val="31700E4B"/>
    <w:rsid w:val="3172683C"/>
    <w:rsid w:val="31A359FC"/>
    <w:rsid w:val="31AD0D61"/>
    <w:rsid w:val="31AE3914"/>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25A82"/>
    <w:rsid w:val="35361A77"/>
    <w:rsid w:val="35461A22"/>
    <w:rsid w:val="35483CC9"/>
    <w:rsid w:val="35A815CB"/>
    <w:rsid w:val="35AA1B9C"/>
    <w:rsid w:val="35DB09A6"/>
    <w:rsid w:val="35ED19A9"/>
    <w:rsid w:val="36080591"/>
    <w:rsid w:val="3609472F"/>
    <w:rsid w:val="361B6AE2"/>
    <w:rsid w:val="36541A28"/>
    <w:rsid w:val="369B4CF0"/>
    <w:rsid w:val="36D62629"/>
    <w:rsid w:val="36D76172"/>
    <w:rsid w:val="36E833BB"/>
    <w:rsid w:val="36EB1E1B"/>
    <w:rsid w:val="36F17F0D"/>
    <w:rsid w:val="36F56D67"/>
    <w:rsid w:val="3735197D"/>
    <w:rsid w:val="373756A2"/>
    <w:rsid w:val="375E0DA6"/>
    <w:rsid w:val="378B61A6"/>
    <w:rsid w:val="37B90F0B"/>
    <w:rsid w:val="37CD3F98"/>
    <w:rsid w:val="37DF75BA"/>
    <w:rsid w:val="37DF7ABF"/>
    <w:rsid w:val="37E148E2"/>
    <w:rsid w:val="37F848EE"/>
    <w:rsid w:val="38304889"/>
    <w:rsid w:val="38352DFD"/>
    <w:rsid w:val="38382675"/>
    <w:rsid w:val="383B7B0D"/>
    <w:rsid w:val="3851700B"/>
    <w:rsid w:val="385246B6"/>
    <w:rsid w:val="38673C95"/>
    <w:rsid w:val="3876113B"/>
    <w:rsid w:val="387E52C9"/>
    <w:rsid w:val="38A53DB7"/>
    <w:rsid w:val="38BF3388"/>
    <w:rsid w:val="38CC268D"/>
    <w:rsid w:val="38DF1FDA"/>
    <w:rsid w:val="38E25BC3"/>
    <w:rsid w:val="38EC2960"/>
    <w:rsid w:val="391000E2"/>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7601BF"/>
    <w:rsid w:val="3A895E02"/>
    <w:rsid w:val="3A923AE4"/>
    <w:rsid w:val="3AA50E25"/>
    <w:rsid w:val="3AC566E3"/>
    <w:rsid w:val="3AD6747A"/>
    <w:rsid w:val="3B312338"/>
    <w:rsid w:val="3B3D0FF2"/>
    <w:rsid w:val="3B521A18"/>
    <w:rsid w:val="3B8D2B96"/>
    <w:rsid w:val="3B923660"/>
    <w:rsid w:val="3BCA44BE"/>
    <w:rsid w:val="3C061F3A"/>
    <w:rsid w:val="3C0A04F9"/>
    <w:rsid w:val="3C495480"/>
    <w:rsid w:val="3C4C3A42"/>
    <w:rsid w:val="3C5B2215"/>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65170A"/>
    <w:rsid w:val="3D7B4622"/>
    <w:rsid w:val="3D942E29"/>
    <w:rsid w:val="3DA53531"/>
    <w:rsid w:val="3DB54E0C"/>
    <w:rsid w:val="3DB900C1"/>
    <w:rsid w:val="3DB9469E"/>
    <w:rsid w:val="3DE91725"/>
    <w:rsid w:val="3DF159B1"/>
    <w:rsid w:val="3E1A106E"/>
    <w:rsid w:val="3E300685"/>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2098A"/>
    <w:rsid w:val="402833BA"/>
    <w:rsid w:val="40283C2B"/>
    <w:rsid w:val="40394FD1"/>
    <w:rsid w:val="40425879"/>
    <w:rsid w:val="405C1C05"/>
    <w:rsid w:val="405F34A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4C046A"/>
    <w:rsid w:val="425B5DD1"/>
    <w:rsid w:val="4260300C"/>
    <w:rsid w:val="427C799E"/>
    <w:rsid w:val="42800B9B"/>
    <w:rsid w:val="42A06B6C"/>
    <w:rsid w:val="42A27996"/>
    <w:rsid w:val="42AA04E2"/>
    <w:rsid w:val="42EA5650"/>
    <w:rsid w:val="431408DA"/>
    <w:rsid w:val="4331401E"/>
    <w:rsid w:val="43591DDA"/>
    <w:rsid w:val="435A0DF2"/>
    <w:rsid w:val="435C016E"/>
    <w:rsid w:val="436C42E1"/>
    <w:rsid w:val="437C210F"/>
    <w:rsid w:val="43847F02"/>
    <w:rsid w:val="438F113C"/>
    <w:rsid w:val="439E7EFB"/>
    <w:rsid w:val="43B1568A"/>
    <w:rsid w:val="43BD7F58"/>
    <w:rsid w:val="43D43ECA"/>
    <w:rsid w:val="43DD452F"/>
    <w:rsid w:val="43DE6CD4"/>
    <w:rsid w:val="43E51150"/>
    <w:rsid w:val="43EF28BB"/>
    <w:rsid w:val="43EF56D3"/>
    <w:rsid w:val="440672AF"/>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235FF"/>
    <w:rsid w:val="45887B45"/>
    <w:rsid w:val="458B66DF"/>
    <w:rsid w:val="45940F0E"/>
    <w:rsid w:val="45AC5DBA"/>
    <w:rsid w:val="45C647AF"/>
    <w:rsid w:val="45DD529D"/>
    <w:rsid w:val="45E16709"/>
    <w:rsid w:val="45E57886"/>
    <w:rsid w:val="46003076"/>
    <w:rsid w:val="46026F63"/>
    <w:rsid w:val="46177E29"/>
    <w:rsid w:val="46205B7F"/>
    <w:rsid w:val="465D501C"/>
    <w:rsid w:val="466367DB"/>
    <w:rsid w:val="46686D18"/>
    <w:rsid w:val="46752CBD"/>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212E4"/>
    <w:rsid w:val="480556DB"/>
    <w:rsid w:val="48185C56"/>
    <w:rsid w:val="48450F81"/>
    <w:rsid w:val="484E729D"/>
    <w:rsid w:val="48566773"/>
    <w:rsid w:val="485A23C2"/>
    <w:rsid w:val="488C5052"/>
    <w:rsid w:val="48A16B62"/>
    <w:rsid w:val="48BC6222"/>
    <w:rsid w:val="48C245E9"/>
    <w:rsid w:val="48DB312A"/>
    <w:rsid w:val="48DF49D9"/>
    <w:rsid w:val="492108CC"/>
    <w:rsid w:val="493D634C"/>
    <w:rsid w:val="49413F52"/>
    <w:rsid w:val="494F6304"/>
    <w:rsid w:val="4A05334F"/>
    <w:rsid w:val="4A244932"/>
    <w:rsid w:val="4A2922C8"/>
    <w:rsid w:val="4A4117B2"/>
    <w:rsid w:val="4A7A4350"/>
    <w:rsid w:val="4A7E2497"/>
    <w:rsid w:val="4A896826"/>
    <w:rsid w:val="4ABF5E17"/>
    <w:rsid w:val="4AE01A66"/>
    <w:rsid w:val="4AE104D6"/>
    <w:rsid w:val="4AED707B"/>
    <w:rsid w:val="4AF403AA"/>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476E9"/>
    <w:rsid w:val="4CC84335"/>
    <w:rsid w:val="4CE9350A"/>
    <w:rsid w:val="4D297BF3"/>
    <w:rsid w:val="4D2D0EAF"/>
    <w:rsid w:val="4D783DF7"/>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415271"/>
    <w:rsid w:val="4E611B8B"/>
    <w:rsid w:val="4E682F8C"/>
    <w:rsid w:val="4E6A7BB7"/>
    <w:rsid w:val="4EE07EA5"/>
    <w:rsid w:val="4F0773B4"/>
    <w:rsid w:val="4F307BB1"/>
    <w:rsid w:val="4F3D562D"/>
    <w:rsid w:val="4F570603"/>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7F5754"/>
    <w:rsid w:val="51996737"/>
    <w:rsid w:val="51B408B8"/>
    <w:rsid w:val="51CC0868"/>
    <w:rsid w:val="51D5340F"/>
    <w:rsid w:val="52382F2A"/>
    <w:rsid w:val="52386E3D"/>
    <w:rsid w:val="523A7DD1"/>
    <w:rsid w:val="523B0184"/>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B63EF"/>
    <w:rsid w:val="537E1075"/>
    <w:rsid w:val="53837051"/>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264E2"/>
    <w:rsid w:val="54D97871"/>
    <w:rsid w:val="551D586C"/>
    <w:rsid w:val="55200298"/>
    <w:rsid w:val="55335E1B"/>
    <w:rsid w:val="553F1856"/>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0B5F93"/>
    <w:rsid w:val="582772A7"/>
    <w:rsid w:val="584D6D0A"/>
    <w:rsid w:val="58531B77"/>
    <w:rsid w:val="585D2975"/>
    <w:rsid w:val="585F64F9"/>
    <w:rsid w:val="587E3341"/>
    <w:rsid w:val="58C12AF6"/>
    <w:rsid w:val="58CF56D8"/>
    <w:rsid w:val="58D31010"/>
    <w:rsid w:val="58D6741E"/>
    <w:rsid w:val="58DB0535"/>
    <w:rsid w:val="58E62E0E"/>
    <w:rsid w:val="58EA3D0E"/>
    <w:rsid w:val="58F71269"/>
    <w:rsid w:val="58FE045E"/>
    <w:rsid w:val="5943350B"/>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41A40"/>
    <w:rsid w:val="5B585171"/>
    <w:rsid w:val="5B585B78"/>
    <w:rsid w:val="5B6D62B9"/>
    <w:rsid w:val="5B9A2B59"/>
    <w:rsid w:val="5BC0085A"/>
    <w:rsid w:val="5BF03D58"/>
    <w:rsid w:val="5BF20AFB"/>
    <w:rsid w:val="5C1A6BB2"/>
    <w:rsid w:val="5C37233A"/>
    <w:rsid w:val="5C5355FE"/>
    <w:rsid w:val="5C6F4105"/>
    <w:rsid w:val="5CBB7F6F"/>
    <w:rsid w:val="5CC248CE"/>
    <w:rsid w:val="5CC4145A"/>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465B6"/>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BE5E24"/>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D63D8B"/>
    <w:rsid w:val="63EE4692"/>
    <w:rsid w:val="63FD622D"/>
    <w:rsid w:val="643F32F9"/>
    <w:rsid w:val="64542A70"/>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B4B3F"/>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BF20F5"/>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C56475"/>
    <w:rsid w:val="6ADA6AC4"/>
    <w:rsid w:val="6ADB11D6"/>
    <w:rsid w:val="6B1A2C3C"/>
    <w:rsid w:val="6B31644D"/>
    <w:rsid w:val="6B486C86"/>
    <w:rsid w:val="6B554C72"/>
    <w:rsid w:val="6B847AD7"/>
    <w:rsid w:val="6B8F2BBC"/>
    <w:rsid w:val="6B9A2DF9"/>
    <w:rsid w:val="6BA251D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01DE3"/>
    <w:rsid w:val="6D480984"/>
    <w:rsid w:val="6DB13E57"/>
    <w:rsid w:val="6DC71662"/>
    <w:rsid w:val="6DCD5126"/>
    <w:rsid w:val="6DDB6CB0"/>
    <w:rsid w:val="6DE52ACD"/>
    <w:rsid w:val="6DFC0B44"/>
    <w:rsid w:val="6E0458E7"/>
    <w:rsid w:val="6E212037"/>
    <w:rsid w:val="6E3B221B"/>
    <w:rsid w:val="6E414FD8"/>
    <w:rsid w:val="6E475779"/>
    <w:rsid w:val="6E7220B1"/>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0814"/>
    <w:rsid w:val="709D518F"/>
    <w:rsid w:val="70C759D3"/>
    <w:rsid w:val="70CF2B23"/>
    <w:rsid w:val="70D70CB1"/>
    <w:rsid w:val="710952C1"/>
    <w:rsid w:val="711449B4"/>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406B6D"/>
    <w:rsid w:val="74676A28"/>
    <w:rsid w:val="747E40B6"/>
    <w:rsid w:val="749B1FF5"/>
    <w:rsid w:val="74AC3224"/>
    <w:rsid w:val="74BB2C83"/>
    <w:rsid w:val="74C33758"/>
    <w:rsid w:val="74DE4E5F"/>
    <w:rsid w:val="74EB54AB"/>
    <w:rsid w:val="74FF6D43"/>
    <w:rsid w:val="750201A2"/>
    <w:rsid w:val="751A76AF"/>
    <w:rsid w:val="75224790"/>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62504C"/>
    <w:rsid w:val="777A1AF8"/>
    <w:rsid w:val="777A7D22"/>
    <w:rsid w:val="77835654"/>
    <w:rsid w:val="7797109C"/>
    <w:rsid w:val="779A2A38"/>
    <w:rsid w:val="77B4450A"/>
    <w:rsid w:val="77B46E73"/>
    <w:rsid w:val="77E37A12"/>
    <w:rsid w:val="77FE3468"/>
    <w:rsid w:val="78250553"/>
    <w:rsid w:val="78546F0C"/>
    <w:rsid w:val="78EE1C79"/>
    <w:rsid w:val="78FA66FA"/>
    <w:rsid w:val="79424F6E"/>
    <w:rsid w:val="796C53DD"/>
    <w:rsid w:val="797239CC"/>
    <w:rsid w:val="79831473"/>
    <w:rsid w:val="7999527A"/>
    <w:rsid w:val="79AF76C5"/>
    <w:rsid w:val="79C25EE1"/>
    <w:rsid w:val="79CE2967"/>
    <w:rsid w:val="79EA664C"/>
    <w:rsid w:val="79F9627A"/>
    <w:rsid w:val="7A2F3BBF"/>
    <w:rsid w:val="7A2F459A"/>
    <w:rsid w:val="7A322A39"/>
    <w:rsid w:val="7A517022"/>
    <w:rsid w:val="7A6F5001"/>
    <w:rsid w:val="7AA2343E"/>
    <w:rsid w:val="7AA5597C"/>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B51A62"/>
    <w:rsid w:val="7CD2318A"/>
    <w:rsid w:val="7CD2702A"/>
    <w:rsid w:val="7CD34C42"/>
    <w:rsid w:val="7CDE3FF9"/>
    <w:rsid w:val="7CE26EBF"/>
    <w:rsid w:val="7CEE3130"/>
    <w:rsid w:val="7D1F6674"/>
    <w:rsid w:val="7D480B34"/>
    <w:rsid w:val="7D777A3E"/>
    <w:rsid w:val="7D7A0A3F"/>
    <w:rsid w:val="7D9005BC"/>
    <w:rsid w:val="7D9F0AD0"/>
    <w:rsid w:val="7DB172F1"/>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link w:val="73"/>
    <w:qFormat/>
    <w:uiPriority w:val="0"/>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styleId="13">
    <w:name w:val="envelope return"/>
    <w:basedOn w:val="1"/>
    <w:unhideWhenUsed/>
    <w:qFormat/>
    <w:uiPriority w:val="99"/>
    <w:pPr>
      <w:snapToGrid w:val="0"/>
    </w:pPr>
    <w:rPr>
      <w:rFonts w:ascii="Arial" w:hAnsi="Arial"/>
    </w:rPr>
  </w:style>
  <w:style w:type="paragraph" w:styleId="14">
    <w:name w:val="List 2"/>
    <w:basedOn w:val="1"/>
    <w:qFormat/>
    <w:uiPriority w:val="0"/>
    <w:pPr>
      <w:ind w:left="100" w:leftChars="200" w:hanging="200" w:hangingChars="200"/>
    </w:pPr>
  </w:style>
  <w:style w:type="paragraph" w:styleId="15">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qFormat/>
    <w:uiPriority w:val="0"/>
    <w:pPr>
      <w:tabs>
        <w:tab w:val="left" w:pos="709"/>
        <w:tab w:val="right" w:leader="dot" w:pos="8789"/>
      </w:tabs>
      <w:spacing w:line="400" w:lineRule="atLeast"/>
    </w:pPr>
    <w:rPr>
      <w:rFonts w:ascii="宋体"/>
      <w:kern w:val="0"/>
      <w:szCs w:val="20"/>
    </w:rPr>
  </w:style>
  <w:style w:type="paragraph" w:styleId="17">
    <w:name w:val="Plain Text"/>
    <w:basedOn w:val="1"/>
    <w:qFormat/>
    <w:uiPriority w:val="0"/>
    <w:pPr>
      <w:widowControl/>
      <w:spacing w:beforeAutospacing="1" w:afterAutospacing="1"/>
      <w:jc w:val="left"/>
    </w:pPr>
    <w:rPr>
      <w:rFonts w:ascii="宋体" w:hAnsi="宋体" w:cs="宋体"/>
      <w:kern w:val="0"/>
      <w:sz w:val="24"/>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480" w:lineRule="auto"/>
      <w:ind w:left="420" w:leftChars="2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List"/>
    <w:basedOn w:val="1"/>
    <w:qFormat/>
    <w:uiPriority w:val="0"/>
    <w:pPr>
      <w:ind w:left="200" w:hanging="200" w:hangingChars="200"/>
    </w:pPr>
  </w:style>
  <w:style w:type="paragraph" w:styleId="24">
    <w:name w:val="Body Text 2"/>
    <w:basedOn w:val="1"/>
    <w:next w:val="11"/>
    <w:qFormat/>
    <w:uiPriority w:val="0"/>
    <w:pPr>
      <w:spacing w:line="480" w:lineRule="auto"/>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qFormat/>
    <w:uiPriority w:val="0"/>
    <w:pPr>
      <w:spacing w:line="360" w:lineRule="auto"/>
      <w:ind w:firstLine="420" w:firstLineChars="100"/>
    </w:pPr>
    <w:rPr>
      <w:szCs w:val="21"/>
    </w:rPr>
  </w:style>
  <w:style w:type="paragraph" w:styleId="30">
    <w:name w:val="Body Text First Indent 2"/>
    <w:basedOn w:val="12"/>
    <w:next w:val="7"/>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 w:type="paragraph" w:customStyle="1" w:styleId="90">
    <w:name w:val="p0"/>
    <w:basedOn w:val="1"/>
    <w:qFormat/>
    <w:uiPriority w:val="0"/>
    <w:pPr>
      <w:widowControl/>
      <w:spacing w:line="600" w:lineRule="atLeast"/>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14579</Words>
  <Characters>15361</Characters>
  <Lines>50</Lines>
  <Paragraphs>68</Paragraphs>
  <TotalTime>2</TotalTime>
  <ScaleCrop>false</ScaleCrop>
  <LinksUpToDate>false</LinksUpToDate>
  <CharactersWithSpaces>16487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2023-09-27T00:36:05Z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674F991D607844DA91ADD0033423FF34_13</vt:lpwstr>
  </property>
</Properties>
</file>